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B2" w:rsidRPr="001303A1" w:rsidRDefault="00F51DB2" w:rsidP="00F51DB2">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F906A1" w:rsidRPr="00480E7F" w:rsidRDefault="00F906A1" w:rsidP="002C3199">
      <w:pPr>
        <w:jc w:val="both"/>
        <w:rPr>
          <w:rFonts w:ascii="Arial Narrow" w:hAnsi="Arial Narrow" w:cs="Arial"/>
          <w:i/>
          <w:sz w:val="20"/>
          <w:szCs w:val="20"/>
        </w:rPr>
      </w:pPr>
      <w:r w:rsidRPr="00480E7F">
        <w:rPr>
          <w:rFonts w:ascii="Arial Narrow" w:hAnsi="Arial Narrow" w:cs="Arial"/>
          <w:b/>
          <w:i/>
          <w:sz w:val="20"/>
          <w:szCs w:val="20"/>
        </w:rPr>
        <w:t>Providencia</w:t>
      </w:r>
      <w:r w:rsidRPr="00480E7F">
        <w:rPr>
          <w:rFonts w:ascii="Arial Narrow" w:hAnsi="Arial Narrow" w:cs="Arial"/>
          <w:i/>
          <w:sz w:val="20"/>
          <w:szCs w:val="20"/>
        </w:rPr>
        <w:t>:</w:t>
      </w:r>
      <w:r w:rsidRPr="00480E7F">
        <w:rPr>
          <w:rFonts w:ascii="Arial Narrow" w:hAnsi="Arial Narrow" w:cs="Arial"/>
          <w:b/>
          <w:i/>
          <w:sz w:val="20"/>
          <w:szCs w:val="20"/>
        </w:rPr>
        <w:t xml:space="preserve"> </w:t>
      </w:r>
      <w:r w:rsidRPr="00480E7F">
        <w:rPr>
          <w:rFonts w:ascii="Arial Narrow" w:hAnsi="Arial Narrow" w:cs="Arial"/>
          <w:i/>
          <w:sz w:val="20"/>
          <w:szCs w:val="20"/>
        </w:rPr>
        <w:tab/>
      </w:r>
      <w:r w:rsidRPr="00480E7F">
        <w:rPr>
          <w:rFonts w:ascii="Arial Narrow" w:hAnsi="Arial Narrow" w:cs="Arial"/>
          <w:i/>
          <w:sz w:val="20"/>
          <w:szCs w:val="20"/>
        </w:rPr>
        <w:tab/>
        <w:t xml:space="preserve">Auto de Segunda Instancia, jueves </w:t>
      </w:r>
      <w:r>
        <w:rPr>
          <w:rFonts w:ascii="Arial Narrow" w:hAnsi="Arial Narrow" w:cs="Arial"/>
          <w:i/>
          <w:sz w:val="20"/>
          <w:szCs w:val="20"/>
        </w:rPr>
        <w:t>24</w:t>
      </w:r>
      <w:r w:rsidRPr="00480E7F">
        <w:rPr>
          <w:rFonts w:ascii="Arial Narrow" w:hAnsi="Arial Narrow" w:cs="Arial"/>
          <w:i/>
          <w:sz w:val="20"/>
          <w:szCs w:val="20"/>
        </w:rPr>
        <w:t xml:space="preserve"> de </w:t>
      </w:r>
      <w:r>
        <w:rPr>
          <w:rFonts w:ascii="Arial Narrow" w:hAnsi="Arial Narrow" w:cs="Arial"/>
          <w:i/>
          <w:sz w:val="20"/>
          <w:szCs w:val="20"/>
        </w:rPr>
        <w:t>octubre</w:t>
      </w:r>
      <w:r w:rsidRPr="00480E7F">
        <w:rPr>
          <w:rFonts w:ascii="Arial Narrow" w:hAnsi="Arial Narrow" w:cs="Arial"/>
          <w:i/>
          <w:sz w:val="20"/>
          <w:szCs w:val="20"/>
        </w:rPr>
        <w:t xml:space="preserve"> de 2013.</w:t>
      </w:r>
    </w:p>
    <w:p w:rsidR="00F906A1" w:rsidRPr="00480E7F" w:rsidRDefault="00F906A1" w:rsidP="002C3199">
      <w:pPr>
        <w:jc w:val="both"/>
        <w:rPr>
          <w:rFonts w:ascii="Arial Narrow" w:hAnsi="Arial Narrow" w:cs="Arial"/>
          <w:i/>
          <w:sz w:val="20"/>
          <w:szCs w:val="20"/>
          <w:lang w:val="es-MX"/>
        </w:rPr>
      </w:pPr>
      <w:r w:rsidRPr="00480E7F">
        <w:rPr>
          <w:rFonts w:ascii="Arial Narrow" w:hAnsi="Arial Narrow" w:cs="Arial"/>
          <w:b/>
          <w:bCs/>
          <w:i/>
          <w:sz w:val="20"/>
          <w:szCs w:val="20"/>
        </w:rPr>
        <w:t>Radicación No</w:t>
      </w:r>
      <w:r w:rsidRPr="00480E7F">
        <w:rPr>
          <w:rFonts w:ascii="Arial Narrow" w:hAnsi="Arial Narrow" w:cs="Arial"/>
          <w:bCs/>
          <w:i/>
          <w:sz w:val="20"/>
          <w:szCs w:val="20"/>
        </w:rPr>
        <w:t>:</w:t>
      </w:r>
      <w:r w:rsidRPr="00480E7F">
        <w:rPr>
          <w:rFonts w:ascii="Arial Narrow" w:hAnsi="Arial Narrow" w:cs="Arial"/>
          <w:b/>
          <w:bCs/>
          <w:i/>
          <w:sz w:val="20"/>
          <w:szCs w:val="20"/>
        </w:rPr>
        <w:t xml:space="preserve"> </w:t>
      </w:r>
      <w:r w:rsidRPr="00480E7F">
        <w:rPr>
          <w:rFonts w:ascii="Arial Narrow" w:hAnsi="Arial Narrow" w:cs="Arial"/>
          <w:b/>
          <w:bCs/>
          <w:i/>
          <w:sz w:val="20"/>
          <w:szCs w:val="20"/>
        </w:rPr>
        <w:tab/>
        <w:t xml:space="preserve">         </w:t>
      </w:r>
      <w:r>
        <w:rPr>
          <w:rFonts w:ascii="Arial Narrow" w:hAnsi="Arial Narrow" w:cs="Arial"/>
          <w:b/>
          <w:bCs/>
          <w:i/>
          <w:sz w:val="20"/>
          <w:szCs w:val="20"/>
        </w:rPr>
        <w:t xml:space="preserve"> </w:t>
      </w:r>
      <w:r w:rsidRPr="00480E7F">
        <w:rPr>
          <w:rFonts w:ascii="Arial Narrow" w:hAnsi="Arial Narrow" w:cs="Arial"/>
          <w:b/>
          <w:bCs/>
          <w:i/>
          <w:sz w:val="20"/>
          <w:szCs w:val="20"/>
        </w:rPr>
        <w:t xml:space="preserve">     </w:t>
      </w:r>
      <w:r w:rsidRPr="00480E7F">
        <w:rPr>
          <w:rFonts w:ascii="Arial Narrow" w:hAnsi="Arial Narrow" w:cs="Arial"/>
          <w:i/>
          <w:sz w:val="20"/>
          <w:szCs w:val="20"/>
          <w:lang w:val="es-MX"/>
        </w:rPr>
        <w:t>66001-31-05-00</w:t>
      </w:r>
      <w:r>
        <w:rPr>
          <w:rFonts w:ascii="Arial Narrow" w:hAnsi="Arial Narrow" w:cs="Arial"/>
          <w:i/>
          <w:sz w:val="20"/>
          <w:szCs w:val="20"/>
          <w:lang w:val="es-MX"/>
        </w:rPr>
        <w:t>1</w:t>
      </w:r>
      <w:r w:rsidRPr="00480E7F">
        <w:rPr>
          <w:rFonts w:ascii="Arial Narrow" w:hAnsi="Arial Narrow" w:cs="Arial"/>
          <w:i/>
          <w:sz w:val="20"/>
          <w:szCs w:val="20"/>
          <w:lang w:val="es-MX"/>
        </w:rPr>
        <w:t>-201</w:t>
      </w:r>
      <w:r>
        <w:rPr>
          <w:rFonts w:ascii="Arial Narrow" w:hAnsi="Arial Narrow" w:cs="Arial"/>
          <w:i/>
          <w:sz w:val="20"/>
          <w:szCs w:val="20"/>
          <w:lang w:val="es-MX"/>
        </w:rPr>
        <w:t>3</w:t>
      </w:r>
      <w:r w:rsidRPr="00480E7F">
        <w:rPr>
          <w:rFonts w:ascii="Arial Narrow" w:hAnsi="Arial Narrow" w:cs="Arial"/>
          <w:i/>
          <w:sz w:val="20"/>
          <w:szCs w:val="20"/>
          <w:lang w:val="es-MX"/>
        </w:rPr>
        <w:t>-00</w:t>
      </w:r>
      <w:r>
        <w:rPr>
          <w:rFonts w:ascii="Arial Narrow" w:hAnsi="Arial Narrow" w:cs="Arial"/>
          <w:i/>
          <w:sz w:val="20"/>
          <w:szCs w:val="20"/>
          <w:lang w:val="es-MX"/>
        </w:rPr>
        <w:t>088</w:t>
      </w:r>
      <w:r w:rsidRPr="00480E7F">
        <w:rPr>
          <w:rFonts w:ascii="Arial Narrow" w:hAnsi="Arial Narrow" w:cs="Arial"/>
          <w:i/>
          <w:sz w:val="20"/>
          <w:szCs w:val="20"/>
          <w:lang w:val="es-MX"/>
        </w:rPr>
        <w:t>-01</w:t>
      </w:r>
    </w:p>
    <w:p w:rsidR="00F906A1" w:rsidRPr="00480E7F" w:rsidRDefault="00F906A1" w:rsidP="002C3199">
      <w:pPr>
        <w:jc w:val="both"/>
        <w:rPr>
          <w:rFonts w:ascii="Arial Narrow" w:hAnsi="Arial Narrow" w:cs="Arial"/>
          <w:i/>
          <w:iCs/>
          <w:sz w:val="20"/>
          <w:szCs w:val="20"/>
        </w:rPr>
      </w:pPr>
      <w:r w:rsidRPr="00480E7F">
        <w:rPr>
          <w:rFonts w:ascii="Arial Narrow" w:hAnsi="Arial Narrow" w:cs="Arial"/>
          <w:b/>
          <w:bCs/>
          <w:i/>
          <w:iCs/>
          <w:sz w:val="20"/>
          <w:szCs w:val="20"/>
        </w:rPr>
        <w:t>Proceso</w:t>
      </w:r>
      <w:r w:rsidRPr="00480E7F">
        <w:rPr>
          <w:rFonts w:ascii="Arial Narrow" w:hAnsi="Arial Narrow" w:cs="Arial"/>
          <w:bCs/>
          <w:i/>
          <w:iCs/>
          <w:sz w:val="20"/>
          <w:szCs w:val="20"/>
        </w:rPr>
        <w:t>:</w:t>
      </w:r>
      <w:r w:rsidRPr="00480E7F">
        <w:rPr>
          <w:rFonts w:ascii="Arial Narrow" w:hAnsi="Arial Narrow" w:cs="Arial"/>
          <w:i/>
          <w:iCs/>
          <w:sz w:val="20"/>
          <w:szCs w:val="20"/>
        </w:rPr>
        <w:t xml:space="preserve"> </w:t>
      </w:r>
      <w:r w:rsidRPr="00480E7F">
        <w:rPr>
          <w:rFonts w:ascii="Arial Narrow" w:hAnsi="Arial Narrow" w:cs="Arial"/>
          <w:b/>
          <w:i/>
          <w:iCs/>
          <w:sz w:val="20"/>
          <w:szCs w:val="20"/>
        </w:rPr>
        <w:tab/>
      </w:r>
      <w:r w:rsidRPr="00480E7F">
        <w:rPr>
          <w:rFonts w:ascii="Arial Narrow" w:hAnsi="Arial Narrow" w:cs="Arial"/>
          <w:i/>
          <w:iCs/>
          <w:sz w:val="20"/>
          <w:szCs w:val="20"/>
        </w:rPr>
        <w:tab/>
        <w:t>Ordinario Laboral.</w:t>
      </w:r>
    </w:p>
    <w:p w:rsidR="00F906A1" w:rsidRPr="00480E7F" w:rsidRDefault="00F906A1" w:rsidP="002C3199">
      <w:pPr>
        <w:jc w:val="both"/>
        <w:rPr>
          <w:rFonts w:ascii="Arial Narrow" w:hAnsi="Arial Narrow" w:cs="Arial"/>
          <w:bCs/>
          <w:i/>
          <w:sz w:val="20"/>
          <w:szCs w:val="20"/>
        </w:rPr>
      </w:pPr>
      <w:r w:rsidRPr="00480E7F">
        <w:rPr>
          <w:rFonts w:ascii="Arial Narrow" w:hAnsi="Arial Narrow" w:cs="Arial"/>
          <w:b/>
          <w:i/>
          <w:iCs/>
          <w:sz w:val="20"/>
          <w:szCs w:val="20"/>
        </w:rPr>
        <w:t>Demandante</w:t>
      </w:r>
      <w:r w:rsidRPr="00480E7F">
        <w:rPr>
          <w:rFonts w:ascii="Arial Narrow" w:hAnsi="Arial Narrow" w:cs="Arial"/>
          <w:i/>
          <w:iCs/>
          <w:sz w:val="20"/>
          <w:szCs w:val="20"/>
        </w:rPr>
        <w:t>:</w:t>
      </w:r>
      <w:r w:rsidRPr="00480E7F">
        <w:rPr>
          <w:rFonts w:ascii="Arial Narrow" w:hAnsi="Arial Narrow" w:cs="Arial"/>
          <w:i/>
          <w:iCs/>
          <w:sz w:val="20"/>
          <w:szCs w:val="20"/>
        </w:rPr>
        <w:tab/>
      </w:r>
      <w:r w:rsidRPr="00480E7F">
        <w:rPr>
          <w:rFonts w:ascii="Arial Narrow" w:hAnsi="Arial Narrow" w:cs="Arial"/>
          <w:i/>
          <w:iCs/>
          <w:sz w:val="20"/>
          <w:szCs w:val="20"/>
        </w:rPr>
        <w:tab/>
      </w:r>
      <w:r>
        <w:rPr>
          <w:rFonts w:ascii="Arial Narrow" w:hAnsi="Arial Narrow" w:cs="Arial"/>
          <w:i/>
          <w:iCs/>
          <w:sz w:val="20"/>
          <w:szCs w:val="20"/>
        </w:rPr>
        <w:t>Ancízar García Álvarez</w:t>
      </w:r>
    </w:p>
    <w:p w:rsidR="00F906A1" w:rsidRPr="00480E7F" w:rsidRDefault="00F906A1" w:rsidP="002C3199">
      <w:pPr>
        <w:ind w:left="-142" w:firstLine="142"/>
        <w:jc w:val="both"/>
        <w:rPr>
          <w:rFonts w:ascii="Arial Narrow" w:hAnsi="Arial Narrow" w:cs="Arial"/>
          <w:bCs/>
          <w:i/>
          <w:sz w:val="20"/>
          <w:szCs w:val="20"/>
        </w:rPr>
      </w:pPr>
      <w:r w:rsidRPr="00480E7F">
        <w:rPr>
          <w:rFonts w:ascii="Arial Narrow" w:hAnsi="Arial Narrow" w:cs="Arial"/>
          <w:b/>
          <w:bCs/>
          <w:i/>
          <w:sz w:val="20"/>
          <w:szCs w:val="20"/>
        </w:rPr>
        <w:t>Demandado:</w:t>
      </w:r>
      <w:r w:rsidRPr="00480E7F">
        <w:rPr>
          <w:rFonts w:ascii="Arial Narrow" w:hAnsi="Arial Narrow" w:cs="Arial"/>
          <w:b/>
          <w:bCs/>
          <w:i/>
          <w:sz w:val="20"/>
          <w:szCs w:val="20"/>
        </w:rPr>
        <w:tab/>
      </w:r>
      <w:r w:rsidRPr="00480E7F">
        <w:rPr>
          <w:rFonts w:ascii="Arial Narrow" w:hAnsi="Arial Narrow" w:cs="Arial"/>
          <w:b/>
          <w:bCs/>
          <w:i/>
          <w:sz w:val="20"/>
          <w:szCs w:val="20"/>
        </w:rPr>
        <w:tab/>
      </w:r>
      <w:r>
        <w:rPr>
          <w:rFonts w:ascii="Arial Narrow" w:hAnsi="Arial Narrow" w:cs="Arial"/>
          <w:bCs/>
          <w:i/>
          <w:sz w:val="20"/>
          <w:szCs w:val="20"/>
        </w:rPr>
        <w:t>Colpensiones</w:t>
      </w:r>
      <w:r w:rsidRPr="00480E7F">
        <w:rPr>
          <w:rFonts w:ascii="Arial Narrow" w:hAnsi="Arial Narrow" w:cs="Arial"/>
          <w:bCs/>
          <w:i/>
          <w:sz w:val="20"/>
          <w:szCs w:val="20"/>
        </w:rPr>
        <w:t xml:space="preserve"> </w:t>
      </w:r>
    </w:p>
    <w:p w:rsidR="00F906A1" w:rsidRPr="00480E7F" w:rsidRDefault="00F906A1" w:rsidP="002C3199">
      <w:pPr>
        <w:jc w:val="both"/>
        <w:rPr>
          <w:rFonts w:ascii="Arial Narrow" w:hAnsi="Arial Narrow" w:cs="Arial"/>
          <w:i/>
          <w:sz w:val="20"/>
          <w:szCs w:val="20"/>
        </w:rPr>
      </w:pPr>
      <w:r w:rsidRPr="00480E7F">
        <w:rPr>
          <w:rFonts w:ascii="Arial Narrow" w:hAnsi="Arial Narrow" w:cs="Arial"/>
          <w:b/>
          <w:i/>
          <w:sz w:val="20"/>
          <w:szCs w:val="20"/>
        </w:rPr>
        <w:t>Juzgado de origen</w:t>
      </w:r>
      <w:r w:rsidRPr="00480E7F">
        <w:rPr>
          <w:rFonts w:ascii="Arial Narrow" w:hAnsi="Arial Narrow" w:cs="Arial"/>
          <w:i/>
          <w:sz w:val="20"/>
          <w:szCs w:val="20"/>
        </w:rPr>
        <w:t>:</w:t>
      </w:r>
      <w:r w:rsidRPr="00480E7F">
        <w:rPr>
          <w:rFonts w:ascii="Arial Narrow" w:hAnsi="Arial Narrow" w:cs="Arial"/>
          <w:i/>
          <w:sz w:val="20"/>
          <w:szCs w:val="20"/>
        </w:rPr>
        <w:tab/>
        <w:t xml:space="preserve">Juzgado </w:t>
      </w:r>
      <w:r>
        <w:rPr>
          <w:rFonts w:ascii="Arial Narrow" w:hAnsi="Arial Narrow" w:cs="Arial"/>
          <w:i/>
          <w:sz w:val="20"/>
          <w:szCs w:val="20"/>
        </w:rPr>
        <w:t>Primero</w:t>
      </w:r>
      <w:r w:rsidRPr="00480E7F">
        <w:rPr>
          <w:rFonts w:ascii="Arial Narrow" w:hAnsi="Arial Narrow" w:cs="Arial"/>
          <w:i/>
          <w:sz w:val="20"/>
          <w:szCs w:val="20"/>
        </w:rPr>
        <w:t xml:space="preserve"> Laboral del Circuito</w:t>
      </w:r>
    </w:p>
    <w:p w:rsidR="00F906A1" w:rsidRDefault="00F906A1" w:rsidP="002C3199">
      <w:pPr>
        <w:jc w:val="both"/>
        <w:rPr>
          <w:rFonts w:ascii="Arial Narrow" w:hAnsi="Arial Narrow" w:cs="Arial"/>
          <w:i/>
          <w:iCs/>
          <w:sz w:val="20"/>
          <w:szCs w:val="20"/>
        </w:rPr>
      </w:pPr>
      <w:r w:rsidRPr="00480E7F">
        <w:rPr>
          <w:rFonts w:ascii="Arial Narrow" w:hAnsi="Arial Narrow" w:cs="Arial"/>
          <w:b/>
          <w:i/>
          <w:iCs/>
          <w:sz w:val="20"/>
          <w:szCs w:val="20"/>
        </w:rPr>
        <w:t xml:space="preserve">Magistrado Ponente:     </w:t>
      </w:r>
      <w:r>
        <w:rPr>
          <w:rFonts w:ascii="Arial Narrow" w:hAnsi="Arial Narrow" w:cs="Arial"/>
          <w:b/>
          <w:i/>
          <w:iCs/>
          <w:sz w:val="20"/>
          <w:szCs w:val="20"/>
        </w:rPr>
        <w:t xml:space="preserve">    </w:t>
      </w:r>
      <w:r w:rsidRPr="00480E7F">
        <w:rPr>
          <w:rFonts w:ascii="Arial Narrow" w:hAnsi="Arial Narrow" w:cs="Arial"/>
          <w:b/>
          <w:i/>
          <w:iCs/>
          <w:sz w:val="20"/>
          <w:szCs w:val="20"/>
        </w:rPr>
        <w:t xml:space="preserve"> </w:t>
      </w:r>
      <w:r w:rsidRPr="00480E7F">
        <w:rPr>
          <w:rFonts w:ascii="Arial Narrow" w:hAnsi="Arial Narrow" w:cs="Arial"/>
          <w:i/>
          <w:iCs/>
          <w:sz w:val="20"/>
          <w:szCs w:val="20"/>
        </w:rPr>
        <w:t>Francisco Javier Tamayo Tabares</w:t>
      </w:r>
    </w:p>
    <w:p w:rsidR="00F906A1" w:rsidRPr="006F70A6" w:rsidRDefault="00F906A1" w:rsidP="00F906A1">
      <w:pPr>
        <w:ind w:left="2126" w:hanging="2126"/>
        <w:jc w:val="both"/>
        <w:rPr>
          <w:rFonts w:ascii="Arial Narrow" w:hAnsi="Arial Narrow" w:cs="Arial"/>
          <w:i/>
          <w:iCs/>
          <w:sz w:val="20"/>
          <w:szCs w:val="20"/>
        </w:rPr>
      </w:pPr>
      <w:r w:rsidRPr="002C3199">
        <w:rPr>
          <w:rFonts w:ascii="Arial Narrow" w:hAnsi="Arial Narrow" w:cs="Arial"/>
          <w:b/>
          <w:bCs/>
          <w:i/>
          <w:sz w:val="20"/>
          <w:szCs w:val="20"/>
        </w:rPr>
        <w:t>Tema a tratar:</w:t>
      </w:r>
      <w:r w:rsidRPr="0023090A">
        <w:rPr>
          <w:rFonts w:ascii="Arial Narrow" w:hAnsi="Arial Narrow" w:cs="Arial"/>
          <w:bCs/>
          <w:i/>
        </w:rPr>
        <w:t xml:space="preserve">             </w:t>
      </w:r>
      <w:r w:rsidRPr="0023090A">
        <w:rPr>
          <w:rFonts w:ascii="Arial Narrow" w:hAnsi="Arial Narrow" w:cs="Arial"/>
          <w:bCs/>
          <w:i/>
        </w:rPr>
        <w:tab/>
      </w:r>
      <w:r w:rsidRPr="003231A3">
        <w:rPr>
          <w:rFonts w:ascii="Arial Narrow" w:hAnsi="Arial Narrow" w:cs="Arial"/>
          <w:b/>
          <w:i/>
          <w:iCs/>
          <w:sz w:val="20"/>
          <w:szCs w:val="20"/>
        </w:rPr>
        <w:t xml:space="preserve">NOTIFICACIÓN Y </w:t>
      </w:r>
      <w:r>
        <w:rPr>
          <w:rFonts w:ascii="Arial Narrow" w:hAnsi="Arial Narrow" w:cs="Arial"/>
          <w:b/>
          <w:i/>
          <w:iCs/>
          <w:sz w:val="20"/>
          <w:szCs w:val="20"/>
        </w:rPr>
        <w:t xml:space="preserve">CONTEO DE TÉRMINOS </w:t>
      </w:r>
      <w:r w:rsidRPr="006F70A6">
        <w:rPr>
          <w:rFonts w:ascii="Arial Narrow" w:hAnsi="Arial Narrow" w:cs="Arial"/>
          <w:b/>
          <w:i/>
          <w:iCs/>
          <w:sz w:val="20"/>
          <w:szCs w:val="20"/>
        </w:rPr>
        <w:t>EN TODOS LOS PROCESOS DONDE SEA DEMANDADA UNA ENTIDAD PÚBLICA.</w:t>
      </w:r>
      <w:r>
        <w:rPr>
          <w:rFonts w:ascii="Arial Narrow" w:hAnsi="Arial Narrow" w:cs="Arial"/>
          <w:b/>
          <w:i/>
          <w:iCs/>
          <w:sz w:val="20"/>
          <w:szCs w:val="20"/>
        </w:rPr>
        <w:t xml:space="preserve"> </w:t>
      </w:r>
      <w:r w:rsidRPr="006F70A6">
        <w:rPr>
          <w:rFonts w:ascii="Arial Narrow" w:hAnsi="Arial Narrow" w:cs="Arial"/>
          <w:i/>
          <w:iCs/>
          <w:sz w:val="20"/>
          <w:szCs w:val="20"/>
        </w:rPr>
        <w:t>Según el texto del inciso 6º de</w:t>
      </w:r>
      <w:r>
        <w:rPr>
          <w:rFonts w:ascii="Arial Narrow" w:hAnsi="Arial Narrow" w:cs="Arial"/>
          <w:i/>
          <w:iCs/>
          <w:sz w:val="20"/>
          <w:szCs w:val="20"/>
        </w:rPr>
        <w:t>l artículo 612 de la Ley 1564</w:t>
      </w:r>
      <w:r w:rsidRPr="006F70A6">
        <w:rPr>
          <w:rFonts w:ascii="Arial Narrow" w:hAnsi="Arial Narrow" w:cs="Arial"/>
          <w:i/>
          <w:iCs/>
          <w:sz w:val="20"/>
          <w:szCs w:val="20"/>
        </w:rPr>
        <w:t xml:space="preserve"> en los procesos que se tramiten ante cualquier jurisdicción, en donde sea demandada una entidad pública, deberá también notificarse el auto admisorio de la demanda a la Agencia Nacional de Defensa Jurídica del Estado</w:t>
      </w:r>
      <w:r>
        <w:rPr>
          <w:rFonts w:ascii="Arial Narrow" w:hAnsi="Arial Narrow" w:cs="Arial"/>
          <w:i/>
          <w:iCs/>
          <w:sz w:val="20"/>
          <w:szCs w:val="20"/>
        </w:rPr>
        <w:t>.</w:t>
      </w:r>
    </w:p>
    <w:p w:rsidR="00F906A1" w:rsidRPr="003231A3" w:rsidRDefault="00F906A1" w:rsidP="00F906A1">
      <w:pPr>
        <w:widowControl w:val="0"/>
        <w:autoSpaceDE w:val="0"/>
        <w:autoSpaceDN w:val="0"/>
        <w:adjustRightInd w:val="0"/>
        <w:ind w:left="2127"/>
        <w:jc w:val="both"/>
        <w:rPr>
          <w:rFonts w:ascii="Arial Narrow" w:hAnsi="Arial Narrow" w:cs="Arial"/>
          <w:i/>
          <w:iCs/>
          <w:sz w:val="20"/>
          <w:szCs w:val="20"/>
        </w:rPr>
      </w:pPr>
      <w:r w:rsidRPr="006F70A6">
        <w:rPr>
          <w:rFonts w:ascii="Arial Narrow" w:hAnsi="Arial Narrow" w:cs="Arial"/>
          <w:i/>
          <w:iCs/>
          <w:sz w:val="20"/>
          <w:szCs w:val="20"/>
        </w:rPr>
        <w:t>Ahora bien,</w:t>
      </w:r>
      <w:r>
        <w:rPr>
          <w:rFonts w:ascii="Arial Narrow" w:hAnsi="Arial Narrow" w:cs="Arial"/>
          <w:i/>
          <w:iCs/>
          <w:sz w:val="20"/>
          <w:szCs w:val="20"/>
        </w:rPr>
        <w:t xml:space="preserve"> la notificación deberá realizarse </w:t>
      </w:r>
      <w:r w:rsidRPr="003231A3">
        <w:rPr>
          <w:rFonts w:ascii="Arial Narrow" w:hAnsi="Arial Narrow" w:cs="Arial"/>
          <w:i/>
          <w:iCs/>
          <w:sz w:val="20"/>
          <w:szCs w:val="20"/>
        </w:rPr>
        <w:t xml:space="preserve">a través de mensaje dirigido al buzón electrónico para notificaciones judiciales, en el que se deberá identificar, la notificación que se realiza y contener copia de la providencia a notificar y de la demanda. </w:t>
      </w:r>
    </w:p>
    <w:p w:rsidR="00F906A1" w:rsidRPr="003231A3" w:rsidRDefault="00F906A1" w:rsidP="00F906A1">
      <w:pPr>
        <w:widowControl w:val="0"/>
        <w:autoSpaceDE w:val="0"/>
        <w:autoSpaceDN w:val="0"/>
        <w:adjustRightInd w:val="0"/>
        <w:ind w:left="2127"/>
        <w:jc w:val="both"/>
        <w:rPr>
          <w:rFonts w:ascii="Arial Narrow" w:hAnsi="Arial Narrow" w:cs="Arial"/>
          <w:i/>
          <w:iCs/>
          <w:sz w:val="20"/>
          <w:szCs w:val="20"/>
        </w:rPr>
      </w:pPr>
      <w:r w:rsidRPr="003231A3">
        <w:rPr>
          <w:rFonts w:ascii="Arial Narrow" w:hAnsi="Arial Narrow" w:cs="Arial"/>
          <w:i/>
          <w:iCs/>
          <w:sz w:val="20"/>
          <w:szCs w:val="20"/>
        </w:rPr>
        <w:t xml:space="preserve">Igualmente, la precitada normativa establece, la presunción de haberse perfeccionado la notificación, </w:t>
      </w:r>
      <w:r w:rsidRPr="003231A3">
        <w:rPr>
          <w:rFonts w:ascii="Arial Narrow" w:hAnsi="Arial Narrow" w:cs="Arial"/>
          <w:b/>
          <w:i/>
          <w:iCs/>
          <w:sz w:val="20"/>
          <w:szCs w:val="20"/>
        </w:rPr>
        <w:t xml:space="preserve">cuando el receptor acusa el recibo de la misma, o se pueda constatar por otro medio, el acceso del destinatario al mensaje. </w:t>
      </w:r>
    </w:p>
    <w:p w:rsidR="00F906A1" w:rsidRPr="003231A3" w:rsidRDefault="00F906A1" w:rsidP="00F906A1">
      <w:pPr>
        <w:widowControl w:val="0"/>
        <w:autoSpaceDE w:val="0"/>
        <w:autoSpaceDN w:val="0"/>
        <w:adjustRightInd w:val="0"/>
        <w:ind w:left="2127"/>
        <w:jc w:val="both"/>
        <w:rPr>
          <w:rFonts w:ascii="Arial Narrow" w:hAnsi="Arial Narrow" w:cs="Arial"/>
          <w:i/>
          <w:iCs/>
          <w:sz w:val="20"/>
          <w:szCs w:val="20"/>
        </w:rPr>
      </w:pPr>
      <w:r w:rsidRPr="003231A3">
        <w:rPr>
          <w:rFonts w:ascii="Arial Narrow" w:hAnsi="Arial Narrow" w:cs="Arial"/>
          <w:i/>
          <w:iCs/>
          <w:sz w:val="20"/>
          <w:szCs w:val="20"/>
        </w:rPr>
        <w:t xml:space="preserve">“En este evento, las copias de la demanda y de sus anexos quedarán en la secretaría a disposición del notificado y el traslado o los términos que conceda el auto notificado, sólo comenzarán a correr al vencimiento del término común de veinticinco (25) días después de surtida la última notificación. Deberá remitirse de manera inmediata y a través del servicio postal autorizado, copia de la demanda, de sus anexos y del auto admisorio, sin perjuicio de las copias que deban quedar en el expediente a su disposición de conformidad con lo establecido en este inciso”. (Antepenúltimo inciso artículo 612 L.1564/12) </w:t>
      </w:r>
    </w:p>
    <w:p w:rsidR="00F51DB2" w:rsidRDefault="00F51DB2" w:rsidP="00F51DB2">
      <w:pPr>
        <w:spacing w:line="360" w:lineRule="auto"/>
        <w:ind w:left="2160" w:hanging="2160"/>
        <w:jc w:val="both"/>
        <w:rPr>
          <w:rFonts w:ascii="Arial Narrow" w:hAnsi="Arial Narrow" w:cs="Tahoma"/>
          <w:i/>
          <w:sz w:val="28"/>
          <w:szCs w:val="28"/>
        </w:rPr>
      </w:pPr>
    </w:p>
    <w:p w:rsidR="00F51DB2" w:rsidRPr="001303A1" w:rsidRDefault="00F51DB2" w:rsidP="00F51DB2">
      <w:pPr>
        <w:spacing w:line="276" w:lineRule="auto"/>
        <w:ind w:left="2340" w:hanging="1440"/>
        <w:jc w:val="both"/>
        <w:rPr>
          <w:rFonts w:ascii="Arial Narrow" w:hAnsi="Arial Narrow" w:cs="Tahoma"/>
          <w:b/>
          <w:sz w:val="28"/>
          <w:szCs w:val="28"/>
        </w:rPr>
      </w:pPr>
      <w:r w:rsidRPr="001303A1">
        <w:rPr>
          <w:rFonts w:ascii="Arial Narrow" w:hAnsi="Arial Narrow" w:cs="Tahoma"/>
          <w:b/>
          <w:sz w:val="28"/>
          <w:szCs w:val="28"/>
          <w:u w:val="single"/>
        </w:rPr>
        <w:t>AUDIENCIA PÚBLICA</w:t>
      </w:r>
      <w:r w:rsidRPr="001303A1">
        <w:rPr>
          <w:rFonts w:ascii="Arial Narrow" w:hAnsi="Arial Narrow" w:cs="Tahoma"/>
          <w:b/>
          <w:sz w:val="28"/>
          <w:szCs w:val="28"/>
        </w:rPr>
        <w:t>:</w:t>
      </w:r>
    </w:p>
    <w:p w:rsidR="00F51DB2" w:rsidRPr="001303A1" w:rsidRDefault="00F51DB2" w:rsidP="00F51DB2">
      <w:pPr>
        <w:spacing w:line="360" w:lineRule="auto"/>
        <w:jc w:val="both"/>
        <w:rPr>
          <w:rFonts w:ascii="Arial Narrow" w:hAnsi="Arial Narrow" w:cs="Tahoma"/>
          <w:sz w:val="28"/>
          <w:szCs w:val="28"/>
        </w:rPr>
      </w:pPr>
    </w:p>
    <w:p w:rsidR="00F51DB2" w:rsidRPr="002C3199" w:rsidRDefault="00F51DB2" w:rsidP="00F51DB2">
      <w:pPr>
        <w:spacing w:line="360" w:lineRule="auto"/>
        <w:ind w:firstLine="851"/>
        <w:jc w:val="both"/>
        <w:rPr>
          <w:rFonts w:ascii="Arial Narrow" w:hAnsi="Arial Narrow" w:cs="Arial"/>
          <w:b/>
          <w:i/>
          <w:iCs/>
          <w:sz w:val="28"/>
          <w:szCs w:val="28"/>
        </w:rPr>
      </w:pPr>
      <w:r w:rsidRPr="002C3199">
        <w:rPr>
          <w:rFonts w:ascii="Arial Narrow" w:eastAsia="Calibri" w:hAnsi="Arial Narrow" w:cs="Arial"/>
          <w:sz w:val="28"/>
          <w:szCs w:val="28"/>
          <w:lang w:eastAsia="en-US"/>
        </w:rPr>
        <w:t xml:space="preserve">En Pereira, hoy, </w:t>
      </w:r>
      <w:r w:rsidR="00F906A1" w:rsidRPr="002C3199">
        <w:rPr>
          <w:rFonts w:ascii="Arial Narrow" w:eastAsia="Calibri" w:hAnsi="Arial Narrow" w:cs="Arial"/>
          <w:sz w:val="28"/>
          <w:szCs w:val="28"/>
          <w:lang w:eastAsia="en-US"/>
        </w:rPr>
        <w:t>veinticuatro</w:t>
      </w:r>
      <w:r w:rsidRPr="002C3199">
        <w:rPr>
          <w:rFonts w:ascii="Arial Narrow" w:eastAsia="Calibri" w:hAnsi="Arial Narrow" w:cs="Arial"/>
          <w:sz w:val="28"/>
          <w:szCs w:val="28"/>
          <w:lang w:eastAsia="en-US"/>
        </w:rPr>
        <w:t xml:space="preserve"> (</w:t>
      </w:r>
      <w:r w:rsidR="00F906A1" w:rsidRPr="002C3199">
        <w:rPr>
          <w:rFonts w:ascii="Arial Narrow" w:eastAsia="Calibri" w:hAnsi="Arial Narrow" w:cs="Arial"/>
          <w:sz w:val="28"/>
          <w:szCs w:val="28"/>
          <w:lang w:eastAsia="en-US"/>
        </w:rPr>
        <w:t>24</w:t>
      </w:r>
      <w:r w:rsidRPr="002C3199">
        <w:rPr>
          <w:rFonts w:ascii="Arial Narrow" w:eastAsia="Calibri" w:hAnsi="Arial Narrow" w:cs="Arial"/>
          <w:sz w:val="28"/>
          <w:szCs w:val="28"/>
          <w:lang w:eastAsia="en-US"/>
        </w:rPr>
        <w:t xml:space="preserve">) de </w:t>
      </w:r>
      <w:r w:rsidR="00F906A1" w:rsidRPr="002C3199">
        <w:rPr>
          <w:rFonts w:ascii="Arial Narrow" w:eastAsia="Calibri" w:hAnsi="Arial Narrow" w:cs="Arial"/>
          <w:sz w:val="28"/>
          <w:szCs w:val="28"/>
          <w:lang w:eastAsia="en-US"/>
        </w:rPr>
        <w:t>octubre</w:t>
      </w:r>
      <w:r w:rsidRPr="002C3199">
        <w:rPr>
          <w:rFonts w:ascii="Arial Narrow" w:eastAsia="Calibri" w:hAnsi="Arial Narrow" w:cs="Arial"/>
          <w:sz w:val="28"/>
          <w:szCs w:val="28"/>
          <w:lang w:eastAsia="en-US"/>
        </w:rPr>
        <w:t xml:space="preserve"> de dos mil trece (2013), siendo las</w:t>
      </w:r>
      <w:r w:rsidR="007270BA" w:rsidRPr="002C3199">
        <w:rPr>
          <w:rFonts w:ascii="Arial Narrow" w:eastAsia="Calibri" w:hAnsi="Arial Narrow" w:cs="Arial"/>
          <w:sz w:val="28"/>
          <w:szCs w:val="28"/>
          <w:lang w:eastAsia="en-US"/>
        </w:rPr>
        <w:t xml:space="preserve"> cuatro de la tarde </w:t>
      </w:r>
      <w:r w:rsidRPr="002C3199">
        <w:rPr>
          <w:rFonts w:ascii="Arial Narrow" w:eastAsia="Calibri" w:hAnsi="Arial Narrow" w:cs="Arial"/>
          <w:sz w:val="28"/>
          <w:szCs w:val="28"/>
          <w:lang w:eastAsia="en-US"/>
        </w:rPr>
        <w:t>(</w:t>
      </w:r>
      <w:r w:rsidR="007270BA" w:rsidRPr="002C3199">
        <w:rPr>
          <w:rFonts w:ascii="Arial Narrow" w:eastAsia="Calibri" w:hAnsi="Arial Narrow" w:cs="Arial"/>
          <w:sz w:val="28"/>
          <w:szCs w:val="28"/>
          <w:lang w:eastAsia="en-US"/>
        </w:rPr>
        <w:t>4:00 p.m.</w:t>
      </w:r>
      <w:r w:rsidRPr="002C3199">
        <w:rPr>
          <w:rFonts w:ascii="Arial Narrow" w:eastAsia="Calibri" w:hAnsi="Arial Narrow" w:cs="Arial"/>
          <w:sz w:val="28"/>
          <w:szCs w:val="28"/>
          <w:lang w:eastAsia="en-US"/>
        </w:rPr>
        <w:t xml:space="preserve">) los suscritos Magistrados de la Sala Laboral </w:t>
      </w:r>
      <w:r w:rsidRPr="002C3199">
        <w:rPr>
          <w:rFonts w:ascii="Arial Narrow" w:hAnsi="Arial Narrow" w:cs="Tahoma"/>
          <w:bCs/>
          <w:color w:val="000000"/>
          <w:sz w:val="28"/>
          <w:szCs w:val="28"/>
        </w:rPr>
        <w:t>del Tribunal de Pereira, en Sala de decisión, presidido por el ponente, declaran formalmente abierto este acto</w:t>
      </w:r>
      <w:r w:rsidR="002E2859" w:rsidRPr="002C3199">
        <w:rPr>
          <w:rFonts w:ascii="Arial Narrow" w:hAnsi="Arial Narrow" w:cs="Tahoma"/>
          <w:bCs/>
          <w:color w:val="000000"/>
          <w:sz w:val="28"/>
          <w:szCs w:val="28"/>
        </w:rPr>
        <w:t xml:space="preserve">, </w:t>
      </w:r>
      <w:r w:rsidR="002C3199" w:rsidRPr="002C3199">
        <w:rPr>
          <w:rFonts w:ascii="Arial Narrow" w:hAnsi="Arial Narrow" w:cs="Tahoma"/>
          <w:bCs/>
          <w:color w:val="000000"/>
          <w:sz w:val="28"/>
          <w:szCs w:val="28"/>
          <w:lang w:eastAsia="es-CO"/>
        </w:rPr>
        <w:t xml:space="preserve">que tiene por objeto resolver el recurso de apelación, interpuesto </w:t>
      </w:r>
      <w:r w:rsidR="002C3199" w:rsidRPr="002C3199">
        <w:rPr>
          <w:rFonts w:ascii="Arial Narrow" w:eastAsia="Calibri" w:hAnsi="Arial Narrow" w:cs="Arial"/>
          <w:sz w:val="28"/>
          <w:szCs w:val="28"/>
          <w:lang w:val="es-CO" w:eastAsia="en-US"/>
        </w:rPr>
        <w:t>por el apoderado judicial del demanda</w:t>
      </w:r>
      <w:r w:rsidR="002C3199">
        <w:rPr>
          <w:rFonts w:ascii="Arial Narrow" w:eastAsia="Calibri" w:hAnsi="Arial Narrow" w:cs="Arial"/>
          <w:sz w:val="28"/>
          <w:szCs w:val="28"/>
          <w:lang w:val="es-CO" w:eastAsia="en-US"/>
        </w:rPr>
        <w:t>nte</w:t>
      </w:r>
      <w:r w:rsidR="002C3199" w:rsidRPr="002C3199">
        <w:rPr>
          <w:rFonts w:ascii="Arial Narrow" w:eastAsia="Calibri" w:hAnsi="Arial Narrow" w:cs="Arial"/>
          <w:sz w:val="28"/>
          <w:szCs w:val="28"/>
          <w:lang w:val="es-CO" w:eastAsia="en-US"/>
        </w:rPr>
        <w:t xml:space="preserve">, contra </w:t>
      </w:r>
      <w:r w:rsidR="002C3199">
        <w:rPr>
          <w:rFonts w:ascii="Arial Narrow" w:hAnsi="Arial Narrow" w:cs="Arial"/>
          <w:sz w:val="28"/>
          <w:szCs w:val="28"/>
        </w:rPr>
        <w:t>la providencia</w:t>
      </w:r>
      <w:r w:rsidR="002C3199" w:rsidRPr="002C3199">
        <w:rPr>
          <w:rFonts w:ascii="Arial Narrow" w:hAnsi="Arial Narrow" w:cs="Arial"/>
          <w:sz w:val="28"/>
          <w:szCs w:val="28"/>
        </w:rPr>
        <w:t xml:space="preserve"> proferida el </w:t>
      </w:r>
      <w:r w:rsidR="002C3199">
        <w:rPr>
          <w:rFonts w:ascii="Arial Narrow" w:hAnsi="Arial Narrow" w:cs="Arial"/>
          <w:sz w:val="28"/>
          <w:szCs w:val="28"/>
        </w:rPr>
        <w:t>2</w:t>
      </w:r>
      <w:r w:rsidR="002C3199" w:rsidRPr="002C3199">
        <w:rPr>
          <w:rFonts w:ascii="Arial Narrow" w:hAnsi="Arial Narrow" w:cs="Arial"/>
          <w:sz w:val="28"/>
          <w:szCs w:val="28"/>
        </w:rPr>
        <w:t xml:space="preserve">3 de </w:t>
      </w:r>
      <w:r w:rsidR="002C3199">
        <w:rPr>
          <w:rFonts w:ascii="Arial Narrow" w:hAnsi="Arial Narrow" w:cs="Arial"/>
          <w:sz w:val="28"/>
          <w:szCs w:val="28"/>
        </w:rPr>
        <w:t>abril</w:t>
      </w:r>
      <w:r w:rsidR="002C3199" w:rsidRPr="002C3199">
        <w:rPr>
          <w:rFonts w:ascii="Arial Narrow" w:hAnsi="Arial Narrow" w:cs="Arial"/>
          <w:sz w:val="28"/>
          <w:szCs w:val="28"/>
        </w:rPr>
        <w:t xml:space="preserve"> de 2013 por el Juzgado Primero Laboral del Circuito de Pereira</w:t>
      </w:r>
      <w:r w:rsidR="002C3199">
        <w:rPr>
          <w:rFonts w:ascii="Arial Narrow" w:hAnsi="Arial Narrow" w:cs="Arial"/>
          <w:sz w:val="28"/>
          <w:szCs w:val="28"/>
        </w:rPr>
        <w:t xml:space="preserve">, </w:t>
      </w:r>
      <w:r w:rsidRPr="002C3199">
        <w:rPr>
          <w:rFonts w:ascii="Arial Narrow" w:hAnsi="Arial Narrow" w:cs="Arial"/>
          <w:sz w:val="28"/>
          <w:szCs w:val="28"/>
        </w:rPr>
        <w:t xml:space="preserve">dentro del proceso ordinario laboral promovido por </w:t>
      </w:r>
      <w:r w:rsidR="00F906A1" w:rsidRPr="002C3199">
        <w:rPr>
          <w:rFonts w:ascii="Arial Narrow" w:hAnsi="Arial Narrow" w:cs="Arial"/>
          <w:b/>
          <w:sz w:val="28"/>
          <w:szCs w:val="28"/>
        </w:rPr>
        <w:t>ANCÍZAR GARCÍA ÁLVAREZ</w:t>
      </w:r>
      <w:r w:rsidRPr="002C3199">
        <w:rPr>
          <w:rFonts w:ascii="Arial Narrow" w:hAnsi="Arial Narrow" w:cs="Arial"/>
          <w:sz w:val="28"/>
          <w:szCs w:val="28"/>
        </w:rPr>
        <w:t xml:space="preserve"> en contra de</w:t>
      </w:r>
      <w:r w:rsidR="00F906A1" w:rsidRPr="002C3199">
        <w:rPr>
          <w:rFonts w:ascii="Arial Narrow" w:hAnsi="Arial Narrow" w:cs="Arial"/>
          <w:sz w:val="28"/>
          <w:szCs w:val="28"/>
        </w:rPr>
        <w:t xml:space="preserve"> </w:t>
      </w:r>
      <w:r w:rsidRPr="002C3199">
        <w:rPr>
          <w:rFonts w:ascii="Arial Narrow" w:hAnsi="Arial Narrow" w:cs="Arial"/>
          <w:sz w:val="28"/>
          <w:szCs w:val="28"/>
        </w:rPr>
        <w:t>l</w:t>
      </w:r>
      <w:r w:rsidR="00F906A1" w:rsidRPr="002C3199">
        <w:rPr>
          <w:rFonts w:ascii="Arial Narrow" w:hAnsi="Arial Narrow" w:cs="Arial"/>
          <w:sz w:val="28"/>
          <w:szCs w:val="28"/>
        </w:rPr>
        <w:t>a</w:t>
      </w:r>
      <w:r w:rsidRPr="002C3199">
        <w:rPr>
          <w:rFonts w:ascii="Arial Narrow" w:hAnsi="Arial Narrow" w:cs="Arial"/>
          <w:sz w:val="28"/>
          <w:szCs w:val="28"/>
        </w:rPr>
        <w:t xml:space="preserve"> </w:t>
      </w:r>
      <w:r w:rsidR="00F906A1" w:rsidRPr="002C3199">
        <w:rPr>
          <w:rFonts w:ascii="Arial Narrow" w:hAnsi="Arial Narrow" w:cs="Arial"/>
          <w:b/>
          <w:sz w:val="28"/>
          <w:szCs w:val="28"/>
        </w:rPr>
        <w:t>ADMINISTRADORA COLOMBIANA DE PENSIONES COLPENSIONES</w:t>
      </w:r>
      <w:r w:rsidRPr="002C3199">
        <w:rPr>
          <w:rFonts w:ascii="Arial Narrow" w:hAnsi="Arial Narrow" w:cs="Arial"/>
          <w:sz w:val="28"/>
          <w:szCs w:val="28"/>
        </w:rPr>
        <w:t xml:space="preserve">, </w:t>
      </w:r>
      <w:r w:rsidRPr="002C3199">
        <w:rPr>
          <w:rFonts w:ascii="Arial Narrow" w:hAnsi="Arial Narrow" w:cs="Arial"/>
          <w:bCs/>
          <w:iCs/>
          <w:sz w:val="28"/>
          <w:szCs w:val="28"/>
        </w:rPr>
        <w:t xml:space="preserve">-.-.-.-.-.-. .-.-. -.-.-.-.-.-.-.-.-.-.-.-.-.-.-.-.-.-.-.-.-.- </w:t>
      </w:r>
    </w:p>
    <w:p w:rsidR="00F51DB2" w:rsidRPr="001303A1" w:rsidRDefault="00F51DB2" w:rsidP="007270BA">
      <w:pPr>
        <w:shd w:val="clear" w:color="auto" w:fill="FFFFFF"/>
        <w:jc w:val="both"/>
        <w:rPr>
          <w:rFonts w:ascii="Arial Narrow" w:hAnsi="Arial Narrow" w:cs="Tahoma"/>
          <w:bCs/>
          <w:color w:val="000000"/>
          <w:sz w:val="28"/>
          <w:szCs w:val="28"/>
        </w:rPr>
      </w:pPr>
      <w:r w:rsidRPr="001303A1">
        <w:rPr>
          <w:rFonts w:ascii="Arial Narrow" w:hAnsi="Arial Narrow" w:cs="Tahoma"/>
          <w:bCs/>
          <w:color w:val="000000"/>
          <w:sz w:val="28"/>
          <w:szCs w:val="28"/>
        </w:rPr>
        <w:t> </w:t>
      </w:r>
    </w:p>
    <w:p w:rsidR="00F51DB2" w:rsidRPr="001303A1" w:rsidRDefault="002E2859" w:rsidP="002E2859">
      <w:pPr>
        <w:shd w:val="clear" w:color="auto" w:fill="FFFFFF"/>
        <w:spacing w:line="360" w:lineRule="auto"/>
        <w:jc w:val="both"/>
        <w:rPr>
          <w:rFonts w:ascii="Arial Narrow" w:hAnsi="Arial Narrow" w:cs="Tahoma"/>
          <w:b/>
          <w:bCs/>
          <w:color w:val="000000"/>
          <w:sz w:val="28"/>
          <w:szCs w:val="28"/>
        </w:rPr>
      </w:pPr>
      <w:r>
        <w:rPr>
          <w:rFonts w:ascii="Arial Narrow" w:hAnsi="Arial Narrow" w:cs="Tahoma"/>
          <w:b/>
          <w:bCs/>
          <w:color w:val="000000"/>
          <w:sz w:val="28"/>
          <w:szCs w:val="28"/>
        </w:rPr>
        <w:t xml:space="preserve"> </w:t>
      </w:r>
      <w:r>
        <w:rPr>
          <w:rFonts w:ascii="Arial Narrow" w:hAnsi="Arial Narrow" w:cs="Tahoma"/>
          <w:b/>
          <w:bCs/>
          <w:color w:val="000000"/>
          <w:sz w:val="28"/>
          <w:szCs w:val="28"/>
        </w:rPr>
        <w:tab/>
      </w:r>
      <w:r w:rsidR="00F51DB2" w:rsidRPr="001303A1">
        <w:rPr>
          <w:rFonts w:ascii="Arial Narrow" w:hAnsi="Arial Narrow" w:cs="Tahoma"/>
          <w:b/>
          <w:bCs/>
          <w:color w:val="000000"/>
          <w:sz w:val="28"/>
          <w:szCs w:val="28"/>
        </w:rPr>
        <w:t>IDENTIFICACIÓN DE LOS PRESENTES:</w:t>
      </w:r>
    </w:p>
    <w:p w:rsidR="002C3199" w:rsidRPr="002C3199" w:rsidRDefault="002C3199" w:rsidP="002C3199">
      <w:pPr>
        <w:shd w:val="clear" w:color="auto" w:fill="FFFFFF"/>
        <w:spacing w:line="360" w:lineRule="auto"/>
        <w:ind w:firstLine="709"/>
        <w:jc w:val="both"/>
        <w:rPr>
          <w:rFonts w:ascii="Arial Narrow" w:hAnsi="Arial Narrow" w:cs="Tahoma"/>
          <w:b/>
          <w:bCs/>
          <w:color w:val="000000"/>
          <w:sz w:val="28"/>
          <w:szCs w:val="28"/>
        </w:rPr>
      </w:pPr>
      <w:r w:rsidRPr="002C3199">
        <w:rPr>
          <w:rFonts w:ascii="Arial Narrow" w:hAnsi="Arial Narrow" w:cs="Tahoma"/>
          <w:b/>
          <w:bCs/>
          <w:color w:val="000000"/>
          <w:sz w:val="28"/>
          <w:szCs w:val="28"/>
        </w:rPr>
        <w:t>TRASLADO EN ORDEN Y ADVERTENCIAS</w:t>
      </w:r>
      <w:r>
        <w:rPr>
          <w:rFonts w:ascii="Arial Narrow" w:hAnsi="Arial Narrow" w:cs="Tahoma"/>
          <w:b/>
          <w:bCs/>
          <w:color w:val="000000"/>
          <w:sz w:val="28"/>
          <w:szCs w:val="28"/>
        </w:rPr>
        <w:t>:</w:t>
      </w:r>
    </w:p>
    <w:p w:rsidR="002C3199" w:rsidRPr="002C3199" w:rsidRDefault="002C3199" w:rsidP="002C3199">
      <w:pPr>
        <w:shd w:val="clear" w:color="auto" w:fill="FFFFFF"/>
        <w:spacing w:line="360" w:lineRule="atLeast"/>
        <w:jc w:val="both"/>
        <w:rPr>
          <w:rFonts w:ascii="Arial Narrow" w:hAnsi="Arial Narrow" w:cs="Tahoma"/>
          <w:b/>
          <w:bCs/>
          <w:color w:val="000000"/>
          <w:sz w:val="28"/>
          <w:szCs w:val="28"/>
          <w:lang w:eastAsia="es-CO"/>
        </w:rPr>
      </w:pPr>
    </w:p>
    <w:p w:rsidR="002C3199" w:rsidRPr="002C3199" w:rsidRDefault="002C3199" w:rsidP="002C3199">
      <w:pPr>
        <w:spacing w:line="360" w:lineRule="auto"/>
        <w:ind w:firstLine="851"/>
        <w:jc w:val="both"/>
        <w:rPr>
          <w:rFonts w:ascii="Arial Narrow" w:hAnsi="Arial Narrow" w:cs="Tahoma"/>
          <w:bCs/>
          <w:iCs/>
          <w:sz w:val="28"/>
          <w:szCs w:val="28"/>
        </w:rPr>
      </w:pPr>
      <w:r w:rsidRPr="002C3199">
        <w:rPr>
          <w:rFonts w:ascii="Arial Narrow" w:hAnsi="Arial Narrow" w:cs="Tahoma"/>
          <w:bCs/>
          <w:iCs/>
          <w:sz w:val="28"/>
          <w:szCs w:val="28"/>
        </w:rPr>
        <w:t>Se les concede el uso de la palabra al apoderado de las parte, demanda</w:t>
      </w:r>
      <w:r>
        <w:rPr>
          <w:rFonts w:ascii="Arial Narrow" w:hAnsi="Arial Narrow" w:cs="Tahoma"/>
          <w:bCs/>
          <w:iCs/>
          <w:sz w:val="28"/>
          <w:szCs w:val="28"/>
        </w:rPr>
        <w:t>nte</w:t>
      </w:r>
      <w:r w:rsidRPr="002C3199">
        <w:rPr>
          <w:rFonts w:ascii="Arial Narrow" w:hAnsi="Arial Narrow" w:cs="Tahoma"/>
          <w:bCs/>
          <w:iCs/>
          <w:sz w:val="28"/>
          <w:szCs w:val="28"/>
        </w:rPr>
        <w:t xml:space="preserve">, para si a bien lo tiene, presente alegatos; para el efecto se le concede un término máximo de </w:t>
      </w:r>
      <w:r>
        <w:rPr>
          <w:rFonts w:ascii="Arial Narrow" w:hAnsi="Arial Narrow" w:cs="Tahoma"/>
          <w:bCs/>
          <w:iCs/>
          <w:sz w:val="28"/>
          <w:szCs w:val="28"/>
        </w:rPr>
        <w:t>cinco</w:t>
      </w:r>
      <w:r w:rsidRPr="002C3199">
        <w:rPr>
          <w:rFonts w:ascii="Arial Narrow" w:hAnsi="Arial Narrow" w:cs="Tahoma"/>
          <w:bCs/>
          <w:iCs/>
          <w:sz w:val="28"/>
          <w:szCs w:val="28"/>
        </w:rPr>
        <w:t xml:space="preserve"> (</w:t>
      </w:r>
      <w:r>
        <w:rPr>
          <w:rFonts w:ascii="Arial Narrow" w:hAnsi="Arial Narrow" w:cs="Tahoma"/>
          <w:bCs/>
          <w:iCs/>
          <w:sz w:val="28"/>
          <w:szCs w:val="28"/>
        </w:rPr>
        <w:t>5</w:t>
      </w:r>
      <w:r w:rsidRPr="002C3199">
        <w:rPr>
          <w:rFonts w:ascii="Arial Narrow" w:hAnsi="Arial Narrow" w:cs="Tahoma"/>
          <w:bCs/>
          <w:iCs/>
          <w:sz w:val="28"/>
          <w:szCs w:val="28"/>
        </w:rPr>
        <w:t>) minutos,.-.-.-.-.-.-.-.-.-.-.-.-.-.-.-.-.-.-.-.-.-.-.-.-.-.-.-.-.-</w:t>
      </w:r>
      <w:r>
        <w:rPr>
          <w:rFonts w:ascii="Arial Narrow" w:hAnsi="Arial Narrow" w:cs="Tahoma"/>
          <w:bCs/>
          <w:iCs/>
          <w:sz w:val="28"/>
          <w:szCs w:val="28"/>
        </w:rPr>
        <w:t>.- A continuación se profiere el siguiente:</w:t>
      </w:r>
    </w:p>
    <w:p w:rsidR="002E2859" w:rsidRPr="002C3199" w:rsidRDefault="002E2859" w:rsidP="002E2859">
      <w:pPr>
        <w:shd w:val="clear" w:color="auto" w:fill="FFFFFF"/>
        <w:ind w:firstLine="708"/>
        <w:jc w:val="both"/>
        <w:rPr>
          <w:rFonts w:ascii="Arial Narrow" w:hAnsi="Arial Narrow" w:cs="Arial"/>
          <w:bCs/>
          <w:iCs/>
          <w:sz w:val="28"/>
          <w:szCs w:val="28"/>
        </w:rPr>
      </w:pPr>
    </w:p>
    <w:p w:rsidR="00D54B52" w:rsidRDefault="00D54B52" w:rsidP="00F51DB2">
      <w:pPr>
        <w:shd w:val="clear" w:color="auto" w:fill="FFFFFF"/>
        <w:spacing w:line="360" w:lineRule="auto"/>
        <w:ind w:firstLine="708"/>
        <w:jc w:val="both"/>
        <w:rPr>
          <w:rFonts w:ascii="Arial Narrow" w:hAnsi="Arial Narrow" w:cs="Arial"/>
          <w:bCs/>
          <w:iCs/>
          <w:sz w:val="28"/>
          <w:szCs w:val="28"/>
        </w:rPr>
      </w:pPr>
    </w:p>
    <w:p w:rsidR="00F906A1" w:rsidRDefault="00F906A1" w:rsidP="00F906A1">
      <w:pPr>
        <w:pStyle w:val="Ttulo"/>
        <w:rPr>
          <w:rFonts w:ascii="Arial Narrow" w:hAnsi="Arial Narrow"/>
          <w:sz w:val="30"/>
          <w:szCs w:val="30"/>
        </w:rPr>
      </w:pPr>
      <w:r w:rsidRPr="00DF6F24">
        <w:rPr>
          <w:rFonts w:ascii="Arial Narrow" w:hAnsi="Arial Narrow"/>
          <w:sz w:val="30"/>
          <w:szCs w:val="30"/>
        </w:rPr>
        <w:t>AUTO</w:t>
      </w:r>
    </w:p>
    <w:p w:rsidR="00F906A1" w:rsidRPr="00DF6F24" w:rsidRDefault="00F906A1" w:rsidP="00F906A1">
      <w:pPr>
        <w:spacing w:line="360" w:lineRule="auto"/>
        <w:ind w:firstLine="840"/>
        <w:jc w:val="both"/>
        <w:rPr>
          <w:rFonts w:ascii="Arial Narrow" w:hAnsi="Arial Narrow" w:cs="Arial"/>
          <w:sz w:val="30"/>
          <w:szCs w:val="30"/>
        </w:rPr>
      </w:pPr>
      <w:r w:rsidRPr="00DF6F24">
        <w:rPr>
          <w:rFonts w:ascii="Arial Narrow" w:hAnsi="Arial Narrow" w:cs="Arial"/>
          <w:b/>
          <w:sz w:val="30"/>
          <w:szCs w:val="30"/>
        </w:rPr>
        <w:t>I. ANTECEDENTES</w:t>
      </w:r>
    </w:p>
    <w:p w:rsidR="00F906A1" w:rsidRPr="00DF6F24" w:rsidRDefault="00F906A1" w:rsidP="00F906A1">
      <w:pPr>
        <w:spacing w:line="360" w:lineRule="auto"/>
        <w:jc w:val="both"/>
        <w:rPr>
          <w:rFonts w:ascii="Arial Narrow" w:hAnsi="Arial Narrow" w:cs="Arial"/>
          <w:sz w:val="30"/>
          <w:szCs w:val="30"/>
        </w:rPr>
      </w:pPr>
    </w:p>
    <w:p w:rsidR="00F906A1" w:rsidRDefault="00F906A1" w:rsidP="00F906A1">
      <w:pPr>
        <w:shd w:val="clear" w:color="auto" w:fill="FFFFFF"/>
        <w:spacing w:line="360" w:lineRule="auto"/>
        <w:ind w:firstLine="567"/>
        <w:jc w:val="both"/>
        <w:rPr>
          <w:rFonts w:ascii="Arial Narrow" w:hAnsi="Arial Narrow" w:cs="Tahoma"/>
          <w:bCs/>
          <w:color w:val="000000"/>
          <w:sz w:val="29"/>
          <w:szCs w:val="29"/>
        </w:rPr>
      </w:pPr>
      <w:r w:rsidRPr="00FA4EBE">
        <w:rPr>
          <w:rFonts w:ascii="Arial Narrow" w:hAnsi="Arial Narrow" w:cs="Tahoma"/>
          <w:bCs/>
          <w:color w:val="000000"/>
          <w:sz w:val="29"/>
          <w:szCs w:val="29"/>
        </w:rPr>
        <w:t xml:space="preserve">El señor </w:t>
      </w:r>
      <w:r>
        <w:rPr>
          <w:rFonts w:ascii="Arial Narrow" w:hAnsi="Arial Narrow" w:cs="Tahoma"/>
          <w:b/>
          <w:bCs/>
          <w:color w:val="000000"/>
          <w:sz w:val="29"/>
          <w:szCs w:val="29"/>
        </w:rPr>
        <w:t>ANCÍZAR GARCÍA ÁLVAREZ</w:t>
      </w:r>
      <w:r w:rsidRPr="00FA4EBE">
        <w:rPr>
          <w:rFonts w:ascii="Arial Narrow" w:hAnsi="Arial Narrow" w:cs="Tahoma"/>
          <w:bCs/>
          <w:color w:val="000000"/>
          <w:sz w:val="29"/>
          <w:szCs w:val="29"/>
        </w:rPr>
        <w:t xml:space="preserve"> instauró demanda Ordinaria Laboral en contra de</w:t>
      </w:r>
      <w:r>
        <w:rPr>
          <w:rFonts w:ascii="Arial Narrow" w:hAnsi="Arial Narrow" w:cs="Tahoma"/>
          <w:bCs/>
          <w:color w:val="000000"/>
          <w:sz w:val="29"/>
          <w:szCs w:val="29"/>
        </w:rPr>
        <w:t xml:space="preserve"> la</w:t>
      </w:r>
      <w:r w:rsidRPr="00FA4EBE">
        <w:rPr>
          <w:rFonts w:ascii="Arial Narrow" w:hAnsi="Arial Narrow" w:cs="Tahoma"/>
          <w:bCs/>
          <w:color w:val="000000"/>
          <w:sz w:val="29"/>
          <w:szCs w:val="29"/>
        </w:rPr>
        <w:t xml:space="preserve"> </w:t>
      </w:r>
      <w:r>
        <w:rPr>
          <w:rFonts w:ascii="Arial Narrow" w:hAnsi="Arial Narrow" w:cs="Tahoma"/>
          <w:b/>
          <w:bCs/>
          <w:color w:val="000000"/>
          <w:sz w:val="29"/>
          <w:szCs w:val="29"/>
        </w:rPr>
        <w:t>ADMINISTRADORA COLOMBIANA DE PENSIONES COLPENSIONES</w:t>
      </w:r>
      <w:r w:rsidRPr="00FA4EBE">
        <w:rPr>
          <w:rFonts w:ascii="Arial Narrow" w:hAnsi="Arial Narrow" w:cs="Tahoma"/>
          <w:bCs/>
          <w:color w:val="000000"/>
          <w:sz w:val="29"/>
          <w:szCs w:val="29"/>
        </w:rPr>
        <w:t xml:space="preserve"> a efectos de </w:t>
      </w:r>
      <w:r>
        <w:rPr>
          <w:rFonts w:ascii="Arial Narrow" w:hAnsi="Arial Narrow" w:cs="Tahoma"/>
          <w:bCs/>
          <w:color w:val="000000"/>
          <w:sz w:val="29"/>
          <w:szCs w:val="29"/>
        </w:rPr>
        <w:t xml:space="preserve">que se reconozca y pague a su favor, el retroactivo pensional a partir del 21 de enero de 2.011, fecha en la cual, cumplió a cabalidad los requisitos para la pensión de vejez y hasta el 1º de noviembre de 2.011, fecha en la cual le fue reconocida, incluyendo las mesadas adicionales, con sus respectivos intereses y las costas procesales. Subsidiariamente, solicita que en caso de no salir airosa la pretensión de intereses moratorios, le sea reconocida la indexación de la condena. </w:t>
      </w:r>
    </w:p>
    <w:p w:rsidR="00F906A1" w:rsidRDefault="00F906A1" w:rsidP="00F906A1">
      <w:pPr>
        <w:shd w:val="clear" w:color="auto" w:fill="FFFFFF"/>
        <w:spacing w:line="360" w:lineRule="auto"/>
        <w:ind w:firstLine="567"/>
        <w:jc w:val="both"/>
        <w:rPr>
          <w:rFonts w:ascii="Arial Narrow" w:hAnsi="Arial Narrow" w:cs="Tahoma"/>
          <w:bCs/>
          <w:color w:val="000000"/>
          <w:sz w:val="29"/>
          <w:szCs w:val="29"/>
        </w:rPr>
      </w:pPr>
    </w:p>
    <w:p w:rsidR="00F906A1" w:rsidRDefault="00F906A1" w:rsidP="00F906A1">
      <w:pPr>
        <w:shd w:val="clear" w:color="auto" w:fill="FFFFFF"/>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Al reunir los requisitos formales del artículo 25 del CPTSS, mediante auto del 15 de febrero de 2.013, la juez de primera instancia admitió la demanda, corriendo el respectivo traslado a la demandada, quien quedó notificada el 18 de febrero de 2.013 (Fl. 29). </w:t>
      </w:r>
    </w:p>
    <w:p w:rsidR="00F906A1" w:rsidRDefault="00F906A1" w:rsidP="00F906A1">
      <w:pPr>
        <w:shd w:val="clear" w:color="auto" w:fill="FFFFFF"/>
        <w:spacing w:line="360" w:lineRule="auto"/>
        <w:ind w:firstLine="567"/>
        <w:jc w:val="both"/>
        <w:rPr>
          <w:rFonts w:ascii="Arial Narrow" w:hAnsi="Arial Narrow" w:cs="Tahoma"/>
          <w:bCs/>
          <w:color w:val="000000"/>
          <w:sz w:val="29"/>
          <w:szCs w:val="29"/>
        </w:rPr>
      </w:pPr>
    </w:p>
    <w:p w:rsidR="00F906A1" w:rsidRPr="00236DC6" w:rsidRDefault="00F906A1" w:rsidP="00F906A1">
      <w:pPr>
        <w:spacing w:line="360" w:lineRule="auto"/>
        <w:ind w:firstLine="567"/>
        <w:jc w:val="both"/>
        <w:rPr>
          <w:rFonts w:ascii="Arial Narrow" w:hAnsi="Arial Narrow" w:cs="Tahoma"/>
          <w:bCs/>
          <w:color w:val="000000"/>
          <w:sz w:val="29"/>
          <w:szCs w:val="29"/>
        </w:rPr>
      </w:pPr>
      <w:r w:rsidRPr="00236DC6">
        <w:rPr>
          <w:rFonts w:ascii="Arial Narrow" w:hAnsi="Arial Narrow" w:cs="Tahoma"/>
          <w:bCs/>
          <w:color w:val="000000"/>
          <w:sz w:val="29"/>
          <w:szCs w:val="29"/>
        </w:rPr>
        <w:t xml:space="preserve">De igual forma, amparada en el artículo 41 de la ley 712 de 2001 ordenó vincular y notificar </w:t>
      </w:r>
      <w:r>
        <w:rPr>
          <w:rFonts w:ascii="Arial Narrow" w:hAnsi="Arial Narrow" w:cs="Tahoma"/>
          <w:bCs/>
          <w:color w:val="000000"/>
          <w:sz w:val="29"/>
          <w:szCs w:val="29"/>
        </w:rPr>
        <w:t>d</w:t>
      </w:r>
      <w:r w:rsidRPr="00236DC6">
        <w:rPr>
          <w:rFonts w:ascii="Arial Narrow" w:hAnsi="Arial Narrow" w:cs="Tahoma"/>
          <w:bCs/>
          <w:color w:val="000000"/>
          <w:sz w:val="29"/>
          <w:szCs w:val="29"/>
        </w:rPr>
        <w:t>el auto admisorio</w:t>
      </w:r>
      <w:r>
        <w:rPr>
          <w:rFonts w:ascii="Arial Narrow" w:hAnsi="Arial Narrow" w:cs="Tahoma"/>
          <w:bCs/>
          <w:color w:val="000000"/>
          <w:sz w:val="29"/>
          <w:szCs w:val="29"/>
        </w:rPr>
        <w:t>,</w:t>
      </w:r>
      <w:r w:rsidRPr="00236DC6">
        <w:rPr>
          <w:rFonts w:ascii="Arial Narrow" w:hAnsi="Arial Narrow" w:cs="Tahoma"/>
          <w:bCs/>
          <w:color w:val="000000"/>
          <w:sz w:val="29"/>
          <w:szCs w:val="29"/>
        </w:rPr>
        <w:t xml:space="preserve"> a la Agencia Nacional de Defensa Jurídica del Estado (fl.</w:t>
      </w:r>
      <w:r>
        <w:rPr>
          <w:rFonts w:ascii="Arial Narrow" w:hAnsi="Arial Narrow" w:cs="Tahoma"/>
          <w:bCs/>
          <w:color w:val="000000"/>
          <w:sz w:val="29"/>
          <w:szCs w:val="29"/>
        </w:rPr>
        <w:t>27 y 28</w:t>
      </w:r>
      <w:r w:rsidRPr="00236DC6">
        <w:rPr>
          <w:rFonts w:ascii="Arial Narrow" w:hAnsi="Arial Narrow" w:cs="Tahoma"/>
          <w:bCs/>
          <w:color w:val="000000"/>
          <w:sz w:val="29"/>
          <w:szCs w:val="29"/>
        </w:rPr>
        <w:t>)</w:t>
      </w:r>
      <w:r>
        <w:rPr>
          <w:rFonts w:ascii="Arial Narrow" w:hAnsi="Arial Narrow" w:cs="Tahoma"/>
          <w:bCs/>
          <w:color w:val="000000"/>
          <w:sz w:val="29"/>
          <w:szCs w:val="29"/>
        </w:rPr>
        <w:t xml:space="preserve">, siéndole notificado el auto admisorio a través de comunicación realizada al correo electrónico </w:t>
      </w:r>
      <w:hyperlink r:id="rId7" w:history="1">
        <w:r w:rsidRPr="00756245">
          <w:rPr>
            <w:rStyle w:val="Hipervnculo"/>
            <w:rFonts w:ascii="Arial Narrow" w:hAnsi="Arial Narrow" w:cs="Tahoma"/>
            <w:bCs/>
            <w:sz w:val="29"/>
            <w:szCs w:val="29"/>
          </w:rPr>
          <w:t>procesos@defensajurídica.gov.co</w:t>
        </w:r>
      </w:hyperlink>
      <w:r w:rsidRPr="00236DC6">
        <w:rPr>
          <w:rFonts w:ascii="Arial Narrow" w:hAnsi="Arial Narrow" w:cs="Tahoma"/>
          <w:bCs/>
          <w:color w:val="000000"/>
          <w:sz w:val="29"/>
          <w:szCs w:val="29"/>
        </w:rPr>
        <w:t>.</w:t>
      </w:r>
      <w:r>
        <w:rPr>
          <w:rFonts w:ascii="Arial Narrow" w:hAnsi="Arial Narrow" w:cs="Tahoma"/>
          <w:bCs/>
          <w:color w:val="000000"/>
          <w:sz w:val="29"/>
          <w:szCs w:val="29"/>
        </w:rPr>
        <w:t xml:space="preserve">, suscrita por la Secretaria de ese despacho judicial (Fl. 31). </w:t>
      </w:r>
    </w:p>
    <w:p w:rsidR="00F906A1" w:rsidRPr="00236DC6" w:rsidRDefault="00F906A1" w:rsidP="00F906A1">
      <w:pPr>
        <w:spacing w:line="360" w:lineRule="auto"/>
        <w:ind w:right="51" w:firstLine="567"/>
        <w:jc w:val="both"/>
        <w:rPr>
          <w:rFonts w:ascii="Arial Narrow" w:hAnsi="Arial Narrow" w:cs="Tahoma"/>
          <w:bCs/>
          <w:color w:val="000000"/>
          <w:sz w:val="29"/>
          <w:szCs w:val="29"/>
        </w:rPr>
      </w:pPr>
    </w:p>
    <w:p w:rsidR="00F906A1" w:rsidRPr="00236DC6" w:rsidRDefault="00F906A1" w:rsidP="00F906A1">
      <w:pPr>
        <w:spacing w:line="360" w:lineRule="auto"/>
        <w:ind w:firstLine="567"/>
        <w:jc w:val="both"/>
        <w:rPr>
          <w:rFonts w:ascii="Arial Narrow" w:hAnsi="Arial Narrow" w:cs="Tahoma"/>
          <w:bCs/>
          <w:color w:val="000000"/>
          <w:sz w:val="29"/>
          <w:szCs w:val="29"/>
        </w:rPr>
      </w:pPr>
      <w:r w:rsidRPr="00236DC6">
        <w:rPr>
          <w:rFonts w:ascii="Arial Narrow" w:hAnsi="Arial Narrow" w:cs="Tahoma"/>
          <w:bCs/>
          <w:color w:val="000000"/>
          <w:sz w:val="29"/>
          <w:szCs w:val="29"/>
        </w:rPr>
        <w:t>Mediante constancia de fecha abril 23 de 2.013 (fl.</w:t>
      </w:r>
      <w:r>
        <w:rPr>
          <w:rFonts w:ascii="Arial Narrow" w:hAnsi="Arial Narrow" w:cs="Tahoma"/>
          <w:bCs/>
          <w:color w:val="000000"/>
          <w:sz w:val="29"/>
          <w:szCs w:val="29"/>
        </w:rPr>
        <w:t>32</w:t>
      </w:r>
      <w:r w:rsidRPr="00236DC6">
        <w:rPr>
          <w:rFonts w:ascii="Arial Narrow" w:hAnsi="Arial Narrow" w:cs="Tahoma"/>
          <w:bCs/>
          <w:color w:val="000000"/>
          <w:sz w:val="29"/>
          <w:szCs w:val="29"/>
        </w:rPr>
        <w:t xml:space="preserve">), la </w:t>
      </w:r>
      <w:r>
        <w:rPr>
          <w:rFonts w:ascii="Arial Narrow" w:hAnsi="Arial Narrow" w:cs="Tahoma"/>
          <w:bCs/>
          <w:color w:val="000000"/>
          <w:sz w:val="29"/>
          <w:szCs w:val="29"/>
        </w:rPr>
        <w:t>Secretaría del juzgado</w:t>
      </w:r>
      <w:r w:rsidRPr="00236DC6">
        <w:rPr>
          <w:rFonts w:ascii="Arial Narrow" w:hAnsi="Arial Narrow" w:cs="Tahoma"/>
          <w:bCs/>
          <w:color w:val="000000"/>
          <w:sz w:val="29"/>
          <w:szCs w:val="29"/>
        </w:rPr>
        <w:t>, contabilizó el término de traslado concedido a</w:t>
      </w:r>
      <w:r>
        <w:rPr>
          <w:rFonts w:ascii="Arial Narrow" w:hAnsi="Arial Narrow" w:cs="Tahoma"/>
          <w:bCs/>
          <w:color w:val="000000"/>
          <w:sz w:val="29"/>
          <w:szCs w:val="29"/>
        </w:rPr>
        <w:t xml:space="preserve"> la Administradora Colombiana de Pensiones</w:t>
      </w:r>
      <w:r w:rsidRPr="00236DC6">
        <w:rPr>
          <w:rFonts w:ascii="Arial Narrow" w:hAnsi="Arial Narrow" w:cs="Tahoma"/>
          <w:bCs/>
          <w:color w:val="000000"/>
          <w:sz w:val="29"/>
          <w:szCs w:val="29"/>
        </w:rPr>
        <w:t xml:space="preserve">, el cual dijo haber transcurrido durante los días </w:t>
      </w:r>
      <w:r>
        <w:rPr>
          <w:rFonts w:ascii="Arial Narrow" w:hAnsi="Arial Narrow" w:cs="Tahoma"/>
          <w:bCs/>
          <w:color w:val="000000"/>
          <w:sz w:val="29"/>
          <w:szCs w:val="29"/>
        </w:rPr>
        <w:t xml:space="preserve">4, 5, 6, 7, 8, 11, 12, 13, 14 y </w:t>
      </w:r>
      <w:r w:rsidRPr="00236DC6">
        <w:rPr>
          <w:rFonts w:ascii="Arial Narrow" w:hAnsi="Arial Narrow" w:cs="Tahoma"/>
          <w:bCs/>
          <w:color w:val="000000"/>
          <w:sz w:val="29"/>
          <w:szCs w:val="29"/>
        </w:rPr>
        <w:t>15 de marzo</w:t>
      </w:r>
      <w:r>
        <w:rPr>
          <w:rFonts w:ascii="Arial Narrow" w:hAnsi="Arial Narrow" w:cs="Tahoma"/>
          <w:bCs/>
          <w:color w:val="000000"/>
          <w:sz w:val="29"/>
          <w:szCs w:val="29"/>
        </w:rPr>
        <w:t xml:space="preserve"> de 2.013,</w:t>
      </w:r>
      <w:r w:rsidRPr="00236DC6">
        <w:rPr>
          <w:rFonts w:ascii="Arial Narrow" w:hAnsi="Arial Narrow" w:cs="Tahoma"/>
          <w:bCs/>
          <w:color w:val="000000"/>
          <w:sz w:val="29"/>
          <w:szCs w:val="29"/>
        </w:rPr>
        <w:t xml:space="preserve"> y mediante proveído del 23 de abril de 2.013 (fl. </w:t>
      </w:r>
      <w:r>
        <w:rPr>
          <w:rFonts w:ascii="Arial Narrow" w:hAnsi="Arial Narrow" w:cs="Tahoma"/>
          <w:bCs/>
          <w:color w:val="000000"/>
          <w:sz w:val="29"/>
          <w:szCs w:val="29"/>
        </w:rPr>
        <w:t>33</w:t>
      </w:r>
      <w:r w:rsidRPr="00236DC6">
        <w:rPr>
          <w:rFonts w:ascii="Arial Narrow" w:hAnsi="Arial Narrow" w:cs="Tahoma"/>
          <w:bCs/>
          <w:color w:val="000000"/>
          <w:sz w:val="29"/>
          <w:szCs w:val="29"/>
        </w:rPr>
        <w:t xml:space="preserve">), </w:t>
      </w:r>
      <w:r>
        <w:rPr>
          <w:rFonts w:ascii="Arial Narrow" w:hAnsi="Arial Narrow" w:cs="Tahoma"/>
          <w:bCs/>
          <w:color w:val="000000"/>
          <w:sz w:val="29"/>
          <w:szCs w:val="29"/>
        </w:rPr>
        <w:t xml:space="preserve">la a-quo </w:t>
      </w:r>
      <w:r w:rsidRPr="00236DC6">
        <w:rPr>
          <w:rFonts w:ascii="Arial Narrow" w:hAnsi="Arial Narrow" w:cs="Tahoma"/>
          <w:bCs/>
          <w:color w:val="000000"/>
          <w:sz w:val="29"/>
          <w:szCs w:val="29"/>
        </w:rPr>
        <w:t xml:space="preserve">optó por </w:t>
      </w:r>
      <w:r>
        <w:rPr>
          <w:rFonts w:ascii="Arial Narrow" w:hAnsi="Arial Narrow" w:cs="Tahoma"/>
          <w:bCs/>
          <w:color w:val="000000"/>
          <w:sz w:val="29"/>
          <w:szCs w:val="29"/>
        </w:rPr>
        <w:t xml:space="preserve">no </w:t>
      </w:r>
      <w:r w:rsidRPr="00236DC6">
        <w:rPr>
          <w:rFonts w:ascii="Arial Narrow" w:hAnsi="Arial Narrow" w:cs="Tahoma"/>
          <w:bCs/>
          <w:color w:val="000000"/>
          <w:sz w:val="29"/>
          <w:szCs w:val="29"/>
        </w:rPr>
        <w:t>tener como contestada la demanda, imponiéndole</w:t>
      </w:r>
      <w:r>
        <w:rPr>
          <w:rFonts w:ascii="Arial Narrow" w:hAnsi="Arial Narrow" w:cs="Tahoma"/>
          <w:bCs/>
          <w:color w:val="000000"/>
          <w:sz w:val="29"/>
          <w:szCs w:val="29"/>
        </w:rPr>
        <w:t xml:space="preserve"> a esa entidad,</w:t>
      </w:r>
      <w:r w:rsidRPr="00236DC6">
        <w:rPr>
          <w:rFonts w:ascii="Arial Narrow" w:hAnsi="Arial Narrow" w:cs="Tahoma"/>
          <w:bCs/>
          <w:color w:val="000000"/>
          <w:sz w:val="29"/>
          <w:szCs w:val="29"/>
        </w:rPr>
        <w:t xml:space="preserve"> la sanción procesal prevista en el parágrafo 2º del artículo 31 del C.P.T. y la S.S</w:t>
      </w:r>
      <w:r>
        <w:rPr>
          <w:rFonts w:ascii="Arial Narrow" w:hAnsi="Arial Narrow" w:cs="Tahoma"/>
          <w:bCs/>
          <w:color w:val="000000"/>
          <w:sz w:val="29"/>
          <w:szCs w:val="29"/>
        </w:rPr>
        <w:t>,</w:t>
      </w:r>
      <w:r w:rsidRPr="00236DC6">
        <w:rPr>
          <w:rFonts w:ascii="Arial Narrow" w:hAnsi="Arial Narrow" w:cs="Tahoma"/>
          <w:bCs/>
          <w:color w:val="000000"/>
          <w:sz w:val="29"/>
          <w:szCs w:val="29"/>
        </w:rPr>
        <w:t xml:space="preserve"> </w:t>
      </w:r>
      <w:r>
        <w:rPr>
          <w:rFonts w:ascii="Arial Narrow" w:hAnsi="Arial Narrow" w:cs="Tahoma"/>
          <w:bCs/>
          <w:color w:val="000000"/>
          <w:sz w:val="29"/>
          <w:szCs w:val="29"/>
        </w:rPr>
        <w:t>ordenando</w:t>
      </w:r>
      <w:r w:rsidRPr="00236DC6">
        <w:rPr>
          <w:rFonts w:ascii="Arial Narrow" w:hAnsi="Arial Narrow" w:cs="Tahoma"/>
          <w:bCs/>
          <w:color w:val="000000"/>
          <w:sz w:val="29"/>
          <w:szCs w:val="29"/>
        </w:rPr>
        <w:t xml:space="preserve"> continuar con el trámite correspondiente.</w:t>
      </w:r>
    </w:p>
    <w:p w:rsidR="00F906A1" w:rsidRPr="00236DC6" w:rsidRDefault="00F906A1" w:rsidP="00F906A1">
      <w:pPr>
        <w:spacing w:line="360" w:lineRule="auto"/>
        <w:ind w:firstLine="567"/>
        <w:jc w:val="both"/>
        <w:rPr>
          <w:rFonts w:ascii="Arial Narrow" w:hAnsi="Arial Narrow" w:cs="Tahoma"/>
          <w:bCs/>
          <w:color w:val="000000"/>
          <w:sz w:val="29"/>
          <w:szCs w:val="29"/>
        </w:rPr>
      </w:pPr>
    </w:p>
    <w:p w:rsidR="00F906A1" w:rsidRPr="00236DC6"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Posteriormente, l</w:t>
      </w:r>
      <w:r w:rsidRPr="00236DC6">
        <w:rPr>
          <w:rFonts w:ascii="Arial Narrow" w:hAnsi="Arial Narrow" w:cs="Tahoma"/>
          <w:bCs/>
          <w:color w:val="000000"/>
          <w:sz w:val="29"/>
          <w:szCs w:val="29"/>
        </w:rPr>
        <w:t>a demandada, constituyó apoderado judicial,</w:t>
      </w:r>
      <w:r>
        <w:rPr>
          <w:rFonts w:ascii="Arial Narrow" w:hAnsi="Arial Narrow" w:cs="Tahoma"/>
          <w:bCs/>
          <w:color w:val="000000"/>
          <w:sz w:val="29"/>
          <w:szCs w:val="29"/>
        </w:rPr>
        <w:t xml:space="preserve"> contestó el libelo el </w:t>
      </w:r>
      <w:r w:rsidRPr="00236DC6">
        <w:rPr>
          <w:rFonts w:ascii="Arial Narrow" w:hAnsi="Arial Narrow" w:cs="Tahoma"/>
          <w:bCs/>
          <w:color w:val="000000"/>
          <w:sz w:val="29"/>
          <w:szCs w:val="29"/>
        </w:rPr>
        <w:t>25 de abril de 2.013 (fl. 3</w:t>
      </w:r>
      <w:r>
        <w:rPr>
          <w:rFonts w:ascii="Arial Narrow" w:hAnsi="Arial Narrow" w:cs="Tahoma"/>
          <w:bCs/>
          <w:color w:val="000000"/>
          <w:sz w:val="29"/>
          <w:szCs w:val="29"/>
        </w:rPr>
        <w:t>8</w:t>
      </w:r>
      <w:r w:rsidRPr="00236DC6">
        <w:rPr>
          <w:rFonts w:ascii="Arial Narrow" w:hAnsi="Arial Narrow" w:cs="Tahoma"/>
          <w:bCs/>
          <w:color w:val="000000"/>
          <w:sz w:val="29"/>
          <w:szCs w:val="29"/>
        </w:rPr>
        <w:t xml:space="preserve"> a </w:t>
      </w:r>
      <w:r>
        <w:rPr>
          <w:rFonts w:ascii="Arial Narrow" w:hAnsi="Arial Narrow" w:cs="Tahoma"/>
          <w:bCs/>
          <w:color w:val="000000"/>
          <w:sz w:val="29"/>
          <w:szCs w:val="29"/>
        </w:rPr>
        <w:t>41</w:t>
      </w:r>
      <w:r w:rsidRPr="00236DC6">
        <w:rPr>
          <w:rFonts w:ascii="Arial Narrow" w:hAnsi="Arial Narrow" w:cs="Tahoma"/>
          <w:bCs/>
          <w:color w:val="000000"/>
          <w:sz w:val="29"/>
          <w:szCs w:val="29"/>
        </w:rPr>
        <w:t>)</w:t>
      </w:r>
      <w:r>
        <w:rPr>
          <w:rFonts w:ascii="Arial Narrow" w:hAnsi="Arial Narrow" w:cs="Tahoma"/>
          <w:bCs/>
          <w:color w:val="000000"/>
          <w:sz w:val="29"/>
          <w:szCs w:val="29"/>
        </w:rPr>
        <w:t>;</w:t>
      </w:r>
      <w:r w:rsidRPr="00236DC6">
        <w:rPr>
          <w:rFonts w:ascii="Arial Narrow" w:hAnsi="Arial Narrow" w:cs="Tahoma"/>
          <w:bCs/>
          <w:color w:val="000000"/>
          <w:sz w:val="29"/>
          <w:szCs w:val="29"/>
        </w:rPr>
        <w:t xml:space="preserve"> y</w:t>
      </w:r>
      <w:r>
        <w:rPr>
          <w:rFonts w:ascii="Arial Narrow" w:hAnsi="Arial Narrow" w:cs="Tahoma"/>
          <w:bCs/>
          <w:color w:val="000000"/>
          <w:sz w:val="29"/>
          <w:szCs w:val="29"/>
        </w:rPr>
        <w:t xml:space="preserve"> nuevamente se</w:t>
      </w:r>
      <w:r w:rsidRPr="00236DC6">
        <w:rPr>
          <w:rFonts w:ascii="Arial Narrow" w:hAnsi="Arial Narrow" w:cs="Tahoma"/>
          <w:bCs/>
          <w:color w:val="000000"/>
          <w:sz w:val="29"/>
          <w:szCs w:val="29"/>
        </w:rPr>
        <w:t xml:space="preserve"> tuvo por no contestada</w:t>
      </w:r>
      <w:r>
        <w:rPr>
          <w:rFonts w:ascii="Arial Narrow" w:hAnsi="Arial Narrow" w:cs="Tahoma"/>
          <w:bCs/>
          <w:color w:val="000000"/>
          <w:sz w:val="29"/>
          <w:szCs w:val="29"/>
        </w:rPr>
        <w:t>, por lo que recurrió en alzada</w:t>
      </w:r>
      <w:r w:rsidRPr="00236DC6">
        <w:rPr>
          <w:rFonts w:ascii="Arial Narrow" w:hAnsi="Arial Narrow" w:cs="Tahoma"/>
          <w:bCs/>
          <w:color w:val="000000"/>
          <w:sz w:val="29"/>
          <w:szCs w:val="29"/>
        </w:rPr>
        <w:t xml:space="preserve">, argumentando que el término de traslado debió contabilizarse a partir de la fecha en que se perfeccionó la notificación a </w:t>
      </w:r>
      <w:r>
        <w:rPr>
          <w:rFonts w:ascii="Arial Narrow" w:hAnsi="Arial Narrow" w:cs="Tahoma"/>
          <w:bCs/>
          <w:color w:val="000000"/>
          <w:sz w:val="29"/>
          <w:szCs w:val="29"/>
        </w:rPr>
        <w:t>la Agencia nacional de Defensa J</w:t>
      </w:r>
      <w:r w:rsidRPr="00236DC6">
        <w:rPr>
          <w:rFonts w:ascii="Arial Narrow" w:hAnsi="Arial Narrow" w:cs="Tahoma"/>
          <w:bCs/>
          <w:color w:val="000000"/>
          <w:sz w:val="29"/>
          <w:szCs w:val="29"/>
        </w:rPr>
        <w:t xml:space="preserve">urídica del Estado tal y como lo establece el artículo 612 del CGP. </w:t>
      </w:r>
    </w:p>
    <w:p w:rsidR="00F906A1" w:rsidRDefault="00F906A1" w:rsidP="00F906A1">
      <w:pPr>
        <w:spacing w:line="360" w:lineRule="auto"/>
        <w:ind w:right="51"/>
        <w:jc w:val="both"/>
        <w:rPr>
          <w:rFonts w:ascii="Arial" w:hAnsi="Arial" w:cs="Arial"/>
          <w:lang w:val="es-ES_tradnl"/>
        </w:rPr>
      </w:pPr>
    </w:p>
    <w:p w:rsidR="00F906A1" w:rsidRPr="00236DC6" w:rsidRDefault="00F906A1" w:rsidP="00F906A1">
      <w:pPr>
        <w:keepNext/>
        <w:spacing w:line="360" w:lineRule="auto"/>
        <w:ind w:left="360"/>
        <w:outlineLvl w:val="7"/>
        <w:rPr>
          <w:rFonts w:ascii="Arial Narrow" w:hAnsi="Arial Narrow" w:cs="Tahoma"/>
          <w:b/>
          <w:bCs/>
          <w:color w:val="000000"/>
          <w:sz w:val="29"/>
          <w:szCs w:val="29"/>
        </w:rPr>
      </w:pPr>
      <w:r>
        <w:rPr>
          <w:rFonts w:ascii="Arial Narrow" w:hAnsi="Arial Narrow" w:cs="Tahoma"/>
          <w:b/>
          <w:bCs/>
          <w:color w:val="000000"/>
          <w:sz w:val="29"/>
          <w:szCs w:val="29"/>
        </w:rPr>
        <w:t xml:space="preserve">II. </w:t>
      </w:r>
      <w:r w:rsidRPr="00236DC6">
        <w:rPr>
          <w:rFonts w:ascii="Arial Narrow" w:hAnsi="Arial Narrow" w:cs="Tahoma"/>
          <w:b/>
          <w:bCs/>
          <w:color w:val="000000"/>
          <w:sz w:val="29"/>
          <w:szCs w:val="29"/>
        </w:rPr>
        <w:t>CONSIDERACIONES</w:t>
      </w:r>
    </w:p>
    <w:p w:rsidR="00F906A1" w:rsidRDefault="00F906A1" w:rsidP="00F906A1">
      <w:pPr>
        <w:spacing w:line="360" w:lineRule="auto"/>
        <w:jc w:val="both"/>
        <w:rPr>
          <w:rFonts w:ascii="Arial" w:hAnsi="Arial" w:cs="Arial"/>
          <w:lang w:val="es-ES_tradnl"/>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Por supuesto que yerra la funcionaria de primer grado, al no tomar en cuenta que la parte pasiva de esta contención está integrada por dos personas jurídicas de derecho público, y en esas condiciones para el conteo respectivo del término del traslado de la demanda, ha debido reparar las previsiones del ordenamiento civil, reiteradas en el antepenúltimo inciso del artículo 612 de la Ley 1564 de 2.012 que modificó el artículo 199 del Código del enjuiciamiento civil. </w:t>
      </w: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Se dice que la parte demandada, no solo está integrada por Colpensiones, sino también por la Agencia Nacional de Defensa Jurídica del Estado, dada la obligación impuesta a los operadores jurídicos de notificar personalmente a dicho ente, del auto admisorio y del mandamiento de pago, en los procesos instaurados ante cualquier jurisdicción, en donde sea demandada una entidad pública (penúltimo inciso art. 612 / Ley 1564 de 2.012), y que a dicha agencia se le notificará de la misma manera a que se refiere el mentado canon para la parte demandada (inciso in fine).</w:t>
      </w: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Esto es, a través de mensaje dirigido al buzón electrónico para notificaciones judiciales, en el que se deberá identificar, la notificación que se realiza y contener copia de la providencia a notificar y de la demanda. </w:t>
      </w: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Igualmente, la precitada normativa establece, la presunción de haberse perfeccionado la notificación, cuando el receptor acusa el recibo de la misma, o se </w:t>
      </w:r>
      <w:r>
        <w:rPr>
          <w:rFonts w:ascii="Arial Narrow" w:hAnsi="Arial Narrow" w:cs="Tahoma"/>
          <w:bCs/>
          <w:color w:val="000000"/>
          <w:sz w:val="29"/>
          <w:szCs w:val="29"/>
        </w:rPr>
        <w:lastRenderedPageBreak/>
        <w:t xml:space="preserve">pueda constatar por otro medio, el acceso del destinatario al mensaje. </w:t>
      </w: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Pr="007843BE" w:rsidRDefault="00F906A1" w:rsidP="00F906A1">
      <w:pPr>
        <w:widowControl w:val="0"/>
        <w:autoSpaceDE w:val="0"/>
        <w:autoSpaceDN w:val="0"/>
        <w:adjustRightInd w:val="0"/>
        <w:ind w:left="1134"/>
        <w:jc w:val="both"/>
        <w:rPr>
          <w:rFonts w:ascii="Arial Narrow" w:hAnsi="Arial Narrow" w:cs="Tahoma"/>
          <w:bCs/>
          <w:color w:val="000000"/>
        </w:rPr>
      </w:pPr>
      <w:r w:rsidRPr="007843BE">
        <w:rPr>
          <w:rFonts w:ascii="Arial Narrow" w:hAnsi="Arial Narrow" w:cs="Tahoma"/>
          <w:bCs/>
          <w:color w:val="000000"/>
        </w:rPr>
        <w:t>“En este evento, las copias de la demanda y de sus anexos quedarán en la secretaría a disposición del notificado y el traslado o los términos que conceda el auto notificado, sólo comenzarán a correr al vencimiento del término común de veinticinco (25) días después de surtida la última notificación. Deberá remitirse de manera inmediata y a través del servicio postal autorizado, copia de la demanda, de sus anexos y del auto admisorio, sin perjuicio de las copias que deban quedar en el expediente a su disposición de conformidad con lo establecido en este inciso”.</w:t>
      </w:r>
      <w:r>
        <w:rPr>
          <w:rFonts w:ascii="Arial Narrow" w:hAnsi="Arial Narrow" w:cs="Tahoma"/>
          <w:bCs/>
          <w:color w:val="000000"/>
        </w:rPr>
        <w:t xml:space="preserve"> (Antepenúltimo inciso artículo 612 L.1564/12)</w:t>
      </w:r>
      <w:r w:rsidRPr="007843BE">
        <w:rPr>
          <w:rFonts w:ascii="Arial Narrow" w:hAnsi="Arial Narrow" w:cs="Tahoma"/>
          <w:bCs/>
          <w:color w:val="000000"/>
        </w:rPr>
        <w:t xml:space="preserve"> </w:t>
      </w: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Son oportunas las referencias hechas por la nueva Ley de 2.012 para la notificación de la Agencia de Defensa Jurídica del Estado, a las cuales se reitera, se le hace por medio de un mensaje al buzón electrónico, contentivo de la pieza a notificar y la transmisión de sendas copias de la providencia y de la demanda, al que deberá darse acuse de recibo por parte del destinatario. </w:t>
      </w: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Obviamente, que si aún no se dispone del recurso tecnológico de que trata la nueva Ley, la notificación se seguirá surtiendo conforme a lo previsto en el artículo 41 del CPTSS, máxime cuando no se acusa el recibo del mensaje electrónico, al que se deberá agregar, el término de comparecencia de 25 días para la Agencia. </w:t>
      </w: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En estas condiciones, cuando la notificación se hubiera realizado siguiendo los parámetros del citado artículo 41, parágrafo, inciso 2º y 3º, se entenderá surtida después de cinco (5) días de la fecha de la correspondiente diligencia. (Penúltimo inciso. artículo 41 CPT y de la SS). </w:t>
      </w: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Desde luego, que como los términos corren de manera común y no individual para cada accionada, es necesario esperar que le corran los 25 días a la Agencia de Defensa Jurídica del Estado, para ahí sí, empezar a contar los del traslado del auto admisorio. </w:t>
      </w: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Como quiera que los términos de comparecencia y de notificación a la Agencia de Defensa Jurídica del Estado son mas largos que los dispuestos a COLPENSIONES, la notificación común se perfeccionará una vez realizada la de la </w:t>
      </w:r>
      <w:r>
        <w:rPr>
          <w:rFonts w:ascii="Arial Narrow" w:hAnsi="Arial Narrow" w:cs="Tahoma"/>
          <w:bCs/>
          <w:color w:val="000000"/>
          <w:sz w:val="29"/>
          <w:szCs w:val="29"/>
        </w:rPr>
        <w:lastRenderedPageBreak/>
        <w:t xml:space="preserve">primera.    </w:t>
      </w:r>
    </w:p>
    <w:p w:rsidR="00F906A1" w:rsidRPr="00DE2506" w:rsidRDefault="00F906A1" w:rsidP="00F906A1">
      <w:pPr>
        <w:spacing w:line="360" w:lineRule="auto"/>
        <w:jc w:val="both"/>
        <w:rPr>
          <w:rFonts w:ascii="Arial" w:hAnsi="Arial" w:cs="Arial"/>
        </w:rPr>
      </w:pPr>
    </w:p>
    <w:p w:rsidR="00F906A1" w:rsidRPr="00236DC6" w:rsidRDefault="00F906A1" w:rsidP="00F906A1">
      <w:pPr>
        <w:spacing w:line="360" w:lineRule="auto"/>
        <w:ind w:firstLine="567"/>
        <w:jc w:val="both"/>
        <w:rPr>
          <w:rFonts w:ascii="Arial Narrow" w:hAnsi="Arial Narrow" w:cs="Tahoma"/>
          <w:b/>
          <w:bCs/>
          <w:color w:val="000000"/>
          <w:sz w:val="29"/>
          <w:szCs w:val="29"/>
        </w:rPr>
      </w:pPr>
      <w:r>
        <w:rPr>
          <w:rFonts w:ascii="Arial Narrow" w:hAnsi="Arial Narrow" w:cs="Tahoma"/>
          <w:b/>
          <w:bCs/>
          <w:color w:val="000000"/>
          <w:sz w:val="29"/>
          <w:szCs w:val="29"/>
        </w:rPr>
        <w:t xml:space="preserve">III. </w:t>
      </w:r>
      <w:r w:rsidRPr="00236DC6">
        <w:rPr>
          <w:rFonts w:ascii="Arial Narrow" w:hAnsi="Arial Narrow" w:cs="Tahoma"/>
          <w:b/>
          <w:bCs/>
          <w:color w:val="000000"/>
          <w:sz w:val="29"/>
          <w:szCs w:val="29"/>
        </w:rPr>
        <w:t>CASO CONCRETO</w:t>
      </w:r>
    </w:p>
    <w:p w:rsidR="00F906A1" w:rsidRPr="00236DC6" w:rsidRDefault="00F906A1" w:rsidP="00F906A1">
      <w:pPr>
        <w:spacing w:line="360" w:lineRule="auto"/>
        <w:jc w:val="both"/>
        <w:rPr>
          <w:rFonts w:ascii="Arial Narrow" w:hAnsi="Arial Narrow" w:cs="Tahoma"/>
          <w:bCs/>
          <w:color w:val="000000"/>
          <w:sz w:val="29"/>
          <w:szCs w:val="29"/>
        </w:rPr>
      </w:pP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Confrontadas ambas notificaciones, a Colpensiones y a la Agencia de Defensa Jurídica del Estado, en orden a establecer si se hicieron en forma paralela o en distintos días, se tiene:</w:t>
      </w:r>
    </w:p>
    <w:p w:rsidR="00F906A1" w:rsidRDefault="00F906A1" w:rsidP="00F906A1">
      <w:pPr>
        <w:spacing w:line="360" w:lineRule="auto"/>
        <w:jc w:val="both"/>
        <w:rPr>
          <w:rFonts w:ascii="Arial Narrow" w:hAnsi="Arial Narrow" w:cs="Tahoma"/>
          <w:bCs/>
          <w:color w:val="000000"/>
          <w:sz w:val="29"/>
          <w:szCs w:val="29"/>
        </w:rPr>
      </w:pPr>
      <w:r>
        <w:rPr>
          <w:rFonts w:ascii="Arial Narrow" w:hAnsi="Arial Narrow" w:cs="Tahoma"/>
          <w:bCs/>
          <w:color w:val="000000"/>
          <w:sz w:val="29"/>
          <w:szCs w:val="29"/>
        </w:rPr>
        <w:t xml:space="preserve"> </w:t>
      </w:r>
    </w:p>
    <w:p w:rsidR="00F906A1" w:rsidRPr="00236DC6"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A l</w:t>
      </w:r>
      <w:r w:rsidRPr="00236DC6">
        <w:rPr>
          <w:rFonts w:ascii="Arial Narrow" w:hAnsi="Arial Narrow" w:cs="Tahoma"/>
          <w:bCs/>
          <w:color w:val="000000"/>
          <w:sz w:val="29"/>
          <w:szCs w:val="29"/>
        </w:rPr>
        <w:t>a Administradora Colombiana de Pensiones Colpensiones se llevó a cabo mediante comunicación que el notificador del Juzgado de primer grado entregó en la oficina de correspo</w:t>
      </w:r>
      <w:r>
        <w:rPr>
          <w:rFonts w:ascii="Arial Narrow" w:hAnsi="Arial Narrow" w:cs="Tahoma"/>
          <w:bCs/>
          <w:color w:val="000000"/>
          <w:sz w:val="29"/>
          <w:szCs w:val="29"/>
        </w:rPr>
        <w:t>ndencia de la entidad, el día 18</w:t>
      </w:r>
      <w:r w:rsidRPr="00236DC6">
        <w:rPr>
          <w:rFonts w:ascii="Arial Narrow" w:hAnsi="Arial Narrow" w:cs="Tahoma"/>
          <w:bCs/>
          <w:color w:val="000000"/>
          <w:sz w:val="29"/>
          <w:szCs w:val="29"/>
        </w:rPr>
        <w:t xml:space="preserve"> de febrero del año 2013, tal y como se ve a folio 2</w:t>
      </w:r>
      <w:r>
        <w:rPr>
          <w:rFonts w:ascii="Arial Narrow" w:hAnsi="Arial Narrow" w:cs="Tahoma"/>
          <w:bCs/>
          <w:color w:val="000000"/>
          <w:sz w:val="29"/>
          <w:szCs w:val="29"/>
        </w:rPr>
        <w:t>9</w:t>
      </w:r>
      <w:r w:rsidRPr="00236DC6">
        <w:rPr>
          <w:rFonts w:ascii="Arial Narrow" w:hAnsi="Arial Narrow" w:cs="Tahoma"/>
          <w:bCs/>
          <w:color w:val="000000"/>
          <w:sz w:val="29"/>
          <w:szCs w:val="29"/>
        </w:rPr>
        <w:t xml:space="preserve"> del expediente. </w:t>
      </w:r>
    </w:p>
    <w:p w:rsidR="00F906A1" w:rsidRPr="00236DC6" w:rsidRDefault="00F906A1" w:rsidP="00F906A1">
      <w:pPr>
        <w:spacing w:line="360" w:lineRule="auto"/>
        <w:jc w:val="both"/>
        <w:rPr>
          <w:rFonts w:ascii="Arial Narrow" w:hAnsi="Arial Narrow" w:cs="Tahoma"/>
          <w:bCs/>
          <w:color w:val="000000"/>
          <w:sz w:val="29"/>
          <w:szCs w:val="29"/>
        </w:rPr>
      </w:pP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Por su lado, </w:t>
      </w:r>
      <w:r w:rsidRPr="00236DC6">
        <w:rPr>
          <w:rFonts w:ascii="Arial Narrow" w:hAnsi="Arial Narrow" w:cs="Tahoma"/>
          <w:bCs/>
          <w:color w:val="000000"/>
          <w:sz w:val="29"/>
          <w:szCs w:val="29"/>
        </w:rPr>
        <w:t>la Agencia Na</w:t>
      </w:r>
      <w:r>
        <w:rPr>
          <w:rFonts w:ascii="Arial Narrow" w:hAnsi="Arial Narrow" w:cs="Tahoma"/>
          <w:bCs/>
          <w:color w:val="000000"/>
          <w:sz w:val="29"/>
          <w:szCs w:val="29"/>
        </w:rPr>
        <w:t>cional de defensa jurídica del E</w:t>
      </w:r>
      <w:r w:rsidRPr="00236DC6">
        <w:rPr>
          <w:rFonts w:ascii="Arial Narrow" w:hAnsi="Arial Narrow" w:cs="Tahoma"/>
          <w:bCs/>
          <w:color w:val="000000"/>
          <w:sz w:val="29"/>
          <w:szCs w:val="29"/>
        </w:rPr>
        <w:t xml:space="preserve">stado, se </w:t>
      </w:r>
      <w:r>
        <w:rPr>
          <w:rFonts w:ascii="Arial Narrow" w:hAnsi="Arial Narrow" w:cs="Tahoma"/>
          <w:bCs/>
          <w:color w:val="000000"/>
          <w:sz w:val="29"/>
          <w:szCs w:val="29"/>
        </w:rPr>
        <w:t>intentó su notificación el 22 de febrero de 2.013, como puede apreciarse a folio 31, lo que arrojaría, de conformidad con lo dicho en líneas precedentes, que el término de comparecencia es de 25 días, comenzaría a computarse una vez la Agencia Nacional de Defensa Jurídica del Estado, acusara el recibo de esa comunicación; no obstante, tal constancia no obra en el infolio; por lo que, indudablemente no podría conocerse cuándo efectivamente se daría inicio a ese término común.</w:t>
      </w:r>
    </w:p>
    <w:p w:rsidR="00F906A1" w:rsidRDefault="00F906A1" w:rsidP="00F906A1">
      <w:pPr>
        <w:spacing w:line="360" w:lineRule="auto"/>
        <w:jc w:val="both"/>
        <w:rPr>
          <w:rFonts w:ascii="Arial Narrow" w:hAnsi="Arial Narrow" w:cs="Tahoma"/>
          <w:bCs/>
          <w:color w:val="000000"/>
          <w:sz w:val="29"/>
          <w:szCs w:val="29"/>
        </w:rPr>
      </w:pP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Término que empezaría a contabilizarse cuando la receptora del mensaje acusara el recibo del correo electrónico, o pudiera cuando menos constatarse por otro medio que efectivamente la Agencia Nacional Para la Defensa Jurídica del Estado hubiera recibido esa correspondencia, echándose esa constancia de menos en el infolio, pues únicamente reposa la del envío de documentos (fl. 31) .</w:t>
      </w:r>
    </w:p>
    <w:p w:rsidR="00F906A1" w:rsidRDefault="00F906A1" w:rsidP="00F906A1">
      <w:pPr>
        <w:spacing w:line="360" w:lineRule="auto"/>
        <w:jc w:val="both"/>
        <w:rPr>
          <w:rFonts w:ascii="Arial Narrow" w:hAnsi="Arial Narrow" w:cs="Tahoma"/>
          <w:bCs/>
          <w:color w:val="000000"/>
          <w:sz w:val="29"/>
          <w:szCs w:val="29"/>
        </w:rPr>
      </w:pP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Al no militar ningún documento que de cuenta del recibo de correspondencia, resulta palmario que la notificación a la Agencia Nacional de Defensa Jurídica del Estado, aún no se ha perfeccionado, dado que con ella no se ha cumplido los pasos señalados en el art. 612 de la Ley 1564 de 2.012, la recepción del acuse del </w:t>
      </w:r>
      <w:r>
        <w:rPr>
          <w:rFonts w:ascii="Arial Narrow" w:hAnsi="Arial Narrow" w:cs="Tahoma"/>
          <w:bCs/>
          <w:color w:val="000000"/>
          <w:sz w:val="29"/>
          <w:szCs w:val="29"/>
        </w:rPr>
        <w:lastRenderedPageBreak/>
        <w:t xml:space="preserve">recibo de la notificación enviada, o la evidencia que por otro medio, se haya logrado el acceso del destinatario al mensaje. </w:t>
      </w: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Tan solo obra la comunicación visible a folio 31, fechada el 22 de febrero de 2.013, firmada por la Secretaria del despacho de conocimiento, en la que afirma estar dando cumplimiento al auto de igual fecha, a través del cual se admitió la demanda, sin que se sepa, que se transmitió efectivamente, copia de la demanda y del auto admisorio; porque sencillamente, como dato adjunto al mensaje enviado, se indica el archivo “ANCÍZAR GARCÍA ÁLVAREZ Vs COLPENSIONES. pdf”. </w:t>
      </w:r>
    </w:p>
    <w:p w:rsidR="00F906A1" w:rsidRDefault="00F906A1" w:rsidP="00F906A1">
      <w:pPr>
        <w:spacing w:line="360" w:lineRule="auto"/>
        <w:jc w:val="both"/>
        <w:rPr>
          <w:rFonts w:ascii="Arial Narrow" w:hAnsi="Arial Narrow" w:cs="Tahoma"/>
          <w:bCs/>
          <w:color w:val="000000"/>
          <w:sz w:val="29"/>
          <w:szCs w:val="29"/>
        </w:rPr>
      </w:pP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Así como tampoco hay evidencia de la remisión a la Agencia Nacional de Defensa Jurídica del Estado de la copia de la demanda, de sus anexos y del auto admisorio, a través del servicio postal autorizado, tal y como se indica en el antepenúltimo inciso de  la referida Ley. </w:t>
      </w:r>
    </w:p>
    <w:p w:rsidR="00F906A1" w:rsidRDefault="00F906A1" w:rsidP="00F906A1">
      <w:pPr>
        <w:spacing w:line="360" w:lineRule="auto"/>
        <w:jc w:val="both"/>
        <w:rPr>
          <w:rFonts w:ascii="Arial Narrow" w:hAnsi="Arial Narrow" w:cs="Tahoma"/>
          <w:bCs/>
          <w:color w:val="000000"/>
          <w:sz w:val="29"/>
          <w:szCs w:val="29"/>
        </w:rPr>
      </w:pPr>
      <w:r>
        <w:rPr>
          <w:rFonts w:ascii="Arial Narrow" w:hAnsi="Arial Narrow" w:cs="Tahoma"/>
          <w:bCs/>
          <w:color w:val="000000"/>
          <w:sz w:val="29"/>
          <w:szCs w:val="29"/>
        </w:rPr>
        <w:t xml:space="preserve"> </w:t>
      </w:r>
    </w:p>
    <w:p w:rsidR="00F906A1" w:rsidRDefault="00F906A1" w:rsidP="00F906A1">
      <w:pPr>
        <w:spacing w:line="360" w:lineRule="auto"/>
        <w:ind w:firstLine="567"/>
        <w:jc w:val="both"/>
        <w:rPr>
          <w:rFonts w:ascii="Arial Narrow" w:hAnsi="Arial Narrow" w:cs="Tahoma"/>
          <w:bCs/>
          <w:color w:val="000000"/>
          <w:sz w:val="29"/>
          <w:szCs w:val="29"/>
        </w:rPr>
      </w:pPr>
      <w:r>
        <w:rPr>
          <w:rFonts w:ascii="Arial Narrow" w:hAnsi="Arial Narrow" w:cs="Tahoma"/>
          <w:bCs/>
          <w:color w:val="000000"/>
          <w:sz w:val="29"/>
          <w:szCs w:val="29"/>
        </w:rPr>
        <w:t xml:space="preserve">Los motivos anteriores impulsan a la Sala a declarar nulo lo actuado en relación con tal dependencia oficial, a fin de que el juzgado de conocimiento, renueve íntegramente la notificación a la Agencia Nacional de la Defensa Jurídica del Estado. </w:t>
      </w:r>
    </w:p>
    <w:p w:rsidR="00F906A1" w:rsidRDefault="00F906A1" w:rsidP="00F906A1">
      <w:pPr>
        <w:spacing w:line="360" w:lineRule="auto"/>
        <w:jc w:val="both"/>
        <w:rPr>
          <w:rFonts w:ascii="Arial Narrow" w:hAnsi="Arial Narrow" w:cs="Tahoma"/>
          <w:bCs/>
          <w:color w:val="000000"/>
          <w:sz w:val="29"/>
          <w:szCs w:val="29"/>
        </w:rPr>
      </w:pPr>
    </w:p>
    <w:p w:rsidR="00F906A1" w:rsidRDefault="00F906A1" w:rsidP="00F906A1">
      <w:pPr>
        <w:spacing w:line="360" w:lineRule="auto"/>
        <w:jc w:val="both"/>
        <w:rPr>
          <w:rFonts w:ascii="Arial Narrow" w:hAnsi="Arial Narrow" w:cs="Tahoma"/>
          <w:bCs/>
          <w:color w:val="000000"/>
          <w:sz w:val="29"/>
          <w:szCs w:val="29"/>
        </w:rPr>
      </w:pPr>
      <w:r>
        <w:rPr>
          <w:rFonts w:ascii="Arial Narrow" w:hAnsi="Arial Narrow" w:cs="Tahoma"/>
          <w:bCs/>
          <w:color w:val="000000"/>
          <w:sz w:val="29"/>
          <w:szCs w:val="29"/>
        </w:rPr>
        <w:t xml:space="preserve">Lo anterior, sin perjuicio de la revocatoria del auto impugnado, en cuanto declaró no contestado el libelo genitor del proceso, con arreglo a lo que se señaló en líneas anteriores, dado que si aún no se ha notificado a dicha Agencia, el otro demandado está en término para contestar la demanda, por fuerza del traslado común, que se entenderá perfeccionado una vez sea notificado el último accionado. </w:t>
      </w:r>
    </w:p>
    <w:p w:rsidR="00F906A1" w:rsidRPr="00236DC6" w:rsidRDefault="00F906A1" w:rsidP="00F906A1">
      <w:pPr>
        <w:spacing w:line="360" w:lineRule="auto"/>
        <w:jc w:val="both"/>
        <w:rPr>
          <w:rFonts w:ascii="Arial Narrow" w:hAnsi="Arial Narrow" w:cs="Tahoma"/>
          <w:bCs/>
          <w:color w:val="000000"/>
          <w:sz w:val="29"/>
          <w:szCs w:val="29"/>
        </w:rPr>
      </w:pPr>
    </w:p>
    <w:p w:rsidR="00F906A1" w:rsidRPr="00236DC6" w:rsidRDefault="00F906A1" w:rsidP="00F906A1">
      <w:pPr>
        <w:spacing w:line="360" w:lineRule="auto"/>
        <w:jc w:val="both"/>
        <w:rPr>
          <w:rFonts w:ascii="Arial Narrow" w:hAnsi="Arial Narrow" w:cs="Tahoma"/>
          <w:bCs/>
          <w:color w:val="000000"/>
          <w:sz w:val="29"/>
          <w:szCs w:val="29"/>
        </w:rPr>
      </w:pPr>
      <w:r w:rsidRPr="00236DC6">
        <w:rPr>
          <w:rFonts w:ascii="Arial Narrow" w:hAnsi="Arial Narrow" w:cs="Tahoma"/>
          <w:bCs/>
          <w:color w:val="000000"/>
          <w:sz w:val="29"/>
          <w:szCs w:val="29"/>
        </w:rPr>
        <w:t>Sin costas en esta instancia.</w:t>
      </w:r>
    </w:p>
    <w:p w:rsidR="00F906A1" w:rsidRPr="00236DC6" w:rsidRDefault="00F906A1" w:rsidP="00F906A1">
      <w:pPr>
        <w:spacing w:line="360" w:lineRule="auto"/>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r w:rsidRPr="00236DC6">
        <w:rPr>
          <w:rFonts w:ascii="Arial Narrow" w:hAnsi="Arial Narrow" w:cs="Tahoma"/>
          <w:bCs/>
          <w:color w:val="000000"/>
          <w:sz w:val="29"/>
          <w:szCs w:val="29"/>
        </w:rPr>
        <w:t xml:space="preserve">En mérito de lo expuesto, la Sala de Decisión Laboral del Tribunal Superior de Pereira,  </w:t>
      </w: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Pr="00236DC6"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Pr="00236DC6" w:rsidRDefault="00F906A1" w:rsidP="00F906A1">
      <w:pPr>
        <w:spacing w:line="360" w:lineRule="auto"/>
        <w:jc w:val="center"/>
        <w:rPr>
          <w:rFonts w:ascii="Arial Narrow" w:hAnsi="Arial Narrow" w:cs="Tahoma"/>
          <w:b/>
          <w:bCs/>
          <w:color w:val="000000"/>
          <w:sz w:val="29"/>
          <w:szCs w:val="29"/>
        </w:rPr>
      </w:pPr>
      <w:r w:rsidRPr="00236DC6">
        <w:rPr>
          <w:rFonts w:ascii="Arial Narrow" w:hAnsi="Arial Narrow" w:cs="Tahoma"/>
          <w:b/>
          <w:bCs/>
          <w:color w:val="000000"/>
          <w:sz w:val="29"/>
          <w:szCs w:val="29"/>
        </w:rPr>
        <w:lastRenderedPageBreak/>
        <w:t>RESUELVE</w:t>
      </w:r>
    </w:p>
    <w:p w:rsidR="00F906A1" w:rsidRDefault="00F906A1" w:rsidP="00F906A1">
      <w:pPr>
        <w:spacing w:line="360" w:lineRule="auto"/>
        <w:jc w:val="both"/>
        <w:rPr>
          <w:rFonts w:ascii="Arial" w:hAnsi="Arial" w:cs="Arial"/>
          <w:b/>
          <w:lang w:val="es-ES_tradnl"/>
        </w:rPr>
      </w:pPr>
    </w:p>
    <w:p w:rsidR="00F906A1" w:rsidRPr="00236DC6"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r w:rsidRPr="00236DC6">
        <w:rPr>
          <w:rFonts w:ascii="Arial Narrow" w:hAnsi="Arial Narrow" w:cs="Tahoma"/>
          <w:b/>
          <w:bCs/>
          <w:color w:val="000000"/>
          <w:sz w:val="29"/>
          <w:szCs w:val="29"/>
        </w:rPr>
        <w:t xml:space="preserve">PRIMERO. </w:t>
      </w:r>
      <w:r>
        <w:rPr>
          <w:rFonts w:ascii="Arial Narrow" w:hAnsi="Arial Narrow" w:cs="Tahoma"/>
          <w:b/>
          <w:bCs/>
          <w:color w:val="000000"/>
          <w:sz w:val="29"/>
          <w:szCs w:val="29"/>
        </w:rPr>
        <w:t>REVOCAR</w:t>
      </w:r>
      <w:r w:rsidRPr="00236DC6">
        <w:rPr>
          <w:rFonts w:ascii="Arial Narrow" w:hAnsi="Arial Narrow" w:cs="Tahoma"/>
          <w:b/>
          <w:bCs/>
          <w:color w:val="000000"/>
          <w:sz w:val="29"/>
          <w:szCs w:val="29"/>
        </w:rPr>
        <w:t xml:space="preserve"> </w:t>
      </w:r>
      <w:r w:rsidRPr="002F5036">
        <w:rPr>
          <w:rFonts w:ascii="Arial Narrow" w:hAnsi="Arial Narrow" w:cs="Tahoma"/>
          <w:bCs/>
          <w:color w:val="000000"/>
          <w:sz w:val="29"/>
          <w:szCs w:val="29"/>
        </w:rPr>
        <w:t xml:space="preserve">el auto proferido por el Juzgado </w:t>
      </w:r>
      <w:r>
        <w:rPr>
          <w:rFonts w:ascii="Arial Narrow" w:hAnsi="Arial Narrow" w:cs="Tahoma"/>
          <w:bCs/>
          <w:color w:val="000000"/>
          <w:sz w:val="29"/>
          <w:szCs w:val="29"/>
        </w:rPr>
        <w:t>Primero</w:t>
      </w:r>
      <w:r w:rsidRPr="002F5036">
        <w:rPr>
          <w:rFonts w:ascii="Arial Narrow" w:hAnsi="Arial Narrow" w:cs="Tahoma"/>
          <w:bCs/>
          <w:color w:val="000000"/>
          <w:sz w:val="29"/>
          <w:szCs w:val="29"/>
        </w:rPr>
        <w:t xml:space="preserve"> Laboral del Circuito el día </w:t>
      </w:r>
      <w:r>
        <w:rPr>
          <w:rFonts w:ascii="Arial Narrow" w:hAnsi="Arial Narrow" w:cs="Tahoma"/>
          <w:bCs/>
          <w:color w:val="000000"/>
          <w:sz w:val="29"/>
          <w:szCs w:val="29"/>
        </w:rPr>
        <w:t>23 de abril</w:t>
      </w:r>
      <w:r w:rsidRPr="002F5036">
        <w:rPr>
          <w:rFonts w:ascii="Arial Narrow" w:hAnsi="Arial Narrow" w:cs="Tahoma"/>
          <w:bCs/>
          <w:color w:val="000000"/>
          <w:sz w:val="29"/>
          <w:szCs w:val="29"/>
        </w:rPr>
        <w:t xml:space="preserve"> de 2013, por medio del cual</w:t>
      </w:r>
      <w:r>
        <w:rPr>
          <w:rFonts w:ascii="Arial Narrow" w:hAnsi="Arial Narrow" w:cs="Tahoma"/>
          <w:bCs/>
          <w:color w:val="000000"/>
          <w:sz w:val="29"/>
          <w:szCs w:val="29"/>
        </w:rPr>
        <w:t>, se ordenó tener por no contestada la demanda presentada por la Administradora Colombiana de Pensiones Colpensiones.</w:t>
      </w:r>
    </w:p>
    <w:p w:rsidR="00F906A1" w:rsidRPr="00236DC6"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Pr="002F5036" w:rsidRDefault="00F906A1" w:rsidP="00F906A1">
      <w:pPr>
        <w:pStyle w:val="Textoindependiente31"/>
        <w:autoSpaceDE w:val="0"/>
        <w:autoSpaceDN w:val="0"/>
        <w:rPr>
          <w:rFonts w:ascii="Arial Narrow" w:hAnsi="Arial Narrow" w:cs="Tahoma"/>
          <w:bCs/>
          <w:color w:val="000000"/>
          <w:sz w:val="29"/>
          <w:szCs w:val="29"/>
          <w:lang w:val="es-ES" w:eastAsia="en-US"/>
        </w:rPr>
      </w:pPr>
      <w:r w:rsidRPr="00236DC6">
        <w:rPr>
          <w:rFonts w:ascii="Arial Narrow" w:hAnsi="Arial Narrow" w:cs="Tahoma"/>
          <w:b/>
          <w:bCs/>
          <w:color w:val="000000"/>
          <w:sz w:val="29"/>
          <w:szCs w:val="29"/>
          <w:lang w:val="es-ES"/>
        </w:rPr>
        <w:t xml:space="preserve">SEGUNDO. </w:t>
      </w:r>
      <w:r>
        <w:rPr>
          <w:rFonts w:ascii="Arial Narrow" w:hAnsi="Arial Narrow" w:cs="Tahoma"/>
          <w:b/>
          <w:bCs/>
          <w:color w:val="000000"/>
          <w:sz w:val="29"/>
          <w:szCs w:val="29"/>
          <w:lang w:val="es-ES"/>
        </w:rPr>
        <w:t>DECLARAR</w:t>
      </w:r>
      <w:r>
        <w:rPr>
          <w:rFonts w:ascii="Arial Narrow" w:hAnsi="Arial Narrow" w:cs="Tahoma"/>
          <w:bCs/>
          <w:color w:val="000000"/>
          <w:sz w:val="29"/>
          <w:szCs w:val="29"/>
          <w:lang w:val="es-ES"/>
        </w:rPr>
        <w:t xml:space="preserve"> </w:t>
      </w:r>
      <w:r w:rsidRPr="003553A7">
        <w:rPr>
          <w:rFonts w:ascii="Arial Narrow" w:hAnsi="Arial Narrow" w:cs="Tahoma"/>
          <w:b/>
          <w:bCs/>
          <w:color w:val="000000"/>
          <w:sz w:val="29"/>
          <w:szCs w:val="29"/>
          <w:lang w:val="es-ES"/>
        </w:rPr>
        <w:t>LA NULIDAD</w:t>
      </w:r>
      <w:r>
        <w:rPr>
          <w:rFonts w:ascii="Arial Narrow" w:hAnsi="Arial Narrow" w:cs="Tahoma"/>
          <w:bCs/>
          <w:color w:val="000000"/>
          <w:sz w:val="29"/>
          <w:szCs w:val="29"/>
          <w:lang w:val="es-ES"/>
        </w:rPr>
        <w:t xml:space="preserve"> de la notificación a la Agencia Nacional de Defensa Jurídica del Estado, realizada por el</w:t>
      </w:r>
      <w:r w:rsidRPr="00236DC6">
        <w:rPr>
          <w:rFonts w:ascii="Arial Narrow" w:hAnsi="Arial Narrow" w:cs="Tahoma"/>
          <w:bCs/>
          <w:color w:val="000000"/>
          <w:sz w:val="29"/>
          <w:szCs w:val="29"/>
          <w:lang w:val="es-ES"/>
        </w:rPr>
        <w:t xml:space="preserve"> Juzgado </w:t>
      </w:r>
      <w:r>
        <w:rPr>
          <w:rFonts w:ascii="Arial Narrow" w:hAnsi="Arial Narrow" w:cs="Tahoma"/>
          <w:bCs/>
          <w:color w:val="000000"/>
          <w:sz w:val="29"/>
          <w:szCs w:val="29"/>
          <w:lang w:val="es-ES"/>
        </w:rPr>
        <w:t>Primero</w:t>
      </w:r>
      <w:r w:rsidRPr="00236DC6">
        <w:rPr>
          <w:rFonts w:ascii="Arial Narrow" w:hAnsi="Arial Narrow" w:cs="Tahoma"/>
          <w:bCs/>
          <w:color w:val="000000"/>
          <w:sz w:val="29"/>
          <w:szCs w:val="29"/>
          <w:lang w:val="es-ES"/>
        </w:rPr>
        <w:t xml:space="preserve"> Laboral de este Circuito Judicial </w:t>
      </w:r>
      <w:r>
        <w:rPr>
          <w:rFonts w:ascii="Arial Narrow" w:hAnsi="Arial Narrow" w:cs="Tahoma"/>
          <w:bCs/>
          <w:color w:val="000000"/>
          <w:sz w:val="29"/>
          <w:szCs w:val="29"/>
          <w:lang w:val="es-ES"/>
        </w:rPr>
        <w:t>en este proceso.</w:t>
      </w:r>
    </w:p>
    <w:p w:rsidR="00F906A1" w:rsidRPr="00236DC6"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Default="00F906A1" w:rsidP="00F906A1">
      <w:pPr>
        <w:spacing w:line="360" w:lineRule="auto"/>
        <w:jc w:val="both"/>
        <w:rPr>
          <w:rFonts w:ascii="Arial Narrow" w:hAnsi="Arial Narrow" w:cs="Tahoma"/>
          <w:bCs/>
          <w:color w:val="000000"/>
          <w:sz w:val="29"/>
          <w:szCs w:val="29"/>
        </w:rPr>
      </w:pPr>
      <w:r w:rsidRPr="00236DC6">
        <w:rPr>
          <w:rFonts w:ascii="Arial Narrow" w:hAnsi="Arial Narrow" w:cs="Tahoma"/>
          <w:b/>
          <w:bCs/>
          <w:color w:val="000000"/>
          <w:sz w:val="29"/>
          <w:szCs w:val="29"/>
        </w:rPr>
        <w:t>TERCERO</w:t>
      </w:r>
      <w:r w:rsidRPr="00236DC6">
        <w:rPr>
          <w:rFonts w:ascii="Arial Narrow" w:hAnsi="Arial Narrow" w:cs="Tahoma"/>
          <w:bCs/>
          <w:color w:val="000000"/>
          <w:sz w:val="29"/>
          <w:szCs w:val="29"/>
        </w:rPr>
        <w:t xml:space="preserve">. </w:t>
      </w:r>
      <w:r w:rsidRPr="00236DC6">
        <w:rPr>
          <w:rFonts w:ascii="Arial Narrow" w:hAnsi="Arial Narrow" w:cs="Tahoma"/>
          <w:b/>
          <w:bCs/>
          <w:color w:val="000000"/>
          <w:sz w:val="29"/>
          <w:szCs w:val="29"/>
        </w:rPr>
        <w:t>ORDENAR</w:t>
      </w:r>
      <w:r w:rsidRPr="00236DC6">
        <w:rPr>
          <w:rFonts w:ascii="Arial Narrow" w:hAnsi="Arial Narrow" w:cs="Tahoma"/>
          <w:bCs/>
          <w:color w:val="000000"/>
          <w:sz w:val="29"/>
          <w:szCs w:val="29"/>
        </w:rPr>
        <w:t xml:space="preserve"> al Juzgado </w:t>
      </w:r>
      <w:r>
        <w:rPr>
          <w:rFonts w:ascii="Arial Narrow" w:hAnsi="Arial Narrow" w:cs="Tahoma"/>
          <w:bCs/>
          <w:color w:val="000000"/>
          <w:sz w:val="29"/>
          <w:szCs w:val="29"/>
        </w:rPr>
        <w:t>Primero</w:t>
      </w:r>
      <w:r w:rsidRPr="00236DC6">
        <w:rPr>
          <w:rFonts w:ascii="Arial Narrow" w:hAnsi="Arial Narrow" w:cs="Tahoma"/>
          <w:bCs/>
          <w:color w:val="000000"/>
          <w:sz w:val="29"/>
          <w:szCs w:val="29"/>
        </w:rPr>
        <w:t xml:space="preserve"> Laboral de este Circuito Judicial que, </w:t>
      </w:r>
      <w:r>
        <w:rPr>
          <w:rFonts w:ascii="Arial Narrow" w:hAnsi="Arial Narrow" w:cs="Tahoma"/>
          <w:bCs/>
          <w:color w:val="000000"/>
          <w:sz w:val="29"/>
          <w:szCs w:val="29"/>
        </w:rPr>
        <w:t>proceda a renovar íntegramente la notificación a la Agencia Nacional de la Defensa Jurídica del Estado, en los términos aquí indicado.</w:t>
      </w: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p>
    <w:p w:rsidR="00F906A1" w:rsidRDefault="00F906A1" w:rsidP="00F906A1">
      <w:pPr>
        <w:widowControl w:val="0"/>
        <w:autoSpaceDE w:val="0"/>
        <w:autoSpaceDN w:val="0"/>
        <w:adjustRightInd w:val="0"/>
        <w:spacing w:line="360" w:lineRule="auto"/>
        <w:jc w:val="both"/>
        <w:rPr>
          <w:rFonts w:ascii="Arial Narrow" w:hAnsi="Arial Narrow" w:cs="Tahoma"/>
          <w:bCs/>
          <w:color w:val="000000"/>
          <w:sz w:val="29"/>
          <w:szCs w:val="29"/>
        </w:rPr>
      </w:pPr>
      <w:r w:rsidRPr="00236DC6">
        <w:rPr>
          <w:rFonts w:ascii="Arial Narrow" w:hAnsi="Arial Narrow" w:cs="Tahoma"/>
          <w:bCs/>
          <w:color w:val="000000"/>
          <w:sz w:val="29"/>
          <w:szCs w:val="29"/>
        </w:rPr>
        <w:t>Sin constas en esta instancia.</w:t>
      </w:r>
    </w:p>
    <w:p w:rsidR="00F51DB2" w:rsidRDefault="00F51DB2" w:rsidP="00F51DB2">
      <w:pPr>
        <w:widowControl w:val="0"/>
        <w:autoSpaceDE w:val="0"/>
        <w:autoSpaceDN w:val="0"/>
        <w:adjustRightInd w:val="0"/>
        <w:spacing w:line="360" w:lineRule="auto"/>
        <w:ind w:firstLine="1080"/>
        <w:jc w:val="both"/>
        <w:rPr>
          <w:rFonts w:ascii="Arial Narrow" w:hAnsi="Arial Narrow" w:cs="Tahoma"/>
          <w:sz w:val="28"/>
          <w:szCs w:val="28"/>
        </w:rPr>
      </w:pPr>
    </w:p>
    <w:p w:rsidR="00F906A1" w:rsidRPr="002F5036" w:rsidRDefault="00F906A1" w:rsidP="00F906A1">
      <w:pPr>
        <w:pStyle w:val="Textoindependiente31"/>
        <w:autoSpaceDE w:val="0"/>
        <w:autoSpaceDN w:val="0"/>
        <w:rPr>
          <w:rFonts w:ascii="Arial Narrow" w:hAnsi="Arial Narrow" w:cs="Tahoma"/>
          <w:bCs/>
          <w:color w:val="000000"/>
          <w:sz w:val="29"/>
          <w:szCs w:val="29"/>
          <w:lang w:val="es-ES" w:eastAsia="en-US"/>
        </w:rPr>
      </w:pPr>
      <w:r w:rsidRPr="002F5036">
        <w:rPr>
          <w:rFonts w:ascii="Arial Narrow" w:hAnsi="Arial Narrow" w:cs="Tahoma"/>
          <w:bCs/>
          <w:color w:val="000000"/>
          <w:sz w:val="29"/>
          <w:szCs w:val="29"/>
          <w:lang w:val="es-ES" w:eastAsia="en-US"/>
        </w:rPr>
        <w:t>Decisión notificada en estrados.</w:t>
      </w:r>
    </w:p>
    <w:p w:rsidR="00F906A1" w:rsidRPr="002F5036" w:rsidRDefault="00F906A1" w:rsidP="00F906A1">
      <w:pPr>
        <w:pStyle w:val="Textoindependiente31"/>
        <w:autoSpaceDE w:val="0"/>
        <w:autoSpaceDN w:val="0"/>
        <w:rPr>
          <w:rFonts w:ascii="Arial Narrow" w:hAnsi="Arial Narrow" w:cs="Tahoma"/>
          <w:bCs/>
          <w:color w:val="000000"/>
          <w:sz w:val="29"/>
          <w:szCs w:val="29"/>
          <w:lang w:val="es-ES" w:eastAsia="en-US"/>
        </w:rPr>
      </w:pPr>
    </w:p>
    <w:p w:rsidR="00F906A1" w:rsidRPr="002F5036" w:rsidRDefault="00F906A1" w:rsidP="00F906A1">
      <w:pPr>
        <w:pStyle w:val="Textoindependiente31"/>
        <w:autoSpaceDE w:val="0"/>
        <w:autoSpaceDN w:val="0"/>
        <w:rPr>
          <w:rFonts w:ascii="Arial Narrow" w:hAnsi="Arial Narrow" w:cs="Tahoma"/>
          <w:bCs/>
          <w:color w:val="000000"/>
          <w:sz w:val="29"/>
          <w:szCs w:val="29"/>
          <w:lang w:val="es-ES" w:eastAsia="en-US"/>
        </w:rPr>
      </w:pPr>
      <w:r w:rsidRPr="002F5036">
        <w:rPr>
          <w:rFonts w:ascii="Arial Narrow" w:hAnsi="Arial Narrow" w:cs="Tahoma"/>
          <w:bCs/>
          <w:color w:val="000000"/>
          <w:sz w:val="29"/>
          <w:szCs w:val="29"/>
          <w:lang w:val="es-ES" w:eastAsia="en-US"/>
        </w:rPr>
        <w:t>No siendo otro el objeto de la  presente audiencia se levanta y firma esta acta.</w:t>
      </w:r>
    </w:p>
    <w:p w:rsidR="00F906A1" w:rsidRPr="002F5036" w:rsidRDefault="00F906A1" w:rsidP="00F906A1">
      <w:pPr>
        <w:widowControl w:val="0"/>
        <w:autoSpaceDE w:val="0"/>
        <w:autoSpaceDN w:val="0"/>
        <w:adjustRightInd w:val="0"/>
        <w:jc w:val="both"/>
        <w:rPr>
          <w:rFonts w:ascii="Arial" w:hAnsi="Arial" w:cs="Arial"/>
        </w:rPr>
      </w:pPr>
    </w:p>
    <w:p w:rsidR="00F906A1" w:rsidRDefault="00F906A1" w:rsidP="00F906A1">
      <w:pPr>
        <w:spacing w:line="360" w:lineRule="auto"/>
        <w:jc w:val="center"/>
        <w:rPr>
          <w:rFonts w:ascii="Arial Narrow" w:hAnsi="Arial Narrow" w:cs="Arial"/>
          <w:b/>
          <w:bCs/>
          <w:iCs/>
          <w:sz w:val="30"/>
          <w:szCs w:val="30"/>
        </w:rPr>
      </w:pPr>
    </w:p>
    <w:p w:rsidR="00F906A1" w:rsidRDefault="00F906A1" w:rsidP="00F906A1">
      <w:pPr>
        <w:spacing w:line="360" w:lineRule="auto"/>
        <w:jc w:val="center"/>
        <w:rPr>
          <w:rFonts w:ascii="Arial Narrow" w:hAnsi="Arial Narrow" w:cs="Arial"/>
          <w:b/>
          <w:bCs/>
          <w:iCs/>
          <w:sz w:val="30"/>
          <w:szCs w:val="30"/>
        </w:rPr>
      </w:pPr>
    </w:p>
    <w:p w:rsidR="00F906A1" w:rsidRPr="00DF6F24" w:rsidRDefault="00F906A1" w:rsidP="00F906A1">
      <w:pPr>
        <w:spacing w:line="360" w:lineRule="auto"/>
        <w:jc w:val="center"/>
        <w:rPr>
          <w:rFonts w:ascii="Arial Narrow" w:hAnsi="Arial Narrow" w:cs="Arial"/>
          <w:b/>
          <w:bCs/>
          <w:iCs/>
          <w:sz w:val="30"/>
          <w:szCs w:val="30"/>
        </w:rPr>
      </w:pPr>
      <w:r>
        <w:rPr>
          <w:rFonts w:ascii="Arial Narrow" w:hAnsi="Arial Narrow" w:cs="Arial"/>
          <w:b/>
          <w:bCs/>
          <w:iCs/>
          <w:sz w:val="30"/>
          <w:szCs w:val="30"/>
        </w:rPr>
        <w:t>FRANCISCO JAVIER TAMAYO TABARES</w:t>
      </w:r>
    </w:p>
    <w:p w:rsidR="00F906A1" w:rsidRPr="00DF6F24" w:rsidRDefault="00F906A1" w:rsidP="00F906A1">
      <w:pPr>
        <w:spacing w:line="360" w:lineRule="auto"/>
        <w:ind w:left="2124" w:firstLine="708"/>
        <w:jc w:val="both"/>
        <w:rPr>
          <w:rFonts w:ascii="Arial Narrow" w:hAnsi="Arial Narrow" w:cs="Arial"/>
          <w:sz w:val="30"/>
          <w:szCs w:val="30"/>
        </w:rPr>
      </w:pPr>
      <w:r w:rsidRPr="00DF6F24">
        <w:rPr>
          <w:rFonts w:ascii="Arial Narrow" w:hAnsi="Arial Narrow" w:cs="Arial"/>
          <w:sz w:val="30"/>
          <w:szCs w:val="30"/>
        </w:rPr>
        <w:t xml:space="preserve">        </w:t>
      </w:r>
      <w:r>
        <w:rPr>
          <w:rFonts w:ascii="Arial Narrow" w:hAnsi="Arial Narrow" w:cs="Arial"/>
          <w:sz w:val="30"/>
          <w:szCs w:val="30"/>
        </w:rPr>
        <w:t xml:space="preserve"> </w:t>
      </w:r>
      <w:r w:rsidRPr="00DF6F24">
        <w:rPr>
          <w:rFonts w:ascii="Arial Narrow" w:hAnsi="Arial Narrow" w:cs="Arial"/>
          <w:sz w:val="30"/>
          <w:szCs w:val="30"/>
        </w:rPr>
        <w:t xml:space="preserve">    Magistrado</w:t>
      </w:r>
    </w:p>
    <w:p w:rsidR="00F906A1" w:rsidRDefault="00F906A1" w:rsidP="00F906A1">
      <w:pPr>
        <w:spacing w:line="360" w:lineRule="auto"/>
        <w:jc w:val="both"/>
        <w:rPr>
          <w:rFonts w:ascii="Arial Narrow" w:hAnsi="Arial Narrow" w:cs="Arial"/>
          <w:b/>
          <w:sz w:val="30"/>
          <w:szCs w:val="30"/>
        </w:rPr>
      </w:pPr>
    </w:p>
    <w:p w:rsidR="00F906A1" w:rsidRPr="00DF6F24" w:rsidRDefault="00F906A1" w:rsidP="00F906A1">
      <w:pPr>
        <w:spacing w:line="360" w:lineRule="auto"/>
        <w:jc w:val="both"/>
        <w:rPr>
          <w:rFonts w:ascii="Arial Narrow" w:hAnsi="Arial Narrow" w:cs="Arial"/>
          <w:b/>
          <w:sz w:val="30"/>
          <w:szCs w:val="30"/>
        </w:rPr>
      </w:pPr>
    </w:p>
    <w:p w:rsidR="00F906A1" w:rsidRPr="00DF6F24" w:rsidRDefault="00F906A1" w:rsidP="00F906A1">
      <w:pPr>
        <w:tabs>
          <w:tab w:val="left" w:pos="8647"/>
        </w:tabs>
        <w:spacing w:line="360" w:lineRule="auto"/>
        <w:ind w:left="-567" w:right="-374"/>
        <w:jc w:val="both"/>
        <w:rPr>
          <w:rFonts w:ascii="Arial Narrow" w:hAnsi="Arial Narrow" w:cs="Arial"/>
          <w:b/>
          <w:bCs/>
          <w:iCs/>
          <w:sz w:val="30"/>
          <w:szCs w:val="30"/>
        </w:rPr>
      </w:pPr>
      <w:r w:rsidRPr="00DF6F24">
        <w:rPr>
          <w:rFonts w:ascii="Arial Narrow" w:hAnsi="Arial Narrow" w:cs="Arial"/>
          <w:b/>
          <w:bCs/>
          <w:iCs/>
          <w:sz w:val="30"/>
          <w:szCs w:val="30"/>
        </w:rPr>
        <w:t xml:space="preserve">    ANA LUCÍA CAICEDO CALDERÓN                 JULIO CÉSAR SALAZAR MUÑOZ    </w:t>
      </w:r>
      <w:r w:rsidRPr="00DF6F24">
        <w:rPr>
          <w:rFonts w:ascii="Arial Narrow" w:hAnsi="Arial Narrow" w:cs="Arial"/>
          <w:bCs/>
          <w:iCs/>
          <w:sz w:val="30"/>
          <w:szCs w:val="30"/>
        </w:rPr>
        <w:t xml:space="preserve">                                                                                             </w:t>
      </w:r>
    </w:p>
    <w:p w:rsidR="00F906A1" w:rsidRPr="00E7460C" w:rsidRDefault="00F906A1" w:rsidP="00F906A1">
      <w:pPr>
        <w:spacing w:line="360" w:lineRule="auto"/>
        <w:jc w:val="both"/>
        <w:rPr>
          <w:rFonts w:ascii="Arial Narrow" w:hAnsi="Arial Narrow" w:cs="Arial"/>
          <w:sz w:val="30"/>
          <w:szCs w:val="30"/>
        </w:rPr>
      </w:pPr>
      <w:r w:rsidRPr="00DF6F24">
        <w:rPr>
          <w:rFonts w:ascii="Arial Narrow" w:hAnsi="Arial Narrow" w:cs="Arial"/>
          <w:sz w:val="30"/>
          <w:szCs w:val="30"/>
        </w:rPr>
        <w:t xml:space="preserve">             Magistrada                                                        </w:t>
      </w:r>
      <w:r>
        <w:rPr>
          <w:rFonts w:ascii="Arial Narrow" w:hAnsi="Arial Narrow" w:cs="Arial"/>
          <w:sz w:val="30"/>
          <w:szCs w:val="30"/>
        </w:rPr>
        <w:t xml:space="preserve"> Magistrado</w:t>
      </w:r>
    </w:p>
    <w:p w:rsidR="00F906A1" w:rsidRDefault="00F906A1" w:rsidP="00F906A1">
      <w:pPr>
        <w:spacing w:line="360" w:lineRule="auto"/>
        <w:jc w:val="center"/>
        <w:rPr>
          <w:rFonts w:ascii="Arial Narrow" w:hAnsi="Arial Narrow" w:cs="Arial"/>
          <w:b/>
          <w:bCs/>
          <w:iCs/>
          <w:sz w:val="30"/>
          <w:szCs w:val="30"/>
        </w:rPr>
      </w:pPr>
    </w:p>
    <w:p w:rsidR="00F906A1" w:rsidRDefault="00F906A1" w:rsidP="00F906A1">
      <w:pPr>
        <w:spacing w:line="360" w:lineRule="auto"/>
        <w:jc w:val="center"/>
        <w:rPr>
          <w:rFonts w:ascii="Arial Narrow" w:hAnsi="Arial Narrow" w:cs="Arial"/>
          <w:b/>
          <w:bCs/>
          <w:iCs/>
          <w:sz w:val="30"/>
          <w:szCs w:val="30"/>
        </w:rPr>
      </w:pPr>
    </w:p>
    <w:p w:rsidR="00F906A1" w:rsidRPr="00DF6F24" w:rsidRDefault="00F906A1" w:rsidP="00F906A1">
      <w:pPr>
        <w:spacing w:line="360" w:lineRule="auto"/>
        <w:jc w:val="center"/>
        <w:rPr>
          <w:rFonts w:ascii="Arial Narrow" w:hAnsi="Arial Narrow" w:cs="Arial"/>
          <w:b/>
          <w:bCs/>
          <w:iCs/>
          <w:sz w:val="30"/>
          <w:szCs w:val="30"/>
        </w:rPr>
      </w:pPr>
      <w:r>
        <w:rPr>
          <w:rFonts w:ascii="Arial Narrow" w:hAnsi="Arial Narrow" w:cs="Arial"/>
          <w:b/>
          <w:bCs/>
          <w:iCs/>
          <w:sz w:val="30"/>
          <w:szCs w:val="30"/>
        </w:rPr>
        <w:t>MÓNICA ANDREA JARAMILLO</w:t>
      </w:r>
    </w:p>
    <w:p w:rsidR="00F906A1" w:rsidRPr="0015748D" w:rsidRDefault="00F906A1" w:rsidP="00F906A1">
      <w:pPr>
        <w:spacing w:line="360" w:lineRule="auto"/>
        <w:jc w:val="center"/>
      </w:pPr>
      <w:r>
        <w:rPr>
          <w:rFonts w:ascii="Arial Narrow" w:hAnsi="Arial Narrow" w:cs="Arial"/>
          <w:iCs/>
          <w:sz w:val="30"/>
          <w:szCs w:val="30"/>
        </w:rPr>
        <w:lastRenderedPageBreak/>
        <w:t>Secretaria</w:t>
      </w:r>
    </w:p>
    <w:p w:rsidR="00F906A1" w:rsidRPr="00F51DB2" w:rsidRDefault="00F906A1" w:rsidP="00F51DB2">
      <w:pPr>
        <w:widowControl w:val="0"/>
        <w:autoSpaceDE w:val="0"/>
        <w:autoSpaceDN w:val="0"/>
        <w:adjustRightInd w:val="0"/>
        <w:spacing w:line="360" w:lineRule="auto"/>
        <w:ind w:firstLine="1080"/>
        <w:jc w:val="both"/>
        <w:rPr>
          <w:rFonts w:ascii="Arial Narrow" w:hAnsi="Arial Narrow" w:cs="Tahoma"/>
          <w:sz w:val="28"/>
          <w:szCs w:val="28"/>
        </w:rPr>
      </w:pPr>
    </w:p>
    <w:sectPr w:rsidR="00F906A1" w:rsidRPr="00F51DB2" w:rsidSect="00F51DB2">
      <w:headerReference w:type="even" r:id="rId8"/>
      <w:headerReference w:type="default" r:id="rId9"/>
      <w:headerReference w:type="first" r:id="rId10"/>
      <w:pgSz w:w="12242" w:h="18722" w:code="119"/>
      <w:pgMar w:top="1418" w:right="1701" w:bottom="1418"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844" w:rsidRDefault="00CB6844" w:rsidP="00F51DB2">
      <w:r>
        <w:separator/>
      </w:r>
    </w:p>
  </w:endnote>
  <w:endnote w:type="continuationSeparator" w:id="1">
    <w:p w:rsidR="00CB6844" w:rsidRDefault="00CB6844" w:rsidP="00F51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844" w:rsidRDefault="00CB6844" w:rsidP="00F51DB2">
      <w:r>
        <w:separator/>
      </w:r>
    </w:p>
  </w:footnote>
  <w:footnote w:type="continuationSeparator" w:id="1">
    <w:p w:rsidR="00CB6844" w:rsidRDefault="00CB6844" w:rsidP="00F51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65" w:rsidRDefault="003D39CF">
    <w:pPr>
      <w:pStyle w:val="Encabezado"/>
      <w:framePr w:wrap="around" w:vAnchor="text" w:hAnchor="margin" w:xAlign="center" w:y="1"/>
      <w:rPr>
        <w:rStyle w:val="Nmerodepgina"/>
      </w:rPr>
    </w:pPr>
    <w:r>
      <w:rPr>
        <w:rStyle w:val="Nmerodepgina"/>
      </w:rPr>
      <w:fldChar w:fldCharType="begin"/>
    </w:r>
    <w:r w:rsidR="009A0065">
      <w:rPr>
        <w:rStyle w:val="Nmerodepgina"/>
      </w:rPr>
      <w:instrText xml:space="preserve">PAGE  </w:instrText>
    </w:r>
    <w:r>
      <w:rPr>
        <w:rStyle w:val="Nmerodepgina"/>
      </w:rPr>
      <w:fldChar w:fldCharType="end"/>
    </w:r>
  </w:p>
  <w:p w:rsidR="009A0065" w:rsidRDefault="009A00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65" w:rsidRDefault="003D39CF">
    <w:pPr>
      <w:pStyle w:val="Encabezado"/>
      <w:framePr w:wrap="around" w:vAnchor="text" w:hAnchor="margin" w:xAlign="center" w:y="1"/>
      <w:rPr>
        <w:rStyle w:val="Nmerodepgina"/>
      </w:rPr>
    </w:pPr>
    <w:r>
      <w:rPr>
        <w:rStyle w:val="Nmerodepgina"/>
      </w:rPr>
      <w:fldChar w:fldCharType="begin"/>
    </w:r>
    <w:r w:rsidR="009A0065">
      <w:rPr>
        <w:rStyle w:val="Nmerodepgina"/>
      </w:rPr>
      <w:instrText xml:space="preserve">PAGE  </w:instrText>
    </w:r>
    <w:r>
      <w:rPr>
        <w:rStyle w:val="Nmerodepgina"/>
      </w:rPr>
      <w:fldChar w:fldCharType="separate"/>
    </w:r>
    <w:r w:rsidR="002C3199">
      <w:rPr>
        <w:rStyle w:val="Nmerodepgina"/>
        <w:noProof/>
      </w:rPr>
      <w:t>2</w:t>
    </w:r>
    <w:r>
      <w:rPr>
        <w:rStyle w:val="Nmerodepgina"/>
      </w:rPr>
      <w:fldChar w:fldCharType="end"/>
    </w:r>
  </w:p>
  <w:p w:rsidR="009A0065" w:rsidRPr="00F51DB2" w:rsidRDefault="009A0065" w:rsidP="00F51DB2">
    <w:pPr>
      <w:pStyle w:val="Encabezado"/>
      <w:rPr>
        <w:rFonts w:ascii="Arial Narrow" w:hAnsi="Arial Narrow"/>
        <w:sz w:val="18"/>
        <w:szCs w:val="18"/>
      </w:rPr>
    </w:pPr>
    <w:r w:rsidRPr="00F51DB2">
      <w:rPr>
        <w:rFonts w:ascii="Arial Narrow" w:hAnsi="Arial Narrow"/>
        <w:sz w:val="18"/>
        <w:szCs w:val="18"/>
      </w:rPr>
      <w:t>66001-31-05-004-2011-01202-01</w:t>
    </w:r>
  </w:p>
  <w:p w:rsidR="009A0065" w:rsidRPr="00F51DB2" w:rsidRDefault="009A0065" w:rsidP="00F51DB2">
    <w:pPr>
      <w:pStyle w:val="Encabezado"/>
      <w:rPr>
        <w:rFonts w:ascii="Arial Narrow" w:hAnsi="Arial Narrow"/>
        <w:sz w:val="18"/>
        <w:szCs w:val="18"/>
      </w:rPr>
    </w:pPr>
    <w:r w:rsidRPr="00F51DB2">
      <w:rPr>
        <w:rFonts w:ascii="Arial Narrow" w:hAnsi="Arial Narrow"/>
        <w:sz w:val="18"/>
        <w:szCs w:val="18"/>
      </w:rPr>
      <w:t>María Eugenia Mesa Merchán Vs Colpensiones y otro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A1" w:rsidRPr="002C3199" w:rsidRDefault="00F906A1" w:rsidP="00F906A1">
    <w:pPr>
      <w:pStyle w:val="Encabezado"/>
      <w:rPr>
        <w:rFonts w:ascii="Arial Narrow" w:hAnsi="Arial Narrow" w:cs="Arial"/>
        <w:i/>
        <w:sz w:val="20"/>
        <w:szCs w:val="20"/>
        <w:lang w:val="es-MX"/>
      </w:rPr>
    </w:pPr>
    <w:r w:rsidRPr="002C3199">
      <w:rPr>
        <w:rFonts w:ascii="Arial Narrow" w:hAnsi="Arial Narrow" w:cs="Arial"/>
        <w:i/>
        <w:sz w:val="20"/>
        <w:szCs w:val="20"/>
      </w:rPr>
      <w:t xml:space="preserve">Radicación No. </w:t>
    </w:r>
    <w:r w:rsidRPr="002C3199">
      <w:rPr>
        <w:rFonts w:ascii="Arial Narrow" w:hAnsi="Arial Narrow" w:cs="Arial"/>
        <w:i/>
        <w:sz w:val="20"/>
        <w:szCs w:val="20"/>
        <w:lang w:val="es-MX"/>
      </w:rPr>
      <w:t>66001-31-05-001-2013-00088-01</w:t>
    </w:r>
  </w:p>
  <w:p w:rsidR="00F906A1" w:rsidRPr="002C3199" w:rsidRDefault="00F906A1" w:rsidP="00F906A1">
    <w:pPr>
      <w:pStyle w:val="Encabezado"/>
      <w:rPr>
        <w:rFonts w:ascii="Arial Narrow" w:hAnsi="Arial Narrow" w:cs="Arial"/>
        <w:i/>
        <w:sz w:val="20"/>
        <w:szCs w:val="20"/>
        <w:lang w:val="es-MX"/>
      </w:rPr>
    </w:pPr>
    <w:r w:rsidRPr="002C3199">
      <w:rPr>
        <w:rFonts w:ascii="Arial Narrow" w:hAnsi="Arial Narrow" w:cs="Arial"/>
        <w:i/>
        <w:sz w:val="20"/>
        <w:szCs w:val="20"/>
        <w:lang w:val="es-MX"/>
      </w:rPr>
      <w:t>Ancízar García Álvarez vs Colpensiones</w:t>
    </w:r>
  </w:p>
  <w:p w:rsidR="009A0065" w:rsidRPr="00F906A1" w:rsidRDefault="009A0065" w:rsidP="00F906A1">
    <w:pPr>
      <w:pStyle w:val="Encabezado"/>
      <w:rPr>
        <w:szCs w:val="18"/>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13B1D5C"/>
    <w:multiLevelType w:val="hybridMultilevel"/>
    <w:tmpl w:val="426C8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E60A1"/>
    <w:multiLevelType w:val="hybridMultilevel"/>
    <w:tmpl w:val="AE12752C"/>
    <w:lvl w:ilvl="0" w:tplc="920427A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51DB2"/>
    <w:rsid w:val="000647C3"/>
    <w:rsid w:val="0008166C"/>
    <w:rsid w:val="000C5210"/>
    <w:rsid w:val="001000ED"/>
    <w:rsid w:val="00186218"/>
    <w:rsid w:val="00196DD2"/>
    <w:rsid w:val="001F35BF"/>
    <w:rsid w:val="00283FAF"/>
    <w:rsid w:val="002C3199"/>
    <w:rsid w:val="002E2859"/>
    <w:rsid w:val="00330FA1"/>
    <w:rsid w:val="00361618"/>
    <w:rsid w:val="00361FA5"/>
    <w:rsid w:val="003755A4"/>
    <w:rsid w:val="003929B7"/>
    <w:rsid w:val="003A6AA1"/>
    <w:rsid w:val="003D39CF"/>
    <w:rsid w:val="00420622"/>
    <w:rsid w:val="00440184"/>
    <w:rsid w:val="00464282"/>
    <w:rsid w:val="004C53B0"/>
    <w:rsid w:val="004C6BFB"/>
    <w:rsid w:val="0050779F"/>
    <w:rsid w:val="005323BE"/>
    <w:rsid w:val="00571643"/>
    <w:rsid w:val="00595B71"/>
    <w:rsid w:val="005A109B"/>
    <w:rsid w:val="006443CE"/>
    <w:rsid w:val="007270BA"/>
    <w:rsid w:val="007A5625"/>
    <w:rsid w:val="007B0507"/>
    <w:rsid w:val="007B07C8"/>
    <w:rsid w:val="007C0A83"/>
    <w:rsid w:val="007C3B08"/>
    <w:rsid w:val="007D7E48"/>
    <w:rsid w:val="00840D40"/>
    <w:rsid w:val="00847DF6"/>
    <w:rsid w:val="008613B2"/>
    <w:rsid w:val="009A0065"/>
    <w:rsid w:val="009E6759"/>
    <w:rsid w:val="009F015A"/>
    <w:rsid w:val="00A44165"/>
    <w:rsid w:val="00AC2802"/>
    <w:rsid w:val="00B251A9"/>
    <w:rsid w:val="00B96944"/>
    <w:rsid w:val="00C157C1"/>
    <w:rsid w:val="00C2085E"/>
    <w:rsid w:val="00CB6844"/>
    <w:rsid w:val="00CD2C82"/>
    <w:rsid w:val="00CE1CC0"/>
    <w:rsid w:val="00CE47EB"/>
    <w:rsid w:val="00D54B52"/>
    <w:rsid w:val="00DD58DF"/>
    <w:rsid w:val="00DE7901"/>
    <w:rsid w:val="00E62C30"/>
    <w:rsid w:val="00E63937"/>
    <w:rsid w:val="00EC3CC7"/>
    <w:rsid w:val="00ED539E"/>
    <w:rsid w:val="00F17E24"/>
    <w:rsid w:val="00F51DB2"/>
    <w:rsid w:val="00F906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B2"/>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F51DB2"/>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51DB2"/>
    <w:rPr>
      <w:rFonts w:ascii="Times New Roman" w:eastAsia="Times New Roman" w:hAnsi="Times New Roman" w:cs="Times New Roman"/>
      <w:b/>
      <w:sz w:val="24"/>
      <w:szCs w:val="20"/>
      <w:lang w:eastAsia="es-ES"/>
    </w:rPr>
  </w:style>
  <w:style w:type="paragraph" w:styleId="Ttulo">
    <w:name w:val="Title"/>
    <w:basedOn w:val="Normal"/>
    <w:link w:val="TtuloCar"/>
    <w:qFormat/>
    <w:rsid w:val="00F51DB2"/>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F51DB2"/>
    <w:rPr>
      <w:rFonts w:ascii="Arial" w:eastAsia="Times New Roman" w:hAnsi="Arial" w:cs="Arial"/>
      <w:b/>
      <w:sz w:val="24"/>
      <w:szCs w:val="24"/>
      <w:lang w:eastAsia="es-ES"/>
    </w:rPr>
  </w:style>
  <w:style w:type="character" w:styleId="Nmerodepgina">
    <w:name w:val="page number"/>
    <w:basedOn w:val="Fuentedeprrafopredeter"/>
    <w:rsid w:val="00F51DB2"/>
  </w:style>
  <w:style w:type="paragraph" w:styleId="Encabezado">
    <w:name w:val="header"/>
    <w:basedOn w:val="Normal"/>
    <w:link w:val="EncabezadoCar"/>
    <w:rsid w:val="00F51DB2"/>
    <w:pPr>
      <w:tabs>
        <w:tab w:val="center" w:pos="4419"/>
        <w:tab w:val="right" w:pos="8838"/>
      </w:tabs>
    </w:pPr>
  </w:style>
  <w:style w:type="character" w:customStyle="1" w:styleId="EncabezadoCar">
    <w:name w:val="Encabezado Car"/>
    <w:basedOn w:val="Fuentedeprrafopredeter"/>
    <w:link w:val="Encabezado"/>
    <w:rsid w:val="00F51DB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51DB2"/>
    <w:pPr>
      <w:spacing w:after="120"/>
    </w:pPr>
  </w:style>
  <w:style w:type="character" w:customStyle="1" w:styleId="TextoindependienteCar">
    <w:name w:val="Texto independiente Car"/>
    <w:basedOn w:val="Fuentedeprrafopredeter"/>
    <w:link w:val="Textoindependiente"/>
    <w:rsid w:val="00F51DB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51DB2"/>
    <w:pPr>
      <w:ind w:left="708"/>
    </w:pPr>
  </w:style>
  <w:style w:type="paragraph" w:styleId="Textodeglobo">
    <w:name w:val="Balloon Text"/>
    <w:basedOn w:val="Normal"/>
    <w:link w:val="TextodegloboCar"/>
    <w:uiPriority w:val="99"/>
    <w:semiHidden/>
    <w:unhideWhenUsed/>
    <w:rsid w:val="00F51D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DB2"/>
    <w:rPr>
      <w:rFonts w:ascii="Tahoma" w:eastAsia="Times New Roman" w:hAnsi="Tahoma" w:cs="Tahoma"/>
      <w:sz w:val="16"/>
      <w:szCs w:val="16"/>
      <w:lang w:eastAsia="es-ES"/>
    </w:rPr>
  </w:style>
  <w:style w:type="paragraph" w:styleId="Piedepgina">
    <w:name w:val="footer"/>
    <w:basedOn w:val="Normal"/>
    <w:link w:val="PiedepginaCar"/>
    <w:uiPriority w:val="99"/>
    <w:semiHidden/>
    <w:unhideWhenUsed/>
    <w:rsid w:val="00F51DB2"/>
    <w:pPr>
      <w:tabs>
        <w:tab w:val="center" w:pos="4252"/>
        <w:tab w:val="right" w:pos="8504"/>
      </w:tabs>
    </w:pPr>
  </w:style>
  <w:style w:type="character" w:customStyle="1" w:styleId="PiedepginaCar">
    <w:name w:val="Pie de página Car"/>
    <w:basedOn w:val="Fuentedeprrafopredeter"/>
    <w:link w:val="Piedepgina"/>
    <w:uiPriority w:val="99"/>
    <w:semiHidden/>
    <w:rsid w:val="00F51DB2"/>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F906A1"/>
    <w:pPr>
      <w:spacing w:line="360" w:lineRule="auto"/>
      <w:jc w:val="both"/>
    </w:pPr>
    <w:rPr>
      <w:rFonts w:ascii="Arial" w:hAnsi="Arial"/>
      <w:szCs w:val="20"/>
      <w:lang w:val="es-ES_tradnl"/>
    </w:rPr>
  </w:style>
  <w:style w:type="character" w:styleId="Hipervnculo">
    <w:name w:val="Hyperlink"/>
    <w:basedOn w:val="Fuentedeprrafopredeter"/>
    <w:uiPriority w:val="99"/>
    <w:unhideWhenUsed/>
    <w:rsid w:val="00F906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esos@defensajur&#237;dica.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2060</Words>
  <Characters>11333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dc:description/>
  <cp:lastModifiedBy>csj</cp:lastModifiedBy>
  <cp:revision>5</cp:revision>
  <cp:lastPrinted>2013-09-19T15:05:00Z</cp:lastPrinted>
  <dcterms:created xsi:type="dcterms:W3CDTF">2013-10-24T16:36:00Z</dcterms:created>
  <dcterms:modified xsi:type="dcterms:W3CDTF">2013-10-24T16:47:00Z</dcterms:modified>
</cp:coreProperties>
</file>