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Juzgado Segundo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2015-00</w:t>
      </w:r>
      <w:r w:rsidR="004B1EB8">
        <w:rPr>
          <w:rFonts w:ascii="Arial" w:hAnsi="Arial" w:cs="Arial"/>
          <w:sz w:val="22"/>
        </w:rPr>
        <w:t>898</w:t>
      </w:r>
      <w:r w:rsidRPr="00A00766">
        <w:rPr>
          <w:rFonts w:ascii="Arial" w:hAnsi="Arial" w:cs="Arial"/>
          <w:sz w:val="22"/>
        </w:rPr>
        <w:t>-00 (Interno No.</w:t>
      </w:r>
      <w:r w:rsidR="004B1EB8">
        <w:rPr>
          <w:rFonts w:ascii="Arial" w:hAnsi="Arial" w:cs="Arial"/>
          <w:sz w:val="22"/>
        </w:rPr>
        <w:t>898</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r w:rsidR="00157CDD">
        <w:rPr>
          <w:rFonts w:ascii="Arial" w:hAnsi="Arial" w:cs="Arial"/>
          <w:sz w:val="22"/>
          <w:szCs w:val="22"/>
        </w:rPr>
        <w:t>- Mora Judicial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C60E9">
        <w:rPr>
          <w:rFonts w:ascii="Arial" w:hAnsi="Arial"/>
          <w:sz w:val="22"/>
          <w:szCs w:val="22"/>
        </w:rPr>
        <w:t xml:space="preserve">600 de </w:t>
      </w:r>
      <w:r w:rsidR="00075FCE">
        <w:rPr>
          <w:rFonts w:ascii="Arial" w:hAnsi="Arial"/>
          <w:sz w:val="22"/>
          <w:szCs w:val="22"/>
        </w:rPr>
        <w:t>0</w:t>
      </w:r>
      <w:r w:rsidR="007C60E9">
        <w:rPr>
          <w:rFonts w:ascii="Arial" w:hAnsi="Arial"/>
          <w:sz w:val="22"/>
          <w:szCs w:val="22"/>
        </w:rPr>
        <w:t>9-12-2015</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Risaralda, </w:t>
      </w:r>
      <w:r w:rsidR="007C60E9">
        <w:rPr>
          <w:rFonts w:ascii="Arial" w:hAnsi="Arial" w:cs="Arial"/>
          <w:iCs/>
          <w:smallCaps/>
          <w:szCs w:val="28"/>
          <w:lang w:val="es-CO"/>
        </w:rPr>
        <w:t xml:space="preserve">nueve </w:t>
      </w:r>
      <w:r w:rsidR="00437198">
        <w:rPr>
          <w:rFonts w:ascii="Arial" w:hAnsi="Arial" w:cs="Arial"/>
          <w:iCs/>
          <w:smallCaps/>
          <w:szCs w:val="28"/>
          <w:lang w:val="es-CO"/>
        </w:rPr>
        <w:t>(</w:t>
      </w:r>
      <w:r w:rsidR="007C60E9">
        <w:rPr>
          <w:rFonts w:ascii="Arial" w:hAnsi="Arial" w:cs="Arial"/>
          <w:iCs/>
          <w:smallCaps/>
          <w:szCs w:val="28"/>
          <w:lang w:val="es-CO"/>
        </w:rPr>
        <w:t>09</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4B1EB8">
        <w:rPr>
          <w:rFonts w:ascii="Arial" w:hAnsi="Arial" w:cs="Arial"/>
          <w:iCs/>
          <w:smallCaps/>
          <w:szCs w:val="28"/>
          <w:lang w:val="es-CO"/>
        </w:rPr>
        <w:t>diciembre</w:t>
      </w:r>
      <w:r w:rsidR="00437198">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Pr>
          <w:rFonts w:ascii="Arial" w:hAnsi="Arial" w:cs="Arial"/>
          <w:iCs/>
          <w:smallCaps/>
          <w:szCs w:val="28"/>
          <w:lang w:val="es-CO"/>
        </w:rPr>
        <w:t>quince</w:t>
      </w:r>
      <w:r w:rsidRPr="000B1B68">
        <w:rPr>
          <w:rFonts w:ascii="Arial" w:hAnsi="Arial" w:cs="Arial"/>
          <w:iCs/>
          <w:smallCaps/>
          <w:szCs w:val="28"/>
          <w:lang w:val="es-CO"/>
        </w:rPr>
        <w:t xml:space="preserve"> (201</w:t>
      </w:r>
      <w:r>
        <w:rPr>
          <w:rFonts w:ascii="Arial" w:hAnsi="Arial" w:cs="Arial"/>
          <w:iCs/>
          <w:smallCaps/>
          <w:szCs w:val="28"/>
          <w:lang w:val="es-CO"/>
        </w:rPr>
        <w:t>5</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4B1EB8" w:rsidRPr="00F9418E" w:rsidRDefault="004B1EB8" w:rsidP="004B1EB8">
      <w:pPr>
        <w:pStyle w:val="Textoindependiente"/>
        <w:spacing w:line="360" w:lineRule="auto"/>
        <w:rPr>
          <w:rFonts w:ascii="Arial" w:hAnsi="Arial"/>
          <w:szCs w:val="24"/>
        </w:rPr>
      </w:pPr>
      <w:r w:rsidRPr="00F9418E">
        <w:rPr>
          <w:rFonts w:ascii="Arial" w:hAnsi="Arial"/>
          <w:szCs w:val="24"/>
        </w:rPr>
        <w:t xml:space="preserve">La acción constitucional </w:t>
      </w:r>
      <w:r>
        <w:rPr>
          <w:rFonts w:ascii="Arial" w:hAnsi="Arial"/>
          <w:szCs w:val="24"/>
        </w:rPr>
        <w:t>ya referida</w:t>
      </w:r>
      <w:r w:rsidRPr="00F9418E">
        <w:rPr>
          <w:rFonts w:ascii="Arial" w:hAnsi="Arial"/>
          <w:szCs w:val="24"/>
        </w:rPr>
        <w:t xml:space="preserve">, </w:t>
      </w:r>
      <w:r>
        <w:rPr>
          <w:rFonts w:ascii="Arial" w:hAnsi="Arial"/>
          <w:szCs w:val="24"/>
        </w:rPr>
        <w:t>adelantada l</w:t>
      </w:r>
      <w:r w:rsidRPr="00F9418E">
        <w:rPr>
          <w:rFonts w:ascii="Arial" w:hAnsi="Arial"/>
          <w:szCs w:val="24"/>
        </w:rPr>
        <w:t>a actuación respectiva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9C568C" w:rsidRPr="00BA69B4" w:rsidRDefault="009C568C"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4B1EB8" w:rsidRDefault="004B1EB8" w:rsidP="004B1EB8">
      <w:pPr>
        <w:spacing w:line="360" w:lineRule="auto"/>
        <w:jc w:val="both"/>
        <w:rPr>
          <w:rFonts w:ascii="Arial" w:hAnsi="Arial" w:cs="Arial"/>
        </w:rPr>
      </w:pPr>
      <w:r>
        <w:rPr>
          <w:rFonts w:ascii="Arial" w:hAnsi="Arial" w:cs="Arial"/>
        </w:rPr>
        <w:t xml:space="preserve">Informó el peticionario que adelanta ante el accionado, </w:t>
      </w:r>
      <w:r w:rsidRPr="00AB48A7">
        <w:rPr>
          <w:rFonts w:ascii="Arial" w:hAnsi="Arial" w:cs="Arial"/>
        </w:rPr>
        <w:t>acción popular radicada al número 201</w:t>
      </w:r>
      <w:r>
        <w:rPr>
          <w:rFonts w:ascii="Arial" w:hAnsi="Arial" w:cs="Arial"/>
        </w:rPr>
        <w:t>4</w:t>
      </w:r>
      <w:r w:rsidRPr="00AB48A7">
        <w:rPr>
          <w:rFonts w:ascii="Arial" w:hAnsi="Arial" w:cs="Arial"/>
        </w:rPr>
        <w:t>-00</w:t>
      </w:r>
      <w:r>
        <w:rPr>
          <w:rFonts w:ascii="Arial" w:hAnsi="Arial" w:cs="Arial"/>
        </w:rPr>
        <w:t>150-00</w:t>
      </w:r>
      <w:r w:rsidRPr="00AB48A7">
        <w:rPr>
          <w:rFonts w:ascii="Arial" w:hAnsi="Arial" w:cs="Arial"/>
        </w:rPr>
        <w:t xml:space="preserve">, que </w:t>
      </w:r>
      <w:r>
        <w:rPr>
          <w:rFonts w:ascii="Arial" w:hAnsi="Arial" w:cs="Arial"/>
        </w:rPr>
        <w:t>ingresó a despacho para sentencia</w:t>
      </w:r>
      <w:r w:rsidR="00F20A08">
        <w:rPr>
          <w:rFonts w:ascii="Arial" w:hAnsi="Arial" w:cs="Arial"/>
        </w:rPr>
        <w:t xml:space="preserve">, </w:t>
      </w:r>
      <w:r>
        <w:rPr>
          <w:rFonts w:ascii="Arial" w:hAnsi="Arial" w:cs="Arial"/>
        </w:rPr>
        <w:t xml:space="preserve">a la fecha </w:t>
      </w:r>
      <w:r w:rsidR="007C60E9">
        <w:rPr>
          <w:rFonts w:ascii="Arial" w:hAnsi="Arial" w:cs="Arial"/>
        </w:rPr>
        <w:t xml:space="preserve">no ha sido fallada y </w:t>
      </w:r>
      <w:r>
        <w:rPr>
          <w:rFonts w:ascii="Arial" w:hAnsi="Arial" w:cs="Arial"/>
        </w:rPr>
        <w:t xml:space="preserve"> términos </w:t>
      </w:r>
      <w:r w:rsidR="007C60E9">
        <w:rPr>
          <w:rFonts w:ascii="Arial" w:hAnsi="Arial" w:cs="Arial"/>
        </w:rPr>
        <w:t>se encuentran vencidos</w:t>
      </w:r>
      <w:r>
        <w:rPr>
          <w:rFonts w:ascii="Arial" w:hAnsi="Arial" w:cs="Arial"/>
        </w:rPr>
        <w:t xml:space="preserve"> </w:t>
      </w:r>
      <w:r w:rsidRPr="00AF753A">
        <w:rPr>
          <w:rFonts w:ascii="Arial" w:hAnsi="Arial" w:cs="Arial"/>
        </w:rPr>
        <w:t>(Folio</w:t>
      </w:r>
      <w:r>
        <w:rPr>
          <w:rFonts w:ascii="Arial" w:hAnsi="Arial" w:cs="Arial"/>
        </w:rPr>
        <w:t xml:space="preserve"> 1</w:t>
      </w:r>
      <w:r w:rsidRPr="00AF753A">
        <w:rPr>
          <w:rFonts w:ascii="Arial" w:hAnsi="Arial" w:cs="Arial"/>
        </w:rPr>
        <w:t xml:space="preserve">, </w:t>
      </w:r>
      <w:r>
        <w:rPr>
          <w:rFonts w:ascii="Arial" w:hAnsi="Arial" w:cs="Arial"/>
        </w:rPr>
        <w:t>del cuaderno No.1)</w:t>
      </w:r>
      <w:r w:rsidRPr="00AF753A">
        <w:rPr>
          <w:rFonts w:ascii="Arial" w:hAnsi="Arial" w:cs="Arial"/>
        </w:rPr>
        <w:t xml:space="preserve">. </w:t>
      </w:r>
    </w:p>
    <w:p w:rsidR="00EC57DE" w:rsidRPr="00BA69B4" w:rsidRDefault="00EC57DE" w:rsidP="0099045D">
      <w:pPr>
        <w:pStyle w:val="Textoindependiente"/>
        <w:spacing w:line="360" w:lineRule="auto"/>
        <w:rPr>
          <w:rFonts w:ascii="Arial" w:hAnsi="Arial"/>
          <w:szCs w:val="24"/>
          <w:lang w:val="es-CO"/>
        </w:rPr>
      </w:pPr>
    </w:p>
    <w:p w:rsidR="002B0607" w:rsidRPr="00BA69B4"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debida administración de justicia.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lastRenderedPageBreak/>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proferir sentencia en forma inmediata y sin dilación; (iii) Se sancione al accionado por incumplir los términos para proferir sentencia; (iv) Se le envíe copia escaneada de esta acción al correo electrónico; y, (v) Se envíe copia de la acción a la Oficina Judicial de Reparto de Manizales para que tramite tutela en contra de la Defensora del Pueblo (Folio 1, </w:t>
      </w:r>
      <w:r>
        <w:rPr>
          <w:rFonts w:ascii="Arial" w:hAnsi="Arial" w:cs="Arial"/>
        </w:rPr>
        <w:t>del cuaderno No.1</w:t>
      </w:r>
      <w:r>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B1EB8" w:rsidRPr="004B019A" w:rsidRDefault="004B1EB8" w:rsidP="004B1EB8">
      <w:pPr>
        <w:spacing w:line="360" w:lineRule="auto"/>
        <w:jc w:val="both"/>
        <w:rPr>
          <w:rFonts w:ascii="Arial" w:hAnsi="Arial" w:cs="Arial"/>
        </w:rPr>
      </w:pPr>
      <w:r w:rsidRPr="004B019A">
        <w:rPr>
          <w:rFonts w:ascii="Arial" w:hAnsi="Arial" w:cs="Arial"/>
          <w:color w:val="000000"/>
        </w:rPr>
        <w:t>En reparto ordinario del día 2</w:t>
      </w:r>
      <w:r>
        <w:rPr>
          <w:rFonts w:ascii="Arial" w:hAnsi="Arial" w:cs="Arial"/>
          <w:color w:val="000000"/>
        </w:rPr>
        <w:t>7-11</w:t>
      </w:r>
      <w:r w:rsidRPr="004B019A">
        <w:rPr>
          <w:rFonts w:ascii="Arial" w:hAnsi="Arial" w:cs="Arial"/>
          <w:color w:val="000000"/>
        </w:rPr>
        <w:t xml:space="preserve">-2015 correspondió a este Despacho, con providencia </w:t>
      </w:r>
      <w:r w:rsidR="007C60E9">
        <w:rPr>
          <w:rFonts w:ascii="Arial" w:hAnsi="Arial" w:cs="Arial"/>
          <w:color w:val="000000"/>
        </w:rPr>
        <w:t>de la misma fecha</w:t>
      </w:r>
      <w:r w:rsidRPr="004B019A">
        <w:rPr>
          <w:rFonts w:ascii="Arial" w:hAnsi="Arial" w:cs="Arial"/>
          <w:color w:val="000000"/>
        </w:rPr>
        <w:t xml:space="preserve">, se admitió, se vinculó a quienes se estimó conveniente y, se dispuso notificar a la partes (Folios 4 y 5, ídem). Fueron debidamente enterados los extremos de la acción (Folios </w:t>
      </w:r>
      <w:r w:rsidR="00827F4A">
        <w:rPr>
          <w:rFonts w:ascii="Arial" w:hAnsi="Arial" w:cs="Arial"/>
          <w:color w:val="000000"/>
        </w:rPr>
        <w:t>6 a 7</w:t>
      </w:r>
      <w:r w:rsidRPr="004B019A">
        <w:rPr>
          <w:rFonts w:ascii="Arial" w:hAnsi="Arial" w:cs="Arial"/>
          <w:color w:val="000000"/>
        </w:rPr>
        <w:t>, ídem). Contest</w:t>
      </w:r>
      <w:r w:rsidR="00F20A08">
        <w:rPr>
          <w:rFonts w:ascii="Arial" w:hAnsi="Arial" w:cs="Arial"/>
          <w:color w:val="000000"/>
        </w:rPr>
        <w:t>ó</w:t>
      </w:r>
      <w:r>
        <w:rPr>
          <w:rFonts w:ascii="Arial" w:hAnsi="Arial" w:cs="Arial"/>
          <w:color w:val="000000"/>
        </w:rPr>
        <w:t xml:space="preserve"> </w:t>
      </w:r>
      <w:r>
        <w:rPr>
          <w:rFonts w:ascii="Arial" w:hAnsi="Arial"/>
        </w:rPr>
        <w:t xml:space="preserve">la Procuraduría </w:t>
      </w:r>
      <w:r>
        <w:rPr>
          <w:rFonts w:ascii="Arial" w:hAnsi="Arial" w:cs="Arial"/>
        </w:rPr>
        <w:t xml:space="preserve">de la Nación </w:t>
      </w:r>
      <w:r>
        <w:rPr>
          <w:rFonts w:ascii="Arial" w:hAnsi="Arial"/>
        </w:rPr>
        <w:t>Regional de Risaralda</w:t>
      </w:r>
      <w:r w:rsidRPr="004B019A">
        <w:rPr>
          <w:rFonts w:ascii="Arial" w:hAnsi="Arial" w:cs="Arial"/>
        </w:rPr>
        <w:t xml:space="preserve"> (Folios </w:t>
      </w:r>
      <w:r w:rsidR="00827F4A">
        <w:rPr>
          <w:rFonts w:ascii="Arial" w:hAnsi="Arial" w:cs="Arial"/>
        </w:rPr>
        <w:t>8</w:t>
      </w:r>
      <w:r>
        <w:rPr>
          <w:rFonts w:ascii="Arial" w:hAnsi="Arial" w:cs="Arial"/>
        </w:rPr>
        <w:t xml:space="preserve"> a 11</w:t>
      </w:r>
      <w:r w:rsidRPr="004B019A">
        <w:rPr>
          <w:rFonts w:ascii="Arial" w:hAnsi="Arial" w:cs="Arial"/>
        </w:rPr>
        <w:t>, ídem)</w:t>
      </w:r>
      <w:r w:rsidR="00827F4A">
        <w:rPr>
          <w:rFonts w:ascii="Arial" w:hAnsi="Arial" w:cs="Arial"/>
        </w:rPr>
        <w:t>, el Juzgado accionado (Folios 12 a 21 y 36 a 38, ídem), la Alcaldía Municipal de Pereira (Folios 22 a 29) y la Personería Municipal (Folios 30 a 34, ib.).</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Default="00310F89" w:rsidP="00310F89">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310F89" w:rsidP="00310F89">
      <w:pPr>
        <w:spacing w:line="360" w:lineRule="auto"/>
        <w:jc w:val="both"/>
        <w:rPr>
          <w:rFonts w:ascii="Arial" w:hAnsi="Arial"/>
        </w:rPr>
      </w:pPr>
      <w:r>
        <w:rPr>
          <w:rFonts w:ascii="Arial" w:hAnsi="Arial"/>
        </w:rPr>
        <w:t xml:space="preserve">Recordó su papel en las acciones populares, estima que la situación alegada, es ajena a su función, de allí que solicitó su desvinculación (Folio </w:t>
      </w:r>
      <w:r w:rsidR="00827F4A">
        <w:rPr>
          <w:rFonts w:ascii="Arial" w:hAnsi="Arial"/>
        </w:rPr>
        <w:t>8 a 9</w:t>
      </w:r>
      <w:r>
        <w:rPr>
          <w:rFonts w:ascii="Arial" w:hAnsi="Arial"/>
        </w:rPr>
        <w:t xml:space="preserve">, ib.). </w:t>
      </w:r>
    </w:p>
    <w:p w:rsidR="00827F4A" w:rsidRDefault="00827F4A" w:rsidP="00310F89">
      <w:pPr>
        <w:spacing w:line="360" w:lineRule="auto"/>
        <w:jc w:val="both"/>
        <w:rPr>
          <w:rFonts w:ascii="Arial" w:hAnsi="Arial"/>
        </w:rPr>
      </w:pPr>
    </w:p>
    <w:p w:rsidR="00827F4A" w:rsidRDefault="00827F4A" w:rsidP="00827F4A">
      <w:pPr>
        <w:pStyle w:val="Prrafodelista"/>
        <w:numPr>
          <w:ilvl w:val="1"/>
          <w:numId w:val="18"/>
        </w:numPr>
        <w:spacing w:line="360" w:lineRule="auto"/>
        <w:jc w:val="both"/>
        <w:rPr>
          <w:rFonts w:ascii="Arial" w:hAnsi="Arial"/>
        </w:rPr>
      </w:pPr>
      <w:r>
        <w:rPr>
          <w:rFonts w:ascii="Arial" w:hAnsi="Arial"/>
        </w:rPr>
        <w:t>El Juzgado Segundo Civil del Circuito de Pereira</w:t>
      </w:r>
    </w:p>
    <w:p w:rsidR="00827F4A" w:rsidRDefault="00827F4A" w:rsidP="00827F4A">
      <w:pPr>
        <w:spacing w:line="360" w:lineRule="auto"/>
        <w:jc w:val="both"/>
        <w:rPr>
          <w:rFonts w:ascii="Arial" w:hAnsi="Arial"/>
        </w:rPr>
      </w:pPr>
    </w:p>
    <w:p w:rsidR="00827F4A" w:rsidRDefault="00827F4A" w:rsidP="00827F4A">
      <w:pPr>
        <w:spacing w:line="360" w:lineRule="auto"/>
        <w:jc w:val="both"/>
        <w:rPr>
          <w:rFonts w:ascii="Arial" w:hAnsi="Arial"/>
        </w:rPr>
      </w:pPr>
      <w:r>
        <w:rPr>
          <w:rFonts w:ascii="Arial" w:hAnsi="Arial"/>
        </w:rPr>
        <w:t xml:space="preserve">La titular del Despacho, </w:t>
      </w:r>
      <w:r w:rsidR="00FC0892">
        <w:rPr>
          <w:rFonts w:ascii="Arial" w:hAnsi="Arial"/>
        </w:rPr>
        <w:t>solicitó</w:t>
      </w:r>
      <w:r w:rsidR="00206398">
        <w:rPr>
          <w:rFonts w:ascii="Arial" w:hAnsi="Arial"/>
        </w:rPr>
        <w:t xml:space="preserve"> que se declare la </w:t>
      </w:r>
      <w:r>
        <w:rPr>
          <w:rFonts w:ascii="Arial" w:hAnsi="Arial"/>
        </w:rPr>
        <w:t xml:space="preserve">temeridad </w:t>
      </w:r>
      <w:r w:rsidR="00206398">
        <w:rPr>
          <w:rFonts w:ascii="Arial" w:hAnsi="Arial"/>
        </w:rPr>
        <w:t xml:space="preserve">en la actuación, puesto que </w:t>
      </w:r>
      <w:r>
        <w:rPr>
          <w:rFonts w:ascii="Arial" w:hAnsi="Arial"/>
        </w:rPr>
        <w:t xml:space="preserve">el actor ya había presentado </w:t>
      </w:r>
      <w:r w:rsidR="00206398">
        <w:rPr>
          <w:rFonts w:ascii="Arial" w:hAnsi="Arial"/>
        </w:rPr>
        <w:t xml:space="preserve">una </w:t>
      </w:r>
      <w:r>
        <w:rPr>
          <w:rFonts w:ascii="Arial" w:hAnsi="Arial"/>
        </w:rPr>
        <w:t xml:space="preserve">acción de tutela </w:t>
      </w:r>
      <w:r w:rsidR="00FC0892">
        <w:rPr>
          <w:rFonts w:ascii="Arial" w:hAnsi="Arial"/>
        </w:rPr>
        <w:t>por</w:t>
      </w:r>
      <w:r>
        <w:rPr>
          <w:rFonts w:ascii="Arial" w:hAnsi="Arial"/>
        </w:rPr>
        <w:t xml:space="preserve"> los mismos hechos (Folio 12, ib.). Posteriormente </w:t>
      </w:r>
      <w:r w:rsidR="00FC0892">
        <w:rPr>
          <w:rFonts w:ascii="Arial" w:hAnsi="Arial"/>
        </w:rPr>
        <w:t>envió</w:t>
      </w:r>
      <w:r w:rsidR="00206398">
        <w:rPr>
          <w:rFonts w:ascii="Arial" w:hAnsi="Arial"/>
        </w:rPr>
        <w:t xml:space="preserve"> un escrito donde detalla los procesos que están a despacho para dictar sentencia (Folio 36, ibídem)</w:t>
      </w:r>
      <w:r w:rsidR="00FC0892">
        <w:rPr>
          <w:rFonts w:ascii="Arial" w:hAnsi="Arial"/>
        </w:rPr>
        <w:t>.</w:t>
      </w:r>
    </w:p>
    <w:p w:rsidR="00827F4A" w:rsidRDefault="00827F4A" w:rsidP="00206398">
      <w:pPr>
        <w:pStyle w:val="Prrafodelista"/>
        <w:spacing w:line="360" w:lineRule="auto"/>
        <w:ind w:left="720"/>
        <w:jc w:val="both"/>
        <w:rPr>
          <w:rFonts w:ascii="Arial" w:hAnsi="Arial"/>
        </w:rPr>
      </w:pPr>
    </w:p>
    <w:p w:rsidR="00206398" w:rsidRDefault="00206398" w:rsidP="00206398">
      <w:pPr>
        <w:pStyle w:val="Prrafodelista"/>
        <w:numPr>
          <w:ilvl w:val="1"/>
          <w:numId w:val="18"/>
        </w:numPr>
        <w:spacing w:line="360" w:lineRule="auto"/>
        <w:jc w:val="both"/>
        <w:rPr>
          <w:rFonts w:ascii="Arial" w:hAnsi="Arial"/>
        </w:rPr>
      </w:pPr>
      <w:r>
        <w:rPr>
          <w:rFonts w:ascii="Arial" w:hAnsi="Arial"/>
        </w:rPr>
        <w:t>La Alcaldía de Pereira</w:t>
      </w:r>
    </w:p>
    <w:p w:rsidR="00206398" w:rsidRDefault="00206398" w:rsidP="00206398">
      <w:pPr>
        <w:spacing w:line="360" w:lineRule="auto"/>
        <w:jc w:val="both"/>
        <w:rPr>
          <w:rFonts w:ascii="Arial" w:hAnsi="Arial"/>
        </w:rPr>
      </w:pPr>
    </w:p>
    <w:p w:rsidR="00206398" w:rsidRDefault="00206398" w:rsidP="00206398">
      <w:pPr>
        <w:spacing w:line="360" w:lineRule="auto"/>
        <w:jc w:val="both"/>
        <w:rPr>
          <w:rFonts w:ascii="Arial" w:hAnsi="Arial"/>
        </w:rPr>
      </w:pPr>
      <w:r>
        <w:rPr>
          <w:rFonts w:ascii="Arial" w:hAnsi="Arial"/>
        </w:rPr>
        <w:t xml:space="preserve">Consideró que no está legitimada en el extremo pasivo de esta acción, porque aún </w:t>
      </w:r>
      <w:r w:rsidR="00FC0892">
        <w:rPr>
          <w:rFonts w:ascii="Arial" w:hAnsi="Arial"/>
        </w:rPr>
        <w:t>falta notificarle</w:t>
      </w:r>
      <w:r>
        <w:rPr>
          <w:rFonts w:ascii="Arial" w:hAnsi="Arial"/>
        </w:rPr>
        <w:t xml:space="preserve"> la acción popular y además la presunta vulneración solo es atribuible al accionado; en esas condiciones estimó que debe negarse la tutela contra esa entidad </w:t>
      </w:r>
      <w:r>
        <w:rPr>
          <w:rFonts w:ascii="Arial" w:hAnsi="Arial"/>
        </w:rPr>
        <w:lastRenderedPageBreak/>
        <w:t xml:space="preserve">(Folios </w:t>
      </w:r>
      <w:r>
        <w:rPr>
          <w:rFonts w:ascii="Arial" w:hAnsi="Arial" w:cs="Arial"/>
          <w:spacing w:val="3"/>
        </w:rPr>
        <w:t>22 a 25,</w:t>
      </w:r>
      <w:r>
        <w:rPr>
          <w:rFonts w:ascii="Arial" w:hAnsi="Arial"/>
        </w:rPr>
        <w:t xml:space="preserve"> ib.).</w:t>
      </w:r>
    </w:p>
    <w:p w:rsidR="00206398" w:rsidRDefault="00206398" w:rsidP="00206398">
      <w:pPr>
        <w:spacing w:line="360" w:lineRule="auto"/>
        <w:jc w:val="both"/>
        <w:rPr>
          <w:rFonts w:ascii="Arial" w:hAnsi="Arial"/>
        </w:rPr>
      </w:pPr>
    </w:p>
    <w:p w:rsidR="00DD597F" w:rsidRDefault="00DD597F" w:rsidP="00DD597F">
      <w:pPr>
        <w:pStyle w:val="Prrafodelista"/>
        <w:numPr>
          <w:ilvl w:val="1"/>
          <w:numId w:val="18"/>
        </w:numPr>
        <w:spacing w:line="360" w:lineRule="auto"/>
        <w:jc w:val="both"/>
        <w:rPr>
          <w:rFonts w:ascii="Arial" w:hAnsi="Arial"/>
        </w:rPr>
      </w:pPr>
      <w:r>
        <w:rPr>
          <w:rFonts w:ascii="Arial" w:hAnsi="Arial"/>
        </w:rPr>
        <w:t>La Personería Municipal de Pereira</w:t>
      </w:r>
    </w:p>
    <w:p w:rsidR="00DD597F" w:rsidRDefault="00DD597F" w:rsidP="00DD597F">
      <w:pPr>
        <w:pStyle w:val="Prrafodelista"/>
        <w:spacing w:line="360" w:lineRule="auto"/>
        <w:ind w:left="720"/>
        <w:jc w:val="both"/>
        <w:rPr>
          <w:rFonts w:ascii="Arial" w:hAnsi="Arial"/>
        </w:rPr>
      </w:pPr>
    </w:p>
    <w:p w:rsidR="00DD597F" w:rsidRDefault="00DD597F" w:rsidP="00DD597F">
      <w:pPr>
        <w:spacing w:line="360" w:lineRule="auto"/>
        <w:jc w:val="both"/>
        <w:rPr>
          <w:rFonts w:ascii="Arial" w:hAnsi="Arial"/>
        </w:rPr>
      </w:pPr>
      <w:r>
        <w:rPr>
          <w:rFonts w:ascii="Arial" w:hAnsi="Arial"/>
        </w:rPr>
        <w:t>Precisó que desconoce la acci</w:t>
      </w:r>
      <w:r w:rsidR="00CE4238">
        <w:rPr>
          <w:rFonts w:ascii="Arial" w:hAnsi="Arial"/>
        </w:rPr>
        <w:t>ón</w:t>
      </w:r>
      <w:r>
        <w:rPr>
          <w:rFonts w:ascii="Arial" w:hAnsi="Arial"/>
        </w:rPr>
        <w:t xml:space="preserve"> popular y </w:t>
      </w:r>
      <w:r w:rsidR="008A0298">
        <w:rPr>
          <w:rFonts w:ascii="Arial" w:hAnsi="Arial"/>
        </w:rPr>
        <w:t>de existir</w:t>
      </w:r>
      <w:r>
        <w:rPr>
          <w:rFonts w:ascii="Arial" w:hAnsi="Arial"/>
        </w:rPr>
        <w:t xml:space="preserve"> </w:t>
      </w:r>
      <w:r w:rsidRPr="00FF4929">
        <w:rPr>
          <w:rFonts w:ascii="Arial" w:hAnsi="Arial"/>
        </w:rPr>
        <w:t>la presunta vulneración</w:t>
      </w:r>
      <w:r>
        <w:rPr>
          <w:rFonts w:ascii="Arial" w:hAnsi="Arial"/>
        </w:rPr>
        <w:t>,</w:t>
      </w:r>
      <w:r w:rsidRPr="00FF4929">
        <w:rPr>
          <w:rFonts w:ascii="Arial" w:hAnsi="Arial"/>
        </w:rPr>
        <w:t xml:space="preserve"> </w:t>
      </w:r>
      <w:r>
        <w:rPr>
          <w:rFonts w:ascii="Arial" w:hAnsi="Arial"/>
        </w:rPr>
        <w:t xml:space="preserve">solo le es imputable </w:t>
      </w:r>
      <w:r w:rsidRPr="00FF4929">
        <w:rPr>
          <w:rFonts w:ascii="Arial" w:hAnsi="Arial"/>
        </w:rPr>
        <w:t>al accionado</w:t>
      </w:r>
      <w:r>
        <w:rPr>
          <w:rFonts w:ascii="Arial" w:hAnsi="Arial"/>
        </w:rPr>
        <w:t>. Mencionó que es</w:t>
      </w:r>
      <w:r w:rsidR="00DF43FF">
        <w:rPr>
          <w:rFonts w:ascii="Arial" w:hAnsi="Arial"/>
        </w:rPr>
        <w:t xml:space="preserve"> responsabilidad</w:t>
      </w:r>
      <w:r>
        <w:rPr>
          <w:rFonts w:ascii="Arial" w:hAnsi="Arial"/>
        </w:rPr>
        <w:t xml:space="preserve"> de los estrados judiciales tramitar las acciones</w:t>
      </w:r>
      <w:r w:rsidR="00DF43FF">
        <w:rPr>
          <w:rFonts w:ascii="Arial" w:hAnsi="Arial"/>
        </w:rPr>
        <w:t>,</w:t>
      </w:r>
      <w:r>
        <w:rPr>
          <w:rFonts w:ascii="Arial" w:hAnsi="Arial"/>
        </w:rPr>
        <w:t xml:space="preserve"> pero </w:t>
      </w:r>
      <w:r w:rsidR="00DF43FF">
        <w:rPr>
          <w:rFonts w:ascii="Arial" w:hAnsi="Arial"/>
        </w:rPr>
        <w:t xml:space="preserve">es deber del </w:t>
      </w:r>
      <w:r>
        <w:rPr>
          <w:rFonts w:ascii="Arial" w:hAnsi="Arial"/>
        </w:rPr>
        <w:t xml:space="preserve">actor probar los supuestos de hecho en los que se fundan (Folios </w:t>
      </w:r>
      <w:r w:rsidR="00CE4238">
        <w:rPr>
          <w:rFonts w:ascii="Arial" w:hAnsi="Arial" w:cs="Arial"/>
          <w:spacing w:val="3"/>
        </w:rPr>
        <w:t>30 a 32</w:t>
      </w:r>
      <w:r w:rsidR="00582A15">
        <w:rPr>
          <w:rFonts w:ascii="Arial" w:hAnsi="Arial" w:cs="Arial"/>
          <w:spacing w:val="3"/>
        </w:rPr>
        <w:t>,</w:t>
      </w:r>
      <w:r>
        <w:rPr>
          <w:rFonts w:ascii="Arial" w:hAnsi="Arial"/>
        </w:rPr>
        <w:t xml:space="preserve"> </w:t>
      </w:r>
      <w:r w:rsidR="00582A15">
        <w:rPr>
          <w:rFonts w:ascii="Arial" w:hAnsi="Arial"/>
        </w:rPr>
        <w:t>ib.</w:t>
      </w:r>
      <w:r>
        <w:rPr>
          <w:rFonts w:ascii="Arial" w:hAnsi="Arial"/>
        </w:rPr>
        <w:t>)</w:t>
      </w:r>
      <w:r w:rsidRPr="00FF4929">
        <w:rPr>
          <w:rFonts w:ascii="Arial" w:hAnsi="Arial"/>
        </w:rPr>
        <w:t>.</w:t>
      </w:r>
    </w:p>
    <w:p w:rsidR="0038283B" w:rsidRDefault="0038283B" w:rsidP="006F4450">
      <w:pPr>
        <w:spacing w:line="360" w:lineRule="auto"/>
        <w:jc w:val="both"/>
        <w:rPr>
          <w:rFonts w:ascii="Arial" w:hAnsi="Arial"/>
          <w:highlight w:val="yellow"/>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Segundo </w:t>
      </w:r>
      <w:r w:rsidR="00EE1C51" w:rsidRPr="00EE1C51">
        <w:rPr>
          <w:rFonts w:ascii="Arial" w:hAnsi="Arial" w:cs="Arial"/>
          <w:color w:val="000000"/>
          <w:sz w:val="24"/>
          <w:szCs w:val="24"/>
        </w:rPr>
        <w:t xml:space="preserve">Civil del Circuito de </w:t>
      </w:r>
      <w:r w:rsidR="00CB0B9E">
        <w:rPr>
          <w:rFonts w:ascii="Arial" w:hAnsi="Arial" w:cs="Arial"/>
          <w:color w:val="000000"/>
          <w:sz w:val="24"/>
          <w:szCs w:val="24"/>
        </w:rPr>
        <w:t xml:space="preserve">Pereira </w:t>
      </w:r>
      <w:r w:rsidRPr="00EE1C51">
        <w:rPr>
          <w:rFonts w:ascii="Arial" w:hAnsi="Arial" w:cs="Arial"/>
          <w:sz w:val="24"/>
          <w:szCs w:val="24"/>
        </w:rPr>
        <w:t>(Artículos 86 de la CP, 37 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CE4238"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del proceso judicial en el que se 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6024C">
        <w:rPr>
          <w:rFonts w:ascii="Arial" w:hAnsi="Arial" w:cs="Arial"/>
          <w:color w:val="000000"/>
          <w:szCs w:val="24"/>
        </w:rPr>
        <w:t xml:space="preserve">Segundo </w:t>
      </w:r>
      <w:r w:rsidR="00CB0B9E">
        <w:rPr>
          <w:rFonts w:ascii="Arial" w:hAnsi="Arial" w:cs="Arial"/>
          <w:szCs w:val="24"/>
        </w:rPr>
        <w:t xml:space="preserve">Civil del Circuito de 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CB0B9E">
        <w:rPr>
          <w:rFonts w:ascii="Arial" w:hAnsi="Arial" w:cs="Arial"/>
          <w:szCs w:val="24"/>
        </w:rPr>
        <w:t>conoc</w:t>
      </w:r>
      <w:r>
        <w:rPr>
          <w:rFonts w:ascii="Arial" w:hAnsi="Arial" w:cs="Arial"/>
          <w:szCs w:val="24"/>
        </w:rPr>
        <w:t>e el asunto</w:t>
      </w:r>
      <w:r w:rsidR="005427D5">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E606C4" w:rsidRPr="00AE73C7" w:rsidRDefault="00FD49FE" w:rsidP="00E606C4">
      <w:pPr>
        <w:pStyle w:val="Textoindependiente"/>
        <w:spacing w:line="360" w:lineRule="auto"/>
        <w:rPr>
          <w:rFonts w:ascii="Arial" w:hAnsi="Arial" w:cs="Arial"/>
          <w:szCs w:val="24"/>
        </w:rPr>
      </w:pPr>
      <w:r>
        <w:rPr>
          <w:rFonts w:ascii="Arial" w:hAnsi="Arial" w:cs="Arial"/>
          <w:szCs w:val="24"/>
        </w:rPr>
        <w:t>Los vinculados a este trámite, como eventuales afectados con la acción constitucional, no incurrieron en violación o amenaza alguna</w:t>
      </w:r>
      <w:r w:rsidRPr="00902F93">
        <w:rPr>
          <w:rFonts w:ascii="Arial" w:hAnsi="Arial" w:cs="Arial"/>
          <w:szCs w:val="24"/>
        </w:rPr>
        <w:t>.</w:t>
      </w:r>
      <w:r w:rsidR="00E606C4" w:rsidRPr="00E606C4">
        <w:rPr>
          <w:rFonts w:ascii="Arial" w:hAnsi="Arial" w:cs="Arial"/>
          <w:szCs w:val="24"/>
        </w:rPr>
        <w:t xml:space="preserve"> </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6024C">
        <w:rPr>
          <w:rFonts w:ascii="Arial" w:hAnsi="Arial" w:cs="Arial"/>
          <w:color w:val="000000"/>
        </w:rPr>
        <w:t xml:space="preserve">Segundo </w:t>
      </w:r>
      <w:r w:rsidR="00CB0B9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 acción</w:t>
      </w:r>
      <w:r w:rsidR="00CB0B9E">
        <w:rPr>
          <w:rFonts w:ascii="Arial" w:hAnsi="Arial" w:cs="Arial"/>
          <w:spacing w:val="-3"/>
          <w:lang w:val="es-ES_tradnl"/>
        </w:rPr>
        <w:t xml:space="preserve"> popular,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lastRenderedPageBreak/>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lastRenderedPageBreak/>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lastRenderedPageBreak/>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6B3755" w:rsidRDefault="006B3755" w:rsidP="0062273B">
      <w:pPr>
        <w:spacing w:line="360" w:lineRule="auto"/>
        <w:jc w:val="both"/>
        <w:rPr>
          <w:rFonts w:ascii="Arial" w:hAnsi="Arial" w:cs="Arial"/>
          <w:lang w:val="es-ES_tradnl"/>
        </w:rPr>
      </w:pPr>
    </w:p>
    <w:p w:rsidR="00A25373" w:rsidRDefault="00A25373" w:rsidP="0062273B">
      <w:pPr>
        <w:spacing w:line="360" w:lineRule="auto"/>
        <w:jc w:val="both"/>
        <w:rPr>
          <w:rFonts w:ascii="Arial" w:hAnsi="Arial" w:cs="Arial"/>
          <w:lang w:val="es-ES_tradnl"/>
        </w:rPr>
      </w:pPr>
      <w:r>
        <w:rPr>
          <w:rFonts w:ascii="Arial" w:hAnsi="Arial" w:cs="Arial"/>
          <w:lang w:val="es-ES_tradnl"/>
        </w:rPr>
        <w:t>7.4.3. La mora judicial</w:t>
      </w:r>
    </w:p>
    <w:p w:rsidR="00F455DA" w:rsidRDefault="00F455DA" w:rsidP="0062273B">
      <w:pPr>
        <w:spacing w:line="360" w:lineRule="auto"/>
        <w:jc w:val="both"/>
        <w:rPr>
          <w:rFonts w:ascii="Arial" w:hAnsi="Arial" w:cs="Arial"/>
          <w:lang w:val="es-ES_tradnl"/>
        </w:rPr>
      </w:pPr>
    </w:p>
    <w:p w:rsidR="00F455DA" w:rsidRDefault="00F455DA" w:rsidP="0062273B">
      <w:pPr>
        <w:spacing w:line="360" w:lineRule="auto"/>
        <w:jc w:val="both"/>
        <w:rPr>
          <w:rFonts w:ascii="Arial" w:hAnsi="Arial" w:cs="Arial"/>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574D42">
        <w:rPr>
          <w:rFonts w:ascii="Arial" w:hAnsi="Arial" w:cs="Arial"/>
          <w:lang w:val="es-ES_tradnl"/>
        </w:rPr>
        <w:t>í</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14"/>
      </w:r>
    </w:p>
    <w:p w:rsidR="00F455DA" w:rsidRDefault="00F455DA" w:rsidP="0062273B">
      <w:pPr>
        <w:spacing w:line="360" w:lineRule="auto"/>
        <w:jc w:val="both"/>
        <w:rPr>
          <w:rFonts w:ascii="Arial" w:hAnsi="Arial" w:cs="Arial"/>
          <w:lang w:val="es-ES_tradnl"/>
        </w:rPr>
      </w:pPr>
    </w:p>
    <w:p w:rsidR="00A25373" w:rsidRPr="00A25373" w:rsidRDefault="00A25373" w:rsidP="00F455DA">
      <w:pPr>
        <w:ind w:left="567" w:right="567"/>
        <w:jc w:val="both"/>
        <w:rPr>
          <w:rFonts w:ascii="Arial" w:hAnsi="Arial" w:cs="Arial"/>
          <w:lang w:val="es-CO"/>
        </w:rPr>
      </w:pPr>
      <w:r w:rsidRPr="00A25373">
        <w:rPr>
          <w:rFonts w:ascii="Arial" w:hAnsi="Arial" w:cs="Arial"/>
          <w:lang w:val="es-ES_tradnl"/>
        </w:rPr>
        <w:t xml:space="preserve">3.5.4. Ahora bien, según la jurisprudencia constitucional, en los casos en que se presenta un incumplimiento en los términos procesales, más allá de que se acredite la inexistencia de otro defensa judicial, la prosperidad del amparo se somete a que </w:t>
      </w:r>
      <w:r w:rsidRPr="00A25373">
        <w:rPr>
          <w:rFonts w:ascii="Arial" w:hAnsi="Arial" w:cs="Arial"/>
          <w:lang w:val="es-CO"/>
        </w:rPr>
        <w:t xml:space="preserve">(i) el funcionario haya incurrido en </w:t>
      </w:r>
      <w:r w:rsidRPr="00A25373">
        <w:rPr>
          <w:rFonts w:ascii="Arial" w:hAnsi="Arial" w:cs="Arial"/>
          <w:i/>
          <w:lang w:val="es-CO"/>
        </w:rPr>
        <w:t>mora judicial injustificada</w:t>
      </w:r>
      <w:r w:rsidRPr="00A25373">
        <w:rPr>
          <w:rFonts w:ascii="Arial" w:hAnsi="Arial" w:cs="Arial"/>
          <w:lang w:val="es-CO"/>
        </w:rPr>
        <w:t xml:space="preserve"> y que (ii) se este</w:t>
      </w:r>
      <w:r w:rsidR="00FC0892">
        <w:rPr>
          <w:rFonts w:ascii="Arial" w:hAnsi="Arial" w:cs="Arial"/>
          <w:lang w:val="es-CO"/>
        </w:rPr>
        <w:t xml:space="preserve"> (Sic)</w:t>
      </w:r>
      <w:r w:rsidRPr="00A25373">
        <w:rPr>
          <w:rFonts w:ascii="Arial" w:hAnsi="Arial" w:cs="Arial"/>
          <w:lang w:val="es-CO"/>
        </w:rPr>
        <w:t xml:space="preserve"> ante la posibilidad de que se materialice un daño que genere un perjuicio que no pueda ser subsanado</w:t>
      </w:r>
      <w:r w:rsidRPr="00A25373">
        <w:rPr>
          <w:rFonts w:ascii="Arial" w:hAnsi="Arial" w:cs="Arial"/>
          <w:vertAlign w:val="superscript"/>
          <w:lang w:val="es-CO"/>
        </w:rPr>
        <w:footnoteReference w:id="15"/>
      </w:r>
      <w:r w:rsidRPr="00A25373">
        <w:rPr>
          <w:rFonts w:ascii="Arial" w:hAnsi="Arial" w:cs="Arial"/>
          <w:lang w:val="es-CO"/>
        </w:rPr>
        <w:t>.</w:t>
      </w:r>
    </w:p>
    <w:p w:rsidR="00A25373" w:rsidRPr="00A25373" w:rsidRDefault="00A25373" w:rsidP="00F455DA">
      <w:pPr>
        <w:ind w:left="567" w:right="567"/>
        <w:jc w:val="both"/>
        <w:rPr>
          <w:rFonts w:ascii="Arial" w:hAnsi="Arial" w:cs="Arial"/>
          <w:lang w:val="es-CO"/>
        </w:rPr>
      </w:pPr>
    </w:p>
    <w:p w:rsidR="00A25373" w:rsidRPr="00A25373" w:rsidRDefault="00A25373" w:rsidP="00F455DA">
      <w:pPr>
        <w:ind w:left="567" w:right="567"/>
        <w:jc w:val="both"/>
        <w:rPr>
          <w:rFonts w:ascii="Arial" w:hAnsi="Arial" w:cs="Arial"/>
          <w:lang w:val="es-ES_tradnl"/>
        </w:rPr>
      </w:pPr>
      <w:r w:rsidRPr="00A25373">
        <w:rPr>
          <w:rFonts w:ascii="Arial" w:hAnsi="Arial" w:cs="Arial"/>
          <w:lang w:val="es-ES_tradnl"/>
        </w:rPr>
        <w:t xml:space="preserve">3.5.5. Por otra parte, en los casos de </w:t>
      </w:r>
      <w:r w:rsidRPr="00A25373">
        <w:rPr>
          <w:rFonts w:ascii="Arial" w:hAnsi="Arial" w:cs="Arial"/>
          <w:i/>
          <w:lang w:val="es-ES_tradnl"/>
        </w:rPr>
        <w:t>mora judicial justificada</w:t>
      </w:r>
      <w:r w:rsidRPr="00A25373">
        <w:rPr>
          <w:rFonts w:ascii="Arial" w:hAnsi="Arial" w:cs="Arial"/>
          <w:lang w:val="es-ES_tradnl"/>
        </w:rPr>
        <w:t>, la jurisprudencia de esta Corporación ha propuesto dos alternativas distintas de solución, en primer lugar, se ha limitado a negar la violación de los derechos al debido proceso y al acceso a la administración de justicia, por lo que se reitera la obligación de someterse al sistema de turnos, en términos de igualdad</w:t>
      </w:r>
      <w:r w:rsidRPr="00A25373">
        <w:rPr>
          <w:rStyle w:val="Refdenotaalpie"/>
          <w:rFonts w:ascii="Arial" w:hAnsi="Arial" w:cs="Arial"/>
        </w:rPr>
        <w:footnoteReference w:id="16"/>
      </w:r>
      <w:r w:rsidRPr="00A25373">
        <w:rPr>
          <w:rFonts w:ascii="Arial" w:hAnsi="Arial" w:cs="Arial"/>
          <w:lang w:val="es-ES_tradnl"/>
        </w:rPr>
        <w:t xml:space="preserve">. En segundo lugar, se ha ordenado excepcionalmente la alteración del orden para proferir el fallo, cuando el </w:t>
      </w:r>
      <w:r w:rsidRPr="00A25373">
        <w:rPr>
          <w:rFonts w:ascii="Arial" w:hAnsi="Arial" w:cs="Arial"/>
        </w:rPr>
        <w:t>juez está en presencia de un sujeto de especial protección constitucional, o cuando la mora judicial supere los plazos razonables y tolerables de solución, en contraste con las condiciones de espera particulares del afectado</w:t>
      </w:r>
      <w:r w:rsidRPr="00A25373">
        <w:rPr>
          <w:rStyle w:val="Refdenotaalpie"/>
          <w:rFonts w:ascii="Arial" w:hAnsi="Arial" w:cs="Arial"/>
        </w:rPr>
        <w:footnoteReference w:id="17"/>
      </w:r>
      <w:r w:rsidRPr="00A25373">
        <w:rPr>
          <w:rFonts w:ascii="Arial" w:hAnsi="Arial" w:cs="Arial"/>
        </w:rPr>
        <w:t xml:space="preserve">. Frente a las alternativas propuestas, en aquellos casos en que se está </w:t>
      </w:r>
      <w:r w:rsidRPr="00A25373">
        <w:rPr>
          <w:rFonts w:ascii="Arial" w:hAnsi="Arial" w:cs="Arial"/>
          <w:iCs/>
          <w:lang w:val="es-CO"/>
        </w:rPr>
        <w:t>ante la posible materialización de un daño cuyos perjuicios no puedan ser subsanados (perjuicio irremediable)</w:t>
      </w:r>
      <w:r w:rsidR="00F455DA">
        <w:rPr>
          <w:rFonts w:ascii="Arial" w:hAnsi="Arial" w:cs="Arial"/>
          <w:iCs/>
          <w:lang w:val="es-CO"/>
        </w:rPr>
        <w:t>.</w:t>
      </w:r>
    </w:p>
    <w:p w:rsidR="006B3755" w:rsidRDefault="006B3755" w:rsidP="0062273B">
      <w:pPr>
        <w:spacing w:line="360" w:lineRule="auto"/>
        <w:jc w:val="both"/>
        <w:rPr>
          <w:rFonts w:ascii="Arial" w:hAnsi="Arial" w:cs="Arial"/>
          <w:lang w:val="es-ES_tradnl"/>
        </w:rPr>
      </w:pPr>
    </w:p>
    <w:p w:rsidR="00FC0892" w:rsidRPr="00FC0892" w:rsidRDefault="00FC0892" w:rsidP="00FC0892">
      <w:pPr>
        <w:pStyle w:val="NormalWeb"/>
        <w:spacing w:after="0" w:line="360" w:lineRule="auto"/>
        <w:jc w:val="both"/>
        <w:rPr>
          <w:rFonts w:ascii="Arial" w:eastAsia="Arial Unicode MS" w:hAnsi="Arial" w:cs="Arial"/>
          <w:i/>
          <w:sz w:val="22"/>
          <w:szCs w:val="22"/>
          <w:lang w:val="es-ES" w:eastAsia="es-ES"/>
        </w:rPr>
      </w:pPr>
      <w:r>
        <w:rPr>
          <w:rFonts w:ascii="Arial" w:hAnsi="Arial" w:cs="Arial"/>
          <w:lang w:val="es-ES_tradnl"/>
        </w:rPr>
        <w:t>Recientemente, sobre la justificación de la mora judicial se ha pronunciado la CSJ,</w:t>
      </w:r>
      <w:r>
        <w:rPr>
          <w:rStyle w:val="Refdenotaalpie"/>
          <w:rFonts w:ascii="Arial" w:hAnsi="Arial"/>
          <w:lang w:val="es-ES_tradnl"/>
        </w:rPr>
        <w:footnoteReference w:id="18"/>
      </w:r>
      <w:r>
        <w:rPr>
          <w:rFonts w:ascii="Arial" w:hAnsi="Arial" w:cs="Arial"/>
          <w:lang w:val="es-ES_tradnl"/>
        </w:rPr>
        <w:t xml:space="preserve"> en la especialidad Civil y en ese sentido señaló: “</w:t>
      </w:r>
      <w:r w:rsidRPr="00FC0892">
        <w:rPr>
          <w:rFonts w:ascii="Arial" w:hAnsi="Arial" w:cs="Arial"/>
          <w:i/>
          <w:sz w:val="22"/>
          <w:szCs w:val="22"/>
          <w:lang w:val="es-ES_tradnl"/>
        </w:rPr>
        <w:t xml:space="preserve">la jurisprudencia de la Sala ha determinado </w:t>
      </w:r>
      <w:r w:rsidRPr="00FC0892">
        <w:rPr>
          <w:rFonts w:ascii="Arial" w:eastAsia="Arial Unicode MS" w:hAnsi="Arial" w:cs="Arial"/>
          <w:i/>
          <w:iCs/>
          <w:color w:val="000000"/>
          <w:sz w:val="22"/>
          <w:szCs w:val="22"/>
          <w:lang w:val="es-ES" w:eastAsia="es-ES"/>
        </w:rPr>
        <w:t xml:space="preserve">aquellas que denotan una abierta y ostensible carencia de defensa, esto es, las que sean el indisimulado producto ‘de un comportamiento desidioso, apático o negligente de la autoridad </w:t>
      </w:r>
      <w:r w:rsidRPr="00FC0892">
        <w:rPr>
          <w:rFonts w:ascii="Arial" w:eastAsia="Arial Unicode MS" w:hAnsi="Arial" w:cs="Arial"/>
          <w:i/>
          <w:iCs/>
          <w:color w:val="000000"/>
          <w:sz w:val="22"/>
          <w:szCs w:val="22"/>
          <w:lang w:val="es-ES" w:eastAsia="es-ES"/>
        </w:rPr>
        <w:lastRenderedPageBreak/>
        <w:t>vinculada, y no cuando ésta obedece a circunstancias objetiva y razonablemente justificadas’ (Sentencia de 29 de abril de 2011, Exp. T. No.</w:t>
      </w:r>
      <w:r>
        <w:rPr>
          <w:rFonts w:ascii="Arial" w:eastAsia="Arial Unicode MS" w:hAnsi="Arial" w:cs="Arial"/>
          <w:i/>
          <w:iCs/>
          <w:color w:val="000000"/>
          <w:sz w:val="22"/>
          <w:szCs w:val="22"/>
          <w:lang w:val="es-ES" w:eastAsia="es-ES"/>
        </w:rPr>
        <w:t xml:space="preserve"> 11001-22-10-000-2011-00094-01) (…)”</w:t>
      </w:r>
    </w:p>
    <w:p w:rsidR="00FC0892" w:rsidRPr="00FC0892" w:rsidRDefault="00FC0892" w:rsidP="00FC0892">
      <w:pPr>
        <w:widowControl/>
        <w:autoSpaceDE/>
        <w:autoSpaceDN/>
        <w:adjustRightInd/>
        <w:spacing w:line="360" w:lineRule="auto"/>
        <w:ind w:left="700" w:firstLine="700"/>
        <w:jc w:val="both"/>
        <w:rPr>
          <w:rFonts w:ascii="Arial Unicode MS" w:eastAsia="Arial Unicode MS" w:hAnsi="Arial Unicode MS" w:cs="Arial Unicode MS"/>
        </w:rPr>
      </w:pPr>
      <w:r w:rsidRPr="00FC0892">
        <w:rPr>
          <w:rFonts w:ascii="Verdana" w:eastAsia="Arial Unicode MS" w:hAnsi="Verdana" w:cs="Arial"/>
          <w:i/>
          <w:iCs/>
          <w:color w:val="000000"/>
          <w:sz w:val="22"/>
        </w:rPr>
        <w:t> </w:t>
      </w:r>
    </w:p>
    <w:p w:rsidR="000F2939" w:rsidRDefault="000F2939"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procedibilidad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F5B57" w:rsidRDefault="00FF5B57" w:rsidP="00FF5B57">
      <w:pPr>
        <w:spacing w:line="360" w:lineRule="auto"/>
        <w:jc w:val="both"/>
        <w:rPr>
          <w:rFonts w:ascii="Arial" w:hAnsi="Arial" w:cs="Arial"/>
          <w:lang w:val="es-ES_tradnl"/>
        </w:rPr>
      </w:pPr>
    </w:p>
    <w:p w:rsidR="00ED60D0" w:rsidRDefault="000F2939" w:rsidP="00ED60D0">
      <w:pPr>
        <w:pStyle w:val="Textoindependiente"/>
        <w:spacing w:line="360" w:lineRule="auto"/>
        <w:rPr>
          <w:rFonts w:ascii="Arial" w:hAnsi="Arial" w:cs="Arial"/>
        </w:rPr>
      </w:pPr>
      <w:r w:rsidRPr="00160026">
        <w:rPr>
          <w:rFonts w:ascii="Arial" w:hAnsi="Arial"/>
          <w:szCs w:val="24"/>
        </w:rPr>
        <w:t>Pretend</w:t>
      </w:r>
      <w:r>
        <w:rPr>
          <w:rFonts w:ascii="Arial" w:hAnsi="Arial"/>
          <w:szCs w:val="24"/>
        </w:rPr>
        <w:t xml:space="preserve">e </w:t>
      </w:r>
      <w:r w:rsidRPr="00160026">
        <w:rPr>
          <w:rFonts w:ascii="Arial" w:hAnsi="Arial"/>
          <w:szCs w:val="24"/>
        </w:rPr>
        <w:t xml:space="preserve">el accionante que se </w:t>
      </w:r>
      <w:r>
        <w:rPr>
          <w:rFonts w:ascii="Arial" w:hAnsi="Arial" w:cs="Arial"/>
          <w:szCs w:val="24"/>
        </w:rPr>
        <w:t xml:space="preserve">ordene </w:t>
      </w:r>
      <w:r w:rsidR="00C847EA">
        <w:rPr>
          <w:rFonts w:ascii="Arial" w:hAnsi="Arial" w:cs="Arial"/>
          <w:szCs w:val="24"/>
        </w:rPr>
        <w:t xml:space="preserve">a la </w:t>
      </w:r>
      <w:r w:rsidR="00C847EA" w:rsidRPr="00C847EA">
        <w:rPr>
          <w:rFonts w:ascii="Arial" w:hAnsi="Arial" w:cs="Arial"/>
          <w:i/>
          <w:szCs w:val="24"/>
        </w:rPr>
        <w:t>a quo</w:t>
      </w:r>
      <w:r w:rsidRPr="00C847EA">
        <w:rPr>
          <w:rFonts w:ascii="Arial" w:hAnsi="Arial" w:cs="Arial"/>
          <w:i/>
          <w:szCs w:val="24"/>
        </w:rPr>
        <w:t xml:space="preserve"> </w:t>
      </w:r>
      <w:r w:rsidR="00C847EA">
        <w:rPr>
          <w:rFonts w:ascii="Arial" w:hAnsi="Arial" w:cs="Arial"/>
          <w:szCs w:val="24"/>
        </w:rPr>
        <w:t xml:space="preserve">emitir </w:t>
      </w:r>
      <w:r>
        <w:rPr>
          <w:rFonts w:ascii="Arial" w:hAnsi="Arial" w:cs="Arial"/>
          <w:szCs w:val="24"/>
        </w:rPr>
        <w:t>sentencia en el expediente</w:t>
      </w:r>
      <w:r w:rsidR="00ED60D0">
        <w:rPr>
          <w:rFonts w:ascii="Arial" w:hAnsi="Arial" w:cs="Arial"/>
          <w:szCs w:val="24"/>
        </w:rPr>
        <w:t xml:space="preserve"> popular. </w:t>
      </w:r>
      <w:r w:rsidR="003829EF">
        <w:rPr>
          <w:rFonts w:ascii="Arial" w:hAnsi="Arial" w:cs="Arial"/>
        </w:rPr>
        <w:t>En el</w:t>
      </w:r>
      <w:r w:rsidR="00574D42">
        <w:rPr>
          <w:rFonts w:ascii="Arial" w:hAnsi="Arial" w:cs="Arial"/>
        </w:rPr>
        <w:t xml:space="preserve"> caso concreto, </w:t>
      </w:r>
      <w:r w:rsidR="00B30BA1">
        <w:rPr>
          <w:rFonts w:ascii="Arial" w:hAnsi="Arial" w:cs="Arial"/>
        </w:rPr>
        <w:t>no se agotaron los</w:t>
      </w:r>
      <w:r w:rsidR="00ED60D0">
        <w:rPr>
          <w:rFonts w:ascii="Arial" w:hAnsi="Arial" w:cs="Arial"/>
        </w:rPr>
        <w:t xml:space="preserve"> mecanismo</w:t>
      </w:r>
      <w:r w:rsidR="0064668E">
        <w:rPr>
          <w:rFonts w:ascii="Arial" w:hAnsi="Arial" w:cs="Arial"/>
        </w:rPr>
        <w:t>s</w:t>
      </w:r>
      <w:r w:rsidR="00ED60D0">
        <w:rPr>
          <w:rFonts w:ascii="Arial" w:hAnsi="Arial" w:cs="Arial"/>
        </w:rPr>
        <w:t xml:space="preserve"> ordinarios y extraordinario</w:t>
      </w:r>
      <w:r w:rsidR="0064668E">
        <w:rPr>
          <w:rFonts w:ascii="Arial" w:hAnsi="Arial" w:cs="Arial"/>
        </w:rPr>
        <w:t>s</w:t>
      </w:r>
      <w:r w:rsidR="00ED60D0">
        <w:rPr>
          <w:rFonts w:ascii="Arial" w:hAnsi="Arial" w:cs="Arial"/>
        </w:rPr>
        <w:t xml:space="preserve"> para la defensa judicial,</w:t>
      </w:r>
      <w:r w:rsidR="0064668E">
        <w:rPr>
          <w:rFonts w:ascii="Arial" w:hAnsi="Arial" w:cs="Arial"/>
        </w:rPr>
        <w:t xml:space="preserve"> es decir, el requisito de subsidiaridad</w:t>
      </w:r>
      <w:r w:rsidR="00B30BA1">
        <w:rPr>
          <w:rFonts w:ascii="Arial" w:hAnsi="Arial" w:cs="Arial"/>
        </w:rPr>
        <w:t xml:space="preserve"> está incumplido</w:t>
      </w:r>
      <w:r w:rsidR="00EA5069">
        <w:rPr>
          <w:rFonts w:ascii="Arial" w:hAnsi="Arial" w:cs="Arial"/>
        </w:rPr>
        <w:t>,</w:t>
      </w:r>
      <w:r w:rsidR="00B30BA1">
        <w:rPr>
          <w:rFonts w:ascii="Arial" w:hAnsi="Arial" w:cs="Arial"/>
        </w:rPr>
        <w:t xml:space="preserve"> se itera que el actor debe requerir a</w:t>
      </w:r>
      <w:r w:rsidR="00D43C00">
        <w:rPr>
          <w:rFonts w:ascii="Arial" w:hAnsi="Arial" w:cs="Arial"/>
        </w:rPr>
        <w:t xml:space="preserve">l </w:t>
      </w:r>
      <w:r w:rsidR="003829EF">
        <w:rPr>
          <w:rFonts w:ascii="Arial" w:hAnsi="Arial" w:cs="Arial"/>
        </w:rPr>
        <w:t xml:space="preserve">juzgado </w:t>
      </w:r>
      <w:r w:rsidR="00D43C00">
        <w:rPr>
          <w:rFonts w:ascii="Arial" w:hAnsi="Arial" w:cs="Arial"/>
        </w:rPr>
        <w:t xml:space="preserve">accionado por intermedio de solicitud o </w:t>
      </w:r>
      <w:r w:rsidR="00ED60D0">
        <w:rPr>
          <w:rFonts w:ascii="Arial" w:hAnsi="Arial" w:cs="Arial"/>
        </w:rPr>
        <w:t>petición</w:t>
      </w:r>
      <w:r w:rsidR="003829EF">
        <w:rPr>
          <w:rFonts w:ascii="Arial" w:hAnsi="Arial" w:cs="Arial"/>
        </w:rPr>
        <w:t xml:space="preserve"> </w:t>
      </w:r>
      <w:r w:rsidR="00B30BA1">
        <w:rPr>
          <w:rFonts w:ascii="Arial" w:hAnsi="Arial" w:cs="Arial"/>
        </w:rPr>
        <w:t>para que le den pronta de</w:t>
      </w:r>
      <w:r w:rsidR="00D43C00">
        <w:rPr>
          <w:rFonts w:ascii="Arial" w:hAnsi="Arial" w:cs="Arial"/>
        </w:rPr>
        <w:t>n pronta resolución</w:t>
      </w:r>
      <w:r w:rsidR="00B30BA1">
        <w:rPr>
          <w:rFonts w:ascii="Arial" w:hAnsi="Arial" w:cs="Arial"/>
        </w:rPr>
        <w:t>,</w:t>
      </w:r>
      <w:r w:rsidR="00ED60D0">
        <w:rPr>
          <w:rFonts w:ascii="Arial" w:hAnsi="Arial" w:cs="Arial"/>
        </w:rPr>
        <w:t xml:space="preserve"> </w:t>
      </w:r>
      <w:r w:rsidR="00EA5069">
        <w:rPr>
          <w:rFonts w:ascii="Arial" w:hAnsi="Arial" w:cs="Arial"/>
        </w:rPr>
        <w:t xml:space="preserve">y </w:t>
      </w:r>
      <w:r w:rsidR="00B30BA1">
        <w:rPr>
          <w:rFonts w:ascii="Arial" w:hAnsi="Arial" w:cs="Arial"/>
        </w:rPr>
        <w:t>el expediente está ausente de p</w:t>
      </w:r>
      <w:r w:rsidR="00EA5069">
        <w:rPr>
          <w:rFonts w:ascii="Arial" w:hAnsi="Arial" w:cs="Arial"/>
        </w:rPr>
        <w:t xml:space="preserve">rueba </w:t>
      </w:r>
      <w:r w:rsidR="00B30BA1">
        <w:rPr>
          <w:rFonts w:ascii="Arial" w:hAnsi="Arial" w:cs="Arial"/>
        </w:rPr>
        <w:t xml:space="preserve">de </w:t>
      </w:r>
      <w:r w:rsidR="007A3F1E">
        <w:rPr>
          <w:rFonts w:ascii="Arial" w:hAnsi="Arial" w:cs="Arial"/>
        </w:rPr>
        <w:t xml:space="preserve">que </w:t>
      </w:r>
      <w:r w:rsidR="00EA5069">
        <w:rPr>
          <w:rFonts w:ascii="Arial" w:hAnsi="Arial" w:cs="Arial"/>
        </w:rPr>
        <w:t>e</w:t>
      </w:r>
      <w:r w:rsidR="003829EF">
        <w:rPr>
          <w:rFonts w:ascii="Arial" w:hAnsi="Arial" w:cs="Arial"/>
        </w:rPr>
        <w:t>l</w:t>
      </w:r>
      <w:r w:rsidR="00B30BA1">
        <w:rPr>
          <w:rFonts w:ascii="Arial" w:hAnsi="Arial" w:cs="Arial"/>
        </w:rPr>
        <w:t xml:space="preserve"> accionante haya instaurado reclamación alguna para </w:t>
      </w:r>
      <w:r w:rsidR="007A3F1E">
        <w:rPr>
          <w:rFonts w:ascii="Arial" w:hAnsi="Arial" w:cs="Arial"/>
        </w:rPr>
        <w:t xml:space="preserve">que </w:t>
      </w:r>
      <w:r w:rsidR="00B30BA1">
        <w:rPr>
          <w:rFonts w:ascii="Arial" w:hAnsi="Arial" w:cs="Arial"/>
        </w:rPr>
        <w:t xml:space="preserve">le </w:t>
      </w:r>
      <w:r w:rsidR="007A3F1E">
        <w:rPr>
          <w:rFonts w:ascii="Arial" w:hAnsi="Arial" w:cs="Arial"/>
        </w:rPr>
        <w:t>definan con prontitud su caso</w:t>
      </w:r>
      <w:r w:rsidR="0064668E">
        <w:rPr>
          <w:rFonts w:ascii="Arial" w:hAnsi="Arial" w:cs="Arial"/>
        </w:rPr>
        <w:t>, en consecuencia</w:t>
      </w:r>
      <w:r w:rsidR="00ED60D0">
        <w:rPr>
          <w:rFonts w:ascii="Arial" w:hAnsi="Arial" w:cs="Arial"/>
        </w:rPr>
        <w:t xml:space="preserve"> </w:t>
      </w:r>
      <w:r w:rsidR="007A3F1E">
        <w:rPr>
          <w:rFonts w:ascii="Arial" w:hAnsi="Arial" w:cs="Arial"/>
        </w:rPr>
        <w:t xml:space="preserve">la </w:t>
      </w:r>
      <w:r w:rsidR="00ED60D0">
        <w:rPr>
          <w:rFonts w:ascii="Arial" w:hAnsi="Arial" w:cs="Arial"/>
        </w:rPr>
        <w:t xml:space="preserve">acción </w:t>
      </w:r>
      <w:r w:rsidR="00B30BA1">
        <w:rPr>
          <w:rFonts w:ascii="Arial" w:hAnsi="Arial" w:cs="Arial"/>
        </w:rPr>
        <w:t>habrá</w:t>
      </w:r>
      <w:r w:rsidR="00ED60D0">
        <w:rPr>
          <w:rFonts w:ascii="Arial" w:hAnsi="Arial" w:cs="Arial"/>
        </w:rPr>
        <w:t xml:space="preserve"> de declararse improcedente</w:t>
      </w:r>
      <w:r w:rsidR="0064668E">
        <w:rPr>
          <w:rFonts w:ascii="Arial" w:hAnsi="Arial" w:cs="Arial"/>
        </w:rPr>
        <w:t>.</w:t>
      </w:r>
    </w:p>
    <w:p w:rsidR="00ED60D0" w:rsidRDefault="00ED60D0" w:rsidP="00ED60D0">
      <w:pPr>
        <w:pStyle w:val="Textoindependiente"/>
        <w:spacing w:line="360" w:lineRule="auto"/>
        <w:rPr>
          <w:rFonts w:ascii="Arial" w:hAnsi="Arial" w:cs="Arial"/>
        </w:rPr>
      </w:pPr>
    </w:p>
    <w:p w:rsidR="0064668E" w:rsidRDefault="00B30BA1" w:rsidP="00ED60D0">
      <w:pPr>
        <w:pStyle w:val="Textoindependiente"/>
        <w:spacing w:line="360" w:lineRule="auto"/>
        <w:rPr>
          <w:rFonts w:ascii="Arial" w:hAnsi="Arial" w:cs="Arial"/>
        </w:rPr>
      </w:pPr>
      <w:r>
        <w:rPr>
          <w:rFonts w:ascii="Arial" w:hAnsi="Arial" w:cs="Arial"/>
        </w:rPr>
        <w:t xml:space="preserve">En efecto, el </w:t>
      </w:r>
      <w:r w:rsidR="0064668E">
        <w:rPr>
          <w:rFonts w:ascii="Arial" w:hAnsi="Arial" w:cs="Arial"/>
        </w:rPr>
        <w:t xml:space="preserve">despacho judicial </w:t>
      </w:r>
      <w:r>
        <w:rPr>
          <w:rFonts w:ascii="Arial" w:hAnsi="Arial" w:cs="Arial"/>
        </w:rPr>
        <w:t>se halla retardado para</w:t>
      </w:r>
      <w:r w:rsidR="0064668E">
        <w:rPr>
          <w:rFonts w:ascii="Arial" w:hAnsi="Arial" w:cs="Arial"/>
        </w:rPr>
        <w:t xml:space="preserve"> emitir pronunciamiento definitivo en el caso de marras, </w:t>
      </w:r>
      <w:r>
        <w:rPr>
          <w:rFonts w:ascii="Arial" w:hAnsi="Arial" w:cs="Arial"/>
        </w:rPr>
        <w:t>sin embargo, acreditó tener</w:t>
      </w:r>
      <w:r w:rsidR="00A0021D">
        <w:rPr>
          <w:rFonts w:ascii="Arial" w:hAnsi="Arial" w:cs="Arial"/>
        </w:rPr>
        <w:t xml:space="preserve"> varios asuntos a despacho con prelación legal para decidir (Folio 36 a 38, ibídem), es decir, </w:t>
      </w:r>
      <w:r w:rsidR="0064668E">
        <w:rPr>
          <w:rFonts w:ascii="Arial" w:hAnsi="Arial" w:cs="Arial"/>
        </w:rPr>
        <w:t xml:space="preserve">la mora se encuentra </w:t>
      </w:r>
      <w:r w:rsidR="00E25472">
        <w:rPr>
          <w:rFonts w:ascii="Arial" w:hAnsi="Arial" w:cs="Arial"/>
        </w:rPr>
        <w:t>debidamente</w:t>
      </w:r>
      <w:r w:rsidR="00A0021D">
        <w:rPr>
          <w:rFonts w:ascii="Arial" w:hAnsi="Arial" w:cs="Arial"/>
        </w:rPr>
        <w:t xml:space="preserve"> justificada.</w:t>
      </w:r>
      <w:r>
        <w:rPr>
          <w:rFonts w:ascii="Arial" w:hAnsi="Arial" w:cs="Arial"/>
        </w:rPr>
        <w:t xml:space="preserve"> No sobra acotar que el actor no arguyó y menos demostró que se estuviera causando un perjuicio irremediable</w:t>
      </w:r>
      <w:r>
        <w:rPr>
          <w:rStyle w:val="Refdenotaalpie"/>
          <w:rFonts w:ascii="Arial" w:hAnsi="Arial"/>
        </w:rPr>
        <w:footnoteReference w:id="19"/>
      </w:r>
      <w:r w:rsidR="00A0021D">
        <w:rPr>
          <w:rFonts w:ascii="Arial" w:hAnsi="Arial" w:cs="Arial"/>
        </w:rPr>
        <w:t xml:space="preserve"> </w:t>
      </w:r>
      <w:r>
        <w:rPr>
          <w:rFonts w:ascii="Arial" w:hAnsi="Arial" w:cs="Arial"/>
        </w:rPr>
        <w:t>por la tardanza para proferir la decisión</w:t>
      </w:r>
      <w:r w:rsidR="0064668E">
        <w:rPr>
          <w:rFonts w:ascii="Arial" w:hAnsi="Arial" w:cs="Arial"/>
        </w:rPr>
        <w:t>.</w:t>
      </w:r>
    </w:p>
    <w:p w:rsidR="0064668E" w:rsidRDefault="0064668E" w:rsidP="00ED60D0">
      <w:pPr>
        <w:pStyle w:val="Textoindependiente"/>
        <w:spacing w:line="360" w:lineRule="auto"/>
        <w:rPr>
          <w:rFonts w:ascii="Arial" w:hAnsi="Arial" w:cs="Arial"/>
        </w:rPr>
      </w:pPr>
    </w:p>
    <w:p w:rsidR="0082666E" w:rsidRDefault="00B30BA1" w:rsidP="0082666E">
      <w:pPr>
        <w:pStyle w:val="Textoindependiente"/>
        <w:spacing w:line="360" w:lineRule="auto"/>
        <w:rPr>
          <w:rFonts w:ascii="Arial" w:hAnsi="Arial" w:cs="Arial"/>
          <w:spacing w:val="3"/>
        </w:rPr>
      </w:pPr>
      <w:r>
        <w:rPr>
          <w:rFonts w:ascii="Arial" w:hAnsi="Arial" w:cs="Arial"/>
          <w:iCs/>
          <w:color w:val="000000"/>
          <w:lang w:eastAsia="es-CO"/>
        </w:rPr>
        <w:t>En lo relativo a la</w:t>
      </w:r>
      <w:r w:rsidR="0082666E">
        <w:rPr>
          <w:rFonts w:ascii="Arial" w:hAnsi="Arial" w:cs="Arial"/>
          <w:iCs/>
          <w:color w:val="000000"/>
          <w:lang w:eastAsia="es-CO"/>
        </w:rPr>
        <w:t xml:space="preserve"> pretensión de remitir copias de la acción a la Oficina Judicial de Manizales, hay que precisar, que en este caso la tutela no se dirigió contra la Defensoría del Pueblo de esa ciudad y tampoco de los hechos se advierte, conducta que amerite tramitarla, tal como se indicó en el proveído de 27-11-2015 (Folios 4 y 5, ib.). Adicionalmente, la Sala de Casación Civil de la Corte de Suprema de Justicia, </w:t>
      </w:r>
      <w:r w:rsidR="0082666E">
        <w:rPr>
          <w:rFonts w:ascii="Arial" w:hAnsi="Arial" w:cs="Arial"/>
          <w:spacing w:val="3"/>
        </w:rPr>
        <w:t>contrario a lo referido por el accionante, en reciente decisión (2015)</w:t>
      </w:r>
      <w:r w:rsidR="0082666E">
        <w:rPr>
          <w:rStyle w:val="Refdenotaalpie"/>
          <w:rFonts w:ascii="Arial" w:hAnsi="Arial"/>
          <w:spacing w:val="3"/>
        </w:rPr>
        <w:footnoteReference w:id="20"/>
      </w:r>
      <w:r w:rsidR="0082666E">
        <w:rPr>
          <w:rFonts w:ascii="Arial" w:hAnsi="Arial" w:cs="Arial"/>
          <w:spacing w:val="3"/>
        </w:rPr>
        <w:t>, resolvió negativamente esa petición, así:</w:t>
      </w:r>
    </w:p>
    <w:p w:rsidR="0082666E" w:rsidRDefault="0082666E" w:rsidP="0082666E">
      <w:pPr>
        <w:pStyle w:val="Textoindependiente"/>
        <w:spacing w:line="360" w:lineRule="auto"/>
        <w:rPr>
          <w:rFonts w:ascii="Arial" w:hAnsi="Arial" w:cs="Arial"/>
          <w:spacing w:val="3"/>
        </w:rPr>
      </w:pPr>
    </w:p>
    <w:p w:rsidR="0082666E" w:rsidRDefault="0082666E" w:rsidP="0082666E">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82666E" w:rsidRDefault="0082666E" w:rsidP="0082666E">
      <w:pPr>
        <w:pStyle w:val="Textoindependiente"/>
        <w:spacing w:line="360" w:lineRule="auto"/>
        <w:rPr>
          <w:rFonts w:ascii="Arial" w:hAnsi="Arial" w:cs="Arial"/>
          <w:spacing w:val="3"/>
        </w:rPr>
      </w:pPr>
    </w:p>
    <w:p w:rsidR="0082666E" w:rsidRDefault="0082666E" w:rsidP="0082666E">
      <w:pPr>
        <w:pStyle w:val="Textoindependiente"/>
        <w:spacing w:line="360" w:lineRule="auto"/>
        <w:rPr>
          <w:rFonts w:ascii="Arial" w:hAnsi="Arial" w:cs="Arial"/>
          <w:szCs w:val="23"/>
        </w:rPr>
      </w:pPr>
      <w:r>
        <w:rPr>
          <w:rFonts w:ascii="Arial" w:hAnsi="Arial" w:cs="Arial"/>
          <w:spacing w:val="3"/>
        </w:rPr>
        <w:t>Nugatoria que también</w:t>
      </w:r>
      <w:r>
        <w:rPr>
          <w:rFonts w:ascii="Arial" w:hAnsi="Arial" w:cs="Arial"/>
          <w:iCs/>
          <w:color w:val="000000"/>
          <w:lang w:eastAsia="es-CO"/>
        </w:rPr>
        <w:t xml:space="preserve"> ha sido dada</w:t>
      </w:r>
      <w:r w:rsidRPr="0024466D">
        <w:rPr>
          <w:rFonts w:ascii="Arial" w:hAnsi="Arial" w:cs="Arial"/>
          <w:spacing w:val="3"/>
        </w:rPr>
        <w:t xml:space="preserve"> en anteriores oportunidades</w:t>
      </w:r>
      <w:r w:rsidRPr="0024466D">
        <w:rPr>
          <w:rStyle w:val="Refdenotaalpie"/>
          <w:rFonts w:ascii="Arial" w:eastAsia="Yu Gothic Light" w:hAnsi="Arial"/>
        </w:rPr>
        <w:footnoteReference w:id="21"/>
      </w:r>
      <w:r>
        <w:rPr>
          <w:rFonts w:ascii="Arial" w:hAnsi="Arial" w:cs="Arial"/>
          <w:spacing w:val="3"/>
          <w:vertAlign w:val="superscript"/>
        </w:rPr>
        <w:t>-</w:t>
      </w:r>
      <w:r>
        <w:rPr>
          <w:rStyle w:val="Refdenotaalpie"/>
          <w:rFonts w:ascii="Arial" w:hAnsi="Arial"/>
          <w:spacing w:val="3"/>
        </w:rPr>
        <w:footnoteReference w:id="22"/>
      </w:r>
      <w:r>
        <w:rPr>
          <w:rFonts w:ascii="Arial" w:hAnsi="Arial" w:cs="Arial"/>
          <w:spacing w:val="3"/>
          <w:vertAlign w:val="superscript"/>
        </w:rPr>
        <w:t>-</w:t>
      </w:r>
      <w:r>
        <w:rPr>
          <w:rStyle w:val="Refdenotaalpie"/>
          <w:rFonts w:ascii="Arial" w:hAnsi="Arial"/>
          <w:spacing w:val="3"/>
        </w:rPr>
        <w:footnoteReference w:id="23"/>
      </w:r>
      <w:r>
        <w:rPr>
          <w:rFonts w:ascii="Arial" w:hAnsi="Arial" w:cs="Arial"/>
          <w:spacing w:val="3"/>
        </w:rPr>
        <w:t xml:space="preserve"> </w:t>
      </w:r>
      <w:r w:rsidR="00B30BA1">
        <w:rPr>
          <w:rFonts w:ascii="Arial" w:hAnsi="Arial" w:cs="Arial"/>
          <w:spacing w:val="3"/>
        </w:rPr>
        <w:t xml:space="preserve">ha sido patrocinada </w:t>
      </w:r>
      <w:r>
        <w:rPr>
          <w:rFonts w:ascii="Arial" w:hAnsi="Arial" w:cs="Arial"/>
          <w:spacing w:val="3"/>
        </w:rPr>
        <w:t xml:space="preserve">por </w:t>
      </w:r>
      <w:r w:rsidRPr="0024466D">
        <w:rPr>
          <w:rFonts w:ascii="Arial" w:hAnsi="Arial" w:cs="Arial"/>
          <w:spacing w:val="3"/>
        </w:rPr>
        <w:t xml:space="preserve">esta Sala </w:t>
      </w:r>
      <w:r w:rsidRPr="0024466D">
        <w:rPr>
          <w:rFonts w:ascii="Arial" w:hAnsi="Arial" w:cs="Arial"/>
        </w:rPr>
        <w:t>Especializada</w:t>
      </w:r>
      <w:r>
        <w:rPr>
          <w:rFonts w:ascii="Arial" w:hAnsi="Arial" w:cs="Arial"/>
        </w:rPr>
        <w:t>.</w:t>
      </w:r>
    </w:p>
    <w:p w:rsidR="00B30BA1" w:rsidRDefault="0064668E" w:rsidP="00ED60D0">
      <w:pPr>
        <w:pStyle w:val="Textoindependiente"/>
        <w:spacing w:line="360" w:lineRule="auto"/>
        <w:rPr>
          <w:rFonts w:ascii="Arial" w:hAnsi="Arial" w:cs="Arial"/>
        </w:rPr>
      </w:pPr>
      <w:r>
        <w:rPr>
          <w:rFonts w:ascii="Arial" w:hAnsi="Arial" w:cs="Arial"/>
        </w:rPr>
        <w:t xml:space="preserve"> </w:t>
      </w:r>
    </w:p>
    <w:p w:rsidR="00B30BA1" w:rsidRDefault="00B30BA1" w:rsidP="00ED60D0">
      <w:pPr>
        <w:pStyle w:val="Textoindependiente"/>
        <w:spacing w:line="360" w:lineRule="auto"/>
        <w:rPr>
          <w:rFonts w:ascii="Arial" w:hAnsi="Arial" w:cs="Arial"/>
        </w:rPr>
      </w:pPr>
      <w:r>
        <w:rPr>
          <w:rFonts w:ascii="Arial" w:hAnsi="Arial" w:cs="Arial"/>
        </w:rPr>
        <w:t>Queda por decidir que en lo que respecta a la petición relacionada con las posibles sanciones a la titular del despacho, no se aprecia una conducta que pueda ser objeto de investigaciones penales o disciplinarias, sin perjuicio de que lo haga el actor en forma directa. Interpretación que recoge lo dicho por la Corte Suprema de Justicia en su Sala de Casación Civil</w:t>
      </w:r>
      <w:r>
        <w:rPr>
          <w:rStyle w:val="Refdenotaalpie"/>
          <w:rFonts w:ascii="Arial" w:hAnsi="Arial"/>
        </w:rPr>
        <w:footnoteReference w:id="24"/>
      </w:r>
      <w:r w:rsidR="001E18D3">
        <w:rPr>
          <w:rFonts w:ascii="Arial" w:hAnsi="Arial" w:cs="Arial"/>
        </w:rPr>
        <w:t>.</w:t>
      </w:r>
    </w:p>
    <w:p w:rsidR="001E18D3" w:rsidRPr="00ED60D0" w:rsidRDefault="001E18D3" w:rsidP="00ED60D0">
      <w:pPr>
        <w:pStyle w:val="Textoindependiente"/>
        <w:spacing w:line="360" w:lineRule="auto"/>
        <w:rPr>
          <w:rFonts w:ascii="Arial" w:hAnsi="Arial" w:cs="Arial"/>
        </w:rPr>
      </w:pPr>
    </w:p>
    <w:p w:rsidR="005B4A1B" w:rsidRPr="00A30437" w:rsidRDefault="005B4A1B" w:rsidP="00FF5B57">
      <w:pPr>
        <w:spacing w:line="360" w:lineRule="auto"/>
        <w:jc w:val="both"/>
        <w:rPr>
          <w:rFonts w:ascii="Arial" w:hAnsi="Arial" w:cs="Arial"/>
          <w:lang w:val="es-ES_tradnl"/>
        </w:rPr>
      </w:pPr>
    </w:p>
    <w:p w:rsidR="00FF5B57" w:rsidRPr="00F36F9C"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FF5B57"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EE70D2" w:rsidRPr="00842D42" w:rsidRDefault="00EE70D2" w:rsidP="00EE70D2">
      <w:pPr>
        <w:pStyle w:val="Textoindependiente"/>
        <w:tabs>
          <w:tab w:val="clear" w:pos="708"/>
        </w:tabs>
        <w:spacing w:line="360" w:lineRule="auto"/>
        <w:rPr>
          <w:rFonts w:ascii="Arial" w:hAnsi="Arial" w:cs="Arial"/>
          <w:szCs w:val="24"/>
          <w:lang w:val="es-ES"/>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e declarar</w:t>
      </w:r>
      <w:r w:rsidR="00A0021D">
        <w:rPr>
          <w:rFonts w:ascii="Arial" w:hAnsi="Arial" w:cs="Arial"/>
          <w:szCs w:val="24"/>
          <w:lang w:val="es-ES"/>
        </w:rPr>
        <w:t xml:space="preserve">á </w:t>
      </w:r>
      <w:r w:rsidRPr="00A30437">
        <w:rPr>
          <w:rFonts w:ascii="Arial" w:hAnsi="Arial" w:cs="Arial"/>
          <w:szCs w:val="24"/>
          <w:lang w:val="es-ES"/>
        </w:rPr>
        <w:t>improcedente la</w:t>
      </w:r>
      <w:r w:rsidR="007A3F1E">
        <w:rPr>
          <w:rFonts w:ascii="Arial" w:hAnsi="Arial" w:cs="Arial"/>
          <w:szCs w:val="24"/>
          <w:lang w:val="es-ES"/>
        </w:rPr>
        <w:t xml:space="preserve"> </w:t>
      </w:r>
      <w:r w:rsidR="00F374CC">
        <w:rPr>
          <w:rFonts w:ascii="Arial" w:hAnsi="Arial" w:cs="Arial"/>
          <w:szCs w:val="24"/>
          <w:lang w:val="es-ES"/>
        </w:rPr>
        <w:t>acci</w:t>
      </w:r>
      <w:r w:rsidR="00A0021D">
        <w:rPr>
          <w:rFonts w:ascii="Arial" w:hAnsi="Arial" w:cs="Arial"/>
          <w:szCs w:val="24"/>
          <w:lang w:val="es-ES"/>
        </w:rPr>
        <w:t>ón</w:t>
      </w:r>
      <w:r w:rsidRPr="00A30437">
        <w:rPr>
          <w:rFonts w:ascii="Arial" w:hAnsi="Arial" w:cs="Arial"/>
          <w:szCs w:val="24"/>
          <w:lang w:val="es-ES"/>
        </w:rPr>
        <w:t xml:space="preserve"> </w:t>
      </w:r>
      <w:r w:rsidR="00A0021D">
        <w:rPr>
          <w:rFonts w:ascii="Arial" w:hAnsi="Arial" w:cs="Arial"/>
          <w:szCs w:val="24"/>
          <w:lang w:val="es-ES"/>
        </w:rPr>
        <w:t>de tutela</w:t>
      </w:r>
      <w:r w:rsidRPr="00A30437">
        <w:rPr>
          <w:rFonts w:ascii="Arial" w:hAnsi="Arial" w:cs="Arial"/>
          <w:szCs w:val="24"/>
          <w:lang w:val="es-ES"/>
        </w:rPr>
        <w:t xml:space="preserve"> con estribo en que se incumplió el presupuesto de subsidiariedad</w:t>
      </w:r>
      <w:r>
        <w:rPr>
          <w:rFonts w:ascii="Arial" w:hAnsi="Arial" w:cs="Arial"/>
          <w:szCs w:val="24"/>
          <w:lang w:val="es-ES"/>
        </w:rPr>
        <w:t xml:space="preserve">; (ii) </w:t>
      </w:r>
      <w:r w:rsidR="000E3170">
        <w:rPr>
          <w:rFonts w:ascii="Arial" w:hAnsi="Arial" w:cs="Arial"/>
        </w:rPr>
        <w:t>Se negará</w:t>
      </w:r>
      <w:r w:rsidR="00F374CC">
        <w:rPr>
          <w:rFonts w:ascii="Arial" w:hAnsi="Arial" w:cs="Arial"/>
        </w:rPr>
        <w:t>n</w:t>
      </w:r>
      <w:r w:rsidR="000E3170">
        <w:rPr>
          <w:rFonts w:ascii="Arial" w:hAnsi="Arial" w:cs="Arial"/>
        </w:rPr>
        <w:t xml:space="preserve"> </w:t>
      </w:r>
      <w:r>
        <w:rPr>
          <w:rFonts w:ascii="Arial" w:hAnsi="Arial" w:cs="Arial"/>
        </w:rPr>
        <w:t xml:space="preserve">respecto a los vinculados; y, </w:t>
      </w:r>
      <w:r>
        <w:rPr>
          <w:rFonts w:ascii="Arial" w:hAnsi="Arial" w:cs="Arial"/>
          <w:szCs w:val="24"/>
          <w:lang w:val="es-ES"/>
        </w:rPr>
        <w:t>(iii)</w:t>
      </w:r>
      <w:r>
        <w:rPr>
          <w:rFonts w:ascii="Arial" w:hAnsi="Arial" w:cs="Arial"/>
        </w:rPr>
        <w:t xml:space="preserve"> Se denegará</w:t>
      </w:r>
      <w:r w:rsidR="000E3170">
        <w:rPr>
          <w:rFonts w:ascii="Arial" w:hAnsi="Arial" w:cs="Arial"/>
        </w:rPr>
        <w:t>, también</w:t>
      </w:r>
      <w:r>
        <w:rPr>
          <w:rFonts w:ascii="Arial" w:hAnsi="Arial" w:cs="Arial"/>
        </w:rPr>
        <w:t xml:space="preserve"> lo atinente a remitir copias de la acción para que se tramite</w:t>
      </w:r>
      <w:r w:rsidR="00F374CC">
        <w:rPr>
          <w:rFonts w:ascii="Arial" w:hAnsi="Arial" w:cs="Arial"/>
        </w:rPr>
        <w:t>n</w:t>
      </w:r>
      <w:r>
        <w:rPr>
          <w:rFonts w:ascii="Arial" w:hAnsi="Arial" w:cs="Arial"/>
        </w:rPr>
        <w:t xml:space="preserve"> tutela</w:t>
      </w:r>
      <w:r w:rsidR="00F374CC">
        <w:rPr>
          <w:rFonts w:ascii="Arial" w:hAnsi="Arial" w:cs="Arial"/>
        </w:rPr>
        <w:t>s</w:t>
      </w:r>
      <w:r>
        <w:rPr>
          <w:rFonts w:ascii="Arial" w:hAnsi="Arial" w:cs="Arial"/>
        </w:rPr>
        <w:t xml:space="preserve"> contra la Defensoría del Pueblo de Manizales</w:t>
      </w:r>
      <w:r w:rsidRPr="00A30437">
        <w:rPr>
          <w:rFonts w:ascii="Arial" w:hAnsi="Arial" w:cs="Arial"/>
          <w:szCs w:val="24"/>
          <w:lang w:val="es-ES"/>
        </w:rPr>
        <w:t>.</w:t>
      </w:r>
    </w:p>
    <w:p w:rsidR="00EE70D2" w:rsidRPr="00A30437" w:rsidRDefault="00EE70D2"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A30437" w:rsidRDefault="00FF5B57" w:rsidP="00FF5B57">
      <w:pPr>
        <w:tabs>
          <w:tab w:val="left" w:pos="-720"/>
        </w:tabs>
        <w:suppressAutoHyphens/>
        <w:spacing w:line="360" w:lineRule="auto"/>
        <w:jc w:val="both"/>
        <w:rPr>
          <w:rFonts w:ascii="Arial" w:hAnsi="Arial" w:cs="Arial"/>
        </w:rPr>
      </w:pPr>
    </w:p>
    <w:p w:rsidR="00FF5B57" w:rsidRPr="00A3043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FF5B57" w:rsidRPr="00A30437"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DECLARAR improcedente la tutela propuesta por haberse incumplido el requisito de subsidiariedad, como causal general de procedibilidad frente a decisiones judiciales</w:t>
      </w:r>
      <w:r w:rsidR="00A0021D">
        <w:rPr>
          <w:rFonts w:ascii="Arial" w:hAnsi="Arial" w:cs="Arial"/>
        </w:rPr>
        <w:t>, dentro de la acción</w:t>
      </w:r>
      <w:r w:rsidR="000144F9">
        <w:rPr>
          <w:rFonts w:ascii="Arial" w:hAnsi="Arial" w:cs="Arial"/>
        </w:rPr>
        <w:t xml:space="preserve"> popular:</w:t>
      </w:r>
    </w:p>
    <w:p w:rsidR="007C583C" w:rsidRDefault="007C583C" w:rsidP="007C583C">
      <w:pPr>
        <w:pStyle w:val="Textoindependiente"/>
        <w:tabs>
          <w:tab w:val="clear" w:pos="708"/>
        </w:tabs>
        <w:spacing w:line="360" w:lineRule="auto"/>
        <w:ind w:left="360"/>
        <w:rPr>
          <w:rFonts w:ascii="Arial" w:hAnsi="Arial" w:cs="Arial"/>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 xml:space="preserve">NEGAR la acción de tutela promovida frente </w:t>
      </w:r>
      <w:r w:rsidRPr="003C1983">
        <w:rPr>
          <w:rFonts w:ascii="Arial" w:hAnsi="Arial" w:cs="Arial"/>
          <w:spacing w:val="3"/>
          <w:szCs w:val="24"/>
        </w:rPr>
        <w:t>a la Defensoría del Pueblo Regional Risaralda, a la Alcaldía de Pereira, a la Procuraduría General de la Nación Regional de Risaralda - Regional de Risaralda -</w:t>
      </w:r>
      <w:r>
        <w:rPr>
          <w:rFonts w:ascii="Arial" w:hAnsi="Arial" w:cs="Arial"/>
          <w:spacing w:val="3"/>
          <w:szCs w:val="24"/>
        </w:rPr>
        <w:t xml:space="preserve"> y</w:t>
      </w:r>
      <w:r w:rsidRPr="003C1983">
        <w:rPr>
          <w:rFonts w:ascii="Arial" w:hAnsi="Arial" w:cs="Arial"/>
          <w:spacing w:val="3"/>
          <w:szCs w:val="24"/>
        </w:rPr>
        <w:t xml:space="preserve"> a la Personería Municipal de Pereira;</w:t>
      </w:r>
      <w:r w:rsidRPr="003C1983">
        <w:rPr>
          <w:rFonts w:ascii="Arial" w:hAnsi="Arial" w:cs="Arial"/>
          <w:szCs w:val="24"/>
        </w:rPr>
        <w:t xml:space="preserve"> por inexistencia de violación o amenaza a los derechos invocados.</w:t>
      </w:r>
    </w:p>
    <w:p w:rsidR="000144F9" w:rsidRPr="003C1983" w:rsidRDefault="000144F9" w:rsidP="000144F9">
      <w:pPr>
        <w:pStyle w:val="Textoindependiente"/>
        <w:tabs>
          <w:tab w:val="clear" w:pos="708"/>
        </w:tabs>
        <w:spacing w:line="360" w:lineRule="auto"/>
        <w:rPr>
          <w:rFonts w:ascii="Arial" w:hAnsi="Arial" w:cs="Arial"/>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NEGAR la remisión de copias de la acción, para que se tramite tutela contra la Defensoría del Pueblo de Manizales.</w:t>
      </w:r>
    </w:p>
    <w:p w:rsidR="000144F9" w:rsidRPr="00A30437" w:rsidRDefault="000144F9"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E606C4" w:rsidRDefault="00626C89" w:rsidP="00FF5B57">
      <w:pPr>
        <w:pStyle w:val="Prrafodelista"/>
        <w:widowControl/>
        <w:autoSpaceDE/>
        <w:autoSpaceDN/>
        <w:adjustRightInd/>
        <w:spacing w:line="360" w:lineRule="auto"/>
        <w:ind w:left="360" w:right="51"/>
        <w:contextualSpacing/>
        <w:jc w:val="both"/>
        <w:rPr>
          <w:rFonts w:ascii="Arial" w:hAnsi="Arial"/>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Default="00DA569C" w:rsidP="00417DA5">
      <w:pPr>
        <w:pStyle w:val="Textoindependiente"/>
        <w:spacing w:line="360" w:lineRule="auto"/>
        <w:jc w:val="center"/>
        <w:rPr>
          <w:rFonts w:ascii="Arial" w:hAnsi="Arial"/>
          <w:szCs w:val="24"/>
        </w:rPr>
      </w:pPr>
    </w:p>
    <w:p w:rsidR="003E66CE" w:rsidRDefault="003E66CE" w:rsidP="00417DA5">
      <w:pPr>
        <w:pStyle w:val="Textoindependiente"/>
        <w:spacing w:line="360" w:lineRule="auto"/>
        <w:jc w:val="center"/>
        <w:rPr>
          <w:rFonts w:ascii="Arial" w:hAnsi="Arial"/>
          <w:szCs w:val="24"/>
        </w:rPr>
      </w:pPr>
    </w:p>
    <w:p w:rsidR="00B30152" w:rsidRPr="00A0021D" w:rsidRDefault="00B30152" w:rsidP="00417DA5">
      <w:pPr>
        <w:pStyle w:val="Textoindependiente"/>
        <w:spacing w:line="360" w:lineRule="auto"/>
        <w:jc w:val="center"/>
        <w:rPr>
          <w:rFonts w:ascii="Arial" w:hAnsi="Arial"/>
          <w:szCs w:val="24"/>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C136DB" w:rsidRPr="00A0021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E66CE" w:rsidRPr="00A0021D"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A0021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DGH/eho</w:t>
      </w:r>
      <w:r w:rsidR="00E606C4" w:rsidRPr="00984EE4">
        <w:rPr>
          <w:rFonts w:ascii="Arial" w:hAnsi="Arial"/>
          <w:w w:val="150"/>
          <w:sz w:val="8"/>
          <w:szCs w:val="10"/>
          <w:lang w:val="en-US"/>
        </w:rPr>
        <w:t>/2015</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48" w:rsidRDefault="00E85E48" w:rsidP="0099045D">
      <w:r>
        <w:separator/>
      </w:r>
    </w:p>
  </w:endnote>
  <w:endnote w:type="continuationSeparator" w:id="0">
    <w:p w:rsidR="00E85E48" w:rsidRDefault="00E85E4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48" w:rsidRDefault="00E85E48" w:rsidP="0099045D">
      <w:r>
        <w:separator/>
      </w:r>
    </w:p>
  </w:footnote>
  <w:footnote w:type="continuationSeparator" w:id="0">
    <w:p w:rsidR="00E85E48" w:rsidRDefault="00E85E48"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sidR="00E71ABD">
        <w:rPr>
          <w:rFonts w:asciiTheme="minorHAnsi" w:hAnsiTheme="minorHAnsi" w:cs="Calibri"/>
          <w:lang w:val="es-CO"/>
        </w:rPr>
        <w:t>.</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62273B" w:rsidRPr="00574D42" w:rsidRDefault="0062273B" w:rsidP="0062273B">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STC6121-2015 del 21-05-2015</w:t>
      </w:r>
      <w:r w:rsidRPr="00574D42">
        <w:rPr>
          <w:rFonts w:asciiTheme="minorHAnsi" w:hAnsiTheme="minorHAnsi" w:cs="Calibri"/>
          <w:lang w:val="es-CO"/>
        </w:rPr>
        <w:t>, MP: Ariel Salazar Ramírez</w:t>
      </w:r>
      <w:r w:rsidRPr="00574D42">
        <w:rPr>
          <w:rFonts w:asciiTheme="minorHAnsi" w:hAnsiTheme="minorHAnsi" w:cs="Calibri"/>
          <w:w w:val="110"/>
          <w:lang w:val="es-CO"/>
        </w:rPr>
        <w:t>.</w:t>
      </w:r>
    </w:p>
  </w:footnote>
  <w:footnote w:id="14">
    <w:p w:rsidR="001325E7" w:rsidRPr="00574D42" w:rsidRDefault="001325E7">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5">
    <w:p w:rsidR="00A25373" w:rsidRDefault="00A25373"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6">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T-668 de 1996, T-243 de 2000, T-1249 de 2004 y T-366 de 2005. </w:t>
      </w:r>
    </w:p>
  </w:footnote>
  <w:footnote w:id="17">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T-708 de 2006,</w:t>
      </w:r>
      <w:r w:rsidR="001325E7" w:rsidRPr="001325E7">
        <w:rPr>
          <w:rFonts w:asciiTheme="minorHAnsi" w:hAnsiTheme="minorHAnsi"/>
          <w:lang w:val="es-CO"/>
        </w:rPr>
        <w:t xml:space="preserve"> T-220 de 2007 y T-945A de 2008.</w:t>
      </w:r>
    </w:p>
  </w:footnote>
  <w:footnote w:id="18">
    <w:p w:rsidR="00FC0892" w:rsidRPr="00FC0892" w:rsidRDefault="00FC0892" w:rsidP="00FC0892">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w:t>
      </w:r>
      <w:r>
        <w:rPr>
          <w:rFonts w:asciiTheme="minorHAnsi" w:hAnsiTheme="minorHAnsi" w:cs="Calibri"/>
        </w:rPr>
        <w:t xml:space="preserve">12858-2015, </w:t>
      </w:r>
      <w:r w:rsidRPr="00574D42">
        <w:rPr>
          <w:rFonts w:asciiTheme="minorHAnsi" w:hAnsiTheme="minorHAnsi" w:cs="Calibri"/>
          <w:lang w:val="es-CO"/>
        </w:rPr>
        <w:t>MP: Ariel Salazar Ramírez</w:t>
      </w:r>
      <w:r w:rsidRPr="00574D42">
        <w:rPr>
          <w:rFonts w:asciiTheme="minorHAnsi" w:hAnsiTheme="minorHAnsi" w:cs="Calibri"/>
          <w:w w:val="110"/>
          <w:lang w:val="es-CO"/>
        </w:rPr>
        <w:t>.</w:t>
      </w:r>
    </w:p>
  </w:footnote>
  <w:footnote w:id="19">
    <w:p w:rsidR="00B30BA1" w:rsidRPr="00B30BA1" w:rsidRDefault="00B30BA1">
      <w:pPr>
        <w:pStyle w:val="Textonotapie"/>
        <w:rPr>
          <w:lang w:val="es-CO"/>
        </w:rPr>
      </w:pPr>
      <w:r>
        <w:rPr>
          <w:rStyle w:val="Refdenotaalpie"/>
        </w:rPr>
        <w:footnoteRef/>
      </w:r>
      <w:r>
        <w:t xml:space="preserve"> </w:t>
      </w:r>
      <w:r w:rsidRPr="001325E7">
        <w:rPr>
          <w:rFonts w:asciiTheme="minorHAnsi" w:hAnsiTheme="minorHAnsi"/>
          <w:lang w:val="es-CO"/>
        </w:rPr>
        <w:t>CORTE CONSTITUCIONAL. Sentencia T-</w:t>
      </w:r>
      <w:r>
        <w:rPr>
          <w:rFonts w:asciiTheme="minorHAnsi" w:hAnsiTheme="minorHAnsi"/>
          <w:lang w:val="es-CO"/>
        </w:rPr>
        <w:t>145</w:t>
      </w:r>
      <w:r w:rsidRPr="001325E7">
        <w:rPr>
          <w:rFonts w:asciiTheme="minorHAnsi" w:hAnsiTheme="minorHAnsi"/>
          <w:lang w:val="es-CO"/>
        </w:rPr>
        <w:t xml:space="preserve"> de</w:t>
      </w:r>
      <w:r>
        <w:rPr>
          <w:rFonts w:asciiTheme="minorHAnsi" w:hAnsiTheme="minorHAnsi"/>
          <w:lang w:val="es-CO"/>
        </w:rPr>
        <w:t>l 01-03-2012.</w:t>
      </w:r>
    </w:p>
  </w:footnote>
  <w:footnote w:id="20">
    <w:p w:rsidR="0082666E" w:rsidRPr="00066FAC" w:rsidRDefault="0082666E" w:rsidP="0082666E">
      <w:pPr>
        <w:pStyle w:val="Textonotapie"/>
        <w:jc w:val="both"/>
        <w:rPr>
          <w:rFonts w:asciiTheme="minorHAnsi" w:hAnsiTheme="minorHAnsi"/>
          <w:lang w:val="es-CO"/>
        </w:rPr>
      </w:pPr>
      <w:r w:rsidRPr="00066FAC">
        <w:rPr>
          <w:rStyle w:val="Refdenotaalpie"/>
          <w:rFonts w:asciiTheme="minorHAnsi" w:hAnsiTheme="minorHAnsi"/>
        </w:rPr>
        <w:footnoteRef/>
      </w:r>
      <w:r w:rsidRPr="00066FAC">
        <w:rPr>
          <w:rFonts w:asciiTheme="minorHAnsi" w:hAnsiTheme="minorHAnsi"/>
        </w:rPr>
        <w:t xml:space="preserve"> </w:t>
      </w:r>
      <w:r w:rsidRPr="00066FAC">
        <w:rPr>
          <w:rFonts w:asciiTheme="minorHAnsi" w:hAnsiTheme="minorHAnsi"/>
          <w:lang w:val="es-CO"/>
        </w:rPr>
        <w:t>CORTE SUPREMA DE JUSTICIA</w:t>
      </w:r>
      <w:r>
        <w:rPr>
          <w:rFonts w:asciiTheme="minorHAnsi" w:hAnsiTheme="minorHAnsi"/>
          <w:lang w:val="es-CO"/>
        </w:rPr>
        <w:t>. Sala de Casación Civil. Providencia STC16212-2015 del 26-</w:t>
      </w:r>
      <w:r w:rsidR="00075FCE">
        <w:rPr>
          <w:rFonts w:asciiTheme="minorHAnsi" w:hAnsiTheme="minorHAnsi"/>
          <w:lang w:val="es-CO"/>
        </w:rPr>
        <w:t>0</w:t>
      </w:r>
      <w:r>
        <w:rPr>
          <w:rFonts w:asciiTheme="minorHAnsi" w:hAnsiTheme="minorHAnsi"/>
          <w:lang w:val="es-CO"/>
        </w:rPr>
        <w:t xml:space="preserve">1-2015, MP: Ariel Salazar Ramírez. </w:t>
      </w:r>
    </w:p>
  </w:footnote>
  <w:footnote w:id="21">
    <w:p w:rsidR="0082666E" w:rsidRPr="00261711" w:rsidRDefault="0082666E" w:rsidP="0082666E">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Jaime Alberto Saraza Naranjo, expedientes Nos. 2015-00490-00 y 2015-00495-00.</w:t>
      </w:r>
    </w:p>
  </w:footnote>
  <w:footnote w:id="22">
    <w:p w:rsidR="0082666E" w:rsidRPr="00261711" w:rsidRDefault="0082666E" w:rsidP="0082666E">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w:t>
      </w:r>
      <w:r>
        <w:rPr>
          <w:rFonts w:asciiTheme="minorHAnsi" w:hAnsiTheme="minorHAnsi" w:cs="Calibri"/>
        </w:rPr>
        <w:t>Claudia María Arcila Ríos</w:t>
      </w:r>
      <w:r w:rsidRPr="00261711">
        <w:rPr>
          <w:rFonts w:asciiTheme="minorHAnsi" w:hAnsiTheme="minorHAnsi" w:cs="Calibri"/>
        </w:rPr>
        <w:t>, expedientes Nos. 2015-004</w:t>
      </w:r>
      <w:r>
        <w:rPr>
          <w:rFonts w:asciiTheme="minorHAnsi" w:hAnsiTheme="minorHAnsi" w:cs="Calibri"/>
        </w:rPr>
        <w:t>85</w:t>
      </w:r>
      <w:r w:rsidRPr="00261711">
        <w:rPr>
          <w:rFonts w:asciiTheme="minorHAnsi" w:hAnsiTheme="minorHAnsi" w:cs="Calibri"/>
        </w:rPr>
        <w:t>-00 y 2015-00</w:t>
      </w:r>
      <w:r>
        <w:rPr>
          <w:rFonts w:asciiTheme="minorHAnsi" w:hAnsiTheme="minorHAnsi" w:cs="Calibri"/>
        </w:rPr>
        <w:t>511</w:t>
      </w:r>
      <w:r w:rsidRPr="00261711">
        <w:rPr>
          <w:rFonts w:asciiTheme="minorHAnsi" w:hAnsiTheme="minorHAnsi" w:cs="Calibri"/>
        </w:rPr>
        <w:t>-00</w:t>
      </w:r>
      <w:r>
        <w:rPr>
          <w:rFonts w:asciiTheme="minorHAnsi" w:hAnsiTheme="minorHAnsi" w:cs="Calibri"/>
        </w:rPr>
        <w:t>.</w:t>
      </w:r>
    </w:p>
  </w:footnote>
  <w:footnote w:id="23">
    <w:p w:rsidR="0082666E" w:rsidRPr="00070840" w:rsidRDefault="0082666E" w:rsidP="0082666E">
      <w:pPr>
        <w:pStyle w:val="Textonotapie"/>
        <w:jc w:val="both"/>
        <w:rPr>
          <w:rFonts w:asciiTheme="minorHAnsi" w:hAnsiTheme="minorHAnsi"/>
          <w:lang w:val="es-CO"/>
        </w:rPr>
      </w:pPr>
      <w:r w:rsidRPr="00070840">
        <w:rPr>
          <w:rStyle w:val="Refdenotaalpie"/>
          <w:rFonts w:asciiTheme="minorHAnsi" w:hAnsiTheme="minorHAnsi"/>
        </w:rPr>
        <w:footnoteRef/>
      </w:r>
      <w:r w:rsidRPr="00070840">
        <w:rPr>
          <w:rFonts w:asciiTheme="minorHAnsi" w:hAnsiTheme="minorHAnsi"/>
        </w:rPr>
        <w:t xml:space="preserve"> </w:t>
      </w:r>
      <w:r w:rsidRPr="00070840">
        <w:rPr>
          <w:rFonts w:asciiTheme="minorHAnsi" w:hAnsiTheme="minorHAnsi" w:cs="Calibri"/>
          <w:lang w:val="es-CO"/>
        </w:rPr>
        <w:t>TRIBUNAL SUPERIOR DE PEREIRA, Sala Civil – Familia. Sentencias del</w:t>
      </w:r>
      <w:r w:rsidRPr="00070840">
        <w:rPr>
          <w:rFonts w:asciiTheme="minorHAnsi" w:hAnsiTheme="minorHAnsi" w:cs="Calibri"/>
        </w:rPr>
        <w:t xml:space="preserve"> 16-10-2015 y 23-10-2015; MP: </w:t>
      </w:r>
      <w:r>
        <w:rPr>
          <w:rFonts w:asciiTheme="minorHAnsi" w:hAnsiTheme="minorHAnsi" w:cs="Calibri"/>
        </w:rPr>
        <w:t>Du</w:t>
      </w:r>
      <w:r w:rsidRPr="00070840">
        <w:rPr>
          <w:rFonts w:asciiTheme="minorHAnsi" w:hAnsiTheme="minorHAnsi" w:cs="Calibri"/>
        </w:rPr>
        <w:t>berney Grisales Herrar</w:t>
      </w:r>
      <w:r>
        <w:rPr>
          <w:rFonts w:asciiTheme="minorHAnsi" w:hAnsiTheme="minorHAnsi" w:cs="Calibri"/>
        </w:rPr>
        <w:t>a</w:t>
      </w:r>
      <w:r w:rsidRPr="00070840">
        <w:rPr>
          <w:rFonts w:asciiTheme="minorHAnsi" w:hAnsiTheme="minorHAnsi" w:cs="Calibri"/>
        </w:rPr>
        <w:t>, expedientes Nos. 2015-00</w:t>
      </w:r>
      <w:r>
        <w:rPr>
          <w:rFonts w:asciiTheme="minorHAnsi" w:hAnsiTheme="minorHAnsi" w:cs="Calibri"/>
        </w:rPr>
        <w:t>693-00 (4 Acumuladas)</w:t>
      </w:r>
      <w:r w:rsidRPr="00070840">
        <w:rPr>
          <w:rFonts w:asciiTheme="minorHAnsi" w:hAnsiTheme="minorHAnsi" w:cs="Calibri"/>
        </w:rPr>
        <w:t xml:space="preserve"> 2015-00</w:t>
      </w:r>
      <w:r>
        <w:rPr>
          <w:rFonts w:asciiTheme="minorHAnsi" w:hAnsiTheme="minorHAnsi" w:cs="Calibri"/>
        </w:rPr>
        <w:t>750</w:t>
      </w:r>
      <w:r w:rsidRPr="00070840">
        <w:rPr>
          <w:rFonts w:asciiTheme="minorHAnsi" w:hAnsiTheme="minorHAnsi" w:cs="Calibri"/>
        </w:rPr>
        <w:t>-00</w:t>
      </w:r>
      <w:r>
        <w:rPr>
          <w:rFonts w:asciiTheme="minorHAnsi" w:hAnsiTheme="minorHAnsi" w:cs="Calibri"/>
        </w:rPr>
        <w:t xml:space="preserve"> (21 Acumuladas)</w:t>
      </w:r>
      <w:r w:rsidRPr="00070840">
        <w:rPr>
          <w:rFonts w:asciiTheme="minorHAnsi" w:hAnsiTheme="minorHAnsi" w:cs="Calibri"/>
        </w:rPr>
        <w:t>.</w:t>
      </w:r>
    </w:p>
  </w:footnote>
  <w:footnote w:id="24">
    <w:p w:rsidR="00B30BA1" w:rsidRPr="00B30BA1" w:rsidRDefault="00B30BA1">
      <w:pPr>
        <w:pStyle w:val="Textonotapie"/>
        <w:rPr>
          <w:lang w:val="es-CO"/>
        </w:rPr>
      </w:pPr>
      <w:r>
        <w:rPr>
          <w:rStyle w:val="Refdenotaalpie"/>
        </w:rPr>
        <w:footnoteRef/>
      </w:r>
      <w:r>
        <w:t xml:space="preserve"> </w:t>
      </w:r>
      <w:r w:rsidR="001E18D3" w:rsidRPr="00066FAC">
        <w:rPr>
          <w:rFonts w:asciiTheme="minorHAnsi" w:hAnsiTheme="minorHAnsi"/>
          <w:lang w:val="es-CO"/>
        </w:rPr>
        <w:t>CORTE SUPREMA DE JUSTICIA</w:t>
      </w:r>
      <w:r w:rsidR="001E18D3">
        <w:rPr>
          <w:rFonts w:asciiTheme="minorHAnsi" w:hAnsiTheme="minorHAnsi"/>
          <w:lang w:val="es-CO"/>
        </w:rPr>
        <w:t>. Sala de Casación Civil. Providencia STC116-2015 del 30-04-2015, MP: Luis Armando Tolosa Villabona.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B231F7">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No.201</w:t>
    </w:r>
    <w:r>
      <w:rPr>
        <w:rFonts w:ascii="Calibri" w:hAnsi="Calibri" w:cs="Calibri"/>
        <w:i/>
        <w:sz w:val="20"/>
        <w:szCs w:val="22"/>
      </w:rPr>
      <w:t>5</w:t>
    </w:r>
    <w:r w:rsidRPr="006414F7">
      <w:rPr>
        <w:rFonts w:ascii="Calibri" w:hAnsi="Calibri" w:cs="Calibri"/>
        <w:i/>
        <w:sz w:val="20"/>
        <w:szCs w:val="22"/>
      </w:rPr>
      <w:t>-00</w:t>
    </w:r>
    <w:r w:rsidR="004B1EB8">
      <w:rPr>
        <w:rFonts w:ascii="Calibri" w:hAnsi="Calibri" w:cs="Calibri"/>
        <w:i/>
        <w:sz w:val="20"/>
        <w:szCs w:val="22"/>
      </w:rPr>
      <w:t>898</w:t>
    </w:r>
    <w:r w:rsidRPr="006414F7">
      <w:rPr>
        <w:rFonts w:ascii="Calibri" w:hAnsi="Calibri" w:cs="Calibri"/>
        <w:i/>
        <w:sz w:val="20"/>
        <w:szCs w:val="22"/>
      </w:rPr>
      <w:t>-00</w:t>
    </w:r>
    <w:r>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361E-2C31-44E9-80CE-923A9AFA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2562</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2</cp:revision>
  <cp:lastPrinted>2015-12-09T22:12:00Z</cp:lastPrinted>
  <dcterms:created xsi:type="dcterms:W3CDTF">2015-12-09T22:20:00Z</dcterms:created>
  <dcterms:modified xsi:type="dcterms:W3CDTF">2015-12-09T22:20:00Z</dcterms:modified>
</cp:coreProperties>
</file>