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369" w:rsidRPr="00453A63" w:rsidRDefault="00E07369" w:rsidP="00E07369">
      <w:pPr>
        <w:spacing w:line="360" w:lineRule="auto"/>
        <w:jc w:val="center"/>
        <w:rPr>
          <w:rFonts w:ascii="Arial" w:hAnsi="Arial" w:cs="Arial"/>
          <w:b/>
          <w:bCs/>
          <w:sz w:val="26"/>
          <w:szCs w:val="26"/>
        </w:rPr>
      </w:pPr>
      <w:r w:rsidRPr="00453A63">
        <w:rPr>
          <w:rFonts w:ascii="Arial" w:hAnsi="Arial" w:cs="Arial"/>
          <w:b/>
          <w:bCs/>
          <w:sz w:val="26"/>
          <w:szCs w:val="26"/>
        </w:rPr>
        <w:t>TRIBUNAL SUPERIOR DE PEREIRA</w:t>
      </w:r>
    </w:p>
    <w:p w:rsidR="00E07369" w:rsidRPr="00453A63" w:rsidRDefault="00E07369" w:rsidP="00E07369">
      <w:pPr>
        <w:spacing w:line="360" w:lineRule="auto"/>
        <w:jc w:val="center"/>
        <w:rPr>
          <w:rFonts w:ascii="Arial" w:hAnsi="Arial" w:cs="Arial"/>
          <w:b/>
          <w:bCs/>
          <w:sz w:val="26"/>
          <w:szCs w:val="26"/>
        </w:rPr>
      </w:pPr>
      <w:r w:rsidRPr="00453A63">
        <w:rPr>
          <w:rFonts w:ascii="Arial" w:hAnsi="Arial" w:cs="Arial"/>
          <w:b/>
          <w:bCs/>
          <w:sz w:val="26"/>
          <w:szCs w:val="26"/>
        </w:rPr>
        <w:t>Sala de Decisión Civil Familia</w:t>
      </w:r>
    </w:p>
    <w:p w:rsidR="00E07369" w:rsidRPr="00453A63" w:rsidRDefault="00E07369" w:rsidP="00E07369">
      <w:pPr>
        <w:spacing w:line="360" w:lineRule="auto"/>
        <w:rPr>
          <w:rFonts w:ascii="Arial" w:hAnsi="Arial" w:cs="Arial"/>
          <w:bCs/>
          <w:sz w:val="26"/>
          <w:szCs w:val="26"/>
        </w:rPr>
      </w:pPr>
    </w:p>
    <w:p w:rsidR="00E07369" w:rsidRPr="00453A63" w:rsidRDefault="00E07369" w:rsidP="00E07369">
      <w:pPr>
        <w:spacing w:line="360" w:lineRule="auto"/>
        <w:jc w:val="center"/>
        <w:rPr>
          <w:rFonts w:ascii="Arial" w:hAnsi="Arial" w:cs="Arial"/>
          <w:bCs/>
          <w:sz w:val="26"/>
          <w:szCs w:val="26"/>
        </w:rPr>
      </w:pPr>
      <w:r w:rsidRPr="00453A63">
        <w:rPr>
          <w:rFonts w:ascii="Arial" w:hAnsi="Arial" w:cs="Arial"/>
          <w:bCs/>
          <w:sz w:val="26"/>
          <w:szCs w:val="26"/>
        </w:rPr>
        <w:t xml:space="preserve">Magistrado Ponente: </w:t>
      </w:r>
    </w:p>
    <w:p w:rsidR="00E07369" w:rsidRPr="00453A63" w:rsidRDefault="00E07369" w:rsidP="00E07369">
      <w:pPr>
        <w:spacing w:line="360" w:lineRule="auto"/>
        <w:jc w:val="center"/>
        <w:rPr>
          <w:rFonts w:ascii="Arial" w:hAnsi="Arial" w:cs="Arial"/>
          <w:b/>
          <w:bCs/>
          <w:sz w:val="26"/>
          <w:szCs w:val="26"/>
        </w:rPr>
      </w:pPr>
      <w:r w:rsidRPr="00453A63">
        <w:rPr>
          <w:rFonts w:ascii="Arial" w:hAnsi="Arial" w:cs="Arial"/>
          <w:b/>
          <w:bCs/>
          <w:sz w:val="26"/>
          <w:szCs w:val="26"/>
        </w:rPr>
        <w:t>EDDER JIMMY SÁNCHEZ CALAMBÁS</w:t>
      </w:r>
    </w:p>
    <w:p w:rsidR="00E07369" w:rsidRPr="00D063A2" w:rsidRDefault="00E07369" w:rsidP="00E07369">
      <w:pPr>
        <w:spacing w:line="360" w:lineRule="auto"/>
        <w:rPr>
          <w:rFonts w:ascii="Arial" w:hAnsi="Arial" w:cs="Arial"/>
          <w:bCs/>
          <w:sz w:val="26"/>
          <w:szCs w:val="26"/>
        </w:rPr>
      </w:pPr>
    </w:p>
    <w:p w:rsidR="00E07369" w:rsidRPr="00453A63" w:rsidRDefault="00E07369" w:rsidP="00E07369">
      <w:pPr>
        <w:spacing w:line="360" w:lineRule="auto"/>
        <w:rPr>
          <w:rFonts w:ascii="Arial" w:hAnsi="Arial" w:cs="Arial"/>
          <w:bCs/>
          <w:sz w:val="28"/>
          <w:szCs w:val="28"/>
        </w:rPr>
      </w:pPr>
    </w:p>
    <w:p w:rsidR="00E07369" w:rsidRPr="00453A63" w:rsidRDefault="00E07369" w:rsidP="00E07369">
      <w:pPr>
        <w:spacing w:line="360" w:lineRule="auto"/>
        <w:jc w:val="center"/>
        <w:rPr>
          <w:rFonts w:ascii="Arial" w:hAnsi="Arial" w:cs="Arial"/>
          <w:bCs/>
          <w:sz w:val="28"/>
          <w:szCs w:val="28"/>
        </w:rPr>
      </w:pPr>
      <w:r w:rsidRPr="00453A63">
        <w:rPr>
          <w:rFonts w:ascii="Arial" w:hAnsi="Arial" w:cs="Arial"/>
          <w:bCs/>
          <w:sz w:val="28"/>
          <w:szCs w:val="28"/>
        </w:rPr>
        <w:t xml:space="preserve">Pereira, Risaralda, </w:t>
      </w:r>
      <w:r w:rsidR="0087468B">
        <w:rPr>
          <w:rFonts w:ascii="Arial" w:hAnsi="Arial" w:cs="Arial"/>
          <w:bCs/>
          <w:sz w:val="28"/>
          <w:szCs w:val="28"/>
        </w:rPr>
        <w:t>cuatro</w:t>
      </w:r>
      <w:r w:rsidRPr="00453A63">
        <w:rPr>
          <w:rFonts w:ascii="Arial" w:hAnsi="Arial" w:cs="Arial"/>
          <w:bCs/>
          <w:sz w:val="28"/>
          <w:szCs w:val="28"/>
        </w:rPr>
        <w:t xml:space="preserve"> (</w:t>
      </w:r>
      <w:r w:rsidR="0087468B">
        <w:rPr>
          <w:rFonts w:ascii="Arial" w:hAnsi="Arial" w:cs="Arial"/>
          <w:bCs/>
          <w:sz w:val="28"/>
          <w:szCs w:val="28"/>
        </w:rPr>
        <w:t>4</w:t>
      </w:r>
      <w:r w:rsidRPr="00453A63">
        <w:rPr>
          <w:rFonts w:ascii="Arial" w:hAnsi="Arial" w:cs="Arial"/>
          <w:bCs/>
          <w:sz w:val="28"/>
          <w:szCs w:val="28"/>
        </w:rPr>
        <w:t xml:space="preserve">) de </w:t>
      </w:r>
      <w:r w:rsidR="00A52029" w:rsidRPr="00453A63">
        <w:rPr>
          <w:rFonts w:ascii="Arial" w:hAnsi="Arial" w:cs="Arial"/>
          <w:bCs/>
          <w:sz w:val="28"/>
          <w:szCs w:val="28"/>
        </w:rPr>
        <w:t>diciembre</w:t>
      </w:r>
      <w:r w:rsidRPr="00453A63">
        <w:rPr>
          <w:rFonts w:ascii="Arial" w:hAnsi="Arial" w:cs="Arial"/>
          <w:bCs/>
          <w:sz w:val="28"/>
          <w:szCs w:val="28"/>
        </w:rPr>
        <w:t xml:space="preserve"> de dos mil quince (2015)</w:t>
      </w:r>
    </w:p>
    <w:p w:rsidR="00F9645B" w:rsidRDefault="00E07369" w:rsidP="00F9645B">
      <w:pPr>
        <w:spacing w:line="360" w:lineRule="auto"/>
        <w:jc w:val="center"/>
        <w:rPr>
          <w:rFonts w:ascii="Arial" w:hAnsi="Arial" w:cs="Arial"/>
          <w:bCs/>
          <w:sz w:val="28"/>
          <w:szCs w:val="28"/>
        </w:rPr>
      </w:pPr>
      <w:r w:rsidRPr="00453A63">
        <w:rPr>
          <w:rFonts w:ascii="Arial" w:hAnsi="Arial" w:cs="Arial"/>
          <w:sz w:val="28"/>
          <w:szCs w:val="28"/>
        </w:rPr>
        <w:t xml:space="preserve">Acta No. </w:t>
      </w:r>
      <w:r w:rsidR="0087468B">
        <w:rPr>
          <w:rFonts w:ascii="Arial" w:hAnsi="Arial" w:cs="Arial"/>
          <w:sz w:val="28"/>
          <w:szCs w:val="28"/>
        </w:rPr>
        <w:t>593</w:t>
      </w:r>
      <w:r w:rsidR="00550CAB">
        <w:rPr>
          <w:rFonts w:ascii="Arial" w:hAnsi="Arial" w:cs="Arial"/>
          <w:sz w:val="28"/>
          <w:szCs w:val="28"/>
        </w:rPr>
        <w:t xml:space="preserve"> de </w:t>
      </w:r>
      <w:r w:rsidR="00550CAB">
        <w:rPr>
          <w:rFonts w:ascii="Arial" w:hAnsi="Arial" w:cs="Arial"/>
          <w:bCs/>
          <w:sz w:val="28"/>
          <w:szCs w:val="28"/>
        </w:rPr>
        <w:t>4</w:t>
      </w:r>
      <w:r w:rsidR="005737F9">
        <w:rPr>
          <w:rFonts w:ascii="Arial" w:hAnsi="Arial" w:cs="Arial"/>
          <w:bCs/>
          <w:sz w:val="28"/>
          <w:szCs w:val="28"/>
        </w:rPr>
        <w:t>-12-</w:t>
      </w:r>
      <w:r w:rsidR="00550CAB" w:rsidRPr="00453A63">
        <w:rPr>
          <w:rFonts w:ascii="Arial" w:hAnsi="Arial" w:cs="Arial"/>
          <w:bCs/>
          <w:sz w:val="28"/>
          <w:szCs w:val="28"/>
        </w:rPr>
        <w:t>2015</w:t>
      </w:r>
    </w:p>
    <w:p w:rsidR="00E07369" w:rsidRPr="00453A63" w:rsidRDefault="00E07369" w:rsidP="00F9645B">
      <w:pPr>
        <w:spacing w:line="360" w:lineRule="auto"/>
        <w:jc w:val="center"/>
        <w:rPr>
          <w:rFonts w:ascii="Arial" w:hAnsi="Arial" w:cs="Arial"/>
          <w:bCs/>
          <w:sz w:val="28"/>
          <w:szCs w:val="28"/>
        </w:rPr>
      </w:pPr>
      <w:r w:rsidRPr="00453A63">
        <w:rPr>
          <w:rFonts w:ascii="Arial" w:hAnsi="Arial" w:cs="Arial"/>
          <w:sz w:val="28"/>
          <w:szCs w:val="28"/>
        </w:rPr>
        <w:t>Expediente 66</w:t>
      </w:r>
      <w:r w:rsidR="00951FB9" w:rsidRPr="00453A63">
        <w:rPr>
          <w:rFonts w:ascii="Arial" w:hAnsi="Arial" w:cs="Arial"/>
          <w:sz w:val="28"/>
          <w:szCs w:val="28"/>
        </w:rPr>
        <w:t>001</w:t>
      </w:r>
      <w:r w:rsidRPr="00453A63">
        <w:rPr>
          <w:rFonts w:ascii="Arial" w:hAnsi="Arial" w:cs="Arial"/>
          <w:sz w:val="28"/>
          <w:szCs w:val="28"/>
        </w:rPr>
        <w:t>-31-10-001-2015-00</w:t>
      </w:r>
      <w:r w:rsidR="00951FB9" w:rsidRPr="00453A63">
        <w:rPr>
          <w:rFonts w:ascii="Arial" w:hAnsi="Arial" w:cs="Arial"/>
          <w:sz w:val="28"/>
          <w:szCs w:val="28"/>
        </w:rPr>
        <w:t>562</w:t>
      </w:r>
      <w:r w:rsidRPr="00453A63">
        <w:rPr>
          <w:rFonts w:ascii="Arial" w:hAnsi="Arial" w:cs="Arial"/>
          <w:sz w:val="28"/>
          <w:szCs w:val="28"/>
        </w:rPr>
        <w:t>-01</w:t>
      </w:r>
    </w:p>
    <w:p w:rsidR="00E07369" w:rsidRPr="00453A63" w:rsidRDefault="00E07369" w:rsidP="00E07369">
      <w:pPr>
        <w:pStyle w:val="Sinespaciado1"/>
        <w:spacing w:line="360" w:lineRule="auto"/>
        <w:rPr>
          <w:rFonts w:ascii="Arial" w:hAnsi="Arial" w:cs="Arial"/>
          <w:sz w:val="28"/>
          <w:szCs w:val="28"/>
          <w:lang w:val="es-ES" w:eastAsia="es-ES"/>
        </w:rPr>
      </w:pPr>
    </w:p>
    <w:p w:rsidR="00E07369" w:rsidRPr="00453A63" w:rsidRDefault="00E07369" w:rsidP="00E07369">
      <w:pPr>
        <w:pStyle w:val="Sinespaciado1"/>
        <w:spacing w:line="360" w:lineRule="auto"/>
        <w:rPr>
          <w:rFonts w:ascii="Arial" w:hAnsi="Arial" w:cs="Arial"/>
          <w:b/>
          <w:sz w:val="28"/>
          <w:szCs w:val="28"/>
          <w:lang w:val="es-ES" w:eastAsia="es-ES"/>
        </w:rPr>
      </w:pPr>
    </w:p>
    <w:p w:rsidR="00E07369" w:rsidRPr="00453A63" w:rsidRDefault="00E07369" w:rsidP="00E07369">
      <w:pPr>
        <w:pStyle w:val="Sinespaciado1"/>
        <w:spacing w:line="360" w:lineRule="auto"/>
        <w:ind w:firstLine="2835"/>
        <w:jc w:val="both"/>
        <w:rPr>
          <w:rFonts w:ascii="Arial" w:hAnsi="Arial" w:cs="Arial"/>
          <w:b/>
          <w:sz w:val="28"/>
          <w:szCs w:val="28"/>
          <w:lang w:val="es-ES" w:eastAsia="es-ES"/>
        </w:rPr>
      </w:pPr>
      <w:r w:rsidRPr="00453A63">
        <w:rPr>
          <w:rFonts w:ascii="Arial" w:hAnsi="Arial" w:cs="Arial"/>
          <w:b/>
          <w:sz w:val="28"/>
          <w:szCs w:val="28"/>
          <w:lang w:val="es-ES" w:eastAsia="es-ES"/>
        </w:rPr>
        <w:t>I. Asunto</w:t>
      </w:r>
    </w:p>
    <w:p w:rsidR="00E07369" w:rsidRPr="00453A63" w:rsidRDefault="00E07369" w:rsidP="00E07369">
      <w:pPr>
        <w:pStyle w:val="Sinespaciado1"/>
        <w:spacing w:line="360" w:lineRule="auto"/>
        <w:ind w:firstLine="2835"/>
        <w:rPr>
          <w:rFonts w:ascii="Arial" w:hAnsi="Arial" w:cs="Arial"/>
          <w:sz w:val="28"/>
          <w:szCs w:val="28"/>
          <w:lang w:val="es-ES" w:eastAsia="es-ES"/>
        </w:rPr>
      </w:pPr>
    </w:p>
    <w:p w:rsidR="00E07369" w:rsidRPr="00453A63" w:rsidRDefault="00E07369" w:rsidP="00E07369">
      <w:pPr>
        <w:pStyle w:val="Sinespaciado1"/>
        <w:spacing w:line="360" w:lineRule="auto"/>
        <w:ind w:firstLine="2835"/>
        <w:jc w:val="both"/>
        <w:rPr>
          <w:rFonts w:ascii="Arial" w:hAnsi="Arial" w:cs="Arial"/>
          <w:sz w:val="28"/>
          <w:szCs w:val="28"/>
          <w:lang w:val="es-ES" w:eastAsia="es-ES"/>
        </w:rPr>
      </w:pPr>
      <w:r w:rsidRPr="00453A63">
        <w:rPr>
          <w:rFonts w:ascii="Arial" w:hAnsi="Arial" w:cs="Arial"/>
          <w:sz w:val="28"/>
          <w:szCs w:val="28"/>
          <w:lang w:val="es-ES" w:eastAsia="es-ES"/>
        </w:rPr>
        <w:t xml:space="preserve">Decide el Tribunal la </w:t>
      </w:r>
      <w:r w:rsidRPr="00453A63">
        <w:rPr>
          <w:rFonts w:ascii="Arial" w:hAnsi="Arial" w:cs="Arial"/>
          <w:sz w:val="24"/>
          <w:szCs w:val="24"/>
          <w:lang w:val="es-ES" w:eastAsia="es-ES"/>
        </w:rPr>
        <w:t xml:space="preserve">IMPUGNACIÓN </w:t>
      </w:r>
      <w:r w:rsidRPr="00453A63">
        <w:rPr>
          <w:rFonts w:ascii="Arial" w:hAnsi="Arial" w:cs="Arial"/>
          <w:sz w:val="28"/>
          <w:szCs w:val="28"/>
          <w:lang w:val="es-ES" w:eastAsia="es-ES"/>
        </w:rPr>
        <w:t xml:space="preserve">formulada </w:t>
      </w:r>
      <w:r w:rsidR="00443DED" w:rsidRPr="00453A63">
        <w:rPr>
          <w:rFonts w:ascii="Arial" w:hAnsi="Arial" w:cs="Arial"/>
          <w:sz w:val="28"/>
          <w:szCs w:val="28"/>
          <w:lang w:val="es-ES" w:eastAsia="es-ES"/>
        </w:rPr>
        <w:t xml:space="preserve">mediante apoderado judicial </w:t>
      </w:r>
      <w:r w:rsidRPr="00453A63">
        <w:rPr>
          <w:rFonts w:ascii="Arial" w:hAnsi="Arial" w:cs="Arial"/>
          <w:sz w:val="28"/>
          <w:szCs w:val="28"/>
          <w:lang w:val="es-ES" w:eastAsia="es-ES"/>
        </w:rPr>
        <w:t xml:space="preserve">por </w:t>
      </w:r>
      <w:r w:rsidR="00443DED" w:rsidRPr="00453A63">
        <w:rPr>
          <w:rFonts w:ascii="Arial" w:hAnsi="Arial" w:cs="Arial"/>
          <w:sz w:val="28"/>
          <w:szCs w:val="28"/>
          <w:lang w:val="es-ES" w:eastAsia="es-ES"/>
        </w:rPr>
        <w:t>el</w:t>
      </w:r>
      <w:r w:rsidRPr="00453A63">
        <w:rPr>
          <w:rFonts w:ascii="Arial" w:hAnsi="Arial" w:cs="Arial"/>
          <w:sz w:val="28"/>
          <w:szCs w:val="28"/>
          <w:lang w:val="es-ES" w:eastAsia="es-ES"/>
        </w:rPr>
        <w:t xml:space="preserve"> ciudadan</w:t>
      </w:r>
      <w:r w:rsidR="00443DED" w:rsidRPr="00453A63">
        <w:rPr>
          <w:rFonts w:ascii="Arial" w:hAnsi="Arial" w:cs="Arial"/>
          <w:sz w:val="28"/>
          <w:szCs w:val="28"/>
          <w:lang w:val="es-ES" w:eastAsia="es-ES"/>
        </w:rPr>
        <w:t>o</w:t>
      </w:r>
      <w:r>
        <w:rPr>
          <w:rFonts w:ascii="Arial" w:hAnsi="Arial" w:cs="Arial"/>
          <w:sz w:val="26"/>
          <w:szCs w:val="26"/>
          <w:lang w:val="es-ES" w:eastAsia="es-ES"/>
        </w:rPr>
        <w:t xml:space="preserve"> </w:t>
      </w:r>
      <w:r w:rsidR="00443DED" w:rsidRPr="00453A63">
        <w:rPr>
          <w:rFonts w:ascii="Arial" w:hAnsi="Arial" w:cs="Arial"/>
          <w:sz w:val="24"/>
          <w:szCs w:val="24"/>
          <w:lang w:val="es-ES" w:eastAsia="es-ES"/>
        </w:rPr>
        <w:t>PEDRO NEL HERNÁNDEZ GÓMEZ</w:t>
      </w:r>
      <w:r w:rsidRPr="00453A63">
        <w:rPr>
          <w:rFonts w:ascii="Arial" w:hAnsi="Arial" w:cs="Arial"/>
          <w:sz w:val="28"/>
          <w:szCs w:val="28"/>
          <w:lang w:val="es-ES" w:eastAsia="es-ES"/>
        </w:rPr>
        <w:t>,</w:t>
      </w:r>
      <w:r w:rsidRPr="00453A63">
        <w:rPr>
          <w:rFonts w:ascii="Arial" w:hAnsi="Arial" w:cs="Arial"/>
          <w:b/>
          <w:sz w:val="28"/>
          <w:szCs w:val="28"/>
          <w:lang w:val="es-ES" w:eastAsia="es-ES"/>
        </w:rPr>
        <w:t xml:space="preserve"> </w:t>
      </w:r>
      <w:r w:rsidRPr="00453A63">
        <w:rPr>
          <w:rFonts w:ascii="Arial" w:hAnsi="Arial" w:cs="Arial"/>
          <w:sz w:val="28"/>
          <w:szCs w:val="28"/>
          <w:lang w:val="es-ES" w:eastAsia="es-ES"/>
        </w:rPr>
        <w:t xml:space="preserve">frente al fallo de tutela proferido el </w:t>
      </w:r>
      <w:r w:rsidR="00817CD7" w:rsidRPr="00453A63">
        <w:rPr>
          <w:rFonts w:ascii="Arial" w:hAnsi="Arial" w:cs="Arial"/>
          <w:sz w:val="28"/>
          <w:szCs w:val="28"/>
          <w:lang w:val="es-ES" w:eastAsia="es-ES"/>
        </w:rPr>
        <w:t>20</w:t>
      </w:r>
      <w:r w:rsidRPr="00453A63">
        <w:rPr>
          <w:rFonts w:ascii="Arial" w:hAnsi="Arial" w:cs="Arial"/>
          <w:sz w:val="28"/>
          <w:szCs w:val="28"/>
          <w:lang w:val="es-ES" w:eastAsia="es-ES"/>
        </w:rPr>
        <w:t xml:space="preserve"> de </w:t>
      </w:r>
      <w:r w:rsidR="00817CD7" w:rsidRPr="00453A63">
        <w:rPr>
          <w:rFonts w:ascii="Arial" w:hAnsi="Arial" w:cs="Arial"/>
          <w:sz w:val="28"/>
          <w:szCs w:val="28"/>
          <w:lang w:val="es-ES" w:eastAsia="es-ES"/>
        </w:rPr>
        <w:t>agosto</w:t>
      </w:r>
      <w:r w:rsidRPr="00453A63">
        <w:rPr>
          <w:rFonts w:ascii="Arial" w:hAnsi="Arial" w:cs="Arial"/>
          <w:sz w:val="28"/>
          <w:szCs w:val="28"/>
          <w:lang w:val="es-ES" w:eastAsia="es-ES"/>
        </w:rPr>
        <w:t xml:space="preserve"> de 2015, por el Juzgado </w:t>
      </w:r>
      <w:r w:rsidR="001529E9" w:rsidRPr="00453A63">
        <w:rPr>
          <w:rFonts w:ascii="Arial" w:hAnsi="Arial" w:cs="Arial"/>
          <w:sz w:val="28"/>
          <w:szCs w:val="28"/>
          <w:lang w:val="es-ES" w:eastAsia="es-ES"/>
        </w:rPr>
        <w:t xml:space="preserve">Primero </w:t>
      </w:r>
      <w:r w:rsidRPr="00453A63">
        <w:rPr>
          <w:rFonts w:ascii="Arial" w:hAnsi="Arial" w:cs="Arial"/>
          <w:sz w:val="28"/>
          <w:szCs w:val="28"/>
          <w:lang w:val="es-ES" w:eastAsia="es-ES"/>
        </w:rPr>
        <w:t xml:space="preserve">de Familia de </w:t>
      </w:r>
      <w:r w:rsidR="00552841" w:rsidRPr="00453A63">
        <w:rPr>
          <w:rFonts w:ascii="Arial" w:hAnsi="Arial" w:cs="Arial"/>
          <w:sz w:val="28"/>
          <w:szCs w:val="28"/>
          <w:lang w:val="es-ES" w:eastAsia="es-ES"/>
        </w:rPr>
        <w:t>Pereira</w:t>
      </w:r>
      <w:r w:rsidRPr="00453A63">
        <w:rPr>
          <w:rFonts w:ascii="Arial" w:hAnsi="Arial" w:cs="Arial"/>
          <w:sz w:val="28"/>
          <w:szCs w:val="28"/>
          <w:lang w:val="es-ES" w:eastAsia="es-ES"/>
        </w:rPr>
        <w:t xml:space="preserve"> Risaralda.</w:t>
      </w:r>
    </w:p>
    <w:p w:rsidR="00CB0021" w:rsidRPr="00453A63" w:rsidRDefault="00CB0021" w:rsidP="00E07369">
      <w:pPr>
        <w:pStyle w:val="Sinespaciado1"/>
        <w:spacing w:line="360" w:lineRule="auto"/>
        <w:ind w:firstLine="2835"/>
        <w:jc w:val="both"/>
        <w:rPr>
          <w:rFonts w:ascii="Arial" w:hAnsi="Arial" w:cs="Arial"/>
          <w:sz w:val="28"/>
          <w:szCs w:val="28"/>
          <w:lang w:val="es-ES" w:eastAsia="es-ES"/>
        </w:rPr>
      </w:pPr>
    </w:p>
    <w:p w:rsidR="00E07369" w:rsidRPr="00453A63" w:rsidRDefault="00E07369" w:rsidP="00E07369">
      <w:pPr>
        <w:pStyle w:val="Sinespaciado1"/>
        <w:spacing w:line="360" w:lineRule="auto"/>
        <w:ind w:firstLine="2835"/>
        <w:jc w:val="both"/>
        <w:rPr>
          <w:rFonts w:ascii="Arial" w:hAnsi="Arial" w:cs="Arial"/>
          <w:sz w:val="28"/>
          <w:szCs w:val="28"/>
          <w:lang w:val="es-ES" w:eastAsia="es-ES"/>
        </w:rPr>
      </w:pPr>
      <w:r w:rsidRPr="00453A63">
        <w:rPr>
          <w:rFonts w:ascii="Arial" w:hAnsi="Arial" w:cs="Arial"/>
          <w:b/>
          <w:sz w:val="28"/>
          <w:szCs w:val="28"/>
          <w:lang w:val="es-ES" w:eastAsia="es-ES"/>
        </w:rPr>
        <w:t>II. Antecedentes</w:t>
      </w:r>
    </w:p>
    <w:p w:rsidR="00E07369" w:rsidRPr="00453A63" w:rsidRDefault="00E07369" w:rsidP="00E07369">
      <w:pPr>
        <w:pStyle w:val="Sinespaciado1"/>
        <w:spacing w:line="360" w:lineRule="auto"/>
        <w:ind w:firstLine="2835"/>
        <w:jc w:val="both"/>
        <w:rPr>
          <w:rFonts w:ascii="Arial" w:hAnsi="Arial" w:cs="Arial"/>
          <w:sz w:val="28"/>
          <w:szCs w:val="28"/>
          <w:lang w:val="es-ES" w:eastAsia="es-ES"/>
        </w:rPr>
      </w:pPr>
    </w:p>
    <w:p w:rsidR="00E07369" w:rsidRDefault="00E07369" w:rsidP="00CF0F7C">
      <w:pPr>
        <w:pStyle w:val="Sinespaciado1"/>
        <w:spacing w:line="360" w:lineRule="auto"/>
        <w:ind w:firstLine="2835"/>
        <w:jc w:val="both"/>
        <w:rPr>
          <w:rFonts w:ascii="Arial" w:hAnsi="Arial" w:cs="Arial"/>
          <w:sz w:val="28"/>
          <w:szCs w:val="28"/>
        </w:rPr>
      </w:pPr>
      <w:r w:rsidRPr="00453A63">
        <w:rPr>
          <w:rFonts w:ascii="Arial" w:hAnsi="Arial" w:cs="Arial"/>
          <w:sz w:val="28"/>
          <w:szCs w:val="28"/>
        </w:rPr>
        <w:t xml:space="preserve">1. </w:t>
      </w:r>
      <w:r w:rsidR="000A7751" w:rsidRPr="00453A63">
        <w:rPr>
          <w:rFonts w:ascii="Arial" w:hAnsi="Arial" w:cs="Arial"/>
          <w:sz w:val="28"/>
          <w:szCs w:val="28"/>
        </w:rPr>
        <w:t>El</w:t>
      </w:r>
      <w:r w:rsidRPr="00453A63">
        <w:rPr>
          <w:rFonts w:ascii="Arial" w:hAnsi="Arial" w:cs="Arial"/>
          <w:sz w:val="28"/>
          <w:szCs w:val="28"/>
        </w:rPr>
        <w:t xml:space="preserve"> actor promovió acción de tutela contra la </w:t>
      </w:r>
      <w:r w:rsidRPr="00CE0CF6">
        <w:rPr>
          <w:rFonts w:ascii="Arial" w:hAnsi="Arial" w:cs="Arial"/>
          <w:sz w:val="24"/>
          <w:szCs w:val="24"/>
        </w:rPr>
        <w:t>ADMINISTRADORA COLOMBIANA DE PENSIONES – COLPENSIONES,</w:t>
      </w:r>
      <w:r w:rsidRPr="00453A63">
        <w:rPr>
          <w:rFonts w:ascii="Arial" w:hAnsi="Arial" w:cs="Arial"/>
          <w:sz w:val="28"/>
          <w:szCs w:val="28"/>
        </w:rPr>
        <w:t xml:space="preserve"> por considerar que le vulnera sus derechos fundamentales </w:t>
      </w:r>
      <w:r w:rsidR="00463D13" w:rsidRPr="00453A63">
        <w:rPr>
          <w:rFonts w:ascii="Arial" w:hAnsi="Arial" w:cs="Arial"/>
          <w:sz w:val="28"/>
          <w:szCs w:val="28"/>
        </w:rPr>
        <w:t>a la congrua subsistencia y al mínimo vital</w:t>
      </w:r>
      <w:r w:rsidRPr="00453A63">
        <w:rPr>
          <w:rFonts w:ascii="Arial" w:hAnsi="Arial" w:cs="Arial"/>
          <w:sz w:val="28"/>
          <w:szCs w:val="28"/>
        </w:rPr>
        <w:t>, al negarle la pensión d</w:t>
      </w:r>
      <w:r w:rsidR="00CF0F7C" w:rsidRPr="00453A63">
        <w:rPr>
          <w:rFonts w:ascii="Arial" w:hAnsi="Arial" w:cs="Arial"/>
          <w:sz w:val="28"/>
          <w:szCs w:val="28"/>
        </w:rPr>
        <w:t>e</w:t>
      </w:r>
      <w:r w:rsidRPr="00453A63">
        <w:rPr>
          <w:rFonts w:ascii="Arial" w:hAnsi="Arial" w:cs="Arial"/>
          <w:sz w:val="28"/>
          <w:szCs w:val="28"/>
        </w:rPr>
        <w:t xml:space="preserve"> </w:t>
      </w:r>
      <w:r w:rsidR="00463D13" w:rsidRPr="00453A63">
        <w:rPr>
          <w:rFonts w:ascii="Arial" w:hAnsi="Arial" w:cs="Arial"/>
          <w:sz w:val="28"/>
          <w:szCs w:val="28"/>
        </w:rPr>
        <w:t>sobreviviente</w:t>
      </w:r>
      <w:r w:rsidR="006F33DE" w:rsidRPr="00453A63">
        <w:rPr>
          <w:rFonts w:ascii="Arial" w:hAnsi="Arial" w:cs="Arial"/>
          <w:sz w:val="28"/>
          <w:szCs w:val="28"/>
        </w:rPr>
        <w:t>s</w:t>
      </w:r>
      <w:r w:rsidR="00463D13" w:rsidRPr="00453A63">
        <w:rPr>
          <w:rFonts w:ascii="Arial" w:hAnsi="Arial" w:cs="Arial"/>
          <w:sz w:val="28"/>
          <w:szCs w:val="28"/>
        </w:rPr>
        <w:t xml:space="preserve">, a que tiene derecho ante el fallecimiento de su </w:t>
      </w:r>
      <w:r w:rsidR="00973015" w:rsidRPr="00453A63">
        <w:rPr>
          <w:rFonts w:ascii="Arial" w:hAnsi="Arial" w:cs="Arial"/>
          <w:sz w:val="28"/>
          <w:szCs w:val="28"/>
        </w:rPr>
        <w:t>esposa</w:t>
      </w:r>
      <w:r w:rsidR="00463D13" w:rsidRPr="00453A63">
        <w:rPr>
          <w:rFonts w:ascii="Arial" w:hAnsi="Arial" w:cs="Arial"/>
          <w:sz w:val="28"/>
          <w:szCs w:val="28"/>
        </w:rPr>
        <w:t>.</w:t>
      </w:r>
      <w:r w:rsidRPr="00453A63">
        <w:rPr>
          <w:rFonts w:ascii="Arial" w:hAnsi="Arial" w:cs="Arial"/>
          <w:sz w:val="28"/>
          <w:szCs w:val="28"/>
        </w:rPr>
        <w:t xml:space="preserve"> Pide</w:t>
      </w:r>
      <w:r w:rsidR="00CF0F7C" w:rsidRPr="00453A63">
        <w:rPr>
          <w:rFonts w:ascii="Arial" w:hAnsi="Arial" w:cs="Arial"/>
          <w:sz w:val="28"/>
          <w:szCs w:val="28"/>
        </w:rPr>
        <w:t xml:space="preserve"> </w:t>
      </w:r>
      <w:r w:rsidRPr="00453A63">
        <w:rPr>
          <w:rFonts w:ascii="Arial" w:hAnsi="Arial" w:cs="Arial"/>
          <w:sz w:val="28"/>
          <w:szCs w:val="28"/>
        </w:rPr>
        <w:t xml:space="preserve">se </w:t>
      </w:r>
      <w:r w:rsidR="00CF0F7C" w:rsidRPr="00453A63">
        <w:rPr>
          <w:rFonts w:ascii="Arial" w:hAnsi="Arial" w:cs="Arial"/>
          <w:sz w:val="28"/>
          <w:szCs w:val="28"/>
        </w:rPr>
        <w:t>protejan sus derechos invocados y</w:t>
      </w:r>
      <w:r w:rsidRPr="00453A63">
        <w:rPr>
          <w:rFonts w:ascii="Arial" w:hAnsi="Arial" w:cs="Arial"/>
          <w:sz w:val="28"/>
          <w:szCs w:val="28"/>
        </w:rPr>
        <w:t xml:space="preserve"> se </w:t>
      </w:r>
      <w:r w:rsidR="00973015" w:rsidRPr="00453A63">
        <w:rPr>
          <w:rFonts w:ascii="Arial" w:hAnsi="Arial" w:cs="Arial"/>
          <w:sz w:val="28"/>
          <w:szCs w:val="28"/>
        </w:rPr>
        <w:t xml:space="preserve">reconozca </w:t>
      </w:r>
      <w:r w:rsidR="00847207">
        <w:rPr>
          <w:rFonts w:ascii="Arial" w:hAnsi="Arial" w:cs="Arial"/>
          <w:sz w:val="28"/>
          <w:szCs w:val="28"/>
        </w:rPr>
        <w:t xml:space="preserve">dicha prestación </w:t>
      </w:r>
      <w:bookmarkStart w:id="0" w:name="_GoBack"/>
      <w:bookmarkEnd w:id="0"/>
      <w:r w:rsidR="00973015" w:rsidRPr="00453A63">
        <w:rPr>
          <w:rFonts w:ascii="Arial" w:hAnsi="Arial" w:cs="Arial"/>
          <w:sz w:val="28"/>
          <w:szCs w:val="28"/>
        </w:rPr>
        <w:t xml:space="preserve">como cónyuge supérstite de Ana María Márquez López. </w:t>
      </w:r>
    </w:p>
    <w:p w:rsidR="00CB0021" w:rsidRPr="00453A63" w:rsidRDefault="00CB0021" w:rsidP="00CF0F7C">
      <w:pPr>
        <w:pStyle w:val="Sinespaciado1"/>
        <w:spacing w:line="360" w:lineRule="auto"/>
        <w:ind w:firstLine="2835"/>
        <w:jc w:val="both"/>
        <w:rPr>
          <w:rFonts w:ascii="Arial" w:hAnsi="Arial" w:cs="Arial"/>
          <w:sz w:val="28"/>
          <w:szCs w:val="28"/>
        </w:rPr>
      </w:pPr>
    </w:p>
    <w:p w:rsidR="00E07369" w:rsidRPr="00453A63" w:rsidRDefault="00E07369" w:rsidP="00E07369">
      <w:pPr>
        <w:pStyle w:val="Sinespaciado1"/>
        <w:spacing w:line="360" w:lineRule="auto"/>
        <w:ind w:firstLine="2835"/>
        <w:jc w:val="both"/>
        <w:rPr>
          <w:rFonts w:ascii="Arial" w:hAnsi="Arial" w:cs="Arial"/>
          <w:sz w:val="28"/>
          <w:szCs w:val="28"/>
          <w:lang w:val="es-ES" w:eastAsia="es-ES"/>
        </w:rPr>
      </w:pPr>
      <w:r w:rsidRPr="00453A63">
        <w:rPr>
          <w:rFonts w:ascii="Arial" w:hAnsi="Arial" w:cs="Arial"/>
          <w:sz w:val="28"/>
          <w:szCs w:val="28"/>
        </w:rPr>
        <w:lastRenderedPageBreak/>
        <w:t>2. Sustenta su pretensión en los hechos que a continuación se compendian:</w:t>
      </w:r>
    </w:p>
    <w:p w:rsidR="00E07369" w:rsidRPr="00453A63" w:rsidRDefault="00E07369" w:rsidP="00E07369">
      <w:pPr>
        <w:pStyle w:val="Sinespaciado1"/>
        <w:spacing w:line="360" w:lineRule="auto"/>
        <w:ind w:firstLine="2835"/>
        <w:jc w:val="both"/>
        <w:rPr>
          <w:rFonts w:ascii="Arial" w:hAnsi="Arial" w:cs="Arial"/>
          <w:sz w:val="28"/>
          <w:szCs w:val="28"/>
          <w:lang w:val="es-ES" w:eastAsia="es-ES"/>
        </w:rPr>
      </w:pPr>
    </w:p>
    <w:p w:rsidR="00E07369" w:rsidRPr="00453A63" w:rsidRDefault="00E07369" w:rsidP="00E07369">
      <w:pPr>
        <w:pStyle w:val="Sinespaciado1"/>
        <w:spacing w:line="360" w:lineRule="auto"/>
        <w:ind w:firstLine="2835"/>
        <w:jc w:val="both"/>
        <w:rPr>
          <w:rFonts w:ascii="Arial" w:hAnsi="Arial" w:cs="Arial"/>
          <w:sz w:val="28"/>
          <w:szCs w:val="28"/>
        </w:rPr>
      </w:pPr>
      <w:r w:rsidRPr="00453A63">
        <w:rPr>
          <w:rFonts w:ascii="Arial" w:hAnsi="Arial" w:cs="Arial"/>
          <w:sz w:val="28"/>
          <w:szCs w:val="28"/>
        </w:rPr>
        <w:t xml:space="preserve">a. </w:t>
      </w:r>
      <w:r w:rsidR="00E250F2" w:rsidRPr="00453A63">
        <w:rPr>
          <w:rFonts w:ascii="Arial" w:hAnsi="Arial" w:cs="Arial"/>
          <w:sz w:val="28"/>
          <w:szCs w:val="28"/>
        </w:rPr>
        <w:t>C</w:t>
      </w:r>
      <w:r w:rsidR="007D0FD8" w:rsidRPr="00453A63">
        <w:rPr>
          <w:rFonts w:ascii="Arial" w:hAnsi="Arial" w:cs="Arial"/>
          <w:sz w:val="28"/>
          <w:szCs w:val="28"/>
        </w:rPr>
        <w:t xml:space="preserve">uenta actualmente con 80 años de edad, lo que dice lo acredita como sujeto de especial protección, pues supera de lejos la expectativa de vida del </w:t>
      </w:r>
      <w:r w:rsidR="00A52029" w:rsidRPr="00453A63">
        <w:rPr>
          <w:rFonts w:ascii="Arial" w:hAnsi="Arial" w:cs="Arial"/>
          <w:sz w:val="28"/>
          <w:szCs w:val="28"/>
        </w:rPr>
        <w:t>c</w:t>
      </w:r>
      <w:r w:rsidR="007D0FD8" w:rsidRPr="00453A63">
        <w:rPr>
          <w:rFonts w:ascii="Arial" w:hAnsi="Arial" w:cs="Arial"/>
          <w:sz w:val="28"/>
          <w:szCs w:val="28"/>
        </w:rPr>
        <w:t xml:space="preserve">olombiano promedio y por tal razón un proceso laboral con la doble instancia es demasiado tiempo para esperar el disfrute de su derecho. </w:t>
      </w:r>
    </w:p>
    <w:p w:rsidR="007D0FD8" w:rsidRPr="00453A63" w:rsidRDefault="007D0FD8" w:rsidP="00E07369">
      <w:pPr>
        <w:pStyle w:val="Sinespaciado1"/>
        <w:spacing w:line="360" w:lineRule="auto"/>
        <w:ind w:firstLine="2835"/>
        <w:jc w:val="both"/>
        <w:rPr>
          <w:rFonts w:ascii="Arial" w:hAnsi="Arial" w:cs="Arial"/>
          <w:sz w:val="28"/>
          <w:szCs w:val="28"/>
        </w:rPr>
      </w:pPr>
    </w:p>
    <w:p w:rsidR="00E07369" w:rsidRPr="00453A63" w:rsidRDefault="00E07369" w:rsidP="00E07369">
      <w:pPr>
        <w:pStyle w:val="Sinespaciado1"/>
        <w:spacing w:line="360" w:lineRule="auto"/>
        <w:ind w:firstLine="2835"/>
        <w:jc w:val="both"/>
        <w:rPr>
          <w:rFonts w:ascii="Arial" w:hAnsi="Arial" w:cs="Arial"/>
          <w:sz w:val="28"/>
          <w:szCs w:val="28"/>
        </w:rPr>
      </w:pPr>
      <w:r w:rsidRPr="00453A63">
        <w:rPr>
          <w:rFonts w:ascii="Arial" w:hAnsi="Arial" w:cs="Arial"/>
          <w:sz w:val="28"/>
          <w:szCs w:val="28"/>
        </w:rPr>
        <w:t xml:space="preserve">b. </w:t>
      </w:r>
      <w:r w:rsidR="007D0FD8" w:rsidRPr="00453A63">
        <w:rPr>
          <w:rFonts w:ascii="Arial" w:hAnsi="Arial" w:cs="Arial"/>
          <w:sz w:val="28"/>
          <w:szCs w:val="28"/>
        </w:rPr>
        <w:t xml:space="preserve">Que además padece de varias patologías </w:t>
      </w:r>
      <w:r w:rsidR="00F1480B" w:rsidRPr="00453A63">
        <w:rPr>
          <w:rFonts w:ascii="Arial" w:hAnsi="Arial" w:cs="Arial"/>
          <w:sz w:val="28"/>
          <w:szCs w:val="28"/>
        </w:rPr>
        <w:t xml:space="preserve">                        </w:t>
      </w:r>
      <w:r w:rsidR="007D0FD8" w:rsidRPr="00453A63">
        <w:rPr>
          <w:rFonts w:ascii="Arial" w:hAnsi="Arial" w:cs="Arial"/>
          <w:sz w:val="28"/>
          <w:szCs w:val="28"/>
        </w:rPr>
        <w:t>– hipertensión, diabetes y sordera- que indican que requiere de su mesada pensional de sobrevivientes, para poder acceder a un adecuado bienestar y mínimo vital,</w:t>
      </w:r>
      <w:r w:rsidR="00F1480B" w:rsidRPr="00453A63">
        <w:rPr>
          <w:rFonts w:ascii="Arial" w:hAnsi="Arial" w:cs="Arial"/>
          <w:sz w:val="28"/>
          <w:szCs w:val="28"/>
        </w:rPr>
        <w:t xml:space="preserve"> pues ahora debe</w:t>
      </w:r>
      <w:r w:rsidR="007D0FD8" w:rsidRPr="00453A63">
        <w:rPr>
          <w:rFonts w:ascii="Arial" w:hAnsi="Arial" w:cs="Arial"/>
          <w:sz w:val="28"/>
          <w:szCs w:val="28"/>
        </w:rPr>
        <w:t xml:space="preserve"> acudir a la ayuda de personas</w:t>
      </w:r>
      <w:r w:rsidR="00E250F2" w:rsidRPr="00453A63">
        <w:rPr>
          <w:rFonts w:ascii="Arial" w:hAnsi="Arial" w:cs="Arial"/>
          <w:sz w:val="28"/>
          <w:szCs w:val="28"/>
        </w:rPr>
        <w:t xml:space="preserve"> y servicios, que debe pagar adicionalmente dado </w:t>
      </w:r>
      <w:r w:rsidR="007D0FD8" w:rsidRPr="00453A63">
        <w:rPr>
          <w:rFonts w:ascii="Arial" w:hAnsi="Arial" w:cs="Arial"/>
          <w:sz w:val="28"/>
          <w:szCs w:val="28"/>
        </w:rPr>
        <w:t>su estado de salud</w:t>
      </w:r>
      <w:r w:rsidR="00F1480B" w:rsidRPr="00453A63">
        <w:rPr>
          <w:rFonts w:ascii="Arial" w:hAnsi="Arial" w:cs="Arial"/>
          <w:sz w:val="28"/>
          <w:szCs w:val="28"/>
        </w:rPr>
        <w:t xml:space="preserve">, que en los últimos días viene en deterioro. </w:t>
      </w:r>
      <w:r w:rsidR="007D0FD8" w:rsidRPr="00453A63">
        <w:rPr>
          <w:rFonts w:ascii="Arial" w:hAnsi="Arial" w:cs="Arial"/>
          <w:sz w:val="28"/>
          <w:szCs w:val="28"/>
        </w:rPr>
        <w:t xml:space="preserve">  </w:t>
      </w:r>
    </w:p>
    <w:p w:rsidR="007D0FD8" w:rsidRPr="00453A63" w:rsidRDefault="007D0FD8" w:rsidP="00E07369">
      <w:pPr>
        <w:pStyle w:val="Sinespaciado1"/>
        <w:spacing w:line="360" w:lineRule="auto"/>
        <w:ind w:firstLine="2835"/>
        <w:jc w:val="both"/>
        <w:rPr>
          <w:rFonts w:ascii="Arial" w:hAnsi="Arial" w:cs="Arial"/>
          <w:sz w:val="28"/>
          <w:szCs w:val="28"/>
        </w:rPr>
      </w:pPr>
    </w:p>
    <w:p w:rsidR="00E07369" w:rsidRPr="00453A63" w:rsidRDefault="00E07369" w:rsidP="00551AAB">
      <w:pPr>
        <w:pStyle w:val="Sinespaciado1"/>
        <w:spacing w:line="360" w:lineRule="auto"/>
        <w:ind w:firstLine="2835"/>
        <w:jc w:val="both"/>
        <w:rPr>
          <w:rFonts w:ascii="Arial" w:hAnsi="Arial" w:cs="Arial"/>
          <w:sz w:val="28"/>
          <w:szCs w:val="28"/>
        </w:rPr>
      </w:pPr>
      <w:r w:rsidRPr="00453A63">
        <w:rPr>
          <w:rFonts w:ascii="Arial" w:hAnsi="Arial" w:cs="Arial"/>
          <w:sz w:val="28"/>
          <w:szCs w:val="28"/>
        </w:rPr>
        <w:t xml:space="preserve">c. </w:t>
      </w:r>
      <w:r w:rsidR="00F1480B" w:rsidRPr="00453A63">
        <w:rPr>
          <w:rFonts w:ascii="Arial" w:hAnsi="Arial" w:cs="Arial"/>
          <w:sz w:val="28"/>
          <w:szCs w:val="28"/>
        </w:rPr>
        <w:t>Comenta que en diciembre de 2013, solicitó a Colpensiones la pensión por ser el cónyuge sobreviviente de Ana María Márquez López, fallecida el 26 de octubre de 2011 y que se encontraba afiliada al sistema de protección social desde el 4 de diciembre de 1977, según el reporte de historia laboral presentada por la misma entidad</w:t>
      </w:r>
      <w:r w:rsidR="00AC3EF7" w:rsidRPr="00453A63">
        <w:rPr>
          <w:rFonts w:ascii="Arial" w:hAnsi="Arial" w:cs="Arial"/>
          <w:sz w:val="28"/>
          <w:szCs w:val="28"/>
        </w:rPr>
        <w:t xml:space="preserve"> y que para el momento en que empezó a regir la Ley 100 de 1993 había cotizado más de 300 semanas al Régimen de Prima Media con Prestación Definida, además ya contaba con el tiempo para su pensión de vejez y solo esperaba cumplir la edad para ello, pero su enfermedad no se lo permitió</w:t>
      </w:r>
      <w:r w:rsidR="00F1480B" w:rsidRPr="00453A63">
        <w:rPr>
          <w:rFonts w:ascii="Arial" w:hAnsi="Arial" w:cs="Arial"/>
          <w:sz w:val="28"/>
          <w:szCs w:val="28"/>
        </w:rPr>
        <w:t xml:space="preserve">. </w:t>
      </w:r>
    </w:p>
    <w:p w:rsidR="00AC3EF7" w:rsidRPr="00453A63" w:rsidRDefault="00CF0F7C" w:rsidP="00E07369">
      <w:pPr>
        <w:pStyle w:val="Sinespaciado1"/>
        <w:spacing w:line="360" w:lineRule="auto"/>
        <w:ind w:firstLine="2835"/>
        <w:jc w:val="both"/>
        <w:rPr>
          <w:rFonts w:ascii="Arial" w:hAnsi="Arial" w:cs="Arial"/>
          <w:sz w:val="28"/>
          <w:szCs w:val="28"/>
        </w:rPr>
      </w:pPr>
      <w:r w:rsidRPr="00453A63">
        <w:rPr>
          <w:rFonts w:ascii="Arial" w:hAnsi="Arial" w:cs="Arial"/>
          <w:sz w:val="28"/>
          <w:szCs w:val="28"/>
        </w:rPr>
        <w:t xml:space="preserve">d. </w:t>
      </w:r>
      <w:r w:rsidR="00E250F2" w:rsidRPr="00453A63">
        <w:rPr>
          <w:rFonts w:ascii="Arial" w:hAnsi="Arial" w:cs="Arial"/>
          <w:sz w:val="28"/>
          <w:szCs w:val="28"/>
        </w:rPr>
        <w:t>D</w:t>
      </w:r>
      <w:r w:rsidR="00AC3EF7" w:rsidRPr="00453A63">
        <w:rPr>
          <w:rFonts w:ascii="Arial" w:hAnsi="Arial" w:cs="Arial"/>
          <w:sz w:val="28"/>
          <w:szCs w:val="28"/>
        </w:rPr>
        <w:t>ice estaba casado con la señora</w:t>
      </w:r>
      <w:r w:rsidR="00E250F2" w:rsidRPr="00453A63">
        <w:rPr>
          <w:rFonts w:ascii="Arial" w:hAnsi="Arial" w:cs="Arial"/>
          <w:sz w:val="28"/>
          <w:szCs w:val="28"/>
        </w:rPr>
        <w:t xml:space="preserve"> Márquez López</w:t>
      </w:r>
      <w:r w:rsidR="00AC3EF7" w:rsidRPr="00453A63">
        <w:rPr>
          <w:rFonts w:ascii="Arial" w:hAnsi="Arial" w:cs="Arial"/>
          <w:sz w:val="28"/>
          <w:szCs w:val="28"/>
        </w:rPr>
        <w:t xml:space="preserve">, convivieron y se prodigaron mutuamente afecto, cuidados y ayuda hasta el día del deceso de la afiliada. </w:t>
      </w:r>
    </w:p>
    <w:p w:rsidR="00E07369" w:rsidRPr="00453A63" w:rsidRDefault="00E07369" w:rsidP="00D958A9">
      <w:pPr>
        <w:pStyle w:val="Sinespaciado1"/>
        <w:spacing w:line="360" w:lineRule="auto"/>
        <w:ind w:firstLine="2835"/>
        <w:jc w:val="both"/>
        <w:rPr>
          <w:rFonts w:ascii="Arial" w:hAnsi="Arial" w:cs="Arial"/>
          <w:sz w:val="28"/>
          <w:szCs w:val="28"/>
        </w:rPr>
      </w:pPr>
      <w:r w:rsidRPr="00453A63">
        <w:rPr>
          <w:rFonts w:ascii="Arial" w:hAnsi="Arial" w:cs="Arial"/>
          <w:sz w:val="28"/>
          <w:szCs w:val="28"/>
        </w:rPr>
        <w:lastRenderedPageBreak/>
        <w:t xml:space="preserve">e. </w:t>
      </w:r>
      <w:r w:rsidR="00CF0F7C" w:rsidRPr="00453A63">
        <w:rPr>
          <w:rFonts w:ascii="Arial" w:hAnsi="Arial" w:cs="Arial"/>
          <w:sz w:val="28"/>
          <w:szCs w:val="28"/>
        </w:rPr>
        <w:t>Informa que</w:t>
      </w:r>
      <w:r w:rsidR="00AC3EF7" w:rsidRPr="00453A63">
        <w:rPr>
          <w:rFonts w:ascii="Arial" w:hAnsi="Arial" w:cs="Arial"/>
          <w:sz w:val="28"/>
          <w:szCs w:val="28"/>
        </w:rPr>
        <w:t xml:space="preserve"> contra la </w:t>
      </w:r>
      <w:r w:rsidR="0097224F" w:rsidRPr="00453A63">
        <w:rPr>
          <w:rFonts w:ascii="Arial" w:hAnsi="Arial" w:cs="Arial"/>
          <w:sz w:val="28"/>
          <w:szCs w:val="28"/>
        </w:rPr>
        <w:t>decisión del 17 de junio de 2014</w:t>
      </w:r>
      <w:r w:rsidR="00AC3EF7" w:rsidRPr="00453A63">
        <w:rPr>
          <w:rFonts w:ascii="Arial" w:hAnsi="Arial" w:cs="Arial"/>
          <w:sz w:val="28"/>
          <w:szCs w:val="28"/>
        </w:rPr>
        <w:t xml:space="preserve">, mediante la cual Colpensiones negó el derecho, interpuso recurso en la vía administrativa, pero </w:t>
      </w:r>
      <w:r w:rsidR="00E250F2" w:rsidRPr="00453A63">
        <w:rPr>
          <w:rFonts w:ascii="Arial" w:hAnsi="Arial" w:cs="Arial"/>
          <w:sz w:val="28"/>
          <w:szCs w:val="28"/>
        </w:rPr>
        <w:t>se confirmó la</w:t>
      </w:r>
      <w:r w:rsidR="00AC3EF7" w:rsidRPr="00453A63">
        <w:rPr>
          <w:rFonts w:ascii="Arial" w:hAnsi="Arial" w:cs="Arial"/>
          <w:sz w:val="28"/>
          <w:szCs w:val="28"/>
        </w:rPr>
        <w:t xml:space="preserve"> decisión el 31 de julio de este año.</w:t>
      </w:r>
    </w:p>
    <w:p w:rsidR="00E07369" w:rsidRPr="00453A63" w:rsidRDefault="00E07369" w:rsidP="00E07369">
      <w:pPr>
        <w:pStyle w:val="Sinespaciado1"/>
        <w:spacing w:line="360" w:lineRule="auto"/>
        <w:ind w:firstLine="2835"/>
        <w:jc w:val="both"/>
        <w:rPr>
          <w:rFonts w:ascii="Arial" w:hAnsi="Arial" w:cs="Arial"/>
          <w:sz w:val="28"/>
          <w:szCs w:val="28"/>
        </w:rPr>
      </w:pPr>
    </w:p>
    <w:p w:rsidR="00E07369" w:rsidRPr="00453A63" w:rsidRDefault="00E07369" w:rsidP="00E07369">
      <w:pPr>
        <w:pStyle w:val="Sinespaciado1"/>
        <w:spacing w:line="360" w:lineRule="auto"/>
        <w:ind w:firstLine="2835"/>
        <w:jc w:val="both"/>
        <w:rPr>
          <w:rFonts w:ascii="Arial" w:hAnsi="Arial" w:cs="Arial"/>
          <w:sz w:val="28"/>
          <w:szCs w:val="28"/>
        </w:rPr>
      </w:pPr>
      <w:r w:rsidRPr="00453A63">
        <w:rPr>
          <w:rFonts w:ascii="Arial" w:hAnsi="Arial" w:cs="Arial"/>
          <w:sz w:val="28"/>
          <w:szCs w:val="28"/>
        </w:rPr>
        <w:t xml:space="preserve">3. </w:t>
      </w:r>
      <w:r w:rsidR="00D958A9" w:rsidRPr="00453A63">
        <w:rPr>
          <w:rFonts w:ascii="Arial" w:hAnsi="Arial" w:cs="Arial"/>
          <w:sz w:val="28"/>
          <w:szCs w:val="28"/>
        </w:rPr>
        <w:t>A la demanda acompaña</w:t>
      </w:r>
      <w:r w:rsidR="00CD31FA" w:rsidRPr="00453A63">
        <w:rPr>
          <w:rFonts w:ascii="Arial" w:hAnsi="Arial" w:cs="Arial"/>
          <w:sz w:val="28"/>
          <w:szCs w:val="28"/>
        </w:rPr>
        <w:t xml:space="preserve"> el tutelante</w:t>
      </w:r>
      <w:r w:rsidR="00D958A9" w:rsidRPr="00453A63">
        <w:rPr>
          <w:rFonts w:ascii="Arial" w:hAnsi="Arial" w:cs="Arial"/>
          <w:sz w:val="28"/>
          <w:szCs w:val="28"/>
        </w:rPr>
        <w:t xml:space="preserve"> </w:t>
      </w:r>
      <w:r w:rsidRPr="00453A63">
        <w:rPr>
          <w:rFonts w:ascii="Arial" w:hAnsi="Arial" w:cs="Arial"/>
          <w:sz w:val="28"/>
          <w:szCs w:val="28"/>
        </w:rPr>
        <w:t xml:space="preserve">fotocopias de </w:t>
      </w:r>
      <w:r w:rsidR="00D958A9" w:rsidRPr="00453A63">
        <w:rPr>
          <w:rFonts w:ascii="Arial" w:hAnsi="Arial" w:cs="Arial"/>
          <w:sz w:val="28"/>
          <w:szCs w:val="28"/>
        </w:rPr>
        <w:t xml:space="preserve">(i) </w:t>
      </w:r>
      <w:r w:rsidR="00CD31FA" w:rsidRPr="00453A63">
        <w:rPr>
          <w:rFonts w:ascii="Arial" w:hAnsi="Arial" w:cs="Arial"/>
          <w:sz w:val="28"/>
          <w:szCs w:val="28"/>
        </w:rPr>
        <w:t>los actos administrativos GNR223782 del 17-06-2014 y VPB54931 del 31-07-2015, que negaron el reconocimiento de la prestación económica reclamada</w:t>
      </w:r>
      <w:r w:rsidR="00D958A9" w:rsidRPr="00453A63">
        <w:rPr>
          <w:rFonts w:ascii="Arial" w:hAnsi="Arial" w:cs="Arial"/>
          <w:sz w:val="28"/>
          <w:szCs w:val="28"/>
        </w:rPr>
        <w:t xml:space="preserve">, (ii) </w:t>
      </w:r>
      <w:r w:rsidR="00CD31FA" w:rsidRPr="00453A63">
        <w:rPr>
          <w:rFonts w:ascii="Arial" w:hAnsi="Arial" w:cs="Arial"/>
          <w:sz w:val="28"/>
          <w:szCs w:val="28"/>
        </w:rPr>
        <w:t>CD contentivo de su historia clínica</w:t>
      </w:r>
      <w:r w:rsidR="00D958A9" w:rsidRPr="00453A63">
        <w:rPr>
          <w:rFonts w:ascii="Arial" w:hAnsi="Arial" w:cs="Arial"/>
          <w:sz w:val="28"/>
          <w:szCs w:val="28"/>
        </w:rPr>
        <w:t xml:space="preserve">, (iii) </w:t>
      </w:r>
      <w:r w:rsidR="00CD31FA" w:rsidRPr="00453A63">
        <w:rPr>
          <w:rFonts w:ascii="Arial" w:hAnsi="Arial" w:cs="Arial"/>
          <w:sz w:val="28"/>
          <w:szCs w:val="28"/>
        </w:rPr>
        <w:t xml:space="preserve">derecho de petición elevado a Colpensiones, con anexos como historia laboral de la afiliada Ana María Márquez López, registro </w:t>
      </w:r>
      <w:r w:rsidR="00E250F2" w:rsidRPr="00453A63">
        <w:rPr>
          <w:rFonts w:ascii="Arial" w:hAnsi="Arial" w:cs="Arial"/>
          <w:sz w:val="28"/>
          <w:szCs w:val="28"/>
        </w:rPr>
        <w:t xml:space="preserve">civil </w:t>
      </w:r>
      <w:r w:rsidR="00CD31FA" w:rsidRPr="00453A63">
        <w:rPr>
          <w:rFonts w:ascii="Arial" w:hAnsi="Arial" w:cs="Arial"/>
          <w:sz w:val="28"/>
          <w:szCs w:val="28"/>
        </w:rPr>
        <w:t>de matrimonio y de defunción</w:t>
      </w:r>
      <w:r w:rsidRPr="00453A63">
        <w:rPr>
          <w:rFonts w:ascii="Arial" w:hAnsi="Arial" w:cs="Arial"/>
          <w:sz w:val="28"/>
          <w:szCs w:val="28"/>
        </w:rPr>
        <w:t>.</w:t>
      </w:r>
      <w:r w:rsidR="0007169A" w:rsidRPr="00453A63">
        <w:rPr>
          <w:rStyle w:val="Refdenotaalpie"/>
          <w:rFonts w:ascii="Arial" w:hAnsi="Arial" w:cs="Arial"/>
          <w:sz w:val="28"/>
          <w:szCs w:val="28"/>
        </w:rPr>
        <w:footnoteReference w:id="1"/>
      </w:r>
      <w:r w:rsidR="00AD4A3F" w:rsidRPr="00453A63">
        <w:rPr>
          <w:rFonts w:ascii="Arial" w:hAnsi="Arial" w:cs="Arial"/>
          <w:sz w:val="28"/>
          <w:szCs w:val="28"/>
        </w:rPr>
        <w:t xml:space="preserve"> </w:t>
      </w:r>
    </w:p>
    <w:p w:rsidR="00E07369" w:rsidRPr="00453A63" w:rsidRDefault="00E07369" w:rsidP="00E07369">
      <w:pPr>
        <w:pStyle w:val="Sinespaciado1"/>
        <w:spacing w:line="360" w:lineRule="auto"/>
        <w:ind w:firstLine="2835"/>
        <w:jc w:val="both"/>
        <w:rPr>
          <w:rFonts w:ascii="Arial" w:hAnsi="Arial" w:cs="Arial"/>
          <w:sz w:val="28"/>
          <w:szCs w:val="28"/>
        </w:rPr>
      </w:pPr>
    </w:p>
    <w:p w:rsidR="00E07369" w:rsidRPr="00453A63" w:rsidRDefault="00E07369" w:rsidP="00E07369">
      <w:pPr>
        <w:pStyle w:val="Sinespaciado1"/>
        <w:spacing w:line="360" w:lineRule="auto"/>
        <w:ind w:firstLine="2835"/>
        <w:jc w:val="both"/>
        <w:rPr>
          <w:rFonts w:ascii="Arial" w:hAnsi="Arial" w:cs="Arial"/>
          <w:sz w:val="28"/>
          <w:szCs w:val="28"/>
          <w:lang w:val="es-ES"/>
        </w:rPr>
      </w:pPr>
      <w:r w:rsidRPr="00453A63">
        <w:rPr>
          <w:rFonts w:ascii="Arial" w:hAnsi="Arial" w:cs="Arial"/>
          <w:sz w:val="28"/>
          <w:szCs w:val="28"/>
          <w:lang w:val="es-ES"/>
        </w:rPr>
        <w:t>4. Se admitió la tutela y se ordenó la notificación a la</w:t>
      </w:r>
      <w:r w:rsidRPr="00453A63">
        <w:rPr>
          <w:rFonts w:ascii="Arial" w:hAnsi="Arial" w:cs="Arial"/>
          <w:sz w:val="28"/>
          <w:szCs w:val="28"/>
        </w:rPr>
        <w:t xml:space="preserve"> </w:t>
      </w:r>
      <w:r w:rsidR="00560410" w:rsidRPr="00CB0021">
        <w:rPr>
          <w:rFonts w:ascii="Arial" w:hAnsi="Arial" w:cs="Arial"/>
          <w:sz w:val="24"/>
          <w:szCs w:val="24"/>
        </w:rPr>
        <w:t xml:space="preserve">GERENCIA NACIONAL DE RECONOCIMIENTO </w:t>
      </w:r>
      <w:r w:rsidR="00572467" w:rsidRPr="00CB0021">
        <w:rPr>
          <w:rFonts w:ascii="Arial" w:hAnsi="Arial" w:cs="Arial"/>
          <w:sz w:val="24"/>
          <w:szCs w:val="24"/>
        </w:rPr>
        <w:t xml:space="preserve">y GERENCIA NACIONAL DE DEFENSA JUDICIAL </w:t>
      </w:r>
      <w:r w:rsidR="00560410" w:rsidRPr="00CB0021">
        <w:rPr>
          <w:rFonts w:ascii="Arial" w:hAnsi="Arial" w:cs="Arial"/>
          <w:sz w:val="24"/>
          <w:szCs w:val="24"/>
        </w:rPr>
        <w:t>DE LA A</w:t>
      </w:r>
      <w:r w:rsidRPr="00CB0021">
        <w:rPr>
          <w:rFonts w:ascii="Arial" w:hAnsi="Arial" w:cs="Arial"/>
          <w:sz w:val="24"/>
          <w:szCs w:val="24"/>
        </w:rPr>
        <w:t>DMINISTR</w:t>
      </w:r>
      <w:r w:rsidR="00D958A9" w:rsidRPr="00CB0021">
        <w:rPr>
          <w:rFonts w:ascii="Arial" w:hAnsi="Arial" w:cs="Arial"/>
          <w:sz w:val="24"/>
          <w:szCs w:val="24"/>
        </w:rPr>
        <w:t xml:space="preserve">ADORA COLOMBIANA DE PENSIONES – </w:t>
      </w:r>
      <w:r w:rsidRPr="00CB0021">
        <w:rPr>
          <w:rFonts w:ascii="Arial" w:hAnsi="Arial" w:cs="Arial"/>
          <w:sz w:val="24"/>
          <w:szCs w:val="24"/>
        </w:rPr>
        <w:t>COLPENSIONES</w:t>
      </w:r>
      <w:r w:rsidRPr="00453A63">
        <w:rPr>
          <w:rFonts w:ascii="Arial" w:hAnsi="Arial" w:cs="Arial"/>
          <w:sz w:val="28"/>
          <w:szCs w:val="28"/>
          <w:lang w:val="es-ES"/>
        </w:rPr>
        <w:t xml:space="preserve">.  </w:t>
      </w:r>
      <w:r w:rsidR="00EF3048" w:rsidRPr="00453A63">
        <w:rPr>
          <w:rFonts w:ascii="Arial" w:hAnsi="Arial" w:cs="Arial"/>
          <w:sz w:val="28"/>
          <w:szCs w:val="28"/>
          <w:lang w:val="es-ES"/>
        </w:rPr>
        <w:t>Guard</w:t>
      </w:r>
      <w:r w:rsidR="003F04F0" w:rsidRPr="00453A63">
        <w:rPr>
          <w:rFonts w:ascii="Arial" w:hAnsi="Arial" w:cs="Arial"/>
          <w:sz w:val="28"/>
          <w:szCs w:val="28"/>
          <w:lang w:val="es-ES"/>
        </w:rPr>
        <w:t xml:space="preserve">aron </w:t>
      </w:r>
      <w:r w:rsidR="00EF3048" w:rsidRPr="00453A63">
        <w:rPr>
          <w:rFonts w:ascii="Arial" w:hAnsi="Arial" w:cs="Arial"/>
          <w:sz w:val="28"/>
          <w:szCs w:val="28"/>
          <w:lang w:val="es-ES"/>
        </w:rPr>
        <w:t>silencio.</w:t>
      </w:r>
    </w:p>
    <w:p w:rsidR="0059233A" w:rsidRPr="00453A63" w:rsidRDefault="0059233A" w:rsidP="00E07369">
      <w:pPr>
        <w:pStyle w:val="Sinespaciado1"/>
        <w:spacing w:line="360" w:lineRule="auto"/>
        <w:ind w:firstLine="2835"/>
        <w:jc w:val="both"/>
        <w:rPr>
          <w:rFonts w:ascii="Arial" w:hAnsi="Arial" w:cs="Arial"/>
          <w:sz w:val="28"/>
          <w:szCs w:val="28"/>
          <w:lang w:val="es-ES"/>
        </w:rPr>
      </w:pPr>
    </w:p>
    <w:p w:rsidR="0097224F" w:rsidRPr="00453A63" w:rsidRDefault="0097224F" w:rsidP="00E07369">
      <w:pPr>
        <w:pStyle w:val="Sinespaciado1"/>
        <w:spacing w:line="360" w:lineRule="auto"/>
        <w:ind w:firstLine="2835"/>
        <w:jc w:val="both"/>
        <w:rPr>
          <w:rFonts w:ascii="Arial" w:hAnsi="Arial" w:cs="Arial"/>
          <w:sz w:val="28"/>
          <w:szCs w:val="28"/>
          <w:lang w:val="es-ES"/>
        </w:rPr>
      </w:pPr>
      <w:r w:rsidRPr="00453A63">
        <w:rPr>
          <w:rFonts w:ascii="Arial" w:hAnsi="Arial" w:cs="Arial"/>
          <w:sz w:val="28"/>
          <w:szCs w:val="28"/>
          <w:lang w:val="es-ES"/>
        </w:rPr>
        <w:t xml:space="preserve">Más adelante con ocasión de la nulidad decretada en esta Sala, se vinculó al trámite a la </w:t>
      </w:r>
      <w:r w:rsidRPr="00CB0021">
        <w:rPr>
          <w:rFonts w:ascii="Arial" w:hAnsi="Arial" w:cs="Arial"/>
          <w:sz w:val="24"/>
          <w:szCs w:val="24"/>
          <w:lang w:val="es-ES"/>
        </w:rPr>
        <w:t>VICEPRESIDENCIA DE BENEFICIOS Y PRESTACIONES DE COLPENSIONES</w:t>
      </w:r>
      <w:r w:rsidRPr="00453A63">
        <w:rPr>
          <w:rFonts w:ascii="Arial" w:hAnsi="Arial" w:cs="Arial"/>
          <w:sz w:val="28"/>
          <w:szCs w:val="28"/>
          <w:lang w:val="es-ES"/>
        </w:rPr>
        <w:t>. Notificada, no ejerció su derecho de defensa.</w:t>
      </w:r>
    </w:p>
    <w:p w:rsidR="00E07369" w:rsidRPr="00453A63" w:rsidRDefault="00E07369" w:rsidP="00E07369">
      <w:pPr>
        <w:pStyle w:val="Sinespaciado1"/>
        <w:spacing w:line="360" w:lineRule="auto"/>
        <w:ind w:firstLine="2835"/>
        <w:jc w:val="both"/>
        <w:rPr>
          <w:rFonts w:ascii="Arial" w:hAnsi="Arial" w:cs="Arial"/>
          <w:sz w:val="28"/>
          <w:szCs w:val="28"/>
          <w:lang w:val="es-ES"/>
        </w:rPr>
      </w:pPr>
    </w:p>
    <w:p w:rsidR="00E07369" w:rsidRPr="00453A63" w:rsidRDefault="00E07369" w:rsidP="00E07369">
      <w:pPr>
        <w:pStyle w:val="Sinespaciado1"/>
        <w:spacing w:line="360" w:lineRule="auto"/>
        <w:ind w:firstLine="2835"/>
        <w:jc w:val="both"/>
        <w:rPr>
          <w:rFonts w:ascii="Arial" w:hAnsi="Arial" w:cs="Arial"/>
          <w:sz w:val="28"/>
          <w:szCs w:val="28"/>
        </w:rPr>
      </w:pPr>
      <w:r w:rsidRPr="00453A63">
        <w:rPr>
          <w:rFonts w:ascii="Arial" w:hAnsi="Arial" w:cs="Arial"/>
          <w:b/>
          <w:sz w:val="28"/>
          <w:szCs w:val="28"/>
          <w:lang w:val="es-ES"/>
        </w:rPr>
        <w:t>III.</w:t>
      </w:r>
      <w:r w:rsidRPr="00453A63">
        <w:rPr>
          <w:rFonts w:ascii="Arial" w:hAnsi="Arial" w:cs="Arial"/>
          <w:sz w:val="28"/>
          <w:szCs w:val="28"/>
          <w:lang w:val="es-ES"/>
        </w:rPr>
        <w:t xml:space="preserve"> </w:t>
      </w:r>
      <w:r w:rsidRPr="00453A63">
        <w:rPr>
          <w:rFonts w:ascii="Arial" w:hAnsi="Arial" w:cs="Arial"/>
          <w:b/>
          <w:sz w:val="28"/>
          <w:szCs w:val="28"/>
          <w:lang w:val="es-ES" w:eastAsia="es-ES"/>
        </w:rPr>
        <w:t>La sentencia impugnada</w:t>
      </w:r>
    </w:p>
    <w:p w:rsidR="00E07369" w:rsidRPr="00453A63" w:rsidRDefault="00E07369" w:rsidP="00E07369">
      <w:pPr>
        <w:pStyle w:val="Sinespaciado1"/>
        <w:spacing w:line="360" w:lineRule="auto"/>
        <w:ind w:firstLine="2835"/>
        <w:jc w:val="both"/>
        <w:rPr>
          <w:rFonts w:ascii="Arial" w:hAnsi="Arial" w:cs="Arial"/>
          <w:sz w:val="28"/>
          <w:szCs w:val="28"/>
        </w:rPr>
      </w:pPr>
    </w:p>
    <w:p w:rsidR="00E07369" w:rsidRPr="00453A63" w:rsidRDefault="00E07369" w:rsidP="00E07369">
      <w:pPr>
        <w:pStyle w:val="Sinespaciado1"/>
        <w:spacing w:line="360" w:lineRule="auto"/>
        <w:ind w:firstLine="2835"/>
        <w:jc w:val="both"/>
        <w:rPr>
          <w:rFonts w:ascii="Arial" w:hAnsi="Arial" w:cs="Arial"/>
          <w:sz w:val="28"/>
          <w:szCs w:val="28"/>
        </w:rPr>
      </w:pPr>
      <w:r w:rsidRPr="00453A63">
        <w:rPr>
          <w:rFonts w:ascii="Arial" w:hAnsi="Arial" w:cs="Arial"/>
          <w:sz w:val="28"/>
          <w:szCs w:val="28"/>
        </w:rPr>
        <w:t>1. Culminó la primera instan</w:t>
      </w:r>
      <w:r w:rsidR="00AD4A3F" w:rsidRPr="00453A63">
        <w:rPr>
          <w:rFonts w:ascii="Arial" w:hAnsi="Arial" w:cs="Arial"/>
          <w:sz w:val="28"/>
          <w:szCs w:val="28"/>
        </w:rPr>
        <w:t xml:space="preserve">cia con el fallo proferido el </w:t>
      </w:r>
      <w:r w:rsidR="006E007A" w:rsidRPr="00453A63">
        <w:rPr>
          <w:rFonts w:ascii="Arial" w:hAnsi="Arial" w:cs="Arial"/>
          <w:sz w:val="28"/>
          <w:szCs w:val="28"/>
        </w:rPr>
        <w:t>20</w:t>
      </w:r>
      <w:r w:rsidRPr="00453A63">
        <w:rPr>
          <w:rFonts w:ascii="Arial" w:hAnsi="Arial" w:cs="Arial"/>
          <w:sz w:val="28"/>
          <w:szCs w:val="28"/>
        </w:rPr>
        <w:t xml:space="preserve"> de </w:t>
      </w:r>
      <w:r w:rsidR="006E007A" w:rsidRPr="00453A63">
        <w:rPr>
          <w:rFonts w:ascii="Arial" w:hAnsi="Arial" w:cs="Arial"/>
          <w:sz w:val="28"/>
          <w:szCs w:val="28"/>
        </w:rPr>
        <w:t>agosto</w:t>
      </w:r>
      <w:r w:rsidR="00AD4A3F" w:rsidRPr="00453A63">
        <w:rPr>
          <w:rFonts w:ascii="Arial" w:hAnsi="Arial" w:cs="Arial"/>
          <w:sz w:val="28"/>
          <w:szCs w:val="28"/>
        </w:rPr>
        <w:t xml:space="preserve"> </w:t>
      </w:r>
      <w:r w:rsidRPr="00453A63">
        <w:rPr>
          <w:rFonts w:ascii="Arial" w:hAnsi="Arial" w:cs="Arial"/>
          <w:sz w:val="28"/>
          <w:szCs w:val="28"/>
        </w:rPr>
        <w:t xml:space="preserve">de 2015, en el que la </w:t>
      </w:r>
      <w:r w:rsidRPr="00453A63">
        <w:rPr>
          <w:rFonts w:ascii="Arial" w:hAnsi="Arial" w:cs="Arial"/>
          <w:i/>
          <w:sz w:val="28"/>
          <w:szCs w:val="28"/>
        </w:rPr>
        <w:t>a quo</w:t>
      </w:r>
      <w:r w:rsidRPr="00453A63">
        <w:rPr>
          <w:rFonts w:ascii="Arial" w:hAnsi="Arial" w:cs="Arial"/>
          <w:sz w:val="28"/>
          <w:szCs w:val="28"/>
        </w:rPr>
        <w:t xml:space="preserve"> resolvió </w:t>
      </w:r>
      <w:r w:rsidR="00AD4A3F" w:rsidRPr="00453A63">
        <w:rPr>
          <w:rFonts w:ascii="Arial" w:hAnsi="Arial" w:cs="Arial"/>
          <w:sz w:val="28"/>
          <w:szCs w:val="28"/>
        </w:rPr>
        <w:t xml:space="preserve">negar </w:t>
      </w:r>
      <w:r w:rsidRPr="00453A63">
        <w:rPr>
          <w:rFonts w:ascii="Arial" w:hAnsi="Arial" w:cs="Arial"/>
          <w:sz w:val="28"/>
          <w:szCs w:val="28"/>
        </w:rPr>
        <w:t xml:space="preserve">el </w:t>
      </w:r>
      <w:r w:rsidRPr="00453A63">
        <w:rPr>
          <w:rFonts w:ascii="Arial" w:hAnsi="Arial" w:cs="Arial"/>
          <w:sz w:val="28"/>
          <w:szCs w:val="28"/>
        </w:rPr>
        <w:lastRenderedPageBreak/>
        <w:t>amparo deprecado. Para decidir así</w:t>
      </w:r>
      <w:r w:rsidR="00992182" w:rsidRPr="00453A63">
        <w:rPr>
          <w:rFonts w:ascii="Arial" w:hAnsi="Arial" w:cs="Arial"/>
          <w:sz w:val="28"/>
          <w:szCs w:val="28"/>
        </w:rPr>
        <w:t xml:space="preserve">, </w:t>
      </w:r>
      <w:r w:rsidR="00946ABB" w:rsidRPr="00453A63">
        <w:rPr>
          <w:rFonts w:ascii="Arial" w:hAnsi="Arial" w:cs="Arial"/>
          <w:sz w:val="28"/>
          <w:szCs w:val="28"/>
        </w:rPr>
        <w:t xml:space="preserve">dijo, </w:t>
      </w:r>
      <w:r w:rsidR="00992182" w:rsidRPr="00453A63">
        <w:rPr>
          <w:rFonts w:ascii="Arial" w:hAnsi="Arial" w:cs="Arial"/>
          <w:sz w:val="28"/>
          <w:szCs w:val="28"/>
        </w:rPr>
        <w:t xml:space="preserve">no advirtió la ocurrencia de un perjuicio irremediable, tampoco que haya satisfecho el mínimo grado de diligencia judicial en aras de hacer valer sus derechos frente a la autoridad accionada y de otro lado, dijo tampoco hay convicción sobre el cumplimiento de los requisitos de reconocimiento del derecho reclamado, siendo </w:t>
      </w:r>
      <w:r w:rsidR="00946ABB" w:rsidRPr="00453A63">
        <w:rPr>
          <w:rFonts w:ascii="Arial" w:hAnsi="Arial" w:cs="Arial"/>
          <w:sz w:val="28"/>
          <w:szCs w:val="28"/>
        </w:rPr>
        <w:t>ello indispensable</w:t>
      </w:r>
      <w:r w:rsidR="00992182" w:rsidRPr="00453A63">
        <w:rPr>
          <w:rFonts w:ascii="Arial" w:hAnsi="Arial" w:cs="Arial"/>
          <w:sz w:val="28"/>
          <w:szCs w:val="28"/>
        </w:rPr>
        <w:t xml:space="preserve"> para que el juez de tutela invada órbitas competenciales propias del juez ordinario. </w:t>
      </w:r>
    </w:p>
    <w:p w:rsidR="00E07369" w:rsidRPr="00453A63" w:rsidRDefault="00E07369" w:rsidP="00E07369">
      <w:pPr>
        <w:pStyle w:val="Sinespaciado3"/>
        <w:spacing w:line="360" w:lineRule="auto"/>
        <w:ind w:firstLine="708"/>
        <w:jc w:val="both"/>
        <w:rPr>
          <w:rFonts w:ascii="Arial" w:hAnsi="Arial" w:cs="Arial"/>
          <w:sz w:val="28"/>
          <w:szCs w:val="28"/>
          <w:lang w:val="es-CO"/>
        </w:rPr>
      </w:pPr>
    </w:p>
    <w:p w:rsidR="00E07369" w:rsidRPr="00453A63" w:rsidRDefault="00E07369" w:rsidP="00E07369">
      <w:pPr>
        <w:pStyle w:val="Sinespaciado1"/>
        <w:spacing w:line="360" w:lineRule="auto"/>
        <w:ind w:firstLine="2835"/>
        <w:jc w:val="both"/>
        <w:rPr>
          <w:rFonts w:ascii="Arial" w:hAnsi="Arial" w:cs="Arial"/>
          <w:sz w:val="28"/>
          <w:szCs w:val="28"/>
        </w:rPr>
      </w:pPr>
      <w:r w:rsidRPr="00453A63">
        <w:rPr>
          <w:rFonts w:ascii="Arial" w:hAnsi="Arial" w:cs="Arial"/>
          <w:sz w:val="28"/>
          <w:szCs w:val="28"/>
        </w:rPr>
        <w:t>2. La sentencia fue impugnada, bajo argumentos similares a los expuestos en el escrito de tutela</w:t>
      </w:r>
      <w:r w:rsidR="0059233A" w:rsidRPr="00453A63">
        <w:rPr>
          <w:rFonts w:ascii="Arial" w:hAnsi="Arial" w:cs="Arial"/>
          <w:sz w:val="28"/>
          <w:szCs w:val="28"/>
        </w:rPr>
        <w:t>.</w:t>
      </w:r>
      <w:r w:rsidR="0059233A" w:rsidRPr="00453A63">
        <w:rPr>
          <w:rStyle w:val="Refdenotaalpie"/>
          <w:rFonts w:ascii="Arial" w:hAnsi="Arial" w:cs="Arial"/>
          <w:sz w:val="28"/>
          <w:szCs w:val="28"/>
        </w:rPr>
        <w:footnoteReference w:id="2"/>
      </w:r>
      <w:r w:rsidRPr="00453A63">
        <w:rPr>
          <w:rFonts w:ascii="Arial" w:hAnsi="Arial" w:cs="Arial"/>
          <w:sz w:val="28"/>
          <w:szCs w:val="28"/>
        </w:rPr>
        <w:t xml:space="preserve"> </w:t>
      </w:r>
    </w:p>
    <w:p w:rsidR="00E07369" w:rsidRPr="00453A63" w:rsidRDefault="00E07369" w:rsidP="00E07369">
      <w:pPr>
        <w:pStyle w:val="Sinespaciado1"/>
        <w:spacing w:line="360" w:lineRule="auto"/>
        <w:ind w:firstLine="2835"/>
        <w:jc w:val="both"/>
        <w:rPr>
          <w:rFonts w:ascii="Arial" w:hAnsi="Arial" w:cs="Arial"/>
          <w:sz w:val="28"/>
          <w:szCs w:val="28"/>
        </w:rPr>
      </w:pPr>
    </w:p>
    <w:p w:rsidR="00E07369" w:rsidRPr="00453A63" w:rsidRDefault="00E07369" w:rsidP="00E07369">
      <w:pPr>
        <w:pStyle w:val="Sinespaciado1"/>
        <w:spacing w:line="360" w:lineRule="auto"/>
        <w:ind w:firstLine="2835"/>
        <w:jc w:val="both"/>
        <w:rPr>
          <w:rFonts w:ascii="Arial" w:hAnsi="Arial" w:cs="Arial"/>
          <w:sz w:val="28"/>
          <w:szCs w:val="28"/>
          <w:lang w:val="es-ES"/>
        </w:rPr>
      </w:pPr>
      <w:r w:rsidRPr="00453A63">
        <w:rPr>
          <w:rFonts w:ascii="Arial" w:hAnsi="Arial" w:cs="Arial"/>
          <w:b/>
          <w:spacing w:val="-3"/>
          <w:sz w:val="28"/>
          <w:szCs w:val="28"/>
        </w:rPr>
        <w:t>IV. Consideraciones</w:t>
      </w:r>
    </w:p>
    <w:p w:rsidR="00E07369" w:rsidRPr="00453A63" w:rsidRDefault="00E07369" w:rsidP="00E07369">
      <w:pPr>
        <w:pStyle w:val="Sinespaciado1"/>
        <w:spacing w:line="360" w:lineRule="auto"/>
        <w:ind w:firstLine="2835"/>
        <w:jc w:val="both"/>
        <w:rPr>
          <w:rFonts w:ascii="Arial" w:hAnsi="Arial" w:cs="Arial"/>
          <w:sz w:val="28"/>
          <w:szCs w:val="28"/>
          <w:lang w:val="es-ES"/>
        </w:rPr>
      </w:pPr>
    </w:p>
    <w:p w:rsidR="00E07369" w:rsidRPr="00453A63" w:rsidRDefault="00E07369" w:rsidP="00E07369">
      <w:pPr>
        <w:suppressAutoHyphens/>
        <w:spacing w:line="360" w:lineRule="auto"/>
        <w:ind w:firstLine="2835"/>
        <w:jc w:val="both"/>
        <w:rPr>
          <w:rFonts w:ascii="Arial" w:hAnsi="Arial" w:cs="Arial"/>
          <w:sz w:val="28"/>
          <w:szCs w:val="28"/>
        </w:rPr>
      </w:pPr>
      <w:r w:rsidRPr="00453A63">
        <w:rPr>
          <w:rFonts w:ascii="Arial" w:hAnsi="Arial" w:cs="Arial"/>
          <w:sz w:val="28"/>
          <w:szCs w:val="28"/>
        </w:rPr>
        <w:t xml:space="preserve">1. Esta Corporación es competente para conocer de la impugnación, </w:t>
      </w:r>
      <w:r w:rsidRPr="00453A63">
        <w:rPr>
          <w:rFonts w:ascii="Arial" w:hAnsi="Arial" w:cs="Arial"/>
          <w:bCs/>
          <w:sz w:val="28"/>
          <w:szCs w:val="28"/>
        </w:rPr>
        <w:t>toda vez que es el superior funcional de la autoridad judicial accionada</w:t>
      </w:r>
      <w:r w:rsidRPr="00453A63">
        <w:rPr>
          <w:rFonts w:ascii="Arial" w:hAnsi="Arial" w:cs="Arial"/>
          <w:sz w:val="28"/>
          <w:szCs w:val="28"/>
        </w:rPr>
        <w:t>.</w:t>
      </w:r>
    </w:p>
    <w:p w:rsidR="00E07369" w:rsidRPr="00453A63" w:rsidRDefault="00E07369" w:rsidP="00E07369">
      <w:pPr>
        <w:pStyle w:val="Sinespaciado1"/>
        <w:spacing w:line="360" w:lineRule="auto"/>
        <w:ind w:firstLine="2835"/>
        <w:jc w:val="both"/>
        <w:rPr>
          <w:rFonts w:ascii="Arial" w:hAnsi="Arial" w:cs="Arial"/>
          <w:sz w:val="28"/>
          <w:szCs w:val="28"/>
          <w:lang w:val="es-ES"/>
        </w:rPr>
      </w:pPr>
    </w:p>
    <w:p w:rsidR="00E07369" w:rsidRPr="00453A63" w:rsidRDefault="00E07369" w:rsidP="00E07369">
      <w:pPr>
        <w:pStyle w:val="Sinespaciado1"/>
        <w:spacing w:line="360" w:lineRule="auto"/>
        <w:ind w:firstLine="2835"/>
        <w:jc w:val="both"/>
        <w:rPr>
          <w:rFonts w:ascii="Arial" w:hAnsi="Arial" w:cs="Arial"/>
          <w:sz w:val="28"/>
          <w:szCs w:val="28"/>
        </w:rPr>
      </w:pPr>
      <w:r w:rsidRPr="00453A63">
        <w:rPr>
          <w:rFonts w:ascii="Arial" w:hAnsi="Arial" w:cs="Arial"/>
          <w:sz w:val="28"/>
          <w:szCs w:val="28"/>
        </w:rPr>
        <w:t xml:space="preserve">2. De conformidad con lo expuesto en el acápite de antecedentes, la decisión adoptada en primera instancia y la impugnación, corresponde a la Sala resolver </w:t>
      </w:r>
      <w:r w:rsidR="00852F05" w:rsidRPr="00453A63">
        <w:rPr>
          <w:rFonts w:ascii="Arial" w:hAnsi="Arial" w:cs="Arial"/>
          <w:sz w:val="28"/>
          <w:szCs w:val="28"/>
        </w:rPr>
        <w:t>si</w:t>
      </w:r>
      <w:r w:rsidRPr="00453A63">
        <w:rPr>
          <w:rFonts w:ascii="Arial" w:hAnsi="Arial" w:cs="Arial"/>
          <w:sz w:val="28"/>
          <w:szCs w:val="28"/>
        </w:rPr>
        <w:t xml:space="preserve"> </w:t>
      </w:r>
      <w:r w:rsidR="001E3E8F" w:rsidRPr="00CB0021">
        <w:rPr>
          <w:rFonts w:ascii="Arial" w:hAnsi="Arial" w:cs="Arial"/>
          <w:sz w:val="24"/>
          <w:szCs w:val="24"/>
        </w:rPr>
        <w:t xml:space="preserve">COLPENSIONES </w:t>
      </w:r>
      <w:r w:rsidRPr="00453A63">
        <w:rPr>
          <w:rFonts w:ascii="Arial" w:hAnsi="Arial" w:cs="Arial"/>
          <w:sz w:val="28"/>
          <w:szCs w:val="28"/>
        </w:rPr>
        <w:t>vulneró los derechos invoca</w:t>
      </w:r>
      <w:r w:rsidR="001E3E8F" w:rsidRPr="00453A63">
        <w:rPr>
          <w:rFonts w:ascii="Arial" w:hAnsi="Arial" w:cs="Arial"/>
          <w:sz w:val="28"/>
          <w:szCs w:val="28"/>
        </w:rPr>
        <w:t xml:space="preserve">dos por </w:t>
      </w:r>
      <w:r w:rsidR="0031707C" w:rsidRPr="00453A63">
        <w:rPr>
          <w:rFonts w:ascii="Arial" w:hAnsi="Arial" w:cs="Arial"/>
          <w:sz w:val="28"/>
          <w:szCs w:val="28"/>
        </w:rPr>
        <w:t>el</w:t>
      </w:r>
      <w:r w:rsidR="001E3E8F" w:rsidRPr="00453A63">
        <w:rPr>
          <w:rFonts w:ascii="Arial" w:hAnsi="Arial" w:cs="Arial"/>
          <w:sz w:val="28"/>
          <w:szCs w:val="28"/>
        </w:rPr>
        <w:t xml:space="preserve"> accionante, al negarl</w:t>
      </w:r>
      <w:r w:rsidRPr="00453A63">
        <w:rPr>
          <w:rFonts w:ascii="Arial" w:hAnsi="Arial" w:cs="Arial"/>
          <w:sz w:val="28"/>
          <w:szCs w:val="28"/>
        </w:rPr>
        <w:t xml:space="preserve">e </w:t>
      </w:r>
      <w:r w:rsidR="001E3E8F" w:rsidRPr="00453A63">
        <w:rPr>
          <w:rFonts w:ascii="Arial" w:hAnsi="Arial" w:cs="Arial"/>
          <w:sz w:val="28"/>
          <w:szCs w:val="28"/>
        </w:rPr>
        <w:t>la pensión de</w:t>
      </w:r>
      <w:r w:rsidR="0031707C" w:rsidRPr="00453A63">
        <w:rPr>
          <w:rFonts w:ascii="Arial" w:hAnsi="Arial" w:cs="Arial"/>
          <w:sz w:val="28"/>
          <w:szCs w:val="28"/>
        </w:rPr>
        <w:t xml:space="preserve"> sobreviviente</w:t>
      </w:r>
      <w:r w:rsidR="001E3E8F" w:rsidRPr="00453A63">
        <w:rPr>
          <w:rFonts w:ascii="Arial" w:hAnsi="Arial" w:cs="Arial"/>
          <w:sz w:val="28"/>
          <w:szCs w:val="28"/>
        </w:rPr>
        <w:t xml:space="preserve"> por </w:t>
      </w:r>
      <w:r w:rsidR="00EE10D0" w:rsidRPr="00453A63">
        <w:rPr>
          <w:rFonts w:ascii="Arial" w:hAnsi="Arial" w:cs="Arial"/>
          <w:sz w:val="28"/>
          <w:szCs w:val="28"/>
        </w:rPr>
        <w:t>cuanto no cumple los requisitos para ello</w:t>
      </w:r>
      <w:r w:rsidRPr="00453A63">
        <w:rPr>
          <w:rFonts w:ascii="Arial" w:hAnsi="Arial" w:cs="Arial"/>
          <w:sz w:val="28"/>
          <w:szCs w:val="28"/>
        </w:rPr>
        <w:t>.</w:t>
      </w:r>
    </w:p>
    <w:p w:rsidR="00E07369" w:rsidRPr="00CB0021" w:rsidRDefault="00E07369" w:rsidP="00E07369">
      <w:pPr>
        <w:pStyle w:val="Sinespaciado1"/>
        <w:spacing w:line="360" w:lineRule="auto"/>
        <w:ind w:firstLine="2835"/>
        <w:jc w:val="both"/>
        <w:rPr>
          <w:rFonts w:ascii="Arial" w:hAnsi="Arial" w:cs="Arial"/>
          <w:sz w:val="24"/>
          <w:szCs w:val="24"/>
        </w:rPr>
      </w:pPr>
      <w:r w:rsidRPr="00453A63">
        <w:rPr>
          <w:rFonts w:ascii="Arial" w:hAnsi="Arial" w:cs="Arial"/>
          <w:sz w:val="28"/>
          <w:szCs w:val="28"/>
        </w:rPr>
        <w:t xml:space="preserve">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w:t>
      </w:r>
      <w:r w:rsidRPr="00CB0021">
        <w:rPr>
          <w:rFonts w:ascii="Arial" w:hAnsi="Arial" w:cs="Arial"/>
          <w:i/>
          <w:sz w:val="24"/>
          <w:szCs w:val="24"/>
        </w:rPr>
        <w:t>“el afectado no disponga de otro medio de defensa judicial, salvo que aquélla se utilice como mecanismo transitorio para evitar un perjuicio irremediable”</w:t>
      </w:r>
      <w:r w:rsidRPr="00CB0021">
        <w:rPr>
          <w:rFonts w:ascii="Arial" w:hAnsi="Arial" w:cs="Arial"/>
          <w:sz w:val="24"/>
          <w:szCs w:val="24"/>
        </w:rPr>
        <w:t>.</w:t>
      </w:r>
    </w:p>
    <w:p w:rsidR="00E07369" w:rsidRPr="00453A63" w:rsidRDefault="00E07369" w:rsidP="00E07369">
      <w:pPr>
        <w:pStyle w:val="Sinespaciado1"/>
        <w:spacing w:line="360" w:lineRule="auto"/>
        <w:ind w:firstLine="2835"/>
        <w:jc w:val="both"/>
        <w:rPr>
          <w:rFonts w:ascii="Arial" w:hAnsi="Arial" w:cs="Arial"/>
          <w:sz w:val="28"/>
          <w:szCs w:val="28"/>
        </w:rPr>
      </w:pPr>
      <w:r w:rsidRPr="00453A63">
        <w:rPr>
          <w:rFonts w:ascii="Arial" w:hAnsi="Arial" w:cs="Arial"/>
          <w:sz w:val="28"/>
          <w:szCs w:val="28"/>
        </w:rPr>
        <w:t xml:space="preserve"> </w:t>
      </w:r>
    </w:p>
    <w:p w:rsidR="00DC2761" w:rsidRPr="00453A63" w:rsidRDefault="00E07369" w:rsidP="00AF2351">
      <w:pPr>
        <w:pStyle w:val="Sinespaciado1"/>
        <w:spacing w:line="360" w:lineRule="auto"/>
        <w:ind w:firstLine="2835"/>
        <w:jc w:val="both"/>
        <w:rPr>
          <w:rFonts w:ascii="Arial" w:hAnsi="Arial" w:cs="Arial"/>
          <w:sz w:val="28"/>
          <w:szCs w:val="28"/>
        </w:rPr>
      </w:pPr>
      <w:r w:rsidRPr="00453A63">
        <w:rPr>
          <w:rFonts w:ascii="Arial" w:hAnsi="Arial" w:cs="Arial"/>
          <w:sz w:val="28"/>
          <w:szCs w:val="28"/>
        </w:rPr>
        <w:t>4</w:t>
      </w:r>
      <w:r w:rsidR="001E3E8F" w:rsidRPr="00453A63">
        <w:rPr>
          <w:rFonts w:ascii="Arial" w:hAnsi="Arial" w:cs="Arial"/>
          <w:sz w:val="28"/>
          <w:szCs w:val="28"/>
        </w:rPr>
        <w:t xml:space="preserve">. </w:t>
      </w:r>
      <w:r w:rsidR="00A57F85" w:rsidRPr="00453A63">
        <w:rPr>
          <w:rFonts w:ascii="Arial" w:hAnsi="Arial" w:cs="Arial"/>
          <w:sz w:val="28"/>
          <w:szCs w:val="28"/>
        </w:rPr>
        <w:t xml:space="preserve"> </w:t>
      </w:r>
      <w:r w:rsidR="00DD72D5" w:rsidRPr="00453A63">
        <w:rPr>
          <w:rFonts w:ascii="Arial" w:hAnsi="Arial" w:cs="Arial"/>
          <w:sz w:val="28"/>
          <w:szCs w:val="28"/>
        </w:rPr>
        <w:t xml:space="preserve">En ese entendido, nuestra Corte Constitucional estableció que: (i) La subsidiariedad o </w:t>
      </w:r>
      <w:proofErr w:type="spellStart"/>
      <w:r w:rsidR="00DD72D5" w:rsidRPr="00453A63">
        <w:rPr>
          <w:rFonts w:ascii="Arial" w:hAnsi="Arial" w:cs="Arial"/>
          <w:sz w:val="28"/>
          <w:szCs w:val="28"/>
        </w:rPr>
        <w:t>residualidad</w:t>
      </w:r>
      <w:proofErr w:type="spellEnd"/>
      <w:r w:rsidR="00DD72D5" w:rsidRPr="00453A63">
        <w:rPr>
          <w:rFonts w:ascii="Arial" w:hAnsi="Arial" w:cs="Arial"/>
          <w:sz w:val="28"/>
          <w:szCs w:val="28"/>
        </w:rPr>
        <w:t>, y (ii) La inmediatez, son exigencias generales de procedencia de la acción, condiciones indispensables para el conocimiento de fondo de las solicitudes de protección de derechos fundamentales.</w:t>
      </w:r>
    </w:p>
    <w:p w:rsidR="00DD72D5" w:rsidRPr="00453A63" w:rsidRDefault="00DD72D5" w:rsidP="00AF2351">
      <w:pPr>
        <w:pStyle w:val="Sinespaciado1"/>
        <w:spacing w:line="360" w:lineRule="auto"/>
        <w:ind w:firstLine="2835"/>
        <w:jc w:val="both"/>
        <w:rPr>
          <w:rFonts w:ascii="Arial" w:hAnsi="Arial" w:cs="Arial"/>
          <w:sz w:val="28"/>
          <w:szCs w:val="28"/>
        </w:rPr>
      </w:pPr>
      <w:r w:rsidRPr="00453A63">
        <w:rPr>
          <w:rFonts w:ascii="Arial" w:hAnsi="Arial" w:cs="Arial"/>
          <w:sz w:val="28"/>
          <w:szCs w:val="28"/>
        </w:rPr>
        <w:t xml:space="preserve">  </w:t>
      </w:r>
    </w:p>
    <w:p w:rsidR="00DD72D5" w:rsidRDefault="00656E92" w:rsidP="00DD72D5">
      <w:pPr>
        <w:pStyle w:val="Textoindependiente3"/>
        <w:spacing w:line="360" w:lineRule="auto"/>
        <w:ind w:firstLine="2835"/>
        <w:jc w:val="both"/>
        <w:rPr>
          <w:rFonts w:cs="Arial"/>
          <w:i/>
          <w:sz w:val="24"/>
          <w:szCs w:val="24"/>
        </w:rPr>
      </w:pPr>
      <w:r w:rsidRPr="00453A63">
        <w:rPr>
          <w:rFonts w:cs="Arial"/>
          <w:sz w:val="28"/>
          <w:szCs w:val="28"/>
        </w:rPr>
        <w:t xml:space="preserve">4.1. </w:t>
      </w:r>
      <w:r w:rsidR="00DD72D5" w:rsidRPr="00453A63">
        <w:rPr>
          <w:rFonts w:cs="Arial"/>
          <w:sz w:val="28"/>
          <w:szCs w:val="28"/>
        </w:rPr>
        <w:t xml:space="preserve">En lo tocante a la inmediatez, se halla cumplido, dado que la acción se interpone 6 días después de notificada la resolución que resuelve el recurso interpuesto contra el acto administrativo que negó la pensión reclamada. De todas formas la doctrina constitucional enseña que </w:t>
      </w:r>
      <w:r w:rsidR="00DD72D5" w:rsidRPr="00CB0021">
        <w:rPr>
          <w:rFonts w:cs="Arial"/>
          <w:i/>
          <w:sz w:val="24"/>
          <w:szCs w:val="24"/>
        </w:rPr>
        <w:t xml:space="preserve">“(…) 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w:t>
      </w:r>
      <w:r w:rsidR="00DC2761" w:rsidRPr="00CB0021">
        <w:rPr>
          <w:rFonts w:cs="Arial"/>
          <w:i/>
          <w:sz w:val="24"/>
          <w:szCs w:val="24"/>
        </w:rPr>
        <w:t>que se interpone la acción”</w:t>
      </w:r>
      <w:r w:rsidR="00DC2761" w:rsidRPr="00CB0021">
        <w:rPr>
          <w:rStyle w:val="Refdenotaalpie"/>
          <w:rFonts w:cs="Arial"/>
          <w:i/>
          <w:sz w:val="24"/>
          <w:szCs w:val="24"/>
        </w:rPr>
        <w:footnoteReference w:id="3"/>
      </w:r>
      <w:r w:rsidR="00DC2761" w:rsidRPr="00CB0021">
        <w:rPr>
          <w:rFonts w:cs="Arial"/>
          <w:i/>
          <w:sz w:val="24"/>
          <w:szCs w:val="24"/>
        </w:rPr>
        <w:t>.</w:t>
      </w:r>
    </w:p>
    <w:p w:rsidR="00CB0021" w:rsidRPr="00453A63" w:rsidRDefault="00CB0021" w:rsidP="00DD72D5">
      <w:pPr>
        <w:pStyle w:val="Textoindependiente3"/>
        <w:spacing w:line="360" w:lineRule="auto"/>
        <w:ind w:firstLine="2835"/>
        <w:jc w:val="both"/>
        <w:rPr>
          <w:rFonts w:cs="Arial"/>
          <w:sz w:val="28"/>
          <w:szCs w:val="28"/>
        </w:rPr>
      </w:pPr>
    </w:p>
    <w:p w:rsidR="00DD72D5" w:rsidRPr="00453A63" w:rsidRDefault="00656E92" w:rsidP="00DD72D5">
      <w:pPr>
        <w:pStyle w:val="Textoindependiente3"/>
        <w:spacing w:after="0" w:line="360" w:lineRule="auto"/>
        <w:ind w:firstLine="2835"/>
        <w:jc w:val="both"/>
        <w:rPr>
          <w:rFonts w:cs="Arial"/>
          <w:sz w:val="28"/>
          <w:szCs w:val="28"/>
        </w:rPr>
      </w:pPr>
      <w:r w:rsidRPr="00453A63">
        <w:rPr>
          <w:rFonts w:cs="Arial"/>
          <w:sz w:val="28"/>
          <w:szCs w:val="28"/>
        </w:rPr>
        <w:t>4.2. R</w:t>
      </w:r>
      <w:r w:rsidR="00DD72D5" w:rsidRPr="00453A63">
        <w:rPr>
          <w:rFonts w:cs="Arial"/>
          <w:sz w:val="28"/>
          <w:szCs w:val="28"/>
        </w:rPr>
        <w:t xml:space="preserve">especto a la </w:t>
      </w:r>
      <w:proofErr w:type="spellStart"/>
      <w:r w:rsidR="00DD72D5" w:rsidRPr="00453A63">
        <w:rPr>
          <w:rFonts w:cs="Arial"/>
          <w:sz w:val="28"/>
          <w:szCs w:val="28"/>
        </w:rPr>
        <w:t>residualidad</w:t>
      </w:r>
      <w:proofErr w:type="spellEnd"/>
      <w:r w:rsidR="00DD72D5" w:rsidRPr="00453A63">
        <w:rPr>
          <w:rFonts w:cs="Arial"/>
          <w:sz w:val="28"/>
          <w:szCs w:val="28"/>
        </w:rPr>
        <w:t xml:space="preserve"> existen al menos dos excepciones a esa regla general : (i) Cuando la persona afectada no tiene un mecanismo distinto y eficaz a la acción de tutela para defender sus derechos porque no está legitimada para impugnar los actos administrativos que los vulneran  o porque la cuestión debatida es eminentemente constitucional , y (ii) cuando se trata de evitar la ocurrencia de un perjuicio irremediable cuando se la quiera usar como mecanismo transitorio (Artículo 86 CP) .</w:t>
      </w:r>
    </w:p>
    <w:p w:rsidR="00AF2351" w:rsidRPr="00453A63" w:rsidRDefault="00656E92" w:rsidP="00AF2351">
      <w:pPr>
        <w:pStyle w:val="Textoindependiente3"/>
        <w:spacing w:line="360" w:lineRule="auto"/>
        <w:ind w:firstLine="2835"/>
        <w:jc w:val="both"/>
        <w:rPr>
          <w:rFonts w:cs="Arial"/>
          <w:sz w:val="28"/>
          <w:szCs w:val="28"/>
        </w:rPr>
      </w:pPr>
      <w:r w:rsidRPr="00453A63">
        <w:rPr>
          <w:rFonts w:cs="Arial"/>
          <w:sz w:val="28"/>
          <w:szCs w:val="28"/>
        </w:rPr>
        <w:t>5</w:t>
      </w:r>
      <w:r w:rsidR="00AF2351" w:rsidRPr="00453A63">
        <w:rPr>
          <w:rFonts w:cs="Arial"/>
          <w:sz w:val="28"/>
          <w:szCs w:val="28"/>
        </w:rPr>
        <w:t>.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invalidez, se ha verificado que se reúnen unas condiciones especiales que hacen viable esa tutela excepcional de los derechos fundamentales.</w:t>
      </w:r>
    </w:p>
    <w:p w:rsidR="008E7079" w:rsidRPr="00453A63" w:rsidRDefault="00AF2351" w:rsidP="008E7079">
      <w:pPr>
        <w:pStyle w:val="Textoindependiente3"/>
        <w:spacing w:line="360" w:lineRule="auto"/>
        <w:ind w:firstLine="2835"/>
        <w:jc w:val="both"/>
        <w:rPr>
          <w:rFonts w:cs="Arial"/>
          <w:sz w:val="28"/>
          <w:szCs w:val="28"/>
        </w:rPr>
      </w:pPr>
      <w:r w:rsidRPr="00453A63">
        <w:rPr>
          <w:rFonts w:cs="Arial"/>
          <w:sz w:val="28"/>
          <w:szCs w:val="28"/>
        </w:rPr>
        <w:t xml:space="preserve"> </w:t>
      </w:r>
    </w:p>
    <w:p w:rsidR="00AF2351" w:rsidRPr="00453A63" w:rsidRDefault="00AF2351" w:rsidP="00AF2351">
      <w:pPr>
        <w:pStyle w:val="Textoindependiente3"/>
        <w:spacing w:line="360" w:lineRule="auto"/>
        <w:ind w:firstLine="2835"/>
        <w:jc w:val="both"/>
        <w:rPr>
          <w:rFonts w:cs="Arial"/>
          <w:sz w:val="28"/>
          <w:szCs w:val="28"/>
        </w:rPr>
      </w:pPr>
      <w:r w:rsidRPr="00453A63">
        <w:rPr>
          <w:rFonts w:cs="Arial"/>
          <w:sz w:val="28"/>
          <w:szCs w:val="28"/>
        </w:rPr>
        <w:t>Y es que concretamente se ha dicho que la pensión de sobrevivientes, anteriormente conocida como sustitución pensional, es una prestación social fundada en los principios de  solidaridad y de universalidad de la seguridad social, que busca garantizar a los familiares de la persona afiliada fallecida, una estabilidad económica suficiente para asegurar su subsistencia en condiciones dignas, máxime, cuando dicha prestación es la única fuente de ingreso de sus beneficiarios, que tiene por fin evitar una situación de desamparo. En este último caso la naturaleza de la pensión de sobrevivientes siempre estará ligada a la protección del derecho fundamental al mínimo vital y por tanto, adquiere el carácter de fundamental.</w:t>
      </w:r>
      <w:r w:rsidRPr="00453A63">
        <w:rPr>
          <w:rStyle w:val="Refdenotaalpie"/>
          <w:rFonts w:cs="Arial"/>
          <w:sz w:val="28"/>
          <w:szCs w:val="28"/>
        </w:rPr>
        <w:footnoteReference w:id="4"/>
      </w:r>
    </w:p>
    <w:p w:rsidR="00AF2351" w:rsidRPr="00CB0021" w:rsidRDefault="00656E92" w:rsidP="00AF2351">
      <w:pPr>
        <w:pStyle w:val="Textoindependiente3"/>
        <w:spacing w:line="360" w:lineRule="auto"/>
        <w:ind w:firstLine="2835"/>
        <w:jc w:val="both"/>
        <w:rPr>
          <w:rFonts w:cs="Arial"/>
          <w:i/>
          <w:sz w:val="24"/>
          <w:szCs w:val="24"/>
        </w:rPr>
      </w:pPr>
      <w:r w:rsidRPr="00453A63">
        <w:rPr>
          <w:rFonts w:cs="Arial"/>
          <w:sz w:val="28"/>
          <w:szCs w:val="28"/>
        </w:rPr>
        <w:t>6</w:t>
      </w:r>
      <w:r w:rsidR="00AF2351" w:rsidRPr="00453A63">
        <w:rPr>
          <w:rFonts w:cs="Arial"/>
          <w:sz w:val="28"/>
          <w:szCs w:val="28"/>
        </w:rPr>
        <w:t xml:space="preserve">. De otro lado, el principio de la condición más beneficiosa se desprende del artículo 53 de la Constitución, que prescribe en su inciso final (no está en negrilla en el texto original): </w:t>
      </w:r>
      <w:r w:rsidR="00AF2351" w:rsidRPr="00CB0021">
        <w:rPr>
          <w:rFonts w:cs="Arial"/>
          <w:i/>
          <w:sz w:val="24"/>
          <w:szCs w:val="24"/>
        </w:rPr>
        <w:t>“La ley, los contratos, los acuerdos y convenios de trabajo, no pueden menoscabar la libertad, la dignidad humana ni los derechos de los trabajadores.”</w:t>
      </w:r>
      <w:r w:rsidR="00523E0A" w:rsidRPr="00CB0021">
        <w:rPr>
          <w:rStyle w:val="Refdenotaalpie"/>
          <w:rFonts w:cs="Arial"/>
          <w:i/>
          <w:sz w:val="24"/>
          <w:szCs w:val="24"/>
        </w:rPr>
        <w:footnoteReference w:id="5"/>
      </w:r>
    </w:p>
    <w:p w:rsidR="00AF2351" w:rsidRPr="00453A63" w:rsidRDefault="00AF2351" w:rsidP="00AF2351">
      <w:pPr>
        <w:pStyle w:val="Textoindependiente3"/>
        <w:spacing w:line="360" w:lineRule="auto"/>
        <w:ind w:firstLine="2835"/>
        <w:jc w:val="both"/>
        <w:rPr>
          <w:rFonts w:cs="Arial"/>
          <w:sz w:val="28"/>
          <w:szCs w:val="28"/>
        </w:rPr>
      </w:pPr>
    </w:p>
    <w:p w:rsidR="00523E0A" w:rsidRDefault="00523E0A" w:rsidP="00AF2351">
      <w:pPr>
        <w:pStyle w:val="Textoindependiente3"/>
        <w:spacing w:line="360" w:lineRule="auto"/>
        <w:ind w:firstLine="2835"/>
        <w:jc w:val="both"/>
        <w:rPr>
          <w:rFonts w:cs="Arial"/>
          <w:sz w:val="28"/>
          <w:szCs w:val="28"/>
        </w:rPr>
      </w:pPr>
      <w:r w:rsidRPr="00453A63">
        <w:rPr>
          <w:rFonts w:cs="Arial"/>
          <w:sz w:val="28"/>
          <w:szCs w:val="28"/>
        </w:rPr>
        <w:t xml:space="preserve">De tal principio ha dicho el alto tribunal Constitucional: </w:t>
      </w:r>
    </w:p>
    <w:p w:rsidR="00AF2351" w:rsidRPr="00CB0021" w:rsidRDefault="00523E0A" w:rsidP="00523E0A">
      <w:pPr>
        <w:pStyle w:val="Textoindependiente3"/>
        <w:ind w:left="567" w:right="618" w:firstLine="2268"/>
        <w:jc w:val="both"/>
        <w:rPr>
          <w:rFonts w:cs="Arial"/>
          <w:i/>
          <w:sz w:val="24"/>
          <w:szCs w:val="24"/>
        </w:rPr>
      </w:pPr>
      <w:r w:rsidRPr="00CB0021">
        <w:rPr>
          <w:rFonts w:cs="Arial"/>
          <w:sz w:val="24"/>
          <w:szCs w:val="24"/>
        </w:rPr>
        <w:t>“</w:t>
      </w:r>
      <w:r w:rsidRPr="00CB0021">
        <w:rPr>
          <w:rFonts w:cs="Arial"/>
          <w:b/>
          <w:i/>
          <w:sz w:val="24"/>
          <w:szCs w:val="24"/>
        </w:rPr>
        <w:t xml:space="preserve">Sobre la condición más beneficiosa en </w:t>
      </w:r>
      <w:r w:rsidR="00AF2351" w:rsidRPr="00CB0021">
        <w:rPr>
          <w:rFonts w:cs="Arial"/>
          <w:b/>
          <w:i/>
          <w:sz w:val="24"/>
          <w:szCs w:val="24"/>
        </w:rPr>
        <w:t>la aplicación de normas concurrentes que rigen la pensión de sobrevivientes, específicamente la suscitada entre el régimen previsto en el Acuerdo 049 de 1990 y el que a la fecha de esta sentencia está dispuesto en la Ley 100 de 1993, la Corte Suprema de Justicia, Sala de Casación Laboral, en reiteradas oportunidades ha resuelto casos similares al ahora objeto de estudio, en los cuales señaló que en razón de dicho principio constitucional, no puede negarse la pensión de sobrevivientes a los beneficiarios de un afiliado en virtud de no reunir este 26 semanas de cotización en el año anterior a su deceso, si durante su vinculación al sistema de la seguridad social satisfizo los presupuestos exigidos en el artículo 6º del Acuerdo 049 de 1990.</w:t>
      </w:r>
      <w:r w:rsidRPr="00CB0021">
        <w:rPr>
          <w:rFonts w:cs="Arial"/>
          <w:b/>
          <w:i/>
          <w:sz w:val="24"/>
          <w:szCs w:val="24"/>
        </w:rPr>
        <w:t>”</w:t>
      </w:r>
    </w:p>
    <w:p w:rsidR="00523E0A" w:rsidRPr="00453A63" w:rsidRDefault="00523E0A" w:rsidP="00AF2351">
      <w:pPr>
        <w:pStyle w:val="Textoindependiente3"/>
        <w:spacing w:line="360" w:lineRule="auto"/>
        <w:ind w:firstLine="2835"/>
        <w:jc w:val="both"/>
        <w:rPr>
          <w:rFonts w:cs="Arial"/>
          <w:i/>
          <w:sz w:val="28"/>
          <w:szCs w:val="28"/>
        </w:rPr>
      </w:pPr>
    </w:p>
    <w:p w:rsidR="00523E0A" w:rsidRPr="00453A63" w:rsidRDefault="00523E0A" w:rsidP="00AF2351">
      <w:pPr>
        <w:pStyle w:val="Textoindependiente3"/>
        <w:spacing w:line="360" w:lineRule="auto"/>
        <w:ind w:firstLine="2835"/>
        <w:jc w:val="both"/>
        <w:rPr>
          <w:rFonts w:cs="Arial"/>
          <w:sz w:val="28"/>
          <w:szCs w:val="28"/>
        </w:rPr>
      </w:pPr>
      <w:r w:rsidRPr="00453A63">
        <w:rPr>
          <w:rFonts w:cs="Arial"/>
          <w:sz w:val="28"/>
          <w:szCs w:val="28"/>
        </w:rPr>
        <w:t>Y reiteró,</w:t>
      </w:r>
    </w:p>
    <w:p w:rsidR="00523E0A" w:rsidRPr="00CB0021" w:rsidRDefault="00523E0A" w:rsidP="00523E0A">
      <w:pPr>
        <w:pStyle w:val="Textoindependiente3"/>
        <w:ind w:left="567" w:right="618" w:firstLine="2268"/>
        <w:jc w:val="both"/>
        <w:rPr>
          <w:rFonts w:cs="Arial"/>
          <w:b/>
          <w:i/>
          <w:sz w:val="24"/>
          <w:szCs w:val="24"/>
        </w:rPr>
      </w:pPr>
      <w:r w:rsidRPr="00CB0021">
        <w:rPr>
          <w:rFonts w:cs="Arial"/>
          <w:b/>
          <w:i/>
          <w:sz w:val="24"/>
          <w:szCs w:val="24"/>
        </w:rPr>
        <w:t xml:space="preserve">“El principio de la condición más beneficiosa en materia pensional ha tenido extensa aplicación por parte de la jurisprudencia, respecto a aquellas personas que habiendo cumplido con un nivel elevado de cotizaciones antes de la entrada en vigencia del Sistema General de Pensiones, (150 semanas de cotización dentro de los 6 años anteriores a la fecha del estado de invalidez, </w:t>
      </w:r>
      <w:proofErr w:type="spellStart"/>
      <w:r w:rsidRPr="00CB0021">
        <w:rPr>
          <w:rFonts w:cs="Arial"/>
          <w:b/>
          <w:i/>
          <w:sz w:val="24"/>
          <w:szCs w:val="24"/>
        </w:rPr>
        <w:t>ó</w:t>
      </w:r>
      <w:proofErr w:type="spellEnd"/>
      <w:r w:rsidRPr="00CB0021">
        <w:rPr>
          <w:rFonts w:cs="Arial"/>
          <w:b/>
          <w:i/>
          <w:sz w:val="24"/>
          <w:szCs w:val="24"/>
        </w:rPr>
        <w:t xml:space="preserve"> 300 semanas en cualquier época con anterioridad a ese estado) tal como lo determinaba el artículo 6º del Acuerdo 049 de 1990 del I.S.S., no cumplían con las 26 semanas para el momento de la invalidez o de la muerte exigidas por la Ley 100 de 1993, pero en razón a que se consideró que la nueva legislación traía una exigencia menor en número de cotizaciones respecto de la legislación anterior.</w:t>
      </w:r>
    </w:p>
    <w:p w:rsidR="00523E0A" w:rsidRPr="00CB0021" w:rsidRDefault="00523E0A" w:rsidP="00523E0A">
      <w:pPr>
        <w:pStyle w:val="Textoindependiente3"/>
        <w:ind w:left="567" w:right="618" w:firstLine="2268"/>
        <w:jc w:val="both"/>
        <w:rPr>
          <w:rFonts w:cs="Arial"/>
          <w:b/>
          <w:i/>
          <w:sz w:val="24"/>
          <w:szCs w:val="24"/>
        </w:rPr>
      </w:pPr>
      <w:r w:rsidRPr="00CB0021">
        <w:rPr>
          <w:rFonts w:cs="Arial"/>
          <w:b/>
          <w:i/>
          <w:sz w:val="24"/>
          <w:szCs w:val="24"/>
        </w:rPr>
        <w:t xml:space="preserve"> </w:t>
      </w:r>
    </w:p>
    <w:p w:rsidR="00523E0A" w:rsidRPr="00CB0021" w:rsidRDefault="00523E0A" w:rsidP="00523E0A">
      <w:pPr>
        <w:pStyle w:val="Textoindependiente3"/>
        <w:ind w:left="567" w:right="618" w:firstLine="2268"/>
        <w:jc w:val="both"/>
        <w:rPr>
          <w:rFonts w:cs="Arial"/>
          <w:b/>
          <w:i/>
          <w:sz w:val="24"/>
          <w:szCs w:val="24"/>
        </w:rPr>
      </w:pPr>
      <w:r w:rsidRPr="00CB0021">
        <w:rPr>
          <w:rFonts w:cs="Arial"/>
          <w:b/>
          <w:i/>
          <w:sz w:val="24"/>
          <w:szCs w:val="24"/>
        </w:rPr>
        <w:t>Esta corporación en asuntos semejantes, en relación con el punto de derecho que se discute, ha dejado claro, que pese a haber fallecido el afiliado en vigencia de la Ley 100 de 1993, son aplicables, por virtud del principio de la condición más beneficiosa, las disposiciones contenidas en el Acuerdo 049 de 1990, aprobado por el Decreto 758 del mismo año, si para el momento de entrar en vigencia la citada ley, se daba el supuesto del número de semanas cotizadas para que sus beneficiarios pudiesen acceder a la pensión de sobrevivientes…”</w:t>
      </w:r>
      <w:r w:rsidR="008E7079" w:rsidRPr="00CB0021">
        <w:rPr>
          <w:rStyle w:val="Refdenotaalpie"/>
          <w:rFonts w:cs="Arial"/>
          <w:b/>
          <w:i/>
          <w:sz w:val="24"/>
          <w:szCs w:val="24"/>
        </w:rPr>
        <w:footnoteReference w:id="6"/>
      </w:r>
    </w:p>
    <w:p w:rsidR="00523E0A" w:rsidRDefault="00523E0A" w:rsidP="00523E0A">
      <w:pPr>
        <w:pStyle w:val="Textoindependiente3"/>
        <w:spacing w:line="360" w:lineRule="auto"/>
        <w:ind w:left="567" w:right="618" w:firstLine="2268"/>
        <w:jc w:val="both"/>
        <w:rPr>
          <w:rFonts w:cs="Arial"/>
          <w:i/>
          <w:sz w:val="28"/>
          <w:szCs w:val="28"/>
        </w:rPr>
      </w:pPr>
    </w:p>
    <w:p w:rsidR="00AF2351" w:rsidRPr="00453A63" w:rsidRDefault="00AF2351" w:rsidP="00AF2351">
      <w:pPr>
        <w:pStyle w:val="Sinespaciado1"/>
        <w:spacing w:line="360" w:lineRule="auto"/>
        <w:ind w:firstLine="2835"/>
        <w:jc w:val="both"/>
        <w:rPr>
          <w:rFonts w:ascii="Arial" w:hAnsi="Arial" w:cs="Arial"/>
          <w:b/>
          <w:sz w:val="28"/>
          <w:szCs w:val="28"/>
        </w:rPr>
      </w:pPr>
      <w:r w:rsidRPr="00453A63">
        <w:rPr>
          <w:rFonts w:ascii="Arial" w:hAnsi="Arial" w:cs="Arial"/>
          <w:b/>
          <w:sz w:val="28"/>
          <w:szCs w:val="28"/>
        </w:rPr>
        <w:t>V. Caso concreto</w:t>
      </w:r>
    </w:p>
    <w:p w:rsidR="00BD6A82" w:rsidRPr="00453A63" w:rsidRDefault="00BD6A82" w:rsidP="00051BD1">
      <w:pPr>
        <w:pStyle w:val="Textoindependiente3"/>
        <w:spacing w:after="0" w:line="360" w:lineRule="auto"/>
        <w:ind w:firstLine="2835"/>
        <w:jc w:val="both"/>
        <w:rPr>
          <w:rFonts w:cs="Arial"/>
          <w:sz w:val="28"/>
          <w:szCs w:val="28"/>
        </w:rPr>
      </w:pPr>
    </w:p>
    <w:p w:rsidR="00DA1469" w:rsidRPr="00453A63" w:rsidRDefault="00A4695A" w:rsidP="00DA1469">
      <w:pPr>
        <w:spacing w:line="360" w:lineRule="auto"/>
        <w:ind w:firstLine="2835"/>
        <w:jc w:val="both"/>
        <w:rPr>
          <w:rFonts w:ascii="Arial" w:eastAsia="Times New Roman" w:hAnsi="Arial" w:cs="Arial"/>
          <w:sz w:val="28"/>
          <w:szCs w:val="28"/>
          <w:lang w:val="es-CO"/>
        </w:rPr>
      </w:pPr>
      <w:r w:rsidRPr="00453A63">
        <w:rPr>
          <w:rFonts w:ascii="Arial" w:eastAsia="Times New Roman" w:hAnsi="Arial" w:cs="Arial"/>
          <w:sz w:val="28"/>
          <w:szCs w:val="28"/>
          <w:lang w:val="es-CO"/>
        </w:rPr>
        <w:t>1. Aquí la Administradora Colombiana de Pensiones Colpensiones negó la pensión de sobrevivientes aplicando los requisitos exigidos en el artículo 12 de la Ley 797 de 2003, modificatorio del artículo 46 de la Ley 100 de 1993, sin tener en cuenta que las entidades administradoras de fondos de pensiones no pueden adoptar decisiones subjetivas, aun cuando tienen la discrecionalidad para reconocer o negar dicha pensión, asumiendo posturas desfavorables al solicitante.</w:t>
      </w:r>
    </w:p>
    <w:p w:rsidR="00DA1469" w:rsidRPr="00453A63" w:rsidRDefault="00DA1469" w:rsidP="00DA1469">
      <w:pPr>
        <w:spacing w:line="360" w:lineRule="auto"/>
        <w:ind w:firstLine="2835"/>
        <w:jc w:val="both"/>
        <w:rPr>
          <w:rFonts w:ascii="Arial" w:eastAsia="Times New Roman" w:hAnsi="Arial" w:cs="Arial"/>
          <w:sz w:val="28"/>
          <w:szCs w:val="28"/>
          <w:lang w:val="es-CO"/>
        </w:rPr>
      </w:pPr>
    </w:p>
    <w:p w:rsidR="00DA1469" w:rsidRPr="00CB0021" w:rsidRDefault="00A4695A" w:rsidP="00DA1469">
      <w:pPr>
        <w:spacing w:line="360" w:lineRule="auto"/>
        <w:ind w:firstLine="2835"/>
        <w:jc w:val="both"/>
        <w:rPr>
          <w:rFonts w:ascii="Arial" w:eastAsia="Times New Roman" w:hAnsi="Arial" w:cs="Arial"/>
          <w:sz w:val="24"/>
          <w:szCs w:val="24"/>
          <w:lang w:val="es-CO"/>
        </w:rPr>
      </w:pPr>
      <w:r w:rsidRPr="00453A63">
        <w:rPr>
          <w:rFonts w:ascii="Arial" w:eastAsia="Times New Roman" w:hAnsi="Arial" w:cs="Arial"/>
          <w:sz w:val="28"/>
          <w:szCs w:val="28"/>
          <w:lang w:val="es-CO"/>
        </w:rPr>
        <w:t xml:space="preserve">2. Partiendo de las premisas jurídicas anotadas, advierte esta Sala que se está frente a una persona de especial protección constitucional no solo por su edad (80 años) sino por su </w:t>
      </w:r>
      <w:r w:rsidR="00A77426" w:rsidRPr="00453A63">
        <w:rPr>
          <w:rFonts w:ascii="Arial" w:eastAsia="Times New Roman" w:hAnsi="Arial" w:cs="Arial"/>
          <w:sz w:val="28"/>
          <w:szCs w:val="28"/>
          <w:lang w:val="es-CO"/>
        </w:rPr>
        <w:t xml:space="preserve">estado de salud, pues de su historia clínica se extrae que tiene patologías como </w:t>
      </w:r>
      <w:r w:rsidR="00A77426" w:rsidRPr="00CB0021">
        <w:rPr>
          <w:rFonts w:ascii="Arial" w:eastAsia="Times New Roman" w:hAnsi="Arial" w:cs="Arial"/>
          <w:sz w:val="24"/>
          <w:szCs w:val="24"/>
          <w:lang w:val="es-CO"/>
        </w:rPr>
        <w:t>“HIPERTENSION , CATETERISMO</w:t>
      </w:r>
      <w:r w:rsidR="00B90564" w:rsidRPr="00CB0021">
        <w:rPr>
          <w:rFonts w:ascii="Arial" w:eastAsia="Times New Roman" w:hAnsi="Arial" w:cs="Arial"/>
          <w:sz w:val="24"/>
          <w:szCs w:val="24"/>
          <w:lang w:val="es-CO"/>
        </w:rPr>
        <w:t>, ULCERA GASTRICA, VALVULOPATIA</w:t>
      </w:r>
      <w:r w:rsidR="00A77426" w:rsidRPr="00CB0021">
        <w:rPr>
          <w:rFonts w:ascii="Arial" w:eastAsia="Times New Roman" w:hAnsi="Arial" w:cs="Arial"/>
          <w:sz w:val="24"/>
          <w:szCs w:val="24"/>
          <w:lang w:val="es-CO"/>
        </w:rPr>
        <w:t>, CIRUGIAS: CORAZON ABIERTO, HERMORROIDES , HERNIA INGUINAL”</w:t>
      </w:r>
      <w:r w:rsidR="00656E92" w:rsidRPr="00CB0021">
        <w:rPr>
          <w:rStyle w:val="Refdenotaalpie"/>
          <w:rFonts w:ascii="Arial" w:eastAsia="Times New Roman" w:hAnsi="Arial" w:cs="Arial"/>
          <w:sz w:val="24"/>
          <w:szCs w:val="24"/>
          <w:lang w:val="es-CO"/>
        </w:rPr>
        <w:footnoteReference w:id="7"/>
      </w:r>
      <w:r w:rsidR="00A77426" w:rsidRPr="00CB0021">
        <w:rPr>
          <w:rFonts w:ascii="Arial" w:eastAsia="Times New Roman" w:hAnsi="Arial" w:cs="Arial"/>
          <w:sz w:val="24"/>
          <w:szCs w:val="24"/>
          <w:lang w:val="es-CO"/>
        </w:rPr>
        <w:t xml:space="preserve"> </w:t>
      </w:r>
      <w:r w:rsidRPr="00CB0021">
        <w:rPr>
          <w:rFonts w:ascii="Arial" w:eastAsia="Times New Roman" w:hAnsi="Arial" w:cs="Arial"/>
          <w:sz w:val="24"/>
          <w:szCs w:val="24"/>
          <w:lang w:val="es-CO"/>
        </w:rPr>
        <w:t xml:space="preserve"> (</w:t>
      </w:r>
      <w:r w:rsidR="00A77426" w:rsidRPr="00CB0021">
        <w:rPr>
          <w:rFonts w:ascii="Arial" w:eastAsia="Times New Roman" w:hAnsi="Arial" w:cs="Arial"/>
          <w:sz w:val="24"/>
          <w:szCs w:val="24"/>
          <w:lang w:val="es-CO"/>
        </w:rPr>
        <w:t>CD.</w:t>
      </w:r>
      <w:r w:rsidRPr="00CB0021">
        <w:rPr>
          <w:rFonts w:ascii="Arial" w:eastAsia="Times New Roman" w:hAnsi="Arial" w:cs="Arial"/>
          <w:sz w:val="24"/>
          <w:szCs w:val="24"/>
          <w:lang w:val="es-CO"/>
        </w:rPr>
        <w:t xml:space="preserve">). </w:t>
      </w:r>
    </w:p>
    <w:p w:rsidR="003D3851" w:rsidRPr="00453A63" w:rsidRDefault="003D3851" w:rsidP="00DA1469">
      <w:pPr>
        <w:spacing w:line="360" w:lineRule="auto"/>
        <w:ind w:firstLine="2835"/>
        <w:jc w:val="both"/>
        <w:rPr>
          <w:rFonts w:ascii="Arial" w:eastAsia="Times New Roman" w:hAnsi="Arial" w:cs="Arial"/>
          <w:sz w:val="28"/>
          <w:szCs w:val="28"/>
          <w:lang w:val="es-CO"/>
        </w:rPr>
      </w:pPr>
    </w:p>
    <w:p w:rsidR="00DA1469" w:rsidRPr="00453A63" w:rsidRDefault="00A4695A" w:rsidP="00DA1469">
      <w:pPr>
        <w:spacing w:line="360" w:lineRule="auto"/>
        <w:ind w:firstLine="2835"/>
        <w:jc w:val="both"/>
        <w:rPr>
          <w:rFonts w:ascii="Arial" w:eastAsia="Times New Roman" w:hAnsi="Arial" w:cs="Arial"/>
          <w:sz w:val="28"/>
          <w:szCs w:val="28"/>
          <w:lang w:val="es-CO"/>
        </w:rPr>
      </w:pPr>
      <w:r w:rsidRPr="00453A63">
        <w:rPr>
          <w:rFonts w:ascii="Arial" w:eastAsia="Times New Roman" w:hAnsi="Arial" w:cs="Arial"/>
          <w:sz w:val="28"/>
          <w:szCs w:val="28"/>
          <w:lang w:val="es-CO"/>
        </w:rPr>
        <w:t xml:space="preserve">Así mismo, </w:t>
      </w:r>
      <w:r w:rsidR="00DA1469" w:rsidRPr="00453A63">
        <w:rPr>
          <w:rFonts w:ascii="Arial" w:eastAsia="Times New Roman" w:hAnsi="Arial" w:cs="Arial"/>
          <w:sz w:val="28"/>
          <w:szCs w:val="28"/>
          <w:lang w:val="es-CO"/>
        </w:rPr>
        <w:t>aquellos d</w:t>
      </w:r>
      <w:r w:rsidRPr="00453A63">
        <w:rPr>
          <w:rFonts w:ascii="Arial" w:eastAsia="Times New Roman" w:hAnsi="Arial" w:cs="Arial"/>
          <w:sz w:val="28"/>
          <w:szCs w:val="28"/>
          <w:lang w:val="es-CO"/>
        </w:rPr>
        <w:t>os factores, edad y condiciones actuales</w:t>
      </w:r>
      <w:r w:rsidR="00B90564" w:rsidRPr="00453A63">
        <w:rPr>
          <w:rFonts w:ascii="Arial" w:eastAsia="Times New Roman" w:hAnsi="Arial" w:cs="Arial"/>
          <w:sz w:val="28"/>
          <w:szCs w:val="28"/>
          <w:lang w:val="es-CO"/>
        </w:rPr>
        <w:t xml:space="preserve"> de salud</w:t>
      </w:r>
      <w:r w:rsidRPr="00453A63">
        <w:rPr>
          <w:rFonts w:ascii="Arial" w:eastAsia="Times New Roman" w:hAnsi="Arial" w:cs="Arial"/>
          <w:sz w:val="28"/>
          <w:szCs w:val="28"/>
          <w:lang w:val="es-CO"/>
        </w:rPr>
        <w:t xml:space="preserve">, </w:t>
      </w:r>
      <w:r w:rsidR="00DA1469" w:rsidRPr="00453A63">
        <w:rPr>
          <w:rFonts w:ascii="Arial" w:eastAsia="Times New Roman" w:hAnsi="Arial" w:cs="Arial"/>
          <w:sz w:val="28"/>
          <w:szCs w:val="28"/>
          <w:lang w:val="es-CO"/>
        </w:rPr>
        <w:t xml:space="preserve">reflejan que no se </w:t>
      </w:r>
      <w:r w:rsidRPr="00453A63">
        <w:rPr>
          <w:rFonts w:ascii="Arial" w:eastAsia="Times New Roman" w:hAnsi="Arial" w:cs="Arial"/>
          <w:sz w:val="28"/>
          <w:szCs w:val="28"/>
          <w:lang w:val="es-CO"/>
        </w:rPr>
        <w:t>en</w:t>
      </w:r>
      <w:r w:rsidR="0009511A" w:rsidRPr="00453A63">
        <w:rPr>
          <w:rFonts w:ascii="Arial" w:eastAsia="Times New Roman" w:hAnsi="Arial" w:cs="Arial"/>
          <w:sz w:val="28"/>
          <w:szCs w:val="28"/>
          <w:lang w:val="es-CO"/>
        </w:rPr>
        <w:t>cuentra en capacidad de laborar</w:t>
      </w:r>
      <w:r w:rsidRPr="00453A63">
        <w:rPr>
          <w:rFonts w:ascii="Arial" w:eastAsia="Times New Roman" w:hAnsi="Arial" w:cs="Arial"/>
          <w:sz w:val="28"/>
          <w:szCs w:val="28"/>
          <w:lang w:val="es-CO"/>
        </w:rPr>
        <w:t>, lo que afecta su mínimo vita</w:t>
      </w:r>
      <w:r w:rsidR="0009511A" w:rsidRPr="00453A63">
        <w:rPr>
          <w:rFonts w:ascii="Arial" w:eastAsia="Times New Roman" w:hAnsi="Arial" w:cs="Arial"/>
          <w:sz w:val="28"/>
          <w:szCs w:val="28"/>
          <w:lang w:val="es-CO"/>
        </w:rPr>
        <w:t xml:space="preserve">l, además de que estado de salud le genera costos adicionales </w:t>
      </w:r>
      <w:r w:rsidRPr="00453A63">
        <w:rPr>
          <w:rFonts w:ascii="Arial" w:eastAsia="Times New Roman" w:hAnsi="Arial" w:cs="Arial"/>
          <w:sz w:val="28"/>
          <w:szCs w:val="28"/>
          <w:lang w:val="es-CO"/>
        </w:rPr>
        <w:t xml:space="preserve">y por lo tanto trae consigo un perjuicio irremediable que se haría perdurable en el tiempo, si se le obligase a acudir a la vía ordinaria, bastante congestionada en este distrito, que además lo más probable es que se extienda a dos instancias bien por la apelación o la consulta de la decisión, situación que por la avanzada edad del actor, torna inidónea la acción ordinaria para salvaguardar con eficacia los derechos constitucionales . </w:t>
      </w:r>
    </w:p>
    <w:p w:rsidR="00DA1469" w:rsidRPr="00453A63" w:rsidRDefault="00DA1469" w:rsidP="00DA1469">
      <w:pPr>
        <w:spacing w:line="360" w:lineRule="auto"/>
        <w:ind w:firstLine="2835"/>
        <w:jc w:val="both"/>
        <w:rPr>
          <w:rFonts w:ascii="Arial" w:eastAsia="Times New Roman" w:hAnsi="Arial" w:cs="Arial"/>
          <w:sz w:val="28"/>
          <w:szCs w:val="28"/>
          <w:lang w:val="es-CO"/>
        </w:rPr>
      </w:pPr>
    </w:p>
    <w:p w:rsidR="00DA1469" w:rsidRPr="00453A63" w:rsidRDefault="00A4695A" w:rsidP="00DA1469">
      <w:pPr>
        <w:spacing w:line="360" w:lineRule="auto"/>
        <w:ind w:firstLine="2835"/>
        <w:jc w:val="both"/>
        <w:rPr>
          <w:rFonts w:ascii="Arial" w:eastAsia="Times New Roman" w:hAnsi="Arial" w:cs="Arial"/>
          <w:sz w:val="28"/>
          <w:szCs w:val="28"/>
          <w:lang w:val="es-CO"/>
        </w:rPr>
      </w:pPr>
      <w:r w:rsidRPr="00453A63">
        <w:rPr>
          <w:rFonts w:ascii="Arial" w:eastAsia="Times New Roman" w:hAnsi="Arial" w:cs="Arial"/>
          <w:sz w:val="28"/>
          <w:szCs w:val="28"/>
          <w:lang w:val="es-CO"/>
        </w:rPr>
        <w:t>A lo que debe aunarse que las circunstancias que rodean las condiciones económicas al actor, no fueron rebatidas por la entidad accionada, en ninguna de las sedes constitucionales transitadas y que la acción se interpone una vez notificada la resolución que niega la pensión, dada la inminente necesidad de su reconocimiento, por las mismas circunstancias ya explicadas.</w:t>
      </w:r>
    </w:p>
    <w:p w:rsidR="00DA1469" w:rsidRPr="00453A63" w:rsidRDefault="00DA1469" w:rsidP="00DA1469">
      <w:pPr>
        <w:spacing w:line="360" w:lineRule="auto"/>
        <w:ind w:firstLine="2835"/>
        <w:jc w:val="both"/>
        <w:rPr>
          <w:rFonts w:ascii="Arial" w:eastAsia="Times New Roman" w:hAnsi="Arial" w:cs="Arial"/>
          <w:sz w:val="28"/>
          <w:szCs w:val="28"/>
          <w:lang w:val="es-CO"/>
        </w:rPr>
      </w:pPr>
    </w:p>
    <w:p w:rsidR="00DA1469" w:rsidRPr="00453A63" w:rsidRDefault="007162B5" w:rsidP="00DA1469">
      <w:pPr>
        <w:spacing w:line="360" w:lineRule="auto"/>
        <w:ind w:firstLine="2835"/>
        <w:jc w:val="both"/>
        <w:rPr>
          <w:rFonts w:ascii="Arial" w:eastAsia="Times New Roman" w:hAnsi="Arial" w:cs="Arial"/>
          <w:sz w:val="28"/>
          <w:szCs w:val="28"/>
          <w:lang w:val="es-CO"/>
        </w:rPr>
      </w:pPr>
      <w:r w:rsidRPr="00453A63">
        <w:rPr>
          <w:rFonts w:ascii="Arial" w:eastAsia="Times New Roman" w:hAnsi="Arial" w:cs="Arial"/>
          <w:sz w:val="28"/>
          <w:szCs w:val="28"/>
          <w:lang w:val="es-CO"/>
        </w:rPr>
        <w:t xml:space="preserve">3. </w:t>
      </w:r>
      <w:r w:rsidR="00A4695A" w:rsidRPr="00453A63">
        <w:rPr>
          <w:rFonts w:ascii="Arial" w:eastAsia="Times New Roman" w:hAnsi="Arial" w:cs="Arial"/>
          <w:sz w:val="28"/>
          <w:szCs w:val="28"/>
          <w:lang w:val="es-CO"/>
        </w:rPr>
        <w:t xml:space="preserve">Superado, entonces, el test de procedencia de la acción, </w:t>
      </w:r>
      <w:r w:rsidRPr="00453A63">
        <w:rPr>
          <w:rFonts w:ascii="Arial" w:eastAsia="Times New Roman" w:hAnsi="Arial" w:cs="Arial"/>
          <w:sz w:val="28"/>
          <w:szCs w:val="28"/>
          <w:lang w:val="es-CO"/>
        </w:rPr>
        <w:t>esta Sala se ve precisada a revisar si en este caso se cumplen los requisitos legales para obtener la pensión de sobreviviente</w:t>
      </w:r>
      <w:r w:rsidR="00656E92" w:rsidRPr="00453A63">
        <w:rPr>
          <w:rFonts w:ascii="Arial" w:eastAsia="Times New Roman" w:hAnsi="Arial" w:cs="Arial"/>
          <w:sz w:val="28"/>
          <w:szCs w:val="28"/>
          <w:lang w:val="es-CO"/>
        </w:rPr>
        <w:t>s</w:t>
      </w:r>
      <w:r w:rsidRPr="00453A63">
        <w:rPr>
          <w:rFonts w:ascii="Arial" w:eastAsia="Times New Roman" w:hAnsi="Arial" w:cs="Arial"/>
          <w:sz w:val="28"/>
          <w:szCs w:val="28"/>
          <w:lang w:val="es-CO"/>
        </w:rPr>
        <w:t>.</w:t>
      </w:r>
    </w:p>
    <w:p w:rsidR="00DA1469" w:rsidRPr="00453A63" w:rsidRDefault="00DA1469" w:rsidP="00DA1469">
      <w:pPr>
        <w:spacing w:line="360" w:lineRule="auto"/>
        <w:ind w:firstLine="2835"/>
        <w:jc w:val="both"/>
        <w:rPr>
          <w:rFonts w:ascii="Arial" w:eastAsia="Times New Roman" w:hAnsi="Arial" w:cs="Arial"/>
          <w:sz w:val="28"/>
          <w:szCs w:val="28"/>
          <w:lang w:val="es-CO"/>
        </w:rPr>
      </w:pPr>
    </w:p>
    <w:p w:rsidR="00DA1469" w:rsidRPr="00453A63" w:rsidRDefault="007162B5" w:rsidP="00DA1469">
      <w:pPr>
        <w:spacing w:line="360" w:lineRule="auto"/>
        <w:ind w:firstLine="2835"/>
        <w:jc w:val="both"/>
        <w:rPr>
          <w:rFonts w:ascii="Arial" w:eastAsia="Times New Roman" w:hAnsi="Arial" w:cs="Arial"/>
          <w:sz w:val="28"/>
          <w:szCs w:val="28"/>
          <w:lang w:val="es-CO"/>
        </w:rPr>
      </w:pPr>
      <w:r w:rsidRPr="00453A63">
        <w:rPr>
          <w:rFonts w:ascii="Arial" w:hAnsi="Arial" w:cs="Arial"/>
          <w:sz w:val="28"/>
          <w:szCs w:val="28"/>
        </w:rPr>
        <w:t>4</w:t>
      </w:r>
      <w:r w:rsidR="00DA0032" w:rsidRPr="00453A63">
        <w:rPr>
          <w:rFonts w:ascii="Arial" w:hAnsi="Arial" w:cs="Arial"/>
          <w:sz w:val="28"/>
          <w:szCs w:val="28"/>
        </w:rPr>
        <w:t xml:space="preserve">. </w:t>
      </w:r>
      <w:r w:rsidR="007815F0" w:rsidRPr="00453A63">
        <w:rPr>
          <w:rFonts w:ascii="Arial" w:hAnsi="Arial" w:cs="Arial"/>
          <w:sz w:val="28"/>
          <w:szCs w:val="28"/>
        </w:rPr>
        <w:t>No existe discusión alguna en el presente asunto respecto a los siguientes supuestos fácticos: i) que la afiliada señora Ana María Márquez L</w:t>
      </w:r>
      <w:r w:rsidR="00656E92" w:rsidRPr="00453A63">
        <w:rPr>
          <w:rFonts w:ascii="Arial" w:hAnsi="Arial" w:cs="Arial"/>
          <w:sz w:val="28"/>
          <w:szCs w:val="28"/>
        </w:rPr>
        <w:t>ópez</w:t>
      </w:r>
      <w:r w:rsidR="007815F0" w:rsidRPr="00453A63">
        <w:rPr>
          <w:rFonts w:ascii="Arial" w:hAnsi="Arial" w:cs="Arial"/>
          <w:sz w:val="28"/>
          <w:szCs w:val="28"/>
        </w:rPr>
        <w:t xml:space="preserve"> falleció el 26 de octubre de 2011, según registro civil de defunción aportado a folio 43, ii) que el demandante contrajo matrimonio católico con aquella el 8 de marzo de 1997, tal como se acreditó con el registro civil de matrimonios obrante en el</w:t>
      </w:r>
      <w:r w:rsidR="00656E92" w:rsidRPr="00453A63">
        <w:rPr>
          <w:rFonts w:ascii="Arial" w:hAnsi="Arial" w:cs="Arial"/>
          <w:sz w:val="28"/>
          <w:szCs w:val="28"/>
        </w:rPr>
        <w:t xml:space="preserve"> </w:t>
      </w:r>
      <w:r w:rsidR="007815F0" w:rsidRPr="00453A63">
        <w:rPr>
          <w:rFonts w:ascii="Arial" w:hAnsi="Arial" w:cs="Arial"/>
          <w:sz w:val="28"/>
          <w:szCs w:val="28"/>
        </w:rPr>
        <w:t>folio 42; iii) que él reclamó ante el I.S.S. la pensión de sobrevivientes, misma que le fue denegada mediante la R</w:t>
      </w:r>
      <w:r w:rsidR="00DA0032" w:rsidRPr="00453A63">
        <w:rPr>
          <w:rFonts w:ascii="Arial" w:hAnsi="Arial" w:cs="Arial"/>
          <w:sz w:val="28"/>
          <w:szCs w:val="28"/>
        </w:rPr>
        <w:t xml:space="preserve">esolución </w:t>
      </w:r>
      <w:r w:rsidR="00CC67EC" w:rsidRPr="00453A63">
        <w:rPr>
          <w:rFonts w:ascii="Arial" w:hAnsi="Arial" w:cs="Arial"/>
          <w:sz w:val="28"/>
          <w:szCs w:val="28"/>
        </w:rPr>
        <w:t>GNR</w:t>
      </w:r>
      <w:r w:rsidR="0057588A" w:rsidRPr="00453A63">
        <w:rPr>
          <w:rFonts w:ascii="Arial" w:hAnsi="Arial" w:cs="Arial"/>
          <w:sz w:val="28"/>
          <w:szCs w:val="28"/>
        </w:rPr>
        <w:t>223782</w:t>
      </w:r>
      <w:r w:rsidR="00DA0032" w:rsidRPr="00453A63">
        <w:rPr>
          <w:rFonts w:ascii="Arial" w:hAnsi="Arial" w:cs="Arial"/>
          <w:sz w:val="28"/>
          <w:szCs w:val="28"/>
        </w:rPr>
        <w:t xml:space="preserve"> de</w:t>
      </w:r>
      <w:r w:rsidR="0057588A" w:rsidRPr="00453A63">
        <w:rPr>
          <w:rFonts w:ascii="Arial" w:hAnsi="Arial" w:cs="Arial"/>
          <w:sz w:val="28"/>
          <w:szCs w:val="28"/>
        </w:rPr>
        <w:t>l</w:t>
      </w:r>
      <w:r w:rsidR="00DA0032" w:rsidRPr="00453A63">
        <w:rPr>
          <w:rFonts w:ascii="Arial" w:hAnsi="Arial" w:cs="Arial"/>
          <w:sz w:val="28"/>
          <w:szCs w:val="28"/>
        </w:rPr>
        <w:t xml:space="preserve"> </w:t>
      </w:r>
      <w:r w:rsidR="0057588A" w:rsidRPr="00453A63">
        <w:rPr>
          <w:rFonts w:ascii="Arial" w:hAnsi="Arial" w:cs="Arial"/>
          <w:sz w:val="28"/>
          <w:szCs w:val="28"/>
        </w:rPr>
        <w:t>11</w:t>
      </w:r>
      <w:r w:rsidR="00DA0032" w:rsidRPr="00453A63">
        <w:rPr>
          <w:rFonts w:ascii="Arial" w:hAnsi="Arial" w:cs="Arial"/>
          <w:sz w:val="28"/>
          <w:szCs w:val="28"/>
        </w:rPr>
        <w:t xml:space="preserve"> de junio de 201</w:t>
      </w:r>
      <w:r w:rsidR="0057588A" w:rsidRPr="00453A63">
        <w:rPr>
          <w:rFonts w:ascii="Arial" w:hAnsi="Arial" w:cs="Arial"/>
          <w:sz w:val="28"/>
          <w:szCs w:val="28"/>
        </w:rPr>
        <w:t>4</w:t>
      </w:r>
      <w:r w:rsidR="00745174" w:rsidRPr="00453A63">
        <w:rPr>
          <w:rFonts w:ascii="Arial" w:hAnsi="Arial" w:cs="Arial"/>
          <w:sz w:val="28"/>
          <w:szCs w:val="28"/>
        </w:rPr>
        <w:t xml:space="preserve">, </w:t>
      </w:r>
      <w:r w:rsidR="007815F0" w:rsidRPr="00453A63">
        <w:rPr>
          <w:rFonts w:ascii="Arial" w:hAnsi="Arial" w:cs="Arial"/>
          <w:sz w:val="28"/>
          <w:szCs w:val="28"/>
        </w:rPr>
        <w:t>expedida por l</w:t>
      </w:r>
      <w:r w:rsidR="00745174" w:rsidRPr="00453A63">
        <w:rPr>
          <w:rFonts w:ascii="Arial" w:hAnsi="Arial" w:cs="Arial"/>
          <w:sz w:val="28"/>
          <w:szCs w:val="28"/>
        </w:rPr>
        <w:t>a Gerenta</w:t>
      </w:r>
      <w:r w:rsidR="00DA0032" w:rsidRPr="00453A63">
        <w:rPr>
          <w:rFonts w:ascii="Arial" w:hAnsi="Arial" w:cs="Arial"/>
          <w:sz w:val="28"/>
          <w:szCs w:val="28"/>
        </w:rPr>
        <w:t xml:space="preserve"> Nacional de Reconocimiento de Colpensiones </w:t>
      </w:r>
      <w:r w:rsidR="007815F0" w:rsidRPr="00453A63">
        <w:rPr>
          <w:rFonts w:ascii="Arial" w:hAnsi="Arial" w:cs="Arial"/>
          <w:sz w:val="28"/>
          <w:szCs w:val="28"/>
        </w:rPr>
        <w:t>por cuanto</w:t>
      </w:r>
      <w:r w:rsidR="00DA0032" w:rsidRPr="00453A63">
        <w:rPr>
          <w:rFonts w:ascii="Arial" w:hAnsi="Arial" w:cs="Arial"/>
          <w:sz w:val="28"/>
          <w:szCs w:val="28"/>
        </w:rPr>
        <w:t xml:space="preserve"> no acreditó el requisito de las 50 semanas cotizadas dentro de los tres años anteriores a la fecha de</w:t>
      </w:r>
      <w:r w:rsidR="00745174" w:rsidRPr="00453A63">
        <w:rPr>
          <w:rFonts w:ascii="Arial" w:hAnsi="Arial" w:cs="Arial"/>
          <w:sz w:val="28"/>
          <w:szCs w:val="28"/>
        </w:rPr>
        <w:t>l fallecimiento el afiliado,</w:t>
      </w:r>
      <w:r w:rsidR="00DA0032" w:rsidRPr="00453A63">
        <w:rPr>
          <w:rFonts w:ascii="Arial" w:hAnsi="Arial" w:cs="Arial"/>
          <w:sz w:val="28"/>
          <w:szCs w:val="28"/>
        </w:rPr>
        <w:t xml:space="preserve"> como lo exige el artículo </w:t>
      </w:r>
      <w:r w:rsidR="00C876C1" w:rsidRPr="00453A63">
        <w:rPr>
          <w:rFonts w:ascii="Arial" w:hAnsi="Arial" w:cs="Arial"/>
          <w:sz w:val="28"/>
          <w:szCs w:val="28"/>
        </w:rPr>
        <w:t>12º de la L</w:t>
      </w:r>
      <w:r w:rsidR="00DA0032" w:rsidRPr="00453A63">
        <w:rPr>
          <w:rFonts w:ascii="Arial" w:hAnsi="Arial" w:cs="Arial"/>
          <w:sz w:val="28"/>
          <w:szCs w:val="28"/>
        </w:rPr>
        <w:t xml:space="preserve">ey </w:t>
      </w:r>
      <w:r w:rsidR="00C876C1" w:rsidRPr="00453A63">
        <w:rPr>
          <w:rFonts w:ascii="Arial" w:hAnsi="Arial" w:cs="Arial"/>
          <w:sz w:val="28"/>
          <w:szCs w:val="28"/>
        </w:rPr>
        <w:t>797</w:t>
      </w:r>
      <w:r w:rsidR="00DA0032" w:rsidRPr="00453A63">
        <w:rPr>
          <w:rFonts w:ascii="Arial" w:hAnsi="Arial" w:cs="Arial"/>
          <w:sz w:val="28"/>
          <w:szCs w:val="28"/>
        </w:rPr>
        <w:t xml:space="preserve"> de 2003</w:t>
      </w:r>
      <w:r w:rsidR="00C876C1" w:rsidRPr="00453A63">
        <w:rPr>
          <w:rFonts w:ascii="Arial" w:hAnsi="Arial" w:cs="Arial"/>
          <w:sz w:val="28"/>
          <w:szCs w:val="28"/>
        </w:rPr>
        <w:t>, que modificó el artículo 46 de la Ley 100 de 1993</w:t>
      </w:r>
      <w:r w:rsidR="00DA0032" w:rsidRPr="00453A63">
        <w:rPr>
          <w:rFonts w:ascii="Arial" w:hAnsi="Arial" w:cs="Arial"/>
          <w:sz w:val="28"/>
          <w:szCs w:val="28"/>
        </w:rPr>
        <w:t xml:space="preserve">. </w:t>
      </w:r>
      <w:r w:rsidR="00C876C1" w:rsidRPr="00453A63">
        <w:rPr>
          <w:rFonts w:ascii="Arial" w:hAnsi="Arial" w:cs="Arial"/>
          <w:sz w:val="28"/>
          <w:szCs w:val="28"/>
        </w:rPr>
        <w:t xml:space="preserve"> </w:t>
      </w:r>
    </w:p>
    <w:p w:rsidR="00DA1469" w:rsidRPr="00453A63" w:rsidRDefault="00DA1469" w:rsidP="00DA1469">
      <w:pPr>
        <w:spacing w:line="360" w:lineRule="auto"/>
        <w:ind w:firstLine="2835"/>
        <w:jc w:val="both"/>
        <w:rPr>
          <w:rFonts w:ascii="Arial" w:eastAsia="Times New Roman" w:hAnsi="Arial" w:cs="Arial"/>
          <w:sz w:val="28"/>
          <w:szCs w:val="28"/>
          <w:lang w:val="es-CO"/>
        </w:rPr>
      </w:pPr>
    </w:p>
    <w:p w:rsidR="00C81143" w:rsidRDefault="00656E92" w:rsidP="00DA1469">
      <w:pPr>
        <w:spacing w:line="360" w:lineRule="auto"/>
        <w:ind w:firstLine="2835"/>
        <w:jc w:val="both"/>
        <w:rPr>
          <w:rFonts w:ascii="Arial" w:hAnsi="Arial" w:cs="Arial"/>
          <w:sz w:val="28"/>
          <w:szCs w:val="28"/>
        </w:rPr>
      </w:pPr>
      <w:r w:rsidRPr="00453A63">
        <w:rPr>
          <w:rFonts w:ascii="Arial" w:hAnsi="Arial" w:cs="Arial"/>
          <w:sz w:val="28"/>
          <w:szCs w:val="28"/>
        </w:rPr>
        <w:t>Además en aquel acto administrativo se dijo r</w:t>
      </w:r>
      <w:r w:rsidR="00DA0032" w:rsidRPr="00453A63">
        <w:rPr>
          <w:rFonts w:ascii="Arial" w:hAnsi="Arial" w:cs="Arial"/>
          <w:sz w:val="28"/>
          <w:szCs w:val="28"/>
        </w:rPr>
        <w:t xml:space="preserve">especto a la condición más beneficiosa que </w:t>
      </w:r>
      <w:r w:rsidR="00C876C1" w:rsidRPr="00453A63">
        <w:rPr>
          <w:rFonts w:ascii="Arial" w:hAnsi="Arial" w:cs="Arial"/>
          <w:sz w:val="28"/>
          <w:szCs w:val="28"/>
        </w:rPr>
        <w:t>en virtud de la circular interna 01</w:t>
      </w:r>
      <w:r w:rsidR="00DA0032" w:rsidRPr="00453A63">
        <w:rPr>
          <w:rFonts w:ascii="Arial" w:hAnsi="Arial" w:cs="Arial"/>
          <w:sz w:val="28"/>
          <w:szCs w:val="28"/>
        </w:rPr>
        <w:t xml:space="preserve">, </w:t>
      </w:r>
      <w:r w:rsidRPr="00453A63">
        <w:rPr>
          <w:rFonts w:ascii="Arial" w:hAnsi="Arial" w:cs="Arial"/>
          <w:sz w:val="28"/>
          <w:szCs w:val="28"/>
        </w:rPr>
        <w:t xml:space="preserve">solo </w:t>
      </w:r>
      <w:r w:rsidR="00C876C1" w:rsidRPr="00453A63">
        <w:rPr>
          <w:rFonts w:ascii="Arial" w:hAnsi="Arial" w:cs="Arial"/>
          <w:sz w:val="28"/>
          <w:szCs w:val="28"/>
        </w:rPr>
        <w:t xml:space="preserve">se dará aplicación a dicho principio </w:t>
      </w:r>
      <w:r w:rsidR="00C876C1" w:rsidRPr="00CB0021">
        <w:rPr>
          <w:rFonts w:ascii="Arial" w:hAnsi="Arial" w:cs="Arial"/>
          <w:i/>
          <w:sz w:val="24"/>
          <w:szCs w:val="24"/>
        </w:rPr>
        <w:t>“en aquellos casos en donde el hecho generador de la pensión se cause entre la entrada en vigencia de la ley 793 de 2003 (29 enero de 2003), y que no reúnan el requisito de semanas requeridas señaladas en estos últimos</w:t>
      </w:r>
      <w:r w:rsidR="00227C9A" w:rsidRPr="00CB0021">
        <w:rPr>
          <w:rFonts w:ascii="Arial" w:hAnsi="Arial" w:cs="Arial"/>
          <w:i/>
          <w:sz w:val="24"/>
          <w:szCs w:val="24"/>
        </w:rPr>
        <w:t xml:space="preserve">, siendo entonces pertinente estudiar la prestación </w:t>
      </w:r>
      <w:r w:rsidR="00C876C1" w:rsidRPr="00CB0021">
        <w:rPr>
          <w:rFonts w:ascii="Arial" w:hAnsi="Arial" w:cs="Arial"/>
          <w:i/>
          <w:sz w:val="24"/>
          <w:szCs w:val="24"/>
        </w:rPr>
        <w:t>bajo el decreto 758 de 1990</w:t>
      </w:r>
      <w:r w:rsidR="00227C9A" w:rsidRPr="00CB0021">
        <w:rPr>
          <w:rFonts w:ascii="Arial" w:hAnsi="Arial" w:cs="Arial"/>
          <w:i/>
          <w:sz w:val="24"/>
          <w:szCs w:val="24"/>
        </w:rPr>
        <w:t>”</w:t>
      </w:r>
      <w:r w:rsidR="00C81143" w:rsidRPr="00CB0021">
        <w:rPr>
          <w:rFonts w:ascii="Arial" w:hAnsi="Arial" w:cs="Arial"/>
          <w:sz w:val="24"/>
          <w:szCs w:val="24"/>
        </w:rPr>
        <w:t>,</w:t>
      </w:r>
      <w:r w:rsidR="00C81143" w:rsidRPr="00453A63">
        <w:rPr>
          <w:rFonts w:ascii="Arial" w:hAnsi="Arial" w:cs="Arial"/>
          <w:sz w:val="28"/>
          <w:szCs w:val="28"/>
        </w:rPr>
        <w:t xml:space="preserve"> que en el caso de las pensiones causadas con posterioridad a la entrada en vigencia de las leyes 797 y 860 de 2003, se debe reconocer la prestación  de invalidez y sobrevivientes aplicando la norma vigente a la fecha de la estructuración o fallecimiento del afiliado.  Dice, ello en razón a que las citadas normas tienen requisitos menos restrictivos que los contemplados en la Ley 100 de 1993, por tanto no es posible acudir al principio de progresividad.  Concluye entonces, que de acuerdo al reporte de semanas, la señora Márquez López Ana María, cotizó durante toda su vida laboral un total de 1.033.25 semanas, de las cuales 0 semanas fueron aportadas dentro de los tres últimos años anteriores a su fallecimiento, requisito indispensable para acceder a la pensión de sobreviviente dispuesto en el artículo 12 de la Ley 797 de 2003. </w:t>
      </w:r>
      <w:r w:rsidR="007815F0" w:rsidRPr="00453A63">
        <w:rPr>
          <w:rFonts w:ascii="Arial" w:hAnsi="Arial" w:cs="Arial"/>
          <w:sz w:val="28"/>
          <w:szCs w:val="28"/>
        </w:rPr>
        <w:t xml:space="preserve"> </w:t>
      </w:r>
    </w:p>
    <w:p w:rsidR="00CB0021" w:rsidRPr="00453A63" w:rsidRDefault="00CB0021" w:rsidP="00DA1469">
      <w:pPr>
        <w:spacing w:line="360" w:lineRule="auto"/>
        <w:ind w:firstLine="2835"/>
        <w:jc w:val="both"/>
        <w:rPr>
          <w:rFonts w:ascii="Arial" w:eastAsia="Times New Roman" w:hAnsi="Arial" w:cs="Arial"/>
          <w:sz w:val="28"/>
          <w:szCs w:val="28"/>
          <w:lang w:val="es-CO"/>
        </w:rPr>
      </w:pPr>
    </w:p>
    <w:p w:rsidR="00BD6A82" w:rsidRPr="00453A63" w:rsidRDefault="00BD6A82" w:rsidP="00DA0032">
      <w:pPr>
        <w:pStyle w:val="Sinespaciado1"/>
        <w:spacing w:line="360" w:lineRule="auto"/>
        <w:ind w:firstLine="2835"/>
        <w:jc w:val="both"/>
        <w:rPr>
          <w:rFonts w:ascii="Arial" w:hAnsi="Arial" w:cs="Arial"/>
          <w:sz w:val="28"/>
          <w:szCs w:val="28"/>
        </w:rPr>
      </w:pPr>
      <w:r w:rsidRPr="00453A63">
        <w:rPr>
          <w:rFonts w:ascii="Arial" w:hAnsi="Arial" w:cs="Arial"/>
          <w:sz w:val="28"/>
          <w:szCs w:val="28"/>
        </w:rPr>
        <w:t>Argumento reiterado en acto administrativo VPV54931 del 31 de julio de 2015, por medio del cual la Vicepresidencia de Beneficios y Prestaciones de Colpensiones resolvió el recurso de apelación, incoado contra la decisión del 17 de junio de 2014.</w:t>
      </w:r>
    </w:p>
    <w:p w:rsidR="00DA0032" w:rsidRPr="00453A63" w:rsidRDefault="00DA0032" w:rsidP="00DA0032">
      <w:pPr>
        <w:pStyle w:val="Sinespaciado1"/>
        <w:spacing w:line="360" w:lineRule="auto"/>
        <w:ind w:firstLine="2835"/>
        <w:jc w:val="both"/>
        <w:rPr>
          <w:rFonts w:ascii="Arial" w:hAnsi="Arial" w:cs="Arial"/>
          <w:sz w:val="28"/>
          <w:szCs w:val="28"/>
        </w:rPr>
      </w:pPr>
    </w:p>
    <w:p w:rsidR="002D3B50" w:rsidRPr="00453A63" w:rsidRDefault="00DA0032" w:rsidP="002D3B50">
      <w:pPr>
        <w:pStyle w:val="Sinespaciado1"/>
        <w:spacing w:line="360" w:lineRule="auto"/>
        <w:ind w:firstLine="2835"/>
        <w:jc w:val="both"/>
        <w:rPr>
          <w:rFonts w:ascii="Arial" w:hAnsi="Arial" w:cs="Arial"/>
          <w:sz w:val="28"/>
          <w:szCs w:val="28"/>
        </w:rPr>
      </w:pPr>
      <w:r w:rsidRPr="00453A63">
        <w:rPr>
          <w:rFonts w:ascii="Arial" w:hAnsi="Arial" w:cs="Arial"/>
          <w:sz w:val="28"/>
          <w:szCs w:val="28"/>
        </w:rPr>
        <w:t>5.</w:t>
      </w:r>
      <w:r w:rsidR="007162B5" w:rsidRPr="00453A63">
        <w:rPr>
          <w:rFonts w:ascii="Arial" w:hAnsi="Arial" w:cs="Arial"/>
          <w:sz w:val="28"/>
          <w:szCs w:val="28"/>
        </w:rPr>
        <w:t xml:space="preserve"> </w:t>
      </w:r>
      <w:r w:rsidR="002D3B50" w:rsidRPr="00453A63">
        <w:rPr>
          <w:rFonts w:ascii="Arial" w:hAnsi="Arial" w:cs="Arial"/>
          <w:sz w:val="28"/>
          <w:szCs w:val="28"/>
        </w:rPr>
        <w:t>En efecto, la entidad demandada negó la prestación porque se incumplía el número de semanas establecidas en la ley 797 de 2003 y porque no se puede acudir a la condición más beneficiosa, para aplicar normas anteriores, pues no se colman los parámetros definidos en la circular interna 01.</w:t>
      </w:r>
    </w:p>
    <w:p w:rsidR="002D3B50" w:rsidRPr="00453A63" w:rsidRDefault="002D3B50" w:rsidP="009E1E21">
      <w:pPr>
        <w:pStyle w:val="Sinespaciado1"/>
        <w:spacing w:line="360" w:lineRule="auto"/>
        <w:ind w:firstLine="2835"/>
        <w:jc w:val="both"/>
        <w:rPr>
          <w:rFonts w:ascii="Arial" w:hAnsi="Arial" w:cs="Arial"/>
          <w:sz w:val="28"/>
          <w:szCs w:val="28"/>
        </w:rPr>
      </w:pPr>
    </w:p>
    <w:p w:rsidR="009E1E21" w:rsidRPr="00453A63" w:rsidRDefault="007815F0" w:rsidP="009E1E21">
      <w:pPr>
        <w:pStyle w:val="Sinespaciado1"/>
        <w:spacing w:line="360" w:lineRule="auto"/>
        <w:ind w:firstLine="2835"/>
        <w:jc w:val="both"/>
        <w:rPr>
          <w:rFonts w:ascii="Arial" w:hAnsi="Arial" w:cs="Arial"/>
          <w:sz w:val="28"/>
          <w:szCs w:val="28"/>
        </w:rPr>
      </w:pPr>
      <w:r w:rsidRPr="00453A63">
        <w:rPr>
          <w:rFonts w:ascii="Arial" w:hAnsi="Arial" w:cs="Arial"/>
          <w:sz w:val="28"/>
          <w:szCs w:val="28"/>
        </w:rPr>
        <w:t xml:space="preserve">6. </w:t>
      </w:r>
      <w:r w:rsidR="00DA0032" w:rsidRPr="00453A63">
        <w:rPr>
          <w:rFonts w:ascii="Arial" w:hAnsi="Arial" w:cs="Arial"/>
          <w:sz w:val="28"/>
          <w:szCs w:val="28"/>
        </w:rPr>
        <w:t xml:space="preserve">Según </w:t>
      </w:r>
      <w:r w:rsidR="009E1E21" w:rsidRPr="00453A63">
        <w:rPr>
          <w:rFonts w:ascii="Arial" w:hAnsi="Arial" w:cs="Arial"/>
          <w:sz w:val="28"/>
          <w:szCs w:val="28"/>
        </w:rPr>
        <w:t>el artículo 46</w:t>
      </w:r>
      <w:r w:rsidR="00DA0032" w:rsidRPr="00453A63">
        <w:rPr>
          <w:rFonts w:ascii="Arial" w:hAnsi="Arial" w:cs="Arial"/>
          <w:sz w:val="28"/>
          <w:szCs w:val="28"/>
        </w:rPr>
        <w:t xml:space="preserve"> de la ley 100 de 1993, modificado por el </w:t>
      </w:r>
      <w:r w:rsidR="009E1E21" w:rsidRPr="00453A63">
        <w:rPr>
          <w:rFonts w:ascii="Arial" w:hAnsi="Arial" w:cs="Arial"/>
          <w:sz w:val="28"/>
          <w:szCs w:val="28"/>
        </w:rPr>
        <w:t>12 de la L</w:t>
      </w:r>
      <w:r w:rsidR="00DA0032" w:rsidRPr="00453A63">
        <w:rPr>
          <w:rFonts w:ascii="Arial" w:hAnsi="Arial" w:cs="Arial"/>
          <w:sz w:val="28"/>
          <w:szCs w:val="28"/>
        </w:rPr>
        <w:t xml:space="preserve">ey </w:t>
      </w:r>
      <w:r w:rsidR="009E1E21" w:rsidRPr="00453A63">
        <w:rPr>
          <w:rFonts w:ascii="Arial" w:hAnsi="Arial" w:cs="Arial"/>
          <w:sz w:val="28"/>
          <w:szCs w:val="28"/>
        </w:rPr>
        <w:t xml:space="preserve">797 </w:t>
      </w:r>
      <w:r w:rsidR="00DA0032" w:rsidRPr="00453A63">
        <w:rPr>
          <w:rFonts w:ascii="Arial" w:hAnsi="Arial" w:cs="Arial"/>
          <w:sz w:val="28"/>
          <w:szCs w:val="28"/>
        </w:rPr>
        <w:t xml:space="preserve">de 2003, tendrá derecho a la pensión de </w:t>
      </w:r>
      <w:r w:rsidR="009E1E21" w:rsidRPr="00453A63">
        <w:rPr>
          <w:rFonts w:ascii="Arial" w:hAnsi="Arial" w:cs="Arial"/>
          <w:sz w:val="28"/>
          <w:szCs w:val="28"/>
        </w:rPr>
        <w:t>sobrevivientes:</w:t>
      </w:r>
    </w:p>
    <w:p w:rsidR="009E1E21" w:rsidRPr="00453A63" w:rsidRDefault="009E1E21" w:rsidP="009E1E21">
      <w:pPr>
        <w:pStyle w:val="Sinespaciado1"/>
        <w:spacing w:line="360" w:lineRule="auto"/>
        <w:ind w:firstLine="2835"/>
        <w:jc w:val="both"/>
        <w:rPr>
          <w:rFonts w:ascii="Arial" w:hAnsi="Arial" w:cs="Arial"/>
          <w:sz w:val="28"/>
          <w:szCs w:val="28"/>
        </w:rPr>
      </w:pPr>
    </w:p>
    <w:p w:rsidR="009E1E21" w:rsidRPr="00CB0021" w:rsidRDefault="009E1E21" w:rsidP="009E1E21">
      <w:pPr>
        <w:pStyle w:val="Sinespaciado1"/>
        <w:ind w:left="567" w:right="618" w:firstLine="2268"/>
        <w:jc w:val="both"/>
        <w:rPr>
          <w:rFonts w:ascii="Arial" w:hAnsi="Arial" w:cs="Arial"/>
          <w:i/>
          <w:sz w:val="24"/>
          <w:szCs w:val="24"/>
        </w:rPr>
      </w:pPr>
      <w:r w:rsidRPr="00CB0021">
        <w:rPr>
          <w:rFonts w:ascii="Arial" w:hAnsi="Arial" w:cs="Arial"/>
          <w:i/>
          <w:sz w:val="24"/>
          <w:szCs w:val="24"/>
        </w:rPr>
        <w:t>“1. (…)</w:t>
      </w:r>
    </w:p>
    <w:p w:rsidR="009E1E21" w:rsidRDefault="009E1E21" w:rsidP="009E1E21">
      <w:pPr>
        <w:pStyle w:val="Sinespaciado1"/>
        <w:ind w:left="567" w:right="618" w:firstLine="2268"/>
        <w:jc w:val="both"/>
        <w:rPr>
          <w:rFonts w:ascii="Arial" w:hAnsi="Arial" w:cs="Arial"/>
          <w:i/>
          <w:sz w:val="24"/>
          <w:szCs w:val="24"/>
        </w:rPr>
      </w:pPr>
    </w:p>
    <w:p w:rsidR="00CB0021" w:rsidRPr="00CB0021" w:rsidRDefault="00CB0021" w:rsidP="009E1E21">
      <w:pPr>
        <w:pStyle w:val="Sinespaciado1"/>
        <w:ind w:left="567" w:right="618" w:firstLine="2268"/>
        <w:jc w:val="both"/>
        <w:rPr>
          <w:rFonts w:ascii="Arial" w:hAnsi="Arial" w:cs="Arial"/>
          <w:i/>
          <w:sz w:val="24"/>
          <w:szCs w:val="24"/>
        </w:rPr>
      </w:pPr>
    </w:p>
    <w:p w:rsidR="002D3B50" w:rsidRPr="00CB0021" w:rsidRDefault="002D3B50" w:rsidP="002D3B50">
      <w:pPr>
        <w:pStyle w:val="Sinespaciado1"/>
        <w:ind w:left="567" w:right="618" w:firstLine="2268"/>
        <w:jc w:val="both"/>
        <w:rPr>
          <w:rFonts w:ascii="Arial" w:hAnsi="Arial" w:cs="Arial"/>
          <w:i/>
          <w:sz w:val="24"/>
          <w:szCs w:val="24"/>
        </w:rPr>
      </w:pPr>
      <w:r w:rsidRPr="00CB0021">
        <w:rPr>
          <w:rFonts w:ascii="Arial" w:hAnsi="Arial" w:cs="Arial"/>
          <w:i/>
          <w:sz w:val="24"/>
          <w:szCs w:val="24"/>
        </w:rPr>
        <w:t>2. Los miembros del grupo familiar del afiliado al sistema que fallezca, siempre y cuando éste hubiere cotizado cincuenta semanas dentro de los tres últimos años inmediatamente anteriores al fallecimiento y se acrediten las siguientes condiciones:</w:t>
      </w:r>
    </w:p>
    <w:p w:rsidR="002D3B50" w:rsidRPr="00CB0021" w:rsidRDefault="002D3B50" w:rsidP="002D3B50">
      <w:pPr>
        <w:pStyle w:val="Sinespaciado1"/>
        <w:ind w:left="567" w:right="618" w:firstLine="2268"/>
        <w:jc w:val="both"/>
        <w:rPr>
          <w:rFonts w:ascii="Arial" w:hAnsi="Arial" w:cs="Arial"/>
          <w:i/>
          <w:sz w:val="24"/>
          <w:szCs w:val="24"/>
        </w:rPr>
      </w:pPr>
    </w:p>
    <w:p w:rsidR="002D3B50" w:rsidRPr="00CB0021" w:rsidRDefault="002D3B50" w:rsidP="002D3B50">
      <w:pPr>
        <w:pStyle w:val="Sinespaciado1"/>
        <w:ind w:left="567" w:right="618" w:firstLine="2268"/>
        <w:jc w:val="both"/>
        <w:rPr>
          <w:rFonts w:ascii="Arial" w:hAnsi="Arial" w:cs="Arial"/>
          <w:i/>
          <w:sz w:val="24"/>
          <w:szCs w:val="24"/>
        </w:rPr>
      </w:pPr>
      <w:r w:rsidRPr="00CB0021">
        <w:rPr>
          <w:rFonts w:ascii="Arial" w:hAnsi="Arial" w:cs="Arial"/>
          <w:i/>
          <w:sz w:val="24"/>
          <w:szCs w:val="24"/>
        </w:rPr>
        <w:t>a) Muerte causada por enfermedad: si es mayor de 20 años de edad, haya cotizado el veinticinco por ciento (25%) del tiempo transcurrido entre el momento en que cumplió veinte años de edad y la fecha del fallecimiento;</w:t>
      </w:r>
    </w:p>
    <w:p w:rsidR="002D3B50" w:rsidRPr="00CB0021" w:rsidRDefault="002D3B50" w:rsidP="002D3B50">
      <w:pPr>
        <w:pStyle w:val="Sinespaciado1"/>
        <w:ind w:left="567" w:right="618" w:firstLine="2268"/>
        <w:jc w:val="both"/>
        <w:rPr>
          <w:rFonts w:ascii="Arial" w:hAnsi="Arial" w:cs="Arial"/>
          <w:i/>
          <w:sz w:val="24"/>
          <w:szCs w:val="24"/>
        </w:rPr>
      </w:pPr>
    </w:p>
    <w:p w:rsidR="002D3B50" w:rsidRPr="00CB0021" w:rsidRDefault="002D3B50" w:rsidP="002D3B50">
      <w:pPr>
        <w:pStyle w:val="Sinespaciado1"/>
        <w:ind w:left="567" w:right="618" w:firstLine="2268"/>
        <w:jc w:val="both"/>
        <w:rPr>
          <w:rFonts w:ascii="Arial" w:hAnsi="Arial" w:cs="Arial"/>
          <w:i/>
          <w:sz w:val="24"/>
          <w:szCs w:val="24"/>
        </w:rPr>
      </w:pPr>
      <w:r w:rsidRPr="00CB0021">
        <w:rPr>
          <w:rFonts w:ascii="Arial" w:hAnsi="Arial" w:cs="Arial"/>
          <w:i/>
          <w:sz w:val="24"/>
          <w:szCs w:val="24"/>
        </w:rPr>
        <w:t>b) Muerte causada por accidente: si es mayor de 20 años de edad, haya cotizado el veinte por ciento (20%) del tiempo transcurrido entre el momento en que cumplió veinte años de edad y la fecha del fallecimiento.</w:t>
      </w:r>
    </w:p>
    <w:p w:rsidR="00CB0021" w:rsidRDefault="00CB0021" w:rsidP="00612FE6">
      <w:pPr>
        <w:pStyle w:val="Sinespaciado1"/>
        <w:spacing w:line="360" w:lineRule="auto"/>
        <w:ind w:firstLine="2835"/>
        <w:jc w:val="both"/>
        <w:rPr>
          <w:rFonts w:ascii="Arial" w:hAnsi="Arial" w:cs="Arial"/>
          <w:sz w:val="28"/>
          <w:szCs w:val="28"/>
        </w:rPr>
      </w:pPr>
    </w:p>
    <w:p w:rsidR="00612FE6" w:rsidRPr="00CB0021" w:rsidRDefault="009E1E21" w:rsidP="00612FE6">
      <w:pPr>
        <w:pStyle w:val="Sinespaciado1"/>
        <w:spacing w:line="360" w:lineRule="auto"/>
        <w:ind w:firstLine="2835"/>
        <w:jc w:val="both"/>
        <w:rPr>
          <w:rFonts w:ascii="Arial" w:hAnsi="Arial" w:cs="Arial"/>
          <w:i/>
          <w:spacing w:val="-5"/>
          <w:sz w:val="24"/>
          <w:szCs w:val="24"/>
        </w:rPr>
      </w:pPr>
      <w:r w:rsidRPr="00453A63">
        <w:rPr>
          <w:rFonts w:ascii="Arial" w:hAnsi="Arial" w:cs="Arial"/>
          <w:sz w:val="28"/>
          <w:szCs w:val="28"/>
        </w:rPr>
        <w:t>7.</w:t>
      </w:r>
      <w:r w:rsidR="007815F0" w:rsidRPr="00453A63">
        <w:rPr>
          <w:rFonts w:ascii="Arial" w:hAnsi="Arial" w:cs="Arial"/>
          <w:sz w:val="28"/>
          <w:szCs w:val="28"/>
        </w:rPr>
        <w:t xml:space="preserve"> </w:t>
      </w:r>
      <w:r w:rsidR="007162B5" w:rsidRPr="00453A63">
        <w:rPr>
          <w:rFonts w:ascii="Arial" w:hAnsi="Arial" w:cs="Arial"/>
          <w:spacing w:val="-5"/>
          <w:sz w:val="28"/>
          <w:szCs w:val="28"/>
        </w:rPr>
        <w:t xml:space="preserve">Los precedentes normativos de la disposición </w:t>
      </w:r>
      <w:r w:rsidR="00DA1469" w:rsidRPr="00453A63">
        <w:rPr>
          <w:rFonts w:ascii="Arial" w:hAnsi="Arial" w:cs="Arial"/>
          <w:spacing w:val="-5"/>
          <w:sz w:val="28"/>
          <w:szCs w:val="28"/>
        </w:rPr>
        <w:t xml:space="preserve">citada y </w:t>
      </w:r>
      <w:r w:rsidR="007162B5" w:rsidRPr="00453A63">
        <w:rPr>
          <w:rFonts w:ascii="Arial" w:hAnsi="Arial" w:cs="Arial"/>
          <w:spacing w:val="-5"/>
          <w:sz w:val="28"/>
          <w:szCs w:val="28"/>
        </w:rPr>
        <w:t xml:space="preserve">que actualmente rige en materia de requisitos para la pensión de </w:t>
      </w:r>
      <w:r w:rsidRPr="00453A63">
        <w:rPr>
          <w:rFonts w:ascii="Arial" w:hAnsi="Arial" w:cs="Arial"/>
          <w:spacing w:val="-5"/>
          <w:sz w:val="28"/>
          <w:szCs w:val="28"/>
        </w:rPr>
        <w:t>sobrevivientes</w:t>
      </w:r>
      <w:r w:rsidR="007162B5" w:rsidRPr="00453A63">
        <w:rPr>
          <w:rFonts w:ascii="Arial" w:hAnsi="Arial" w:cs="Arial"/>
          <w:spacing w:val="-5"/>
          <w:sz w:val="28"/>
          <w:szCs w:val="28"/>
        </w:rPr>
        <w:t xml:space="preserve">, son el decreto 758 de 1990, aprobatorio del acuerdo número 049 de ese mismo año, que exigía </w:t>
      </w:r>
      <w:r w:rsidR="002D3B50" w:rsidRPr="00453A63">
        <w:rPr>
          <w:rFonts w:ascii="Arial" w:hAnsi="Arial" w:cs="Arial"/>
          <w:spacing w:val="-5"/>
          <w:sz w:val="28"/>
          <w:szCs w:val="28"/>
        </w:rPr>
        <w:t>150 semanas de cotización realizadas en los 6 años anteriores a la muerte o 300 en cualquier tiempo.</w:t>
      </w:r>
      <w:r w:rsidR="007162B5" w:rsidRPr="00453A63">
        <w:rPr>
          <w:rFonts w:ascii="Arial" w:hAnsi="Arial" w:cs="Arial"/>
          <w:spacing w:val="-5"/>
          <w:sz w:val="28"/>
          <w:szCs w:val="28"/>
        </w:rPr>
        <w:t xml:space="preserve"> También el artículo </w:t>
      </w:r>
      <w:r w:rsidR="007815F0" w:rsidRPr="00453A63">
        <w:rPr>
          <w:rFonts w:ascii="Arial" w:hAnsi="Arial" w:cs="Arial"/>
          <w:spacing w:val="-5"/>
          <w:sz w:val="28"/>
          <w:szCs w:val="28"/>
        </w:rPr>
        <w:t>46 de la L</w:t>
      </w:r>
      <w:r w:rsidR="007162B5" w:rsidRPr="00453A63">
        <w:rPr>
          <w:rFonts w:ascii="Arial" w:hAnsi="Arial" w:cs="Arial"/>
          <w:spacing w:val="-5"/>
          <w:sz w:val="28"/>
          <w:szCs w:val="28"/>
        </w:rPr>
        <w:t xml:space="preserve">ey 100 de 1993 que en su versión original prescribía </w:t>
      </w:r>
      <w:r w:rsidR="007815F0" w:rsidRPr="00CB0021">
        <w:rPr>
          <w:rFonts w:ascii="Arial" w:hAnsi="Arial" w:cs="Arial"/>
          <w:i/>
          <w:spacing w:val="-5"/>
          <w:sz w:val="24"/>
          <w:szCs w:val="24"/>
        </w:rPr>
        <w:t>“ a) Que el afiliado se encuentre cotizando al sistema y hubiere cotizado por lo menos veintiséis (26) semanas al momento de la muerte, y b) Que habiendo dejado de cotizar al sistema, hubiere efectuado aportes durante por lo menos veintiséis (26) semanas del año inmediatamente anterior al momento en que se produzca la muerte.”</w:t>
      </w:r>
    </w:p>
    <w:p w:rsidR="00DA1469" w:rsidRPr="00CB0021" w:rsidRDefault="00DA1469" w:rsidP="00612FE6">
      <w:pPr>
        <w:pStyle w:val="Sinespaciado1"/>
        <w:spacing w:line="360" w:lineRule="auto"/>
        <w:ind w:firstLine="2835"/>
        <w:jc w:val="both"/>
        <w:rPr>
          <w:rFonts w:ascii="Arial" w:hAnsi="Arial" w:cs="Arial"/>
          <w:i/>
          <w:spacing w:val="-5"/>
          <w:sz w:val="24"/>
          <w:szCs w:val="24"/>
        </w:rPr>
      </w:pPr>
    </w:p>
    <w:p w:rsidR="00612FE6" w:rsidRPr="00453A63" w:rsidRDefault="006E168D" w:rsidP="00612FE6">
      <w:pPr>
        <w:pStyle w:val="Sinespaciado1"/>
        <w:spacing w:line="360" w:lineRule="auto"/>
        <w:ind w:firstLine="2835"/>
        <w:jc w:val="both"/>
        <w:rPr>
          <w:rFonts w:ascii="Arial" w:hAnsi="Arial" w:cs="Arial"/>
          <w:spacing w:val="-5"/>
          <w:sz w:val="28"/>
          <w:szCs w:val="28"/>
        </w:rPr>
      </w:pPr>
      <w:r w:rsidRPr="00453A63">
        <w:rPr>
          <w:rFonts w:ascii="Arial" w:hAnsi="Arial" w:cs="Arial"/>
          <w:spacing w:val="-5"/>
          <w:sz w:val="28"/>
          <w:szCs w:val="28"/>
        </w:rPr>
        <w:t xml:space="preserve">8. </w:t>
      </w:r>
      <w:r w:rsidR="007162B5" w:rsidRPr="00453A63">
        <w:rPr>
          <w:rFonts w:ascii="Arial" w:hAnsi="Arial" w:cs="Arial"/>
          <w:spacing w:val="-5"/>
          <w:sz w:val="28"/>
          <w:szCs w:val="28"/>
        </w:rPr>
        <w:t>Para saber si el actor tiene derecho a esa prestación, con fundamento en la primera de tales normas, tal como lo pretende, hay que establecer si supera el test fijado por la jurisprudencia constitucional.</w:t>
      </w:r>
    </w:p>
    <w:p w:rsidR="00612FE6" w:rsidRPr="00453A63" w:rsidRDefault="00612FE6" w:rsidP="00612FE6">
      <w:pPr>
        <w:pStyle w:val="Sinespaciado1"/>
        <w:spacing w:line="360" w:lineRule="auto"/>
        <w:ind w:firstLine="2835"/>
        <w:jc w:val="both"/>
        <w:rPr>
          <w:rFonts w:ascii="Arial" w:hAnsi="Arial" w:cs="Arial"/>
          <w:spacing w:val="-5"/>
          <w:sz w:val="28"/>
          <w:szCs w:val="28"/>
        </w:rPr>
      </w:pPr>
    </w:p>
    <w:p w:rsidR="001D3D36" w:rsidRDefault="002878EB" w:rsidP="001D3D36">
      <w:pPr>
        <w:pStyle w:val="Sinespaciado1"/>
        <w:spacing w:line="360" w:lineRule="auto"/>
        <w:ind w:firstLine="2835"/>
        <w:jc w:val="both"/>
        <w:rPr>
          <w:rFonts w:ascii="Arial" w:hAnsi="Arial" w:cs="Arial"/>
          <w:spacing w:val="-5"/>
          <w:sz w:val="28"/>
          <w:szCs w:val="28"/>
        </w:rPr>
      </w:pPr>
      <w:r w:rsidRPr="00453A63">
        <w:rPr>
          <w:rFonts w:ascii="Arial" w:hAnsi="Arial" w:cs="Arial"/>
          <w:spacing w:val="-5"/>
          <w:sz w:val="28"/>
          <w:szCs w:val="28"/>
        </w:rPr>
        <w:t xml:space="preserve">9. </w:t>
      </w:r>
      <w:r w:rsidR="007162B5" w:rsidRPr="00453A63">
        <w:rPr>
          <w:rFonts w:ascii="Arial" w:hAnsi="Arial" w:cs="Arial"/>
          <w:spacing w:val="-5"/>
          <w:sz w:val="28"/>
          <w:szCs w:val="28"/>
        </w:rPr>
        <w:t xml:space="preserve">De las pruebas incorporadas surge evidente, </w:t>
      </w:r>
      <w:r w:rsidR="00612FE6" w:rsidRPr="00453A63">
        <w:rPr>
          <w:rFonts w:ascii="Arial" w:hAnsi="Arial" w:cs="Arial"/>
          <w:spacing w:val="-5"/>
          <w:sz w:val="28"/>
          <w:szCs w:val="28"/>
        </w:rPr>
        <w:t xml:space="preserve">que </w:t>
      </w:r>
      <w:r w:rsidR="007162B5" w:rsidRPr="00453A63">
        <w:rPr>
          <w:rFonts w:ascii="Arial" w:hAnsi="Arial" w:cs="Arial"/>
          <w:spacing w:val="-5"/>
          <w:sz w:val="28"/>
          <w:szCs w:val="28"/>
        </w:rPr>
        <w:t>el actor</w:t>
      </w:r>
      <w:r w:rsidR="00283B41" w:rsidRPr="00453A63">
        <w:rPr>
          <w:rFonts w:ascii="Arial" w:hAnsi="Arial" w:cs="Arial"/>
          <w:spacing w:val="-5"/>
          <w:sz w:val="28"/>
          <w:szCs w:val="28"/>
        </w:rPr>
        <w:t xml:space="preserve"> </w:t>
      </w:r>
      <w:r w:rsidR="007162B5" w:rsidRPr="00453A63">
        <w:rPr>
          <w:rFonts w:ascii="Arial" w:hAnsi="Arial" w:cs="Arial"/>
          <w:spacing w:val="-5"/>
          <w:sz w:val="28"/>
          <w:szCs w:val="28"/>
        </w:rPr>
        <w:t xml:space="preserve">cumple con el requisito de densidad establecido en ese decreto, toda vez que según </w:t>
      </w:r>
      <w:r w:rsidR="00C55FE3" w:rsidRPr="00453A63">
        <w:rPr>
          <w:rFonts w:ascii="Arial" w:hAnsi="Arial" w:cs="Arial"/>
          <w:spacing w:val="-5"/>
          <w:sz w:val="28"/>
          <w:szCs w:val="28"/>
        </w:rPr>
        <w:t>lo reconoce la misma administradora de pensiones</w:t>
      </w:r>
      <w:r w:rsidR="007162B5" w:rsidRPr="00453A63">
        <w:rPr>
          <w:rStyle w:val="Refdenotaalpie"/>
          <w:rFonts w:ascii="Arial" w:hAnsi="Arial" w:cs="Arial"/>
          <w:spacing w:val="-5"/>
          <w:sz w:val="28"/>
          <w:szCs w:val="28"/>
        </w:rPr>
        <w:footnoteReference w:id="8"/>
      </w:r>
      <w:r w:rsidR="007162B5" w:rsidRPr="00453A63">
        <w:rPr>
          <w:rFonts w:ascii="Arial" w:hAnsi="Arial" w:cs="Arial"/>
          <w:spacing w:val="-5"/>
          <w:sz w:val="28"/>
          <w:szCs w:val="28"/>
        </w:rPr>
        <w:t xml:space="preserve">, aportó un total de </w:t>
      </w:r>
      <w:r w:rsidR="00C55FE3" w:rsidRPr="00453A63">
        <w:rPr>
          <w:rFonts w:ascii="Arial" w:hAnsi="Arial" w:cs="Arial"/>
          <w:spacing w:val="-5"/>
          <w:sz w:val="28"/>
          <w:szCs w:val="28"/>
        </w:rPr>
        <w:t>1.033.25</w:t>
      </w:r>
      <w:r w:rsidR="007162B5" w:rsidRPr="00453A63">
        <w:rPr>
          <w:rFonts w:ascii="Arial" w:hAnsi="Arial" w:cs="Arial"/>
          <w:spacing w:val="-5"/>
          <w:sz w:val="28"/>
          <w:szCs w:val="28"/>
        </w:rPr>
        <w:t xml:space="preserve"> semanas, </w:t>
      </w:r>
      <w:r w:rsidR="00C55FE3" w:rsidRPr="00453A63">
        <w:rPr>
          <w:rFonts w:ascii="Arial" w:hAnsi="Arial" w:cs="Arial"/>
          <w:spacing w:val="-5"/>
          <w:sz w:val="28"/>
          <w:szCs w:val="28"/>
        </w:rPr>
        <w:t>863.24</w:t>
      </w:r>
      <w:r w:rsidR="007162B5" w:rsidRPr="00453A63">
        <w:rPr>
          <w:rFonts w:ascii="Arial" w:hAnsi="Arial" w:cs="Arial"/>
          <w:spacing w:val="-5"/>
          <w:sz w:val="28"/>
          <w:szCs w:val="28"/>
        </w:rPr>
        <w:t xml:space="preserve"> de las cuales se cotizaron antes del 1º de abril de 1994, fecha en la que entró a regir la ley 100 de 1993, es decir que superó las 300 semanas establecidas para cualquier tiempo, al punto que previo a ese tránsito legislativo ya las había cotizado.</w:t>
      </w:r>
    </w:p>
    <w:p w:rsidR="00CB0021" w:rsidRPr="00453A63" w:rsidRDefault="00CB0021" w:rsidP="001D3D36">
      <w:pPr>
        <w:pStyle w:val="Sinespaciado1"/>
        <w:spacing w:line="360" w:lineRule="auto"/>
        <w:ind w:firstLine="2835"/>
        <w:jc w:val="both"/>
        <w:rPr>
          <w:rFonts w:ascii="Arial" w:hAnsi="Arial" w:cs="Arial"/>
          <w:spacing w:val="-5"/>
          <w:sz w:val="28"/>
          <w:szCs w:val="28"/>
        </w:rPr>
      </w:pPr>
    </w:p>
    <w:p w:rsidR="00CB0021" w:rsidRDefault="007162B5" w:rsidP="00CB0021">
      <w:pPr>
        <w:pStyle w:val="Sinespaciado1"/>
        <w:spacing w:line="360" w:lineRule="auto"/>
        <w:ind w:firstLine="2835"/>
        <w:jc w:val="both"/>
        <w:rPr>
          <w:rFonts w:ascii="Arial" w:hAnsi="Arial" w:cs="Arial"/>
          <w:spacing w:val="-5"/>
          <w:sz w:val="28"/>
          <w:szCs w:val="28"/>
        </w:rPr>
      </w:pPr>
      <w:r w:rsidRPr="00453A63">
        <w:rPr>
          <w:rFonts w:ascii="Arial" w:hAnsi="Arial" w:cs="Arial"/>
          <w:spacing w:val="-5"/>
          <w:sz w:val="28"/>
          <w:szCs w:val="28"/>
        </w:rPr>
        <w:t>En estas circunstancias</w:t>
      </w:r>
      <w:r w:rsidR="001D3D36" w:rsidRPr="00453A63">
        <w:rPr>
          <w:rFonts w:ascii="Arial" w:hAnsi="Arial" w:cs="Arial"/>
          <w:spacing w:val="-5"/>
          <w:sz w:val="28"/>
          <w:szCs w:val="28"/>
        </w:rPr>
        <w:t xml:space="preserve"> </w:t>
      </w:r>
      <w:r w:rsidRPr="00453A63">
        <w:rPr>
          <w:rFonts w:ascii="Arial" w:hAnsi="Arial" w:cs="Arial"/>
          <w:spacing w:val="-5"/>
          <w:sz w:val="28"/>
          <w:szCs w:val="28"/>
        </w:rPr>
        <w:t xml:space="preserve">Colpensiones ha debido atender al principio de la condición más beneficiosa y estudiar la cuestión para determinar si el actor cumplía los requisitos del Decreto 758 toda vez que antes de los dos cambios normativos que este sufrió, </w:t>
      </w:r>
      <w:r w:rsidR="001D3D36" w:rsidRPr="00453A63">
        <w:rPr>
          <w:rFonts w:ascii="Arial" w:hAnsi="Arial" w:cs="Arial"/>
          <w:spacing w:val="-5"/>
          <w:sz w:val="28"/>
          <w:szCs w:val="28"/>
        </w:rPr>
        <w:t xml:space="preserve">la afiliada Ana María Márquez López </w:t>
      </w:r>
      <w:r w:rsidRPr="00453A63">
        <w:rPr>
          <w:rFonts w:ascii="Arial" w:hAnsi="Arial" w:cs="Arial"/>
          <w:spacing w:val="-5"/>
          <w:sz w:val="28"/>
          <w:szCs w:val="28"/>
        </w:rPr>
        <w:t>colmó la exigencia de la densidad de tiempo cotizado allí requerida. No obstante, esa entidad decidió, con base en un concepto que ella misma profirió y que desconoce el precedente jurisprudencial que se ha traído a esta providencia, negar la prestación reclamada.</w:t>
      </w:r>
    </w:p>
    <w:p w:rsidR="00CB0021" w:rsidRDefault="00CB0021" w:rsidP="00CB0021">
      <w:pPr>
        <w:pStyle w:val="Sinespaciado1"/>
        <w:spacing w:line="360" w:lineRule="auto"/>
        <w:ind w:firstLine="2835"/>
        <w:jc w:val="both"/>
        <w:rPr>
          <w:rFonts w:ascii="Arial" w:hAnsi="Arial" w:cs="Arial"/>
          <w:spacing w:val="-5"/>
          <w:sz w:val="28"/>
          <w:szCs w:val="28"/>
        </w:rPr>
      </w:pPr>
    </w:p>
    <w:p w:rsidR="00135358" w:rsidRPr="00453A63" w:rsidRDefault="007162B5" w:rsidP="00CB0021">
      <w:pPr>
        <w:pStyle w:val="Sinespaciado1"/>
        <w:spacing w:line="360" w:lineRule="auto"/>
        <w:ind w:firstLine="2835"/>
        <w:jc w:val="both"/>
        <w:rPr>
          <w:rFonts w:ascii="Arial" w:hAnsi="Arial" w:cs="Arial"/>
          <w:spacing w:val="-5"/>
          <w:sz w:val="28"/>
          <w:szCs w:val="28"/>
        </w:rPr>
      </w:pPr>
      <w:r w:rsidRPr="00453A63">
        <w:rPr>
          <w:rFonts w:ascii="Arial" w:hAnsi="Arial" w:cs="Arial"/>
          <w:spacing w:val="-5"/>
          <w:sz w:val="28"/>
          <w:szCs w:val="28"/>
        </w:rPr>
        <w:t>Así entonces, tomando como referencia</w:t>
      </w:r>
      <w:r w:rsidR="0099271C" w:rsidRPr="00453A63">
        <w:rPr>
          <w:rFonts w:ascii="Arial" w:hAnsi="Arial" w:cs="Arial"/>
          <w:spacing w:val="-5"/>
          <w:sz w:val="28"/>
          <w:szCs w:val="28"/>
        </w:rPr>
        <w:t xml:space="preserve"> los precedentes </w:t>
      </w:r>
      <w:r w:rsidRPr="00453A63">
        <w:rPr>
          <w:rFonts w:ascii="Arial" w:hAnsi="Arial" w:cs="Arial"/>
          <w:spacing w:val="-5"/>
          <w:sz w:val="28"/>
          <w:szCs w:val="28"/>
        </w:rPr>
        <w:t>jurisprudencial</w:t>
      </w:r>
      <w:r w:rsidR="0099271C" w:rsidRPr="00453A63">
        <w:rPr>
          <w:rFonts w:ascii="Arial" w:hAnsi="Arial" w:cs="Arial"/>
          <w:spacing w:val="-5"/>
          <w:sz w:val="28"/>
          <w:szCs w:val="28"/>
        </w:rPr>
        <w:t xml:space="preserve">es vertical y </w:t>
      </w:r>
      <w:r w:rsidR="00DA1469" w:rsidRPr="00453A63">
        <w:rPr>
          <w:rFonts w:ascii="Arial" w:hAnsi="Arial" w:cs="Arial"/>
          <w:spacing w:val="-5"/>
          <w:sz w:val="28"/>
          <w:szCs w:val="28"/>
        </w:rPr>
        <w:t>horizontal</w:t>
      </w:r>
      <w:r w:rsidR="00DA1469" w:rsidRPr="00453A63">
        <w:rPr>
          <w:rStyle w:val="Refdenotaalpie"/>
          <w:rFonts w:ascii="Arial" w:hAnsi="Arial" w:cs="Arial"/>
          <w:spacing w:val="-5"/>
          <w:sz w:val="28"/>
          <w:szCs w:val="28"/>
        </w:rPr>
        <w:footnoteReference w:id="9"/>
      </w:r>
      <w:r w:rsidRPr="00453A63">
        <w:rPr>
          <w:rFonts w:ascii="Arial" w:hAnsi="Arial" w:cs="Arial"/>
          <w:spacing w:val="-5"/>
          <w:sz w:val="28"/>
          <w:szCs w:val="28"/>
        </w:rPr>
        <w:t xml:space="preserve">, el estado de indefensión del actor y que cumple con los requisitos para obtener la pensión de </w:t>
      </w:r>
      <w:r w:rsidR="00135358" w:rsidRPr="00453A63">
        <w:rPr>
          <w:rFonts w:ascii="Arial" w:hAnsi="Arial" w:cs="Arial"/>
          <w:spacing w:val="-5"/>
          <w:sz w:val="28"/>
          <w:szCs w:val="28"/>
        </w:rPr>
        <w:t xml:space="preserve">sobrevivientes </w:t>
      </w:r>
      <w:r w:rsidRPr="00453A63">
        <w:rPr>
          <w:rFonts w:ascii="Arial" w:hAnsi="Arial" w:cs="Arial"/>
          <w:spacing w:val="-5"/>
          <w:sz w:val="28"/>
          <w:szCs w:val="28"/>
        </w:rPr>
        <w:t>de conformidad con el decreto 758 de 1990 y por vía de la condición más beneficiosa, la tutela resulta procedente.</w:t>
      </w:r>
    </w:p>
    <w:p w:rsidR="00135358" w:rsidRPr="00453A63" w:rsidRDefault="00135358" w:rsidP="00135358">
      <w:pPr>
        <w:pStyle w:val="Sinespaciado1"/>
        <w:spacing w:line="360" w:lineRule="auto"/>
        <w:ind w:firstLine="2835"/>
        <w:jc w:val="both"/>
        <w:rPr>
          <w:rFonts w:ascii="Arial" w:hAnsi="Arial" w:cs="Arial"/>
          <w:spacing w:val="-5"/>
          <w:sz w:val="28"/>
          <w:szCs w:val="28"/>
        </w:rPr>
      </w:pPr>
    </w:p>
    <w:p w:rsidR="007162B5" w:rsidRPr="00453A63" w:rsidRDefault="002878EB" w:rsidP="00135358">
      <w:pPr>
        <w:pStyle w:val="Sinespaciado1"/>
        <w:spacing w:line="360" w:lineRule="auto"/>
        <w:ind w:firstLine="2835"/>
        <w:jc w:val="both"/>
        <w:rPr>
          <w:rFonts w:ascii="Arial" w:hAnsi="Arial" w:cs="Arial"/>
          <w:spacing w:val="-5"/>
          <w:sz w:val="28"/>
          <w:szCs w:val="28"/>
        </w:rPr>
      </w:pPr>
      <w:r w:rsidRPr="00453A63">
        <w:rPr>
          <w:rFonts w:ascii="Arial" w:hAnsi="Arial" w:cs="Arial"/>
          <w:spacing w:val="-5"/>
          <w:sz w:val="28"/>
          <w:szCs w:val="28"/>
        </w:rPr>
        <w:t xml:space="preserve">10. </w:t>
      </w:r>
      <w:r w:rsidR="007162B5" w:rsidRPr="00453A63">
        <w:rPr>
          <w:rFonts w:ascii="Arial" w:hAnsi="Arial" w:cs="Arial"/>
          <w:spacing w:val="-5"/>
          <w:sz w:val="28"/>
          <w:szCs w:val="28"/>
        </w:rPr>
        <w:t xml:space="preserve">Por tanto, se revocará la sentencia de primera instancia y se concederá el amparo solicitado para proteger los derechos </w:t>
      </w:r>
      <w:r w:rsidR="00135358" w:rsidRPr="00453A63">
        <w:rPr>
          <w:rFonts w:ascii="Arial" w:hAnsi="Arial" w:cs="Arial"/>
          <w:spacing w:val="-5"/>
          <w:sz w:val="28"/>
          <w:szCs w:val="28"/>
        </w:rPr>
        <w:t>a una subsistencia congrua y el</w:t>
      </w:r>
      <w:r w:rsidR="007162B5" w:rsidRPr="00453A63">
        <w:rPr>
          <w:rFonts w:ascii="Arial" w:hAnsi="Arial" w:cs="Arial"/>
          <w:spacing w:val="-5"/>
          <w:sz w:val="28"/>
          <w:szCs w:val="28"/>
        </w:rPr>
        <w:t xml:space="preserve"> mínimo vital de que es titular el demandante. En consecuencia, se </w:t>
      </w:r>
      <w:r w:rsidR="00B05DF4">
        <w:rPr>
          <w:rFonts w:ascii="Arial" w:hAnsi="Arial" w:cs="Arial"/>
          <w:spacing w:val="-5"/>
          <w:sz w:val="28"/>
          <w:szCs w:val="28"/>
        </w:rPr>
        <w:t>dejarán sin efecto las Resoluciones números      y se ordenará a</w:t>
      </w:r>
      <w:r w:rsidR="007162B5" w:rsidRPr="00453A63">
        <w:rPr>
          <w:rFonts w:ascii="Arial" w:hAnsi="Arial" w:cs="Arial"/>
          <w:spacing w:val="-5"/>
          <w:sz w:val="28"/>
          <w:szCs w:val="28"/>
        </w:rPr>
        <w:t xml:space="preserve">l Gerente Nacional de Reconocimiento de Colpensiones que en el término de quince días, reconozca la pensión de </w:t>
      </w:r>
      <w:r w:rsidR="002B2246" w:rsidRPr="00453A63">
        <w:rPr>
          <w:rFonts w:ascii="Arial" w:hAnsi="Arial" w:cs="Arial"/>
          <w:spacing w:val="-5"/>
          <w:sz w:val="28"/>
          <w:szCs w:val="28"/>
        </w:rPr>
        <w:t>sobrevivientes</w:t>
      </w:r>
      <w:r w:rsidR="007162B5" w:rsidRPr="00453A63">
        <w:rPr>
          <w:rFonts w:ascii="Arial" w:hAnsi="Arial" w:cs="Arial"/>
          <w:spacing w:val="-5"/>
          <w:sz w:val="28"/>
          <w:szCs w:val="28"/>
        </w:rPr>
        <w:t xml:space="preserve"> a favor del señor </w:t>
      </w:r>
      <w:r w:rsidR="002B2246" w:rsidRPr="00453A63">
        <w:rPr>
          <w:rFonts w:ascii="Arial" w:hAnsi="Arial" w:cs="Arial"/>
          <w:spacing w:val="-5"/>
          <w:sz w:val="28"/>
          <w:szCs w:val="28"/>
        </w:rPr>
        <w:t xml:space="preserve">Pedro </w:t>
      </w:r>
      <w:proofErr w:type="spellStart"/>
      <w:r w:rsidR="002B2246" w:rsidRPr="00453A63">
        <w:rPr>
          <w:rFonts w:ascii="Arial" w:hAnsi="Arial" w:cs="Arial"/>
          <w:spacing w:val="-5"/>
          <w:sz w:val="28"/>
          <w:szCs w:val="28"/>
        </w:rPr>
        <w:t>Nel</w:t>
      </w:r>
      <w:proofErr w:type="spellEnd"/>
      <w:r w:rsidR="002B2246" w:rsidRPr="00453A63">
        <w:rPr>
          <w:rFonts w:ascii="Arial" w:hAnsi="Arial" w:cs="Arial"/>
          <w:spacing w:val="-5"/>
          <w:sz w:val="28"/>
          <w:szCs w:val="28"/>
        </w:rPr>
        <w:t xml:space="preserve"> Hernández Gómez</w:t>
      </w:r>
      <w:r w:rsidR="007162B5" w:rsidRPr="00453A63">
        <w:rPr>
          <w:rFonts w:ascii="Arial" w:hAnsi="Arial" w:cs="Arial"/>
          <w:spacing w:val="-5"/>
          <w:sz w:val="28"/>
          <w:szCs w:val="28"/>
        </w:rPr>
        <w:t xml:space="preserve">, conforme a lo dispuesto en el Acuerdo 049 de 1990, aprobado por el Decreto 758 de 1990.  </w:t>
      </w:r>
    </w:p>
    <w:p w:rsidR="00CB0021" w:rsidRPr="00453A63" w:rsidRDefault="00CB0021" w:rsidP="009E1E21">
      <w:pPr>
        <w:suppressAutoHyphens/>
        <w:spacing w:line="360" w:lineRule="auto"/>
        <w:jc w:val="both"/>
        <w:rPr>
          <w:rFonts w:ascii="Arial" w:hAnsi="Arial" w:cs="Arial"/>
          <w:spacing w:val="-5"/>
          <w:sz w:val="28"/>
          <w:szCs w:val="28"/>
        </w:rPr>
      </w:pPr>
    </w:p>
    <w:p w:rsidR="00CB0021" w:rsidRDefault="00E07369" w:rsidP="00E07369">
      <w:pPr>
        <w:pStyle w:val="Sinespaciado1"/>
        <w:spacing w:line="360" w:lineRule="auto"/>
        <w:ind w:firstLine="2835"/>
        <w:jc w:val="both"/>
        <w:rPr>
          <w:rFonts w:ascii="Arial" w:hAnsi="Arial" w:cs="Arial"/>
          <w:b/>
          <w:bCs/>
          <w:sz w:val="28"/>
          <w:szCs w:val="28"/>
        </w:rPr>
      </w:pPr>
      <w:r w:rsidRPr="00453A63">
        <w:rPr>
          <w:rFonts w:ascii="Arial" w:hAnsi="Arial" w:cs="Arial"/>
          <w:b/>
          <w:bCs/>
          <w:sz w:val="28"/>
          <w:szCs w:val="28"/>
        </w:rPr>
        <w:t>VI. Decisión</w:t>
      </w:r>
    </w:p>
    <w:p w:rsidR="00CB0021" w:rsidRDefault="00CB0021" w:rsidP="00E07369">
      <w:pPr>
        <w:pStyle w:val="Sinespaciado1"/>
        <w:spacing w:line="360" w:lineRule="auto"/>
        <w:ind w:firstLine="2835"/>
        <w:jc w:val="both"/>
        <w:rPr>
          <w:rFonts w:ascii="Arial" w:hAnsi="Arial" w:cs="Arial"/>
          <w:b/>
          <w:bCs/>
          <w:sz w:val="28"/>
          <w:szCs w:val="28"/>
        </w:rPr>
      </w:pPr>
    </w:p>
    <w:p w:rsidR="00E07369" w:rsidRPr="00453A63" w:rsidRDefault="00E07369" w:rsidP="00E07369">
      <w:pPr>
        <w:pStyle w:val="Sinespaciado1"/>
        <w:spacing w:line="360" w:lineRule="auto"/>
        <w:ind w:firstLine="2835"/>
        <w:jc w:val="both"/>
        <w:rPr>
          <w:rFonts w:ascii="Arial" w:hAnsi="Arial" w:cs="Arial"/>
          <w:sz w:val="28"/>
          <w:szCs w:val="28"/>
        </w:rPr>
      </w:pPr>
      <w:r w:rsidRPr="00453A63">
        <w:rPr>
          <w:rFonts w:ascii="Arial" w:hAnsi="Arial" w:cs="Arial"/>
          <w:sz w:val="28"/>
          <w:szCs w:val="28"/>
        </w:rPr>
        <w:t xml:space="preserve">En mérito de lo expuesto, la Sala de </w:t>
      </w:r>
      <w:r w:rsidR="002B2246" w:rsidRPr="00453A63">
        <w:rPr>
          <w:rFonts w:ascii="Arial" w:hAnsi="Arial" w:cs="Arial"/>
          <w:sz w:val="28"/>
          <w:szCs w:val="28"/>
        </w:rPr>
        <w:t>D</w:t>
      </w:r>
      <w:r w:rsidRPr="00453A63">
        <w:rPr>
          <w:rFonts w:ascii="Arial" w:hAnsi="Arial" w:cs="Arial"/>
          <w:sz w:val="28"/>
          <w:szCs w:val="28"/>
        </w:rPr>
        <w:t>ecisión Civil Familia del Tribunal Superior de Pereira, administrando justicia en nombre de la República y por autoridad de la ley,</w:t>
      </w:r>
    </w:p>
    <w:p w:rsidR="0067195D" w:rsidRDefault="0067195D" w:rsidP="00E07369">
      <w:pPr>
        <w:pStyle w:val="Sinespaciado1"/>
        <w:spacing w:line="360" w:lineRule="auto"/>
        <w:jc w:val="both"/>
        <w:rPr>
          <w:rFonts w:ascii="Arial" w:hAnsi="Arial" w:cs="Arial"/>
          <w:sz w:val="28"/>
          <w:szCs w:val="28"/>
        </w:rPr>
      </w:pPr>
    </w:p>
    <w:p w:rsidR="002B2246" w:rsidRPr="00453A63" w:rsidRDefault="00E07369" w:rsidP="002B2246">
      <w:pPr>
        <w:pStyle w:val="Sinespaciado1"/>
        <w:spacing w:line="360" w:lineRule="auto"/>
        <w:ind w:firstLine="2835"/>
        <w:jc w:val="both"/>
        <w:rPr>
          <w:rFonts w:ascii="Arial" w:hAnsi="Arial" w:cs="Arial"/>
          <w:b/>
          <w:spacing w:val="-3"/>
          <w:sz w:val="28"/>
          <w:szCs w:val="28"/>
        </w:rPr>
      </w:pPr>
      <w:r w:rsidRPr="00453A63">
        <w:rPr>
          <w:rFonts w:ascii="Arial" w:hAnsi="Arial" w:cs="Arial"/>
          <w:b/>
          <w:spacing w:val="-3"/>
          <w:sz w:val="28"/>
          <w:szCs w:val="28"/>
        </w:rPr>
        <w:t>RESUELVE:</w:t>
      </w:r>
    </w:p>
    <w:p w:rsidR="002B2246" w:rsidRPr="00453A63" w:rsidRDefault="002B2246" w:rsidP="002B2246">
      <w:pPr>
        <w:pStyle w:val="Sinespaciado1"/>
        <w:spacing w:line="360" w:lineRule="auto"/>
        <w:ind w:firstLine="2835"/>
        <w:jc w:val="both"/>
        <w:rPr>
          <w:rFonts w:ascii="Arial" w:hAnsi="Arial" w:cs="Arial"/>
          <w:b/>
          <w:spacing w:val="-3"/>
          <w:sz w:val="28"/>
          <w:szCs w:val="28"/>
        </w:rPr>
      </w:pPr>
    </w:p>
    <w:p w:rsidR="00E835E3" w:rsidRPr="00453A63" w:rsidRDefault="002B2246" w:rsidP="00E835E3">
      <w:pPr>
        <w:pStyle w:val="Sinespaciado1"/>
        <w:spacing w:line="360" w:lineRule="auto"/>
        <w:ind w:firstLine="2835"/>
        <w:jc w:val="both"/>
        <w:rPr>
          <w:rFonts w:ascii="Arial" w:hAnsi="Arial"/>
          <w:sz w:val="28"/>
          <w:szCs w:val="28"/>
        </w:rPr>
      </w:pPr>
      <w:r w:rsidRPr="00453A63">
        <w:rPr>
          <w:rFonts w:ascii="Arial" w:hAnsi="Arial" w:cs="Arial"/>
          <w:b/>
          <w:spacing w:val="-3"/>
          <w:sz w:val="28"/>
          <w:szCs w:val="28"/>
        </w:rPr>
        <w:t xml:space="preserve">PRIMERO: </w:t>
      </w:r>
      <w:r w:rsidRPr="00CB0021">
        <w:rPr>
          <w:rFonts w:ascii="Arial" w:hAnsi="Arial"/>
          <w:b/>
          <w:sz w:val="24"/>
          <w:szCs w:val="24"/>
        </w:rPr>
        <w:t>REVOCAR</w:t>
      </w:r>
      <w:r w:rsidRPr="00453A63">
        <w:rPr>
          <w:rFonts w:ascii="Arial" w:hAnsi="Arial"/>
          <w:sz w:val="28"/>
          <w:szCs w:val="28"/>
        </w:rPr>
        <w:t xml:space="preserve"> la sentencia fechada el día </w:t>
      </w:r>
      <w:r w:rsidR="00071A00" w:rsidRPr="00453A63">
        <w:rPr>
          <w:rFonts w:ascii="Arial" w:hAnsi="Arial"/>
          <w:sz w:val="28"/>
          <w:szCs w:val="28"/>
        </w:rPr>
        <w:t xml:space="preserve">20 de agosto de 2015 </w:t>
      </w:r>
      <w:r w:rsidRPr="00453A63">
        <w:rPr>
          <w:rFonts w:ascii="Arial" w:hAnsi="Arial"/>
          <w:sz w:val="28"/>
          <w:szCs w:val="28"/>
        </w:rPr>
        <w:t xml:space="preserve">del Juzgado </w:t>
      </w:r>
      <w:r w:rsidR="00071A00" w:rsidRPr="00453A63">
        <w:rPr>
          <w:rFonts w:ascii="Arial" w:hAnsi="Arial"/>
          <w:sz w:val="28"/>
          <w:szCs w:val="28"/>
        </w:rPr>
        <w:t>Primero</w:t>
      </w:r>
      <w:r w:rsidRPr="00453A63">
        <w:rPr>
          <w:rFonts w:ascii="Arial" w:hAnsi="Arial"/>
          <w:sz w:val="28"/>
          <w:szCs w:val="28"/>
        </w:rPr>
        <w:t xml:space="preserve"> de Familia de esta ciudad, que negó la acción de tutela.</w:t>
      </w:r>
    </w:p>
    <w:p w:rsidR="00E835E3" w:rsidRPr="00453A63" w:rsidRDefault="00E835E3" w:rsidP="00E835E3">
      <w:pPr>
        <w:pStyle w:val="Sinespaciado1"/>
        <w:spacing w:line="360" w:lineRule="auto"/>
        <w:ind w:firstLine="2835"/>
        <w:jc w:val="both"/>
        <w:rPr>
          <w:rFonts w:ascii="Arial" w:hAnsi="Arial"/>
          <w:sz w:val="28"/>
          <w:szCs w:val="28"/>
        </w:rPr>
      </w:pPr>
    </w:p>
    <w:p w:rsidR="0066437A" w:rsidRPr="00453A63" w:rsidRDefault="00E835E3" w:rsidP="0066437A">
      <w:pPr>
        <w:pStyle w:val="Sinespaciado1"/>
        <w:spacing w:line="360" w:lineRule="auto"/>
        <w:ind w:firstLine="2835"/>
        <w:jc w:val="both"/>
        <w:rPr>
          <w:rFonts w:ascii="Arial" w:hAnsi="Arial"/>
          <w:sz w:val="28"/>
          <w:szCs w:val="28"/>
        </w:rPr>
      </w:pPr>
      <w:r w:rsidRPr="00453A63">
        <w:rPr>
          <w:rFonts w:ascii="Arial" w:hAnsi="Arial"/>
          <w:b/>
          <w:sz w:val="28"/>
          <w:szCs w:val="28"/>
        </w:rPr>
        <w:t xml:space="preserve">SEGUNDO: </w:t>
      </w:r>
      <w:r w:rsidR="002B2246" w:rsidRPr="00CB0021">
        <w:rPr>
          <w:rFonts w:ascii="Arial" w:hAnsi="Arial"/>
          <w:b/>
          <w:sz w:val="24"/>
          <w:szCs w:val="24"/>
        </w:rPr>
        <w:t>TUTELAR</w:t>
      </w:r>
      <w:r w:rsidR="002B2246" w:rsidRPr="00453A63">
        <w:rPr>
          <w:rFonts w:ascii="Arial" w:hAnsi="Arial"/>
          <w:sz w:val="28"/>
          <w:szCs w:val="28"/>
        </w:rPr>
        <w:t xml:space="preserve"> en consecuencia, los derechos fundamentales</w:t>
      </w:r>
      <w:r w:rsidRPr="00453A63">
        <w:rPr>
          <w:rFonts w:ascii="Arial" w:hAnsi="Arial"/>
          <w:sz w:val="28"/>
          <w:szCs w:val="28"/>
        </w:rPr>
        <w:t xml:space="preserve"> a la subsistencia congrua y </w:t>
      </w:r>
      <w:r w:rsidR="002B2246" w:rsidRPr="00453A63">
        <w:rPr>
          <w:rFonts w:ascii="Arial" w:hAnsi="Arial"/>
          <w:sz w:val="28"/>
          <w:szCs w:val="28"/>
        </w:rPr>
        <w:t xml:space="preserve">al mínimo vital del señor </w:t>
      </w:r>
      <w:r w:rsidR="007D22B7" w:rsidRPr="00CB0021">
        <w:rPr>
          <w:rFonts w:ascii="Arial" w:hAnsi="Arial" w:cs="Arial"/>
          <w:sz w:val="24"/>
          <w:szCs w:val="24"/>
          <w:lang w:val="es-ES" w:eastAsia="es-ES"/>
        </w:rPr>
        <w:t>PEDRO NEL HERNÁNDEZ GÓMEZ</w:t>
      </w:r>
      <w:r w:rsidR="002B2246" w:rsidRPr="00453A63">
        <w:rPr>
          <w:rFonts w:ascii="Arial" w:hAnsi="Arial"/>
          <w:sz w:val="28"/>
          <w:szCs w:val="28"/>
        </w:rPr>
        <w:t xml:space="preserve">. </w:t>
      </w:r>
    </w:p>
    <w:p w:rsidR="0066437A" w:rsidRPr="00453A63" w:rsidRDefault="0066437A" w:rsidP="0066437A">
      <w:pPr>
        <w:pStyle w:val="Sinespaciado1"/>
        <w:spacing w:line="360" w:lineRule="auto"/>
        <w:ind w:firstLine="2835"/>
        <w:jc w:val="both"/>
        <w:rPr>
          <w:rFonts w:ascii="Arial" w:hAnsi="Arial"/>
          <w:sz w:val="28"/>
          <w:szCs w:val="28"/>
        </w:rPr>
      </w:pPr>
    </w:p>
    <w:p w:rsidR="002B2246" w:rsidRPr="00453A63" w:rsidRDefault="0066437A" w:rsidP="0066437A">
      <w:pPr>
        <w:pStyle w:val="Sinespaciado1"/>
        <w:spacing w:line="360" w:lineRule="auto"/>
        <w:ind w:firstLine="2835"/>
        <w:jc w:val="both"/>
        <w:rPr>
          <w:rFonts w:ascii="Arial" w:hAnsi="Arial" w:cs="Arial"/>
          <w:sz w:val="28"/>
          <w:szCs w:val="28"/>
        </w:rPr>
      </w:pPr>
      <w:r w:rsidRPr="00453A63">
        <w:rPr>
          <w:rFonts w:ascii="Arial" w:hAnsi="Arial"/>
          <w:b/>
          <w:sz w:val="28"/>
          <w:szCs w:val="28"/>
        </w:rPr>
        <w:t xml:space="preserve">TERCERO: </w:t>
      </w:r>
      <w:r w:rsidR="002B2246" w:rsidRPr="00CB0021">
        <w:rPr>
          <w:rFonts w:ascii="Arial" w:hAnsi="Arial" w:cs="Arial"/>
          <w:b/>
          <w:bCs/>
          <w:color w:val="000000"/>
          <w:sz w:val="24"/>
          <w:szCs w:val="24"/>
        </w:rPr>
        <w:t>DEJAR</w:t>
      </w:r>
      <w:r w:rsidR="002B2246" w:rsidRPr="00453A63">
        <w:rPr>
          <w:rFonts w:ascii="Arial" w:hAnsi="Arial" w:cs="Arial"/>
          <w:bCs/>
          <w:color w:val="000000"/>
          <w:sz w:val="28"/>
          <w:szCs w:val="28"/>
        </w:rPr>
        <w:t xml:space="preserve"> sin efectos</w:t>
      </w:r>
      <w:r w:rsidR="002B2246" w:rsidRPr="00453A63">
        <w:rPr>
          <w:rStyle w:val="apple-converted-space"/>
          <w:rFonts w:cs="Arial"/>
          <w:color w:val="000000"/>
          <w:sz w:val="28"/>
          <w:szCs w:val="28"/>
        </w:rPr>
        <w:t> </w:t>
      </w:r>
      <w:r w:rsidR="002B2246" w:rsidRPr="00453A63">
        <w:rPr>
          <w:rFonts w:ascii="Arial" w:hAnsi="Arial"/>
          <w:sz w:val="28"/>
          <w:szCs w:val="28"/>
        </w:rPr>
        <w:t>la</w:t>
      </w:r>
      <w:r w:rsidR="00B05DF4">
        <w:rPr>
          <w:rFonts w:ascii="Arial" w:hAnsi="Arial"/>
          <w:sz w:val="28"/>
          <w:szCs w:val="28"/>
        </w:rPr>
        <w:t>s</w:t>
      </w:r>
      <w:r w:rsidR="002B2246" w:rsidRPr="00453A63">
        <w:rPr>
          <w:rFonts w:ascii="Arial" w:hAnsi="Arial"/>
          <w:sz w:val="28"/>
          <w:szCs w:val="28"/>
        </w:rPr>
        <w:t xml:space="preserve"> </w:t>
      </w:r>
      <w:r w:rsidR="00B05DF4" w:rsidRPr="00453A63">
        <w:rPr>
          <w:rFonts w:ascii="Arial" w:hAnsi="Arial"/>
          <w:sz w:val="28"/>
          <w:szCs w:val="28"/>
        </w:rPr>
        <w:t>Resolucion</w:t>
      </w:r>
      <w:r w:rsidR="00B05DF4">
        <w:rPr>
          <w:rFonts w:ascii="Arial" w:hAnsi="Arial"/>
          <w:sz w:val="28"/>
          <w:szCs w:val="28"/>
        </w:rPr>
        <w:t>es</w:t>
      </w:r>
      <w:r w:rsidR="002B2246" w:rsidRPr="00453A63">
        <w:rPr>
          <w:rStyle w:val="apple-converted-space"/>
          <w:rFonts w:cs="Arial"/>
          <w:color w:val="000000"/>
          <w:sz w:val="28"/>
          <w:szCs w:val="28"/>
        </w:rPr>
        <w:t xml:space="preserve"> </w:t>
      </w:r>
      <w:r w:rsidR="002B2246" w:rsidRPr="00453A63">
        <w:rPr>
          <w:rFonts w:ascii="Arial" w:hAnsi="Arial" w:cs="Arial"/>
          <w:sz w:val="28"/>
          <w:szCs w:val="28"/>
        </w:rPr>
        <w:t xml:space="preserve">GNR </w:t>
      </w:r>
      <w:r w:rsidRPr="00453A63">
        <w:rPr>
          <w:rFonts w:ascii="Arial" w:hAnsi="Arial" w:cs="Arial"/>
          <w:sz w:val="28"/>
          <w:szCs w:val="28"/>
        </w:rPr>
        <w:t>223782</w:t>
      </w:r>
      <w:r w:rsidR="002B2246" w:rsidRPr="00453A63">
        <w:rPr>
          <w:rFonts w:ascii="Arial" w:hAnsi="Arial" w:cs="Arial"/>
          <w:sz w:val="28"/>
          <w:szCs w:val="28"/>
        </w:rPr>
        <w:t xml:space="preserve"> del </w:t>
      </w:r>
      <w:r w:rsidRPr="00453A63">
        <w:rPr>
          <w:rFonts w:ascii="Arial" w:hAnsi="Arial" w:cs="Arial"/>
          <w:sz w:val="28"/>
          <w:szCs w:val="28"/>
        </w:rPr>
        <w:t>17 de junio de 2014</w:t>
      </w:r>
      <w:r w:rsidR="002B2246" w:rsidRPr="00453A63">
        <w:rPr>
          <w:rFonts w:ascii="Arial" w:hAnsi="Arial" w:cs="Arial"/>
          <w:sz w:val="28"/>
          <w:szCs w:val="28"/>
        </w:rPr>
        <w:t xml:space="preserve"> </w:t>
      </w:r>
      <w:r w:rsidR="00B05DF4">
        <w:rPr>
          <w:rFonts w:ascii="Arial" w:hAnsi="Arial" w:cs="Arial"/>
          <w:sz w:val="28"/>
          <w:szCs w:val="28"/>
        </w:rPr>
        <w:t xml:space="preserve">y VPB 54931 del 31 de julio de 2015, </w:t>
      </w:r>
      <w:r w:rsidR="002B2246" w:rsidRPr="00453A63">
        <w:rPr>
          <w:rFonts w:ascii="Arial" w:hAnsi="Arial" w:cs="Arial"/>
          <w:sz w:val="28"/>
          <w:szCs w:val="28"/>
        </w:rPr>
        <w:t xml:space="preserve">en </w:t>
      </w:r>
      <w:r w:rsidR="002B2246" w:rsidRPr="00453A63">
        <w:rPr>
          <w:rFonts w:ascii="Arial" w:hAnsi="Arial" w:cs="Arial"/>
          <w:color w:val="000000"/>
          <w:sz w:val="28"/>
          <w:szCs w:val="28"/>
        </w:rPr>
        <w:t xml:space="preserve">su lugar, </w:t>
      </w:r>
      <w:r w:rsidR="00B05DF4">
        <w:rPr>
          <w:rFonts w:ascii="Arial" w:hAnsi="Arial" w:cs="Arial"/>
          <w:b/>
          <w:bCs/>
          <w:color w:val="000000"/>
          <w:sz w:val="24"/>
          <w:szCs w:val="24"/>
        </w:rPr>
        <w:t>SE O</w:t>
      </w:r>
      <w:r w:rsidR="002B2246" w:rsidRPr="00CB0021">
        <w:rPr>
          <w:rFonts w:ascii="Arial" w:hAnsi="Arial" w:cs="Arial"/>
          <w:b/>
          <w:bCs/>
          <w:color w:val="000000"/>
          <w:sz w:val="24"/>
          <w:szCs w:val="24"/>
        </w:rPr>
        <w:t>RDENA</w:t>
      </w:r>
      <w:r w:rsidR="002B2246" w:rsidRPr="00453A63">
        <w:rPr>
          <w:rFonts w:ascii="Arial" w:hAnsi="Arial" w:cs="Arial"/>
          <w:bCs/>
          <w:sz w:val="28"/>
          <w:szCs w:val="28"/>
        </w:rPr>
        <w:t> </w:t>
      </w:r>
      <w:r w:rsidR="002B2246" w:rsidRPr="00453A63">
        <w:rPr>
          <w:rFonts w:ascii="Arial" w:hAnsi="Arial" w:cs="Arial"/>
          <w:bCs/>
          <w:color w:val="000000"/>
          <w:sz w:val="28"/>
          <w:szCs w:val="28"/>
        </w:rPr>
        <w:t>al</w:t>
      </w:r>
      <w:r w:rsidR="00B05DF4">
        <w:rPr>
          <w:rFonts w:ascii="Arial" w:hAnsi="Arial" w:cs="Arial"/>
          <w:bCs/>
          <w:color w:val="000000"/>
          <w:sz w:val="28"/>
          <w:szCs w:val="28"/>
        </w:rPr>
        <w:t xml:space="preserve"> Gerente</w:t>
      </w:r>
      <w:r w:rsidR="002B2246" w:rsidRPr="00453A63">
        <w:rPr>
          <w:rFonts w:ascii="Arial" w:hAnsi="Arial" w:cs="Arial"/>
          <w:bCs/>
          <w:color w:val="000000"/>
          <w:sz w:val="28"/>
          <w:szCs w:val="28"/>
        </w:rPr>
        <w:t xml:space="preserve"> Nacional de Reconocimiento de la Administradora Colombiana de Pensiones “Colpensiones”</w:t>
      </w:r>
      <w:r w:rsidR="00B05DF4">
        <w:rPr>
          <w:rFonts w:ascii="Arial" w:hAnsi="Arial" w:cs="Arial"/>
          <w:bCs/>
          <w:color w:val="000000"/>
          <w:sz w:val="28"/>
          <w:szCs w:val="28"/>
        </w:rPr>
        <w:t xml:space="preserve">, representado por el doctor Luis Fernando de Jesús </w:t>
      </w:r>
      <w:proofErr w:type="spellStart"/>
      <w:r w:rsidR="00B05DF4">
        <w:rPr>
          <w:rFonts w:ascii="Arial" w:hAnsi="Arial" w:cs="Arial"/>
          <w:bCs/>
          <w:color w:val="000000"/>
          <w:sz w:val="28"/>
          <w:szCs w:val="28"/>
        </w:rPr>
        <w:t>Ucros</w:t>
      </w:r>
      <w:proofErr w:type="spellEnd"/>
      <w:r w:rsidR="00B05DF4">
        <w:rPr>
          <w:rFonts w:ascii="Arial" w:hAnsi="Arial" w:cs="Arial"/>
          <w:bCs/>
          <w:color w:val="000000"/>
          <w:sz w:val="28"/>
          <w:szCs w:val="28"/>
        </w:rPr>
        <w:t xml:space="preserve"> Velásquez</w:t>
      </w:r>
      <w:r w:rsidR="002B2246" w:rsidRPr="00453A63">
        <w:rPr>
          <w:rFonts w:ascii="Arial" w:hAnsi="Arial" w:cs="Arial"/>
          <w:sz w:val="28"/>
          <w:szCs w:val="28"/>
        </w:rPr>
        <w:t xml:space="preserve">, </w:t>
      </w:r>
      <w:r w:rsidR="002B2246" w:rsidRPr="00453A63">
        <w:rPr>
          <w:rFonts w:ascii="Arial" w:hAnsi="Arial" w:cs="Arial"/>
          <w:bCs/>
          <w:color w:val="000000"/>
          <w:sz w:val="28"/>
          <w:szCs w:val="28"/>
        </w:rPr>
        <w:t xml:space="preserve">que en un término de </w:t>
      </w:r>
      <w:r w:rsidR="00F108D6" w:rsidRPr="00453A63">
        <w:rPr>
          <w:rFonts w:ascii="Arial" w:hAnsi="Arial" w:cs="Arial"/>
          <w:bCs/>
          <w:color w:val="000000"/>
          <w:sz w:val="28"/>
          <w:szCs w:val="28"/>
        </w:rPr>
        <w:t>quince</w:t>
      </w:r>
      <w:r w:rsidR="002B2246" w:rsidRPr="00453A63">
        <w:rPr>
          <w:rFonts w:ascii="Arial" w:hAnsi="Arial" w:cs="Arial"/>
          <w:bCs/>
          <w:color w:val="000000"/>
          <w:sz w:val="28"/>
          <w:szCs w:val="28"/>
        </w:rPr>
        <w:t xml:space="preserve"> (</w:t>
      </w:r>
      <w:r w:rsidR="00F108D6" w:rsidRPr="00453A63">
        <w:rPr>
          <w:rFonts w:ascii="Arial" w:hAnsi="Arial" w:cs="Arial"/>
          <w:bCs/>
          <w:color w:val="000000"/>
          <w:sz w:val="28"/>
          <w:szCs w:val="28"/>
        </w:rPr>
        <w:t>15</w:t>
      </w:r>
      <w:r w:rsidR="002B2246" w:rsidRPr="00453A63">
        <w:rPr>
          <w:rFonts w:ascii="Arial" w:hAnsi="Arial" w:cs="Arial"/>
          <w:bCs/>
          <w:color w:val="000000"/>
          <w:sz w:val="28"/>
          <w:szCs w:val="28"/>
        </w:rPr>
        <w:t xml:space="preserve">) días hábiles, contados a partir de la notificación de la presente sentencia, emita un nuevo acto administrativo que en </w:t>
      </w:r>
      <w:r w:rsidR="002B2246" w:rsidRPr="00453A63">
        <w:rPr>
          <w:rFonts w:ascii="Arial" w:hAnsi="Arial" w:cs="Arial"/>
          <w:sz w:val="28"/>
          <w:szCs w:val="28"/>
        </w:rPr>
        <w:t>observancia de las consideraciones aquí planteadas,</w:t>
      </w:r>
      <w:r w:rsidR="002B2246" w:rsidRPr="00453A63">
        <w:rPr>
          <w:rFonts w:ascii="Arial" w:hAnsi="Arial" w:cs="Arial"/>
          <w:bCs/>
          <w:color w:val="000000"/>
          <w:sz w:val="28"/>
          <w:szCs w:val="28"/>
        </w:rPr>
        <w:t xml:space="preserve"> reconozca la pensión de</w:t>
      </w:r>
      <w:r w:rsidR="00F108D6" w:rsidRPr="00453A63">
        <w:rPr>
          <w:rFonts w:ascii="Arial" w:hAnsi="Arial" w:cs="Arial"/>
          <w:bCs/>
          <w:color w:val="000000"/>
          <w:sz w:val="28"/>
          <w:szCs w:val="28"/>
        </w:rPr>
        <w:t xml:space="preserve"> sobrevivientes</w:t>
      </w:r>
      <w:r w:rsidR="002B2246" w:rsidRPr="00453A63">
        <w:rPr>
          <w:rFonts w:ascii="Arial" w:hAnsi="Arial" w:cs="Arial"/>
          <w:bCs/>
          <w:color w:val="000000"/>
          <w:sz w:val="28"/>
          <w:szCs w:val="28"/>
        </w:rPr>
        <w:t xml:space="preserve"> a favor del señor </w:t>
      </w:r>
      <w:r w:rsidR="007D22B7" w:rsidRPr="00CB0021">
        <w:rPr>
          <w:rFonts w:ascii="Arial" w:hAnsi="Arial" w:cs="Arial"/>
          <w:sz w:val="24"/>
          <w:szCs w:val="24"/>
          <w:lang w:val="es-ES" w:eastAsia="es-ES"/>
        </w:rPr>
        <w:t>HERNÁNDEZ GÓMEZ</w:t>
      </w:r>
      <w:r w:rsidR="002B2246" w:rsidRPr="00CB0021">
        <w:rPr>
          <w:rFonts w:ascii="Arial" w:hAnsi="Arial" w:cs="Arial"/>
          <w:bCs/>
          <w:color w:val="000000"/>
          <w:sz w:val="24"/>
          <w:szCs w:val="24"/>
        </w:rPr>
        <w:t>.</w:t>
      </w:r>
      <w:r w:rsidR="002B2246" w:rsidRPr="00453A63">
        <w:rPr>
          <w:rFonts w:ascii="Arial" w:hAnsi="Arial" w:cs="Arial"/>
          <w:bCs/>
          <w:color w:val="000000"/>
          <w:sz w:val="28"/>
          <w:szCs w:val="28"/>
        </w:rPr>
        <w:t xml:space="preserve"> </w:t>
      </w:r>
    </w:p>
    <w:p w:rsidR="00E07369" w:rsidRPr="00453A63" w:rsidRDefault="00E07369" w:rsidP="00E07369">
      <w:pPr>
        <w:pStyle w:val="Sinespaciado1"/>
        <w:spacing w:line="360" w:lineRule="auto"/>
        <w:ind w:firstLine="2835"/>
        <w:jc w:val="both"/>
        <w:rPr>
          <w:rFonts w:ascii="Arial" w:hAnsi="Arial" w:cs="Arial"/>
          <w:sz w:val="28"/>
          <w:szCs w:val="28"/>
          <w:lang w:val="es-ES" w:eastAsia="es-ES"/>
        </w:rPr>
      </w:pPr>
    </w:p>
    <w:p w:rsidR="00E07369" w:rsidRPr="00453A63" w:rsidRDefault="0026700D" w:rsidP="00E07369">
      <w:pPr>
        <w:pStyle w:val="Sinespaciado1"/>
        <w:spacing w:line="360" w:lineRule="auto"/>
        <w:ind w:firstLine="2835"/>
        <w:jc w:val="both"/>
        <w:rPr>
          <w:rFonts w:ascii="Arial" w:hAnsi="Arial" w:cs="Arial"/>
          <w:spacing w:val="-3"/>
          <w:sz w:val="28"/>
          <w:szCs w:val="28"/>
        </w:rPr>
      </w:pPr>
      <w:r w:rsidRPr="00453A63">
        <w:rPr>
          <w:rFonts w:ascii="Arial" w:hAnsi="Arial" w:cs="Arial"/>
          <w:b/>
          <w:spacing w:val="-3"/>
          <w:sz w:val="28"/>
          <w:szCs w:val="28"/>
        </w:rPr>
        <w:t>CUARTO</w:t>
      </w:r>
      <w:r w:rsidR="00E07369" w:rsidRPr="00453A63">
        <w:rPr>
          <w:rFonts w:ascii="Arial" w:hAnsi="Arial" w:cs="Arial"/>
          <w:b/>
          <w:spacing w:val="-3"/>
          <w:sz w:val="28"/>
          <w:szCs w:val="28"/>
        </w:rPr>
        <w:t>:</w:t>
      </w:r>
      <w:r w:rsidR="00E07369" w:rsidRPr="00453A63">
        <w:rPr>
          <w:rFonts w:ascii="Arial" w:hAnsi="Arial" w:cs="Arial"/>
          <w:spacing w:val="-3"/>
          <w:sz w:val="28"/>
          <w:szCs w:val="28"/>
        </w:rPr>
        <w:t xml:space="preserve"> Notifíquese esta decisión a las partes por el medio más expedito posible (Art. 5o. del Decreto 306 de 1992).</w:t>
      </w:r>
    </w:p>
    <w:p w:rsidR="00E07369" w:rsidRPr="00453A63" w:rsidRDefault="00E07369" w:rsidP="00E07369">
      <w:pPr>
        <w:pStyle w:val="Sinespaciado1"/>
        <w:spacing w:line="360" w:lineRule="auto"/>
        <w:ind w:firstLine="2835"/>
        <w:jc w:val="both"/>
        <w:rPr>
          <w:rFonts w:ascii="Arial" w:hAnsi="Arial" w:cs="Arial"/>
          <w:spacing w:val="-3"/>
          <w:sz w:val="28"/>
          <w:szCs w:val="28"/>
        </w:rPr>
      </w:pPr>
    </w:p>
    <w:p w:rsidR="00E07369" w:rsidRPr="00453A63" w:rsidRDefault="0026700D" w:rsidP="00E07369">
      <w:pPr>
        <w:pStyle w:val="Sinespaciado1"/>
        <w:spacing w:line="360" w:lineRule="auto"/>
        <w:ind w:firstLine="2835"/>
        <w:jc w:val="both"/>
        <w:rPr>
          <w:rFonts w:ascii="Arial" w:hAnsi="Arial" w:cs="Arial"/>
          <w:spacing w:val="-3"/>
          <w:sz w:val="28"/>
          <w:szCs w:val="28"/>
        </w:rPr>
      </w:pPr>
      <w:r w:rsidRPr="00453A63">
        <w:rPr>
          <w:rFonts w:ascii="Arial" w:hAnsi="Arial" w:cs="Arial"/>
          <w:b/>
          <w:spacing w:val="-3"/>
          <w:sz w:val="28"/>
          <w:szCs w:val="28"/>
        </w:rPr>
        <w:t>QUINTO</w:t>
      </w:r>
      <w:r w:rsidR="00E07369" w:rsidRPr="00453A63">
        <w:rPr>
          <w:rFonts w:ascii="Arial" w:hAnsi="Arial" w:cs="Arial"/>
          <w:b/>
          <w:spacing w:val="-3"/>
          <w:sz w:val="28"/>
          <w:szCs w:val="28"/>
        </w:rPr>
        <w:t>:</w:t>
      </w:r>
      <w:r w:rsidR="00E07369" w:rsidRPr="00453A63">
        <w:rPr>
          <w:rFonts w:ascii="Arial" w:hAnsi="Arial" w:cs="Arial"/>
          <w:spacing w:val="-3"/>
          <w:sz w:val="28"/>
          <w:szCs w:val="28"/>
        </w:rPr>
        <w:t xml:space="preserve"> Remítase el expediente a la Honorable Corte Constitucional para su eventual revisión.</w:t>
      </w:r>
    </w:p>
    <w:p w:rsidR="00E07369" w:rsidRPr="00453A63" w:rsidRDefault="00E07369" w:rsidP="00E07369">
      <w:pPr>
        <w:pStyle w:val="Sinespaciado1"/>
        <w:spacing w:line="360" w:lineRule="auto"/>
        <w:ind w:firstLine="2835"/>
        <w:jc w:val="both"/>
        <w:rPr>
          <w:rFonts w:ascii="Arial" w:hAnsi="Arial" w:cs="Arial"/>
          <w:spacing w:val="-3"/>
          <w:sz w:val="28"/>
          <w:szCs w:val="28"/>
        </w:rPr>
      </w:pPr>
    </w:p>
    <w:p w:rsidR="00E07369" w:rsidRPr="00453A63" w:rsidRDefault="00E07369" w:rsidP="00E07369">
      <w:pPr>
        <w:pStyle w:val="Sinespaciado1"/>
        <w:spacing w:line="360" w:lineRule="auto"/>
        <w:ind w:firstLine="2835"/>
        <w:jc w:val="both"/>
        <w:rPr>
          <w:rFonts w:ascii="Arial" w:hAnsi="Arial" w:cs="Arial"/>
          <w:spacing w:val="-3"/>
          <w:sz w:val="28"/>
          <w:szCs w:val="28"/>
        </w:rPr>
      </w:pPr>
      <w:r w:rsidRPr="00453A63">
        <w:rPr>
          <w:rFonts w:ascii="Arial" w:hAnsi="Arial" w:cs="Arial"/>
          <w:spacing w:val="-3"/>
          <w:sz w:val="28"/>
          <w:szCs w:val="28"/>
        </w:rPr>
        <w:t>Cópiese y notifíquese</w:t>
      </w:r>
    </w:p>
    <w:p w:rsidR="00E07369" w:rsidRPr="00453A63" w:rsidRDefault="00E07369" w:rsidP="00B904FE">
      <w:pPr>
        <w:pStyle w:val="Sinespaciado1"/>
        <w:spacing w:line="360" w:lineRule="auto"/>
        <w:jc w:val="both"/>
        <w:rPr>
          <w:rFonts w:ascii="Arial" w:hAnsi="Arial" w:cs="Arial"/>
          <w:b/>
          <w:spacing w:val="-3"/>
          <w:sz w:val="28"/>
          <w:szCs w:val="28"/>
        </w:rPr>
      </w:pPr>
    </w:p>
    <w:p w:rsidR="0099271C" w:rsidRPr="00453A63" w:rsidRDefault="0099271C" w:rsidP="00B904FE">
      <w:pPr>
        <w:pStyle w:val="Sinespaciado1"/>
        <w:spacing w:line="360" w:lineRule="auto"/>
        <w:jc w:val="both"/>
        <w:rPr>
          <w:rFonts w:ascii="Arial" w:hAnsi="Arial" w:cs="Arial"/>
          <w:b/>
          <w:spacing w:val="-3"/>
          <w:sz w:val="28"/>
          <w:szCs w:val="28"/>
        </w:rPr>
      </w:pPr>
    </w:p>
    <w:p w:rsidR="00E07369" w:rsidRPr="00CB0021" w:rsidRDefault="00E07369" w:rsidP="00E07369">
      <w:pPr>
        <w:pStyle w:val="Sinespaciado1"/>
        <w:spacing w:line="360" w:lineRule="auto"/>
        <w:ind w:firstLine="2835"/>
        <w:jc w:val="both"/>
        <w:rPr>
          <w:rFonts w:ascii="Arial" w:hAnsi="Arial" w:cs="Arial"/>
          <w:b/>
          <w:spacing w:val="-3"/>
          <w:sz w:val="24"/>
          <w:szCs w:val="24"/>
        </w:rPr>
      </w:pPr>
      <w:r w:rsidRPr="00CB0021">
        <w:rPr>
          <w:rFonts w:ascii="Arial" w:hAnsi="Arial" w:cs="Arial"/>
          <w:b/>
          <w:spacing w:val="-3"/>
          <w:sz w:val="24"/>
          <w:szCs w:val="24"/>
        </w:rPr>
        <w:t>EDDER JIMMY SÁNCHEZ CALAMBÁS</w:t>
      </w:r>
    </w:p>
    <w:p w:rsidR="00E07369" w:rsidRPr="00CB0021" w:rsidRDefault="00E07369" w:rsidP="00E07369">
      <w:pPr>
        <w:pStyle w:val="Sinespaciado1"/>
        <w:spacing w:line="360" w:lineRule="auto"/>
        <w:ind w:firstLine="2835"/>
        <w:jc w:val="both"/>
        <w:rPr>
          <w:rFonts w:ascii="Arial" w:hAnsi="Arial" w:cs="Arial"/>
          <w:b/>
          <w:spacing w:val="-3"/>
          <w:sz w:val="24"/>
          <w:szCs w:val="24"/>
        </w:rPr>
      </w:pPr>
    </w:p>
    <w:p w:rsidR="00E07369" w:rsidRPr="00CB0021" w:rsidRDefault="00E07369" w:rsidP="00E07369">
      <w:pPr>
        <w:pStyle w:val="Sinespaciado1"/>
        <w:spacing w:line="360" w:lineRule="auto"/>
        <w:ind w:firstLine="2835"/>
        <w:jc w:val="both"/>
        <w:rPr>
          <w:rFonts w:ascii="Arial" w:hAnsi="Arial" w:cs="Arial"/>
          <w:b/>
          <w:spacing w:val="-3"/>
          <w:sz w:val="24"/>
          <w:szCs w:val="24"/>
        </w:rPr>
      </w:pPr>
    </w:p>
    <w:p w:rsidR="007D22B7" w:rsidRPr="00CB0021" w:rsidRDefault="007D22B7" w:rsidP="00E07369">
      <w:pPr>
        <w:pStyle w:val="Sinespaciado1"/>
        <w:spacing w:line="360" w:lineRule="auto"/>
        <w:ind w:firstLine="2835"/>
        <w:jc w:val="both"/>
        <w:rPr>
          <w:rFonts w:ascii="Arial" w:hAnsi="Arial" w:cs="Arial"/>
          <w:b/>
          <w:spacing w:val="-3"/>
          <w:sz w:val="24"/>
          <w:szCs w:val="24"/>
        </w:rPr>
      </w:pPr>
    </w:p>
    <w:p w:rsidR="0099271C" w:rsidRPr="00CB0021" w:rsidRDefault="0099271C" w:rsidP="00E07369">
      <w:pPr>
        <w:pStyle w:val="Sinespaciado1"/>
        <w:spacing w:line="360" w:lineRule="auto"/>
        <w:ind w:firstLine="2835"/>
        <w:jc w:val="both"/>
        <w:rPr>
          <w:rFonts w:ascii="Arial" w:hAnsi="Arial" w:cs="Arial"/>
          <w:b/>
          <w:spacing w:val="-3"/>
          <w:sz w:val="24"/>
          <w:szCs w:val="24"/>
        </w:rPr>
      </w:pPr>
    </w:p>
    <w:p w:rsidR="00E07369" w:rsidRPr="00CB0021" w:rsidRDefault="00E07369" w:rsidP="00E07369">
      <w:pPr>
        <w:pStyle w:val="Sinespaciado1"/>
        <w:spacing w:line="360" w:lineRule="auto"/>
        <w:ind w:firstLine="2835"/>
        <w:jc w:val="both"/>
        <w:rPr>
          <w:rFonts w:ascii="Arial" w:hAnsi="Arial" w:cs="Arial"/>
          <w:b/>
          <w:spacing w:val="-3"/>
          <w:sz w:val="24"/>
          <w:szCs w:val="24"/>
        </w:rPr>
      </w:pPr>
    </w:p>
    <w:p w:rsidR="00E07369" w:rsidRPr="00CB0021" w:rsidRDefault="00E07369" w:rsidP="00B904FE">
      <w:pPr>
        <w:pStyle w:val="Sinespaciado1"/>
        <w:spacing w:line="360" w:lineRule="auto"/>
        <w:jc w:val="both"/>
        <w:rPr>
          <w:rFonts w:ascii="Arial" w:hAnsi="Arial" w:cs="Arial"/>
          <w:spacing w:val="-3"/>
          <w:sz w:val="24"/>
          <w:szCs w:val="24"/>
        </w:rPr>
      </w:pPr>
      <w:r w:rsidRPr="00CB0021">
        <w:rPr>
          <w:rFonts w:ascii="Arial" w:hAnsi="Arial" w:cs="Arial"/>
          <w:b/>
          <w:spacing w:val="-3"/>
          <w:sz w:val="24"/>
          <w:szCs w:val="24"/>
        </w:rPr>
        <w:t>JAIME ALBERTO SARAZA NARANJO</w:t>
      </w:r>
      <w:r w:rsidR="00B904FE" w:rsidRPr="00CB0021">
        <w:rPr>
          <w:rFonts w:ascii="Arial" w:hAnsi="Arial" w:cs="Arial"/>
          <w:b/>
          <w:spacing w:val="-3"/>
          <w:sz w:val="24"/>
          <w:szCs w:val="24"/>
        </w:rPr>
        <w:t xml:space="preserve">               </w:t>
      </w:r>
      <w:r w:rsidRPr="00CB0021">
        <w:rPr>
          <w:rFonts w:ascii="Arial" w:hAnsi="Arial" w:cs="Arial"/>
          <w:b/>
          <w:spacing w:val="-3"/>
          <w:sz w:val="24"/>
          <w:szCs w:val="24"/>
        </w:rPr>
        <w:t>CLAUDIA MARÍA ARCILA RÍOS</w:t>
      </w:r>
    </w:p>
    <w:p w:rsidR="008312E5" w:rsidRPr="00453A63" w:rsidRDefault="008312E5">
      <w:pPr>
        <w:rPr>
          <w:sz w:val="28"/>
          <w:szCs w:val="28"/>
          <w:lang w:val="es-CO"/>
        </w:rPr>
      </w:pPr>
    </w:p>
    <w:sectPr w:rsidR="008312E5" w:rsidRPr="00453A63" w:rsidSect="00CB0021">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3A" w:rsidRDefault="00C93C3A" w:rsidP="00E07369">
      <w:r>
        <w:separator/>
      </w:r>
    </w:p>
  </w:endnote>
  <w:endnote w:type="continuationSeparator" w:id="0">
    <w:p w:rsidR="00C93C3A" w:rsidRDefault="00C93C3A" w:rsidP="00E0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69" w:rsidRPr="00B97631" w:rsidRDefault="00E0736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47207">
      <w:rPr>
        <w:rFonts w:ascii="Arial" w:hAnsi="Arial" w:cs="Arial"/>
        <w:noProof/>
        <w:sz w:val="22"/>
        <w:szCs w:val="22"/>
      </w:rPr>
      <w:t>3</w:t>
    </w:r>
    <w:r w:rsidRPr="00B97631">
      <w:rPr>
        <w:rFonts w:ascii="Arial" w:hAnsi="Arial" w:cs="Arial"/>
        <w:sz w:val="22"/>
        <w:szCs w:val="22"/>
      </w:rPr>
      <w:fldChar w:fldCharType="end"/>
    </w:r>
  </w:p>
  <w:p w:rsidR="00E07369" w:rsidRDefault="00E073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3A" w:rsidRDefault="00C93C3A" w:rsidP="00E07369">
      <w:r>
        <w:separator/>
      </w:r>
    </w:p>
  </w:footnote>
  <w:footnote w:type="continuationSeparator" w:id="0">
    <w:p w:rsidR="00C93C3A" w:rsidRDefault="00C93C3A" w:rsidP="00E07369">
      <w:r>
        <w:continuationSeparator/>
      </w:r>
    </w:p>
  </w:footnote>
  <w:footnote w:id="1">
    <w:p w:rsidR="0007169A" w:rsidRDefault="0007169A">
      <w:pPr>
        <w:pStyle w:val="Textonotapie"/>
      </w:pPr>
      <w:r>
        <w:rPr>
          <w:rStyle w:val="Refdenotaalpie"/>
        </w:rPr>
        <w:footnoteRef/>
      </w:r>
      <w:r>
        <w:t xml:space="preserve"> </w:t>
      </w:r>
      <w:proofErr w:type="spellStart"/>
      <w:r>
        <w:t>Fls</w:t>
      </w:r>
      <w:proofErr w:type="spellEnd"/>
      <w:r>
        <w:t>.</w:t>
      </w:r>
      <w:r w:rsidR="002F011E">
        <w:t xml:space="preserve"> 1 a 10 y 23 a 51 </w:t>
      </w:r>
      <w:proofErr w:type="spellStart"/>
      <w:r w:rsidR="002F011E">
        <w:t>c.ppa</w:t>
      </w:r>
      <w:r w:rsidRPr="0007169A">
        <w:t>l</w:t>
      </w:r>
      <w:proofErr w:type="spellEnd"/>
      <w:r w:rsidRPr="0007169A">
        <w:t>.).</w:t>
      </w:r>
      <w:r>
        <w:t xml:space="preserve"> </w:t>
      </w:r>
    </w:p>
  </w:footnote>
  <w:footnote w:id="2">
    <w:p w:rsidR="0059233A" w:rsidRDefault="0059233A">
      <w:pPr>
        <w:pStyle w:val="Textonotapie"/>
      </w:pPr>
      <w:r>
        <w:rPr>
          <w:rStyle w:val="Refdenotaalpie"/>
        </w:rPr>
        <w:footnoteRef/>
      </w:r>
      <w:r>
        <w:t xml:space="preserve"> </w:t>
      </w:r>
      <w:proofErr w:type="spellStart"/>
      <w:r>
        <w:t>Fls</w:t>
      </w:r>
      <w:proofErr w:type="spellEnd"/>
      <w:r>
        <w:t xml:space="preserve">. 98-106 </w:t>
      </w:r>
      <w:proofErr w:type="gramStart"/>
      <w:r>
        <w:t>ib</w:t>
      </w:r>
      <w:proofErr w:type="gramEnd"/>
      <w:r>
        <w:t>.</w:t>
      </w:r>
    </w:p>
  </w:footnote>
  <w:footnote w:id="3">
    <w:p w:rsidR="00DC2761" w:rsidRPr="00DC2761" w:rsidRDefault="00DC2761">
      <w:pPr>
        <w:pStyle w:val="Textonotapie"/>
        <w:rPr>
          <w:rFonts w:ascii="Arial" w:hAnsi="Arial" w:cs="Arial"/>
          <w:sz w:val="20"/>
          <w:szCs w:val="20"/>
        </w:rPr>
      </w:pPr>
      <w:r>
        <w:rPr>
          <w:rStyle w:val="Refdenotaalpie"/>
        </w:rPr>
        <w:footnoteRef/>
      </w:r>
      <w:r>
        <w:t xml:space="preserve"> </w:t>
      </w:r>
      <w:r w:rsidRPr="00DC2761">
        <w:rPr>
          <w:rFonts w:ascii="Arial" w:hAnsi="Arial" w:cs="Arial"/>
          <w:sz w:val="20"/>
          <w:szCs w:val="20"/>
        </w:rPr>
        <w:t xml:space="preserve">Sentencia T-217 de 2013; M.P. </w:t>
      </w:r>
      <w:proofErr w:type="spellStart"/>
      <w:r>
        <w:rPr>
          <w:rFonts w:ascii="Arial" w:hAnsi="Arial" w:cs="Arial"/>
          <w:sz w:val="20"/>
          <w:szCs w:val="20"/>
        </w:rPr>
        <w:t>Alexei</w:t>
      </w:r>
      <w:proofErr w:type="spellEnd"/>
      <w:r w:rsidRPr="00DC2761">
        <w:rPr>
          <w:rFonts w:ascii="Arial" w:hAnsi="Arial" w:cs="Arial"/>
          <w:sz w:val="20"/>
          <w:szCs w:val="20"/>
        </w:rPr>
        <w:t xml:space="preserve"> Julio Estrada.</w:t>
      </w:r>
    </w:p>
  </w:footnote>
  <w:footnote w:id="4">
    <w:p w:rsidR="00AF2351" w:rsidRPr="00DC2761" w:rsidRDefault="00AF2351" w:rsidP="00AF2351">
      <w:pPr>
        <w:pStyle w:val="Textonotapie"/>
        <w:rPr>
          <w:rFonts w:ascii="Arial" w:hAnsi="Arial" w:cs="Arial"/>
          <w:sz w:val="20"/>
          <w:szCs w:val="20"/>
        </w:rPr>
      </w:pPr>
      <w:r w:rsidRPr="00DC2761">
        <w:rPr>
          <w:rStyle w:val="Refdenotaalpie"/>
          <w:rFonts w:ascii="Arial" w:hAnsi="Arial" w:cs="Arial"/>
          <w:sz w:val="20"/>
          <w:szCs w:val="20"/>
        </w:rPr>
        <w:footnoteRef/>
      </w:r>
      <w:r w:rsidRPr="00DC2761">
        <w:rPr>
          <w:rFonts w:ascii="Arial" w:hAnsi="Arial" w:cs="Arial"/>
          <w:sz w:val="20"/>
          <w:szCs w:val="20"/>
        </w:rPr>
        <w:t xml:space="preserve"> Sentencia T-584 de 2011, M.P. Jorge Ignacio </w:t>
      </w:r>
      <w:proofErr w:type="spellStart"/>
      <w:r w:rsidRPr="00DC2761">
        <w:rPr>
          <w:rFonts w:ascii="Arial" w:hAnsi="Arial" w:cs="Arial"/>
          <w:sz w:val="20"/>
          <w:szCs w:val="20"/>
        </w:rPr>
        <w:t>Pretelt</w:t>
      </w:r>
      <w:proofErr w:type="spellEnd"/>
      <w:r w:rsidRPr="00DC2761">
        <w:rPr>
          <w:rFonts w:ascii="Arial" w:hAnsi="Arial" w:cs="Arial"/>
          <w:sz w:val="20"/>
          <w:szCs w:val="20"/>
        </w:rPr>
        <w:t xml:space="preserve"> </w:t>
      </w:r>
      <w:proofErr w:type="spellStart"/>
      <w:r w:rsidRPr="00DC2761">
        <w:rPr>
          <w:rFonts w:ascii="Arial" w:hAnsi="Arial" w:cs="Arial"/>
          <w:sz w:val="20"/>
          <w:szCs w:val="20"/>
        </w:rPr>
        <w:t>Chaljub</w:t>
      </w:r>
      <w:proofErr w:type="spellEnd"/>
      <w:r w:rsidRPr="00DC2761">
        <w:rPr>
          <w:rFonts w:ascii="Arial" w:hAnsi="Arial" w:cs="Arial"/>
          <w:sz w:val="20"/>
          <w:szCs w:val="20"/>
        </w:rPr>
        <w:t xml:space="preserve">. </w:t>
      </w:r>
    </w:p>
  </w:footnote>
  <w:footnote w:id="5">
    <w:p w:rsidR="00523E0A" w:rsidRDefault="00523E0A">
      <w:pPr>
        <w:pStyle w:val="Textonotapie"/>
      </w:pPr>
      <w:r w:rsidRPr="00DC2761">
        <w:rPr>
          <w:rStyle w:val="Refdenotaalpie"/>
          <w:rFonts w:ascii="Arial" w:hAnsi="Arial" w:cs="Arial"/>
          <w:sz w:val="20"/>
          <w:szCs w:val="20"/>
        </w:rPr>
        <w:footnoteRef/>
      </w:r>
      <w:r w:rsidRPr="00DC2761">
        <w:rPr>
          <w:rFonts w:ascii="Arial" w:hAnsi="Arial" w:cs="Arial"/>
          <w:sz w:val="20"/>
          <w:szCs w:val="20"/>
        </w:rPr>
        <w:t xml:space="preserve"> Sentencia T-228 de 2014, M.P.</w:t>
      </w:r>
      <w:r>
        <w:t xml:space="preserve"> </w:t>
      </w:r>
    </w:p>
  </w:footnote>
  <w:footnote w:id="6">
    <w:p w:rsidR="008E7079" w:rsidRPr="00B45370" w:rsidRDefault="008E7079">
      <w:pPr>
        <w:pStyle w:val="Textonotapie"/>
        <w:rPr>
          <w:rFonts w:ascii="Arial" w:hAnsi="Arial" w:cs="Arial"/>
          <w:sz w:val="20"/>
          <w:szCs w:val="20"/>
        </w:rPr>
      </w:pPr>
      <w:r w:rsidRPr="00B45370">
        <w:rPr>
          <w:rStyle w:val="Refdenotaalpie"/>
          <w:rFonts w:ascii="Arial" w:hAnsi="Arial" w:cs="Arial"/>
          <w:sz w:val="20"/>
          <w:szCs w:val="20"/>
        </w:rPr>
        <w:footnoteRef/>
      </w:r>
      <w:r w:rsidRPr="00B45370">
        <w:rPr>
          <w:rFonts w:ascii="Arial" w:hAnsi="Arial" w:cs="Arial"/>
          <w:sz w:val="20"/>
          <w:szCs w:val="20"/>
        </w:rPr>
        <w:t xml:space="preserve"> Sentencia T-228 de 2014; M.P. </w:t>
      </w:r>
      <w:r w:rsidR="00B45370" w:rsidRPr="00B45370">
        <w:rPr>
          <w:rFonts w:ascii="Arial" w:hAnsi="Arial" w:cs="Arial"/>
          <w:sz w:val="20"/>
          <w:szCs w:val="20"/>
        </w:rPr>
        <w:t xml:space="preserve">Nilson Pinilla </w:t>
      </w:r>
      <w:proofErr w:type="spellStart"/>
      <w:r w:rsidR="00B45370" w:rsidRPr="00B45370">
        <w:rPr>
          <w:rFonts w:ascii="Arial" w:hAnsi="Arial" w:cs="Arial"/>
          <w:sz w:val="20"/>
          <w:szCs w:val="20"/>
        </w:rPr>
        <w:t>Pinilla</w:t>
      </w:r>
      <w:proofErr w:type="spellEnd"/>
      <w:r w:rsidR="00B45370" w:rsidRPr="00B45370">
        <w:rPr>
          <w:rFonts w:ascii="Arial" w:hAnsi="Arial" w:cs="Arial"/>
          <w:sz w:val="20"/>
          <w:szCs w:val="20"/>
        </w:rPr>
        <w:t>.</w:t>
      </w:r>
    </w:p>
  </w:footnote>
  <w:footnote w:id="7">
    <w:p w:rsidR="00656E92" w:rsidRDefault="00656E92">
      <w:pPr>
        <w:pStyle w:val="Textonotapie"/>
      </w:pPr>
      <w:r>
        <w:rPr>
          <w:rStyle w:val="Refdenotaalpie"/>
        </w:rPr>
        <w:footnoteRef/>
      </w:r>
      <w:r>
        <w:t xml:space="preserve"> CD.</w:t>
      </w:r>
    </w:p>
  </w:footnote>
  <w:footnote w:id="8">
    <w:p w:rsidR="007162B5" w:rsidRPr="00223BB4" w:rsidRDefault="007162B5" w:rsidP="0099271C">
      <w:pPr>
        <w:pStyle w:val="Textonotapie"/>
        <w:spacing w:before="0" w:beforeAutospacing="0" w:after="0" w:afterAutospacing="0"/>
        <w:jc w:val="both"/>
        <w:rPr>
          <w:rFonts w:ascii="Arial" w:hAnsi="Arial" w:cs="Arial"/>
          <w:spacing w:val="-12"/>
          <w:sz w:val="20"/>
          <w:szCs w:val="20"/>
        </w:rPr>
      </w:pPr>
      <w:r w:rsidRPr="00223BB4">
        <w:rPr>
          <w:rStyle w:val="Refdenotaalpie"/>
          <w:rFonts w:ascii="Arial" w:hAnsi="Arial" w:cs="Arial"/>
          <w:spacing w:val="-12"/>
          <w:sz w:val="20"/>
          <w:szCs w:val="20"/>
        </w:rPr>
        <w:footnoteRef/>
      </w:r>
      <w:r w:rsidRPr="00223BB4">
        <w:rPr>
          <w:rFonts w:ascii="Arial" w:hAnsi="Arial" w:cs="Arial"/>
          <w:spacing w:val="-12"/>
          <w:sz w:val="20"/>
          <w:szCs w:val="20"/>
        </w:rPr>
        <w:t xml:space="preserve"> </w:t>
      </w:r>
      <w:r w:rsidR="00C55FE3" w:rsidRPr="00223BB4">
        <w:rPr>
          <w:rFonts w:ascii="Arial" w:hAnsi="Arial" w:cs="Arial"/>
          <w:spacing w:val="-12"/>
          <w:sz w:val="20"/>
          <w:szCs w:val="20"/>
        </w:rPr>
        <w:t>Folio</w:t>
      </w:r>
      <w:r w:rsidRPr="00223BB4">
        <w:rPr>
          <w:rFonts w:ascii="Arial" w:hAnsi="Arial" w:cs="Arial"/>
          <w:spacing w:val="-12"/>
          <w:sz w:val="20"/>
          <w:szCs w:val="20"/>
        </w:rPr>
        <w:t xml:space="preserve"> </w:t>
      </w:r>
      <w:r w:rsidR="00C55FE3" w:rsidRPr="00223BB4">
        <w:rPr>
          <w:rFonts w:ascii="Arial" w:hAnsi="Arial" w:cs="Arial"/>
          <w:spacing w:val="-12"/>
          <w:sz w:val="20"/>
          <w:szCs w:val="20"/>
        </w:rPr>
        <w:t>4 cuaderno principal</w:t>
      </w:r>
    </w:p>
  </w:footnote>
  <w:footnote w:id="9">
    <w:p w:rsidR="00DA1469" w:rsidRPr="00223BB4" w:rsidRDefault="00DA1469" w:rsidP="0099271C">
      <w:pPr>
        <w:pStyle w:val="Textonotapie"/>
        <w:spacing w:before="0" w:beforeAutospacing="0" w:after="0" w:afterAutospacing="0"/>
        <w:rPr>
          <w:rFonts w:ascii="Arial" w:hAnsi="Arial" w:cs="Arial"/>
          <w:sz w:val="20"/>
          <w:szCs w:val="20"/>
        </w:rPr>
      </w:pPr>
      <w:r w:rsidRPr="00223BB4">
        <w:rPr>
          <w:rStyle w:val="Refdenotaalpie"/>
          <w:rFonts w:ascii="Arial" w:hAnsi="Arial" w:cs="Arial"/>
          <w:sz w:val="20"/>
          <w:szCs w:val="20"/>
        </w:rPr>
        <w:footnoteRef/>
      </w:r>
      <w:r w:rsidRPr="00223BB4">
        <w:rPr>
          <w:rFonts w:ascii="Arial" w:hAnsi="Arial" w:cs="Arial"/>
          <w:sz w:val="20"/>
          <w:szCs w:val="20"/>
        </w:rPr>
        <w:t xml:space="preserve"> Sentencia tutela Acta No. 430 del 14 de septiembre de 2015, Expediente 2015-00334-01, M.P. Claudia María Arcila Ríos y 2015-00244-01, Acta número 412 de 07</w:t>
      </w:r>
      <w:r w:rsidR="00023016" w:rsidRPr="00223BB4">
        <w:rPr>
          <w:rFonts w:ascii="Arial" w:hAnsi="Arial" w:cs="Arial"/>
          <w:sz w:val="20"/>
          <w:szCs w:val="20"/>
        </w:rPr>
        <w:t xml:space="preserve"> de septiembre de </w:t>
      </w:r>
      <w:r w:rsidRPr="00223BB4">
        <w:rPr>
          <w:rFonts w:ascii="Arial" w:hAnsi="Arial" w:cs="Arial"/>
          <w:sz w:val="20"/>
          <w:szCs w:val="20"/>
        </w:rPr>
        <w:t>2015</w:t>
      </w:r>
      <w:r w:rsidR="00023016" w:rsidRPr="00223BB4">
        <w:rPr>
          <w:rFonts w:ascii="Arial" w:hAnsi="Arial" w:cs="Arial"/>
          <w:sz w:val="20"/>
          <w:szCs w:val="20"/>
        </w:rPr>
        <w:t>, M.P. Duberney Grisales Herrera.</w:t>
      </w:r>
      <w:r w:rsidRPr="00223BB4">
        <w:rPr>
          <w:rFonts w:ascii="Arial" w:hAnsi="Arial" w:cs="Arial"/>
          <w:sz w:val="20"/>
          <w:szCs w:val="20"/>
        </w:rPr>
        <w:t xml:space="preserve"> </w:t>
      </w:r>
    </w:p>
    <w:p w:rsidR="00DA1469" w:rsidRDefault="00DA146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69" w:rsidRPr="005643A9" w:rsidRDefault="00E07369" w:rsidP="00E07369">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E07369" w:rsidRPr="005643A9" w:rsidRDefault="00E07369" w:rsidP="00E07369">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5793EE6" wp14:editId="676EC2F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E07369" w:rsidRPr="005643A9" w:rsidRDefault="00E07369" w:rsidP="00E07369">
    <w:pPr>
      <w:pStyle w:val="Sinespaciado1"/>
      <w:rPr>
        <w:rFonts w:ascii="Arial" w:hAnsi="Arial" w:cs="Arial"/>
        <w:sz w:val="16"/>
        <w:szCs w:val="16"/>
      </w:rPr>
    </w:pPr>
  </w:p>
  <w:p w:rsidR="00E07369" w:rsidRPr="005643A9" w:rsidRDefault="00E07369" w:rsidP="00E07369">
    <w:pPr>
      <w:pStyle w:val="Sinespaciado2"/>
      <w:rPr>
        <w:rFonts w:ascii="Arial" w:hAnsi="Arial" w:cs="Arial"/>
        <w:sz w:val="16"/>
        <w:szCs w:val="16"/>
      </w:rPr>
    </w:pPr>
  </w:p>
  <w:p w:rsidR="00E07369" w:rsidRDefault="00E07369" w:rsidP="00E07369">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E07369" w:rsidRPr="005643A9" w:rsidRDefault="00E07369" w:rsidP="00E07369">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 T-2a. 66</w:t>
    </w:r>
    <w:r w:rsidR="00C22B9F">
      <w:rPr>
        <w:rFonts w:ascii="Arial" w:hAnsi="Arial" w:cs="Arial"/>
        <w:sz w:val="16"/>
        <w:szCs w:val="16"/>
      </w:rPr>
      <w:t>001</w:t>
    </w:r>
    <w:r>
      <w:rPr>
        <w:rFonts w:ascii="Arial" w:hAnsi="Arial" w:cs="Arial"/>
        <w:sz w:val="16"/>
        <w:szCs w:val="16"/>
      </w:rPr>
      <w:t>-31-10-001-2015-00</w:t>
    </w:r>
    <w:r w:rsidR="00C22B9F">
      <w:rPr>
        <w:rFonts w:ascii="Arial" w:hAnsi="Arial" w:cs="Arial"/>
        <w:sz w:val="16"/>
        <w:szCs w:val="16"/>
      </w:rPr>
      <w:t>562</w:t>
    </w:r>
    <w:r>
      <w:rPr>
        <w:rFonts w:ascii="Arial" w:hAnsi="Arial" w:cs="Arial"/>
        <w:sz w:val="16"/>
        <w:szCs w:val="16"/>
      </w:rPr>
      <w:t>-01</w:t>
    </w:r>
  </w:p>
  <w:p w:rsidR="00E07369" w:rsidRDefault="00E07369">
    <w:pPr>
      <w:pStyle w:val="Encabezado"/>
      <w:rPr>
        <w:rFonts w:ascii="Arial" w:hAnsi="Arial" w:cs="Arial"/>
        <w:sz w:val="16"/>
        <w:szCs w:val="16"/>
      </w:rPr>
    </w:pPr>
  </w:p>
  <w:p w:rsidR="00E07369" w:rsidRPr="005643A9" w:rsidRDefault="00E0736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9"/>
    <w:rsid w:val="00007BA5"/>
    <w:rsid w:val="00023016"/>
    <w:rsid w:val="00031BBC"/>
    <w:rsid w:val="00051BD1"/>
    <w:rsid w:val="0007169A"/>
    <w:rsid w:val="00071A00"/>
    <w:rsid w:val="0009511A"/>
    <w:rsid w:val="000A6EC5"/>
    <w:rsid w:val="000A7751"/>
    <w:rsid w:val="000C25C4"/>
    <w:rsid w:val="00135358"/>
    <w:rsid w:val="001439C9"/>
    <w:rsid w:val="001529E9"/>
    <w:rsid w:val="001537B8"/>
    <w:rsid w:val="00175BD3"/>
    <w:rsid w:val="001A0A6B"/>
    <w:rsid w:val="001B311B"/>
    <w:rsid w:val="001D3D36"/>
    <w:rsid w:val="001E11E0"/>
    <w:rsid w:val="001E3E8F"/>
    <w:rsid w:val="001E4C79"/>
    <w:rsid w:val="00223BB4"/>
    <w:rsid w:val="00227C9A"/>
    <w:rsid w:val="0023057E"/>
    <w:rsid w:val="00254C32"/>
    <w:rsid w:val="00262150"/>
    <w:rsid w:val="0026700D"/>
    <w:rsid w:val="00283B41"/>
    <w:rsid w:val="002878EB"/>
    <w:rsid w:val="002B2246"/>
    <w:rsid w:val="002D3B50"/>
    <w:rsid w:val="002F011E"/>
    <w:rsid w:val="0031707C"/>
    <w:rsid w:val="003D3851"/>
    <w:rsid w:val="003F04F0"/>
    <w:rsid w:val="00406A2C"/>
    <w:rsid w:val="00443DED"/>
    <w:rsid w:val="00453A63"/>
    <w:rsid w:val="00463D13"/>
    <w:rsid w:val="00483969"/>
    <w:rsid w:val="00490482"/>
    <w:rsid w:val="004D6CF7"/>
    <w:rsid w:val="00507AE8"/>
    <w:rsid w:val="00523E0A"/>
    <w:rsid w:val="00545EB4"/>
    <w:rsid w:val="00550CAB"/>
    <w:rsid w:val="00551AAB"/>
    <w:rsid w:val="00552841"/>
    <w:rsid w:val="00560410"/>
    <w:rsid w:val="00560BA4"/>
    <w:rsid w:val="00572467"/>
    <w:rsid w:val="005727AB"/>
    <w:rsid w:val="005737F9"/>
    <w:rsid w:val="0057588A"/>
    <w:rsid w:val="0059233A"/>
    <w:rsid w:val="005C0E01"/>
    <w:rsid w:val="005F1F34"/>
    <w:rsid w:val="005F341A"/>
    <w:rsid w:val="006003D4"/>
    <w:rsid w:val="00612FE6"/>
    <w:rsid w:val="00623C93"/>
    <w:rsid w:val="00656E92"/>
    <w:rsid w:val="0066437A"/>
    <w:rsid w:val="006668F1"/>
    <w:rsid w:val="0067195D"/>
    <w:rsid w:val="00674EEC"/>
    <w:rsid w:val="006E007A"/>
    <w:rsid w:val="006E168D"/>
    <w:rsid w:val="006F33DE"/>
    <w:rsid w:val="0070574D"/>
    <w:rsid w:val="007162B5"/>
    <w:rsid w:val="00745174"/>
    <w:rsid w:val="007815F0"/>
    <w:rsid w:val="00792906"/>
    <w:rsid w:val="007C0FC0"/>
    <w:rsid w:val="007C4033"/>
    <w:rsid w:val="007C4CA6"/>
    <w:rsid w:val="007D0FD8"/>
    <w:rsid w:val="007D22B7"/>
    <w:rsid w:val="00810BDF"/>
    <w:rsid w:val="00817CD7"/>
    <w:rsid w:val="008312E5"/>
    <w:rsid w:val="00847207"/>
    <w:rsid w:val="00852F05"/>
    <w:rsid w:val="0087468B"/>
    <w:rsid w:val="00893521"/>
    <w:rsid w:val="008B326D"/>
    <w:rsid w:val="008C643B"/>
    <w:rsid w:val="008C7BA6"/>
    <w:rsid w:val="008D7A32"/>
    <w:rsid w:val="008E7079"/>
    <w:rsid w:val="0092480C"/>
    <w:rsid w:val="00946ABB"/>
    <w:rsid w:val="00951FB9"/>
    <w:rsid w:val="0097224F"/>
    <w:rsid w:val="00973015"/>
    <w:rsid w:val="00992182"/>
    <w:rsid w:val="0099271C"/>
    <w:rsid w:val="00996809"/>
    <w:rsid w:val="009D1E45"/>
    <w:rsid w:val="009D7F00"/>
    <w:rsid w:val="009E1E21"/>
    <w:rsid w:val="009F6D6F"/>
    <w:rsid w:val="00A33A0A"/>
    <w:rsid w:val="00A34350"/>
    <w:rsid w:val="00A4695A"/>
    <w:rsid w:val="00A52029"/>
    <w:rsid w:val="00A57F85"/>
    <w:rsid w:val="00A62B1A"/>
    <w:rsid w:val="00A714D9"/>
    <w:rsid w:val="00A77426"/>
    <w:rsid w:val="00AC3EF7"/>
    <w:rsid w:val="00AD4A3F"/>
    <w:rsid w:val="00AE5E32"/>
    <w:rsid w:val="00AF2351"/>
    <w:rsid w:val="00B02A02"/>
    <w:rsid w:val="00B05DF4"/>
    <w:rsid w:val="00B43408"/>
    <w:rsid w:val="00B45370"/>
    <w:rsid w:val="00B57406"/>
    <w:rsid w:val="00B904FE"/>
    <w:rsid w:val="00B90564"/>
    <w:rsid w:val="00B90DB9"/>
    <w:rsid w:val="00B96228"/>
    <w:rsid w:val="00B96D2E"/>
    <w:rsid w:val="00BB4158"/>
    <w:rsid w:val="00BD6A82"/>
    <w:rsid w:val="00C22B9F"/>
    <w:rsid w:val="00C55FE3"/>
    <w:rsid w:val="00C730C9"/>
    <w:rsid w:val="00C75395"/>
    <w:rsid w:val="00C81143"/>
    <w:rsid w:val="00C83BA9"/>
    <w:rsid w:val="00C876C1"/>
    <w:rsid w:val="00C90135"/>
    <w:rsid w:val="00C93C3A"/>
    <w:rsid w:val="00CA0611"/>
    <w:rsid w:val="00CB0021"/>
    <w:rsid w:val="00CC320E"/>
    <w:rsid w:val="00CC67EC"/>
    <w:rsid w:val="00CD31FA"/>
    <w:rsid w:val="00CE0CF6"/>
    <w:rsid w:val="00CF0F7C"/>
    <w:rsid w:val="00D40169"/>
    <w:rsid w:val="00D51633"/>
    <w:rsid w:val="00D7323B"/>
    <w:rsid w:val="00D7395A"/>
    <w:rsid w:val="00D958A9"/>
    <w:rsid w:val="00DA0032"/>
    <w:rsid w:val="00DA1469"/>
    <w:rsid w:val="00DC2761"/>
    <w:rsid w:val="00DD72D5"/>
    <w:rsid w:val="00E07369"/>
    <w:rsid w:val="00E250F2"/>
    <w:rsid w:val="00E346BB"/>
    <w:rsid w:val="00E3491E"/>
    <w:rsid w:val="00E70AE4"/>
    <w:rsid w:val="00E73C57"/>
    <w:rsid w:val="00E835E3"/>
    <w:rsid w:val="00EE10D0"/>
    <w:rsid w:val="00EE2A5F"/>
    <w:rsid w:val="00EF3048"/>
    <w:rsid w:val="00F05DCB"/>
    <w:rsid w:val="00F108D6"/>
    <w:rsid w:val="00F1480B"/>
    <w:rsid w:val="00F90B27"/>
    <w:rsid w:val="00F9645B"/>
    <w:rsid w:val="00F96713"/>
    <w:rsid w:val="00FA2E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9EB5E-E035-47AE-9F52-B7159BB5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369"/>
    <w:pPr>
      <w:spacing w:after="0" w:line="240" w:lineRule="auto"/>
    </w:pPr>
    <w:rPr>
      <w:rFonts w:ascii="Times New Roman" w:eastAsia="Calibri" w:hAnsi="Times New Roman" w:cs="Times New Roman"/>
      <w:sz w:val="20"/>
      <w:szCs w:val="20"/>
      <w:lang w:val="es-ES" w:eastAsia="es-ES"/>
    </w:rPr>
  </w:style>
  <w:style w:type="paragraph" w:styleId="Ttulo1">
    <w:name w:val="heading 1"/>
    <w:basedOn w:val="Normal"/>
    <w:next w:val="Normal"/>
    <w:link w:val="Ttulo1Car"/>
    <w:qFormat/>
    <w:rsid w:val="00E07369"/>
    <w:pPr>
      <w:keepNext/>
      <w:spacing w:line="480" w:lineRule="auto"/>
      <w:jc w:val="center"/>
      <w:outlineLvl w:val="0"/>
    </w:pPr>
    <w:rPr>
      <w:rFonts w:ascii="Arial" w:eastAsia="Arial Unicode MS" w:hAnsi="Arial"/>
      <w:b/>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7369"/>
    <w:rPr>
      <w:rFonts w:ascii="Arial" w:eastAsia="Arial Unicode MS" w:hAnsi="Arial" w:cs="Times New Roman"/>
      <w:b/>
      <w:sz w:val="28"/>
      <w:szCs w:val="20"/>
      <w:lang w:eastAsia="es-ES"/>
    </w:rPr>
  </w:style>
  <w:style w:type="paragraph" w:customStyle="1" w:styleId="Sinespaciado1">
    <w:name w:val="Sin espaciado1"/>
    <w:link w:val="NoSpacingChar"/>
    <w:uiPriority w:val="99"/>
    <w:rsid w:val="00E07369"/>
    <w:pPr>
      <w:spacing w:after="0" w:line="240" w:lineRule="auto"/>
    </w:pPr>
    <w:rPr>
      <w:rFonts w:ascii="Calibri" w:eastAsia="Calibri" w:hAnsi="Calibri" w:cs="Times New Roman"/>
    </w:rPr>
  </w:style>
  <w:style w:type="character" w:customStyle="1" w:styleId="NoSpacingChar">
    <w:name w:val="No Spacing Char"/>
    <w:link w:val="Sinespaciado1"/>
    <w:uiPriority w:val="99"/>
    <w:locked/>
    <w:rsid w:val="00E07369"/>
    <w:rPr>
      <w:rFonts w:ascii="Calibri" w:eastAsia="Calibri" w:hAnsi="Calibri" w:cs="Times New Roman"/>
    </w:rPr>
  </w:style>
  <w:style w:type="character" w:customStyle="1" w:styleId="EncabezadoCar">
    <w:name w:val="Encabezado Car"/>
    <w:basedOn w:val="Fuentedeprrafopredeter"/>
    <w:link w:val="Encabezado"/>
    <w:rsid w:val="00E07369"/>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E07369"/>
    <w:pPr>
      <w:tabs>
        <w:tab w:val="center" w:pos="4419"/>
        <w:tab w:val="right" w:pos="8838"/>
      </w:tabs>
    </w:pPr>
    <w:rPr>
      <w:rFonts w:eastAsia="Times New Roman"/>
    </w:rPr>
  </w:style>
  <w:style w:type="character" w:customStyle="1" w:styleId="PiedepginaCar">
    <w:name w:val="Pie de página Car"/>
    <w:basedOn w:val="Fuentedeprrafopredeter"/>
    <w:link w:val="Piedepgina"/>
    <w:rsid w:val="00E07369"/>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07369"/>
    <w:pPr>
      <w:tabs>
        <w:tab w:val="center" w:pos="4419"/>
        <w:tab w:val="right" w:pos="8838"/>
      </w:tabs>
    </w:pPr>
    <w:rPr>
      <w:rFonts w:eastAsia="Times New Roman"/>
    </w:rPr>
  </w:style>
  <w:style w:type="character" w:customStyle="1" w:styleId="SangradetextonormalCar">
    <w:name w:val="Sangría de texto normal Car"/>
    <w:basedOn w:val="Fuentedeprrafopredeter"/>
    <w:link w:val="Sangradetextonormal"/>
    <w:uiPriority w:val="99"/>
    <w:semiHidden/>
    <w:rsid w:val="00E07369"/>
    <w:rPr>
      <w:rFonts w:ascii="Times New Roman" w:eastAsia="Times New Roman" w:hAnsi="Times New Roman" w:cs="Times New Roman"/>
      <w:sz w:val="24"/>
      <w:szCs w:val="24"/>
      <w:lang w:eastAsia="es-CO"/>
    </w:rPr>
  </w:style>
  <w:style w:type="paragraph" w:styleId="Sangradetextonormal">
    <w:name w:val="Body Text Indent"/>
    <w:basedOn w:val="Normal"/>
    <w:link w:val="SangradetextonormalCar"/>
    <w:uiPriority w:val="99"/>
    <w:semiHidden/>
    <w:unhideWhenUsed/>
    <w:rsid w:val="00E07369"/>
    <w:pPr>
      <w:spacing w:before="100" w:beforeAutospacing="1" w:after="100" w:afterAutospacing="1"/>
    </w:pPr>
    <w:rPr>
      <w:rFonts w:eastAsia="Times New Roman"/>
      <w:sz w:val="24"/>
      <w:szCs w:val="24"/>
      <w:lang w:val="es-CO" w:eastAsia="es-CO"/>
    </w:rPr>
  </w:style>
  <w:style w:type="character" w:customStyle="1" w:styleId="SangradetextonormalCar1">
    <w:name w:val="Sangría de texto normal Car1"/>
    <w:basedOn w:val="Fuentedeprrafopredeter"/>
    <w:uiPriority w:val="99"/>
    <w:semiHidden/>
    <w:rsid w:val="00E07369"/>
    <w:rPr>
      <w:rFonts w:ascii="Times New Roman" w:eastAsia="Calibri" w:hAnsi="Times New Roman" w:cs="Times New Roman"/>
      <w:sz w:val="20"/>
      <w:szCs w:val="20"/>
      <w:lang w:val="es-ES" w:eastAsia="es-ES"/>
    </w:rPr>
  </w:style>
  <w:style w:type="character" w:customStyle="1" w:styleId="TextonotapieCar">
    <w:name w:val="Texto nota pie Car"/>
    <w:aliases w:val="Footnote Text Char Char Char Char Char Car1,Footnote Text Char Char Char Char Car1,Footnote reference Car1,FA Fu Car1,Footnote Text Char Char Char Car1,texto de nota al pie Car1,Footnote Text Char Char Char Car Car Car Car"/>
    <w:basedOn w:val="Fuentedeprrafopredeter"/>
    <w:link w:val="Textonotapie"/>
    <w:uiPriority w:val="99"/>
    <w:rsid w:val="00E07369"/>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texto de nota al pie,Footnote Text Char Char Char Car Car Car,texto de nota al p,Footnote Text Char"/>
    <w:basedOn w:val="Normal"/>
    <w:link w:val="TextonotapieCar"/>
    <w:unhideWhenUsed/>
    <w:rsid w:val="00E07369"/>
    <w:pPr>
      <w:spacing w:before="100" w:beforeAutospacing="1" w:after="100" w:afterAutospacing="1"/>
    </w:pPr>
    <w:rPr>
      <w:rFonts w:eastAsia="Times New Roman"/>
      <w:sz w:val="24"/>
      <w:szCs w:val="24"/>
      <w:lang w:val="es-CO" w:eastAsia="es-CO"/>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har Char Car Car Car Car1"/>
    <w:basedOn w:val="Fuentedeprrafopredeter"/>
    <w:semiHidden/>
    <w:rsid w:val="00E07369"/>
    <w:rPr>
      <w:rFonts w:ascii="Times New Roman" w:eastAsia="Calibri"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semiHidden/>
    <w:rsid w:val="00E07369"/>
    <w:rPr>
      <w:rFonts w:ascii="Times New Roman" w:eastAsia="Calibri"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E07369"/>
    <w:pPr>
      <w:spacing w:after="120"/>
    </w:pPr>
  </w:style>
  <w:style w:type="character" w:customStyle="1" w:styleId="Textoindependiente3Car">
    <w:name w:val="Texto independiente 3 Car"/>
    <w:basedOn w:val="Fuentedeprrafopredeter"/>
    <w:link w:val="Textoindependiente3"/>
    <w:rsid w:val="00E07369"/>
    <w:rPr>
      <w:rFonts w:ascii="Arial" w:eastAsia="Times New Roman" w:hAnsi="Arial" w:cs="Tahoma"/>
      <w:sz w:val="16"/>
      <w:szCs w:val="16"/>
      <w:lang w:eastAsia="es-ES"/>
    </w:rPr>
  </w:style>
  <w:style w:type="paragraph" w:styleId="Textoindependiente3">
    <w:name w:val="Body Text 3"/>
    <w:basedOn w:val="Normal"/>
    <w:link w:val="Textoindependiente3Car"/>
    <w:unhideWhenUsed/>
    <w:rsid w:val="00E07369"/>
    <w:pPr>
      <w:spacing w:after="120"/>
    </w:pPr>
    <w:rPr>
      <w:rFonts w:ascii="Arial" w:eastAsia="Times New Roman" w:hAnsi="Arial" w:cs="Tahoma"/>
      <w:sz w:val="16"/>
      <w:szCs w:val="16"/>
      <w:lang w:val="es-CO"/>
    </w:rPr>
  </w:style>
  <w:style w:type="character" w:customStyle="1" w:styleId="Sangra3detindependienteCar">
    <w:name w:val="Sangría 3 de t. independiente Car"/>
    <w:basedOn w:val="Fuentedeprrafopredeter"/>
    <w:link w:val="Sangra3detindependiente"/>
    <w:semiHidden/>
    <w:rsid w:val="00E07369"/>
    <w:rPr>
      <w:rFonts w:ascii="Arial" w:eastAsia="Calibri" w:hAnsi="Arial" w:cs="Tahoma"/>
      <w:sz w:val="16"/>
      <w:szCs w:val="16"/>
      <w:lang w:eastAsia="es-ES"/>
    </w:rPr>
  </w:style>
  <w:style w:type="paragraph" w:styleId="Sangra3detindependiente">
    <w:name w:val="Body Text Indent 3"/>
    <w:basedOn w:val="Normal"/>
    <w:link w:val="Sangra3detindependienteCar"/>
    <w:semiHidden/>
    <w:unhideWhenUsed/>
    <w:rsid w:val="00E07369"/>
    <w:pPr>
      <w:spacing w:after="120"/>
      <w:ind w:left="283"/>
    </w:pPr>
    <w:rPr>
      <w:rFonts w:ascii="Arial" w:hAnsi="Arial" w:cs="Tahoma"/>
      <w:sz w:val="16"/>
      <w:szCs w:val="16"/>
      <w:lang w:val="es-CO"/>
    </w:rPr>
  </w:style>
  <w:style w:type="character" w:customStyle="1" w:styleId="TextosinformatoCar">
    <w:name w:val="Texto sin formato Car"/>
    <w:basedOn w:val="Fuentedeprrafopredeter"/>
    <w:link w:val="Textosinformato"/>
    <w:semiHidden/>
    <w:rsid w:val="00E07369"/>
    <w:rPr>
      <w:rFonts w:ascii="Courier New" w:eastAsia="Calibri" w:hAnsi="Courier New" w:cs="Times New Roman"/>
      <w:sz w:val="20"/>
      <w:szCs w:val="20"/>
      <w:lang w:val="es-ES" w:eastAsia="es-ES"/>
    </w:rPr>
  </w:style>
  <w:style w:type="paragraph" w:styleId="Textosinformato">
    <w:name w:val="Plain Text"/>
    <w:basedOn w:val="Normal"/>
    <w:link w:val="TextosinformatoCar"/>
    <w:semiHidden/>
    <w:unhideWhenUsed/>
    <w:rsid w:val="00E07369"/>
    <w:rPr>
      <w:rFonts w:ascii="Courier New" w:hAnsi="Courier New"/>
    </w:rPr>
  </w:style>
  <w:style w:type="paragraph" w:customStyle="1" w:styleId="Sinespaciado3">
    <w:name w:val="Sin espaciado3"/>
    <w:rsid w:val="00E07369"/>
    <w:pPr>
      <w:spacing w:after="0" w:line="240" w:lineRule="auto"/>
    </w:pPr>
    <w:rPr>
      <w:rFonts w:ascii="Times New Roman" w:eastAsia="Calibri" w:hAnsi="Times New Roman" w:cs="Times New Roman"/>
      <w:sz w:val="20"/>
      <w:szCs w:val="20"/>
      <w:lang w:val="es-ES" w:eastAsia="es-ES"/>
    </w:rPr>
  </w:style>
  <w:style w:type="character" w:styleId="Refdenotaalpie">
    <w:name w:val="footnote reference"/>
    <w:aliases w:val="Texto de nota al pie"/>
    <w:semiHidden/>
    <w:unhideWhenUsed/>
    <w:rsid w:val="00E07369"/>
    <w:rPr>
      <w:vertAlign w:val="superscript"/>
    </w:rPr>
  </w:style>
  <w:style w:type="paragraph" w:styleId="Sinespaciado">
    <w:name w:val="No Spacing"/>
    <w:uiPriority w:val="1"/>
    <w:qFormat/>
    <w:rsid w:val="00E07369"/>
    <w:pPr>
      <w:spacing w:after="0" w:line="240" w:lineRule="auto"/>
    </w:pPr>
    <w:rPr>
      <w:rFonts w:ascii="Times New Roman" w:eastAsia="Calibri" w:hAnsi="Times New Roman" w:cs="Times New Roman"/>
      <w:sz w:val="20"/>
      <w:szCs w:val="20"/>
      <w:lang w:val="es-ES" w:eastAsia="es-ES"/>
    </w:rPr>
  </w:style>
  <w:style w:type="paragraph" w:customStyle="1" w:styleId="Sinespaciado2">
    <w:name w:val="Sin espaciado2"/>
    <w:rsid w:val="00E07369"/>
    <w:pPr>
      <w:spacing w:after="0" w:line="240" w:lineRule="auto"/>
    </w:pPr>
    <w:rPr>
      <w:rFonts w:ascii="Times New Roman" w:eastAsia="Calibri" w:hAnsi="Times New Roman" w:cs="Times New Roman"/>
      <w:sz w:val="20"/>
      <w:szCs w:val="20"/>
      <w:lang w:val="es-ES" w:eastAsia="es-ES"/>
    </w:rPr>
  </w:style>
  <w:style w:type="character" w:styleId="Hipervnculo">
    <w:name w:val="Hyperlink"/>
    <w:basedOn w:val="Fuentedeprrafopredeter"/>
    <w:uiPriority w:val="99"/>
    <w:semiHidden/>
    <w:unhideWhenUsed/>
    <w:rsid w:val="006668F1"/>
    <w:rPr>
      <w:color w:val="0000FF"/>
      <w:u w:val="single"/>
    </w:rPr>
  </w:style>
  <w:style w:type="character" w:customStyle="1" w:styleId="apple-converted-space">
    <w:name w:val="apple-converted-space"/>
    <w:basedOn w:val="Fuentedeprrafopredeter"/>
    <w:rsid w:val="006668F1"/>
  </w:style>
  <w:style w:type="paragraph" w:styleId="Textodeglobo">
    <w:name w:val="Balloon Text"/>
    <w:basedOn w:val="Normal"/>
    <w:link w:val="TextodegloboCar"/>
    <w:uiPriority w:val="99"/>
    <w:semiHidden/>
    <w:unhideWhenUsed/>
    <w:rsid w:val="00B90D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0DB9"/>
    <w:rPr>
      <w:rFonts w:ascii="Segoe UI" w:eastAsia="Calibri" w:hAnsi="Segoe UI" w:cs="Segoe UI"/>
      <w:sz w:val="18"/>
      <w:szCs w:val="18"/>
      <w:lang w:val="es-ES" w:eastAsia="es-ES"/>
    </w:rPr>
  </w:style>
  <w:style w:type="paragraph" w:styleId="Prrafodelista">
    <w:name w:val="List Paragraph"/>
    <w:basedOn w:val="Normal"/>
    <w:uiPriority w:val="34"/>
    <w:qFormat/>
    <w:rsid w:val="00A46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26816">
      <w:bodyDiv w:val="1"/>
      <w:marLeft w:val="0"/>
      <w:marRight w:val="0"/>
      <w:marTop w:val="0"/>
      <w:marBottom w:val="0"/>
      <w:divBdr>
        <w:top w:val="none" w:sz="0" w:space="0" w:color="auto"/>
        <w:left w:val="none" w:sz="0" w:space="0" w:color="auto"/>
        <w:bottom w:val="none" w:sz="0" w:space="0" w:color="auto"/>
        <w:right w:val="none" w:sz="0" w:space="0" w:color="auto"/>
      </w:divBdr>
    </w:div>
    <w:div w:id="1367372343">
      <w:bodyDiv w:val="1"/>
      <w:marLeft w:val="0"/>
      <w:marRight w:val="0"/>
      <w:marTop w:val="0"/>
      <w:marBottom w:val="0"/>
      <w:divBdr>
        <w:top w:val="none" w:sz="0" w:space="0" w:color="auto"/>
        <w:left w:val="none" w:sz="0" w:space="0" w:color="auto"/>
        <w:bottom w:val="none" w:sz="0" w:space="0" w:color="auto"/>
        <w:right w:val="none" w:sz="0" w:space="0" w:color="auto"/>
      </w:divBdr>
    </w:div>
    <w:div w:id="1383408772">
      <w:bodyDiv w:val="1"/>
      <w:marLeft w:val="0"/>
      <w:marRight w:val="0"/>
      <w:marTop w:val="0"/>
      <w:marBottom w:val="0"/>
      <w:divBdr>
        <w:top w:val="none" w:sz="0" w:space="0" w:color="auto"/>
        <w:left w:val="none" w:sz="0" w:space="0" w:color="auto"/>
        <w:bottom w:val="none" w:sz="0" w:space="0" w:color="auto"/>
        <w:right w:val="none" w:sz="0" w:space="0" w:color="auto"/>
      </w:divBdr>
    </w:div>
    <w:div w:id="1491749033">
      <w:bodyDiv w:val="1"/>
      <w:marLeft w:val="0"/>
      <w:marRight w:val="0"/>
      <w:marTop w:val="0"/>
      <w:marBottom w:val="0"/>
      <w:divBdr>
        <w:top w:val="none" w:sz="0" w:space="0" w:color="auto"/>
        <w:left w:val="none" w:sz="0" w:space="0" w:color="auto"/>
        <w:bottom w:val="none" w:sz="0" w:space="0" w:color="auto"/>
        <w:right w:val="none" w:sz="0" w:space="0" w:color="auto"/>
      </w:divBdr>
      <w:divsChild>
        <w:div w:id="2002610935">
          <w:marLeft w:val="0"/>
          <w:marRight w:val="0"/>
          <w:marTop w:val="0"/>
          <w:marBottom w:val="0"/>
          <w:divBdr>
            <w:top w:val="none" w:sz="0" w:space="0" w:color="auto"/>
            <w:left w:val="none" w:sz="0" w:space="0" w:color="auto"/>
            <w:bottom w:val="none" w:sz="0" w:space="0" w:color="auto"/>
            <w:right w:val="none" w:sz="0" w:space="0" w:color="auto"/>
          </w:divBdr>
        </w:div>
        <w:div w:id="1007177899">
          <w:marLeft w:val="0"/>
          <w:marRight w:val="0"/>
          <w:marTop w:val="0"/>
          <w:marBottom w:val="0"/>
          <w:divBdr>
            <w:top w:val="none" w:sz="0" w:space="0" w:color="auto"/>
            <w:left w:val="none" w:sz="0" w:space="0" w:color="auto"/>
            <w:bottom w:val="none" w:sz="0" w:space="0" w:color="auto"/>
            <w:right w:val="none" w:sz="0" w:space="0" w:color="auto"/>
          </w:divBdr>
        </w:div>
      </w:divsChild>
    </w:div>
    <w:div w:id="1739084366">
      <w:bodyDiv w:val="1"/>
      <w:marLeft w:val="0"/>
      <w:marRight w:val="0"/>
      <w:marTop w:val="0"/>
      <w:marBottom w:val="0"/>
      <w:divBdr>
        <w:top w:val="none" w:sz="0" w:space="0" w:color="auto"/>
        <w:left w:val="none" w:sz="0" w:space="0" w:color="auto"/>
        <w:bottom w:val="none" w:sz="0" w:space="0" w:color="auto"/>
        <w:right w:val="none" w:sz="0" w:space="0" w:color="auto"/>
      </w:divBdr>
    </w:div>
    <w:div w:id="1955206771">
      <w:bodyDiv w:val="1"/>
      <w:marLeft w:val="0"/>
      <w:marRight w:val="0"/>
      <w:marTop w:val="0"/>
      <w:marBottom w:val="0"/>
      <w:divBdr>
        <w:top w:val="none" w:sz="0" w:space="0" w:color="auto"/>
        <w:left w:val="none" w:sz="0" w:space="0" w:color="auto"/>
        <w:bottom w:val="none" w:sz="0" w:space="0" w:color="auto"/>
        <w:right w:val="none" w:sz="0" w:space="0" w:color="auto"/>
      </w:divBdr>
      <w:divsChild>
        <w:div w:id="544946224">
          <w:marLeft w:val="0"/>
          <w:marRight w:val="0"/>
          <w:marTop w:val="0"/>
          <w:marBottom w:val="0"/>
          <w:divBdr>
            <w:top w:val="none" w:sz="0" w:space="0" w:color="auto"/>
            <w:left w:val="none" w:sz="0" w:space="0" w:color="auto"/>
            <w:bottom w:val="none" w:sz="0" w:space="0" w:color="auto"/>
            <w:right w:val="none" w:sz="0" w:space="0" w:color="auto"/>
          </w:divBdr>
        </w:div>
        <w:div w:id="646318777">
          <w:marLeft w:val="0"/>
          <w:marRight w:val="0"/>
          <w:marTop w:val="0"/>
          <w:marBottom w:val="0"/>
          <w:divBdr>
            <w:top w:val="none" w:sz="0" w:space="0" w:color="auto"/>
            <w:left w:val="none" w:sz="0" w:space="0" w:color="auto"/>
            <w:bottom w:val="none" w:sz="0" w:space="0" w:color="auto"/>
            <w:right w:val="none" w:sz="0" w:space="0" w:color="auto"/>
          </w:divBdr>
        </w:div>
        <w:div w:id="1604151067">
          <w:marLeft w:val="0"/>
          <w:marRight w:val="0"/>
          <w:marTop w:val="0"/>
          <w:marBottom w:val="0"/>
          <w:divBdr>
            <w:top w:val="none" w:sz="0" w:space="0" w:color="auto"/>
            <w:left w:val="none" w:sz="0" w:space="0" w:color="auto"/>
            <w:bottom w:val="none" w:sz="0" w:space="0" w:color="auto"/>
            <w:right w:val="none" w:sz="0" w:space="0" w:color="auto"/>
          </w:divBdr>
        </w:div>
        <w:div w:id="693730584">
          <w:marLeft w:val="0"/>
          <w:marRight w:val="0"/>
          <w:marTop w:val="0"/>
          <w:marBottom w:val="0"/>
          <w:divBdr>
            <w:top w:val="none" w:sz="0" w:space="0" w:color="auto"/>
            <w:left w:val="none" w:sz="0" w:space="0" w:color="auto"/>
            <w:bottom w:val="none" w:sz="0" w:space="0" w:color="auto"/>
            <w:right w:val="none" w:sz="0" w:space="0" w:color="auto"/>
          </w:divBdr>
        </w:div>
        <w:div w:id="859977087">
          <w:marLeft w:val="0"/>
          <w:marRight w:val="0"/>
          <w:marTop w:val="0"/>
          <w:marBottom w:val="0"/>
          <w:divBdr>
            <w:top w:val="none" w:sz="0" w:space="0" w:color="auto"/>
            <w:left w:val="none" w:sz="0" w:space="0" w:color="auto"/>
            <w:bottom w:val="none" w:sz="0" w:space="0" w:color="auto"/>
            <w:right w:val="none" w:sz="0" w:space="0" w:color="auto"/>
          </w:divBdr>
        </w:div>
        <w:div w:id="1550268019">
          <w:marLeft w:val="0"/>
          <w:marRight w:val="0"/>
          <w:marTop w:val="0"/>
          <w:marBottom w:val="0"/>
          <w:divBdr>
            <w:top w:val="none" w:sz="0" w:space="0" w:color="auto"/>
            <w:left w:val="none" w:sz="0" w:space="0" w:color="auto"/>
            <w:bottom w:val="none" w:sz="0" w:space="0" w:color="auto"/>
            <w:right w:val="none" w:sz="0" w:space="0" w:color="auto"/>
          </w:divBdr>
        </w:div>
        <w:div w:id="213243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C6A0-94E3-4D80-9C56-1B81E051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15</Pages>
  <Words>3142</Words>
  <Characters>17286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Edder Jimmy Sanchez Calambas - Pereira</cp:lastModifiedBy>
  <cp:revision>134</cp:revision>
  <cp:lastPrinted>2015-12-04T21:48:00Z</cp:lastPrinted>
  <dcterms:created xsi:type="dcterms:W3CDTF">2015-10-06T14:21:00Z</dcterms:created>
  <dcterms:modified xsi:type="dcterms:W3CDTF">2015-12-07T12:34:00Z</dcterms:modified>
</cp:coreProperties>
</file>