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E77" w:rsidRPr="008338FF" w:rsidRDefault="00671E77" w:rsidP="0081733C">
      <w:pPr>
        <w:pStyle w:val="Puesto"/>
        <w:spacing w:line="240" w:lineRule="auto"/>
        <w:jc w:val="both"/>
        <w:rPr>
          <w:rFonts w:ascii="Tahoma" w:hAnsi="Tahoma" w:cs="Tahoma"/>
          <w:b w:val="0"/>
          <w:bCs/>
          <w:sz w:val="18"/>
          <w:szCs w:val="18"/>
        </w:rPr>
      </w:pPr>
      <w:r w:rsidRPr="008338FF">
        <w:rPr>
          <w:rFonts w:ascii="Tahoma" w:hAnsi="Tahoma" w:cs="Tahoma"/>
          <w:b w:val="0"/>
          <w:sz w:val="18"/>
          <w:szCs w:val="18"/>
        </w:rPr>
        <w:t>Providencia</w:t>
      </w:r>
      <w:r w:rsidRPr="008338FF">
        <w:rPr>
          <w:rFonts w:ascii="Tahoma" w:hAnsi="Tahoma" w:cs="Tahoma"/>
          <w:b w:val="0"/>
          <w:sz w:val="18"/>
          <w:szCs w:val="18"/>
        </w:rPr>
        <w:tab/>
      </w:r>
      <w:r w:rsidRPr="008338FF">
        <w:rPr>
          <w:rFonts w:ascii="Tahoma" w:hAnsi="Tahoma" w:cs="Tahoma"/>
          <w:b w:val="0"/>
          <w:sz w:val="18"/>
          <w:szCs w:val="18"/>
        </w:rPr>
        <w:tab/>
        <w:t xml:space="preserve">: </w:t>
      </w:r>
      <w:r w:rsidRPr="008338FF">
        <w:rPr>
          <w:rFonts w:ascii="Tahoma" w:hAnsi="Tahoma" w:cs="Tahoma"/>
          <w:b w:val="0"/>
          <w:sz w:val="18"/>
          <w:szCs w:val="18"/>
        </w:rPr>
        <w:tab/>
      </w:r>
      <w:r w:rsidR="007C303B" w:rsidRPr="008338FF">
        <w:rPr>
          <w:rFonts w:ascii="Tahoma" w:hAnsi="Tahoma" w:cs="Tahoma"/>
          <w:b w:val="0"/>
          <w:bCs/>
          <w:sz w:val="18"/>
          <w:szCs w:val="18"/>
        </w:rPr>
        <w:t xml:space="preserve">Auto del </w:t>
      </w:r>
      <w:r w:rsidR="00BB3F60" w:rsidRPr="008338FF">
        <w:rPr>
          <w:rFonts w:ascii="Tahoma" w:hAnsi="Tahoma" w:cs="Tahoma"/>
          <w:b w:val="0"/>
          <w:bCs/>
          <w:sz w:val="18"/>
          <w:szCs w:val="18"/>
        </w:rPr>
        <w:t>30 de octubre</w:t>
      </w:r>
      <w:r w:rsidR="00B70E62" w:rsidRPr="008338FF">
        <w:rPr>
          <w:rFonts w:ascii="Tahoma" w:hAnsi="Tahoma" w:cs="Tahoma"/>
          <w:b w:val="0"/>
          <w:bCs/>
          <w:sz w:val="18"/>
          <w:szCs w:val="18"/>
        </w:rPr>
        <w:t xml:space="preserve"> de 2015</w:t>
      </w:r>
    </w:p>
    <w:p w:rsidR="00D3635B" w:rsidRPr="008338FF" w:rsidRDefault="00145295" w:rsidP="0081733C">
      <w:pPr>
        <w:pStyle w:val="Puesto"/>
        <w:spacing w:line="240" w:lineRule="auto"/>
        <w:jc w:val="both"/>
        <w:rPr>
          <w:rFonts w:ascii="Tahoma" w:hAnsi="Tahoma" w:cs="Tahoma"/>
          <w:b w:val="0"/>
          <w:sz w:val="18"/>
          <w:szCs w:val="18"/>
        </w:rPr>
      </w:pPr>
      <w:r w:rsidRPr="008338FF">
        <w:rPr>
          <w:rFonts w:ascii="Tahoma" w:hAnsi="Tahoma" w:cs="Tahoma"/>
          <w:b w:val="0"/>
          <w:sz w:val="18"/>
          <w:szCs w:val="18"/>
        </w:rPr>
        <w:t>Radicación N</w:t>
      </w:r>
      <w:r w:rsidR="00D3635B" w:rsidRPr="008338FF">
        <w:rPr>
          <w:rFonts w:ascii="Tahoma" w:hAnsi="Tahoma" w:cs="Tahoma"/>
          <w:b w:val="0"/>
          <w:sz w:val="18"/>
          <w:szCs w:val="18"/>
        </w:rPr>
        <w:t xml:space="preserve">o. </w:t>
      </w:r>
      <w:r w:rsidR="00D3635B" w:rsidRPr="008338FF">
        <w:rPr>
          <w:rFonts w:ascii="Tahoma" w:hAnsi="Tahoma" w:cs="Tahoma"/>
          <w:b w:val="0"/>
          <w:sz w:val="18"/>
          <w:szCs w:val="18"/>
        </w:rPr>
        <w:tab/>
      </w:r>
      <w:r w:rsidR="00D3635B" w:rsidRPr="008338FF">
        <w:rPr>
          <w:rFonts w:ascii="Tahoma" w:hAnsi="Tahoma" w:cs="Tahoma"/>
          <w:b w:val="0"/>
          <w:sz w:val="18"/>
          <w:szCs w:val="18"/>
        </w:rPr>
        <w:tab/>
        <w:t>:</w:t>
      </w:r>
      <w:r w:rsidR="00D3635B" w:rsidRPr="008338FF">
        <w:rPr>
          <w:rFonts w:ascii="Tahoma" w:hAnsi="Tahoma" w:cs="Tahoma"/>
          <w:b w:val="0"/>
          <w:sz w:val="18"/>
          <w:szCs w:val="18"/>
        </w:rPr>
        <w:tab/>
        <w:t>66</w:t>
      </w:r>
      <w:r w:rsidR="009D0A19" w:rsidRPr="008338FF">
        <w:rPr>
          <w:rFonts w:ascii="Tahoma" w:hAnsi="Tahoma" w:cs="Tahoma"/>
          <w:b w:val="0"/>
          <w:sz w:val="18"/>
          <w:szCs w:val="18"/>
        </w:rPr>
        <w:t>001-31-05</w:t>
      </w:r>
      <w:r w:rsidR="00D3635B" w:rsidRPr="008338FF">
        <w:rPr>
          <w:rFonts w:ascii="Tahoma" w:hAnsi="Tahoma" w:cs="Tahoma"/>
          <w:b w:val="0"/>
          <w:sz w:val="18"/>
          <w:szCs w:val="18"/>
        </w:rPr>
        <w:t>-</w:t>
      </w:r>
      <w:r w:rsidR="00B70E62" w:rsidRPr="008338FF">
        <w:rPr>
          <w:rFonts w:ascii="Tahoma" w:hAnsi="Tahoma" w:cs="Tahoma"/>
          <w:b w:val="0"/>
          <w:sz w:val="18"/>
          <w:szCs w:val="18"/>
        </w:rPr>
        <w:t>004-2010-00524</w:t>
      </w:r>
      <w:r w:rsidR="00D3635B" w:rsidRPr="008338FF">
        <w:rPr>
          <w:rFonts w:ascii="Tahoma" w:hAnsi="Tahoma" w:cs="Tahoma"/>
          <w:b w:val="0"/>
          <w:sz w:val="18"/>
          <w:szCs w:val="18"/>
        </w:rPr>
        <w:t>-0</w:t>
      </w:r>
      <w:r w:rsidR="000C324A" w:rsidRPr="008338FF">
        <w:rPr>
          <w:rFonts w:ascii="Tahoma" w:hAnsi="Tahoma" w:cs="Tahoma"/>
          <w:b w:val="0"/>
          <w:sz w:val="18"/>
          <w:szCs w:val="18"/>
        </w:rPr>
        <w:t>1</w:t>
      </w:r>
    </w:p>
    <w:p w:rsidR="00D3635B" w:rsidRPr="008338FF" w:rsidRDefault="00C8339E" w:rsidP="0081733C">
      <w:pPr>
        <w:pStyle w:val="Puesto"/>
        <w:spacing w:line="240" w:lineRule="auto"/>
        <w:jc w:val="both"/>
        <w:rPr>
          <w:rFonts w:ascii="Tahoma" w:hAnsi="Tahoma" w:cs="Tahoma"/>
          <w:b w:val="0"/>
          <w:sz w:val="18"/>
          <w:szCs w:val="18"/>
        </w:rPr>
      </w:pPr>
      <w:r w:rsidRPr="008338FF">
        <w:rPr>
          <w:rFonts w:ascii="Tahoma" w:hAnsi="Tahoma" w:cs="Tahoma"/>
          <w:b w:val="0"/>
          <w:sz w:val="18"/>
          <w:szCs w:val="18"/>
        </w:rPr>
        <w:t>Proceso</w:t>
      </w:r>
      <w:r w:rsidRPr="008338FF">
        <w:rPr>
          <w:rFonts w:ascii="Tahoma" w:hAnsi="Tahoma" w:cs="Tahoma"/>
          <w:b w:val="0"/>
          <w:sz w:val="18"/>
          <w:szCs w:val="18"/>
        </w:rPr>
        <w:tab/>
      </w:r>
      <w:r w:rsidRPr="008338FF">
        <w:rPr>
          <w:rFonts w:ascii="Tahoma" w:hAnsi="Tahoma" w:cs="Tahoma"/>
          <w:b w:val="0"/>
          <w:sz w:val="18"/>
          <w:szCs w:val="18"/>
        </w:rPr>
        <w:tab/>
      </w:r>
      <w:r w:rsidRPr="008338FF">
        <w:rPr>
          <w:rFonts w:ascii="Tahoma" w:hAnsi="Tahoma" w:cs="Tahoma"/>
          <w:b w:val="0"/>
          <w:sz w:val="18"/>
          <w:szCs w:val="18"/>
        </w:rPr>
        <w:tab/>
        <w:t>:</w:t>
      </w:r>
      <w:r w:rsidRPr="008338FF">
        <w:rPr>
          <w:rFonts w:ascii="Tahoma" w:hAnsi="Tahoma" w:cs="Tahoma"/>
          <w:b w:val="0"/>
          <w:sz w:val="18"/>
          <w:szCs w:val="18"/>
        </w:rPr>
        <w:tab/>
      </w:r>
      <w:r w:rsidR="00B657FB" w:rsidRPr="008338FF">
        <w:rPr>
          <w:rFonts w:ascii="Tahoma" w:hAnsi="Tahoma" w:cs="Tahoma"/>
          <w:b w:val="0"/>
          <w:sz w:val="18"/>
          <w:szCs w:val="18"/>
        </w:rPr>
        <w:t>Ejecutivo Laboral</w:t>
      </w:r>
    </w:p>
    <w:p w:rsidR="00D3635B" w:rsidRPr="008338FF" w:rsidRDefault="00D3635B" w:rsidP="0081733C">
      <w:pPr>
        <w:pStyle w:val="Puesto"/>
        <w:spacing w:line="240" w:lineRule="auto"/>
        <w:jc w:val="both"/>
        <w:rPr>
          <w:rFonts w:ascii="Tahoma" w:hAnsi="Tahoma" w:cs="Tahoma"/>
          <w:b w:val="0"/>
          <w:sz w:val="18"/>
          <w:szCs w:val="18"/>
        </w:rPr>
      </w:pPr>
      <w:r w:rsidRPr="008338FF">
        <w:rPr>
          <w:rFonts w:ascii="Tahoma" w:hAnsi="Tahoma" w:cs="Tahoma"/>
          <w:b w:val="0"/>
          <w:sz w:val="18"/>
          <w:szCs w:val="18"/>
        </w:rPr>
        <w:t>Demandante</w:t>
      </w:r>
      <w:r w:rsidR="00224952" w:rsidRPr="008338FF">
        <w:rPr>
          <w:rFonts w:ascii="Tahoma" w:hAnsi="Tahoma" w:cs="Tahoma"/>
          <w:b w:val="0"/>
          <w:sz w:val="18"/>
          <w:szCs w:val="18"/>
        </w:rPr>
        <w:t>s</w:t>
      </w:r>
      <w:r w:rsidRPr="008338FF">
        <w:rPr>
          <w:rFonts w:ascii="Tahoma" w:hAnsi="Tahoma" w:cs="Tahoma"/>
          <w:b w:val="0"/>
          <w:sz w:val="18"/>
          <w:szCs w:val="18"/>
        </w:rPr>
        <w:tab/>
      </w:r>
      <w:r w:rsidRPr="008338FF">
        <w:rPr>
          <w:rFonts w:ascii="Tahoma" w:hAnsi="Tahoma" w:cs="Tahoma"/>
          <w:b w:val="0"/>
          <w:sz w:val="18"/>
          <w:szCs w:val="18"/>
        </w:rPr>
        <w:tab/>
        <w:t>:</w:t>
      </w:r>
      <w:r w:rsidRPr="008338FF">
        <w:rPr>
          <w:rFonts w:ascii="Tahoma" w:hAnsi="Tahoma" w:cs="Tahoma"/>
          <w:b w:val="0"/>
          <w:sz w:val="18"/>
          <w:szCs w:val="18"/>
        </w:rPr>
        <w:tab/>
      </w:r>
      <w:r w:rsidR="00BB3F60" w:rsidRPr="008338FF">
        <w:rPr>
          <w:rFonts w:ascii="Tahoma" w:hAnsi="Tahoma" w:cs="Tahoma"/>
          <w:b w:val="0"/>
          <w:sz w:val="18"/>
          <w:szCs w:val="18"/>
        </w:rPr>
        <w:t>MIGUEL ANTONIO FORERO MAYORGA</w:t>
      </w:r>
    </w:p>
    <w:p w:rsidR="00D3635B" w:rsidRPr="008338FF" w:rsidRDefault="009D0A19" w:rsidP="0081733C">
      <w:pPr>
        <w:pStyle w:val="Puesto"/>
        <w:spacing w:line="240" w:lineRule="auto"/>
        <w:ind w:left="708" w:hanging="708"/>
        <w:jc w:val="both"/>
        <w:rPr>
          <w:rFonts w:ascii="Tahoma" w:hAnsi="Tahoma" w:cs="Tahoma"/>
          <w:b w:val="0"/>
          <w:sz w:val="18"/>
          <w:szCs w:val="18"/>
        </w:rPr>
      </w:pPr>
      <w:r w:rsidRPr="008338FF">
        <w:rPr>
          <w:rFonts w:ascii="Tahoma" w:hAnsi="Tahoma" w:cs="Tahoma"/>
          <w:b w:val="0"/>
          <w:sz w:val="18"/>
          <w:szCs w:val="18"/>
        </w:rPr>
        <w:t>Demandada</w:t>
      </w:r>
      <w:r w:rsidR="00D3635B" w:rsidRPr="008338FF">
        <w:rPr>
          <w:rFonts w:ascii="Tahoma" w:hAnsi="Tahoma" w:cs="Tahoma"/>
          <w:b w:val="0"/>
          <w:sz w:val="18"/>
          <w:szCs w:val="18"/>
        </w:rPr>
        <w:tab/>
      </w:r>
      <w:r w:rsidR="00D3635B" w:rsidRPr="008338FF">
        <w:rPr>
          <w:rFonts w:ascii="Tahoma" w:hAnsi="Tahoma" w:cs="Tahoma"/>
          <w:b w:val="0"/>
          <w:sz w:val="18"/>
          <w:szCs w:val="18"/>
        </w:rPr>
        <w:tab/>
        <w:t>:</w:t>
      </w:r>
      <w:r w:rsidR="00D3635B" w:rsidRPr="008338FF">
        <w:rPr>
          <w:rFonts w:ascii="Tahoma" w:hAnsi="Tahoma" w:cs="Tahoma"/>
          <w:b w:val="0"/>
          <w:sz w:val="18"/>
          <w:szCs w:val="18"/>
        </w:rPr>
        <w:tab/>
      </w:r>
      <w:r w:rsidR="00552824" w:rsidRPr="008338FF">
        <w:rPr>
          <w:rFonts w:ascii="Tahoma" w:hAnsi="Tahoma" w:cs="Tahoma"/>
          <w:b w:val="0"/>
          <w:sz w:val="18"/>
          <w:szCs w:val="18"/>
        </w:rPr>
        <w:t>COLPENSIONES</w:t>
      </w:r>
      <w:r w:rsidRPr="008338FF">
        <w:rPr>
          <w:rFonts w:ascii="Tahoma" w:hAnsi="Tahoma" w:cs="Tahoma"/>
          <w:b w:val="0"/>
          <w:sz w:val="18"/>
          <w:szCs w:val="18"/>
        </w:rPr>
        <w:t>.</w:t>
      </w:r>
    </w:p>
    <w:p w:rsidR="00671E77" w:rsidRPr="008338FF" w:rsidRDefault="00671E77" w:rsidP="0081733C">
      <w:pPr>
        <w:pStyle w:val="Puesto"/>
        <w:spacing w:line="240" w:lineRule="auto"/>
        <w:ind w:left="708" w:hanging="708"/>
        <w:jc w:val="both"/>
        <w:rPr>
          <w:rFonts w:ascii="Tahoma" w:hAnsi="Tahoma" w:cs="Tahoma"/>
          <w:b w:val="0"/>
          <w:sz w:val="18"/>
          <w:szCs w:val="18"/>
        </w:rPr>
      </w:pPr>
      <w:r w:rsidRPr="008338FF">
        <w:rPr>
          <w:rFonts w:ascii="Tahoma" w:hAnsi="Tahoma" w:cs="Tahoma"/>
          <w:b w:val="0"/>
          <w:sz w:val="18"/>
          <w:szCs w:val="18"/>
        </w:rPr>
        <w:t>Magistrada ponente</w:t>
      </w:r>
      <w:r w:rsidRPr="008338FF">
        <w:rPr>
          <w:rFonts w:ascii="Tahoma" w:hAnsi="Tahoma" w:cs="Tahoma"/>
          <w:b w:val="0"/>
          <w:sz w:val="18"/>
          <w:szCs w:val="18"/>
        </w:rPr>
        <w:tab/>
        <w:t>:</w:t>
      </w:r>
      <w:r w:rsidRPr="008338FF">
        <w:rPr>
          <w:rFonts w:ascii="Tahoma" w:hAnsi="Tahoma" w:cs="Tahoma"/>
          <w:b w:val="0"/>
          <w:sz w:val="18"/>
          <w:szCs w:val="18"/>
        </w:rPr>
        <w:tab/>
        <w:t>Dra. ANA LUCÍA CAICEDO CALDERÓN</w:t>
      </w:r>
    </w:p>
    <w:p w:rsidR="00D3635B" w:rsidRPr="008338FF" w:rsidRDefault="00D3635B" w:rsidP="0081733C">
      <w:pPr>
        <w:pStyle w:val="Puesto"/>
        <w:spacing w:line="240" w:lineRule="auto"/>
        <w:jc w:val="both"/>
        <w:rPr>
          <w:rFonts w:ascii="Tahoma" w:hAnsi="Tahoma" w:cs="Tahoma"/>
          <w:b w:val="0"/>
          <w:sz w:val="18"/>
          <w:szCs w:val="18"/>
        </w:rPr>
      </w:pPr>
      <w:r w:rsidRPr="008338FF">
        <w:rPr>
          <w:rFonts w:ascii="Tahoma" w:hAnsi="Tahoma" w:cs="Tahoma"/>
          <w:b w:val="0"/>
          <w:sz w:val="18"/>
          <w:szCs w:val="18"/>
        </w:rPr>
        <w:t>Juzgado de Origen</w:t>
      </w:r>
      <w:r w:rsidRPr="008338FF">
        <w:rPr>
          <w:rFonts w:ascii="Tahoma" w:hAnsi="Tahoma" w:cs="Tahoma"/>
          <w:b w:val="0"/>
          <w:sz w:val="18"/>
          <w:szCs w:val="18"/>
        </w:rPr>
        <w:tab/>
        <w:t xml:space="preserve">: </w:t>
      </w:r>
      <w:r w:rsidRPr="008338FF">
        <w:rPr>
          <w:rFonts w:ascii="Tahoma" w:hAnsi="Tahoma" w:cs="Tahoma"/>
          <w:b w:val="0"/>
          <w:sz w:val="18"/>
          <w:szCs w:val="18"/>
        </w:rPr>
        <w:tab/>
      </w:r>
      <w:r w:rsidR="00BB3F60" w:rsidRPr="008338FF">
        <w:rPr>
          <w:rFonts w:ascii="Tahoma" w:hAnsi="Tahoma" w:cs="Tahoma"/>
          <w:b w:val="0"/>
          <w:sz w:val="18"/>
          <w:szCs w:val="18"/>
        </w:rPr>
        <w:t>Primero Laboral</w:t>
      </w:r>
      <w:r w:rsidR="00B70E62" w:rsidRPr="008338FF">
        <w:rPr>
          <w:rFonts w:ascii="Tahoma" w:hAnsi="Tahoma" w:cs="Tahoma"/>
          <w:b w:val="0"/>
          <w:sz w:val="18"/>
          <w:szCs w:val="18"/>
        </w:rPr>
        <w:t xml:space="preserve"> del Circuito de Descongestión de Pereira</w:t>
      </w:r>
    </w:p>
    <w:p w:rsidR="007021AA" w:rsidRPr="008338FF" w:rsidRDefault="00CA266A" w:rsidP="007021AA">
      <w:pPr>
        <w:pStyle w:val="Puesto"/>
        <w:tabs>
          <w:tab w:val="left" w:pos="2127"/>
        </w:tabs>
        <w:spacing w:line="240" w:lineRule="auto"/>
        <w:ind w:left="2835" w:hanging="2835"/>
        <w:jc w:val="both"/>
        <w:rPr>
          <w:rFonts w:ascii="Tahoma" w:hAnsi="Tahoma" w:cs="Tahoma"/>
          <w:bCs/>
          <w:spacing w:val="2"/>
          <w:sz w:val="18"/>
          <w:szCs w:val="18"/>
        </w:rPr>
      </w:pPr>
      <w:r w:rsidRPr="008338FF">
        <w:rPr>
          <w:rFonts w:ascii="Tahoma" w:hAnsi="Tahoma" w:cs="Tahoma"/>
          <w:b w:val="0"/>
          <w:sz w:val="18"/>
          <w:szCs w:val="18"/>
        </w:rPr>
        <w:t>Tema</w:t>
      </w:r>
      <w:r w:rsidR="00FA130E" w:rsidRPr="008338FF">
        <w:rPr>
          <w:rFonts w:ascii="Tahoma" w:hAnsi="Tahoma" w:cs="Tahoma"/>
          <w:b w:val="0"/>
          <w:sz w:val="18"/>
          <w:szCs w:val="18"/>
        </w:rPr>
        <w:t>s</w:t>
      </w:r>
      <w:r w:rsidRPr="008338FF">
        <w:rPr>
          <w:rFonts w:ascii="Tahoma" w:hAnsi="Tahoma" w:cs="Tahoma"/>
          <w:b w:val="0"/>
          <w:sz w:val="18"/>
          <w:szCs w:val="18"/>
        </w:rPr>
        <w:t xml:space="preserve">: </w:t>
      </w:r>
      <w:r w:rsidRPr="008338FF">
        <w:rPr>
          <w:rFonts w:ascii="Tahoma" w:hAnsi="Tahoma" w:cs="Tahoma"/>
          <w:b w:val="0"/>
          <w:sz w:val="18"/>
          <w:szCs w:val="18"/>
        </w:rPr>
        <w:tab/>
      </w:r>
      <w:r w:rsidR="00651197" w:rsidRPr="008338FF">
        <w:rPr>
          <w:rFonts w:ascii="Tahoma" w:hAnsi="Tahoma" w:cs="Tahoma"/>
          <w:b w:val="0"/>
          <w:sz w:val="18"/>
          <w:szCs w:val="18"/>
        </w:rPr>
        <w:tab/>
      </w:r>
      <w:r w:rsidR="0081733C" w:rsidRPr="008338FF">
        <w:rPr>
          <w:rFonts w:ascii="Tahoma" w:hAnsi="Tahoma" w:cs="Tahoma"/>
          <w:sz w:val="18"/>
          <w:szCs w:val="18"/>
          <w:u w:val="single"/>
        </w:rPr>
        <w:t>P</w:t>
      </w:r>
      <w:r w:rsidR="007021AA" w:rsidRPr="008338FF">
        <w:rPr>
          <w:rFonts w:ascii="Tahoma" w:hAnsi="Tahoma" w:cs="Tahoma"/>
          <w:sz w:val="18"/>
          <w:szCs w:val="18"/>
          <w:u w:val="single"/>
        </w:rPr>
        <w:t>orcentaje de la condena en costas debe aplicarse a las agencias en derecho:</w:t>
      </w:r>
      <w:r w:rsidR="007021AA" w:rsidRPr="008338FF">
        <w:rPr>
          <w:rFonts w:ascii="Tahoma" w:hAnsi="Tahoma" w:cs="Tahoma"/>
          <w:sz w:val="18"/>
          <w:szCs w:val="18"/>
        </w:rPr>
        <w:t xml:space="preserve"> </w:t>
      </w:r>
      <w:r w:rsidR="007021AA" w:rsidRPr="008338FF">
        <w:rPr>
          <w:rFonts w:ascii="Tahoma" w:hAnsi="Tahoma" w:cs="Tahoma"/>
          <w:b w:val="0"/>
          <w:bCs/>
          <w:spacing w:val="2"/>
          <w:sz w:val="18"/>
          <w:szCs w:val="18"/>
        </w:rPr>
        <w:t xml:space="preserve">No hacen falta mayores elucubraciones para establecer que el apelante tiene razón toda vez que el texto abierto de la condena en costas, en </w:t>
      </w:r>
      <w:r w:rsidR="00541741" w:rsidRPr="008338FF">
        <w:rPr>
          <w:rFonts w:ascii="Tahoma" w:hAnsi="Tahoma" w:cs="Tahoma"/>
          <w:b w:val="0"/>
          <w:bCs/>
          <w:spacing w:val="2"/>
          <w:sz w:val="18"/>
          <w:szCs w:val="18"/>
        </w:rPr>
        <w:t>el</w:t>
      </w:r>
      <w:r w:rsidR="007021AA" w:rsidRPr="008338FF">
        <w:rPr>
          <w:rFonts w:ascii="Tahoma" w:hAnsi="Tahoma" w:cs="Tahoma"/>
          <w:b w:val="0"/>
          <w:bCs/>
          <w:spacing w:val="2"/>
          <w:sz w:val="18"/>
          <w:szCs w:val="18"/>
        </w:rPr>
        <w:t xml:space="preserve"> cual no se advirtió que a la suma fijada como agencias en Derecho ya se le había aplicado el 90%, deja en evidencia de que efectivamente a todas las sumas que harían parte de la liquidación en costas, incluidas las agencias en derecho, debía aplicárseles el 90%. </w:t>
      </w:r>
    </w:p>
    <w:p w:rsidR="007021AA" w:rsidRPr="008338FF" w:rsidRDefault="007021AA" w:rsidP="007021AA">
      <w:pPr>
        <w:spacing w:line="276" w:lineRule="auto"/>
        <w:jc w:val="both"/>
        <w:rPr>
          <w:rFonts w:ascii="Tahoma" w:hAnsi="Tahoma" w:cs="Tahoma"/>
          <w:sz w:val="18"/>
          <w:szCs w:val="18"/>
          <w:lang w:val="es-MX"/>
        </w:rPr>
      </w:pPr>
    </w:p>
    <w:p w:rsidR="0081733C" w:rsidRPr="008338FF" w:rsidRDefault="0081733C" w:rsidP="0081733C">
      <w:pPr>
        <w:spacing w:line="276" w:lineRule="auto"/>
        <w:jc w:val="center"/>
        <w:rPr>
          <w:rFonts w:ascii="Tahoma" w:hAnsi="Tahoma" w:cs="Tahoma"/>
          <w:sz w:val="18"/>
          <w:szCs w:val="18"/>
          <w:lang w:val="es-MX"/>
        </w:rPr>
      </w:pPr>
    </w:p>
    <w:p w:rsidR="00D3635B" w:rsidRPr="008338FF" w:rsidRDefault="00D3635B" w:rsidP="0081733C">
      <w:pPr>
        <w:pStyle w:val="Ttulo4"/>
        <w:widowControl w:val="0"/>
        <w:tabs>
          <w:tab w:val="clear" w:pos="0"/>
        </w:tabs>
        <w:spacing w:line="276" w:lineRule="auto"/>
        <w:rPr>
          <w:rFonts w:ascii="Tahoma" w:hAnsi="Tahoma" w:cs="Tahoma"/>
          <w:bCs/>
          <w:sz w:val="28"/>
          <w:szCs w:val="28"/>
          <w:lang w:eastAsia="es-MX"/>
        </w:rPr>
      </w:pPr>
      <w:r w:rsidRPr="008338FF">
        <w:rPr>
          <w:rFonts w:ascii="Tahoma" w:hAnsi="Tahoma" w:cs="Tahoma"/>
          <w:bCs/>
          <w:sz w:val="28"/>
          <w:szCs w:val="28"/>
          <w:lang w:eastAsia="es-MX"/>
        </w:rPr>
        <w:t>TRIBUNAL SUPERIOR DEL DISTRITO JUDICIAL DE PEREIRA</w:t>
      </w:r>
    </w:p>
    <w:p w:rsidR="00D3635B" w:rsidRPr="008338FF" w:rsidRDefault="00D3635B" w:rsidP="0081733C">
      <w:pPr>
        <w:pStyle w:val="Ttulo4"/>
        <w:widowControl w:val="0"/>
        <w:tabs>
          <w:tab w:val="clear" w:pos="0"/>
        </w:tabs>
        <w:spacing w:line="276" w:lineRule="auto"/>
        <w:rPr>
          <w:rFonts w:ascii="Tahoma" w:hAnsi="Tahoma" w:cs="Tahoma"/>
          <w:bCs/>
          <w:sz w:val="28"/>
          <w:szCs w:val="28"/>
          <w:lang w:eastAsia="es-MX"/>
        </w:rPr>
      </w:pPr>
      <w:r w:rsidRPr="008338FF">
        <w:rPr>
          <w:rFonts w:ascii="Tahoma" w:hAnsi="Tahoma" w:cs="Tahoma"/>
          <w:bCs/>
          <w:sz w:val="28"/>
          <w:szCs w:val="28"/>
          <w:lang w:eastAsia="es-MX"/>
        </w:rPr>
        <w:t>SALA LABORAL</w:t>
      </w:r>
    </w:p>
    <w:p w:rsidR="00D3635B" w:rsidRPr="008338FF" w:rsidRDefault="00D3635B" w:rsidP="0081733C">
      <w:pPr>
        <w:spacing w:line="276" w:lineRule="auto"/>
        <w:jc w:val="center"/>
        <w:rPr>
          <w:rFonts w:ascii="Tahoma" w:hAnsi="Tahoma" w:cs="Tahoma"/>
          <w:bCs/>
        </w:rPr>
      </w:pPr>
    </w:p>
    <w:p w:rsidR="00D3635B" w:rsidRPr="008338FF" w:rsidRDefault="00D3635B" w:rsidP="0081733C">
      <w:pPr>
        <w:spacing w:line="276" w:lineRule="auto"/>
        <w:jc w:val="center"/>
        <w:rPr>
          <w:rFonts w:ascii="Tahoma" w:hAnsi="Tahoma" w:cs="Tahoma"/>
          <w:b/>
          <w:bCs/>
          <w:sz w:val="22"/>
          <w:szCs w:val="22"/>
        </w:rPr>
      </w:pPr>
      <w:r w:rsidRPr="008338FF">
        <w:rPr>
          <w:rFonts w:ascii="Tahoma" w:hAnsi="Tahoma" w:cs="Tahoma"/>
          <w:bCs/>
          <w:sz w:val="22"/>
          <w:szCs w:val="22"/>
        </w:rPr>
        <w:t>Magistrada Ponente:</w:t>
      </w:r>
      <w:r w:rsidRPr="008338FF">
        <w:rPr>
          <w:rFonts w:ascii="Tahoma" w:hAnsi="Tahoma" w:cs="Tahoma"/>
          <w:b/>
          <w:bCs/>
          <w:sz w:val="22"/>
          <w:szCs w:val="22"/>
        </w:rPr>
        <w:t xml:space="preserve"> ANA LUCÍA CAICEDO CALDERÓN</w:t>
      </w:r>
    </w:p>
    <w:p w:rsidR="00D3635B" w:rsidRPr="008338FF" w:rsidRDefault="00D3635B" w:rsidP="0081733C">
      <w:pPr>
        <w:spacing w:line="276" w:lineRule="auto"/>
        <w:jc w:val="center"/>
        <w:rPr>
          <w:rFonts w:ascii="Tahoma" w:hAnsi="Tahoma" w:cs="Tahoma"/>
          <w:b/>
          <w:sz w:val="22"/>
          <w:szCs w:val="22"/>
        </w:rPr>
      </w:pPr>
    </w:p>
    <w:p w:rsidR="00FB2D4B" w:rsidRPr="008338FF" w:rsidRDefault="00FB2D4B" w:rsidP="0081733C">
      <w:pPr>
        <w:spacing w:line="276" w:lineRule="auto"/>
        <w:jc w:val="center"/>
        <w:rPr>
          <w:rFonts w:ascii="Tahoma" w:hAnsi="Tahoma" w:cs="Tahoma"/>
          <w:b/>
          <w:sz w:val="22"/>
          <w:szCs w:val="22"/>
        </w:rPr>
      </w:pPr>
      <w:r w:rsidRPr="008338FF">
        <w:rPr>
          <w:rFonts w:ascii="Tahoma" w:hAnsi="Tahoma" w:cs="Tahoma"/>
          <w:b/>
          <w:sz w:val="22"/>
          <w:szCs w:val="22"/>
        </w:rPr>
        <w:t>ACTA No.____</w:t>
      </w:r>
    </w:p>
    <w:p w:rsidR="00D628A4" w:rsidRPr="008338FF" w:rsidRDefault="00D628A4" w:rsidP="0081733C">
      <w:pPr>
        <w:spacing w:line="276" w:lineRule="auto"/>
        <w:jc w:val="center"/>
        <w:rPr>
          <w:rFonts w:ascii="Tahoma" w:hAnsi="Tahoma" w:cs="Tahoma"/>
          <w:b/>
          <w:sz w:val="22"/>
          <w:szCs w:val="22"/>
        </w:rPr>
      </w:pPr>
    </w:p>
    <w:p w:rsidR="00671E77" w:rsidRPr="008338FF" w:rsidRDefault="00671E77" w:rsidP="0081733C">
      <w:pPr>
        <w:spacing w:line="276" w:lineRule="auto"/>
        <w:jc w:val="center"/>
        <w:rPr>
          <w:rFonts w:ascii="Tahoma" w:hAnsi="Tahoma" w:cs="Tahoma"/>
          <w:b/>
          <w:sz w:val="22"/>
          <w:szCs w:val="22"/>
        </w:rPr>
      </w:pPr>
    </w:p>
    <w:p w:rsidR="001F5F54" w:rsidRPr="008338FF" w:rsidRDefault="001F5F54" w:rsidP="0081733C">
      <w:pPr>
        <w:spacing w:line="276" w:lineRule="auto"/>
        <w:jc w:val="center"/>
        <w:rPr>
          <w:rFonts w:ascii="Tahoma" w:hAnsi="Tahoma" w:cs="Tahoma"/>
          <w:b/>
          <w:sz w:val="22"/>
          <w:szCs w:val="22"/>
        </w:rPr>
      </w:pPr>
      <w:r w:rsidRPr="008338FF">
        <w:rPr>
          <w:rFonts w:ascii="Tahoma" w:hAnsi="Tahoma" w:cs="Tahoma"/>
          <w:b/>
          <w:sz w:val="22"/>
          <w:szCs w:val="22"/>
        </w:rPr>
        <w:t>AUTO INTERLOCUTORIO</w:t>
      </w:r>
    </w:p>
    <w:p w:rsidR="001F5F54" w:rsidRPr="008338FF" w:rsidRDefault="001F5F54" w:rsidP="0081733C">
      <w:pPr>
        <w:spacing w:line="276" w:lineRule="auto"/>
        <w:jc w:val="both"/>
        <w:rPr>
          <w:rFonts w:ascii="Tahoma" w:hAnsi="Tahoma" w:cs="Tahoma"/>
          <w:b/>
          <w:sz w:val="22"/>
          <w:szCs w:val="22"/>
        </w:rPr>
      </w:pPr>
    </w:p>
    <w:p w:rsidR="00F37868" w:rsidRPr="008338FF" w:rsidRDefault="00F37868" w:rsidP="0081733C">
      <w:pPr>
        <w:spacing w:line="276" w:lineRule="auto"/>
        <w:jc w:val="center"/>
        <w:rPr>
          <w:rFonts w:ascii="Tahoma" w:hAnsi="Tahoma" w:cs="Tahoma"/>
          <w:sz w:val="22"/>
          <w:szCs w:val="22"/>
          <w:lang w:val="es-ES_tradnl"/>
        </w:rPr>
      </w:pPr>
      <w:r w:rsidRPr="008338FF">
        <w:rPr>
          <w:rFonts w:ascii="Tahoma" w:hAnsi="Tahoma" w:cs="Tahoma"/>
          <w:spacing w:val="2"/>
          <w:sz w:val="22"/>
          <w:szCs w:val="22"/>
          <w:lang w:val="es-ES_tradnl"/>
        </w:rPr>
        <w:t>P</w:t>
      </w:r>
      <w:r w:rsidRPr="008338FF">
        <w:rPr>
          <w:rFonts w:ascii="Tahoma" w:hAnsi="Tahoma" w:cs="Tahoma"/>
          <w:sz w:val="22"/>
          <w:szCs w:val="22"/>
          <w:lang w:val="es-ES_tradnl"/>
        </w:rPr>
        <w:t xml:space="preserve">ereira (Risaralda), </w:t>
      </w:r>
      <w:r w:rsidR="00BB3F60" w:rsidRPr="008338FF">
        <w:rPr>
          <w:rFonts w:ascii="Tahoma" w:hAnsi="Tahoma" w:cs="Tahoma"/>
          <w:sz w:val="22"/>
          <w:szCs w:val="22"/>
          <w:lang w:val="es-ES_tradnl"/>
        </w:rPr>
        <w:t>30 de octubre</w:t>
      </w:r>
      <w:r w:rsidR="00B70E62" w:rsidRPr="008338FF">
        <w:rPr>
          <w:rFonts w:ascii="Tahoma" w:hAnsi="Tahoma" w:cs="Tahoma"/>
          <w:sz w:val="22"/>
          <w:szCs w:val="22"/>
          <w:lang w:val="es-ES_tradnl"/>
        </w:rPr>
        <w:t xml:space="preserve"> de 2015.</w:t>
      </w:r>
    </w:p>
    <w:p w:rsidR="00F37868" w:rsidRPr="008338FF" w:rsidRDefault="00F37868" w:rsidP="0081733C">
      <w:pPr>
        <w:spacing w:line="276" w:lineRule="auto"/>
        <w:jc w:val="both"/>
        <w:rPr>
          <w:rFonts w:ascii="Tahoma" w:hAnsi="Tahoma" w:cs="Tahoma"/>
          <w:sz w:val="22"/>
          <w:szCs w:val="22"/>
          <w:lang w:val="es-ES_tradnl"/>
        </w:rPr>
      </w:pPr>
    </w:p>
    <w:p w:rsidR="00F37868" w:rsidRPr="008338FF" w:rsidRDefault="00F37868" w:rsidP="0081733C">
      <w:pPr>
        <w:spacing w:line="276" w:lineRule="auto"/>
        <w:jc w:val="center"/>
        <w:rPr>
          <w:rFonts w:ascii="Tahoma" w:hAnsi="Tahoma" w:cs="Tahoma"/>
          <w:b/>
          <w:sz w:val="22"/>
          <w:szCs w:val="22"/>
          <w:lang w:val="es-ES_tradnl"/>
        </w:rPr>
      </w:pPr>
      <w:r w:rsidRPr="008338FF">
        <w:rPr>
          <w:rFonts w:ascii="Tahoma" w:hAnsi="Tahoma" w:cs="Tahoma"/>
          <w:b/>
          <w:sz w:val="22"/>
          <w:szCs w:val="22"/>
          <w:u w:val="single"/>
          <w:lang w:val="es-ES_tradnl"/>
        </w:rPr>
        <w:t>PUNTO A TRATAR</w:t>
      </w:r>
      <w:r w:rsidRPr="008338FF">
        <w:rPr>
          <w:rFonts w:ascii="Tahoma" w:hAnsi="Tahoma" w:cs="Tahoma"/>
          <w:b/>
          <w:sz w:val="22"/>
          <w:szCs w:val="22"/>
          <w:lang w:val="es-ES_tradnl"/>
        </w:rPr>
        <w:t>:</w:t>
      </w:r>
    </w:p>
    <w:p w:rsidR="00F37868" w:rsidRPr="008338FF" w:rsidRDefault="00F37868" w:rsidP="0081733C">
      <w:pPr>
        <w:spacing w:line="276" w:lineRule="auto"/>
        <w:jc w:val="center"/>
        <w:rPr>
          <w:rFonts w:ascii="Tahoma" w:hAnsi="Tahoma" w:cs="Tahoma"/>
          <w:b/>
          <w:sz w:val="22"/>
          <w:szCs w:val="22"/>
          <w:lang w:val="es-ES_tradnl"/>
        </w:rPr>
      </w:pPr>
    </w:p>
    <w:p w:rsidR="00BA5A54" w:rsidRPr="008338FF" w:rsidRDefault="00F37868" w:rsidP="0081733C">
      <w:pPr>
        <w:spacing w:line="276" w:lineRule="auto"/>
        <w:ind w:firstLine="708"/>
        <w:jc w:val="both"/>
        <w:rPr>
          <w:rFonts w:ascii="Tahoma" w:hAnsi="Tahoma" w:cs="Tahoma"/>
          <w:sz w:val="22"/>
          <w:szCs w:val="22"/>
          <w:lang w:val="es-ES_tradnl"/>
        </w:rPr>
      </w:pPr>
      <w:r w:rsidRPr="008338FF">
        <w:rPr>
          <w:rFonts w:ascii="Tahoma" w:hAnsi="Tahoma" w:cs="Tahoma"/>
          <w:sz w:val="22"/>
          <w:szCs w:val="22"/>
          <w:lang w:val="es-ES_tradnl"/>
        </w:rPr>
        <w:t>Por medio de la presente providencia se entra a desatar el recurso de apelación</w:t>
      </w:r>
      <w:r w:rsidR="00BA5A54" w:rsidRPr="008338FF">
        <w:rPr>
          <w:rFonts w:ascii="Tahoma" w:hAnsi="Tahoma" w:cs="Tahoma"/>
          <w:sz w:val="22"/>
          <w:szCs w:val="22"/>
          <w:lang w:val="es-ES_tradnl"/>
        </w:rPr>
        <w:t xml:space="preserve"> </w:t>
      </w:r>
      <w:r w:rsidRPr="008338FF">
        <w:rPr>
          <w:rFonts w:ascii="Tahoma" w:hAnsi="Tahoma" w:cs="Tahoma"/>
          <w:sz w:val="22"/>
          <w:szCs w:val="22"/>
          <w:lang w:val="es-ES_tradnl"/>
        </w:rPr>
        <w:t xml:space="preserve">interpuesto por </w:t>
      </w:r>
      <w:r w:rsidR="0069065B" w:rsidRPr="008338FF">
        <w:rPr>
          <w:rFonts w:ascii="Tahoma" w:hAnsi="Tahoma" w:cs="Tahoma"/>
          <w:sz w:val="22"/>
          <w:szCs w:val="22"/>
          <w:lang w:val="es-ES_tradnl"/>
        </w:rPr>
        <w:t xml:space="preserve">la </w:t>
      </w:r>
      <w:r w:rsidR="003C6BF3" w:rsidRPr="008338FF">
        <w:rPr>
          <w:rFonts w:ascii="Tahoma" w:hAnsi="Tahoma" w:cs="Tahoma"/>
          <w:sz w:val="22"/>
          <w:szCs w:val="22"/>
          <w:lang w:val="es-ES_tradnl"/>
        </w:rPr>
        <w:t>parte ejecuta</w:t>
      </w:r>
      <w:r w:rsidR="00BB3F60" w:rsidRPr="008338FF">
        <w:rPr>
          <w:rFonts w:ascii="Tahoma" w:hAnsi="Tahoma" w:cs="Tahoma"/>
          <w:sz w:val="22"/>
          <w:szCs w:val="22"/>
          <w:lang w:val="es-ES_tradnl"/>
        </w:rPr>
        <w:t>da</w:t>
      </w:r>
      <w:r w:rsidR="003C6BF3" w:rsidRPr="008338FF">
        <w:rPr>
          <w:rFonts w:ascii="Tahoma" w:hAnsi="Tahoma" w:cs="Tahoma"/>
          <w:sz w:val="22"/>
          <w:szCs w:val="22"/>
          <w:lang w:val="es-ES_tradnl"/>
        </w:rPr>
        <w:t xml:space="preserve"> </w:t>
      </w:r>
      <w:r w:rsidR="00BA5A54" w:rsidRPr="008338FF">
        <w:rPr>
          <w:rFonts w:ascii="Tahoma" w:hAnsi="Tahoma" w:cs="Tahoma"/>
          <w:sz w:val="22"/>
          <w:szCs w:val="22"/>
          <w:lang w:val="es-ES_tradnl"/>
        </w:rPr>
        <w:t>contra</w:t>
      </w:r>
      <w:r w:rsidR="00BB3F60" w:rsidRPr="008338FF">
        <w:rPr>
          <w:rFonts w:ascii="Tahoma" w:hAnsi="Tahoma" w:cs="Tahoma"/>
          <w:sz w:val="22"/>
          <w:szCs w:val="22"/>
          <w:lang w:val="es-ES_tradnl"/>
        </w:rPr>
        <w:t xml:space="preserve"> el auto que aprobó la liquidación de las costas procesales.</w:t>
      </w:r>
    </w:p>
    <w:p w:rsidR="0069065B" w:rsidRPr="008338FF" w:rsidRDefault="0069065B" w:rsidP="0081733C">
      <w:pPr>
        <w:spacing w:line="276" w:lineRule="auto"/>
        <w:ind w:firstLine="708"/>
        <w:jc w:val="both"/>
        <w:rPr>
          <w:rFonts w:ascii="Tahoma" w:hAnsi="Tahoma" w:cs="Tahoma"/>
          <w:sz w:val="22"/>
          <w:szCs w:val="22"/>
          <w:lang w:val="es-ES_tradnl"/>
        </w:rPr>
      </w:pPr>
    </w:p>
    <w:p w:rsidR="00CB7166" w:rsidRPr="008338FF" w:rsidRDefault="00F37868" w:rsidP="0081733C">
      <w:pPr>
        <w:spacing w:line="276" w:lineRule="auto"/>
        <w:ind w:firstLine="708"/>
        <w:jc w:val="both"/>
        <w:rPr>
          <w:rFonts w:ascii="Tahoma" w:hAnsi="Tahoma" w:cs="Tahoma"/>
          <w:sz w:val="22"/>
          <w:szCs w:val="22"/>
        </w:rPr>
      </w:pPr>
      <w:r w:rsidRPr="008338FF">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8338FF">
        <w:rPr>
          <w:rFonts w:ascii="Tahoma" w:hAnsi="Tahoma" w:cs="Tahoma"/>
          <w:b/>
          <w:sz w:val="22"/>
          <w:szCs w:val="22"/>
          <w:lang w:val="es-ES_tradnl"/>
        </w:rPr>
        <w:t>auto interlocutorio</w:t>
      </w:r>
      <w:r w:rsidRPr="008338FF">
        <w:rPr>
          <w:rFonts w:ascii="Tahoma" w:hAnsi="Tahoma" w:cs="Tahoma"/>
          <w:sz w:val="22"/>
          <w:szCs w:val="22"/>
        </w:rPr>
        <w:t>:</w:t>
      </w:r>
    </w:p>
    <w:p w:rsidR="0069065B" w:rsidRPr="008338FF" w:rsidRDefault="0069065B" w:rsidP="0081733C">
      <w:pPr>
        <w:spacing w:line="276" w:lineRule="auto"/>
        <w:ind w:firstLine="708"/>
        <w:jc w:val="both"/>
        <w:rPr>
          <w:rFonts w:ascii="Tahoma" w:hAnsi="Tahoma" w:cs="Tahoma"/>
          <w:sz w:val="22"/>
          <w:szCs w:val="22"/>
        </w:rPr>
      </w:pPr>
    </w:p>
    <w:p w:rsidR="00CB7166" w:rsidRPr="008338FF" w:rsidRDefault="00CB7166" w:rsidP="0081733C">
      <w:pPr>
        <w:spacing w:line="276" w:lineRule="auto"/>
        <w:ind w:firstLine="708"/>
        <w:jc w:val="center"/>
        <w:rPr>
          <w:rFonts w:ascii="Tahoma" w:hAnsi="Tahoma" w:cs="Tahoma"/>
          <w:b/>
          <w:sz w:val="22"/>
          <w:szCs w:val="22"/>
        </w:rPr>
      </w:pPr>
      <w:r w:rsidRPr="008338FF">
        <w:rPr>
          <w:rFonts w:ascii="Tahoma" w:hAnsi="Tahoma" w:cs="Tahoma"/>
          <w:b/>
          <w:sz w:val="22"/>
          <w:szCs w:val="22"/>
        </w:rPr>
        <w:t xml:space="preserve">I.- </w:t>
      </w:r>
      <w:r w:rsidR="008A5C50" w:rsidRPr="008338FF">
        <w:rPr>
          <w:rFonts w:ascii="Tahoma" w:hAnsi="Tahoma" w:cs="Tahoma"/>
          <w:b/>
          <w:sz w:val="22"/>
          <w:szCs w:val="22"/>
          <w:u w:val="single"/>
        </w:rPr>
        <w:t>ANTECEDENTES PROCESALES</w:t>
      </w:r>
      <w:r w:rsidRPr="008338FF">
        <w:rPr>
          <w:rFonts w:ascii="Tahoma" w:hAnsi="Tahoma" w:cs="Tahoma"/>
          <w:b/>
          <w:sz w:val="22"/>
          <w:szCs w:val="22"/>
        </w:rPr>
        <w:t>:</w:t>
      </w:r>
    </w:p>
    <w:p w:rsidR="00CB7166" w:rsidRPr="008338FF" w:rsidRDefault="00CB7166" w:rsidP="0081733C">
      <w:pPr>
        <w:spacing w:line="276" w:lineRule="auto"/>
        <w:ind w:firstLine="708"/>
        <w:jc w:val="center"/>
        <w:rPr>
          <w:rFonts w:ascii="Tahoma" w:hAnsi="Tahoma" w:cs="Tahoma"/>
          <w:b/>
          <w:sz w:val="22"/>
          <w:szCs w:val="22"/>
        </w:rPr>
      </w:pPr>
    </w:p>
    <w:p w:rsidR="009D6531" w:rsidRPr="008338FF" w:rsidRDefault="008A5C50" w:rsidP="0081733C">
      <w:pPr>
        <w:spacing w:line="276" w:lineRule="auto"/>
        <w:ind w:firstLine="708"/>
        <w:jc w:val="both"/>
        <w:rPr>
          <w:rFonts w:ascii="Tahoma" w:hAnsi="Tahoma" w:cs="Tahoma"/>
          <w:sz w:val="22"/>
          <w:szCs w:val="22"/>
        </w:rPr>
      </w:pPr>
      <w:r w:rsidRPr="008338FF">
        <w:rPr>
          <w:rFonts w:ascii="Tahoma" w:hAnsi="Tahoma" w:cs="Tahoma"/>
          <w:sz w:val="22"/>
          <w:szCs w:val="22"/>
        </w:rPr>
        <w:t xml:space="preserve">Para mejor proveer conviene aclarar que </w:t>
      </w:r>
      <w:r w:rsidR="009D6531" w:rsidRPr="008338FF">
        <w:rPr>
          <w:rFonts w:ascii="Tahoma" w:hAnsi="Tahoma" w:cs="Tahoma"/>
          <w:sz w:val="22"/>
          <w:szCs w:val="22"/>
        </w:rPr>
        <w:t xml:space="preserve">en </w:t>
      </w:r>
      <w:r w:rsidRPr="008338FF">
        <w:rPr>
          <w:rFonts w:ascii="Tahoma" w:hAnsi="Tahoma" w:cs="Tahoma"/>
          <w:sz w:val="22"/>
          <w:szCs w:val="22"/>
        </w:rPr>
        <w:t xml:space="preserve">el presente </w:t>
      </w:r>
      <w:r w:rsidR="009D6531" w:rsidRPr="008338FF">
        <w:rPr>
          <w:rFonts w:ascii="Tahoma" w:hAnsi="Tahoma" w:cs="Tahoma"/>
          <w:sz w:val="22"/>
          <w:szCs w:val="22"/>
        </w:rPr>
        <w:t xml:space="preserve">caso a través de </w:t>
      </w:r>
      <w:r w:rsidRPr="008338FF">
        <w:rPr>
          <w:rFonts w:ascii="Tahoma" w:hAnsi="Tahoma" w:cs="Tahoma"/>
          <w:sz w:val="22"/>
          <w:szCs w:val="22"/>
        </w:rPr>
        <w:t xml:space="preserve">la sentencia de </w:t>
      </w:r>
      <w:r w:rsidR="00E124EE" w:rsidRPr="008338FF">
        <w:rPr>
          <w:rFonts w:ascii="Tahoma" w:hAnsi="Tahoma" w:cs="Tahoma"/>
          <w:sz w:val="22"/>
          <w:szCs w:val="22"/>
        </w:rPr>
        <w:t>segunda</w:t>
      </w:r>
      <w:r w:rsidRPr="008338FF">
        <w:rPr>
          <w:rFonts w:ascii="Tahoma" w:hAnsi="Tahoma" w:cs="Tahoma"/>
          <w:sz w:val="22"/>
          <w:szCs w:val="22"/>
        </w:rPr>
        <w:t xml:space="preserve"> instancia proferida </w:t>
      </w:r>
      <w:r w:rsidR="00E350AC" w:rsidRPr="008338FF">
        <w:rPr>
          <w:rFonts w:ascii="Tahoma" w:hAnsi="Tahoma" w:cs="Tahoma"/>
          <w:sz w:val="22"/>
          <w:szCs w:val="22"/>
        </w:rPr>
        <w:t xml:space="preserve">el </w:t>
      </w:r>
      <w:r w:rsidR="005827AE" w:rsidRPr="008338FF">
        <w:rPr>
          <w:rFonts w:ascii="Tahoma" w:hAnsi="Tahoma" w:cs="Tahoma"/>
          <w:sz w:val="22"/>
          <w:szCs w:val="22"/>
        </w:rPr>
        <w:t xml:space="preserve">20 de agosto de 2014 (folios 97 a 104) </w:t>
      </w:r>
      <w:r w:rsidR="005827AE" w:rsidRPr="008338FF">
        <w:rPr>
          <w:rFonts w:ascii="Tahoma" w:hAnsi="Tahoma" w:cs="Tahoma"/>
          <w:i/>
          <w:sz w:val="22"/>
          <w:szCs w:val="22"/>
        </w:rPr>
        <w:t>–</w:t>
      </w:r>
      <w:r w:rsidR="00BB3F60" w:rsidRPr="008338FF">
        <w:rPr>
          <w:rFonts w:ascii="Tahoma" w:hAnsi="Tahoma" w:cs="Tahoma"/>
          <w:i/>
          <w:sz w:val="22"/>
          <w:szCs w:val="22"/>
        </w:rPr>
        <w:t>confirma</w:t>
      </w:r>
      <w:r w:rsidR="005827AE" w:rsidRPr="008338FF">
        <w:rPr>
          <w:rFonts w:ascii="Tahoma" w:hAnsi="Tahoma" w:cs="Tahoma"/>
          <w:i/>
          <w:sz w:val="22"/>
          <w:szCs w:val="22"/>
        </w:rPr>
        <w:t>da en segunda instancia el pasado 19 de junio de 2015 (folio 115 a 117)-</w:t>
      </w:r>
      <w:r w:rsidR="00BB3F60" w:rsidRPr="008338FF">
        <w:rPr>
          <w:rFonts w:ascii="Tahoma" w:hAnsi="Tahoma" w:cs="Tahoma"/>
          <w:sz w:val="22"/>
          <w:szCs w:val="22"/>
        </w:rPr>
        <w:t xml:space="preserve"> se </w:t>
      </w:r>
      <w:r w:rsidR="00150439" w:rsidRPr="008338FF">
        <w:rPr>
          <w:rFonts w:ascii="Tahoma" w:hAnsi="Tahoma" w:cs="Tahoma"/>
          <w:sz w:val="22"/>
          <w:szCs w:val="22"/>
        </w:rPr>
        <w:t>condenó a</w:t>
      </w:r>
      <w:r w:rsidR="00BB3F60" w:rsidRPr="008338FF">
        <w:rPr>
          <w:rFonts w:ascii="Tahoma" w:hAnsi="Tahoma" w:cs="Tahoma"/>
          <w:sz w:val="22"/>
          <w:szCs w:val="22"/>
        </w:rPr>
        <w:t xml:space="preserve"> COLPENSIONES</w:t>
      </w:r>
      <w:r w:rsidR="00150439" w:rsidRPr="008338FF">
        <w:rPr>
          <w:rFonts w:ascii="Tahoma" w:hAnsi="Tahoma" w:cs="Tahoma"/>
          <w:sz w:val="22"/>
          <w:szCs w:val="22"/>
        </w:rPr>
        <w:t xml:space="preserve"> a pagar la pensión de </w:t>
      </w:r>
      <w:r w:rsidR="009D6531" w:rsidRPr="008338FF">
        <w:rPr>
          <w:rFonts w:ascii="Tahoma" w:hAnsi="Tahoma" w:cs="Tahoma"/>
          <w:sz w:val="22"/>
          <w:szCs w:val="22"/>
        </w:rPr>
        <w:t>jubilación por aportes</w:t>
      </w:r>
      <w:r w:rsidR="00E124EE" w:rsidRPr="008338FF">
        <w:rPr>
          <w:rFonts w:ascii="Tahoma" w:hAnsi="Tahoma" w:cs="Tahoma"/>
          <w:sz w:val="22"/>
          <w:szCs w:val="22"/>
        </w:rPr>
        <w:t>, el retroactivo pensional</w:t>
      </w:r>
      <w:r w:rsidR="00150439" w:rsidRPr="008338FF">
        <w:rPr>
          <w:rFonts w:ascii="Tahoma" w:hAnsi="Tahoma" w:cs="Tahoma"/>
          <w:sz w:val="22"/>
          <w:szCs w:val="22"/>
        </w:rPr>
        <w:t xml:space="preserve"> </w:t>
      </w:r>
      <w:r w:rsidR="00F80C78" w:rsidRPr="008338FF">
        <w:rPr>
          <w:rFonts w:ascii="Tahoma" w:hAnsi="Tahoma" w:cs="Tahoma"/>
          <w:sz w:val="22"/>
          <w:szCs w:val="22"/>
        </w:rPr>
        <w:t xml:space="preserve">y </w:t>
      </w:r>
      <w:r w:rsidR="009D6531" w:rsidRPr="008338FF">
        <w:rPr>
          <w:rFonts w:ascii="Tahoma" w:hAnsi="Tahoma" w:cs="Tahoma"/>
          <w:b/>
          <w:sz w:val="22"/>
          <w:szCs w:val="22"/>
        </w:rPr>
        <w:t xml:space="preserve">el 90% de </w:t>
      </w:r>
      <w:r w:rsidR="00F80C78" w:rsidRPr="008338FF">
        <w:rPr>
          <w:rFonts w:ascii="Tahoma" w:hAnsi="Tahoma" w:cs="Tahoma"/>
          <w:b/>
          <w:sz w:val="22"/>
          <w:szCs w:val="22"/>
        </w:rPr>
        <w:t>las costas procesales</w:t>
      </w:r>
      <w:r w:rsidR="00F80C78" w:rsidRPr="008338FF">
        <w:rPr>
          <w:rFonts w:ascii="Tahoma" w:hAnsi="Tahoma" w:cs="Tahoma"/>
          <w:sz w:val="22"/>
          <w:szCs w:val="22"/>
        </w:rPr>
        <w:t xml:space="preserve"> </w:t>
      </w:r>
      <w:r w:rsidR="009D6531" w:rsidRPr="008338FF">
        <w:rPr>
          <w:rFonts w:ascii="Tahoma" w:hAnsi="Tahoma" w:cs="Tahoma"/>
          <w:b/>
          <w:sz w:val="22"/>
          <w:szCs w:val="22"/>
        </w:rPr>
        <w:t xml:space="preserve">de primera instancia </w:t>
      </w:r>
      <w:r w:rsidR="009D6531" w:rsidRPr="008338FF">
        <w:rPr>
          <w:rFonts w:ascii="Tahoma" w:hAnsi="Tahoma" w:cs="Tahoma"/>
          <w:sz w:val="22"/>
          <w:szCs w:val="22"/>
        </w:rPr>
        <w:t>a</w:t>
      </w:r>
      <w:r w:rsidR="00F80C78" w:rsidRPr="008338FF">
        <w:rPr>
          <w:rFonts w:ascii="Tahoma" w:hAnsi="Tahoma" w:cs="Tahoma"/>
          <w:sz w:val="22"/>
          <w:szCs w:val="22"/>
        </w:rPr>
        <w:t xml:space="preserve"> favor de </w:t>
      </w:r>
      <w:r w:rsidR="00BB3F60" w:rsidRPr="008338FF">
        <w:rPr>
          <w:rFonts w:ascii="Tahoma" w:hAnsi="Tahoma" w:cs="Tahoma"/>
          <w:sz w:val="22"/>
          <w:szCs w:val="22"/>
        </w:rPr>
        <w:t>MIGUEL ANTONIO FORERO MAYORGA</w:t>
      </w:r>
      <w:r w:rsidR="00E124EE" w:rsidRPr="008338FF">
        <w:rPr>
          <w:rFonts w:ascii="Tahoma" w:hAnsi="Tahoma" w:cs="Tahoma"/>
          <w:sz w:val="22"/>
          <w:szCs w:val="22"/>
        </w:rPr>
        <w:t>.</w:t>
      </w:r>
      <w:r w:rsidR="00E124EE" w:rsidRPr="008338FF">
        <w:rPr>
          <w:rFonts w:ascii="Tahoma" w:hAnsi="Tahoma" w:cs="Tahoma"/>
          <w:b/>
          <w:sz w:val="22"/>
          <w:szCs w:val="22"/>
        </w:rPr>
        <w:t xml:space="preserve"> </w:t>
      </w:r>
      <w:r w:rsidR="005827AE" w:rsidRPr="008338FF">
        <w:rPr>
          <w:rFonts w:ascii="Tahoma" w:hAnsi="Tahoma" w:cs="Tahoma"/>
          <w:b/>
          <w:sz w:val="22"/>
          <w:szCs w:val="22"/>
        </w:rPr>
        <w:t>Las agencias en derecho se fijaron en la suma de $1.247.192</w:t>
      </w:r>
      <w:r w:rsidR="005827AE" w:rsidRPr="008338FF">
        <w:rPr>
          <w:rFonts w:ascii="Tahoma" w:hAnsi="Tahoma" w:cs="Tahoma"/>
          <w:sz w:val="22"/>
          <w:szCs w:val="22"/>
        </w:rPr>
        <w:t xml:space="preserve">. </w:t>
      </w:r>
      <w:r w:rsidR="009D6531" w:rsidRPr="008338FF">
        <w:rPr>
          <w:rFonts w:ascii="Tahoma" w:hAnsi="Tahoma" w:cs="Tahoma"/>
          <w:sz w:val="22"/>
          <w:szCs w:val="22"/>
        </w:rPr>
        <w:t xml:space="preserve">Una vez recibido el expediente en el juzgado de primera instancia, la Secretaría del Despacho procedió a liquidar las costas procesales en cuantía de </w:t>
      </w:r>
      <w:r w:rsidR="009D6531" w:rsidRPr="008338FF">
        <w:rPr>
          <w:rFonts w:ascii="Tahoma" w:hAnsi="Tahoma" w:cs="Tahoma"/>
          <w:b/>
          <w:sz w:val="22"/>
          <w:szCs w:val="22"/>
        </w:rPr>
        <w:t>$1.247.192</w:t>
      </w:r>
      <w:r w:rsidR="009D6531" w:rsidRPr="008338FF">
        <w:rPr>
          <w:rFonts w:ascii="Tahoma" w:hAnsi="Tahoma" w:cs="Tahoma"/>
          <w:sz w:val="22"/>
          <w:szCs w:val="22"/>
        </w:rPr>
        <w:t xml:space="preserve"> (folio 120) y acto seguido mediante auto del 11 de agosto de este año se aprobaron. </w:t>
      </w:r>
    </w:p>
    <w:p w:rsidR="00741F9E" w:rsidRPr="008338FF" w:rsidRDefault="00741F9E" w:rsidP="0081733C">
      <w:pPr>
        <w:spacing w:line="276" w:lineRule="auto"/>
        <w:jc w:val="center"/>
        <w:rPr>
          <w:rFonts w:ascii="Tahoma" w:hAnsi="Tahoma" w:cs="Tahoma"/>
          <w:b/>
          <w:sz w:val="22"/>
          <w:szCs w:val="22"/>
          <w:u w:val="single"/>
        </w:rPr>
      </w:pPr>
    </w:p>
    <w:p w:rsidR="00A523C2" w:rsidRPr="008338FF" w:rsidRDefault="00A523C2" w:rsidP="0081733C">
      <w:pPr>
        <w:spacing w:line="276" w:lineRule="auto"/>
        <w:jc w:val="center"/>
        <w:rPr>
          <w:rFonts w:ascii="Tahoma" w:hAnsi="Tahoma" w:cs="Tahoma"/>
          <w:b/>
          <w:sz w:val="22"/>
          <w:szCs w:val="22"/>
          <w:u w:val="single"/>
        </w:rPr>
      </w:pPr>
    </w:p>
    <w:p w:rsidR="00F37868" w:rsidRPr="008338FF" w:rsidRDefault="00741F9E" w:rsidP="0081733C">
      <w:pPr>
        <w:spacing w:line="276" w:lineRule="auto"/>
        <w:jc w:val="center"/>
        <w:rPr>
          <w:rFonts w:ascii="Tahoma" w:hAnsi="Tahoma" w:cs="Tahoma"/>
          <w:b/>
          <w:sz w:val="22"/>
          <w:szCs w:val="22"/>
          <w:u w:val="single"/>
        </w:rPr>
      </w:pPr>
      <w:r w:rsidRPr="008338FF">
        <w:rPr>
          <w:rFonts w:ascii="Tahoma" w:hAnsi="Tahoma" w:cs="Tahoma"/>
          <w:b/>
          <w:sz w:val="22"/>
          <w:szCs w:val="22"/>
          <w:u w:val="single"/>
        </w:rPr>
        <w:t>I</w:t>
      </w:r>
      <w:r w:rsidR="00F37868" w:rsidRPr="008338FF">
        <w:rPr>
          <w:rFonts w:ascii="Tahoma" w:hAnsi="Tahoma" w:cs="Tahoma"/>
          <w:b/>
          <w:sz w:val="22"/>
          <w:szCs w:val="22"/>
          <w:u w:val="single"/>
        </w:rPr>
        <w:t>I. FUNDAMENTOS DE LA APELACIÓN</w:t>
      </w:r>
    </w:p>
    <w:p w:rsidR="00F37868" w:rsidRPr="008338FF" w:rsidRDefault="00F37868" w:rsidP="0081733C">
      <w:pPr>
        <w:spacing w:line="276" w:lineRule="auto"/>
        <w:jc w:val="center"/>
        <w:rPr>
          <w:rFonts w:ascii="Tahoma" w:hAnsi="Tahoma" w:cs="Tahoma"/>
          <w:b/>
          <w:sz w:val="22"/>
          <w:szCs w:val="22"/>
          <w:u w:val="single"/>
        </w:rPr>
      </w:pPr>
    </w:p>
    <w:p w:rsidR="009F3B23" w:rsidRPr="008338FF" w:rsidRDefault="00F37868" w:rsidP="0081733C">
      <w:pPr>
        <w:widowControl w:val="0"/>
        <w:autoSpaceDE w:val="0"/>
        <w:autoSpaceDN w:val="0"/>
        <w:adjustRightInd w:val="0"/>
        <w:spacing w:line="276" w:lineRule="auto"/>
        <w:ind w:firstLine="708"/>
        <w:jc w:val="both"/>
        <w:rPr>
          <w:rFonts w:ascii="Tahoma" w:hAnsi="Tahoma" w:cs="Tahoma"/>
          <w:b/>
          <w:sz w:val="22"/>
          <w:szCs w:val="22"/>
        </w:rPr>
      </w:pPr>
      <w:r w:rsidRPr="008338FF">
        <w:rPr>
          <w:rFonts w:ascii="Tahoma" w:hAnsi="Tahoma" w:cs="Tahoma"/>
          <w:sz w:val="22"/>
          <w:szCs w:val="22"/>
        </w:rPr>
        <w:t xml:space="preserve">Inconforme con lo decidido la parte </w:t>
      </w:r>
      <w:r w:rsidR="005827AE" w:rsidRPr="008338FF">
        <w:rPr>
          <w:rFonts w:ascii="Tahoma" w:hAnsi="Tahoma" w:cs="Tahoma"/>
          <w:sz w:val="22"/>
          <w:szCs w:val="22"/>
        </w:rPr>
        <w:t xml:space="preserve">ejecutada </w:t>
      </w:r>
      <w:r w:rsidRPr="008338FF">
        <w:rPr>
          <w:rFonts w:ascii="Tahoma" w:hAnsi="Tahoma" w:cs="Tahoma"/>
          <w:sz w:val="22"/>
          <w:szCs w:val="22"/>
        </w:rPr>
        <w:t>presentó recurso de apelación</w:t>
      </w:r>
      <w:r w:rsidR="00CB3933" w:rsidRPr="008338FF">
        <w:rPr>
          <w:rFonts w:ascii="Tahoma" w:hAnsi="Tahoma" w:cs="Tahoma"/>
          <w:sz w:val="22"/>
          <w:szCs w:val="22"/>
        </w:rPr>
        <w:t xml:space="preserve"> </w:t>
      </w:r>
      <w:r w:rsidR="005827AE" w:rsidRPr="008338FF">
        <w:rPr>
          <w:rFonts w:ascii="Tahoma" w:hAnsi="Tahoma" w:cs="Tahoma"/>
          <w:sz w:val="22"/>
          <w:szCs w:val="22"/>
        </w:rPr>
        <w:lastRenderedPageBreak/>
        <w:t xml:space="preserve">arguyendo, en síntesis, que en la sentencia de primera instancia se condenó a la entidad al pago del 90% de las costas procesales y por lo tanto a la suma de $1.247.192 debió </w:t>
      </w:r>
      <w:r w:rsidR="00F51E9B" w:rsidRPr="008338FF">
        <w:rPr>
          <w:rFonts w:ascii="Tahoma" w:hAnsi="Tahoma" w:cs="Tahoma"/>
          <w:sz w:val="22"/>
          <w:szCs w:val="22"/>
        </w:rPr>
        <w:t xml:space="preserve">aplicarse ese porcentaje, siendo realmente el valor a pagar </w:t>
      </w:r>
      <w:r w:rsidR="00F51E9B" w:rsidRPr="008338FF">
        <w:rPr>
          <w:rFonts w:ascii="Tahoma" w:hAnsi="Tahoma" w:cs="Tahoma"/>
          <w:b/>
          <w:sz w:val="22"/>
          <w:szCs w:val="22"/>
        </w:rPr>
        <w:t xml:space="preserve">$1.122.472. </w:t>
      </w:r>
    </w:p>
    <w:p w:rsidR="00F51E9B" w:rsidRPr="008338FF" w:rsidRDefault="00F51E9B" w:rsidP="0081733C">
      <w:pPr>
        <w:widowControl w:val="0"/>
        <w:autoSpaceDE w:val="0"/>
        <w:autoSpaceDN w:val="0"/>
        <w:adjustRightInd w:val="0"/>
        <w:spacing w:line="276" w:lineRule="auto"/>
        <w:ind w:firstLine="708"/>
        <w:jc w:val="both"/>
        <w:rPr>
          <w:rFonts w:ascii="Tahoma" w:hAnsi="Tahoma" w:cs="Tahoma"/>
          <w:sz w:val="22"/>
          <w:szCs w:val="22"/>
        </w:rPr>
      </w:pPr>
    </w:p>
    <w:p w:rsidR="00F37868" w:rsidRPr="008338FF" w:rsidRDefault="00F37868" w:rsidP="0081733C">
      <w:pPr>
        <w:widowControl w:val="0"/>
        <w:autoSpaceDE w:val="0"/>
        <w:autoSpaceDN w:val="0"/>
        <w:adjustRightInd w:val="0"/>
        <w:spacing w:line="276" w:lineRule="auto"/>
        <w:ind w:firstLine="708"/>
        <w:jc w:val="both"/>
        <w:rPr>
          <w:rFonts w:ascii="Tahoma" w:hAnsi="Tahoma" w:cs="Tahoma"/>
          <w:sz w:val="22"/>
          <w:szCs w:val="22"/>
        </w:rPr>
      </w:pPr>
      <w:r w:rsidRPr="008338FF">
        <w:rPr>
          <w:rFonts w:ascii="Tahoma" w:hAnsi="Tahoma" w:cs="Tahoma"/>
          <w:sz w:val="22"/>
          <w:szCs w:val="22"/>
        </w:rPr>
        <w:t xml:space="preserve">En virtud de lo anterior solicita la revocatoria </w:t>
      </w:r>
      <w:r w:rsidR="009F3B23" w:rsidRPr="008338FF">
        <w:rPr>
          <w:rFonts w:ascii="Tahoma" w:hAnsi="Tahoma" w:cs="Tahoma"/>
          <w:sz w:val="22"/>
          <w:szCs w:val="22"/>
        </w:rPr>
        <w:t>del auto en cuestión</w:t>
      </w:r>
      <w:r w:rsidR="00F51E9B" w:rsidRPr="008338FF">
        <w:rPr>
          <w:rFonts w:ascii="Tahoma" w:hAnsi="Tahoma" w:cs="Tahoma"/>
          <w:sz w:val="22"/>
          <w:szCs w:val="22"/>
        </w:rPr>
        <w:t>.</w:t>
      </w:r>
      <w:r w:rsidR="009F3B23" w:rsidRPr="008338FF">
        <w:rPr>
          <w:rFonts w:ascii="Tahoma" w:hAnsi="Tahoma" w:cs="Tahoma"/>
          <w:sz w:val="22"/>
          <w:szCs w:val="22"/>
        </w:rPr>
        <w:t xml:space="preserve"> </w:t>
      </w:r>
    </w:p>
    <w:p w:rsidR="00720D2F" w:rsidRPr="008338FF" w:rsidRDefault="00720D2F" w:rsidP="0081733C">
      <w:pPr>
        <w:spacing w:line="276" w:lineRule="auto"/>
        <w:rPr>
          <w:sz w:val="22"/>
          <w:szCs w:val="22"/>
        </w:rPr>
      </w:pPr>
    </w:p>
    <w:p w:rsidR="00D3635B" w:rsidRPr="008338FF" w:rsidRDefault="00720D2F" w:rsidP="0081733C">
      <w:pPr>
        <w:pStyle w:val="Ttulo4"/>
        <w:spacing w:line="276" w:lineRule="auto"/>
        <w:rPr>
          <w:rFonts w:ascii="Tahoma" w:hAnsi="Tahoma" w:cs="Tahoma"/>
          <w:spacing w:val="2"/>
          <w:sz w:val="22"/>
          <w:szCs w:val="22"/>
          <w:u w:val="single"/>
        </w:rPr>
      </w:pPr>
      <w:r w:rsidRPr="008338FF">
        <w:rPr>
          <w:rFonts w:ascii="Tahoma" w:hAnsi="Tahoma" w:cs="Tahoma"/>
          <w:sz w:val="22"/>
          <w:szCs w:val="22"/>
        </w:rPr>
        <w:t xml:space="preserve">IV.- </w:t>
      </w:r>
      <w:r w:rsidR="00D3635B" w:rsidRPr="008338FF">
        <w:rPr>
          <w:rFonts w:ascii="Tahoma" w:hAnsi="Tahoma" w:cs="Tahoma"/>
          <w:spacing w:val="2"/>
          <w:sz w:val="22"/>
          <w:szCs w:val="22"/>
          <w:u w:val="single"/>
        </w:rPr>
        <w:t>CONSIDERACIONES</w:t>
      </w:r>
    </w:p>
    <w:p w:rsidR="00216556" w:rsidRPr="008338FF" w:rsidRDefault="00216556" w:rsidP="0081733C">
      <w:pPr>
        <w:pStyle w:val="Textoindependiente"/>
        <w:widowControl w:val="0"/>
        <w:autoSpaceDE w:val="0"/>
        <w:autoSpaceDN w:val="0"/>
        <w:adjustRightInd w:val="0"/>
        <w:spacing w:after="0" w:line="276" w:lineRule="auto"/>
        <w:rPr>
          <w:rFonts w:ascii="Tahoma" w:hAnsi="Tahoma" w:cs="Tahoma"/>
          <w:b/>
          <w:bCs/>
          <w:spacing w:val="2"/>
          <w:sz w:val="22"/>
          <w:szCs w:val="22"/>
        </w:rPr>
      </w:pPr>
    </w:p>
    <w:p w:rsidR="007D4D1B" w:rsidRPr="008338FF" w:rsidRDefault="007D4D1B" w:rsidP="0081733C">
      <w:pPr>
        <w:pStyle w:val="Textoindependiente"/>
        <w:widowControl w:val="0"/>
        <w:numPr>
          <w:ilvl w:val="1"/>
          <w:numId w:val="1"/>
        </w:numPr>
        <w:autoSpaceDE w:val="0"/>
        <w:autoSpaceDN w:val="0"/>
        <w:adjustRightInd w:val="0"/>
        <w:spacing w:after="0" w:line="276" w:lineRule="auto"/>
        <w:rPr>
          <w:rFonts w:ascii="Tahoma" w:hAnsi="Tahoma" w:cs="Tahoma"/>
          <w:b/>
          <w:bCs/>
          <w:spacing w:val="2"/>
          <w:sz w:val="22"/>
          <w:szCs w:val="22"/>
        </w:rPr>
      </w:pPr>
      <w:r w:rsidRPr="008338FF">
        <w:rPr>
          <w:rFonts w:ascii="Tahoma" w:hAnsi="Tahoma" w:cs="Tahoma"/>
          <w:b/>
          <w:bCs/>
          <w:spacing w:val="2"/>
          <w:sz w:val="22"/>
          <w:szCs w:val="22"/>
        </w:rPr>
        <w:t>Problema</w:t>
      </w:r>
      <w:r w:rsidR="003F297E" w:rsidRPr="008338FF">
        <w:rPr>
          <w:rFonts w:ascii="Tahoma" w:hAnsi="Tahoma" w:cs="Tahoma"/>
          <w:b/>
          <w:bCs/>
          <w:spacing w:val="2"/>
          <w:sz w:val="22"/>
          <w:szCs w:val="22"/>
        </w:rPr>
        <w:t>s</w:t>
      </w:r>
      <w:r w:rsidRPr="008338FF">
        <w:rPr>
          <w:rFonts w:ascii="Tahoma" w:hAnsi="Tahoma" w:cs="Tahoma"/>
          <w:b/>
          <w:bCs/>
          <w:spacing w:val="2"/>
          <w:sz w:val="22"/>
          <w:szCs w:val="22"/>
        </w:rPr>
        <w:t xml:space="preserve"> jurídico</w:t>
      </w:r>
      <w:r w:rsidR="003F297E" w:rsidRPr="008338FF">
        <w:rPr>
          <w:rFonts w:ascii="Tahoma" w:hAnsi="Tahoma" w:cs="Tahoma"/>
          <w:b/>
          <w:bCs/>
          <w:spacing w:val="2"/>
          <w:sz w:val="22"/>
          <w:szCs w:val="22"/>
        </w:rPr>
        <w:t>s</w:t>
      </w:r>
      <w:r w:rsidRPr="008338FF">
        <w:rPr>
          <w:rFonts w:ascii="Tahoma" w:hAnsi="Tahoma" w:cs="Tahoma"/>
          <w:b/>
          <w:bCs/>
          <w:spacing w:val="2"/>
          <w:sz w:val="22"/>
          <w:szCs w:val="22"/>
        </w:rPr>
        <w:t xml:space="preserve"> por resolver:</w:t>
      </w:r>
    </w:p>
    <w:p w:rsidR="007D4D1B" w:rsidRPr="008338FF" w:rsidRDefault="007D4D1B" w:rsidP="0081733C">
      <w:pPr>
        <w:spacing w:line="276" w:lineRule="auto"/>
        <w:rPr>
          <w:sz w:val="22"/>
          <w:szCs w:val="22"/>
        </w:rPr>
      </w:pPr>
    </w:p>
    <w:p w:rsidR="00F51E9B" w:rsidRPr="008338FF" w:rsidRDefault="009F3B23" w:rsidP="00F51E9B">
      <w:pPr>
        <w:spacing w:line="276" w:lineRule="auto"/>
        <w:ind w:left="720"/>
        <w:jc w:val="both"/>
        <w:rPr>
          <w:rFonts w:ascii="Tahoma" w:hAnsi="Tahoma" w:cs="Tahoma"/>
          <w:spacing w:val="2"/>
          <w:sz w:val="22"/>
          <w:szCs w:val="22"/>
        </w:rPr>
      </w:pPr>
      <w:r w:rsidRPr="008338FF">
        <w:rPr>
          <w:rFonts w:ascii="Tahoma" w:hAnsi="Tahoma" w:cs="Tahoma"/>
          <w:spacing w:val="2"/>
          <w:sz w:val="22"/>
          <w:szCs w:val="22"/>
        </w:rPr>
        <w:t>¿</w:t>
      </w:r>
      <w:r w:rsidR="00F51E9B" w:rsidRPr="008338FF">
        <w:rPr>
          <w:rFonts w:ascii="Tahoma" w:hAnsi="Tahoma" w:cs="Tahoma"/>
          <w:spacing w:val="2"/>
          <w:sz w:val="22"/>
          <w:szCs w:val="22"/>
        </w:rPr>
        <w:t>Debió el juzgado de instancia aplicar el 90% a la suma que fijó como agencias en derecho, teniendo en cuenta que ese fue el porcentaje al cual se condenó a COLPENSIONES por concepto de costas procesales?</w:t>
      </w:r>
    </w:p>
    <w:p w:rsidR="00A776CD" w:rsidRPr="008338FF" w:rsidRDefault="00A776CD" w:rsidP="0081733C">
      <w:pPr>
        <w:pStyle w:val="Prrafodelista"/>
        <w:spacing w:line="276" w:lineRule="auto"/>
        <w:rPr>
          <w:rFonts w:ascii="Tahoma" w:hAnsi="Tahoma" w:cs="Tahoma"/>
          <w:spacing w:val="2"/>
          <w:sz w:val="22"/>
          <w:szCs w:val="22"/>
        </w:rPr>
      </w:pPr>
    </w:p>
    <w:p w:rsidR="00D37B9E" w:rsidRPr="008338FF" w:rsidRDefault="00D37B9E" w:rsidP="0081733C">
      <w:pPr>
        <w:pStyle w:val="Prrafodelista"/>
        <w:spacing w:line="276" w:lineRule="auto"/>
        <w:rPr>
          <w:rFonts w:ascii="Tahoma" w:hAnsi="Tahoma" w:cs="Tahoma"/>
          <w:spacing w:val="2"/>
          <w:sz w:val="22"/>
          <w:szCs w:val="22"/>
        </w:rPr>
      </w:pPr>
    </w:p>
    <w:p w:rsidR="00D56A9F" w:rsidRPr="008338FF" w:rsidRDefault="00D56A9F" w:rsidP="0081733C">
      <w:pPr>
        <w:pStyle w:val="Textoindependiente"/>
        <w:widowControl w:val="0"/>
        <w:numPr>
          <w:ilvl w:val="1"/>
          <w:numId w:val="1"/>
        </w:numPr>
        <w:autoSpaceDE w:val="0"/>
        <w:autoSpaceDN w:val="0"/>
        <w:adjustRightInd w:val="0"/>
        <w:spacing w:after="0" w:line="276" w:lineRule="auto"/>
        <w:jc w:val="both"/>
        <w:rPr>
          <w:rFonts w:ascii="Tahoma" w:hAnsi="Tahoma" w:cs="Tahoma"/>
          <w:b/>
          <w:bCs/>
          <w:spacing w:val="2"/>
          <w:sz w:val="22"/>
          <w:szCs w:val="22"/>
        </w:rPr>
      </w:pPr>
      <w:r w:rsidRPr="008338FF">
        <w:rPr>
          <w:rFonts w:ascii="Tahoma" w:hAnsi="Tahoma" w:cs="Tahoma"/>
          <w:b/>
          <w:bCs/>
          <w:spacing w:val="2"/>
          <w:sz w:val="22"/>
          <w:szCs w:val="22"/>
        </w:rPr>
        <w:t>C</w:t>
      </w:r>
      <w:r w:rsidR="00F51E9B" w:rsidRPr="008338FF">
        <w:rPr>
          <w:rFonts w:ascii="Tahoma" w:hAnsi="Tahoma" w:cs="Tahoma"/>
          <w:b/>
          <w:bCs/>
          <w:spacing w:val="2"/>
          <w:sz w:val="22"/>
          <w:szCs w:val="22"/>
        </w:rPr>
        <w:t>aso concreto:</w:t>
      </w:r>
      <w:r w:rsidRPr="008338FF">
        <w:rPr>
          <w:rFonts w:ascii="Tahoma" w:hAnsi="Tahoma" w:cs="Tahoma"/>
          <w:b/>
          <w:bCs/>
          <w:spacing w:val="2"/>
          <w:sz w:val="22"/>
          <w:szCs w:val="22"/>
        </w:rPr>
        <w:t xml:space="preserve"> </w:t>
      </w:r>
    </w:p>
    <w:p w:rsidR="00D56A9F" w:rsidRPr="008338FF" w:rsidRDefault="00D56A9F" w:rsidP="0081733C">
      <w:pPr>
        <w:pStyle w:val="Textoindependiente"/>
        <w:widowControl w:val="0"/>
        <w:autoSpaceDE w:val="0"/>
        <w:autoSpaceDN w:val="0"/>
        <w:adjustRightInd w:val="0"/>
        <w:spacing w:after="0" w:line="276" w:lineRule="auto"/>
        <w:ind w:left="1440"/>
        <w:jc w:val="both"/>
        <w:rPr>
          <w:rFonts w:ascii="Tahoma" w:hAnsi="Tahoma" w:cs="Tahoma"/>
          <w:b/>
          <w:bCs/>
          <w:spacing w:val="2"/>
          <w:sz w:val="22"/>
          <w:szCs w:val="22"/>
        </w:rPr>
      </w:pPr>
    </w:p>
    <w:p w:rsidR="00F51E9B" w:rsidRPr="008338FF" w:rsidRDefault="000B33D6" w:rsidP="0081733C">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r w:rsidRPr="008338FF">
        <w:rPr>
          <w:rFonts w:ascii="Tahoma" w:hAnsi="Tahoma" w:cs="Tahoma"/>
          <w:bCs/>
          <w:spacing w:val="2"/>
          <w:sz w:val="22"/>
          <w:szCs w:val="22"/>
        </w:rPr>
        <w:t xml:space="preserve">Sea lo primero advertir que el monto fijado como agencias en derecho no está en discusión sino solamente la falta de aplicación del 90% a ese valor, que fue el porcentaje al cual se condenó a COLPENSIONES por concepto de costas procesales. </w:t>
      </w:r>
      <w:r w:rsidR="00F51E9B" w:rsidRPr="008338FF">
        <w:rPr>
          <w:rFonts w:ascii="Tahoma" w:hAnsi="Tahoma" w:cs="Tahoma"/>
          <w:bCs/>
          <w:spacing w:val="2"/>
          <w:sz w:val="22"/>
          <w:szCs w:val="22"/>
        </w:rPr>
        <w:t>Para resolver el motivo de la apelación conviene referirnos al texto literal del punto de la sentencia de primera instancia mediante el cual se condenó a COLPENSIONES al pago de costas procesales, mismo que fue confirmado por esta Corporación. Dice en lo pertinente la referida sentencia:</w:t>
      </w:r>
    </w:p>
    <w:p w:rsidR="00F51E9B" w:rsidRPr="008338FF" w:rsidRDefault="00F51E9B" w:rsidP="0081733C">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p>
    <w:p w:rsidR="00F51E9B" w:rsidRPr="008338FF" w:rsidRDefault="00F51E9B" w:rsidP="0081733C">
      <w:pPr>
        <w:pStyle w:val="Textoindependiente"/>
        <w:widowControl w:val="0"/>
        <w:autoSpaceDE w:val="0"/>
        <w:autoSpaceDN w:val="0"/>
        <w:adjustRightInd w:val="0"/>
        <w:spacing w:after="0" w:line="276" w:lineRule="auto"/>
        <w:ind w:firstLine="709"/>
        <w:jc w:val="both"/>
        <w:rPr>
          <w:rFonts w:ascii="Tahoma" w:hAnsi="Tahoma" w:cs="Tahoma"/>
          <w:bCs/>
          <w:i/>
          <w:spacing w:val="2"/>
          <w:sz w:val="22"/>
          <w:szCs w:val="22"/>
        </w:rPr>
      </w:pPr>
      <w:r w:rsidRPr="008338FF">
        <w:rPr>
          <w:rFonts w:ascii="Tahoma" w:hAnsi="Tahoma" w:cs="Tahoma"/>
          <w:bCs/>
          <w:i/>
          <w:spacing w:val="2"/>
          <w:sz w:val="22"/>
          <w:szCs w:val="22"/>
        </w:rPr>
        <w:t>“</w:t>
      </w:r>
      <w:r w:rsidRPr="008338FF">
        <w:rPr>
          <w:rFonts w:ascii="Tahoma" w:hAnsi="Tahoma" w:cs="Tahoma"/>
          <w:b/>
          <w:bCs/>
          <w:i/>
          <w:spacing w:val="2"/>
          <w:sz w:val="22"/>
          <w:szCs w:val="22"/>
          <w:u w:val="single"/>
        </w:rPr>
        <w:t>SEXTO:</w:t>
      </w:r>
      <w:r w:rsidRPr="008338FF">
        <w:rPr>
          <w:rFonts w:ascii="Tahoma" w:hAnsi="Tahoma" w:cs="Tahoma"/>
          <w:b/>
          <w:bCs/>
          <w:i/>
          <w:spacing w:val="2"/>
          <w:sz w:val="22"/>
          <w:szCs w:val="22"/>
        </w:rPr>
        <w:t xml:space="preserve"> CONDENAR </w:t>
      </w:r>
      <w:r w:rsidRPr="008338FF">
        <w:rPr>
          <w:rFonts w:ascii="Tahoma" w:hAnsi="Tahoma" w:cs="Tahoma"/>
          <w:bCs/>
          <w:i/>
          <w:spacing w:val="2"/>
          <w:sz w:val="22"/>
          <w:szCs w:val="22"/>
        </w:rPr>
        <w:t xml:space="preserve">en COSTAS a la parte vencida, en un noventa por ciento (90%). Se fijan las agencias en derecho, tasadas por secretaría en la suma de $1.247.192,00” </w:t>
      </w:r>
    </w:p>
    <w:p w:rsidR="00F51E9B" w:rsidRPr="008338FF" w:rsidRDefault="00F51E9B" w:rsidP="0081733C">
      <w:pPr>
        <w:pStyle w:val="Textoindependiente"/>
        <w:widowControl w:val="0"/>
        <w:autoSpaceDE w:val="0"/>
        <w:autoSpaceDN w:val="0"/>
        <w:adjustRightInd w:val="0"/>
        <w:spacing w:after="0" w:line="276" w:lineRule="auto"/>
        <w:ind w:firstLine="709"/>
        <w:jc w:val="both"/>
        <w:rPr>
          <w:rFonts w:ascii="Tahoma" w:hAnsi="Tahoma" w:cs="Tahoma"/>
          <w:bCs/>
          <w:i/>
          <w:spacing w:val="2"/>
          <w:sz w:val="22"/>
          <w:szCs w:val="22"/>
        </w:rPr>
      </w:pPr>
    </w:p>
    <w:p w:rsidR="00693C38" w:rsidRPr="008338FF" w:rsidRDefault="00693C38" w:rsidP="0081733C">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r w:rsidRPr="008338FF">
        <w:rPr>
          <w:rFonts w:ascii="Tahoma" w:hAnsi="Tahoma" w:cs="Tahoma"/>
          <w:bCs/>
          <w:spacing w:val="2"/>
          <w:sz w:val="22"/>
          <w:szCs w:val="22"/>
        </w:rPr>
        <w:t xml:space="preserve">No hacen falta mayores elucubraciones para establecer que el apelante tiene razón toda vez que el texto abierto de </w:t>
      </w:r>
      <w:r w:rsidR="00F51E9B" w:rsidRPr="008338FF">
        <w:rPr>
          <w:rFonts w:ascii="Tahoma" w:hAnsi="Tahoma" w:cs="Tahoma"/>
          <w:bCs/>
          <w:spacing w:val="2"/>
          <w:sz w:val="22"/>
          <w:szCs w:val="22"/>
        </w:rPr>
        <w:t>la condena en costas</w:t>
      </w:r>
      <w:r w:rsidRPr="008338FF">
        <w:rPr>
          <w:rFonts w:ascii="Tahoma" w:hAnsi="Tahoma" w:cs="Tahoma"/>
          <w:bCs/>
          <w:spacing w:val="2"/>
          <w:sz w:val="22"/>
          <w:szCs w:val="22"/>
        </w:rPr>
        <w:t xml:space="preserve">, en </w:t>
      </w:r>
      <w:r w:rsidR="00541741" w:rsidRPr="008338FF">
        <w:rPr>
          <w:rFonts w:ascii="Tahoma" w:hAnsi="Tahoma" w:cs="Tahoma"/>
          <w:bCs/>
          <w:spacing w:val="2"/>
          <w:sz w:val="22"/>
          <w:szCs w:val="22"/>
        </w:rPr>
        <w:t>el</w:t>
      </w:r>
      <w:r w:rsidRPr="008338FF">
        <w:rPr>
          <w:rFonts w:ascii="Tahoma" w:hAnsi="Tahoma" w:cs="Tahoma"/>
          <w:bCs/>
          <w:spacing w:val="2"/>
          <w:sz w:val="22"/>
          <w:szCs w:val="22"/>
        </w:rPr>
        <w:t xml:space="preserve"> cual no se advirtió que a la suma fijada como agencias en Derecho ya se le había aplicado el 90%, deja en evidencia de que efectivamente a todas las sumas que harían parte de la liquidación en costas, incluidas las agencias en derecho, debía aplicárseles el 90%. </w:t>
      </w:r>
    </w:p>
    <w:p w:rsidR="00693C38" w:rsidRPr="008338FF" w:rsidRDefault="00693C38" w:rsidP="0081733C">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p>
    <w:p w:rsidR="000B33D6" w:rsidRPr="008338FF" w:rsidRDefault="00693C38" w:rsidP="0081733C">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r w:rsidRPr="008338FF">
        <w:rPr>
          <w:rFonts w:ascii="Tahoma" w:hAnsi="Tahoma" w:cs="Tahoma"/>
          <w:bCs/>
          <w:spacing w:val="2"/>
          <w:sz w:val="22"/>
          <w:szCs w:val="22"/>
        </w:rPr>
        <w:t>En consecuencia se revocará el auto apelado y en su lugar se modificará la liquidaci</w:t>
      </w:r>
      <w:r w:rsidR="000B33D6" w:rsidRPr="008338FF">
        <w:rPr>
          <w:rFonts w:ascii="Tahoma" w:hAnsi="Tahoma" w:cs="Tahoma"/>
          <w:bCs/>
          <w:spacing w:val="2"/>
          <w:sz w:val="22"/>
          <w:szCs w:val="22"/>
        </w:rPr>
        <w:t>ón de</w:t>
      </w:r>
      <w:r w:rsidRPr="008338FF">
        <w:rPr>
          <w:rFonts w:ascii="Tahoma" w:hAnsi="Tahoma" w:cs="Tahoma"/>
          <w:bCs/>
          <w:spacing w:val="2"/>
          <w:sz w:val="22"/>
          <w:szCs w:val="22"/>
        </w:rPr>
        <w:t xml:space="preserve"> costas </w:t>
      </w:r>
      <w:r w:rsidR="000B33D6" w:rsidRPr="008338FF">
        <w:rPr>
          <w:rFonts w:ascii="Tahoma" w:hAnsi="Tahoma" w:cs="Tahoma"/>
          <w:bCs/>
          <w:spacing w:val="2"/>
          <w:sz w:val="22"/>
          <w:szCs w:val="22"/>
        </w:rPr>
        <w:t xml:space="preserve">procesales </w:t>
      </w:r>
      <w:r w:rsidRPr="008338FF">
        <w:rPr>
          <w:rFonts w:ascii="Tahoma" w:hAnsi="Tahoma" w:cs="Tahoma"/>
          <w:bCs/>
          <w:spacing w:val="2"/>
          <w:sz w:val="22"/>
          <w:szCs w:val="22"/>
        </w:rPr>
        <w:t xml:space="preserve">en la suma de $ </w:t>
      </w:r>
      <w:r w:rsidR="000B33D6" w:rsidRPr="008338FF">
        <w:rPr>
          <w:rFonts w:ascii="Tahoma" w:hAnsi="Tahoma" w:cs="Tahoma"/>
          <w:bCs/>
          <w:spacing w:val="2"/>
          <w:sz w:val="22"/>
          <w:szCs w:val="22"/>
        </w:rPr>
        <w:t>1.122.472,80</w:t>
      </w:r>
      <w:r w:rsidR="007021AA" w:rsidRPr="008338FF">
        <w:rPr>
          <w:rFonts w:ascii="Tahoma" w:hAnsi="Tahoma" w:cs="Tahoma"/>
          <w:bCs/>
          <w:spacing w:val="2"/>
          <w:sz w:val="22"/>
          <w:szCs w:val="22"/>
        </w:rPr>
        <w:t xml:space="preserve"> suma que resulta de aplicarle el 90% al valor fijado como agencias en derecho</w:t>
      </w:r>
      <w:r w:rsidR="000B33D6" w:rsidRPr="008338FF">
        <w:rPr>
          <w:rFonts w:ascii="Tahoma" w:hAnsi="Tahoma" w:cs="Tahoma"/>
          <w:bCs/>
          <w:spacing w:val="2"/>
          <w:sz w:val="22"/>
          <w:szCs w:val="22"/>
        </w:rPr>
        <w:t xml:space="preserve">. </w:t>
      </w:r>
    </w:p>
    <w:p w:rsidR="00281825" w:rsidRPr="008338FF" w:rsidRDefault="00281825" w:rsidP="0081733C">
      <w:pPr>
        <w:widowControl w:val="0"/>
        <w:autoSpaceDE w:val="0"/>
        <w:autoSpaceDN w:val="0"/>
        <w:adjustRightInd w:val="0"/>
        <w:spacing w:line="276" w:lineRule="auto"/>
        <w:ind w:firstLine="708"/>
        <w:jc w:val="both"/>
        <w:rPr>
          <w:rFonts w:ascii="Tahoma" w:hAnsi="Tahoma" w:cs="Tahoma"/>
          <w:iCs/>
          <w:sz w:val="22"/>
          <w:szCs w:val="22"/>
          <w:lang w:val="es-MX"/>
        </w:rPr>
      </w:pPr>
    </w:p>
    <w:p w:rsidR="00AA4699" w:rsidRPr="008338FF" w:rsidRDefault="00AA4699" w:rsidP="0081733C">
      <w:pPr>
        <w:widowControl w:val="0"/>
        <w:autoSpaceDE w:val="0"/>
        <w:autoSpaceDN w:val="0"/>
        <w:adjustRightInd w:val="0"/>
        <w:spacing w:line="276" w:lineRule="auto"/>
        <w:ind w:firstLine="1080"/>
        <w:jc w:val="both"/>
        <w:rPr>
          <w:rFonts w:ascii="Tahoma" w:hAnsi="Tahoma" w:cs="Tahoma"/>
          <w:sz w:val="22"/>
          <w:szCs w:val="22"/>
        </w:rPr>
      </w:pPr>
      <w:r w:rsidRPr="008338FF">
        <w:rPr>
          <w:rFonts w:ascii="Tahoma" w:hAnsi="Tahoma" w:cs="Tahoma"/>
          <w:sz w:val="22"/>
          <w:szCs w:val="22"/>
        </w:rPr>
        <w:t xml:space="preserve">Sin costas en esta instancia por </w:t>
      </w:r>
      <w:r w:rsidR="00E73E18" w:rsidRPr="008338FF">
        <w:rPr>
          <w:rFonts w:ascii="Tahoma" w:hAnsi="Tahoma" w:cs="Tahoma"/>
          <w:sz w:val="22"/>
          <w:szCs w:val="22"/>
        </w:rPr>
        <w:t xml:space="preserve">haber prosperado el recurso de apelación. </w:t>
      </w:r>
    </w:p>
    <w:p w:rsidR="00E73E18" w:rsidRPr="008338FF" w:rsidRDefault="00E73E18" w:rsidP="0081733C">
      <w:pPr>
        <w:widowControl w:val="0"/>
        <w:autoSpaceDE w:val="0"/>
        <w:autoSpaceDN w:val="0"/>
        <w:adjustRightInd w:val="0"/>
        <w:spacing w:line="276" w:lineRule="auto"/>
        <w:ind w:firstLine="1080"/>
        <w:jc w:val="both"/>
        <w:rPr>
          <w:rFonts w:ascii="Tahoma" w:hAnsi="Tahoma" w:cs="Tahoma"/>
          <w:sz w:val="22"/>
          <w:szCs w:val="22"/>
        </w:rPr>
      </w:pPr>
    </w:p>
    <w:p w:rsidR="007D4D1B" w:rsidRPr="008338FF" w:rsidRDefault="000C2DE8" w:rsidP="0081733C">
      <w:pPr>
        <w:widowControl w:val="0"/>
        <w:autoSpaceDE w:val="0"/>
        <w:autoSpaceDN w:val="0"/>
        <w:adjustRightInd w:val="0"/>
        <w:spacing w:line="276" w:lineRule="auto"/>
        <w:ind w:firstLine="1080"/>
        <w:jc w:val="both"/>
        <w:rPr>
          <w:rFonts w:ascii="Tahoma" w:hAnsi="Tahoma" w:cs="Tahoma"/>
          <w:sz w:val="22"/>
          <w:szCs w:val="22"/>
        </w:rPr>
      </w:pPr>
      <w:r w:rsidRPr="008338FF">
        <w:rPr>
          <w:rFonts w:ascii="Tahoma" w:hAnsi="Tahoma" w:cs="Tahoma"/>
          <w:sz w:val="22"/>
          <w:szCs w:val="22"/>
        </w:rPr>
        <w:t>En mérito de</w:t>
      </w:r>
      <w:r w:rsidR="007D4D1B" w:rsidRPr="008338FF">
        <w:rPr>
          <w:rFonts w:ascii="Tahoma" w:hAnsi="Tahoma" w:cs="Tahoma"/>
          <w:sz w:val="22"/>
          <w:szCs w:val="22"/>
        </w:rPr>
        <w:t xml:space="preserve"> lo expuesto, el </w:t>
      </w:r>
      <w:r w:rsidR="007D4D1B" w:rsidRPr="008338FF">
        <w:rPr>
          <w:rFonts w:ascii="Tahoma" w:hAnsi="Tahoma" w:cs="Tahoma"/>
          <w:b/>
          <w:sz w:val="22"/>
          <w:szCs w:val="22"/>
        </w:rPr>
        <w:t>TRIBUNAL SUPERIOR DEL DISTRITO JUDICIAL DE PEREIRA (RISARALDA)</w:t>
      </w:r>
      <w:r w:rsidR="007D4D1B" w:rsidRPr="008338FF">
        <w:rPr>
          <w:rFonts w:ascii="Tahoma" w:hAnsi="Tahoma" w:cs="Tahoma"/>
          <w:sz w:val="22"/>
          <w:szCs w:val="22"/>
        </w:rPr>
        <w:t xml:space="preserve">, </w:t>
      </w:r>
      <w:r w:rsidR="007D4D1B" w:rsidRPr="008338FF">
        <w:rPr>
          <w:rFonts w:ascii="Tahoma" w:hAnsi="Tahoma" w:cs="Tahoma"/>
          <w:b/>
          <w:sz w:val="22"/>
          <w:szCs w:val="22"/>
        </w:rPr>
        <w:t xml:space="preserve">SALA </w:t>
      </w:r>
      <w:r w:rsidR="00165F01" w:rsidRPr="008338FF">
        <w:rPr>
          <w:rFonts w:ascii="Tahoma" w:hAnsi="Tahoma" w:cs="Tahoma"/>
          <w:b/>
          <w:sz w:val="22"/>
          <w:szCs w:val="22"/>
        </w:rPr>
        <w:t xml:space="preserve">DE DECISIÓN </w:t>
      </w:r>
      <w:r w:rsidR="007D4D1B" w:rsidRPr="008338FF">
        <w:rPr>
          <w:rFonts w:ascii="Tahoma" w:hAnsi="Tahoma" w:cs="Tahoma"/>
          <w:b/>
          <w:sz w:val="22"/>
          <w:szCs w:val="22"/>
        </w:rPr>
        <w:t>LABORAL</w:t>
      </w:r>
      <w:r w:rsidR="007D4D1B" w:rsidRPr="008338FF">
        <w:rPr>
          <w:rFonts w:ascii="Tahoma" w:hAnsi="Tahoma" w:cs="Tahoma"/>
          <w:sz w:val="22"/>
          <w:szCs w:val="22"/>
        </w:rPr>
        <w:t xml:space="preserve">, </w:t>
      </w:r>
    </w:p>
    <w:p w:rsidR="00165F01" w:rsidRPr="008338FF" w:rsidRDefault="00165F01" w:rsidP="0081733C">
      <w:pPr>
        <w:spacing w:line="276" w:lineRule="auto"/>
        <w:ind w:firstLine="1122"/>
        <w:jc w:val="both"/>
        <w:rPr>
          <w:rFonts w:ascii="Tahoma" w:hAnsi="Tahoma" w:cs="Tahoma"/>
          <w:spacing w:val="-2"/>
          <w:sz w:val="22"/>
          <w:szCs w:val="22"/>
        </w:rPr>
      </w:pPr>
    </w:p>
    <w:p w:rsidR="007D4D1B" w:rsidRPr="008338FF" w:rsidRDefault="007D4D1B" w:rsidP="0081733C">
      <w:pPr>
        <w:widowControl w:val="0"/>
        <w:autoSpaceDE w:val="0"/>
        <w:autoSpaceDN w:val="0"/>
        <w:adjustRightInd w:val="0"/>
        <w:spacing w:line="276" w:lineRule="auto"/>
        <w:jc w:val="center"/>
        <w:rPr>
          <w:rFonts w:ascii="Tahoma" w:hAnsi="Tahoma" w:cs="Tahoma"/>
          <w:b/>
          <w:sz w:val="22"/>
          <w:szCs w:val="22"/>
        </w:rPr>
      </w:pPr>
      <w:r w:rsidRPr="008338FF">
        <w:rPr>
          <w:rFonts w:ascii="Tahoma" w:hAnsi="Tahoma" w:cs="Tahoma"/>
          <w:b/>
          <w:sz w:val="22"/>
          <w:szCs w:val="22"/>
        </w:rPr>
        <w:t>R E S U E L V E:</w:t>
      </w:r>
    </w:p>
    <w:p w:rsidR="007D4D1B" w:rsidRPr="008338FF" w:rsidRDefault="007D4D1B" w:rsidP="0081733C">
      <w:pPr>
        <w:widowControl w:val="0"/>
        <w:autoSpaceDE w:val="0"/>
        <w:autoSpaceDN w:val="0"/>
        <w:adjustRightInd w:val="0"/>
        <w:spacing w:line="276" w:lineRule="auto"/>
        <w:jc w:val="both"/>
        <w:rPr>
          <w:rFonts w:ascii="Tahoma" w:hAnsi="Tahoma" w:cs="Tahoma"/>
          <w:sz w:val="22"/>
          <w:szCs w:val="22"/>
        </w:rPr>
      </w:pPr>
    </w:p>
    <w:p w:rsidR="000B33D6" w:rsidRPr="008338FF" w:rsidRDefault="00E73E18" w:rsidP="006A5FB2">
      <w:pPr>
        <w:widowControl w:val="0"/>
        <w:autoSpaceDE w:val="0"/>
        <w:autoSpaceDN w:val="0"/>
        <w:adjustRightInd w:val="0"/>
        <w:spacing w:line="276" w:lineRule="auto"/>
        <w:ind w:firstLine="709"/>
        <w:jc w:val="both"/>
        <w:rPr>
          <w:rFonts w:ascii="Tahoma" w:hAnsi="Tahoma" w:cs="Tahoma"/>
          <w:sz w:val="22"/>
          <w:szCs w:val="22"/>
        </w:rPr>
      </w:pPr>
      <w:r w:rsidRPr="008338FF">
        <w:rPr>
          <w:rFonts w:ascii="Tahoma" w:hAnsi="Tahoma" w:cs="Tahoma"/>
          <w:b/>
          <w:sz w:val="22"/>
          <w:szCs w:val="22"/>
          <w:u w:val="single"/>
        </w:rPr>
        <w:t>PRIMERO</w:t>
      </w:r>
      <w:r w:rsidRPr="008338FF">
        <w:rPr>
          <w:rFonts w:ascii="Tahoma" w:hAnsi="Tahoma" w:cs="Tahoma"/>
          <w:b/>
          <w:sz w:val="22"/>
          <w:szCs w:val="22"/>
        </w:rPr>
        <w:t xml:space="preserve">.- </w:t>
      </w:r>
      <w:r w:rsidR="000B33D6" w:rsidRPr="008338FF">
        <w:rPr>
          <w:rFonts w:ascii="Tahoma" w:hAnsi="Tahoma" w:cs="Tahoma"/>
          <w:b/>
          <w:sz w:val="22"/>
          <w:szCs w:val="22"/>
        </w:rPr>
        <w:t xml:space="preserve">REVOCAR </w:t>
      </w:r>
      <w:r w:rsidR="000B33D6" w:rsidRPr="008338FF">
        <w:rPr>
          <w:rFonts w:ascii="Tahoma" w:hAnsi="Tahoma" w:cs="Tahoma"/>
          <w:sz w:val="22"/>
          <w:szCs w:val="22"/>
        </w:rPr>
        <w:t xml:space="preserve">el auto apelado y en su lugar </w:t>
      </w:r>
      <w:r w:rsidR="000B33D6" w:rsidRPr="008338FF">
        <w:rPr>
          <w:rFonts w:ascii="Tahoma" w:hAnsi="Tahoma" w:cs="Tahoma"/>
          <w:b/>
          <w:sz w:val="22"/>
          <w:szCs w:val="22"/>
        </w:rPr>
        <w:t>M</w:t>
      </w:r>
      <w:r w:rsidR="006A5FB2" w:rsidRPr="008338FF">
        <w:rPr>
          <w:rFonts w:ascii="Tahoma" w:hAnsi="Tahoma" w:cs="Tahoma"/>
          <w:b/>
          <w:sz w:val="22"/>
          <w:szCs w:val="22"/>
        </w:rPr>
        <w:t xml:space="preserve">ODIFICAR </w:t>
      </w:r>
      <w:r w:rsidR="000B33D6" w:rsidRPr="008338FF">
        <w:rPr>
          <w:rFonts w:ascii="Tahoma" w:hAnsi="Tahoma" w:cs="Tahoma"/>
          <w:bCs/>
          <w:spacing w:val="2"/>
          <w:sz w:val="22"/>
          <w:szCs w:val="22"/>
        </w:rPr>
        <w:t>la liquidación de costas procesales en la suma de UN MILLÓN CIENTO VEINTIDOS MIL CUATROCIENTOS SETENTA Y DOS PESOS CON OCHENTA CENTAVOS ($ 1.122.472,80)</w:t>
      </w:r>
      <w:r w:rsidR="006A5FB2" w:rsidRPr="008338FF">
        <w:rPr>
          <w:rFonts w:ascii="Tahoma" w:hAnsi="Tahoma" w:cs="Tahoma"/>
          <w:sz w:val="22"/>
          <w:szCs w:val="22"/>
        </w:rPr>
        <w:t xml:space="preserve"> </w:t>
      </w:r>
      <w:r w:rsidR="000B33D6" w:rsidRPr="008338FF">
        <w:rPr>
          <w:rFonts w:ascii="Tahoma" w:hAnsi="Tahoma" w:cs="Tahoma"/>
          <w:sz w:val="22"/>
          <w:szCs w:val="22"/>
        </w:rPr>
        <w:t xml:space="preserve">a cargo de COLPENSIONES y a favor de la parte ejecutante, por las razones expuestas en la parte motiva de este auto. </w:t>
      </w:r>
    </w:p>
    <w:p w:rsidR="000B33D6" w:rsidRPr="008338FF" w:rsidRDefault="000B33D6" w:rsidP="006A5FB2">
      <w:pPr>
        <w:widowControl w:val="0"/>
        <w:autoSpaceDE w:val="0"/>
        <w:autoSpaceDN w:val="0"/>
        <w:adjustRightInd w:val="0"/>
        <w:spacing w:line="276" w:lineRule="auto"/>
        <w:ind w:firstLine="709"/>
        <w:jc w:val="both"/>
        <w:rPr>
          <w:rFonts w:ascii="Tahoma" w:hAnsi="Tahoma" w:cs="Tahoma"/>
          <w:sz w:val="22"/>
          <w:szCs w:val="22"/>
        </w:rPr>
      </w:pPr>
    </w:p>
    <w:p w:rsidR="00F64927" w:rsidRPr="008338FF" w:rsidRDefault="00F64927" w:rsidP="0081733C">
      <w:pPr>
        <w:pStyle w:val="Prrafodelista"/>
        <w:widowControl w:val="0"/>
        <w:autoSpaceDE w:val="0"/>
        <w:autoSpaceDN w:val="0"/>
        <w:adjustRightInd w:val="0"/>
        <w:spacing w:line="276" w:lineRule="auto"/>
        <w:ind w:left="1069"/>
        <w:jc w:val="both"/>
        <w:rPr>
          <w:rFonts w:ascii="Tahoma" w:hAnsi="Tahoma" w:cs="Tahoma"/>
          <w:sz w:val="22"/>
          <w:szCs w:val="22"/>
        </w:rPr>
      </w:pPr>
    </w:p>
    <w:p w:rsidR="000E7661" w:rsidRPr="008338FF" w:rsidRDefault="000E7661" w:rsidP="0081733C">
      <w:pPr>
        <w:pStyle w:val="Prrafodelista"/>
        <w:widowControl w:val="0"/>
        <w:autoSpaceDE w:val="0"/>
        <w:autoSpaceDN w:val="0"/>
        <w:adjustRightInd w:val="0"/>
        <w:spacing w:line="276" w:lineRule="auto"/>
        <w:ind w:left="1069"/>
        <w:jc w:val="both"/>
        <w:rPr>
          <w:rFonts w:ascii="Tahoma" w:hAnsi="Tahoma" w:cs="Tahoma"/>
          <w:sz w:val="22"/>
          <w:szCs w:val="22"/>
        </w:rPr>
      </w:pPr>
    </w:p>
    <w:p w:rsidR="00AF50EA" w:rsidRPr="008338FF" w:rsidRDefault="0081733C" w:rsidP="000B33D6">
      <w:pPr>
        <w:widowControl w:val="0"/>
        <w:autoSpaceDE w:val="0"/>
        <w:autoSpaceDN w:val="0"/>
        <w:adjustRightInd w:val="0"/>
        <w:spacing w:line="276" w:lineRule="auto"/>
        <w:ind w:firstLine="709"/>
        <w:jc w:val="both"/>
        <w:rPr>
          <w:rFonts w:ascii="Tahoma" w:hAnsi="Tahoma" w:cs="Tahoma"/>
          <w:sz w:val="22"/>
          <w:szCs w:val="22"/>
        </w:rPr>
      </w:pPr>
      <w:r w:rsidRPr="008338FF">
        <w:rPr>
          <w:rFonts w:ascii="Tahoma" w:hAnsi="Tahoma" w:cs="Tahoma"/>
          <w:b/>
          <w:sz w:val="22"/>
          <w:szCs w:val="22"/>
          <w:u w:val="single"/>
        </w:rPr>
        <w:t>SEGUND</w:t>
      </w:r>
      <w:r w:rsidR="00F64927" w:rsidRPr="008338FF">
        <w:rPr>
          <w:rFonts w:ascii="Tahoma" w:hAnsi="Tahoma" w:cs="Tahoma"/>
          <w:b/>
          <w:sz w:val="22"/>
          <w:szCs w:val="22"/>
          <w:u w:val="single"/>
        </w:rPr>
        <w:t>O</w:t>
      </w:r>
      <w:r w:rsidR="00F64927" w:rsidRPr="008338FF">
        <w:rPr>
          <w:rFonts w:ascii="Tahoma" w:hAnsi="Tahoma" w:cs="Tahoma"/>
          <w:b/>
          <w:sz w:val="22"/>
          <w:szCs w:val="22"/>
        </w:rPr>
        <w:t xml:space="preserve">.- </w:t>
      </w:r>
      <w:r w:rsidR="00AA4699" w:rsidRPr="008338FF">
        <w:rPr>
          <w:rFonts w:ascii="Tahoma" w:hAnsi="Tahoma" w:cs="Tahoma"/>
          <w:sz w:val="22"/>
          <w:szCs w:val="22"/>
        </w:rPr>
        <w:t xml:space="preserve">Sin costas en esta instancia. </w:t>
      </w:r>
    </w:p>
    <w:p w:rsidR="00797D49" w:rsidRPr="008338FF" w:rsidRDefault="00797D49" w:rsidP="0081733C">
      <w:pPr>
        <w:widowControl w:val="0"/>
        <w:autoSpaceDE w:val="0"/>
        <w:autoSpaceDN w:val="0"/>
        <w:adjustRightInd w:val="0"/>
        <w:spacing w:line="276" w:lineRule="auto"/>
        <w:ind w:firstLine="1080"/>
        <w:jc w:val="both"/>
        <w:rPr>
          <w:rFonts w:ascii="Tahoma" w:hAnsi="Tahoma" w:cs="Tahoma"/>
          <w:sz w:val="22"/>
          <w:szCs w:val="22"/>
        </w:rPr>
      </w:pPr>
    </w:p>
    <w:p w:rsidR="007D4D1B" w:rsidRPr="008338FF" w:rsidRDefault="000676D1" w:rsidP="0081733C">
      <w:pPr>
        <w:widowControl w:val="0"/>
        <w:autoSpaceDE w:val="0"/>
        <w:autoSpaceDN w:val="0"/>
        <w:adjustRightInd w:val="0"/>
        <w:spacing w:line="276" w:lineRule="auto"/>
        <w:ind w:firstLine="708"/>
        <w:jc w:val="center"/>
        <w:rPr>
          <w:rFonts w:ascii="Tahoma" w:hAnsi="Tahoma" w:cs="Tahoma"/>
          <w:sz w:val="22"/>
          <w:szCs w:val="22"/>
        </w:rPr>
      </w:pPr>
      <w:r w:rsidRPr="008338FF">
        <w:rPr>
          <w:rFonts w:ascii="Tahoma" w:hAnsi="Tahoma" w:cs="Tahoma"/>
          <w:b/>
          <w:sz w:val="22"/>
          <w:szCs w:val="22"/>
        </w:rPr>
        <w:t>N</w:t>
      </w:r>
      <w:bookmarkStart w:id="0" w:name="_GoBack"/>
      <w:bookmarkEnd w:id="0"/>
      <w:r w:rsidRPr="008338FF">
        <w:rPr>
          <w:rFonts w:ascii="Tahoma" w:hAnsi="Tahoma" w:cs="Tahoma"/>
          <w:b/>
          <w:sz w:val="22"/>
          <w:szCs w:val="22"/>
        </w:rPr>
        <w:t>OTIFÍQUESE Y CÚMPLASE</w:t>
      </w:r>
    </w:p>
    <w:p w:rsidR="00B10EE6" w:rsidRPr="008338FF" w:rsidRDefault="007D4D1B" w:rsidP="0081733C">
      <w:pPr>
        <w:widowControl w:val="0"/>
        <w:autoSpaceDE w:val="0"/>
        <w:autoSpaceDN w:val="0"/>
        <w:adjustRightInd w:val="0"/>
        <w:spacing w:line="276" w:lineRule="auto"/>
        <w:jc w:val="both"/>
        <w:rPr>
          <w:rFonts w:ascii="Tahoma" w:hAnsi="Tahoma" w:cs="Tahoma"/>
          <w:sz w:val="22"/>
          <w:szCs w:val="22"/>
        </w:rPr>
      </w:pPr>
      <w:r w:rsidRPr="008338FF">
        <w:rPr>
          <w:rFonts w:ascii="Tahoma" w:hAnsi="Tahoma" w:cs="Tahoma"/>
          <w:sz w:val="22"/>
          <w:szCs w:val="22"/>
        </w:rPr>
        <w:tab/>
      </w:r>
    </w:p>
    <w:p w:rsidR="007D4D1B" w:rsidRPr="008338FF" w:rsidRDefault="008E3047" w:rsidP="0081733C">
      <w:pPr>
        <w:widowControl w:val="0"/>
        <w:autoSpaceDE w:val="0"/>
        <w:autoSpaceDN w:val="0"/>
        <w:adjustRightInd w:val="0"/>
        <w:spacing w:line="276" w:lineRule="auto"/>
        <w:jc w:val="both"/>
        <w:rPr>
          <w:rFonts w:ascii="Tahoma" w:hAnsi="Tahoma" w:cs="Tahoma"/>
          <w:sz w:val="22"/>
          <w:szCs w:val="22"/>
        </w:rPr>
      </w:pPr>
      <w:r w:rsidRPr="008338FF">
        <w:rPr>
          <w:rFonts w:ascii="Tahoma" w:hAnsi="Tahoma" w:cs="Tahoma"/>
          <w:sz w:val="22"/>
          <w:szCs w:val="22"/>
        </w:rPr>
        <w:t>L</w:t>
      </w:r>
      <w:r w:rsidR="006A5FB2" w:rsidRPr="008338FF">
        <w:rPr>
          <w:rFonts w:ascii="Tahoma" w:hAnsi="Tahoma" w:cs="Tahoma"/>
          <w:sz w:val="22"/>
          <w:szCs w:val="22"/>
        </w:rPr>
        <w:t xml:space="preserve">a </w:t>
      </w:r>
      <w:r w:rsidRPr="008338FF">
        <w:rPr>
          <w:rFonts w:ascii="Tahoma" w:hAnsi="Tahoma" w:cs="Tahoma"/>
          <w:sz w:val="22"/>
          <w:szCs w:val="22"/>
        </w:rPr>
        <w:t>Magistrad</w:t>
      </w:r>
      <w:r w:rsidR="006A5FB2" w:rsidRPr="008338FF">
        <w:rPr>
          <w:rFonts w:ascii="Tahoma" w:hAnsi="Tahoma" w:cs="Tahoma"/>
          <w:sz w:val="22"/>
          <w:szCs w:val="22"/>
        </w:rPr>
        <w:t xml:space="preserve">a Ponente, </w:t>
      </w:r>
    </w:p>
    <w:p w:rsidR="007D4D1B" w:rsidRPr="008338FF" w:rsidRDefault="007D4D1B" w:rsidP="0081733C">
      <w:pPr>
        <w:widowControl w:val="0"/>
        <w:autoSpaceDE w:val="0"/>
        <w:autoSpaceDN w:val="0"/>
        <w:adjustRightInd w:val="0"/>
        <w:spacing w:line="276" w:lineRule="auto"/>
        <w:jc w:val="both"/>
        <w:rPr>
          <w:rFonts w:ascii="Tahoma" w:hAnsi="Tahoma" w:cs="Tahoma"/>
          <w:sz w:val="22"/>
          <w:szCs w:val="22"/>
        </w:rPr>
      </w:pPr>
    </w:p>
    <w:p w:rsidR="000676D1" w:rsidRPr="008338FF" w:rsidRDefault="000676D1" w:rsidP="0081733C">
      <w:pPr>
        <w:widowControl w:val="0"/>
        <w:autoSpaceDE w:val="0"/>
        <w:autoSpaceDN w:val="0"/>
        <w:adjustRightInd w:val="0"/>
        <w:spacing w:line="276" w:lineRule="auto"/>
        <w:jc w:val="both"/>
        <w:rPr>
          <w:rFonts w:ascii="Tahoma" w:hAnsi="Tahoma" w:cs="Tahoma"/>
          <w:sz w:val="22"/>
          <w:szCs w:val="22"/>
        </w:rPr>
      </w:pPr>
    </w:p>
    <w:p w:rsidR="005C7F80" w:rsidRPr="008338FF" w:rsidRDefault="005C7F80" w:rsidP="0081733C">
      <w:pPr>
        <w:widowControl w:val="0"/>
        <w:autoSpaceDE w:val="0"/>
        <w:autoSpaceDN w:val="0"/>
        <w:adjustRightInd w:val="0"/>
        <w:spacing w:line="276" w:lineRule="auto"/>
        <w:jc w:val="both"/>
        <w:rPr>
          <w:rFonts w:ascii="Tahoma" w:hAnsi="Tahoma" w:cs="Tahoma"/>
          <w:sz w:val="22"/>
          <w:szCs w:val="22"/>
        </w:rPr>
      </w:pPr>
    </w:p>
    <w:p w:rsidR="007D4D1B" w:rsidRPr="008338FF" w:rsidRDefault="007D4D1B" w:rsidP="0081733C">
      <w:pPr>
        <w:widowControl w:val="0"/>
        <w:autoSpaceDE w:val="0"/>
        <w:autoSpaceDN w:val="0"/>
        <w:adjustRightInd w:val="0"/>
        <w:spacing w:line="276" w:lineRule="auto"/>
        <w:jc w:val="center"/>
        <w:rPr>
          <w:rFonts w:ascii="Tahoma" w:hAnsi="Tahoma" w:cs="Tahoma"/>
          <w:b/>
          <w:sz w:val="22"/>
          <w:szCs w:val="22"/>
        </w:rPr>
      </w:pPr>
      <w:r w:rsidRPr="008338FF">
        <w:rPr>
          <w:rFonts w:ascii="Tahoma" w:hAnsi="Tahoma" w:cs="Tahoma"/>
          <w:b/>
          <w:sz w:val="22"/>
          <w:szCs w:val="22"/>
        </w:rPr>
        <w:t>ANA LUCÍA CAICEDO CALDERÓN</w:t>
      </w:r>
    </w:p>
    <w:p w:rsidR="00FA5D14" w:rsidRPr="008338FF" w:rsidRDefault="00FA5D14" w:rsidP="0081733C">
      <w:pPr>
        <w:widowControl w:val="0"/>
        <w:autoSpaceDE w:val="0"/>
        <w:autoSpaceDN w:val="0"/>
        <w:adjustRightInd w:val="0"/>
        <w:spacing w:line="276" w:lineRule="auto"/>
        <w:jc w:val="center"/>
        <w:rPr>
          <w:rFonts w:ascii="Tahoma" w:hAnsi="Tahoma" w:cs="Tahoma"/>
          <w:b/>
          <w:sz w:val="22"/>
          <w:szCs w:val="22"/>
        </w:rPr>
      </w:pPr>
    </w:p>
    <w:p w:rsidR="00B13882" w:rsidRPr="008338FF" w:rsidRDefault="00B13882" w:rsidP="0081733C">
      <w:pPr>
        <w:widowControl w:val="0"/>
        <w:autoSpaceDE w:val="0"/>
        <w:autoSpaceDN w:val="0"/>
        <w:adjustRightInd w:val="0"/>
        <w:spacing w:line="276" w:lineRule="auto"/>
        <w:rPr>
          <w:rFonts w:ascii="Tahoma" w:hAnsi="Tahoma" w:cs="Tahoma"/>
          <w:b/>
          <w:sz w:val="22"/>
          <w:szCs w:val="22"/>
        </w:rPr>
      </w:pPr>
    </w:p>
    <w:p w:rsidR="00F81D58" w:rsidRPr="008338FF" w:rsidRDefault="00F81D58" w:rsidP="0081733C">
      <w:pPr>
        <w:widowControl w:val="0"/>
        <w:autoSpaceDE w:val="0"/>
        <w:autoSpaceDN w:val="0"/>
        <w:adjustRightInd w:val="0"/>
        <w:spacing w:line="276" w:lineRule="auto"/>
        <w:rPr>
          <w:rFonts w:ascii="Tahoma" w:hAnsi="Tahoma" w:cs="Tahoma"/>
          <w:b/>
          <w:sz w:val="22"/>
          <w:szCs w:val="22"/>
        </w:rPr>
      </w:pPr>
    </w:p>
    <w:p w:rsidR="00A90F5C" w:rsidRPr="008338FF" w:rsidRDefault="00A90F5C" w:rsidP="0081733C">
      <w:pPr>
        <w:widowControl w:val="0"/>
        <w:autoSpaceDE w:val="0"/>
        <w:autoSpaceDN w:val="0"/>
        <w:adjustRightInd w:val="0"/>
        <w:spacing w:line="276" w:lineRule="auto"/>
        <w:rPr>
          <w:rFonts w:ascii="Tahoma" w:hAnsi="Tahoma" w:cs="Tahoma"/>
          <w:b/>
          <w:sz w:val="22"/>
          <w:szCs w:val="22"/>
        </w:rPr>
      </w:pPr>
    </w:p>
    <w:p w:rsidR="000676D1" w:rsidRPr="008338FF" w:rsidRDefault="006A5FB2" w:rsidP="0081733C">
      <w:pPr>
        <w:widowControl w:val="0"/>
        <w:autoSpaceDE w:val="0"/>
        <w:autoSpaceDN w:val="0"/>
        <w:adjustRightInd w:val="0"/>
        <w:spacing w:line="276" w:lineRule="auto"/>
        <w:rPr>
          <w:rFonts w:ascii="Tahoma" w:hAnsi="Tahoma" w:cs="Tahoma"/>
          <w:sz w:val="22"/>
          <w:szCs w:val="22"/>
        </w:rPr>
      </w:pPr>
      <w:r w:rsidRPr="008338FF">
        <w:rPr>
          <w:rFonts w:ascii="Tahoma" w:hAnsi="Tahoma" w:cs="Tahoma"/>
          <w:sz w:val="22"/>
          <w:szCs w:val="22"/>
        </w:rPr>
        <w:t xml:space="preserve">Los Magistrados, </w:t>
      </w:r>
    </w:p>
    <w:p w:rsidR="006A5FB2" w:rsidRPr="008338FF" w:rsidRDefault="006A5FB2" w:rsidP="0081733C">
      <w:pPr>
        <w:widowControl w:val="0"/>
        <w:autoSpaceDE w:val="0"/>
        <w:autoSpaceDN w:val="0"/>
        <w:adjustRightInd w:val="0"/>
        <w:spacing w:line="276" w:lineRule="auto"/>
        <w:rPr>
          <w:rFonts w:ascii="Tahoma" w:hAnsi="Tahoma" w:cs="Tahoma"/>
          <w:sz w:val="22"/>
          <w:szCs w:val="22"/>
        </w:rPr>
      </w:pPr>
    </w:p>
    <w:p w:rsidR="006A5FB2" w:rsidRPr="008338FF" w:rsidRDefault="006A5FB2" w:rsidP="0081733C">
      <w:pPr>
        <w:widowControl w:val="0"/>
        <w:autoSpaceDE w:val="0"/>
        <w:autoSpaceDN w:val="0"/>
        <w:adjustRightInd w:val="0"/>
        <w:spacing w:line="276" w:lineRule="auto"/>
        <w:rPr>
          <w:rFonts w:ascii="Tahoma" w:hAnsi="Tahoma" w:cs="Tahoma"/>
          <w:sz w:val="22"/>
          <w:szCs w:val="22"/>
        </w:rPr>
      </w:pPr>
    </w:p>
    <w:p w:rsidR="006A5FB2" w:rsidRPr="008338FF" w:rsidRDefault="006A5FB2" w:rsidP="0081733C">
      <w:pPr>
        <w:widowControl w:val="0"/>
        <w:autoSpaceDE w:val="0"/>
        <w:autoSpaceDN w:val="0"/>
        <w:adjustRightInd w:val="0"/>
        <w:spacing w:line="276" w:lineRule="auto"/>
        <w:rPr>
          <w:rFonts w:ascii="Tahoma" w:hAnsi="Tahoma" w:cs="Tahoma"/>
          <w:sz w:val="22"/>
          <w:szCs w:val="22"/>
        </w:rPr>
      </w:pPr>
    </w:p>
    <w:p w:rsidR="00F65DBA" w:rsidRPr="008338FF" w:rsidRDefault="00F65DBA" w:rsidP="0081733C">
      <w:pPr>
        <w:widowControl w:val="0"/>
        <w:autoSpaceDE w:val="0"/>
        <w:autoSpaceDN w:val="0"/>
        <w:adjustRightInd w:val="0"/>
        <w:spacing w:line="276" w:lineRule="auto"/>
        <w:rPr>
          <w:rFonts w:ascii="Tahoma" w:hAnsi="Tahoma" w:cs="Tahoma"/>
          <w:b/>
          <w:sz w:val="22"/>
          <w:szCs w:val="22"/>
        </w:rPr>
      </w:pPr>
    </w:p>
    <w:p w:rsidR="007D4D1B" w:rsidRPr="008338FF" w:rsidRDefault="0070197E" w:rsidP="0081733C">
      <w:pPr>
        <w:widowControl w:val="0"/>
        <w:autoSpaceDE w:val="0"/>
        <w:autoSpaceDN w:val="0"/>
        <w:adjustRightInd w:val="0"/>
        <w:spacing w:line="276" w:lineRule="auto"/>
        <w:jc w:val="both"/>
        <w:rPr>
          <w:rFonts w:ascii="Tahoma" w:hAnsi="Tahoma" w:cs="Tahoma"/>
          <w:b/>
          <w:sz w:val="22"/>
          <w:szCs w:val="22"/>
        </w:rPr>
      </w:pPr>
      <w:r w:rsidRPr="008338FF">
        <w:rPr>
          <w:rFonts w:ascii="Tahoma" w:hAnsi="Tahoma" w:cs="Tahoma"/>
          <w:b/>
          <w:sz w:val="22"/>
          <w:szCs w:val="22"/>
        </w:rPr>
        <w:t xml:space="preserve">JULIO CÉSAR SALAZAR </w:t>
      </w:r>
      <w:r w:rsidR="00D94AFB" w:rsidRPr="008338FF">
        <w:rPr>
          <w:rFonts w:ascii="Tahoma" w:hAnsi="Tahoma" w:cs="Tahoma"/>
          <w:b/>
          <w:sz w:val="22"/>
          <w:szCs w:val="22"/>
        </w:rPr>
        <w:t>MUÑOZ</w:t>
      </w:r>
      <w:r w:rsidR="00D94AFB" w:rsidRPr="008338FF">
        <w:rPr>
          <w:rFonts w:ascii="Tahoma" w:hAnsi="Tahoma" w:cs="Tahoma"/>
          <w:b/>
          <w:sz w:val="22"/>
          <w:szCs w:val="22"/>
        </w:rPr>
        <w:tab/>
        <w:t xml:space="preserve"> </w:t>
      </w:r>
      <w:r w:rsidR="000B33D6" w:rsidRPr="008338FF">
        <w:rPr>
          <w:rFonts w:ascii="Tahoma" w:hAnsi="Tahoma" w:cs="Tahoma"/>
          <w:b/>
          <w:sz w:val="22"/>
          <w:szCs w:val="22"/>
        </w:rPr>
        <w:tab/>
      </w:r>
      <w:r w:rsidR="00D94AFB" w:rsidRPr="008338FF">
        <w:rPr>
          <w:rFonts w:ascii="Tahoma" w:hAnsi="Tahoma" w:cs="Tahoma"/>
          <w:b/>
          <w:sz w:val="22"/>
          <w:szCs w:val="22"/>
        </w:rPr>
        <w:t>FRANCISCO JAVIER TAMAYO TABARES</w:t>
      </w:r>
    </w:p>
    <w:p w:rsidR="00FA5D14" w:rsidRPr="008338FF" w:rsidRDefault="009577C8" w:rsidP="0081733C">
      <w:pPr>
        <w:widowControl w:val="0"/>
        <w:autoSpaceDE w:val="0"/>
        <w:autoSpaceDN w:val="0"/>
        <w:adjustRightInd w:val="0"/>
        <w:spacing w:line="276" w:lineRule="auto"/>
        <w:jc w:val="both"/>
        <w:rPr>
          <w:rFonts w:ascii="Tahoma" w:hAnsi="Tahoma" w:cs="Tahoma"/>
          <w:sz w:val="22"/>
          <w:szCs w:val="22"/>
        </w:rPr>
      </w:pPr>
      <w:r w:rsidRPr="008338FF">
        <w:rPr>
          <w:rFonts w:ascii="Tahoma" w:hAnsi="Tahoma" w:cs="Tahoma"/>
          <w:b/>
          <w:sz w:val="22"/>
          <w:szCs w:val="22"/>
        </w:rPr>
        <w:t xml:space="preserve">          </w:t>
      </w:r>
    </w:p>
    <w:p w:rsidR="00FE1822" w:rsidRPr="008338FF" w:rsidRDefault="00FE1822" w:rsidP="0081733C">
      <w:pPr>
        <w:widowControl w:val="0"/>
        <w:autoSpaceDE w:val="0"/>
        <w:autoSpaceDN w:val="0"/>
        <w:adjustRightInd w:val="0"/>
        <w:spacing w:line="276" w:lineRule="auto"/>
        <w:jc w:val="both"/>
        <w:rPr>
          <w:rFonts w:ascii="Tahoma" w:hAnsi="Tahoma" w:cs="Tahoma"/>
          <w:b/>
          <w:sz w:val="22"/>
          <w:szCs w:val="22"/>
        </w:rPr>
      </w:pPr>
      <w:r w:rsidRPr="008338FF">
        <w:rPr>
          <w:rFonts w:ascii="Tahoma" w:hAnsi="Tahoma" w:cs="Tahoma"/>
          <w:b/>
          <w:sz w:val="22"/>
          <w:szCs w:val="22"/>
        </w:rPr>
        <w:t xml:space="preserve"> </w:t>
      </w:r>
    </w:p>
    <w:sectPr w:rsidR="00FE1822" w:rsidRPr="008338FF" w:rsidSect="000F35BF">
      <w:headerReference w:type="even" r:id="rId8"/>
      <w:headerReference w:type="default" r:id="rId9"/>
      <w:pgSz w:w="12242" w:h="18722" w:code="121"/>
      <w:pgMar w:top="1701" w:right="1134" w:bottom="1418"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252" w:rsidRDefault="00503252">
      <w:r>
        <w:separator/>
      </w:r>
    </w:p>
  </w:endnote>
  <w:endnote w:type="continuationSeparator" w:id="0">
    <w:p w:rsidR="00503252" w:rsidRDefault="0050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252" w:rsidRDefault="00503252">
      <w:r>
        <w:separator/>
      </w:r>
    </w:p>
  </w:footnote>
  <w:footnote w:type="continuationSeparator" w:id="0">
    <w:p w:rsidR="00503252" w:rsidRDefault="00503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1D" w:rsidRDefault="00ED061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D061D" w:rsidRDefault="00ED06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1D" w:rsidRPr="008338FF" w:rsidRDefault="00ED061D">
    <w:pPr>
      <w:pStyle w:val="Encabezado"/>
      <w:framePr w:wrap="around" w:vAnchor="text" w:hAnchor="margin" w:xAlign="center" w:y="1"/>
      <w:rPr>
        <w:rStyle w:val="Nmerodepgina"/>
      </w:rPr>
    </w:pPr>
    <w:r w:rsidRPr="008338FF">
      <w:rPr>
        <w:rStyle w:val="Nmerodepgina"/>
      </w:rPr>
      <w:fldChar w:fldCharType="begin"/>
    </w:r>
    <w:r w:rsidRPr="008338FF">
      <w:rPr>
        <w:rStyle w:val="Nmerodepgina"/>
      </w:rPr>
      <w:instrText xml:space="preserve">PAGE  </w:instrText>
    </w:r>
    <w:r w:rsidRPr="008338FF">
      <w:rPr>
        <w:rStyle w:val="Nmerodepgina"/>
      </w:rPr>
      <w:fldChar w:fldCharType="separate"/>
    </w:r>
    <w:r w:rsidR="008A31D2">
      <w:rPr>
        <w:rStyle w:val="Nmerodepgina"/>
        <w:noProof/>
      </w:rPr>
      <w:t>3</w:t>
    </w:r>
    <w:r w:rsidRPr="008338FF">
      <w:rPr>
        <w:rStyle w:val="Nmerodepgina"/>
      </w:rPr>
      <w:fldChar w:fldCharType="end"/>
    </w:r>
  </w:p>
  <w:p w:rsidR="00ED061D" w:rsidRPr="008338FF" w:rsidRDefault="00ED061D">
    <w:pPr>
      <w:pStyle w:val="Encabezado"/>
      <w:rPr>
        <w:rFonts w:ascii="Arial Narrow" w:hAnsi="Arial Narrow"/>
        <w:i/>
        <w:sz w:val="12"/>
        <w:szCs w:val="12"/>
      </w:rPr>
    </w:pPr>
    <w:r w:rsidRPr="008338FF">
      <w:rPr>
        <w:rFonts w:ascii="Arial Narrow" w:hAnsi="Arial Narrow"/>
        <w:i/>
        <w:sz w:val="12"/>
        <w:szCs w:val="12"/>
      </w:rPr>
      <w:t>Radicado No. 66001-31-05-004-2010-00524-01</w:t>
    </w:r>
  </w:p>
  <w:p w:rsidR="00ED061D" w:rsidRPr="008338FF" w:rsidRDefault="00ED061D">
    <w:pPr>
      <w:pStyle w:val="Encabezado"/>
      <w:rPr>
        <w:rFonts w:ascii="Arial Narrow" w:hAnsi="Arial Narrow"/>
        <w:i/>
        <w:sz w:val="12"/>
        <w:szCs w:val="12"/>
      </w:rPr>
    </w:pPr>
    <w:r w:rsidRPr="008338FF">
      <w:rPr>
        <w:rFonts w:ascii="Arial Narrow" w:hAnsi="Arial Narrow"/>
        <w:i/>
        <w:sz w:val="12"/>
        <w:szCs w:val="12"/>
      </w:rPr>
      <w:t xml:space="preserve">Demandantes: </w:t>
    </w:r>
    <w:r w:rsidR="00BB3F60" w:rsidRPr="008338FF">
      <w:rPr>
        <w:rFonts w:ascii="Arial Narrow" w:hAnsi="Arial Narrow"/>
        <w:i/>
        <w:sz w:val="12"/>
        <w:szCs w:val="12"/>
      </w:rPr>
      <w:t>MIGUEL ANTONIO FORERO MAYORGA</w:t>
    </w:r>
  </w:p>
  <w:p w:rsidR="00ED061D" w:rsidRPr="008338FF" w:rsidRDefault="00ED061D">
    <w:pPr>
      <w:pStyle w:val="Encabezado"/>
      <w:rPr>
        <w:rFonts w:ascii="Arial Narrow" w:hAnsi="Arial Narrow"/>
        <w:i/>
        <w:sz w:val="12"/>
        <w:szCs w:val="12"/>
      </w:rPr>
    </w:pPr>
    <w:r w:rsidRPr="008338FF">
      <w:rPr>
        <w:rFonts w:ascii="Arial Narrow" w:hAnsi="Arial Narrow"/>
        <w:i/>
        <w:sz w:val="12"/>
        <w:szCs w:val="12"/>
      </w:rPr>
      <w:t>Demandada: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2D11B8"/>
    <w:multiLevelType w:val="hybridMultilevel"/>
    <w:tmpl w:val="F9D86C26"/>
    <w:lvl w:ilvl="0" w:tplc="875AF63E">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70B0D05"/>
    <w:multiLevelType w:val="hybridMultilevel"/>
    <w:tmpl w:val="5EAED02C"/>
    <w:lvl w:ilvl="0" w:tplc="A9AEEDB2">
      <w:start w:val="1"/>
      <w:numFmt w:val="lowerLetter"/>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0">
    <w:nsid w:val="55D817FF"/>
    <w:multiLevelType w:val="hybridMultilevel"/>
    <w:tmpl w:val="7B3E73A4"/>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0275FAA"/>
    <w:multiLevelType w:val="hybridMultilevel"/>
    <w:tmpl w:val="7ACC403C"/>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EFD7B36"/>
    <w:multiLevelType w:val="hybridMultilevel"/>
    <w:tmpl w:val="50043384"/>
    <w:lvl w:ilvl="0" w:tplc="DD8026BC">
      <w:start w:val="1"/>
      <w:numFmt w:val="lowerLetter"/>
      <w:lvlText w:val="%1)"/>
      <w:lvlJc w:val="left"/>
      <w:pPr>
        <w:ind w:left="1065" w:hanging="360"/>
      </w:pPr>
      <w:rPr>
        <w:rFonts w:hint="default"/>
        <w:b/>
        <w:u w:val="single"/>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1"/>
  </w:num>
  <w:num w:numId="2">
    <w:abstractNumId w:val="7"/>
  </w:num>
  <w:num w:numId="3">
    <w:abstractNumId w:val="4"/>
  </w:num>
  <w:num w:numId="4">
    <w:abstractNumId w:val="3"/>
  </w:num>
  <w:num w:numId="5">
    <w:abstractNumId w:val="2"/>
  </w:num>
  <w:num w:numId="6">
    <w:abstractNumId w:val="1"/>
  </w:num>
  <w:num w:numId="7">
    <w:abstractNumId w:val="9"/>
  </w:num>
  <w:num w:numId="8">
    <w:abstractNumId w:val="0"/>
  </w:num>
  <w:num w:numId="9">
    <w:abstractNumId w:val="5"/>
  </w:num>
  <w:num w:numId="10">
    <w:abstractNumId w:val="13"/>
  </w:num>
  <w:num w:numId="11">
    <w:abstractNumId w:val="8"/>
  </w:num>
  <w:num w:numId="12">
    <w:abstractNumId w:val="1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2D45"/>
    <w:rsid w:val="000030F1"/>
    <w:rsid w:val="00004102"/>
    <w:rsid w:val="000114CC"/>
    <w:rsid w:val="00013F08"/>
    <w:rsid w:val="000179E3"/>
    <w:rsid w:val="00023947"/>
    <w:rsid w:val="000239ED"/>
    <w:rsid w:val="00024695"/>
    <w:rsid w:val="0002731B"/>
    <w:rsid w:val="000326B7"/>
    <w:rsid w:val="00036047"/>
    <w:rsid w:val="00036B66"/>
    <w:rsid w:val="000406C1"/>
    <w:rsid w:val="00040B5F"/>
    <w:rsid w:val="00041EDC"/>
    <w:rsid w:val="00043D77"/>
    <w:rsid w:val="00044B1D"/>
    <w:rsid w:val="00050379"/>
    <w:rsid w:val="00051F1C"/>
    <w:rsid w:val="00053620"/>
    <w:rsid w:val="000625CB"/>
    <w:rsid w:val="000637C3"/>
    <w:rsid w:val="000676D1"/>
    <w:rsid w:val="000679CB"/>
    <w:rsid w:val="0007044A"/>
    <w:rsid w:val="00074C56"/>
    <w:rsid w:val="00074CB2"/>
    <w:rsid w:val="0007611A"/>
    <w:rsid w:val="000810C6"/>
    <w:rsid w:val="0008307B"/>
    <w:rsid w:val="0008392D"/>
    <w:rsid w:val="00085891"/>
    <w:rsid w:val="00086A59"/>
    <w:rsid w:val="00093A10"/>
    <w:rsid w:val="000940AB"/>
    <w:rsid w:val="00096BF3"/>
    <w:rsid w:val="000A06D2"/>
    <w:rsid w:val="000A0BC0"/>
    <w:rsid w:val="000A2294"/>
    <w:rsid w:val="000A2D16"/>
    <w:rsid w:val="000A5ACC"/>
    <w:rsid w:val="000B16B9"/>
    <w:rsid w:val="000B33D6"/>
    <w:rsid w:val="000B34E6"/>
    <w:rsid w:val="000B66D1"/>
    <w:rsid w:val="000C2DE8"/>
    <w:rsid w:val="000C324A"/>
    <w:rsid w:val="000D03E8"/>
    <w:rsid w:val="000D04E1"/>
    <w:rsid w:val="000D0F0C"/>
    <w:rsid w:val="000D1161"/>
    <w:rsid w:val="000E5530"/>
    <w:rsid w:val="000E5B32"/>
    <w:rsid w:val="000E7661"/>
    <w:rsid w:val="000F0121"/>
    <w:rsid w:val="000F0E9B"/>
    <w:rsid w:val="000F17CF"/>
    <w:rsid w:val="000F35BF"/>
    <w:rsid w:val="000F39DC"/>
    <w:rsid w:val="000F50CF"/>
    <w:rsid w:val="000F5112"/>
    <w:rsid w:val="000F6C20"/>
    <w:rsid w:val="0010649B"/>
    <w:rsid w:val="0011296D"/>
    <w:rsid w:val="00113859"/>
    <w:rsid w:val="00113D50"/>
    <w:rsid w:val="00114110"/>
    <w:rsid w:val="00114C98"/>
    <w:rsid w:val="00120040"/>
    <w:rsid w:val="00120781"/>
    <w:rsid w:val="00120F3B"/>
    <w:rsid w:val="00123645"/>
    <w:rsid w:val="00135133"/>
    <w:rsid w:val="00137A8B"/>
    <w:rsid w:val="001416F6"/>
    <w:rsid w:val="00143467"/>
    <w:rsid w:val="001438EE"/>
    <w:rsid w:val="00144AEE"/>
    <w:rsid w:val="00145295"/>
    <w:rsid w:val="00150439"/>
    <w:rsid w:val="00153B85"/>
    <w:rsid w:val="00156807"/>
    <w:rsid w:val="00164B87"/>
    <w:rsid w:val="00165F01"/>
    <w:rsid w:val="001669F1"/>
    <w:rsid w:val="00170ADE"/>
    <w:rsid w:val="0017202B"/>
    <w:rsid w:val="001722DB"/>
    <w:rsid w:val="00173416"/>
    <w:rsid w:val="00177192"/>
    <w:rsid w:val="00180701"/>
    <w:rsid w:val="00180AA1"/>
    <w:rsid w:val="00182A53"/>
    <w:rsid w:val="00182B8A"/>
    <w:rsid w:val="0018506B"/>
    <w:rsid w:val="001866BB"/>
    <w:rsid w:val="0018723F"/>
    <w:rsid w:val="00187FA4"/>
    <w:rsid w:val="00190095"/>
    <w:rsid w:val="001905D5"/>
    <w:rsid w:val="00195396"/>
    <w:rsid w:val="00195991"/>
    <w:rsid w:val="001A40A6"/>
    <w:rsid w:val="001B0678"/>
    <w:rsid w:val="001B1CEC"/>
    <w:rsid w:val="001B2D98"/>
    <w:rsid w:val="001B6117"/>
    <w:rsid w:val="001C19A7"/>
    <w:rsid w:val="001C3849"/>
    <w:rsid w:val="001C4199"/>
    <w:rsid w:val="001D21EA"/>
    <w:rsid w:val="001D25B8"/>
    <w:rsid w:val="001D385F"/>
    <w:rsid w:val="001D6842"/>
    <w:rsid w:val="001D7243"/>
    <w:rsid w:val="001E20ED"/>
    <w:rsid w:val="001E4ABF"/>
    <w:rsid w:val="001E78D4"/>
    <w:rsid w:val="001F0587"/>
    <w:rsid w:val="001F3236"/>
    <w:rsid w:val="001F5F54"/>
    <w:rsid w:val="001F658A"/>
    <w:rsid w:val="001F75DB"/>
    <w:rsid w:val="0020058F"/>
    <w:rsid w:val="0020402E"/>
    <w:rsid w:val="0021004F"/>
    <w:rsid w:val="00214593"/>
    <w:rsid w:val="00215037"/>
    <w:rsid w:val="00216556"/>
    <w:rsid w:val="0022029F"/>
    <w:rsid w:val="00224952"/>
    <w:rsid w:val="002343D3"/>
    <w:rsid w:val="002412C3"/>
    <w:rsid w:val="00241B68"/>
    <w:rsid w:val="0024458E"/>
    <w:rsid w:val="00245D03"/>
    <w:rsid w:val="002475D1"/>
    <w:rsid w:val="00251A6B"/>
    <w:rsid w:val="0025238E"/>
    <w:rsid w:val="00255D08"/>
    <w:rsid w:val="00256850"/>
    <w:rsid w:val="00262CF1"/>
    <w:rsid w:val="0026331F"/>
    <w:rsid w:val="002643CE"/>
    <w:rsid w:val="00281825"/>
    <w:rsid w:val="00282A22"/>
    <w:rsid w:val="0028404E"/>
    <w:rsid w:val="0028499E"/>
    <w:rsid w:val="00285ED3"/>
    <w:rsid w:val="00286723"/>
    <w:rsid w:val="00287926"/>
    <w:rsid w:val="0029128F"/>
    <w:rsid w:val="00292FD7"/>
    <w:rsid w:val="002947C1"/>
    <w:rsid w:val="00295FD2"/>
    <w:rsid w:val="002A0211"/>
    <w:rsid w:val="002A3623"/>
    <w:rsid w:val="002A7EB8"/>
    <w:rsid w:val="002B0062"/>
    <w:rsid w:val="002B27FB"/>
    <w:rsid w:val="002B34A0"/>
    <w:rsid w:val="002B3E62"/>
    <w:rsid w:val="002B3F86"/>
    <w:rsid w:val="002B3F9A"/>
    <w:rsid w:val="002B6847"/>
    <w:rsid w:val="002C2855"/>
    <w:rsid w:val="002C3EDB"/>
    <w:rsid w:val="002C6D27"/>
    <w:rsid w:val="002C719E"/>
    <w:rsid w:val="002D0B52"/>
    <w:rsid w:val="002D475F"/>
    <w:rsid w:val="002D647C"/>
    <w:rsid w:val="002D7A0A"/>
    <w:rsid w:val="002E101A"/>
    <w:rsid w:val="002E16CE"/>
    <w:rsid w:val="002E1A6E"/>
    <w:rsid w:val="002E2273"/>
    <w:rsid w:val="002E271F"/>
    <w:rsid w:val="002E44C0"/>
    <w:rsid w:val="002E62D3"/>
    <w:rsid w:val="002F1E32"/>
    <w:rsid w:val="002F2298"/>
    <w:rsid w:val="003045C3"/>
    <w:rsid w:val="00305B40"/>
    <w:rsid w:val="00307897"/>
    <w:rsid w:val="003111A3"/>
    <w:rsid w:val="00312A49"/>
    <w:rsid w:val="00314C72"/>
    <w:rsid w:val="003154A0"/>
    <w:rsid w:val="00321633"/>
    <w:rsid w:val="003220E3"/>
    <w:rsid w:val="003233A9"/>
    <w:rsid w:val="00327D3F"/>
    <w:rsid w:val="00332B14"/>
    <w:rsid w:val="003356E7"/>
    <w:rsid w:val="00336B9B"/>
    <w:rsid w:val="00337D6F"/>
    <w:rsid w:val="003452F2"/>
    <w:rsid w:val="00345387"/>
    <w:rsid w:val="00351118"/>
    <w:rsid w:val="003559B2"/>
    <w:rsid w:val="00355C7A"/>
    <w:rsid w:val="00357AAD"/>
    <w:rsid w:val="0036044B"/>
    <w:rsid w:val="00360E18"/>
    <w:rsid w:val="0037329B"/>
    <w:rsid w:val="00381997"/>
    <w:rsid w:val="00390C4E"/>
    <w:rsid w:val="003A6EDD"/>
    <w:rsid w:val="003B1D1C"/>
    <w:rsid w:val="003B2CCF"/>
    <w:rsid w:val="003B306F"/>
    <w:rsid w:val="003B7B42"/>
    <w:rsid w:val="003B7E03"/>
    <w:rsid w:val="003C0C2E"/>
    <w:rsid w:val="003C5AC3"/>
    <w:rsid w:val="003C6BF3"/>
    <w:rsid w:val="003D46AC"/>
    <w:rsid w:val="003D5078"/>
    <w:rsid w:val="003E7D06"/>
    <w:rsid w:val="003F2590"/>
    <w:rsid w:val="003F297E"/>
    <w:rsid w:val="003F4BCE"/>
    <w:rsid w:val="00401240"/>
    <w:rsid w:val="00402DE0"/>
    <w:rsid w:val="0040388C"/>
    <w:rsid w:val="00406486"/>
    <w:rsid w:val="00406F75"/>
    <w:rsid w:val="004156B8"/>
    <w:rsid w:val="00417498"/>
    <w:rsid w:val="00417805"/>
    <w:rsid w:val="00422F18"/>
    <w:rsid w:val="00424017"/>
    <w:rsid w:val="0042631F"/>
    <w:rsid w:val="004312EE"/>
    <w:rsid w:val="004322A8"/>
    <w:rsid w:val="00433F2B"/>
    <w:rsid w:val="00434C73"/>
    <w:rsid w:val="0043748C"/>
    <w:rsid w:val="004403B9"/>
    <w:rsid w:val="00440C4E"/>
    <w:rsid w:val="00440E0E"/>
    <w:rsid w:val="0044115F"/>
    <w:rsid w:val="00442D39"/>
    <w:rsid w:val="00445615"/>
    <w:rsid w:val="00450985"/>
    <w:rsid w:val="00455B64"/>
    <w:rsid w:val="004578C7"/>
    <w:rsid w:val="00460DA7"/>
    <w:rsid w:val="00463814"/>
    <w:rsid w:val="00464E65"/>
    <w:rsid w:val="00472724"/>
    <w:rsid w:val="00481A86"/>
    <w:rsid w:val="00487DB5"/>
    <w:rsid w:val="004905FF"/>
    <w:rsid w:val="00492014"/>
    <w:rsid w:val="0049216A"/>
    <w:rsid w:val="00492C4F"/>
    <w:rsid w:val="00495CBC"/>
    <w:rsid w:val="004978A7"/>
    <w:rsid w:val="00497DF8"/>
    <w:rsid w:val="004A1C8B"/>
    <w:rsid w:val="004A34C7"/>
    <w:rsid w:val="004A41A9"/>
    <w:rsid w:val="004A6EE6"/>
    <w:rsid w:val="004A7397"/>
    <w:rsid w:val="004B0473"/>
    <w:rsid w:val="004B0516"/>
    <w:rsid w:val="004B38BA"/>
    <w:rsid w:val="004B577C"/>
    <w:rsid w:val="004C582A"/>
    <w:rsid w:val="004D1DE9"/>
    <w:rsid w:val="004D31E6"/>
    <w:rsid w:val="004D329E"/>
    <w:rsid w:val="004E0CB5"/>
    <w:rsid w:val="004E2638"/>
    <w:rsid w:val="004E5F49"/>
    <w:rsid w:val="004F70D2"/>
    <w:rsid w:val="004F768E"/>
    <w:rsid w:val="00503252"/>
    <w:rsid w:val="0050377F"/>
    <w:rsid w:val="00520BA6"/>
    <w:rsid w:val="00524273"/>
    <w:rsid w:val="00527338"/>
    <w:rsid w:val="00527D7F"/>
    <w:rsid w:val="005303D0"/>
    <w:rsid w:val="0053305F"/>
    <w:rsid w:val="005352C6"/>
    <w:rsid w:val="00541741"/>
    <w:rsid w:val="00543420"/>
    <w:rsid w:val="005459E8"/>
    <w:rsid w:val="005465BD"/>
    <w:rsid w:val="00550084"/>
    <w:rsid w:val="0055036C"/>
    <w:rsid w:val="0055094C"/>
    <w:rsid w:val="00552611"/>
    <w:rsid w:val="00552824"/>
    <w:rsid w:val="00555394"/>
    <w:rsid w:val="00560618"/>
    <w:rsid w:val="00563016"/>
    <w:rsid w:val="00564046"/>
    <w:rsid w:val="00572517"/>
    <w:rsid w:val="005743F2"/>
    <w:rsid w:val="00575E70"/>
    <w:rsid w:val="005827AE"/>
    <w:rsid w:val="0058455A"/>
    <w:rsid w:val="005848B2"/>
    <w:rsid w:val="0059189F"/>
    <w:rsid w:val="00595E53"/>
    <w:rsid w:val="00596E39"/>
    <w:rsid w:val="005A1ADB"/>
    <w:rsid w:val="005A36C8"/>
    <w:rsid w:val="005A4516"/>
    <w:rsid w:val="005A594F"/>
    <w:rsid w:val="005A7C19"/>
    <w:rsid w:val="005B0230"/>
    <w:rsid w:val="005B46E6"/>
    <w:rsid w:val="005B6C2E"/>
    <w:rsid w:val="005C0D5C"/>
    <w:rsid w:val="005C5EAE"/>
    <w:rsid w:val="005C7F80"/>
    <w:rsid w:val="005D0402"/>
    <w:rsid w:val="005D34A6"/>
    <w:rsid w:val="005D5285"/>
    <w:rsid w:val="005D7348"/>
    <w:rsid w:val="005E2BE1"/>
    <w:rsid w:val="005F02A7"/>
    <w:rsid w:val="005F052C"/>
    <w:rsid w:val="005F2E44"/>
    <w:rsid w:val="00604E80"/>
    <w:rsid w:val="00605A9B"/>
    <w:rsid w:val="00606C7B"/>
    <w:rsid w:val="00617180"/>
    <w:rsid w:val="00621A86"/>
    <w:rsid w:val="00621B26"/>
    <w:rsid w:val="006249DD"/>
    <w:rsid w:val="00626FAE"/>
    <w:rsid w:val="00627A56"/>
    <w:rsid w:val="00636087"/>
    <w:rsid w:val="006369D3"/>
    <w:rsid w:val="00651197"/>
    <w:rsid w:val="00652107"/>
    <w:rsid w:val="00655F64"/>
    <w:rsid w:val="0065601B"/>
    <w:rsid w:val="006561BB"/>
    <w:rsid w:val="00656DCE"/>
    <w:rsid w:val="00657961"/>
    <w:rsid w:val="00662C67"/>
    <w:rsid w:val="00664826"/>
    <w:rsid w:val="006651ED"/>
    <w:rsid w:val="00665209"/>
    <w:rsid w:val="0066586A"/>
    <w:rsid w:val="006666CA"/>
    <w:rsid w:val="00667701"/>
    <w:rsid w:val="00667D7E"/>
    <w:rsid w:val="00671E77"/>
    <w:rsid w:val="006728E8"/>
    <w:rsid w:val="00672A8F"/>
    <w:rsid w:val="0067684C"/>
    <w:rsid w:val="00683B34"/>
    <w:rsid w:val="0068479C"/>
    <w:rsid w:val="00684F62"/>
    <w:rsid w:val="00685E2A"/>
    <w:rsid w:val="0069065B"/>
    <w:rsid w:val="00690B5B"/>
    <w:rsid w:val="006921D7"/>
    <w:rsid w:val="006930F7"/>
    <w:rsid w:val="00693732"/>
    <w:rsid w:val="00693C38"/>
    <w:rsid w:val="006A17E2"/>
    <w:rsid w:val="006A1C66"/>
    <w:rsid w:val="006A565A"/>
    <w:rsid w:val="006A5FB2"/>
    <w:rsid w:val="006B02DA"/>
    <w:rsid w:val="006B030A"/>
    <w:rsid w:val="006B0A44"/>
    <w:rsid w:val="006B23E4"/>
    <w:rsid w:val="006B387F"/>
    <w:rsid w:val="006C0845"/>
    <w:rsid w:val="006C64B9"/>
    <w:rsid w:val="006C709B"/>
    <w:rsid w:val="006D2944"/>
    <w:rsid w:val="006D52FA"/>
    <w:rsid w:val="006D7FA5"/>
    <w:rsid w:val="006E0347"/>
    <w:rsid w:val="006E6624"/>
    <w:rsid w:val="006E776A"/>
    <w:rsid w:val="006F0627"/>
    <w:rsid w:val="006F0ABB"/>
    <w:rsid w:val="006F7D8B"/>
    <w:rsid w:val="0070197E"/>
    <w:rsid w:val="007021AA"/>
    <w:rsid w:val="00702460"/>
    <w:rsid w:val="00711984"/>
    <w:rsid w:val="00711D63"/>
    <w:rsid w:val="00712ACE"/>
    <w:rsid w:val="00715C75"/>
    <w:rsid w:val="00716C45"/>
    <w:rsid w:val="00720D2F"/>
    <w:rsid w:val="00725470"/>
    <w:rsid w:val="00725AF0"/>
    <w:rsid w:val="0072708A"/>
    <w:rsid w:val="007328E5"/>
    <w:rsid w:val="00734BD7"/>
    <w:rsid w:val="0073590F"/>
    <w:rsid w:val="007406EB"/>
    <w:rsid w:val="00741F9E"/>
    <w:rsid w:val="007432B1"/>
    <w:rsid w:val="00744EA3"/>
    <w:rsid w:val="00746AC9"/>
    <w:rsid w:val="00746DDC"/>
    <w:rsid w:val="00752095"/>
    <w:rsid w:val="007564D7"/>
    <w:rsid w:val="00760011"/>
    <w:rsid w:val="007626E8"/>
    <w:rsid w:val="0076525C"/>
    <w:rsid w:val="00765907"/>
    <w:rsid w:val="00767EAD"/>
    <w:rsid w:val="0077047A"/>
    <w:rsid w:val="00774143"/>
    <w:rsid w:val="007764DE"/>
    <w:rsid w:val="00783CEF"/>
    <w:rsid w:val="00792CBB"/>
    <w:rsid w:val="00792E9F"/>
    <w:rsid w:val="00796FD8"/>
    <w:rsid w:val="007978DA"/>
    <w:rsid w:val="00797D49"/>
    <w:rsid w:val="007A3913"/>
    <w:rsid w:val="007B0E4C"/>
    <w:rsid w:val="007B1781"/>
    <w:rsid w:val="007B2400"/>
    <w:rsid w:val="007B48AC"/>
    <w:rsid w:val="007C032D"/>
    <w:rsid w:val="007C303B"/>
    <w:rsid w:val="007C4541"/>
    <w:rsid w:val="007D4D1B"/>
    <w:rsid w:val="007D5E36"/>
    <w:rsid w:val="007E02E3"/>
    <w:rsid w:val="007E305B"/>
    <w:rsid w:val="007E3FB8"/>
    <w:rsid w:val="007E5C10"/>
    <w:rsid w:val="007F078C"/>
    <w:rsid w:val="007F1A20"/>
    <w:rsid w:val="007F26BC"/>
    <w:rsid w:val="007F29CF"/>
    <w:rsid w:val="007F3A97"/>
    <w:rsid w:val="007F4FE9"/>
    <w:rsid w:val="007F7A39"/>
    <w:rsid w:val="0080487B"/>
    <w:rsid w:val="00805442"/>
    <w:rsid w:val="00805A6B"/>
    <w:rsid w:val="00805B99"/>
    <w:rsid w:val="00811ED6"/>
    <w:rsid w:val="0081301B"/>
    <w:rsid w:val="00815CF0"/>
    <w:rsid w:val="00817230"/>
    <w:rsid w:val="0081733C"/>
    <w:rsid w:val="00824488"/>
    <w:rsid w:val="0082538D"/>
    <w:rsid w:val="008303B6"/>
    <w:rsid w:val="00830CED"/>
    <w:rsid w:val="008338FF"/>
    <w:rsid w:val="00834461"/>
    <w:rsid w:val="00834745"/>
    <w:rsid w:val="0083611E"/>
    <w:rsid w:val="00850A32"/>
    <w:rsid w:val="00851806"/>
    <w:rsid w:val="00853D9C"/>
    <w:rsid w:val="00854CFD"/>
    <w:rsid w:val="00856406"/>
    <w:rsid w:val="00857358"/>
    <w:rsid w:val="0085791F"/>
    <w:rsid w:val="008714DD"/>
    <w:rsid w:val="00873EA9"/>
    <w:rsid w:val="00874A27"/>
    <w:rsid w:val="00875E61"/>
    <w:rsid w:val="0088338B"/>
    <w:rsid w:val="00890D2D"/>
    <w:rsid w:val="00891235"/>
    <w:rsid w:val="00895A46"/>
    <w:rsid w:val="008A0B12"/>
    <w:rsid w:val="008A1EA2"/>
    <w:rsid w:val="008A1F25"/>
    <w:rsid w:val="008A31D2"/>
    <w:rsid w:val="008A46FC"/>
    <w:rsid w:val="008A5C50"/>
    <w:rsid w:val="008B04BB"/>
    <w:rsid w:val="008B27B1"/>
    <w:rsid w:val="008B56FA"/>
    <w:rsid w:val="008D249C"/>
    <w:rsid w:val="008D32CC"/>
    <w:rsid w:val="008D4015"/>
    <w:rsid w:val="008D4EC8"/>
    <w:rsid w:val="008D7B4D"/>
    <w:rsid w:val="008E3047"/>
    <w:rsid w:val="008E3468"/>
    <w:rsid w:val="008F0041"/>
    <w:rsid w:val="008F0EB2"/>
    <w:rsid w:val="008F2D42"/>
    <w:rsid w:val="00904FC9"/>
    <w:rsid w:val="009057C3"/>
    <w:rsid w:val="00905BD3"/>
    <w:rsid w:val="00912FCF"/>
    <w:rsid w:val="0091742D"/>
    <w:rsid w:val="00923C31"/>
    <w:rsid w:val="00926CAC"/>
    <w:rsid w:val="0093203A"/>
    <w:rsid w:val="00933D88"/>
    <w:rsid w:val="00937D00"/>
    <w:rsid w:val="00941349"/>
    <w:rsid w:val="00941D71"/>
    <w:rsid w:val="00941F15"/>
    <w:rsid w:val="009441CD"/>
    <w:rsid w:val="00945486"/>
    <w:rsid w:val="00946719"/>
    <w:rsid w:val="009479E2"/>
    <w:rsid w:val="009522B6"/>
    <w:rsid w:val="00954925"/>
    <w:rsid w:val="00956A80"/>
    <w:rsid w:val="009577C8"/>
    <w:rsid w:val="00963879"/>
    <w:rsid w:val="00963B40"/>
    <w:rsid w:val="00963CF8"/>
    <w:rsid w:val="009653D4"/>
    <w:rsid w:val="00970D35"/>
    <w:rsid w:val="00970F26"/>
    <w:rsid w:val="009714B0"/>
    <w:rsid w:val="009805B3"/>
    <w:rsid w:val="00991850"/>
    <w:rsid w:val="00996F4A"/>
    <w:rsid w:val="009A116D"/>
    <w:rsid w:val="009A2C52"/>
    <w:rsid w:val="009A46B4"/>
    <w:rsid w:val="009B026D"/>
    <w:rsid w:val="009B0ED6"/>
    <w:rsid w:val="009B3B1E"/>
    <w:rsid w:val="009B598C"/>
    <w:rsid w:val="009C2AD1"/>
    <w:rsid w:val="009C57B6"/>
    <w:rsid w:val="009D0A19"/>
    <w:rsid w:val="009D6531"/>
    <w:rsid w:val="009E2FBC"/>
    <w:rsid w:val="009E734E"/>
    <w:rsid w:val="009E76F2"/>
    <w:rsid w:val="009F132C"/>
    <w:rsid w:val="009F3B23"/>
    <w:rsid w:val="00A01A02"/>
    <w:rsid w:val="00A025AC"/>
    <w:rsid w:val="00A04DF8"/>
    <w:rsid w:val="00A12FAC"/>
    <w:rsid w:val="00A162D8"/>
    <w:rsid w:val="00A16F4D"/>
    <w:rsid w:val="00A2005B"/>
    <w:rsid w:val="00A21457"/>
    <w:rsid w:val="00A22B70"/>
    <w:rsid w:val="00A2305D"/>
    <w:rsid w:val="00A25DB9"/>
    <w:rsid w:val="00A323F9"/>
    <w:rsid w:val="00A34921"/>
    <w:rsid w:val="00A361F0"/>
    <w:rsid w:val="00A36BF6"/>
    <w:rsid w:val="00A37A7E"/>
    <w:rsid w:val="00A37EA7"/>
    <w:rsid w:val="00A41195"/>
    <w:rsid w:val="00A43E00"/>
    <w:rsid w:val="00A46497"/>
    <w:rsid w:val="00A523C2"/>
    <w:rsid w:val="00A53F45"/>
    <w:rsid w:val="00A53FEE"/>
    <w:rsid w:val="00A61E91"/>
    <w:rsid w:val="00A66640"/>
    <w:rsid w:val="00A66E3A"/>
    <w:rsid w:val="00A66E50"/>
    <w:rsid w:val="00A716C1"/>
    <w:rsid w:val="00A723EE"/>
    <w:rsid w:val="00A776CD"/>
    <w:rsid w:val="00A805C7"/>
    <w:rsid w:val="00A80AD4"/>
    <w:rsid w:val="00A82AA3"/>
    <w:rsid w:val="00A90F5C"/>
    <w:rsid w:val="00A91F08"/>
    <w:rsid w:val="00A935EA"/>
    <w:rsid w:val="00A94F97"/>
    <w:rsid w:val="00AA4699"/>
    <w:rsid w:val="00AA5B4C"/>
    <w:rsid w:val="00AB23A2"/>
    <w:rsid w:val="00AB491A"/>
    <w:rsid w:val="00AB4DDE"/>
    <w:rsid w:val="00AB6112"/>
    <w:rsid w:val="00AB6D65"/>
    <w:rsid w:val="00AD1F6F"/>
    <w:rsid w:val="00AD2AFA"/>
    <w:rsid w:val="00AD4DF3"/>
    <w:rsid w:val="00AD4FF8"/>
    <w:rsid w:val="00AE1C53"/>
    <w:rsid w:val="00AE75FB"/>
    <w:rsid w:val="00AF01EE"/>
    <w:rsid w:val="00AF1C0A"/>
    <w:rsid w:val="00AF50EA"/>
    <w:rsid w:val="00AF6FF2"/>
    <w:rsid w:val="00AF76F5"/>
    <w:rsid w:val="00B10EE6"/>
    <w:rsid w:val="00B13882"/>
    <w:rsid w:val="00B1445F"/>
    <w:rsid w:val="00B1505F"/>
    <w:rsid w:val="00B15202"/>
    <w:rsid w:val="00B153F2"/>
    <w:rsid w:val="00B17115"/>
    <w:rsid w:val="00B17DC3"/>
    <w:rsid w:val="00B20184"/>
    <w:rsid w:val="00B21FE8"/>
    <w:rsid w:val="00B23190"/>
    <w:rsid w:val="00B36691"/>
    <w:rsid w:val="00B41E4B"/>
    <w:rsid w:val="00B51920"/>
    <w:rsid w:val="00B5267E"/>
    <w:rsid w:val="00B5500C"/>
    <w:rsid w:val="00B55487"/>
    <w:rsid w:val="00B6050A"/>
    <w:rsid w:val="00B63755"/>
    <w:rsid w:val="00B657FB"/>
    <w:rsid w:val="00B65C30"/>
    <w:rsid w:val="00B70E62"/>
    <w:rsid w:val="00B76AB2"/>
    <w:rsid w:val="00B76F17"/>
    <w:rsid w:val="00B86FD4"/>
    <w:rsid w:val="00B907F3"/>
    <w:rsid w:val="00B964FF"/>
    <w:rsid w:val="00BA536A"/>
    <w:rsid w:val="00BA5789"/>
    <w:rsid w:val="00BA5A54"/>
    <w:rsid w:val="00BB250D"/>
    <w:rsid w:val="00BB337E"/>
    <w:rsid w:val="00BB3F60"/>
    <w:rsid w:val="00BB718A"/>
    <w:rsid w:val="00BC30CC"/>
    <w:rsid w:val="00BC44E6"/>
    <w:rsid w:val="00BD0A60"/>
    <w:rsid w:val="00BD1CD4"/>
    <w:rsid w:val="00BD494D"/>
    <w:rsid w:val="00BD652A"/>
    <w:rsid w:val="00BD6531"/>
    <w:rsid w:val="00BE3E74"/>
    <w:rsid w:val="00BE7EEC"/>
    <w:rsid w:val="00BF06A7"/>
    <w:rsid w:val="00BF0942"/>
    <w:rsid w:val="00BF15D7"/>
    <w:rsid w:val="00BF5E0B"/>
    <w:rsid w:val="00C03D50"/>
    <w:rsid w:val="00C0544C"/>
    <w:rsid w:val="00C05D42"/>
    <w:rsid w:val="00C06FA9"/>
    <w:rsid w:val="00C15AB8"/>
    <w:rsid w:val="00C22C85"/>
    <w:rsid w:val="00C23207"/>
    <w:rsid w:val="00C30402"/>
    <w:rsid w:val="00C33DFD"/>
    <w:rsid w:val="00C40D5D"/>
    <w:rsid w:val="00C4158D"/>
    <w:rsid w:val="00C417B3"/>
    <w:rsid w:val="00C4205E"/>
    <w:rsid w:val="00C423A9"/>
    <w:rsid w:val="00C44797"/>
    <w:rsid w:val="00C4742A"/>
    <w:rsid w:val="00C54DFF"/>
    <w:rsid w:val="00C54E5D"/>
    <w:rsid w:val="00C55F33"/>
    <w:rsid w:val="00C56D5E"/>
    <w:rsid w:val="00C57114"/>
    <w:rsid w:val="00C57D7A"/>
    <w:rsid w:val="00C61DD9"/>
    <w:rsid w:val="00C709D8"/>
    <w:rsid w:val="00C721CC"/>
    <w:rsid w:val="00C73024"/>
    <w:rsid w:val="00C74F6C"/>
    <w:rsid w:val="00C82E78"/>
    <w:rsid w:val="00C83004"/>
    <w:rsid w:val="00C8339E"/>
    <w:rsid w:val="00C90A12"/>
    <w:rsid w:val="00C96A67"/>
    <w:rsid w:val="00CA0A42"/>
    <w:rsid w:val="00CA266A"/>
    <w:rsid w:val="00CA3C98"/>
    <w:rsid w:val="00CA3CF4"/>
    <w:rsid w:val="00CA3DC4"/>
    <w:rsid w:val="00CA42D7"/>
    <w:rsid w:val="00CA7B8A"/>
    <w:rsid w:val="00CB3933"/>
    <w:rsid w:val="00CB43EB"/>
    <w:rsid w:val="00CB5EE6"/>
    <w:rsid w:val="00CB633C"/>
    <w:rsid w:val="00CB7166"/>
    <w:rsid w:val="00CB71E8"/>
    <w:rsid w:val="00CC0235"/>
    <w:rsid w:val="00CC03FA"/>
    <w:rsid w:val="00CC10B3"/>
    <w:rsid w:val="00CC26B7"/>
    <w:rsid w:val="00CC366D"/>
    <w:rsid w:val="00CC502B"/>
    <w:rsid w:val="00CC5309"/>
    <w:rsid w:val="00CC6C30"/>
    <w:rsid w:val="00CC755E"/>
    <w:rsid w:val="00CC7D03"/>
    <w:rsid w:val="00CD4EB3"/>
    <w:rsid w:val="00CD5D3D"/>
    <w:rsid w:val="00CE3B50"/>
    <w:rsid w:val="00CE4F13"/>
    <w:rsid w:val="00CE7223"/>
    <w:rsid w:val="00CF1C7B"/>
    <w:rsid w:val="00CF212E"/>
    <w:rsid w:val="00CF715F"/>
    <w:rsid w:val="00D016BA"/>
    <w:rsid w:val="00D10141"/>
    <w:rsid w:val="00D1103C"/>
    <w:rsid w:val="00D112B3"/>
    <w:rsid w:val="00D20D67"/>
    <w:rsid w:val="00D236B1"/>
    <w:rsid w:val="00D23C64"/>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505B6"/>
    <w:rsid w:val="00D53727"/>
    <w:rsid w:val="00D53BED"/>
    <w:rsid w:val="00D5511B"/>
    <w:rsid w:val="00D56A9F"/>
    <w:rsid w:val="00D57060"/>
    <w:rsid w:val="00D628A4"/>
    <w:rsid w:val="00D756B3"/>
    <w:rsid w:val="00D75FAC"/>
    <w:rsid w:val="00D76E9B"/>
    <w:rsid w:val="00D77A95"/>
    <w:rsid w:val="00D803AD"/>
    <w:rsid w:val="00D8225A"/>
    <w:rsid w:val="00D83CF7"/>
    <w:rsid w:val="00D85098"/>
    <w:rsid w:val="00D86D02"/>
    <w:rsid w:val="00D933F6"/>
    <w:rsid w:val="00D94AFB"/>
    <w:rsid w:val="00DA27ED"/>
    <w:rsid w:val="00DA2975"/>
    <w:rsid w:val="00DA4603"/>
    <w:rsid w:val="00DC0C6D"/>
    <w:rsid w:val="00DC0E0D"/>
    <w:rsid w:val="00DC168B"/>
    <w:rsid w:val="00DC2A48"/>
    <w:rsid w:val="00DC301A"/>
    <w:rsid w:val="00DC387E"/>
    <w:rsid w:val="00DC4A0D"/>
    <w:rsid w:val="00DC5111"/>
    <w:rsid w:val="00DC72F1"/>
    <w:rsid w:val="00DD1F8F"/>
    <w:rsid w:val="00DD3480"/>
    <w:rsid w:val="00DE126F"/>
    <w:rsid w:val="00DE12B0"/>
    <w:rsid w:val="00DE21D9"/>
    <w:rsid w:val="00DE29FC"/>
    <w:rsid w:val="00DF0E18"/>
    <w:rsid w:val="00DF2FF5"/>
    <w:rsid w:val="00DF3263"/>
    <w:rsid w:val="00DF5CAE"/>
    <w:rsid w:val="00DF66F1"/>
    <w:rsid w:val="00DF6B95"/>
    <w:rsid w:val="00E0074B"/>
    <w:rsid w:val="00E0457B"/>
    <w:rsid w:val="00E04CBC"/>
    <w:rsid w:val="00E053D4"/>
    <w:rsid w:val="00E0540B"/>
    <w:rsid w:val="00E05934"/>
    <w:rsid w:val="00E05AE9"/>
    <w:rsid w:val="00E06246"/>
    <w:rsid w:val="00E123EF"/>
    <w:rsid w:val="00E124EE"/>
    <w:rsid w:val="00E14925"/>
    <w:rsid w:val="00E15500"/>
    <w:rsid w:val="00E15A64"/>
    <w:rsid w:val="00E17D36"/>
    <w:rsid w:val="00E17DDF"/>
    <w:rsid w:val="00E20E85"/>
    <w:rsid w:val="00E2355D"/>
    <w:rsid w:val="00E24B96"/>
    <w:rsid w:val="00E24FAC"/>
    <w:rsid w:val="00E26303"/>
    <w:rsid w:val="00E30C2A"/>
    <w:rsid w:val="00E334D1"/>
    <w:rsid w:val="00E34C8A"/>
    <w:rsid w:val="00E350AC"/>
    <w:rsid w:val="00E37D67"/>
    <w:rsid w:val="00E411C7"/>
    <w:rsid w:val="00E42CF8"/>
    <w:rsid w:val="00E43F6C"/>
    <w:rsid w:val="00E44962"/>
    <w:rsid w:val="00E4570D"/>
    <w:rsid w:val="00E47540"/>
    <w:rsid w:val="00E51A44"/>
    <w:rsid w:val="00E51D32"/>
    <w:rsid w:val="00E606A9"/>
    <w:rsid w:val="00E61142"/>
    <w:rsid w:val="00E6496A"/>
    <w:rsid w:val="00E706AC"/>
    <w:rsid w:val="00E73E18"/>
    <w:rsid w:val="00E80B52"/>
    <w:rsid w:val="00E81AFE"/>
    <w:rsid w:val="00E908B8"/>
    <w:rsid w:val="00E90EA9"/>
    <w:rsid w:val="00E9253C"/>
    <w:rsid w:val="00E9428E"/>
    <w:rsid w:val="00E951AA"/>
    <w:rsid w:val="00EA2018"/>
    <w:rsid w:val="00EA580C"/>
    <w:rsid w:val="00EB6616"/>
    <w:rsid w:val="00EB7D57"/>
    <w:rsid w:val="00EC2F8F"/>
    <w:rsid w:val="00EC456F"/>
    <w:rsid w:val="00ED061D"/>
    <w:rsid w:val="00ED084A"/>
    <w:rsid w:val="00ED6EA3"/>
    <w:rsid w:val="00EE0BFD"/>
    <w:rsid w:val="00EE0D49"/>
    <w:rsid w:val="00EE1546"/>
    <w:rsid w:val="00EE1AB3"/>
    <w:rsid w:val="00EE2371"/>
    <w:rsid w:val="00EE2442"/>
    <w:rsid w:val="00EE2535"/>
    <w:rsid w:val="00EF112C"/>
    <w:rsid w:val="00EF1965"/>
    <w:rsid w:val="00EF2E32"/>
    <w:rsid w:val="00EF65BF"/>
    <w:rsid w:val="00F1112A"/>
    <w:rsid w:val="00F11FFF"/>
    <w:rsid w:val="00F1335D"/>
    <w:rsid w:val="00F14EFA"/>
    <w:rsid w:val="00F22561"/>
    <w:rsid w:val="00F23F3F"/>
    <w:rsid w:val="00F36995"/>
    <w:rsid w:val="00F37868"/>
    <w:rsid w:val="00F47C8F"/>
    <w:rsid w:val="00F502CC"/>
    <w:rsid w:val="00F51E9B"/>
    <w:rsid w:val="00F534DC"/>
    <w:rsid w:val="00F5661E"/>
    <w:rsid w:val="00F6011D"/>
    <w:rsid w:val="00F64927"/>
    <w:rsid w:val="00F65DBA"/>
    <w:rsid w:val="00F67DAA"/>
    <w:rsid w:val="00F71E97"/>
    <w:rsid w:val="00F7771E"/>
    <w:rsid w:val="00F77FBC"/>
    <w:rsid w:val="00F80C78"/>
    <w:rsid w:val="00F8158D"/>
    <w:rsid w:val="00F81D58"/>
    <w:rsid w:val="00F85F64"/>
    <w:rsid w:val="00F872C9"/>
    <w:rsid w:val="00F91850"/>
    <w:rsid w:val="00F9780F"/>
    <w:rsid w:val="00FA130E"/>
    <w:rsid w:val="00FA19E2"/>
    <w:rsid w:val="00FA28B8"/>
    <w:rsid w:val="00FA56F5"/>
    <w:rsid w:val="00FA5D14"/>
    <w:rsid w:val="00FA7F4E"/>
    <w:rsid w:val="00FB2D4B"/>
    <w:rsid w:val="00FB31A2"/>
    <w:rsid w:val="00FB627A"/>
    <w:rsid w:val="00FC14DD"/>
    <w:rsid w:val="00FD0349"/>
    <w:rsid w:val="00FD6F15"/>
    <w:rsid w:val="00FD7CF3"/>
    <w:rsid w:val="00FE1822"/>
    <w:rsid w:val="00FE1DC7"/>
    <w:rsid w:val="00FE41F1"/>
    <w:rsid w:val="00FF2761"/>
    <w:rsid w:val="00FF440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7AFABB-7703-45B4-BBD2-A82EFAD5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uiPriority w:val="99"/>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customStyle="1" w:styleId="apple-converted-space">
    <w:name w:val="apple-converted-space"/>
    <w:basedOn w:val="Fuentedeprrafopredeter"/>
    <w:rsid w:val="00941D71"/>
  </w:style>
  <w:style w:type="character" w:customStyle="1" w:styleId="letra14pt">
    <w:name w:val="letra14pt"/>
    <w:basedOn w:val="Fuentedeprrafopredeter"/>
    <w:rsid w:val="00941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C1E68-E32E-497E-A740-30C0F9B5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765</Words>
  <Characters>4212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creator>JAVIER ANDRES</dc:creator>
  <cp:lastModifiedBy>Richard Giovanny Diaz Moncayo</cp:lastModifiedBy>
  <cp:revision>4</cp:revision>
  <cp:lastPrinted>2015-10-30T14:04:00Z</cp:lastPrinted>
  <dcterms:created xsi:type="dcterms:W3CDTF">2015-10-22T13:30:00Z</dcterms:created>
  <dcterms:modified xsi:type="dcterms:W3CDTF">2015-10-30T19:31:00Z</dcterms:modified>
</cp:coreProperties>
</file>