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EF" w:rsidRPr="00272854" w:rsidRDefault="007B74EF" w:rsidP="00272854">
      <w:pPr>
        <w:ind w:right="22"/>
        <w:jc w:val="both"/>
        <w:rPr>
          <w:rFonts w:ascii="Arial" w:hAnsi="Arial" w:cs="Arial"/>
          <w:sz w:val="20"/>
          <w:szCs w:val="20"/>
        </w:rPr>
      </w:pPr>
      <w:r w:rsidRPr="00272854">
        <w:rPr>
          <w:rFonts w:ascii="Arial" w:hAnsi="Arial" w:cs="Arial"/>
          <w:sz w:val="20"/>
          <w:szCs w:val="20"/>
        </w:rPr>
        <w:t xml:space="preserve">INMEDIATEZ/ Término razonable para acudir a la acción de tutela/ Se deben alegar causas de fuerza mayor o caso fortuito que hayan impedido ejercer oportunamente la defensa constitucional. </w:t>
      </w:r>
    </w:p>
    <w:p w:rsidR="007B74EF" w:rsidRPr="00272854" w:rsidRDefault="007B74EF" w:rsidP="00272854">
      <w:pPr>
        <w:jc w:val="both"/>
        <w:rPr>
          <w:rFonts w:ascii="Arial" w:hAnsi="Arial" w:cs="Arial"/>
          <w:sz w:val="20"/>
          <w:szCs w:val="20"/>
        </w:rPr>
      </w:pPr>
    </w:p>
    <w:p w:rsidR="007B74EF" w:rsidRPr="00272854" w:rsidRDefault="00272854" w:rsidP="00272854">
      <w:pPr>
        <w:jc w:val="both"/>
        <w:rPr>
          <w:rFonts w:ascii="Arial" w:hAnsi="Arial" w:cs="Arial"/>
          <w:sz w:val="20"/>
          <w:szCs w:val="20"/>
        </w:rPr>
      </w:pPr>
      <w:r w:rsidRPr="00272854">
        <w:rPr>
          <w:rFonts w:ascii="Arial" w:hAnsi="Arial" w:cs="Arial"/>
          <w:sz w:val="20"/>
          <w:szCs w:val="20"/>
        </w:rPr>
        <w:t xml:space="preserve">“(…) </w:t>
      </w:r>
      <w:r w:rsidR="007B74EF" w:rsidRPr="00272854">
        <w:rPr>
          <w:rFonts w:ascii="Arial" w:hAnsi="Arial" w:cs="Arial"/>
          <w:sz w:val="20"/>
          <w:szCs w:val="20"/>
        </w:rPr>
        <w:t>el derecho de petición fue radicado el 08-01-2015 (</w:t>
      </w:r>
      <w:r w:rsidR="007B74EF" w:rsidRPr="00272854">
        <w:rPr>
          <w:rFonts w:ascii="Arial" w:hAnsi="Arial" w:cs="Arial"/>
          <w:sz w:val="20"/>
          <w:szCs w:val="20"/>
        </w:rPr>
        <w:t>..</w:t>
      </w:r>
      <w:r w:rsidR="007B74EF" w:rsidRPr="00272854">
        <w:rPr>
          <w:rFonts w:ascii="Arial" w:hAnsi="Arial" w:cs="Arial"/>
          <w:sz w:val="20"/>
          <w:szCs w:val="20"/>
        </w:rPr>
        <w:t>.) y la tutela se presentó el 01-12-2015</w:t>
      </w:r>
      <w:r w:rsidR="007B74EF" w:rsidRPr="00272854">
        <w:rPr>
          <w:rFonts w:ascii="Arial" w:hAnsi="Arial" w:cs="Arial"/>
          <w:sz w:val="20"/>
          <w:szCs w:val="20"/>
        </w:rPr>
        <w:t xml:space="preserve"> (…</w:t>
      </w:r>
      <w:r w:rsidR="007B74EF" w:rsidRPr="00272854">
        <w:rPr>
          <w:rFonts w:ascii="Arial" w:hAnsi="Arial" w:cs="Arial"/>
          <w:sz w:val="20"/>
          <w:szCs w:val="20"/>
        </w:rPr>
        <w:t xml:space="preserve">) es decir, que la presente acción carece de inmediatez, pues su interposición desborda el plazo de los 6 meses </w:t>
      </w:r>
      <w:r w:rsidR="000B6987" w:rsidRPr="00272854">
        <w:rPr>
          <w:rFonts w:ascii="Arial" w:hAnsi="Arial" w:cs="Arial"/>
          <w:sz w:val="20"/>
          <w:szCs w:val="20"/>
        </w:rPr>
        <w:t>(…)</w:t>
      </w:r>
      <w:r w:rsidR="007B74EF" w:rsidRPr="00272854">
        <w:rPr>
          <w:rFonts w:ascii="Arial" w:hAnsi="Arial" w:cs="Arial"/>
          <w:sz w:val="20"/>
          <w:szCs w:val="20"/>
        </w:rPr>
        <w:t xml:space="preserve"> como tiempo razonable para interponerla. </w:t>
      </w:r>
    </w:p>
    <w:p w:rsidR="007B74EF" w:rsidRPr="00272854" w:rsidRDefault="007B74EF" w:rsidP="00272854">
      <w:pPr>
        <w:ind w:right="51"/>
        <w:jc w:val="both"/>
        <w:rPr>
          <w:rFonts w:ascii="Arial" w:hAnsi="Arial"/>
          <w:sz w:val="20"/>
          <w:szCs w:val="20"/>
          <w:lang w:val="es-ES_tradnl"/>
        </w:rPr>
      </w:pPr>
    </w:p>
    <w:p w:rsidR="007B74EF" w:rsidRPr="00272854" w:rsidRDefault="007B74EF" w:rsidP="00272854">
      <w:pPr>
        <w:jc w:val="both"/>
        <w:rPr>
          <w:rFonts w:ascii="Arial" w:hAnsi="Arial" w:cs="Arial"/>
          <w:sz w:val="20"/>
          <w:szCs w:val="20"/>
        </w:rPr>
      </w:pPr>
      <w:r w:rsidRPr="00272854">
        <w:rPr>
          <w:rFonts w:ascii="Arial" w:hAnsi="Arial" w:cs="Arial"/>
          <w:sz w:val="20"/>
          <w:szCs w:val="20"/>
        </w:rPr>
        <w:t xml:space="preserve">Ahora bien, </w:t>
      </w:r>
      <w:r w:rsidR="000B6987" w:rsidRPr="00272854">
        <w:rPr>
          <w:rFonts w:ascii="Arial" w:hAnsi="Arial" w:cs="Arial"/>
          <w:sz w:val="20"/>
          <w:szCs w:val="20"/>
        </w:rPr>
        <w:t>(…)</w:t>
      </w:r>
      <w:r w:rsidRPr="00272854">
        <w:rPr>
          <w:rFonts w:ascii="Arial" w:hAnsi="Arial" w:cs="Arial"/>
          <w:sz w:val="20"/>
          <w:szCs w:val="20"/>
        </w:rPr>
        <w:t xml:space="preserve"> el juez de la causa debe tener flexibilidad en la aplicación de este principio, pero a ese </w:t>
      </w:r>
      <w:r w:rsidRPr="00272854">
        <w:rPr>
          <w:rFonts w:ascii="Arial" w:hAnsi="Arial" w:cs="Arial"/>
          <w:sz w:val="20"/>
          <w:szCs w:val="20"/>
          <w:lang w:val="es-ES_tradnl"/>
        </w:rPr>
        <w:t xml:space="preserve">tenor, se debe </w:t>
      </w:r>
      <w:r w:rsidRPr="00272854">
        <w:rPr>
          <w:rFonts w:ascii="Arial" w:hAnsi="Arial" w:cs="Arial"/>
          <w:sz w:val="20"/>
          <w:szCs w:val="20"/>
        </w:rPr>
        <w:t>probar o alegar, que medió causa alguna de fuerza mayor o caso fortuito que impidiera al actor gestionar, su defensa a través de esta acción con mayor celeridad sin desconocer la inmediatez; circunstancias que no fueron expuestas ni probadas en el trámite. De igual forma, no se encuentra ni alegado ni probado, que el actor sea persona de especial protección constitucional</w:t>
      </w:r>
      <w:r w:rsidR="00681E40" w:rsidRPr="00272854">
        <w:rPr>
          <w:rFonts w:ascii="Arial" w:hAnsi="Arial" w:cs="Arial"/>
          <w:sz w:val="20"/>
          <w:szCs w:val="20"/>
        </w:rPr>
        <w:t xml:space="preserve"> </w:t>
      </w:r>
      <w:r w:rsidR="001852F7" w:rsidRPr="00272854">
        <w:rPr>
          <w:rFonts w:ascii="Arial" w:hAnsi="Arial" w:cs="Arial"/>
          <w:sz w:val="20"/>
          <w:szCs w:val="20"/>
        </w:rPr>
        <w:t>(…)”</w:t>
      </w:r>
    </w:p>
    <w:p w:rsidR="000275E6" w:rsidRPr="00272854" w:rsidRDefault="000275E6" w:rsidP="00272854">
      <w:pPr>
        <w:jc w:val="both"/>
        <w:rPr>
          <w:rFonts w:ascii="Arial" w:hAnsi="Arial" w:cs="Arial"/>
          <w:i/>
          <w:spacing w:val="-2"/>
          <w:sz w:val="20"/>
          <w:szCs w:val="20"/>
        </w:rPr>
      </w:pPr>
    </w:p>
    <w:p w:rsidR="000275E6" w:rsidRPr="0003448C" w:rsidRDefault="000275E6" w:rsidP="00272854">
      <w:pPr>
        <w:jc w:val="both"/>
        <w:rPr>
          <w:rFonts w:ascii="Arial" w:hAnsi="Arial" w:cs="Arial"/>
          <w:sz w:val="17"/>
          <w:szCs w:val="17"/>
        </w:rPr>
      </w:pPr>
      <w:r w:rsidRPr="0003448C">
        <w:rPr>
          <w:rFonts w:ascii="Arial" w:hAnsi="Arial" w:cs="Arial"/>
          <w:bCs/>
          <w:iCs/>
          <w:sz w:val="17"/>
          <w:szCs w:val="17"/>
          <w:lang w:val="es-CO"/>
        </w:rPr>
        <w:t xml:space="preserve">Citas: </w:t>
      </w:r>
      <w:r w:rsidRPr="0003448C">
        <w:rPr>
          <w:rFonts w:ascii="Arial" w:hAnsi="Arial" w:cs="Arial"/>
          <w:sz w:val="17"/>
          <w:szCs w:val="17"/>
          <w:lang w:val="es-CO"/>
        </w:rPr>
        <w:t>Corte Constitucional, sentencias T-684 de 2003, T-526 de 2005,</w:t>
      </w:r>
      <w:r w:rsidR="00E9752B" w:rsidRPr="0003448C">
        <w:rPr>
          <w:rFonts w:ascii="Arial" w:hAnsi="Arial" w:cs="Arial"/>
          <w:sz w:val="17"/>
          <w:szCs w:val="17"/>
          <w:lang w:val="es-CO"/>
        </w:rPr>
        <w:t xml:space="preserve"> T-016 y</w:t>
      </w:r>
      <w:r w:rsidRPr="0003448C">
        <w:rPr>
          <w:rFonts w:ascii="Arial" w:hAnsi="Arial" w:cs="Arial"/>
          <w:sz w:val="17"/>
          <w:szCs w:val="17"/>
          <w:lang w:val="es-CO"/>
        </w:rPr>
        <w:t xml:space="preserve"> T-890 de 2006, T-1079 de 2008</w:t>
      </w:r>
      <w:r w:rsidR="0075429F" w:rsidRPr="0003448C">
        <w:rPr>
          <w:rFonts w:ascii="Arial" w:hAnsi="Arial" w:cs="Arial"/>
          <w:sz w:val="17"/>
          <w:szCs w:val="17"/>
          <w:lang w:val="es-CO"/>
        </w:rPr>
        <w:t>,</w:t>
      </w:r>
      <w:r w:rsidRPr="0003448C">
        <w:rPr>
          <w:rFonts w:ascii="Arial" w:hAnsi="Arial" w:cs="Arial"/>
          <w:sz w:val="17"/>
          <w:szCs w:val="17"/>
          <w:lang w:val="es-CO"/>
        </w:rPr>
        <w:t xml:space="preserve"> T-299 de 2009, T-</w:t>
      </w:r>
      <w:r w:rsidR="00E9752B" w:rsidRPr="0003448C">
        <w:rPr>
          <w:rFonts w:ascii="Arial" w:hAnsi="Arial" w:cs="Arial"/>
          <w:sz w:val="17"/>
          <w:szCs w:val="17"/>
          <w:lang w:val="es-CO"/>
        </w:rPr>
        <w:t xml:space="preserve">172 </w:t>
      </w:r>
      <w:r w:rsidRPr="0003448C">
        <w:rPr>
          <w:rFonts w:ascii="Arial" w:hAnsi="Arial" w:cs="Arial"/>
          <w:sz w:val="17"/>
          <w:szCs w:val="17"/>
          <w:lang w:val="es-CO"/>
        </w:rPr>
        <w:t>y T-410 de 2013; Corte Suprema de Justicia, Sala Penal, sentencia del 11 de marzo de 2014, M.P. Eugenio Fernández Carlier. Sala de Casación Civil, sentencia del 2 de septiembre de 2014, M.P. Margarita Cabello Blanco; doctrina: QUINCHE RAMÍREZ, Manuel Fernando. “La acción de tutela, el amparo en Colombia”, Temis, Bogotá D.C., 2011.</w:t>
      </w:r>
      <w:r w:rsidRPr="0003448C">
        <w:rPr>
          <w:rFonts w:ascii="Arial" w:hAnsi="Arial" w:cs="Arial"/>
          <w:sz w:val="17"/>
          <w:szCs w:val="17"/>
        </w:rPr>
        <w:t xml:space="preserve"> </w:t>
      </w:r>
    </w:p>
    <w:p w:rsidR="00AD4071" w:rsidRDefault="00AD4071" w:rsidP="00F839CE">
      <w:pPr>
        <w:pStyle w:val="Sinespaciado"/>
        <w:spacing w:line="360" w:lineRule="auto"/>
        <w:rPr>
          <w:rFonts w:ascii="Arial" w:hAnsi="Arial" w:cs="Arial"/>
          <w:w w:val="140"/>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C768BF">
        <w:rPr>
          <w:rFonts w:ascii="Arial" w:hAnsi="Arial"/>
          <w:sz w:val="22"/>
          <w:szCs w:val="22"/>
        </w:rPr>
        <w:t>Emerio Antonio Rodríguez Jiménez</w:t>
      </w:r>
    </w:p>
    <w:p w:rsidR="00E06AE8" w:rsidRDefault="00E06AE8" w:rsidP="00E06AE8">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 xml:space="preserve">: </w:t>
      </w:r>
      <w:r w:rsidR="00C768BF">
        <w:rPr>
          <w:rFonts w:ascii="Arial" w:hAnsi="Arial"/>
          <w:sz w:val="22"/>
          <w:szCs w:val="22"/>
        </w:rPr>
        <w:t>Administradora Colombiana de Pensiones -Colpensiones-</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C768BF">
        <w:rPr>
          <w:rFonts w:ascii="Arial" w:hAnsi="Arial"/>
          <w:sz w:val="22"/>
        </w:rPr>
        <w:t>2015-00927-01</w:t>
      </w:r>
      <w:r>
        <w:rPr>
          <w:rFonts w:ascii="Arial" w:hAnsi="Arial"/>
          <w:sz w:val="22"/>
        </w:rPr>
        <w:t xml:space="preserve"> </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435CCB" w:rsidRPr="009C10E2">
        <w:rPr>
          <w:rFonts w:ascii="Arial" w:hAnsi="Arial"/>
          <w:sz w:val="22"/>
          <w:szCs w:val="22"/>
        </w:rPr>
        <w:t>Procedibilidad</w:t>
      </w:r>
      <w:r w:rsidR="00DB2859" w:rsidRPr="009C10E2">
        <w:rPr>
          <w:rFonts w:ascii="Arial" w:hAnsi="Arial"/>
          <w:sz w:val="22"/>
          <w:szCs w:val="22"/>
        </w:rPr>
        <w:t xml:space="preserve">- </w:t>
      </w:r>
      <w:r w:rsidR="00E06AE8">
        <w:rPr>
          <w:rFonts w:ascii="Arial" w:hAnsi="Arial"/>
          <w:sz w:val="22"/>
          <w:szCs w:val="22"/>
        </w:rPr>
        <w:t>Inmediatez</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E06AE8">
        <w:rPr>
          <w:rFonts w:ascii="Arial" w:hAnsi="Arial"/>
          <w:sz w:val="22"/>
          <w:szCs w:val="22"/>
        </w:rPr>
        <w:t>Tercero de Familia de Pereira</w:t>
      </w:r>
      <w:r w:rsidR="00C65627">
        <w:rPr>
          <w:rFonts w:ascii="Arial" w:hAnsi="Arial"/>
          <w:sz w:val="22"/>
          <w:szCs w:val="22"/>
        </w:rPr>
        <w:t xml:space="preserve">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9C7298">
        <w:rPr>
          <w:rFonts w:ascii="Arial" w:hAnsi="Arial"/>
          <w:sz w:val="22"/>
          <w:szCs w:val="22"/>
        </w:rPr>
        <w:t>93 de 23-02-2016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11FCA" w:rsidRDefault="003913E3" w:rsidP="00F839CE">
      <w:pPr>
        <w:spacing w:line="360" w:lineRule="auto"/>
        <w:jc w:val="center"/>
        <w:rPr>
          <w:rFonts w:ascii="Arial" w:hAnsi="Arial" w:cs="Arial"/>
          <w:iCs/>
          <w:lang w:val="es-CO"/>
        </w:rPr>
      </w:pPr>
      <w:r w:rsidRPr="00311FCA">
        <w:rPr>
          <w:rFonts w:ascii="Arial" w:hAnsi="Arial" w:cs="Arial"/>
          <w:iCs/>
          <w:smallCaps/>
          <w:lang w:val="es-CO"/>
        </w:rPr>
        <w:t>Pereira, R</w:t>
      </w:r>
      <w:r w:rsidR="00C768BF">
        <w:rPr>
          <w:rFonts w:ascii="Arial" w:hAnsi="Arial" w:cs="Arial"/>
          <w:iCs/>
          <w:smallCaps/>
          <w:lang w:val="es-CO"/>
        </w:rPr>
        <w:t>.</w:t>
      </w:r>
      <w:r w:rsidRPr="00311FCA">
        <w:rPr>
          <w:rFonts w:ascii="Arial" w:hAnsi="Arial" w:cs="Arial"/>
          <w:iCs/>
          <w:smallCaps/>
          <w:lang w:val="es-CO"/>
        </w:rPr>
        <w:t xml:space="preserve">, </w:t>
      </w:r>
      <w:r w:rsidR="009C7298">
        <w:rPr>
          <w:rFonts w:ascii="Arial" w:hAnsi="Arial" w:cs="Arial"/>
          <w:iCs/>
          <w:smallCaps/>
          <w:lang w:val="es-CO"/>
        </w:rPr>
        <w:t xml:space="preserve">veintitrés </w:t>
      </w:r>
      <w:r w:rsidRPr="00311FCA">
        <w:rPr>
          <w:rFonts w:ascii="Arial" w:hAnsi="Arial" w:cs="Arial"/>
          <w:iCs/>
          <w:smallCaps/>
          <w:lang w:val="es-CO"/>
        </w:rPr>
        <w:t>(</w:t>
      </w:r>
      <w:r w:rsidR="009C7298">
        <w:rPr>
          <w:rFonts w:ascii="Arial" w:hAnsi="Arial" w:cs="Arial"/>
          <w:iCs/>
          <w:smallCaps/>
          <w:lang w:val="es-CO"/>
        </w:rPr>
        <w:t>23</w:t>
      </w:r>
      <w:r w:rsidRPr="00311FCA">
        <w:rPr>
          <w:rFonts w:ascii="Arial" w:hAnsi="Arial" w:cs="Arial"/>
          <w:iCs/>
          <w:smallCaps/>
          <w:lang w:val="es-CO"/>
        </w:rPr>
        <w:t xml:space="preserve">) de </w:t>
      </w:r>
      <w:r w:rsidR="00C768BF">
        <w:rPr>
          <w:rFonts w:ascii="Arial" w:hAnsi="Arial" w:cs="Arial"/>
          <w:iCs/>
          <w:smallCaps/>
          <w:lang w:val="es-CO"/>
        </w:rPr>
        <w:t xml:space="preserve">febrero </w:t>
      </w:r>
      <w:r w:rsidRPr="00311FCA">
        <w:rPr>
          <w:rFonts w:ascii="Arial" w:hAnsi="Arial" w:cs="Arial"/>
          <w:iCs/>
          <w:smallCaps/>
          <w:lang w:val="es-CO"/>
        </w:rPr>
        <w:t xml:space="preserve">de dos mil </w:t>
      </w:r>
      <w:r w:rsidR="00C768BF">
        <w:rPr>
          <w:rFonts w:ascii="Arial" w:hAnsi="Arial" w:cs="Arial"/>
          <w:iCs/>
          <w:smallCaps/>
          <w:lang w:val="es-CO"/>
        </w:rPr>
        <w:t xml:space="preserve">dieciséis </w:t>
      </w:r>
      <w:r w:rsidRPr="00311FCA">
        <w:rPr>
          <w:rFonts w:ascii="Arial" w:hAnsi="Arial" w:cs="Arial"/>
          <w:iCs/>
          <w:smallCaps/>
          <w:lang w:val="es-CO"/>
        </w:rPr>
        <w:t>(</w:t>
      </w:r>
      <w:r w:rsidR="00C768BF">
        <w:rPr>
          <w:rFonts w:ascii="Arial" w:hAnsi="Arial" w:cs="Arial"/>
          <w:iCs/>
          <w:smallCaps/>
          <w:lang w:val="es-CO"/>
        </w:rPr>
        <w:t>2016</w:t>
      </w:r>
      <w:r w:rsidRPr="00311FCA">
        <w:rPr>
          <w:rFonts w:ascii="Arial" w:hAnsi="Arial" w:cs="Arial"/>
          <w:iCs/>
          <w:smallCaps/>
          <w:lang w:val="es-CO"/>
        </w:rPr>
        <w:t>)</w:t>
      </w:r>
      <w:r w:rsidRPr="00311FCA">
        <w:rPr>
          <w:rFonts w:ascii="Arial" w:hAnsi="Arial" w:cs="Arial"/>
          <w:iCs/>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lastRenderedPageBreak/>
        <w:t xml:space="preserve">Se informó que </w:t>
      </w:r>
      <w:r w:rsidR="00F86E7E">
        <w:rPr>
          <w:rFonts w:ascii="Arial" w:hAnsi="Arial" w:cs="Arial"/>
          <w:sz w:val="24"/>
          <w:szCs w:val="24"/>
        </w:rPr>
        <w:t>el actor</w:t>
      </w:r>
      <w:r>
        <w:rPr>
          <w:rFonts w:ascii="Arial" w:hAnsi="Arial" w:cs="Arial"/>
          <w:sz w:val="24"/>
          <w:szCs w:val="24"/>
        </w:rPr>
        <w:t xml:space="preserve"> </w:t>
      </w:r>
      <w:r w:rsidR="00F86E7E">
        <w:rPr>
          <w:rFonts w:ascii="Arial" w:hAnsi="Arial" w:cs="Arial"/>
          <w:sz w:val="24"/>
          <w:szCs w:val="24"/>
        </w:rPr>
        <w:t xml:space="preserve">presentó </w:t>
      </w:r>
      <w:r>
        <w:rPr>
          <w:rFonts w:ascii="Arial" w:hAnsi="Arial" w:cs="Arial"/>
          <w:sz w:val="24"/>
          <w:szCs w:val="24"/>
        </w:rPr>
        <w:t xml:space="preserve">derecho de petición el </w:t>
      </w:r>
      <w:r w:rsidR="00F86E7E">
        <w:rPr>
          <w:rFonts w:ascii="Arial" w:hAnsi="Arial" w:cs="Arial"/>
          <w:sz w:val="24"/>
          <w:szCs w:val="24"/>
        </w:rPr>
        <w:t>08-0</w:t>
      </w:r>
      <w:r w:rsidR="00BD3AEE">
        <w:rPr>
          <w:rFonts w:ascii="Arial" w:hAnsi="Arial" w:cs="Arial"/>
          <w:sz w:val="24"/>
          <w:szCs w:val="24"/>
        </w:rPr>
        <w:t>1</w:t>
      </w:r>
      <w:r w:rsidR="00F86E7E">
        <w:rPr>
          <w:rFonts w:ascii="Arial" w:hAnsi="Arial" w:cs="Arial"/>
          <w:sz w:val="24"/>
          <w:szCs w:val="24"/>
        </w:rPr>
        <w:t xml:space="preserve">-2015 </w:t>
      </w:r>
      <w:r>
        <w:rPr>
          <w:rFonts w:ascii="Arial" w:hAnsi="Arial" w:cs="Arial"/>
          <w:sz w:val="24"/>
          <w:szCs w:val="24"/>
        </w:rPr>
        <w:t>a la accionada</w:t>
      </w:r>
      <w:r w:rsidR="00A36D98">
        <w:rPr>
          <w:rFonts w:ascii="Arial" w:hAnsi="Arial" w:cs="Arial"/>
          <w:sz w:val="24"/>
          <w:szCs w:val="24"/>
        </w:rPr>
        <w:t>,</w:t>
      </w:r>
      <w:r>
        <w:rPr>
          <w:rFonts w:ascii="Arial" w:hAnsi="Arial" w:cs="Arial"/>
          <w:sz w:val="24"/>
          <w:szCs w:val="24"/>
        </w:rPr>
        <w:t xml:space="preserve"> </w:t>
      </w:r>
      <w:r w:rsidR="0059342A">
        <w:rPr>
          <w:rFonts w:ascii="Arial" w:hAnsi="Arial" w:cs="Arial"/>
          <w:sz w:val="24"/>
          <w:szCs w:val="24"/>
        </w:rPr>
        <w:t>que a la fecha de instaurada la acción no había sido contestado</w:t>
      </w:r>
      <w:r w:rsidR="009147B3">
        <w:rPr>
          <w:rFonts w:ascii="Arial" w:hAnsi="Arial" w:cs="Arial"/>
          <w:sz w:val="24"/>
          <w:szCs w:val="24"/>
        </w:rPr>
        <w:t xml:space="preserve"> </w:t>
      </w:r>
      <w:r w:rsidR="003913E3" w:rsidRPr="00311FCA">
        <w:rPr>
          <w:rFonts w:ascii="Arial" w:hAnsi="Arial" w:cs="Arial"/>
          <w:color w:val="000000"/>
          <w:sz w:val="24"/>
          <w:szCs w:val="24"/>
          <w:lang w:val="es-CO"/>
        </w:rPr>
        <w:t xml:space="preserve">(Folio </w:t>
      </w:r>
      <w:r w:rsidR="0059342A">
        <w:rPr>
          <w:rFonts w:ascii="Arial" w:hAnsi="Arial" w:cs="Arial"/>
          <w:color w:val="000000"/>
          <w:sz w:val="24"/>
          <w:szCs w:val="24"/>
          <w:lang w:val="es-CO"/>
        </w:rPr>
        <w:t>7</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Textoindependiente"/>
        <w:spacing w:line="360" w:lineRule="auto"/>
        <w:rPr>
          <w:rFonts w:ascii="Arial" w:hAnsi="Arial" w:cs="Arial"/>
          <w:color w:val="000000"/>
          <w:sz w:val="24"/>
          <w:szCs w:val="24"/>
          <w:lang w:val="es-CO"/>
        </w:rPr>
      </w:pP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D13C1E" w:rsidRPr="00FB469C" w:rsidRDefault="00D13C1E" w:rsidP="00D13C1E">
      <w:pPr>
        <w:pStyle w:val="Textoindependiente"/>
        <w:spacing w:line="360" w:lineRule="auto"/>
        <w:ind w:left="360"/>
        <w:rPr>
          <w:rFonts w:ascii="Arial" w:hAnsi="Arial"/>
          <w:sz w:val="24"/>
          <w:szCs w:val="24"/>
        </w:rPr>
      </w:pPr>
    </w:p>
    <w:p w:rsidR="00386A25" w:rsidRP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 xml:space="preserve">Se invoca en </w:t>
      </w:r>
      <w:r w:rsidR="00F86E7E">
        <w:rPr>
          <w:rFonts w:ascii="Arial" w:hAnsi="Arial"/>
          <w:sz w:val="24"/>
          <w:szCs w:val="24"/>
        </w:rPr>
        <w:t xml:space="preserve">los </w:t>
      </w:r>
      <w:r>
        <w:rPr>
          <w:rFonts w:ascii="Arial" w:hAnsi="Arial"/>
          <w:sz w:val="24"/>
          <w:szCs w:val="24"/>
        </w:rPr>
        <w:t>derecho</w:t>
      </w:r>
      <w:r w:rsidR="00F86E7E">
        <w:rPr>
          <w:rFonts w:ascii="Arial" w:hAnsi="Arial"/>
          <w:sz w:val="24"/>
          <w:szCs w:val="24"/>
        </w:rPr>
        <w:t>s</w:t>
      </w:r>
      <w:r>
        <w:rPr>
          <w:rFonts w:ascii="Arial" w:hAnsi="Arial"/>
          <w:sz w:val="24"/>
          <w:szCs w:val="24"/>
        </w:rPr>
        <w:t xml:space="preserve"> fundamental</w:t>
      </w:r>
      <w:r w:rsidR="00F86E7E">
        <w:rPr>
          <w:rFonts w:ascii="Arial" w:hAnsi="Arial"/>
          <w:sz w:val="24"/>
          <w:szCs w:val="24"/>
        </w:rPr>
        <w:t>es</w:t>
      </w:r>
      <w:r w:rsidR="006E78FF">
        <w:rPr>
          <w:rFonts w:ascii="Arial" w:hAnsi="Arial"/>
          <w:sz w:val="24"/>
          <w:szCs w:val="24"/>
        </w:rPr>
        <w:t xml:space="preserve"> de petición</w:t>
      </w:r>
      <w:r w:rsidR="00F86E7E">
        <w:rPr>
          <w:rFonts w:ascii="Arial" w:hAnsi="Arial"/>
          <w:sz w:val="24"/>
          <w:szCs w:val="24"/>
        </w:rPr>
        <w:t>, debido proceso y seguridad social</w:t>
      </w:r>
      <w:r w:rsidRPr="00386A25">
        <w:rPr>
          <w:rFonts w:ascii="Arial" w:hAnsi="Arial"/>
          <w:sz w:val="24"/>
          <w:szCs w:val="24"/>
        </w:rPr>
        <w:t xml:space="preserve"> (Folio</w:t>
      </w:r>
      <w:r w:rsidR="00F86E7E">
        <w:rPr>
          <w:rFonts w:ascii="Arial" w:hAnsi="Arial"/>
          <w:sz w:val="24"/>
          <w:szCs w:val="24"/>
        </w:rPr>
        <w:t>8</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F86E7E" w:rsidRDefault="00F86E7E"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Pr>
          <w:rFonts w:ascii="Arial" w:hAnsi="Arial"/>
          <w:sz w:val="24"/>
        </w:rPr>
        <w:t>Tercero de Familia de esta ciudad</w:t>
      </w:r>
      <w:r w:rsidR="00E23D2E" w:rsidRPr="00E23D2E">
        <w:rPr>
          <w:rFonts w:ascii="Arial" w:hAnsi="Arial"/>
          <w:sz w:val="24"/>
        </w:rPr>
        <w:t xml:space="preserve">, que con providencia del </w:t>
      </w:r>
      <w:r w:rsidR="00F86E7E">
        <w:rPr>
          <w:rFonts w:ascii="Arial" w:hAnsi="Arial"/>
          <w:sz w:val="24"/>
        </w:rPr>
        <w:t>02-12-2015</w:t>
      </w:r>
      <w:r w:rsidR="00996E1D">
        <w:rPr>
          <w:rFonts w:ascii="Arial" w:hAnsi="Arial"/>
          <w:sz w:val="24"/>
        </w:rPr>
        <w:t xml:space="preserve"> </w:t>
      </w:r>
      <w:r w:rsidR="00E23D2E" w:rsidRPr="00E23D2E">
        <w:rPr>
          <w:rFonts w:ascii="Arial" w:hAnsi="Arial"/>
          <w:sz w:val="24"/>
        </w:rPr>
        <w:t>la admitió y ordenó notificar a las partes (Folio</w:t>
      </w:r>
      <w:r w:rsidR="00FB469C">
        <w:rPr>
          <w:rFonts w:ascii="Arial" w:hAnsi="Arial"/>
          <w:sz w:val="24"/>
        </w:rPr>
        <w:t xml:space="preserve"> </w:t>
      </w:r>
      <w:r w:rsidR="00F86E7E">
        <w:rPr>
          <w:rFonts w:ascii="Arial" w:hAnsi="Arial"/>
          <w:sz w:val="24"/>
        </w:rPr>
        <w:t>11</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xml:space="preserve">. </w:t>
      </w:r>
      <w:r w:rsidR="00F86E7E">
        <w:rPr>
          <w:rFonts w:ascii="Arial" w:hAnsi="Arial"/>
          <w:sz w:val="24"/>
        </w:rPr>
        <w:t>L</w:t>
      </w:r>
      <w:r w:rsidR="004A5B43">
        <w:rPr>
          <w:rFonts w:ascii="Arial" w:hAnsi="Arial"/>
          <w:sz w:val="24"/>
        </w:rPr>
        <w:t xml:space="preserve">a accionada </w:t>
      </w:r>
      <w:r w:rsidR="00F86E7E">
        <w:rPr>
          <w:rFonts w:ascii="Arial" w:hAnsi="Arial"/>
          <w:sz w:val="24"/>
        </w:rPr>
        <w:t xml:space="preserve">guardó silencio. </w:t>
      </w:r>
      <w:r w:rsidR="008769D9">
        <w:rPr>
          <w:rFonts w:ascii="Arial" w:hAnsi="Arial"/>
          <w:sz w:val="24"/>
        </w:rPr>
        <w:t>S</w:t>
      </w:r>
      <w:r w:rsidR="00E23D2E" w:rsidRPr="00E23D2E">
        <w:rPr>
          <w:rFonts w:ascii="Arial" w:hAnsi="Arial"/>
          <w:sz w:val="24"/>
        </w:rPr>
        <w:t xml:space="preserve">e profirió sentencia </w:t>
      </w:r>
      <w:r w:rsidR="00F86E7E">
        <w:rPr>
          <w:rFonts w:ascii="Arial" w:hAnsi="Arial"/>
          <w:sz w:val="24"/>
        </w:rPr>
        <w:t xml:space="preserve">el 16-12-2015 </w:t>
      </w:r>
      <w:r w:rsidR="00E23D2E" w:rsidRPr="00E23D2E">
        <w:rPr>
          <w:rFonts w:ascii="Arial" w:hAnsi="Arial"/>
          <w:sz w:val="24"/>
        </w:rPr>
        <w:t xml:space="preserve">(Folios </w:t>
      </w:r>
      <w:r w:rsidR="00F86E7E">
        <w:rPr>
          <w:rFonts w:ascii="Arial" w:hAnsi="Arial"/>
          <w:sz w:val="24"/>
        </w:rPr>
        <w:t>18 a 21</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4A5B43">
        <w:rPr>
          <w:rFonts w:ascii="Arial" w:hAnsi="Arial"/>
          <w:sz w:val="24"/>
        </w:rPr>
        <w:t xml:space="preserve">Luego </w:t>
      </w:r>
      <w:r w:rsidR="00E23D2E" w:rsidRPr="00E23D2E">
        <w:rPr>
          <w:rFonts w:ascii="Arial" w:hAnsi="Arial"/>
          <w:sz w:val="24"/>
        </w:rPr>
        <w:t xml:space="preserve">con proveído del </w:t>
      </w:r>
      <w:r w:rsidR="008769D9">
        <w:rPr>
          <w:rFonts w:ascii="Arial" w:hAnsi="Arial"/>
          <w:sz w:val="24"/>
        </w:rPr>
        <w:t>22-01-2016</w:t>
      </w:r>
      <w:r w:rsidR="00E23D2E" w:rsidRPr="00E23D2E">
        <w:rPr>
          <w:rFonts w:ascii="Arial" w:hAnsi="Arial"/>
          <w:sz w:val="24"/>
        </w:rPr>
        <w:t xml:space="preserve"> se concedió la impugnación </w:t>
      </w:r>
      <w:r w:rsidR="00E23D2E">
        <w:rPr>
          <w:rFonts w:ascii="Arial" w:hAnsi="Arial"/>
          <w:sz w:val="24"/>
        </w:rPr>
        <w:t xml:space="preserve">formulada por </w:t>
      </w:r>
      <w:r w:rsidR="008769D9">
        <w:rPr>
          <w:rFonts w:ascii="Arial" w:hAnsi="Arial"/>
          <w:sz w:val="24"/>
        </w:rPr>
        <w:t xml:space="preserve">el </w:t>
      </w:r>
      <w:r w:rsidR="00B66B8E">
        <w:rPr>
          <w:rFonts w:ascii="Arial" w:hAnsi="Arial"/>
          <w:sz w:val="24"/>
        </w:rPr>
        <w:t>accionante</w:t>
      </w:r>
      <w:r w:rsidR="00E23D2E" w:rsidRPr="00E23D2E">
        <w:rPr>
          <w:rFonts w:ascii="Arial" w:hAnsi="Arial"/>
          <w:sz w:val="24"/>
        </w:rPr>
        <w:t xml:space="preserve">, ante este Tribunal (Folio </w:t>
      </w:r>
      <w:r w:rsidR="008769D9">
        <w:rPr>
          <w:rFonts w:ascii="Arial" w:hAnsi="Arial"/>
          <w:sz w:val="24"/>
        </w:rPr>
        <w:t>32</w:t>
      </w:r>
      <w:r w:rsidR="00E23D2E" w:rsidRPr="00E23D2E">
        <w:rPr>
          <w:rFonts w:ascii="Arial" w:hAnsi="Arial"/>
          <w:sz w:val="24"/>
        </w:rPr>
        <w:t>, ib</w:t>
      </w:r>
      <w:r w:rsidR="008769D9">
        <w:rPr>
          <w:rFonts w:ascii="Arial" w:hAnsi="Arial"/>
          <w:sz w:val="24"/>
        </w:rPr>
        <w:t>ídem</w:t>
      </w:r>
      <w:r w:rsidR="00E23D2E" w:rsidRPr="00E23D2E">
        <w:rPr>
          <w:rFonts w:ascii="Arial" w:hAnsi="Arial"/>
          <w:sz w:val="24"/>
        </w:rPr>
        <w:t xml:space="preserve">). </w:t>
      </w:r>
    </w:p>
    <w:p w:rsidR="00996E1D" w:rsidRDefault="00996E1D" w:rsidP="00E23D2E">
      <w:pPr>
        <w:pStyle w:val="Textoindependiente"/>
        <w:widowControl w:val="0"/>
        <w:spacing w:line="360" w:lineRule="auto"/>
        <w:rPr>
          <w:rFonts w:ascii="Arial" w:hAnsi="Arial"/>
          <w:sz w:val="24"/>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B3071D" w:rsidRDefault="008769D9"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Declaró </w:t>
      </w:r>
      <w:r w:rsidR="00FB469C">
        <w:rPr>
          <w:rFonts w:ascii="Arial" w:hAnsi="Arial" w:cs="Arial"/>
          <w:sz w:val="24"/>
          <w:szCs w:val="24"/>
        </w:rPr>
        <w:t>improcedente</w:t>
      </w:r>
      <w:r>
        <w:rPr>
          <w:rFonts w:ascii="Arial" w:hAnsi="Arial" w:cs="Arial"/>
          <w:sz w:val="24"/>
          <w:szCs w:val="24"/>
        </w:rPr>
        <w:t xml:space="preserve"> </w:t>
      </w:r>
      <w:r w:rsidR="00FB469C">
        <w:rPr>
          <w:rFonts w:ascii="Arial" w:hAnsi="Arial" w:cs="Arial"/>
          <w:sz w:val="24"/>
          <w:szCs w:val="24"/>
        </w:rPr>
        <w:t xml:space="preserve">la acción porque </w:t>
      </w:r>
      <w:r w:rsidR="004A5B43">
        <w:rPr>
          <w:rFonts w:ascii="Arial" w:hAnsi="Arial" w:cs="Arial"/>
          <w:sz w:val="24"/>
          <w:szCs w:val="24"/>
        </w:rPr>
        <w:t>se incumplió con el requisito de procedibilidad de inmediatez y ninguna justificación se dio para hacer un análisis flexible de esa exigencia</w:t>
      </w:r>
      <w:r w:rsidR="003913E3" w:rsidRPr="00311FCA">
        <w:rPr>
          <w:rFonts w:ascii="Arial" w:hAnsi="Arial" w:cs="Arial"/>
          <w:sz w:val="24"/>
          <w:szCs w:val="24"/>
        </w:rPr>
        <w:t xml:space="preserve"> </w:t>
      </w:r>
      <w:r w:rsidR="003913E3" w:rsidRPr="00B3071D">
        <w:rPr>
          <w:rFonts w:ascii="Arial" w:hAnsi="Arial" w:cs="Arial"/>
          <w:sz w:val="24"/>
          <w:szCs w:val="24"/>
        </w:rPr>
        <w:t>(Folios</w:t>
      </w:r>
      <w:r w:rsidR="004A5B43">
        <w:rPr>
          <w:rFonts w:ascii="Arial" w:hAnsi="Arial" w:cs="Arial"/>
          <w:sz w:val="24"/>
          <w:szCs w:val="24"/>
        </w:rPr>
        <w:t xml:space="preserve"> </w:t>
      </w:r>
      <w:r>
        <w:rPr>
          <w:rFonts w:ascii="Arial" w:hAnsi="Arial"/>
          <w:sz w:val="24"/>
        </w:rPr>
        <w:t>18 a 21</w:t>
      </w:r>
      <w:r w:rsidR="004A5B43">
        <w:rPr>
          <w:rFonts w:ascii="Arial" w:hAnsi="Arial"/>
          <w:sz w:val="24"/>
        </w:rPr>
        <w:t>, ib</w:t>
      </w:r>
      <w:r w:rsidR="006D5F73">
        <w:rPr>
          <w:rFonts w:ascii="Arial" w:hAnsi="Arial"/>
          <w:sz w:val="24"/>
        </w:rPr>
        <w:t>ídem</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Pr="00311FCA" w:rsidRDefault="008769D9"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El </w:t>
      </w:r>
      <w:r w:rsidR="006D5F73">
        <w:rPr>
          <w:rFonts w:ascii="Arial" w:hAnsi="Arial" w:cs="Arial"/>
          <w:sz w:val="24"/>
          <w:szCs w:val="24"/>
        </w:rPr>
        <w:t xml:space="preserve">actor </w:t>
      </w:r>
      <w:r w:rsidR="005770C3">
        <w:rPr>
          <w:rFonts w:ascii="Arial" w:hAnsi="Arial" w:cs="Arial"/>
          <w:sz w:val="24"/>
          <w:szCs w:val="24"/>
        </w:rPr>
        <w:t xml:space="preserve">recurrió porque consideró </w:t>
      </w:r>
      <w:r w:rsidR="006D5F73">
        <w:rPr>
          <w:rFonts w:ascii="Arial" w:hAnsi="Arial" w:cs="Arial"/>
          <w:sz w:val="24"/>
          <w:szCs w:val="24"/>
        </w:rPr>
        <w:t xml:space="preserve">que el riesgo continúa vigente, pues la accionada no ha dado respuesta a la petición </w:t>
      </w:r>
      <w:r w:rsidR="003B677E" w:rsidRPr="00D93FEB">
        <w:rPr>
          <w:rFonts w:ascii="Arial" w:hAnsi="Arial" w:cs="Arial"/>
          <w:sz w:val="24"/>
          <w:szCs w:val="24"/>
        </w:rPr>
        <w:t>(Folio</w:t>
      </w:r>
      <w:r w:rsidR="003D1506">
        <w:rPr>
          <w:rFonts w:ascii="Arial" w:hAnsi="Arial" w:cs="Arial"/>
          <w:sz w:val="24"/>
          <w:szCs w:val="24"/>
        </w:rPr>
        <w:t xml:space="preserve">s </w:t>
      </w:r>
      <w:r w:rsidR="006D5F73">
        <w:rPr>
          <w:rFonts w:ascii="Arial" w:hAnsi="Arial" w:cs="Arial"/>
          <w:sz w:val="24"/>
          <w:szCs w:val="24"/>
        </w:rPr>
        <w:t>28 y 29</w:t>
      </w:r>
      <w:r w:rsidR="003B677E" w:rsidRPr="00D93FEB">
        <w:rPr>
          <w:rFonts w:ascii="Arial" w:hAnsi="Arial" w:cs="Arial"/>
          <w:sz w:val="24"/>
          <w:szCs w:val="24"/>
        </w:rPr>
        <w:t>, ib.)</w:t>
      </w:r>
      <w:r w:rsidR="00E5080E" w:rsidRPr="00D93FEB">
        <w:rPr>
          <w:rFonts w:ascii="Arial" w:hAnsi="Arial" w:cs="Arial"/>
          <w:sz w:val="24"/>
          <w:szCs w:val="24"/>
        </w:rPr>
        <w:t>.</w:t>
      </w: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B942B6">
      <w:pPr>
        <w:pStyle w:val="Textoindependiente"/>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311FCA" w:rsidRDefault="00C65627" w:rsidP="00F839CE">
      <w:pPr>
        <w:spacing w:line="360" w:lineRule="auto"/>
        <w:jc w:val="both"/>
        <w:rPr>
          <w:rFonts w:ascii="Arial" w:hAnsi="Arial" w:cs="Arial"/>
          <w:lang w:val="es-MX"/>
        </w:rPr>
      </w:pPr>
    </w:p>
    <w:p w:rsidR="003913E3"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D1506" w:rsidRPr="00311FCA" w:rsidRDefault="003D1506" w:rsidP="003D1506">
      <w:pPr>
        <w:pStyle w:val="Textoindependiente"/>
        <w:tabs>
          <w:tab w:val="clear" w:pos="0"/>
          <w:tab w:val="clear" w:pos="708"/>
          <w:tab w:val="clear" w:pos="1416"/>
          <w:tab w:val="left" w:pos="567"/>
        </w:tabs>
        <w:spacing w:line="360" w:lineRule="auto"/>
        <w:ind w:left="567"/>
        <w:rPr>
          <w:rFonts w:ascii="Arial" w:hAnsi="Arial" w:cs="Arial"/>
          <w:sz w:val="24"/>
          <w:szCs w:val="24"/>
        </w:rPr>
      </w:pPr>
    </w:p>
    <w:p w:rsidR="008D4074" w:rsidRPr="009963C1" w:rsidRDefault="003913E3" w:rsidP="008D4074">
      <w:pPr>
        <w:pStyle w:val="Textoindependiente"/>
        <w:spacing w:line="360" w:lineRule="auto"/>
        <w:rPr>
          <w:rFonts w:ascii="Arial" w:hAnsi="Arial" w:cs="Arial"/>
          <w:sz w:val="24"/>
          <w:szCs w:val="24"/>
        </w:rPr>
      </w:pPr>
      <w:r w:rsidRPr="00311FCA">
        <w:rPr>
          <w:rFonts w:ascii="Arial" w:hAnsi="Arial" w:cs="Arial"/>
          <w:sz w:val="24"/>
          <w:szCs w:val="24"/>
        </w:rPr>
        <w:t xml:space="preserve">Se cumple la legitimación por activa porque </w:t>
      </w:r>
      <w:r w:rsidR="006D5F73">
        <w:rPr>
          <w:rFonts w:ascii="Arial" w:hAnsi="Arial" w:cs="Arial"/>
          <w:sz w:val="24"/>
          <w:szCs w:val="24"/>
        </w:rPr>
        <w:t xml:space="preserve">el </w:t>
      </w:r>
      <w:r w:rsidR="0083685E">
        <w:rPr>
          <w:rFonts w:ascii="Arial" w:hAnsi="Arial" w:cs="Arial"/>
          <w:sz w:val="24"/>
          <w:szCs w:val="24"/>
        </w:rPr>
        <w:t>señor</w:t>
      </w:r>
      <w:r w:rsidR="003D1506">
        <w:rPr>
          <w:rFonts w:ascii="Arial" w:hAnsi="Arial" w:cs="Arial"/>
          <w:sz w:val="24"/>
          <w:szCs w:val="24"/>
        </w:rPr>
        <w:t xml:space="preserve"> </w:t>
      </w:r>
      <w:r w:rsidR="006D5F73">
        <w:rPr>
          <w:rFonts w:ascii="Arial" w:hAnsi="Arial" w:cs="Arial"/>
          <w:sz w:val="24"/>
          <w:szCs w:val="24"/>
        </w:rPr>
        <w:t xml:space="preserve">Emerio Antonio Rodríguez Jiménez </w:t>
      </w:r>
      <w:r w:rsidR="00BD3AEE">
        <w:rPr>
          <w:rFonts w:ascii="Arial" w:hAnsi="Arial" w:cs="Arial"/>
          <w:sz w:val="24"/>
          <w:szCs w:val="24"/>
        </w:rPr>
        <w:t>suscribió y presentó el derecho de petición ausente de respuesta.</w:t>
      </w:r>
      <w:r w:rsidRPr="00D60BD1">
        <w:rPr>
          <w:rFonts w:ascii="Arial" w:hAnsi="Arial" w:cs="Arial"/>
          <w:sz w:val="24"/>
          <w:szCs w:val="24"/>
        </w:rPr>
        <w:t xml:space="preserve"> </w:t>
      </w:r>
      <w:r w:rsidR="008D4074" w:rsidRPr="00D60BD1">
        <w:rPr>
          <w:rFonts w:ascii="Arial" w:hAnsi="Arial" w:cs="Arial"/>
          <w:sz w:val="24"/>
          <w:szCs w:val="24"/>
        </w:rPr>
        <w:t>En el extremo pasivo,</w:t>
      </w:r>
      <w:r w:rsidR="00D60BD1">
        <w:rPr>
          <w:rFonts w:ascii="Arial" w:hAnsi="Arial" w:cs="Arial"/>
          <w:sz w:val="24"/>
          <w:szCs w:val="24"/>
        </w:rPr>
        <w:t xml:space="preserve"> la</w:t>
      </w:r>
      <w:r w:rsidR="008D4074" w:rsidRPr="00D60BD1">
        <w:rPr>
          <w:rFonts w:ascii="Arial" w:hAnsi="Arial" w:cs="Arial"/>
          <w:sz w:val="24"/>
          <w:szCs w:val="24"/>
        </w:rPr>
        <w:t xml:space="preserve"> </w:t>
      </w:r>
      <w:r w:rsidR="006D5F73">
        <w:rPr>
          <w:rFonts w:ascii="Arial" w:hAnsi="Arial"/>
          <w:sz w:val="24"/>
          <w:szCs w:val="24"/>
        </w:rPr>
        <w:t>Administradora Colombiana de Pensiones -Colpensiones</w:t>
      </w:r>
      <w:r w:rsidR="00D60BD1" w:rsidRPr="00D60BD1">
        <w:rPr>
          <w:rFonts w:ascii="Arial" w:hAnsi="Arial"/>
          <w:sz w:val="24"/>
          <w:szCs w:val="24"/>
        </w:rPr>
        <w:t>-</w:t>
      </w:r>
      <w:r w:rsidR="00D60BD1">
        <w:rPr>
          <w:rFonts w:ascii="Arial" w:hAnsi="Arial"/>
          <w:sz w:val="24"/>
          <w:szCs w:val="24"/>
        </w:rPr>
        <w:t xml:space="preserve">, </w:t>
      </w:r>
      <w:r w:rsidR="009963C1" w:rsidRPr="00D60BD1">
        <w:rPr>
          <w:rFonts w:ascii="Arial" w:hAnsi="Arial" w:cs="Arial"/>
          <w:sz w:val="24"/>
          <w:szCs w:val="24"/>
          <w:lang w:val="es-CO"/>
        </w:rPr>
        <w:t>pue</w:t>
      </w:r>
      <w:r w:rsidR="00D60BD1">
        <w:rPr>
          <w:rFonts w:ascii="Arial" w:hAnsi="Arial" w:cs="Arial"/>
          <w:sz w:val="24"/>
          <w:szCs w:val="24"/>
          <w:lang w:val="es-CO"/>
        </w:rPr>
        <w:t>s</w:t>
      </w:r>
      <w:r w:rsidR="009963C1" w:rsidRPr="00D60BD1">
        <w:rPr>
          <w:rFonts w:ascii="Arial" w:hAnsi="Arial" w:cs="Arial"/>
          <w:sz w:val="24"/>
          <w:szCs w:val="24"/>
          <w:lang w:val="es-CO"/>
        </w:rPr>
        <w:t xml:space="preserve"> </w:t>
      </w:r>
      <w:r w:rsidR="00BD3AEE">
        <w:rPr>
          <w:rFonts w:ascii="Arial" w:hAnsi="Arial" w:cs="Arial"/>
          <w:sz w:val="24"/>
          <w:szCs w:val="24"/>
          <w:lang w:val="es-CO"/>
        </w:rPr>
        <w:t>fue la destinataria de dicha petición</w:t>
      </w:r>
      <w:r w:rsidR="009963C1">
        <w:rPr>
          <w:rFonts w:ascii="Arial" w:hAnsi="Arial" w:cs="Arial"/>
          <w:sz w:val="24"/>
          <w:szCs w:val="24"/>
          <w:lang w:val="es-CO"/>
        </w:rPr>
        <w:t>.</w:t>
      </w:r>
    </w:p>
    <w:p w:rsidR="003913E3" w:rsidRPr="008C4B67"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D60BD1">
        <w:rPr>
          <w:rFonts w:ascii="Arial" w:hAnsi="Arial"/>
          <w:sz w:val="24"/>
        </w:rPr>
        <w:t>Tercero de Familia 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9963C1" w:rsidRDefault="003913E3" w:rsidP="00F839CE">
      <w:pPr>
        <w:pStyle w:val="Textoindependiente"/>
        <w:spacing w:line="360" w:lineRule="auto"/>
        <w:rPr>
          <w:rFonts w:ascii="Arial" w:hAnsi="Arial" w:cs="Arial"/>
          <w:sz w:val="24"/>
          <w:szCs w:val="24"/>
        </w:rPr>
      </w:pPr>
    </w:p>
    <w:p w:rsidR="00AD4071" w:rsidRPr="00AD4071" w:rsidRDefault="003913E3" w:rsidP="00AD4071">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Pr="00F90AB3" w:rsidRDefault="00F90AB3" w:rsidP="00F90AB3">
      <w:pPr>
        <w:pStyle w:val="Textoindependiente"/>
        <w:spacing w:line="360" w:lineRule="auto"/>
        <w:rPr>
          <w:rFonts w:ascii="Arial" w:hAnsi="Arial" w:cs="Arial"/>
          <w:sz w:val="24"/>
          <w:szCs w:val="24"/>
        </w:rPr>
      </w:pPr>
    </w:p>
    <w:p w:rsidR="00117D2E" w:rsidRPr="00CF128F" w:rsidRDefault="00AD4071" w:rsidP="00AD4071">
      <w:pPr>
        <w:pStyle w:val="Textoindependiente"/>
        <w:spacing w:line="360" w:lineRule="auto"/>
        <w:rPr>
          <w:rFonts w:ascii="Arial" w:hAnsi="Arial" w:cs="Arial"/>
          <w:sz w:val="24"/>
          <w:szCs w:val="24"/>
        </w:rPr>
      </w:pPr>
      <w:r>
        <w:rPr>
          <w:rFonts w:ascii="Arial" w:hAnsi="Arial" w:cs="Arial"/>
          <w:sz w:val="24"/>
          <w:szCs w:val="24"/>
        </w:rPr>
        <w:t xml:space="preserve">7.4.1. </w:t>
      </w:r>
      <w:r w:rsidR="00117D2E" w:rsidRPr="00CF128F">
        <w:rPr>
          <w:rFonts w:ascii="Arial" w:hAnsi="Arial" w:cs="Arial"/>
          <w:sz w:val="24"/>
          <w:szCs w:val="24"/>
        </w:rPr>
        <w:t>Los requisitos de procedencia de la acción: inmediatez y subsidiariedad</w:t>
      </w:r>
    </w:p>
    <w:p w:rsidR="00117D2E" w:rsidRDefault="00117D2E" w:rsidP="00117D2E">
      <w:pPr>
        <w:spacing w:line="360" w:lineRule="auto"/>
        <w:jc w:val="both"/>
        <w:rPr>
          <w:rFonts w:ascii="Arial" w:hAnsi="Arial" w:cs="Arial"/>
          <w:noProof/>
          <w:lang w:val="es-ES_tradnl"/>
        </w:rPr>
      </w:pPr>
    </w:p>
    <w:p w:rsidR="00117D2E" w:rsidRPr="0098589D" w:rsidRDefault="00117D2E" w:rsidP="00117D2E">
      <w:pPr>
        <w:spacing w:line="360" w:lineRule="auto"/>
        <w:jc w:val="both"/>
        <w:rPr>
          <w:rFonts w:ascii="Arial" w:hAnsi="Arial" w:cs="Arial"/>
        </w:rPr>
      </w:pPr>
      <w:r w:rsidRPr="00F31B69">
        <w:rPr>
          <w:rFonts w:ascii="Arial" w:hAnsi="Arial" w:cs="Arial"/>
          <w:noProof/>
          <w:lang w:val="es-ES_tradnl"/>
        </w:rPr>
        <w:t>N</w:t>
      </w:r>
      <w:r w:rsidRPr="0098589D">
        <w:rPr>
          <w:rFonts w:ascii="Arial" w:hAnsi="Arial" w:cs="Arial"/>
          <w:noProof/>
        </w:rPr>
        <w:t xml:space="preserve">uestra Corte Constitucional tiene establecido que la subsidiariedad e inmediatez, son exigencias generales de procedencia de la acción de tutela, ha sido tradicionalmente una condición necesaria para el conocimiento de fondo de las solicitudes de protección de derechos fundamentales, por vía excepcional.  </w:t>
      </w:r>
      <w:r w:rsidRPr="0098589D">
        <w:rPr>
          <w:rFonts w:ascii="Arial" w:hAnsi="Arial" w:cs="Arial"/>
        </w:rPr>
        <w:t xml:space="preserve">Se considera también que es </w:t>
      </w:r>
      <w:r w:rsidR="00B66B8E">
        <w:rPr>
          <w:rFonts w:ascii="Arial" w:hAnsi="Arial" w:cs="Arial"/>
        </w:rPr>
        <w:t xml:space="preserve">vía </w:t>
      </w:r>
      <w:r w:rsidRPr="0098589D">
        <w:rPr>
          <w:rFonts w:ascii="Arial" w:hAnsi="Arial" w:cs="Arial"/>
        </w:rPr>
        <w:t>procesal supletori</w:t>
      </w:r>
      <w:r w:rsidR="00B66B8E">
        <w:rPr>
          <w:rFonts w:ascii="Arial" w:hAnsi="Arial" w:cs="Arial"/>
        </w:rPr>
        <w:t>a</w:t>
      </w:r>
      <w:r w:rsidRPr="0098589D">
        <w:rPr>
          <w:rFonts w:ascii="Arial" w:hAnsi="Arial" w:cs="Arial"/>
        </w:rPr>
        <w:t xml:space="preserve"> de los me</w:t>
      </w:r>
      <w:r w:rsidR="00B66B8E">
        <w:rPr>
          <w:rFonts w:ascii="Arial" w:hAnsi="Arial" w:cs="Arial"/>
        </w:rPr>
        <w:t xml:space="preserve">dios </w:t>
      </w:r>
      <w:r w:rsidR="00B66B8E" w:rsidRPr="0098589D">
        <w:rPr>
          <w:rFonts w:ascii="Arial" w:hAnsi="Arial" w:cs="Arial"/>
        </w:rPr>
        <w:t>habituales</w:t>
      </w:r>
      <w:r w:rsidRPr="0098589D">
        <w:rPr>
          <w:rFonts w:ascii="Arial" w:hAnsi="Arial" w:cs="Arial"/>
        </w:rPr>
        <w:t>, frente a la falta de idoneidad del mecanismo ordinario de protección, circunstancia ligada a la inminencia del perjuicio irremediable.  Evento en el cual su carácter protector permite convertirlo en herramienta transitoria de amparo.</w:t>
      </w:r>
    </w:p>
    <w:p w:rsidR="00117D2E" w:rsidRDefault="00117D2E" w:rsidP="00117D2E">
      <w:pPr>
        <w:spacing w:line="360" w:lineRule="auto"/>
        <w:jc w:val="both"/>
        <w:rPr>
          <w:rFonts w:ascii="Arial" w:hAnsi="Arial" w:cs="Arial"/>
        </w:rPr>
      </w:pPr>
    </w:p>
    <w:p w:rsidR="00117D2E" w:rsidRDefault="00117D2E" w:rsidP="00117D2E">
      <w:pPr>
        <w:spacing w:line="360" w:lineRule="auto"/>
        <w:jc w:val="both"/>
        <w:rPr>
          <w:rFonts w:ascii="Arial" w:hAnsi="Arial" w:cs="Arial"/>
        </w:rPr>
      </w:pPr>
      <w:r>
        <w:rPr>
          <w:rFonts w:ascii="Arial" w:hAnsi="Arial" w:cs="Arial"/>
        </w:rPr>
        <w:t>7.4.2. La inmediatez</w:t>
      </w:r>
    </w:p>
    <w:p w:rsidR="00117D2E" w:rsidRPr="0098589D" w:rsidRDefault="00117D2E" w:rsidP="00117D2E">
      <w:pPr>
        <w:spacing w:line="360" w:lineRule="auto"/>
        <w:jc w:val="both"/>
        <w:rPr>
          <w:rFonts w:ascii="Arial" w:hAnsi="Arial" w:cs="Arial"/>
        </w:rPr>
      </w:pPr>
    </w:p>
    <w:p w:rsidR="00117D2E" w:rsidRDefault="00117D2E" w:rsidP="00117D2E">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1"/>
      </w:r>
      <w:r w:rsidRPr="0098589D">
        <w:rPr>
          <w:rFonts w:ascii="Arial" w:hAnsi="Arial" w:cs="Arial"/>
        </w:rPr>
        <w:t>, y también de la Corte Suprema de Justicia</w:t>
      </w:r>
      <w:r w:rsidRPr="0098589D">
        <w:rPr>
          <w:rStyle w:val="Refdenotaalpie"/>
          <w:rFonts w:ascii="Calibri" w:hAnsi="Calibri" w:cs="Calibri"/>
        </w:rPr>
        <w:footnoteReference w:id="2"/>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117D2E" w:rsidRPr="0098589D" w:rsidRDefault="00117D2E" w:rsidP="00117D2E">
      <w:pPr>
        <w:spacing w:line="360" w:lineRule="auto"/>
        <w:jc w:val="both"/>
        <w:rPr>
          <w:rFonts w:ascii="Arial" w:hAnsi="Arial" w:cs="Arial"/>
          <w:u w:val="single"/>
        </w:rPr>
      </w:pPr>
    </w:p>
    <w:p w:rsidR="00117D2E" w:rsidRPr="006D5F73" w:rsidRDefault="00117D2E" w:rsidP="00117D2E">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Habida consideración de la significación del principio de inmediatez, ha concluido en recientes decisiones nuestro Alto Tribunal</w:t>
      </w:r>
      <w:r w:rsidRPr="006D5F73">
        <w:rPr>
          <w:rFonts w:ascii="Arial" w:hAnsi="Arial" w:cs="Arial"/>
        </w:rPr>
        <w:t xml:space="preserve">, que la “OPORTUNIDAD”, </w:t>
      </w:r>
      <w:r w:rsidRPr="006D5F73">
        <w:rPr>
          <w:rFonts w:ascii="Arial" w:hAnsi="Arial" w:cs="Arial"/>
          <w:u w:val="single"/>
        </w:rPr>
        <w:t>es un requisito de procedibilidad esencial para el ejercicio del amparo constitucional</w:t>
      </w:r>
      <w:r w:rsidRPr="006D5F73">
        <w:rPr>
          <w:rStyle w:val="Refdenotaalpie"/>
          <w:rFonts w:ascii="Calibri" w:hAnsi="Calibri" w:cs="Calibri"/>
        </w:rPr>
        <w:footnoteReference w:id="3"/>
      </w:r>
      <w:r w:rsidRPr="006D5F73">
        <w:rPr>
          <w:rFonts w:ascii="Arial" w:hAnsi="Arial" w:cs="Arial"/>
        </w:rPr>
        <w:t>. Así mismo lo ha señalado la Corte Suprema de Justicia en sus Salas de Casación Penal</w:t>
      </w:r>
      <w:r w:rsidRPr="006D5F73">
        <w:rPr>
          <w:rStyle w:val="Refdenotaalpie"/>
          <w:rFonts w:ascii="Arial" w:hAnsi="Arial"/>
        </w:rPr>
        <w:footnoteReference w:id="4"/>
      </w:r>
      <w:r w:rsidRPr="006D5F73">
        <w:rPr>
          <w:rFonts w:ascii="Arial" w:hAnsi="Arial" w:cs="Arial"/>
        </w:rPr>
        <w:t xml:space="preserve"> y de Casación Civil</w:t>
      </w:r>
      <w:r w:rsidR="00106AD1" w:rsidRPr="006D5F73">
        <w:rPr>
          <w:rStyle w:val="Refdenotaalpie"/>
          <w:rFonts w:ascii="Arial" w:hAnsi="Arial" w:cs="Arial"/>
        </w:rPr>
        <w:footnoteReference w:id="5"/>
      </w:r>
      <w:r w:rsidRPr="006D5F73">
        <w:rPr>
          <w:rFonts w:ascii="Arial" w:hAnsi="Arial" w:cs="Arial"/>
        </w:rPr>
        <w:t xml:space="preserve"> que en reciente providencia señaló: </w:t>
      </w:r>
    </w:p>
    <w:p w:rsidR="00117D2E" w:rsidRPr="006D5F73" w:rsidRDefault="00117D2E" w:rsidP="00117D2E">
      <w:pPr>
        <w:spacing w:line="360" w:lineRule="auto"/>
        <w:ind w:right="22"/>
        <w:jc w:val="both"/>
        <w:rPr>
          <w:rFonts w:ascii="Arial" w:hAnsi="Arial" w:cs="Arial"/>
        </w:rPr>
      </w:pPr>
    </w:p>
    <w:p w:rsidR="00117D2E" w:rsidRPr="006D5F73" w:rsidRDefault="00117D2E" w:rsidP="00117D2E">
      <w:pPr>
        <w:pStyle w:val="Sangradetextonormal"/>
        <w:spacing w:after="0"/>
        <w:ind w:left="567" w:right="567"/>
        <w:jc w:val="both"/>
        <w:rPr>
          <w:rFonts w:ascii="Arial" w:hAnsi="Arial" w:cs="Arial"/>
        </w:rPr>
      </w:pPr>
      <w:r w:rsidRPr="006D5F73">
        <w:rPr>
          <w:rFonts w:ascii="Arial" w:hAnsi="Arial" w:cs="Arial"/>
        </w:rPr>
        <w:t>5. Ahora bien centrada</w:t>
      </w:r>
      <w:r w:rsidRPr="006D5F73">
        <w:rPr>
          <w:rStyle w:val="apple-converted-space"/>
          <w:rFonts w:ascii="Arial" w:hAnsi="Arial" w:cs="Arial"/>
        </w:rPr>
        <w:t> </w:t>
      </w:r>
      <w:r w:rsidRPr="006D5F73">
        <w:rPr>
          <w:rFonts w:ascii="Arial" w:hAnsi="Arial" w:cs="Arial"/>
        </w:rPr>
        <w:t>la Corte</w:t>
      </w:r>
      <w:r w:rsidRPr="006D5F73">
        <w:rPr>
          <w:rStyle w:val="apple-converted-space"/>
          <w:rFonts w:ascii="Arial" w:hAnsi="Arial" w:cs="Arial"/>
        </w:rPr>
        <w:t> </w:t>
      </w:r>
      <w:r w:rsidRPr="006D5F73">
        <w:rPr>
          <w:rFonts w:ascii="Arial" w:hAnsi="Arial" w:cs="Arial"/>
        </w:rPr>
        <w:t xml:space="preserve">en la inconformidad de la impugnante, se observa que la falta de legitimación del agente oficioso, invocada en el fallo impugnado para denegarlo, fue superada al ser coadyuvada por la progenitora de este, no obstante, la petición de amparo resulta improcedente, toda vez que 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6D5F73">
        <w:rPr>
          <w:rFonts w:ascii="Arial" w:hAnsi="Arial" w:cs="Arial"/>
          <w:u w:val="single"/>
        </w:rPr>
        <w:t>tiempo superior al establecido por esta Corporación (seis meses)</w:t>
      </w:r>
      <w:r w:rsidRPr="006D5F73">
        <w:rPr>
          <w:rFonts w:ascii="Arial" w:hAnsi="Arial" w:cs="Arial"/>
        </w:rPr>
        <w:t>, para suplicar la protección constitucional, lo cual desvirtúa, por si sólo, el carácter urgente e impostergable del resguardo implorado. Sublínea de esta sala.</w:t>
      </w:r>
    </w:p>
    <w:p w:rsidR="00117D2E" w:rsidRPr="006D5F73" w:rsidRDefault="00117D2E" w:rsidP="00117D2E">
      <w:pPr>
        <w:spacing w:line="360" w:lineRule="auto"/>
        <w:ind w:right="22"/>
        <w:jc w:val="both"/>
        <w:rPr>
          <w:rFonts w:ascii="Arial" w:hAnsi="Arial" w:cs="Arial"/>
        </w:rPr>
      </w:pPr>
    </w:p>
    <w:p w:rsidR="00117D2E" w:rsidRPr="006D5F73" w:rsidRDefault="00117D2E" w:rsidP="00117D2E">
      <w:pPr>
        <w:spacing w:line="360" w:lineRule="auto"/>
        <w:ind w:right="22"/>
        <w:jc w:val="both"/>
        <w:rPr>
          <w:rFonts w:ascii="Arial" w:hAnsi="Arial" w:cs="Arial"/>
        </w:rPr>
      </w:pPr>
      <w:r w:rsidRPr="006D5F73">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117D2E" w:rsidRPr="006D5F73" w:rsidRDefault="00117D2E" w:rsidP="00117D2E">
      <w:pPr>
        <w:spacing w:line="360" w:lineRule="auto"/>
        <w:ind w:right="22"/>
        <w:jc w:val="both"/>
        <w:rPr>
          <w:rFonts w:ascii="Arial" w:hAnsi="Arial" w:cs="Arial"/>
        </w:rPr>
      </w:pPr>
    </w:p>
    <w:p w:rsidR="00117D2E" w:rsidRPr="006D5F73" w:rsidRDefault="00117D2E" w:rsidP="00117D2E">
      <w:pPr>
        <w:spacing w:line="360" w:lineRule="auto"/>
        <w:ind w:right="22"/>
        <w:jc w:val="both"/>
        <w:rPr>
          <w:rFonts w:ascii="Arial" w:hAnsi="Arial" w:cs="Arial"/>
        </w:rPr>
      </w:pPr>
      <w:r w:rsidRPr="006D5F73">
        <w:rPr>
          <w:rFonts w:ascii="Arial" w:hAnsi="Arial" w:cs="Arial"/>
        </w:rPr>
        <w:t>Los aspectos acabados de reseñar, fueron precisados en una decisión del 2006 de la Corte Constitucional</w:t>
      </w:r>
      <w:r w:rsidRPr="006D5F73">
        <w:rPr>
          <w:rStyle w:val="Refdenotaalpie"/>
          <w:rFonts w:ascii="Arial" w:hAnsi="Arial" w:cs="Arial"/>
        </w:rPr>
        <w:footnoteReference w:id="6"/>
      </w:r>
      <w:r w:rsidRPr="006D5F73">
        <w:rPr>
          <w:rFonts w:ascii="Arial" w:hAnsi="Arial" w:cs="Arial"/>
        </w:rPr>
        <w:t>, con apoyo en un precedente anterior de 2003</w:t>
      </w:r>
      <w:r w:rsidRPr="006D5F73">
        <w:rPr>
          <w:rStyle w:val="Refdenotaalpie"/>
          <w:rFonts w:ascii="Arial" w:hAnsi="Arial" w:cs="Arial"/>
        </w:rPr>
        <w:footnoteReference w:id="7"/>
      </w:r>
      <w:r w:rsidRPr="006D5F73">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sidRPr="006D5F73">
        <w:rPr>
          <w:rStyle w:val="Refdenotaalpie"/>
          <w:rFonts w:ascii="Arial" w:hAnsi="Arial" w:cs="Arial"/>
        </w:rPr>
        <w:footnoteReference w:id="8"/>
      </w:r>
      <w:r w:rsidRPr="006D5F73">
        <w:rPr>
          <w:rFonts w:ascii="Arial" w:hAnsi="Arial" w:cs="Arial"/>
        </w:rPr>
        <w:t>.</w:t>
      </w:r>
    </w:p>
    <w:p w:rsidR="00117D2E" w:rsidRPr="006D5F73" w:rsidRDefault="00117D2E" w:rsidP="00117D2E">
      <w:pPr>
        <w:spacing w:line="360" w:lineRule="auto"/>
        <w:ind w:right="22"/>
        <w:jc w:val="both"/>
        <w:rPr>
          <w:rFonts w:ascii="Arial" w:hAnsi="Arial" w:cs="Arial"/>
        </w:rPr>
      </w:pPr>
    </w:p>
    <w:p w:rsidR="00117D2E" w:rsidRPr="006D5F73" w:rsidRDefault="00117D2E" w:rsidP="00117D2E">
      <w:pPr>
        <w:spacing w:line="360" w:lineRule="auto"/>
        <w:jc w:val="both"/>
        <w:rPr>
          <w:rFonts w:ascii="Arial" w:hAnsi="Arial" w:cs="Arial"/>
          <w:lang w:val="es-ES_tradnl"/>
        </w:rPr>
      </w:pPr>
      <w:r w:rsidRPr="006D5F73">
        <w:rPr>
          <w:rFonts w:ascii="Arial" w:hAnsi="Arial" w:cs="Arial"/>
          <w:lang w:val="es-ES_tradnl"/>
        </w:rPr>
        <w:t>En reciente providencia</w:t>
      </w:r>
      <w:r w:rsidRPr="006D5F73">
        <w:rPr>
          <w:rStyle w:val="Refdenotaalpie"/>
          <w:rFonts w:ascii="Arial" w:hAnsi="Arial" w:cs="Arial"/>
          <w:lang w:val="es-ES_tradnl"/>
        </w:rPr>
        <w:footnoteReference w:id="9"/>
      </w:r>
      <w:r w:rsidR="007E1963" w:rsidRPr="006D5F73">
        <w:rPr>
          <w:rFonts w:ascii="Arial" w:hAnsi="Arial" w:cs="Arial"/>
          <w:lang w:val="es-ES_tradnl"/>
        </w:rPr>
        <w:t xml:space="preserve"> (2015</w:t>
      </w:r>
      <w:r w:rsidRPr="006D5F73">
        <w:rPr>
          <w:rFonts w:ascii="Arial" w:hAnsi="Arial" w:cs="Arial"/>
          <w:lang w:val="es-ES_tradnl"/>
        </w:rPr>
        <w:t>) nuestro órgano de cierre en la especialidad constitucional, ratificó el pensamiento traído en su larga línea jurisprudencial, y resaltó las razones que fundamenta el factor “inmediatez” como presupuesto de procedibilidad, así acotó:</w:t>
      </w:r>
    </w:p>
    <w:p w:rsidR="00117D2E" w:rsidRPr="006D5F73" w:rsidRDefault="00117D2E" w:rsidP="00117D2E">
      <w:pPr>
        <w:ind w:left="567"/>
        <w:jc w:val="both"/>
        <w:rPr>
          <w:rFonts w:ascii="Arial" w:hAnsi="Arial" w:cs="Arial"/>
          <w:lang w:val="es-ES_tradnl"/>
        </w:rPr>
      </w:pPr>
    </w:p>
    <w:p w:rsidR="007E1963" w:rsidRPr="006D5F73" w:rsidRDefault="007E1963" w:rsidP="007E1963">
      <w:pPr>
        <w:tabs>
          <w:tab w:val="left" w:pos="1979"/>
        </w:tabs>
        <w:ind w:left="567" w:right="567"/>
        <w:jc w:val="both"/>
        <w:rPr>
          <w:rFonts w:ascii="Arial" w:hAnsi="Arial" w:cs="Arial"/>
          <w:sz w:val="28"/>
          <w:lang w:val="es-ES_tradnl"/>
        </w:rPr>
      </w:pPr>
      <w:r w:rsidRPr="006D5F73">
        <w:rPr>
          <w:rFonts w:ascii="Arial" w:hAnsi="Arial" w:cs="Arial"/>
          <w:szCs w:val="28"/>
          <w:shd w:val="clear" w:color="auto" w:fill="FFFFFF"/>
        </w:rPr>
        <w:t xml:space="preserve">… la Corte reiteró que la </w:t>
      </w:r>
      <w:r w:rsidRPr="006D5F73">
        <w:rPr>
          <w:rFonts w:ascii="Arial" w:hAnsi="Arial" w:cs="Arial"/>
          <w:szCs w:val="28"/>
          <w:u w:val="single"/>
          <w:shd w:val="clear" w:color="auto" w:fill="FFFFFF"/>
        </w:rPr>
        <w:t>exigencia de presentar la acción de tutela en un término razonable, se debe a la necesidad de</w:t>
      </w:r>
      <w:r w:rsidRPr="006D5F73">
        <w:rPr>
          <w:rFonts w:ascii="Arial" w:hAnsi="Arial" w:cs="Arial"/>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supletiva de la propia negligencia en la agencia de los derechos. </w:t>
      </w:r>
    </w:p>
    <w:p w:rsidR="007E1963" w:rsidRPr="006D5F73" w:rsidRDefault="007E1963" w:rsidP="007E1963">
      <w:pPr>
        <w:pStyle w:val="Textoindependiente"/>
        <w:spacing w:line="240" w:lineRule="auto"/>
        <w:ind w:left="567" w:right="567"/>
        <w:rPr>
          <w:rFonts w:ascii="Arial" w:hAnsi="Arial" w:cs="Arial"/>
          <w:sz w:val="22"/>
          <w:szCs w:val="24"/>
        </w:rPr>
      </w:pPr>
    </w:p>
    <w:p w:rsidR="007E1963" w:rsidRPr="006D5F73" w:rsidRDefault="007E1963" w:rsidP="007E1963">
      <w:pPr>
        <w:pStyle w:val="Textoindependiente"/>
        <w:spacing w:line="240" w:lineRule="auto"/>
        <w:ind w:left="567" w:right="567"/>
        <w:rPr>
          <w:rFonts w:ascii="Arial" w:hAnsi="Arial" w:cs="Arial"/>
          <w:sz w:val="22"/>
          <w:szCs w:val="24"/>
        </w:rPr>
      </w:pPr>
      <w:r w:rsidRPr="006D5F73">
        <w:rPr>
          <w:rFonts w:ascii="Arial" w:hAnsi="Arial" w:cs="Arial"/>
          <w:sz w:val="22"/>
          <w:szCs w:val="24"/>
        </w:rPr>
        <w:t xml:space="preserve">(…) </w:t>
      </w:r>
    </w:p>
    <w:p w:rsidR="007E1963" w:rsidRPr="006D5F73" w:rsidRDefault="007E1963" w:rsidP="007E1963">
      <w:pPr>
        <w:pStyle w:val="Textoindependiente"/>
        <w:spacing w:line="240" w:lineRule="auto"/>
        <w:ind w:left="567" w:right="567"/>
        <w:rPr>
          <w:rFonts w:ascii="Arial" w:hAnsi="Arial" w:cs="Arial"/>
          <w:sz w:val="22"/>
          <w:szCs w:val="24"/>
        </w:rPr>
      </w:pPr>
    </w:p>
    <w:p w:rsidR="00FC7750" w:rsidRPr="006D5F73" w:rsidRDefault="007E1963" w:rsidP="00FC7750">
      <w:pPr>
        <w:tabs>
          <w:tab w:val="left" w:pos="1979"/>
        </w:tabs>
        <w:ind w:left="567" w:right="567"/>
        <w:jc w:val="both"/>
        <w:rPr>
          <w:rFonts w:ascii="Arial" w:hAnsi="Arial" w:cs="Arial"/>
          <w:sz w:val="28"/>
          <w:lang w:val="es-ES_tradnl"/>
        </w:rPr>
      </w:pPr>
      <w:r w:rsidRPr="006D5F73">
        <w:rPr>
          <w:rFonts w:ascii="Arial" w:hAnsi="Arial" w:cs="Arial"/>
          <w:szCs w:val="28"/>
          <w:shd w:val="clear" w:color="auto" w:fill="FFFFFF"/>
        </w:rPr>
        <w:t>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w:t>
      </w:r>
      <w:r w:rsidR="00FC7750" w:rsidRPr="006D5F73">
        <w:rPr>
          <w:rFonts w:ascii="Arial" w:hAnsi="Arial" w:cs="Arial"/>
          <w:szCs w:val="28"/>
          <w:shd w:val="clear" w:color="auto" w:fill="FFFFFF"/>
        </w:rPr>
        <w:t xml:space="preserve"> </w:t>
      </w:r>
      <w:r w:rsidR="00FC7750" w:rsidRPr="006D5F73">
        <w:rPr>
          <w:rFonts w:ascii="Arial" w:hAnsi="Arial" w:cs="Arial"/>
          <w:lang w:val="es-CO"/>
        </w:rPr>
        <w:t>La sublínea de este Tribunal.</w:t>
      </w:r>
    </w:p>
    <w:p w:rsidR="007E1963" w:rsidRPr="006D5F73" w:rsidRDefault="007E1963" w:rsidP="006D5F73">
      <w:pPr>
        <w:widowControl/>
        <w:shd w:val="clear" w:color="auto" w:fill="FFFFFF"/>
        <w:autoSpaceDE/>
        <w:autoSpaceDN/>
        <w:adjustRightInd/>
        <w:spacing w:line="360" w:lineRule="auto"/>
        <w:ind w:left="567" w:right="567"/>
        <w:jc w:val="both"/>
        <w:textAlignment w:val="baseline"/>
        <w:rPr>
          <w:rFonts w:ascii="Arial" w:hAnsi="Arial" w:cs="Arial"/>
          <w:szCs w:val="28"/>
          <w:shd w:val="clear" w:color="auto" w:fill="FFFFFF"/>
        </w:rPr>
      </w:pPr>
    </w:p>
    <w:p w:rsidR="009565CF" w:rsidRPr="006A6927" w:rsidRDefault="009565CF" w:rsidP="006D5F73">
      <w:pPr>
        <w:pStyle w:val="Textoindependiente"/>
        <w:spacing w:line="360" w:lineRule="auto"/>
        <w:rPr>
          <w:rFonts w:ascii="Arial" w:hAnsi="Arial" w:cs="Arial"/>
          <w:sz w:val="24"/>
          <w:szCs w:val="24"/>
        </w:rPr>
      </w:pPr>
    </w:p>
    <w:p w:rsidR="002F2011" w:rsidRPr="007E1963" w:rsidRDefault="002F2011" w:rsidP="002F2011">
      <w:pPr>
        <w:pStyle w:val="Prrafodelista"/>
        <w:numPr>
          <w:ilvl w:val="0"/>
          <w:numId w:val="18"/>
        </w:numPr>
        <w:spacing w:line="360" w:lineRule="auto"/>
        <w:jc w:val="both"/>
        <w:rPr>
          <w:rFonts w:ascii="Arial" w:hAnsi="Arial" w:cs="Arial"/>
          <w:sz w:val="24"/>
          <w:szCs w:val="24"/>
        </w:rPr>
      </w:pPr>
      <w:r w:rsidRPr="007E1963">
        <w:rPr>
          <w:rFonts w:ascii="Arial" w:hAnsi="Arial" w:cs="Arial"/>
          <w:sz w:val="24"/>
          <w:szCs w:val="24"/>
        </w:rPr>
        <w:t>EL CASO CONCRETO MATERIA DE ANÁLISIS</w:t>
      </w:r>
    </w:p>
    <w:p w:rsidR="002F2011" w:rsidRDefault="002F2011" w:rsidP="002F2011">
      <w:pPr>
        <w:pStyle w:val="Prrafodelista"/>
        <w:spacing w:after="0" w:line="360" w:lineRule="auto"/>
        <w:ind w:left="390"/>
        <w:jc w:val="both"/>
        <w:rPr>
          <w:rFonts w:ascii="Arial" w:hAnsi="Arial" w:cs="Arial"/>
          <w:sz w:val="24"/>
          <w:szCs w:val="24"/>
        </w:rPr>
      </w:pPr>
    </w:p>
    <w:p w:rsidR="00BB1123" w:rsidRPr="006D5F73" w:rsidRDefault="00C54653" w:rsidP="00C54653">
      <w:pPr>
        <w:spacing w:line="360" w:lineRule="auto"/>
        <w:ind w:right="51"/>
        <w:jc w:val="both"/>
        <w:rPr>
          <w:rFonts w:ascii="Arial" w:hAnsi="Arial" w:cs="Arial"/>
          <w:lang w:val="es-ES_tradnl"/>
        </w:rPr>
      </w:pPr>
      <w:r w:rsidRPr="006D5F73">
        <w:rPr>
          <w:rFonts w:ascii="Arial" w:hAnsi="Arial" w:cs="Arial"/>
          <w:lang w:val="es-ES_tradnl"/>
        </w:rPr>
        <w:t>A</w:t>
      </w:r>
      <w:r w:rsidR="00CD1C29" w:rsidRPr="006D5F73">
        <w:rPr>
          <w:rFonts w:ascii="Arial" w:hAnsi="Arial" w:cs="Arial"/>
          <w:lang w:val="es-ES_tradnl"/>
        </w:rPr>
        <w:t>corde con</w:t>
      </w:r>
      <w:r w:rsidRPr="006D5F73">
        <w:rPr>
          <w:rFonts w:ascii="Arial" w:hAnsi="Arial" w:cs="Arial"/>
          <w:lang w:val="es-ES_tradnl"/>
        </w:rPr>
        <w:t xml:space="preserve"> </w:t>
      </w:r>
      <w:r w:rsidR="00CD1C29" w:rsidRPr="006D5F73">
        <w:rPr>
          <w:rFonts w:ascii="Arial" w:hAnsi="Arial" w:cs="Arial"/>
          <w:shd w:val="clear" w:color="auto" w:fill="FFFFFF"/>
        </w:rPr>
        <w:t>los fundamentos jurisprudenciales precitados y lo probado en el asunto</w:t>
      </w:r>
      <w:r w:rsidRPr="006D5F73">
        <w:rPr>
          <w:rFonts w:ascii="Arial" w:hAnsi="Arial" w:cs="Arial"/>
          <w:lang w:val="es-ES_tradnl"/>
        </w:rPr>
        <w:t xml:space="preserve">, </w:t>
      </w:r>
      <w:r w:rsidR="00CD1C29" w:rsidRPr="006D5F73">
        <w:rPr>
          <w:rFonts w:ascii="Arial" w:hAnsi="Arial" w:cs="Arial"/>
          <w:lang w:val="es-ES_tradnl"/>
        </w:rPr>
        <w:t>habrá</w:t>
      </w:r>
      <w:r w:rsidRPr="006D5F73">
        <w:rPr>
          <w:rFonts w:ascii="Arial" w:hAnsi="Arial" w:cs="Arial"/>
          <w:lang w:val="es-ES_tradnl"/>
        </w:rPr>
        <w:t xml:space="preserve"> confirmarse la sentencia de primer grado por cuanto</w:t>
      </w:r>
      <w:r w:rsidR="00BA7461" w:rsidRPr="006D5F73">
        <w:rPr>
          <w:rFonts w:ascii="Arial" w:hAnsi="Arial" w:cs="Arial"/>
          <w:lang w:val="es-ES_tradnl"/>
        </w:rPr>
        <w:t xml:space="preserve"> </w:t>
      </w:r>
      <w:r w:rsidR="00291B96" w:rsidRPr="006D5F73">
        <w:rPr>
          <w:rFonts w:ascii="Arial" w:hAnsi="Arial" w:cs="Arial"/>
          <w:lang w:val="es-ES_tradnl"/>
        </w:rPr>
        <w:t xml:space="preserve">luce evidente </w:t>
      </w:r>
      <w:r w:rsidR="00BA7461" w:rsidRPr="006D5F73">
        <w:rPr>
          <w:rFonts w:ascii="Arial" w:hAnsi="Arial" w:cs="Arial"/>
          <w:lang w:val="es-ES_tradnl"/>
        </w:rPr>
        <w:t>el incumplimiento del requisito general de procedibilidad de la inmediatez.</w:t>
      </w:r>
      <w:r w:rsidR="00BB1123" w:rsidRPr="006D5F73">
        <w:rPr>
          <w:rFonts w:ascii="Arial" w:hAnsi="Arial" w:cs="Arial"/>
          <w:lang w:val="es-ES_tradnl"/>
        </w:rPr>
        <w:t xml:space="preserve"> </w:t>
      </w:r>
    </w:p>
    <w:p w:rsidR="00CE32AE" w:rsidRPr="006D5F73" w:rsidRDefault="00CE32AE" w:rsidP="00C54653">
      <w:pPr>
        <w:spacing w:line="360" w:lineRule="auto"/>
        <w:ind w:right="51"/>
        <w:jc w:val="both"/>
        <w:rPr>
          <w:rFonts w:ascii="Arial" w:hAnsi="Arial"/>
          <w:szCs w:val="22"/>
          <w:lang w:val="es-ES_tradnl"/>
        </w:rPr>
      </w:pPr>
    </w:p>
    <w:p w:rsidR="00291B96" w:rsidRDefault="00291B96" w:rsidP="00291B96">
      <w:pPr>
        <w:spacing w:line="360" w:lineRule="auto"/>
        <w:jc w:val="both"/>
        <w:rPr>
          <w:rFonts w:ascii="Arial" w:hAnsi="Arial" w:cs="Arial"/>
        </w:rPr>
      </w:pPr>
      <w:r>
        <w:rPr>
          <w:rFonts w:ascii="Arial" w:hAnsi="Arial" w:cs="Arial"/>
        </w:rPr>
        <w:t xml:space="preserve">Se observa, que el derecho de petición fue </w:t>
      </w:r>
      <w:r w:rsidR="008028C5">
        <w:rPr>
          <w:rFonts w:ascii="Arial" w:hAnsi="Arial" w:cs="Arial"/>
        </w:rPr>
        <w:t xml:space="preserve">radicado </w:t>
      </w:r>
      <w:r>
        <w:rPr>
          <w:rFonts w:ascii="Arial" w:hAnsi="Arial" w:cs="Arial"/>
        </w:rPr>
        <w:t xml:space="preserve">el </w:t>
      </w:r>
      <w:r w:rsidR="008028C5">
        <w:rPr>
          <w:rFonts w:ascii="Arial" w:hAnsi="Arial" w:cs="Arial"/>
        </w:rPr>
        <w:t xml:space="preserve">08-01-2015 </w:t>
      </w:r>
      <w:r>
        <w:rPr>
          <w:rFonts w:ascii="Arial" w:hAnsi="Arial" w:cs="Arial"/>
        </w:rPr>
        <w:t xml:space="preserve">(Folio </w:t>
      </w:r>
      <w:r w:rsidR="008028C5">
        <w:rPr>
          <w:rFonts w:ascii="Arial" w:hAnsi="Arial" w:cs="Arial"/>
        </w:rPr>
        <w:t>2</w:t>
      </w:r>
      <w:r>
        <w:rPr>
          <w:rFonts w:ascii="Arial" w:hAnsi="Arial" w:cs="Arial"/>
        </w:rPr>
        <w:t xml:space="preserve">, ib.) y la tutela se presentó el </w:t>
      </w:r>
      <w:r w:rsidR="008028C5">
        <w:rPr>
          <w:rFonts w:ascii="Arial" w:hAnsi="Arial" w:cs="Arial"/>
        </w:rPr>
        <w:t>01-12-2015</w:t>
      </w:r>
      <w:r>
        <w:rPr>
          <w:rFonts w:ascii="Arial" w:hAnsi="Arial" w:cs="Arial"/>
        </w:rPr>
        <w:t xml:space="preserve"> (Folio 1, ib.), es decir, que la presente acción carece de inmediatez, pues su interposición desborda el plazo de los 6 meses fijado por la jurisprudencia tanto constitucional</w:t>
      </w:r>
      <w:r w:rsidRPr="0098589D">
        <w:rPr>
          <w:rStyle w:val="Refdenotaalpie"/>
          <w:rFonts w:ascii="Calibri" w:hAnsi="Calibri" w:cs="Calibri"/>
        </w:rPr>
        <w:footnoteReference w:id="10"/>
      </w:r>
      <w:r>
        <w:rPr>
          <w:rFonts w:ascii="Arial" w:hAnsi="Arial" w:cs="Arial"/>
        </w:rPr>
        <w:t xml:space="preserve"> como ordinaria</w:t>
      </w:r>
      <w:r>
        <w:rPr>
          <w:rStyle w:val="Refdenotaalpie"/>
          <w:rFonts w:ascii="Arial" w:hAnsi="Arial"/>
        </w:rPr>
        <w:footnoteReference w:id="11"/>
      </w:r>
      <w:r>
        <w:rPr>
          <w:rFonts w:ascii="Arial" w:hAnsi="Arial" w:cs="Arial"/>
        </w:rPr>
        <w:t xml:space="preserve">; como tiempo razonable para interponerla. </w:t>
      </w:r>
    </w:p>
    <w:p w:rsidR="00291B96" w:rsidRDefault="00291B96" w:rsidP="00C54653">
      <w:pPr>
        <w:spacing w:line="360" w:lineRule="auto"/>
        <w:ind w:right="51"/>
        <w:jc w:val="both"/>
        <w:rPr>
          <w:rFonts w:ascii="Arial" w:hAnsi="Arial"/>
          <w:szCs w:val="22"/>
          <w:lang w:val="es-ES_tradnl"/>
        </w:rPr>
      </w:pPr>
    </w:p>
    <w:p w:rsidR="00CE32AE" w:rsidRDefault="00CE32AE" w:rsidP="00CE32AE">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al 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sidR="004905B4">
        <w:rPr>
          <w:rStyle w:val="Refdenotaalpie"/>
          <w:rFonts w:ascii="Arial" w:hAnsi="Arial"/>
        </w:rPr>
        <w:footnoteReference w:id="12"/>
      </w:r>
      <w:r>
        <w:rPr>
          <w:rFonts w:ascii="Arial" w:hAnsi="Arial" w:cs="Arial"/>
        </w:rPr>
        <w:t xml:space="preserve">; circunstancias que no fueron expuestas ni probadas en el trámite. De igual forma, no se encuentra ni alegado ni probado, que </w:t>
      </w:r>
      <w:r w:rsidR="008028C5">
        <w:rPr>
          <w:rFonts w:ascii="Arial" w:hAnsi="Arial" w:cs="Arial"/>
        </w:rPr>
        <w:t xml:space="preserve">el </w:t>
      </w:r>
      <w:r>
        <w:rPr>
          <w:rFonts w:ascii="Arial" w:hAnsi="Arial" w:cs="Arial"/>
        </w:rPr>
        <w:t>actor sea persona de especial protección constitucional</w:t>
      </w:r>
      <w:r w:rsidR="004905B4">
        <w:rPr>
          <w:rStyle w:val="Refdenotaalpie"/>
          <w:rFonts w:ascii="Arial" w:hAnsi="Arial"/>
        </w:rPr>
        <w:footnoteReference w:id="13"/>
      </w:r>
      <w:r w:rsidR="004905B4">
        <w:rPr>
          <w:rFonts w:ascii="Arial" w:hAnsi="Arial" w:cs="Arial"/>
        </w:rPr>
        <w:t xml:space="preserve">; </w:t>
      </w:r>
      <w:r w:rsidR="00A36EB8">
        <w:rPr>
          <w:rFonts w:ascii="Arial" w:hAnsi="Arial" w:cs="Arial"/>
        </w:rPr>
        <w:t xml:space="preserve">ni que la falta de respuesta </w:t>
      </w:r>
      <w:r w:rsidR="00A36EB8" w:rsidRPr="00A36EB8">
        <w:rPr>
          <w:rFonts w:ascii="Arial" w:hAnsi="Arial" w:cs="Arial"/>
        </w:rPr>
        <w:t xml:space="preserve">vulnere o amenace los derechos de la </w:t>
      </w:r>
      <w:r w:rsidR="00BD3AEE">
        <w:rPr>
          <w:rFonts w:ascii="Arial" w:hAnsi="Arial" w:cs="Arial"/>
        </w:rPr>
        <w:t xml:space="preserve">parte </w:t>
      </w:r>
      <w:r w:rsidR="00A36EB8" w:rsidRPr="00A36EB8">
        <w:rPr>
          <w:rFonts w:ascii="Arial" w:hAnsi="Arial" w:cs="Arial"/>
        </w:rPr>
        <w:t>actora de forma tal que pueda estar incursa en una debilidad manifiesta</w:t>
      </w:r>
      <w:r w:rsidR="00A36EB8">
        <w:rPr>
          <w:rFonts w:ascii="Arial" w:hAnsi="Arial" w:cs="Arial"/>
        </w:rPr>
        <w:t xml:space="preserve">. </w:t>
      </w:r>
    </w:p>
    <w:p w:rsidR="00A36EB8" w:rsidRDefault="00A36EB8" w:rsidP="00CE32AE">
      <w:pPr>
        <w:spacing w:line="360" w:lineRule="auto"/>
        <w:jc w:val="both"/>
        <w:rPr>
          <w:rFonts w:ascii="Arial" w:hAnsi="Arial" w:cs="Arial"/>
        </w:rPr>
      </w:pPr>
    </w:p>
    <w:p w:rsidR="00593391" w:rsidRPr="001E1104" w:rsidRDefault="00593391" w:rsidP="00593391">
      <w:pPr>
        <w:spacing w:line="360" w:lineRule="auto"/>
        <w:ind w:right="51"/>
        <w:jc w:val="both"/>
        <w:rPr>
          <w:rFonts w:ascii="Arial" w:hAnsi="Arial" w:cs="Arial"/>
          <w:lang w:val="es-CO"/>
        </w:rPr>
      </w:pPr>
      <w:r>
        <w:rPr>
          <w:rFonts w:ascii="Arial" w:hAnsi="Arial" w:cs="Arial"/>
          <w:lang w:val="es-CO"/>
        </w:rPr>
        <w:t>Conforme a lo expuesto,</w:t>
      </w:r>
      <w:r>
        <w:rPr>
          <w:rFonts w:ascii="Arial" w:hAnsi="Arial" w:cs="Arial"/>
        </w:rPr>
        <w:t xml:space="preserve"> </w:t>
      </w:r>
      <w:r w:rsidR="00C54653">
        <w:rPr>
          <w:rFonts w:ascii="Arial" w:hAnsi="Arial" w:cs="Arial"/>
        </w:rPr>
        <w:t xml:space="preserve">ante la inexistencia de hipótesis excepcionales que hagan procedente la acción de tutela, el requisito de procedibilidad de la </w:t>
      </w:r>
      <w:r w:rsidR="005A7685">
        <w:rPr>
          <w:rFonts w:ascii="Arial" w:hAnsi="Arial" w:cs="Arial"/>
        </w:rPr>
        <w:t xml:space="preserve">inmediatez </w:t>
      </w:r>
      <w:r>
        <w:rPr>
          <w:rFonts w:ascii="Arial" w:hAnsi="Arial" w:cs="Arial"/>
        </w:rPr>
        <w:t>quedó insatisfecho, por tanto, se confirmará el fallo opugnado</w:t>
      </w:r>
      <w:r>
        <w:rPr>
          <w:rFonts w:ascii="Arial" w:hAnsi="Arial" w:cs="Arial"/>
          <w:lang w:val="es-CO"/>
        </w:rPr>
        <w:t>.</w:t>
      </w:r>
    </w:p>
    <w:p w:rsidR="00CE32AE" w:rsidRPr="001E1104" w:rsidRDefault="00CE32AE" w:rsidP="00CE32AE">
      <w:pPr>
        <w:pStyle w:val="Textoindependiente"/>
        <w:tabs>
          <w:tab w:val="clear" w:pos="708"/>
          <w:tab w:val="clear" w:pos="1416"/>
          <w:tab w:val="left" w:pos="709"/>
          <w:tab w:val="left" w:pos="1418"/>
        </w:tabs>
        <w:spacing w:line="240" w:lineRule="auto"/>
        <w:ind w:left="567" w:right="567"/>
        <w:rPr>
          <w:rFonts w:ascii="Arial" w:hAnsi="Arial" w:cs="Arial"/>
          <w:sz w:val="24"/>
          <w:szCs w:val="24"/>
          <w:lang w:val="es-CO"/>
        </w:rPr>
      </w:pPr>
    </w:p>
    <w:p w:rsidR="00CE32AE" w:rsidRPr="006A6927" w:rsidRDefault="00CE32AE" w:rsidP="00CE32AE">
      <w:pPr>
        <w:shd w:val="clear" w:color="auto" w:fill="FFFFFF"/>
        <w:spacing w:line="360" w:lineRule="auto"/>
        <w:jc w:val="both"/>
        <w:rPr>
          <w:rFonts w:ascii="Arial" w:hAnsi="Arial" w:cs="Arial"/>
          <w:color w:val="000000"/>
          <w:lang w:eastAsia="es-CO"/>
        </w:rPr>
      </w:pPr>
    </w:p>
    <w:p w:rsidR="00CE32AE" w:rsidRPr="008A1328" w:rsidRDefault="00CE32AE" w:rsidP="00CE32AE">
      <w:pPr>
        <w:pStyle w:val="Textoindependien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 xml:space="preserve">LAS </w:t>
      </w:r>
      <w:r w:rsidRPr="008A1328">
        <w:rPr>
          <w:rFonts w:ascii="Arial" w:hAnsi="Arial" w:cs="Arial"/>
          <w:sz w:val="24"/>
          <w:szCs w:val="24"/>
          <w:lang w:val="es-CO"/>
        </w:rPr>
        <w:t>CONCLUSIONES FINALES</w:t>
      </w:r>
    </w:p>
    <w:p w:rsidR="00CE32AE" w:rsidRPr="002B4459" w:rsidRDefault="00CE32AE" w:rsidP="00CE32AE">
      <w:pPr>
        <w:spacing w:line="360" w:lineRule="auto"/>
        <w:jc w:val="both"/>
        <w:rPr>
          <w:rFonts w:ascii="Arial" w:hAnsi="Arial" w:cs="Arial"/>
          <w:lang w:val="es-CO"/>
        </w:rPr>
      </w:pPr>
    </w:p>
    <w:p w:rsidR="00CE32AE" w:rsidRDefault="00CE32AE" w:rsidP="00CE32AE">
      <w:pPr>
        <w:spacing w:line="360" w:lineRule="auto"/>
        <w:jc w:val="both"/>
        <w:rPr>
          <w:rFonts w:ascii="Arial" w:hAnsi="Arial"/>
          <w:lang w:val="es-CO"/>
        </w:rPr>
      </w:pPr>
      <w:r>
        <w:rPr>
          <w:rFonts w:ascii="Arial" w:hAnsi="Arial"/>
          <w:lang w:val="es-CO"/>
        </w:rPr>
        <w:t>En armonía con lo discurrido se confirmará el fallo venido en impugnación.</w:t>
      </w:r>
    </w:p>
    <w:p w:rsidR="00CE32AE" w:rsidRPr="008A1328" w:rsidRDefault="00CE32AE" w:rsidP="00CE32AE">
      <w:pPr>
        <w:spacing w:line="360" w:lineRule="auto"/>
        <w:jc w:val="both"/>
        <w:rPr>
          <w:rFonts w:ascii="Arial" w:hAnsi="Arial" w:cs="Arial"/>
          <w:lang w:val="es-CO"/>
        </w:rPr>
      </w:pPr>
    </w:p>
    <w:p w:rsidR="00CE32AE" w:rsidRPr="008A1328" w:rsidRDefault="00CE32AE" w:rsidP="00CE32AE">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CE32AE" w:rsidRPr="007B2DD3" w:rsidRDefault="00CE32AE" w:rsidP="00CE32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CE32AE" w:rsidRDefault="00CE32AE" w:rsidP="00CE32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F A L L A,</w:t>
      </w:r>
    </w:p>
    <w:p w:rsidR="00CE32AE" w:rsidRPr="008A1328" w:rsidRDefault="00CE32AE" w:rsidP="00CE32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CE32AE" w:rsidRPr="002821E1" w:rsidRDefault="002821E1" w:rsidP="002821E1">
      <w:pPr>
        <w:pStyle w:val="Prrafodelista"/>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sidRPr="00D23CD1">
        <w:rPr>
          <w:rFonts w:ascii="Arial" w:hAnsi="Arial"/>
          <w:spacing w:val="-3"/>
          <w:sz w:val="24"/>
          <w:szCs w:val="24"/>
          <w:lang w:val="es-ES_tradnl"/>
        </w:rPr>
        <w:t xml:space="preserve">CONFIRMAR la sentencia del día </w:t>
      </w:r>
      <w:r>
        <w:rPr>
          <w:rFonts w:ascii="Arial" w:hAnsi="Arial"/>
          <w:spacing w:val="-3"/>
          <w:sz w:val="24"/>
          <w:szCs w:val="24"/>
          <w:lang w:val="es-ES_tradnl"/>
        </w:rPr>
        <w:t>16-12-2015</w:t>
      </w:r>
      <w:r w:rsidRPr="00D23CD1">
        <w:rPr>
          <w:rFonts w:ascii="Arial" w:hAnsi="Arial"/>
          <w:spacing w:val="-3"/>
          <w:sz w:val="24"/>
          <w:szCs w:val="24"/>
          <w:lang w:val="es-ES_tradnl"/>
        </w:rPr>
        <w:t xml:space="preserve"> proferida por el Juzgado </w:t>
      </w:r>
      <w:r>
        <w:rPr>
          <w:rFonts w:ascii="Arial" w:hAnsi="Arial"/>
          <w:spacing w:val="-3"/>
          <w:sz w:val="24"/>
          <w:szCs w:val="24"/>
          <w:lang w:val="es-ES_tradnl"/>
        </w:rPr>
        <w:t xml:space="preserve">Tercero de Familia </w:t>
      </w:r>
      <w:r w:rsidRPr="00D23CD1">
        <w:rPr>
          <w:rFonts w:ascii="Arial" w:hAnsi="Arial"/>
          <w:spacing w:val="-3"/>
          <w:sz w:val="24"/>
          <w:szCs w:val="24"/>
          <w:lang w:val="es-ES_tradnl"/>
        </w:rPr>
        <w:t>de esta ciudad</w:t>
      </w:r>
      <w:r w:rsidRPr="00D23CD1">
        <w:rPr>
          <w:rFonts w:ascii="Arial" w:hAnsi="Arial"/>
          <w:sz w:val="24"/>
          <w:szCs w:val="24"/>
        </w:rPr>
        <w:t>.</w:t>
      </w:r>
    </w:p>
    <w:p w:rsidR="00CE32AE" w:rsidRPr="006A6927" w:rsidRDefault="00CE32AE" w:rsidP="00CE32AE">
      <w:pPr>
        <w:pStyle w:val="Textoindependiente"/>
        <w:tabs>
          <w:tab w:val="clear" w:pos="708"/>
          <w:tab w:val="clear" w:pos="1416"/>
          <w:tab w:val="left" w:pos="426"/>
        </w:tabs>
        <w:spacing w:line="360" w:lineRule="auto"/>
        <w:ind w:left="360"/>
        <w:rPr>
          <w:rFonts w:ascii="Arial" w:hAnsi="Arial" w:cs="Arial"/>
          <w:sz w:val="24"/>
          <w:szCs w:val="24"/>
        </w:rPr>
      </w:pPr>
    </w:p>
    <w:p w:rsidR="00CE32AE" w:rsidRPr="008A1328" w:rsidRDefault="00CE32AE" w:rsidP="00CE32AE">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CE32AE" w:rsidRPr="006A6927" w:rsidRDefault="00CE32AE" w:rsidP="00CE32AE">
      <w:pPr>
        <w:pStyle w:val="Prrafodelista"/>
        <w:spacing w:after="0" w:line="360" w:lineRule="auto"/>
        <w:ind w:left="360"/>
        <w:rPr>
          <w:rFonts w:ascii="Arial" w:hAnsi="Arial" w:cs="Arial"/>
          <w:sz w:val="24"/>
          <w:szCs w:val="24"/>
        </w:rPr>
      </w:pPr>
    </w:p>
    <w:p w:rsidR="00CE32AE" w:rsidRPr="00CE32AE" w:rsidRDefault="00CE32AE" w:rsidP="00CE32AE">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D4466B" w:rsidRPr="00CF088B" w:rsidRDefault="00D4466B" w:rsidP="00CE32AE">
      <w:pPr>
        <w:pStyle w:val="Textoindependiente"/>
        <w:tabs>
          <w:tab w:val="clear" w:pos="708"/>
          <w:tab w:val="clear" w:pos="1416"/>
          <w:tab w:val="left" w:pos="426"/>
        </w:tabs>
        <w:spacing w:line="360" w:lineRule="auto"/>
        <w:ind w:left="426"/>
        <w:rPr>
          <w:rFonts w:ascii="Arial" w:hAnsi="Arial"/>
          <w:sz w:val="24"/>
          <w:szCs w:val="24"/>
        </w:rPr>
      </w:pPr>
    </w:p>
    <w:p w:rsidR="003913E3" w:rsidRDefault="003913E3" w:rsidP="00F839CE">
      <w:pPr>
        <w:pStyle w:val="Textoindependiente"/>
        <w:spacing w:line="360" w:lineRule="auto"/>
        <w:jc w:val="center"/>
        <w:rPr>
          <w:rFonts w:ascii="Arial" w:hAnsi="Arial" w:cs="Arial"/>
          <w:smallCaps/>
          <w:sz w:val="24"/>
          <w:szCs w:val="24"/>
          <w:lang w:val="en-US"/>
        </w:rPr>
      </w:pPr>
      <w:r w:rsidRPr="008A1328">
        <w:rPr>
          <w:rFonts w:ascii="Arial" w:hAnsi="Arial" w:cs="Arial"/>
          <w:smallCaps/>
          <w:sz w:val="24"/>
          <w:szCs w:val="24"/>
          <w:lang w:val="en-US"/>
        </w:rPr>
        <w:t>Notifíquese,</w:t>
      </w:r>
    </w:p>
    <w:p w:rsidR="00C2274B" w:rsidRP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C2274B" w:rsidRP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4736F9" w:rsidRPr="00C2274B"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Pr>
          <w:rFonts w:ascii="Arial" w:hAnsi="Arial" w:cs="Arial"/>
          <w:spacing w:val="-3"/>
          <w:w w:val="150"/>
          <w:sz w:val="32"/>
          <w:szCs w:val="18"/>
          <w:lang w:val="es-CO"/>
        </w:rPr>
        <w:t>D</w:t>
      </w:r>
      <w:r>
        <w:rPr>
          <w:rFonts w:ascii="Arial" w:hAnsi="Arial" w:cs="Arial"/>
          <w:spacing w:val="-3"/>
          <w:w w:val="150"/>
          <w:sz w:val="18"/>
          <w:szCs w:val="18"/>
          <w:lang w:val="es-CO"/>
        </w:rPr>
        <w:t xml:space="preserve">UBERNEY </w:t>
      </w:r>
      <w:r>
        <w:rPr>
          <w:rFonts w:ascii="Arial" w:hAnsi="Arial" w:cs="Arial"/>
          <w:spacing w:val="-3"/>
          <w:w w:val="150"/>
          <w:sz w:val="28"/>
          <w:szCs w:val="18"/>
          <w:lang w:val="es-CO"/>
        </w:rPr>
        <w:t>G</w:t>
      </w:r>
      <w:r>
        <w:rPr>
          <w:rFonts w:ascii="Arial" w:hAnsi="Arial" w:cs="Arial"/>
          <w:spacing w:val="-3"/>
          <w:w w:val="150"/>
          <w:sz w:val="18"/>
          <w:szCs w:val="18"/>
          <w:lang w:val="es-CO"/>
        </w:rPr>
        <w:t xml:space="preserve">RISALES </w:t>
      </w:r>
      <w:r>
        <w:rPr>
          <w:rFonts w:ascii="Arial" w:hAnsi="Arial" w:cs="Arial"/>
          <w:spacing w:val="-3"/>
          <w:w w:val="150"/>
          <w:sz w:val="28"/>
          <w:szCs w:val="18"/>
          <w:lang w:val="es-CO"/>
        </w:rPr>
        <w:t>H</w:t>
      </w:r>
      <w:r>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Pr>
          <w:rFonts w:ascii="Arial" w:hAnsi="Arial"/>
          <w:w w:val="150"/>
          <w:sz w:val="28"/>
          <w:szCs w:val="18"/>
          <w:lang w:val="es-ES_tradnl"/>
        </w:rPr>
        <w:t>E</w:t>
      </w:r>
      <w:r>
        <w:rPr>
          <w:rFonts w:ascii="Arial" w:hAnsi="Arial"/>
          <w:w w:val="150"/>
          <w:sz w:val="18"/>
          <w:szCs w:val="18"/>
          <w:lang w:val="es-ES_tradnl"/>
        </w:rPr>
        <w:t>DDER</w:t>
      </w:r>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s-ES_tradnl"/>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350057" w:rsidRPr="008A1328" w:rsidRDefault="00350057"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lang w:val="en-US"/>
        </w:rPr>
      </w:pPr>
      <w:r w:rsidRPr="005A4153">
        <w:rPr>
          <w:rFonts w:ascii="Arial" w:hAnsi="Arial" w:cs="Times New Roman"/>
          <w:i/>
          <w:smallCaps/>
          <w:spacing w:val="-3"/>
          <w:sz w:val="10"/>
          <w:szCs w:val="16"/>
          <w:lang w:val="en-US"/>
        </w:rPr>
        <w:t xml:space="preserve">DGH / </w:t>
      </w:r>
      <w:r w:rsidR="002821E1">
        <w:rPr>
          <w:rFonts w:ascii="Arial" w:hAnsi="Arial" w:cs="Times New Roman"/>
          <w:i/>
          <w:smallCaps/>
          <w:spacing w:val="-3"/>
          <w:sz w:val="10"/>
          <w:szCs w:val="16"/>
          <w:lang w:val="en-US"/>
        </w:rPr>
        <w:t>ODCD</w:t>
      </w:r>
      <w:r w:rsidRPr="005A4153">
        <w:rPr>
          <w:rFonts w:ascii="Arial" w:hAnsi="Arial" w:cs="Times New Roman"/>
          <w:i/>
          <w:smallCaps/>
          <w:spacing w:val="-3"/>
          <w:sz w:val="10"/>
          <w:szCs w:val="16"/>
          <w:lang w:val="en-US"/>
        </w:rPr>
        <w:t xml:space="preserve"> </w:t>
      </w:r>
      <w:r w:rsidR="002821E1">
        <w:rPr>
          <w:rFonts w:ascii="Arial" w:hAnsi="Arial" w:cs="Times New Roman"/>
          <w:i/>
          <w:smallCaps/>
          <w:spacing w:val="-3"/>
          <w:sz w:val="10"/>
          <w:szCs w:val="16"/>
          <w:lang w:val="en-US"/>
        </w:rPr>
        <w:t>2016</w:t>
      </w:r>
    </w:p>
    <w:p w:rsidR="00350057" w:rsidRDefault="0035005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8"/>
          <w:lang w:val="en-GB"/>
        </w:rPr>
      </w:pPr>
    </w:p>
    <w:sectPr w:rsidR="00350057" w:rsidSect="00CD17B5">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423" w:rsidRDefault="00ED1423" w:rsidP="002F20AB">
      <w:r>
        <w:separator/>
      </w:r>
    </w:p>
  </w:endnote>
  <w:endnote w:type="continuationSeparator" w:id="0">
    <w:p w:rsidR="00ED1423" w:rsidRDefault="00ED1423"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423" w:rsidRDefault="00ED1423" w:rsidP="002F20AB">
      <w:r>
        <w:separator/>
      </w:r>
    </w:p>
  </w:footnote>
  <w:footnote w:type="continuationSeparator" w:id="0">
    <w:p w:rsidR="00ED1423" w:rsidRDefault="00ED1423" w:rsidP="002F20AB">
      <w:r>
        <w:continuationSeparator/>
      </w:r>
    </w:p>
  </w:footnote>
  <w:footnote w:id="1">
    <w:p w:rsidR="00117D2E" w:rsidRPr="00351422" w:rsidRDefault="00117D2E" w:rsidP="00117D2E">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lang w:val="es-CO"/>
        </w:rPr>
        <w:t xml:space="preserve"> </w:t>
      </w:r>
      <w:r w:rsidR="00506E13">
        <w:rPr>
          <w:rFonts w:asciiTheme="minorHAnsi" w:hAnsiTheme="minorHAnsi" w:cs="Calibri"/>
        </w:rPr>
        <w:t xml:space="preserve">CORTE CONSTITUCIONAL. </w:t>
      </w:r>
      <w:bookmarkStart w:id="0" w:name="_GoBack"/>
      <w:bookmarkEnd w:id="0"/>
      <w:r w:rsidRPr="00351422">
        <w:rPr>
          <w:rFonts w:asciiTheme="minorHAnsi" w:hAnsiTheme="minorHAnsi" w:cs="Calibri"/>
        </w:rPr>
        <w:t>Sentencia</w:t>
      </w:r>
      <w:r w:rsidR="00351422">
        <w:rPr>
          <w:rFonts w:asciiTheme="minorHAnsi" w:hAnsiTheme="minorHAnsi" w:cs="Calibri"/>
        </w:rPr>
        <w:t xml:space="preserve">s SU-961 de 1999, </w:t>
      </w:r>
      <w:r w:rsidRPr="00351422">
        <w:rPr>
          <w:rFonts w:asciiTheme="minorHAnsi" w:hAnsiTheme="minorHAnsi" w:cs="Calibri"/>
          <w:lang w:val="es-CO"/>
        </w:rPr>
        <w:t>T-890 de</w:t>
      </w:r>
      <w:r w:rsidR="00351422">
        <w:rPr>
          <w:rFonts w:asciiTheme="minorHAnsi" w:hAnsiTheme="minorHAnsi" w:cs="Calibri"/>
          <w:lang w:val="es-CO"/>
        </w:rPr>
        <w:t xml:space="preserve"> </w:t>
      </w:r>
      <w:r w:rsidRPr="00351422">
        <w:rPr>
          <w:rFonts w:asciiTheme="minorHAnsi" w:hAnsiTheme="minorHAnsi" w:cs="Calibri"/>
          <w:lang w:val="es-CO"/>
        </w:rPr>
        <w:t>2006</w:t>
      </w:r>
      <w:r w:rsidR="00351422">
        <w:rPr>
          <w:rFonts w:asciiTheme="minorHAnsi" w:hAnsiTheme="minorHAnsi" w:cs="Calibri"/>
          <w:lang w:val="es-CO"/>
        </w:rPr>
        <w:t>, T-548 de 2011, T-172 de 2013</w:t>
      </w:r>
      <w:r w:rsidRPr="00351422">
        <w:rPr>
          <w:rFonts w:asciiTheme="minorHAnsi" w:hAnsiTheme="minorHAnsi" w:cs="Calibri"/>
          <w:lang w:val="es-CO"/>
        </w:rPr>
        <w:t>.</w:t>
      </w:r>
    </w:p>
  </w:footnote>
  <w:footnote w:id="2">
    <w:p w:rsidR="00117D2E" w:rsidRPr="00351422" w:rsidRDefault="00117D2E" w:rsidP="00117D2E">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lang w:val="es-CO"/>
        </w:rPr>
        <w:t xml:space="preserve"> CORTE SUPREMA DE JUSTICIA, Sala de Casación Civil. Sentencia del 09-03-2011.</w:t>
      </w:r>
    </w:p>
  </w:footnote>
  <w:footnote w:id="3">
    <w:p w:rsidR="00117D2E" w:rsidRPr="009565CF" w:rsidRDefault="00117D2E" w:rsidP="00117D2E">
      <w:pPr>
        <w:pStyle w:val="Textonotapie"/>
        <w:jc w:val="both"/>
        <w:rPr>
          <w:rFonts w:asciiTheme="minorHAnsi" w:hAnsiTheme="minorHAnsi"/>
          <w:lang w:val="es-CO"/>
        </w:rPr>
      </w:pPr>
      <w:r w:rsidRPr="009565CF">
        <w:rPr>
          <w:rStyle w:val="Refdenotaalpie"/>
          <w:rFonts w:cs="Calibri"/>
          <w:lang w:val="es-CO"/>
        </w:rPr>
        <w:footnoteRef/>
      </w:r>
      <w:r w:rsidRPr="009565CF">
        <w:rPr>
          <w:rFonts w:cs="Calibri"/>
          <w:lang w:val="es-CO"/>
        </w:rPr>
        <w:t xml:space="preserve"> </w:t>
      </w:r>
      <w:r w:rsidRPr="009565CF">
        <w:rPr>
          <w:rFonts w:asciiTheme="minorHAnsi" w:hAnsiTheme="minorHAnsi" w:cs="Calibri"/>
          <w:lang w:val="es-CO"/>
        </w:rPr>
        <w:t>CORTE CONSTITUCIONAL.  Sentencia T-1079 de</w:t>
      </w:r>
      <w:r w:rsidR="006D5F73">
        <w:rPr>
          <w:rFonts w:asciiTheme="minorHAnsi" w:hAnsiTheme="minorHAnsi" w:cs="Calibri"/>
          <w:lang w:val="es-CO"/>
        </w:rPr>
        <w:t xml:space="preserve"> </w:t>
      </w:r>
      <w:r w:rsidRPr="009565CF">
        <w:rPr>
          <w:rFonts w:asciiTheme="minorHAnsi" w:hAnsiTheme="minorHAnsi" w:cs="Calibri"/>
          <w:lang w:val="es-CO"/>
        </w:rPr>
        <w:t>2008.</w:t>
      </w:r>
    </w:p>
  </w:footnote>
  <w:footnote w:id="4">
    <w:p w:rsidR="00117D2E" w:rsidRPr="009565CF" w:rsidRDefault="00117D2E" w:rsidP="00117D2E">
      <w:pPr>
        <w:pStyle w:val="Textonotapie"/>
        <w:jc w:val="both"/>
        <w:rPr>
          <w:rFonts w:asciiTheme="minorHAnsi" w:hAnsiTheme="minorHAnsi"/>
          <w:lang w:val="es-CO"/>
        </w:rPr>
      </w:pPr>
      <w:r w:rsidRPr="009565CF">
        <w:rPr>
          <w:rStyle w:val="Refdenotaalpie"/>
          <w:rFonts w:asciiTheme="minorHAnsi" w:hAnsiTheme="minorHAnsi"/>
          <w:lang w:val="es-CO"/>
        </w:rPr>
        <w:footnoteRef/>
      </w:r>
      <w:r w:rsidRPr="009565CF">
        <w:rPr>
          <w:rFonts w:asciiTheme="minorHAnsi" w:hAnsiTheme="minorHAnsi"/>
          <w:lang w:val="es-CO"/>
        </w:rPr>
        <w:t xml:space="preserve"> CORTE SUPREMA DE JUSTICIA, Sala de Casación Penal – Sala de decisión de tutelas No.3. Sentencia del 11-03-2014, MP. Eugenio Fernández Carlier.</w:t>
      </w:r>
    </w:p>
  </w:footnote>
  <w:footnote w:id="5">
    <w:p w:rsidR="00106AD1" w:rsidRPr="009565CF" w:rsidRDefault="00106AD1" w:rsidP="00106AD1">
      <w:pPr>
        <w:pStyle w:val="Textonotapie"/>
        <w:rPr>
          <w:lang w:val="es-CO"/>
        </w:rPr>
      </w:pPr>
      <w:r w:rsidRPr="009565CF">
        <w:rPr>
          <w:rStyle w:val="Refdenotaalpie"/>
          <w:lang w:val="es-CO"/>
        </w:rPr>
        <w:footnoteRef/>
      </w:r>
      <w:r w:rsidRPr="009565CF">
        <w:rPr>
          <w:lang w:val="es-CO"/>
        </w:rPr>
        <w:t xml:space="preserve"> </w:t>
      </w:r>
      <w:r w:rsidRPr="009565CF">
        <w:rPr>
          <w:rFonts w:asciiTheme="minorHAnsi" w:hAnsiTheme="minorHAnsi"/>
          <w:lang w:val="es-CO"/>
        </w:rPr>
        <w:t>CORTE SUPREMA DE JUSTICIA, Sala de Casación Civil, sentencia del 02-09-2014, MP. Margarita Cabello Blanco.</w:t>
      </w:r>
    </w:p>
  </w:footnote>
  <w:footnote w:id="6">
    <w:p w:rsidR="00117D2E" w:rsidRPr="009565CF" w:rsidRDefault="00117D2E" w:rsidP="00117D2E">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w:t>
      </w:r>
      <w:r w:rsidR="006D5F73">
        <w:rPr>
          <w:rFonts w:asciiTheme="minorHAnsi" w:hAnsiTheme="minorHAnsi" w:cs="Calibri"/>
          <w:lang w:val="es-CO"/>
        </w:rPr>
        <w:t xml:space="preserve">ONAL. Sentencia T-016 de </w:t>
      </w:r>
      <w:r w:rsidRPr="009565CF">
        <w:rPr>
          <w:rFonts w:asciiTheme="minorHAnsi" w:hAnsiTheme="minorHAnsi" w:cs="Calibri"/>
          <w:lang w:val="es-CO"/>
        </w:rPr>
        <w:t>2006.</w:t>
      </w:r>
    </w:p>
  </w:footnote>
  <w:footnote w:id="7">
    <w:p w:rsidR="00117D2E" w:rsidRPr="009565CF" w:rsidRDefault="00117D2E" w:rsidP="00117D2E">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CONSTITUCIONAL. Sentencia T-684 de</w:t>
      </w:r>
      <w:r w:rsidR="006D5F73">
        <w:rPr>
          <w:rFonts w:asciiTheme="minorHAnsi" w:hAnsiTheme="minorHAnsi" w:cs="Calibri"/>
          <w:lang w:val="es-CO"/>
        </w:rPr>
        <w:t xml:space="preserve"> </w:t>
      </w:r>
      <w:r w:rsidRPr="009565CF">
        <w:rPr>
          <w:rFonts w:asciiTheme="minorHAnsi" w:hAnsiTheme="minorHAnsi" w:cs="Calibri"/>
          <w:lang w:val="es-CO"/>
        </w:rPr>
        <w:t>2003.</w:t>
      </w:r>
    </w:p>
  </w:footnote>
  <w:footnote w:id="8">
    <w:p w:rsidR="00117D2E" w:rsidRPr="009565CF" w:rsidRDefault="00117D2E" w:rsidP="00117D2E">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QUINCHE RAMÍREZ, Manuel Fernando. La acción de tutela, el amparo en Colombia, Temis, Bogotá DC, 2011, p.105-106.</w:t>
      </w:r>
    </w:p>
  </w:footnote>
  <w:footnote w:id="9">
    <w:p w:rsidR="00117D2E" w:rsidRPr="007E1963" w:rsidRDefault="00117D2E" w:rsidP="00117D2E">
      <w:pPr>
        <w:pStyle w:val="Textonotapie"/>
        <w:rPr>
          <w:rFonts w:asciiTheme="minorHAnsi" w:hAnsiTheme="minorHAnsi"/>
        </w:rPr>
      </w:pPr>
      <w:r w:rsidRPr="007E1963">
        <w:rPr>
          <w:rStyle w:val="Refdenotaalpie"/>
          <w:rFonts w:asciiTheme="minorHAnsi" w:hAnsiTheme="minorHAnsi" w:cs="Calibri"/>
        </w:rPr>
        <w:footnoteRef/>
      </w:r>
      <w:r w:rsidRPr="007E1963">
        <w:rPr>
          <w:rFonts w:asciiTheme="minorHAnsi" w:hAnsiTheme="minorHAnsi" w:cs="Calibri"/>
        </w:rPr>
        <w:t xml:space="preserve"> </w:t>
      </w:r>
      <w:r w:rsidRPr="007E1963">
        <w:rPr>
          <w:rFonts w:asciiTheme="minorHAnsi" w:hAnsiTheme="minorHAnsi" w:cs="Calibri"/>
          <w:lang w:val="es-CO"/>
        </w:rPr>
        <w:t>CORTE CONSTITUCIONAL. Sentencia T-2</w:t>
      </w:r>
      <w:r w:rsidR="007E1963">
        <w:rPr>
          <w:rFonts w:asciiTheme="minorHAnsi" w:hAnsiTheme="minorHAnsi" w:cs="Calibri"/>
          <w:lang w:val="es-CO"/>
        </w:rPr>
        <w:t>07</w:t>
      </w:r>
      <w:r w:rsidRPr="007E1963">
        <w:rPr>
          <w:rFonts w:asciiTheme="minorHAnsi" w:hAnsiTheme="minorHAnsi" w:cs="Calibri"/>
          <w:lang w:val="es-CO"/>
        </w:rPr>
        <w:t xml:space="preserve"> de</w:t>
      </w:r>
      <w:r w:rsidR="006D5F73">
        <w:rPr>
          <w:rFonts w:asciiTheme="minorHAnsi" w:hAnsiTheme="minorHAnsi" w:cs="Calibri"/>
          <w:lang w:val="es-CO"/>
        </w:rPr>
        <w:t xml:space="preserve"> </w:t>
      </w:r>
      <w:r w:rsidRPr="007E1963">
        <w:rPr>
          <w:rFonts w:asciiTheme="minorHAnsi" w:hAnsiTheme="minorHAnsi" w:cs="Calibri"/>
          <w:lang w:val="es-CO"/>
        </w:rPr>
        <w:t>201</w:t>
      </w:r>
      <w:r w:rsidR="007E1963">
        <w:rPr>
          <w:rFonts w:asciiTheme="minorHAnsi" w:hAnsiTheme="minorHAnsi" w:cs="Calibri"/>
          <w:lang w:val="es-CO"/>
        </w:rPr>
        <w:t>5</w:t>
      </w:r>
      <w:r w:rsidRPr="007E1963">
        <w:rPr>
          <w:rFonts w:asciiTheme="minorHAnsi" w:hAnsiTheme="minorHAnsi" w:cs="Calibri"/>
        </w:rPr>
        <w:t>.</w:t>
      </w:r>
    </w:p>
  </w:footnote>
  <w:footnote w:id="10">
    <w:p w:rsidR="00291B96" w:rsidRPr="009C4841" w:rsidRDefault="00291B96" w:rsidP="00291B96">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11">
    <w:p w:rsidR="00291B96" w:rsidRPr="009C4841" w:rsidRDefault="00291B96" w:rsidP="00291B96">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M.P. Eugenio Fernández Carlier.</w:t>
      </w:r>
    </w:p>
  </w:footnote>
  <w:footnote w:id="12">
    <w:p w:rsidR="004905B4" w:rsidRPr="004905B4" w:rsidRDefault="004905B4">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13">
    <w:p w:rsidR="004905B4" w:rsidRPr="004905B4" w:rsidRDefault="004905B4">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ED1423">
      <w:rPr>
        <w:rFonts w:ascii="Calibri" w:hAnsi="Calibri"/>
        <w:noProof/>
        <w:sz w:val="22"/>
        <w:lang w:val="es-CO"/>
      </w:rPr>
      <w:t>1</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C768BF">
      <w:rPr>
        <w:rFonts w:ascii="Calibri" w:hAnsi="Calibri" w:cs="Calibri"/>
        <w:i/>
        <w:sz w:val="20"/>
        <w:szCs w:val="20"/>
        <w:lang w:val="es-CO"/>
      </w:rPr>
      <w:t>2015-00927-01</w:t>
    </w:r>
    <w:r w:rsidRPr="00AA6B28">
      <w:rPr>
        <w:rFonts w:ascii="Calibri" w:hAnsi="Calibri" w:cs="Calibri"/>
        <w:i/>
        <w:sz w:val="20"/>
        <w:szCs w:val="20"/>
        <w:lang w:val="es-CO"/>
      </w:rPr>
      <w:t xml:space="preserve"> LLRR</w:t>
    </w:r>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7"/>
  </w:num>
  <w:num w:numId="13">
    <w:abstractNumId w:val="13"/>
  </w:num>
  <w:num w:numId="14">
    <w:abstractNumId w:val="26"/>
  </w:num>
  <w:num w:numId="15">
    <w:abstractNumId w:val="18"/>
  </w:num>
  <w:num w:numId="16">
    <w:abstractNumId w:val="1"/>
  </w:num>
  <w:num w:numId="17">
    <w:abstractNumId w:val="28"/>
  </w:num>
  <w:num w:numId="18">
    <w:abstractNumId w:val="19"/>
  </w:num>
  <w:num w:numId="19">
    <w:abstractNumId w:val="25"/>
  </w:num>
  <w:num w:numId="20">
    <w:abstractNumId w:val="24"/>
  </w:num>
  <w:num w:numId="21">
    <w:abstractNumId w:val="5"/>
  </w:num>
  <w:num w:numId="22">
    <w:abstractNumId w:val="0"/>
  </w:num>
  <w:num w:numId="23">
    <w:abstractNumId w:val="29"/>
  </w:num>
  <w:num w:numId="24">
    <w:abstractNumId w:val="17"/>
  </w:num>
  <w:num w:numId="25">
    <w:abstractNumId w:val="9"/>
  </w:num>
  <w:num w:numId="26">
    <w:abstractNumId w:val="12"/>
  </w:num>
  <w:num w:numId="27">
    <w:abstractNumId w:val="4"/>
  </w:num>
  <w:num w:numId="28">
    <w:abstractNumId w:val="22"/>
  </w:num>
  <w:num w:numId="29">
    <w:abstractNumId w:val="8"/>
  </w:num>
  <w:num w:numId="30">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275E6"/>
    <w:rsid w:val="00031D5D"/>
    <w:rsid w:val="000332E9"/>
    <w:rsid w:val="00033F1E"/>
    <w:rsid w:val="0003448C"/>
    <w:rsid w:val="00041B57"/>
    <w:rsid w:val="0004382E"/>
    <w:rsid w:val="00043EC5"/>
    <w:rsid w:val="000453C9"/>
    <w:rsid w:val="00047896"/>
    <w:rsid w:val="000505E7"/>
    <w:rsid w:val="00051F5B"/>
    <w:rsid w:val="00052FE3"/>
    <w:rsid w:val="00055B9D"/>
    <w:rsid w:val="00056027"/>
    <w:rsid w:val="000601B1"/>
    <w:rsid w:val="00060954"/>
    <w:rsid w:val="00060F7F"/>
    <w:rsid w:val="0006117C"/>
    <w:rsid w:val="0006167A"/>
    <w:rsid w:val="00061922"/>
    <w:rsid w:val="000634BA"/>
    <w:rsid w:val="00065A2F"/>
    <w:rsid w:val="000664A8"/>
    <w:rsid w:val="00066726"/>
    <w:rsid w:val="00067C84"/>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8009F"/>
    <w:rsid w:val="000818FB"/>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987"/>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52F7"/>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2854"/>
    <w:rsid w:val="00275F4A"/>
    <w:rsid w:val="0028166B"/>
    <w:rsid w:val="002821E1"/>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6E1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391"/>
    <w:rsid w:val="0059342A"/>
    <w:rsid w:val="00596C0B"/>
    <w:rsid w:val="00597CED"/>
    <w:rsid w:val="005A2467"/>
    <w:rsid w:val="005A2595"/>
    <w:rsid w:val="005A3B1D"/>
    <w:rsid w:val="005A3C01"/>
    <w:rsid w:val="005A461E"/>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570C"/>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1E40"/>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3AD"/>
    <w:rsid w:val="006B77CB"/>
    <w:rsid w:val="006C0A90"/>
    <w:rsid w:val="006C11A5"/>
    <w:rsid w:val="006C1FB5"/>
    <w:rsid w:val="006C2AFC"/>
    <w:rsid w:val="006C325C"/>
    <w:rsid w:val="006C5C89"/>
    <w:rsid w:val="006D1972"/>
    <w:rsid w:val="006D1B00"/>
    <w:rsid w:val="006D3B8F"/>
    <w:rsid w:val="006D5236"/>
    <w:rsid w:val="006D5F62"/>
    <w:rsid w:val="006D5F73"/>
    <w:rsid w:val="006D6BA1"/>
    <w:rsid w:val="006D7214"/>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EFD"/>
    <w:rsid w:val="0075429F"/>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762"/>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4EF"/>
    <w:rsid w:val="007B7CB1"/>
    <w:rsid w:val="007C1154"/>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28C5"/>
    <w:rsid w:val="008067C9"/>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D4E"/>
    <w:rsid w:val="008769D9"/>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39E0"/>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29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C7298"/>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4071"/>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054"/>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5EF9"/>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D166F"/>
    <w:rsid w:val="00BD3AEE"/>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8BF"/>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7B5"/>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E5AB7"/>
    <w:rsid w:val="00CF03D1"/>
    <w:rsid w:val="00CF0562"/>
    <w:rsid w:val="00CF0884"/>
    <w:rsid w:val="00CF088B"/>
    <w:rsid w:val="00CF191F"/>
    <w:rsid w:val="00CF3971"/>
    <w:rsid w:val="00CF4D81"/>
    <w:rsid w:val="00CF5E40"/>
    <w:rsid w:val="00CF667A"/>
    <w:rsid w:val="00CF7868"/>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2A78"/>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3D2E"/>
    <w:rsid w:val="00E24161"/>
    <w:rsid w:val="00E24C10"/>
    <w:rsid w:val="00E26A5B"/>
    <w:rsid w:val="00E32841"/>
    <w:rsid w:val="00E34A00"/>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2B"/>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423"/>
    <w:rsid w:val="00ED1A3B"/>
    <w:rsid w:val="00ED1D80"/>
    <w:rsid w:val="00ED2012"/>
    <w:rsid w:val="00ED435E"/>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39CE"/>
    <w:rsid w:val="00F83E14"/>
    <w:rsid w:val="00F84342"/>
    <w:rsid w:val="00F8533E"/>
    <w:rsid w:val="00F85F06"/>
    <w:rsid w:val="00F86A7A"/>
    <w:rsid w:val="00F86DCE"/>
    <w:rsid w:val="00F86E7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27AA"/>
    <w:rsid w:val="00FB469C"/>
    <w:rsid w:val="00FB5476"/>
    <w:rsid w:val="00FB559A"/>
    <w:rsid w:val="00FB570D"/>
    <w:rsid w:val="00FB7AC6"/>
    <w:rsid w:val="00FC02EA"/>
    <w:rsid w:val="00FC071A"/>
    <w:rsid w:val="00FC31D9"/>
    <w:rsid w:val="00FC3E8F"/>
    <w:rsid w:val="00FC457A"/>
    <w:rsid w:val="00FC48F9"/>
    <w:rsid w:val="00FC623A"/>
    <w:rsid w:val="00FC632B"/>
    <w:rsid w:val="00FC7750"/>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6C28-5163-45E1-840A-49CBD4C7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1825</Words>
  <Characters>10040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Mariela López de Meneses</cp:lastModifiedBy>
  <cp:revision>12</cp:revision>
  <cp:lastPrinted>2016-02-23T16:23:00Z</cp:lastPrinted>
  <dcterms:created xsi:type="dcterms:W3CDTF">2016-02-22T12:49:00Z</dcterms:created>
  <dcterms:modified xsi:type="dcterms:W3CDTF">2016-05-13T12:55:00Z</dcterms:modified>
</cp:coreProperties>
</file>