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07" w:rsidRPr="00AB2720" w:rsidRDefault="00753007" w:rsidP="00753007">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Pr>
          <w:rFonts w:ascii="Arial" w:hAnsi="Arial" w:cs="Arial"/>
          <w:sz w:val="20"/>
        </w:rPr>
        <w:t>MORA JUDICIAL/ Se configura cuando injustificadamente se dejan vencer los términos establecidos para surtir actuaciones judiciales</w:t>
      </w:r>
      <w:r w:rsidR="009F392A">
        <w:rPr>
          <w:rFonts w:ascii="Arial" w:hAnsi="Arial" w:cs="Arial"/>
          <w:sz w:val="20"/>
        </w:rPr>
        <w:t>/</w:t>
      </w:r>
      <w:r w:rsidRPr="00753007">
        <w:rPr>
          <w:rFonts w:ascii="Arial" w:hAnsi="Arial" w:cs="Arial"/>
          <w:sz w:val="20"/>
        </w:rPr>
        <w:t xml:space="preserve"> </w:t>
      </w:r>
      <w:r w:rsidR="007D3F7D">
        <w:rPr>
          <w:rFonts w:ascii="Arial" w:hAnsi="Arial" w:cs="Arial"/>
          <w:sz w:val="20"/>
        </w:rPr>
        <w:t>La mora debe ser</w:t>
      </w:r>
      <w:r w:rsidR="00964239">
        <w:rPr>
          <w:rFonts w:ascii="Arial" w:hAnsi="Arial" w:cs="Arial"/>
          <w:sz w:val="20"/>
        </w:rPr>
        <w:t xml:space="preserve"> alegada</w:t>
      </w:r>
      <w:r w:rsidR="00584327">
        <w:rPr>
          <w:rFonts w:ascii="Arial" w:hAnsi="Arial" w:cs="Arial"/>
          <w:sz w:val="20"/>
        </w:rPr>
        <w:t xml:space="preserve"> mediante mecanismos ordinarios</w:t>
      </w:r>
      <w:r w:rsidR="00964239">
        <w:rPr>
          <w:rFonts w:ascii="Arial" w:hAnsi="Arial" w:cs="Arial"/>
          <w:sz w:val="20"/>
        </w:rPr>
        <w:t xml:space="preserve"> </w:t>
      </w:r>
    </w:p>
    <w:p w:rsidR="004F6D7F" w:rsidRPr="00AB2720" w:rsidRDefault="004F6D7F" w:rsidP="004F6D7F">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p>
    <w:p w:rsidR="00FA67BD" w:rsidRPr="00FA67BD" w:rsidRDefault="007D3F7D" w:rsidP="00FA67BD">
      <w:pPr>
        <w:jc w:val="both"/>
        <w:rPr>
          <w:rFonts w:ascii="Arial" w:hAnsi="Arial" w:cs="Arial"/>
          <w:spacing w:val="-3"/>
          <w:sz w:val="20"/>
          <w:szCs w:val="20"/>
          <w:lang w:val="es-ES_tradnl"/>
        </w:rPr>
      </w:pPr>
      <w:r>
        <w:rPr>
          <w:rFonts w:ascii="Arial" w:hAnsi="Arial" w:cs="Arial"/>
          <w:spacing w:val="-3"/>
          <w:sz w:val="20"/>
          <w:szCs w:val="20"/>
          <w:lang w:val="es-ES_tradnl"/>
        </w:rPr>
        <w:t>“</w:t>
      </w:r>
      <w:r w:rsidR="00FA67BD" w:rsidRPr="00FA67BD">
        <w:rPr>
          <w:rFonts w:ascii="Arial" w:hAnsi="Arial" w:cs="Arial"/>
          <w:spacing w:val="-3"/>
          <w:sz w:val="20"/>
          <w:szCs w:val="20"/>
          <w:lang w:val="es-ES_tradnl"/>
        </w:rPr>
        <w:t>Con relación a la primera (2015-00074-00), hay que decir, que no se halla vulneración alguna en los derechos del actor, pues el accionado se encuentra dentro de los términos de ley para dictar la sentencia deprecada, ya que a la fecha de present</w:t>
      </w:r>
      <w:r w:rsidR="00594001">
        <w:rPr>
          <w:rFonts w:ascii="Arial" w:hAnsi="Arial" w:cs="Arial"/>
          <w:spacing w:val="-3"/>
          <w:sz w:val="20"/>
          <w:szCs w:val="20"/>
          <w:lang w:val="es-ES_tradnl"/>
        </w:rPr>
        <w:t>ación de esta acción (…</w:t>
      </w:r>
      <w:r w:rsidR="00FA67BD" w:rsidRPr="00FA67BD">
        <w:rPr>
          <w:rFonts w:ascii="Arial" w:hAnsi="Arial" w:cs="Arial"/>
          <w:spacing w:val="-3"/>
          <w:sz w:val="20"/>
          <w:szCs w:val="20"/>
          <w:lang w:val="es-ES_tradnl"/>
        </w:rPr>
        <w:t>), tan sólo habían trascurrido 11 días desde el día que entró a despacho para ello, y son 20 (Artículo 34, Ley 472)</w:t>
      </w:r>
    </w:p>
    <w:p w:rsidR="00FA67BD" w:rsidRPr="00FA67BD" w:rsidRDefault="00FA67BD" w:rsidP="00FA67BD">
      <w:pPr>
        <w:jc w:val="both"/>
        <w:rPr>
          <w:rFonts w:ascii="Arial" w:hAnsi="Arial" w:cs="Arial"/>
          <w:spacing w:val="-3"/>
          <w:sz w:val="20"/>
          <w:szCs w:val="20"/>
          <w:lang w:val="es-ES_tradnl"/>
        </w:rPr>
      </w:pPr>
    </w:p>
    <w:p w:rsidR="00FA67BD" w:rsidRPr="00FA67BD" w:rsidRDefault="00FA67BD" w:rsidP="00FA67BD">
      <w:pPr>
        <w:jc w:val="both"/>
        <w:rPr>
          <w:rFonts w:ascii="Arial" w:hAnsi="Arial" w:cs="Arial"/>
          <w:spacing w:val="-3"/>
          <w:sz w:val="20"/>
          <w:szCs w:val="20"/>
          <w:lang w:val="es-ES_tradnl"/>
        </w:rPr>
      </w:pPr>
      <w:r w:rsidRPr="00FA67BD">
        <w:rPr>
          <w:rFonts w:ascii="Arial" w:hAnsi="Arial" w:cs="Arial"/>
          <w:spacing w:val="-3"/>
          <w:sz w:val="20"/>
          <w:szCs w:val="20"/>
          <w:lang w:val="es-ES_tradnl"/>
        </w:rPr>
        <w:t>Frente a los trámites resta</w:t>
      </w:r>
      <w:r w:rsidR="007D3F7D">
        <w:rPr>
          <w:rFonts w:ascii="Arial" w:hAnsi="Arial" w:cs="Arial"/>
          <w:spacing w:val="-3"/>
          <w:sz w:val="20"/>
          <w:szCs w:val="20"/>
          <w:lang w:val="es-ES_tradnl"/>
        </w:rPr>
        <w:t>ntes (…</w:t>
      </w:r>
      <w:r w:rsidRPr="00FA67BD">
        <w:rPr>
          <w:rFonts w:ascii="Arial" w:hAnsi="Arial" w:cs="Arial"/>
          <w:spacing w:val="-3"/>
          <w:sz w:val="20"/>
          <w:szCs w:val="20"/>
          <w:lang w:val="es-ES_tradnl"/>
        </w:rPr>
        <w:t>) no se agotaron los mecanismos ordinarios y extraordinarios para la defensa judicial, es decir, el requisito de subsidiaridad está incumplido, se itera que el actor debe requerir al juzgado, y sobre ello ninguna prueba obra en esta acción, en consecuencia, habrá de declararse improcedente.</w:t>
      </w:r>
    </w:p>
    <w:p w:rsidR="00FA67BD" w:rsidRPr="00FA67BD" w:rsidRDefault="00FA67BD" w:rsidP="00FA67BD">
      <w:pPr>
        <w:jc w:val="both"/>
        <w:rPr>
          <w:rFonts w:ascii="Arial" w:hAnsi="Arial" w:cs="Arial"/>
          <w:spacing w:val="-3"/>
          <w:sz w:val="20"/>
          <w:szCs w:val="20"/>
          <w:lang w:val="es-ES_tradnl"/>
        </w:rPr>
      </w:pPr>
    </w:p>
    <w:p w:rsidR="00FA67BD" w:rsidRPr="00FA67BD" w:rsidRDefault="00FA67BD" w:rsidP="00FA67BD">
      <w:pPr>
        <w:jc w:val="both"/>
        <w:rPr>
          <w:rFonts w:ascii="Arial" w:hAnsi="Arial" w:cs="Arial"/>
          <w:spacing w:val="-3"/>
          <w:sz w:val="20"/>
          <w:szCs w:val="20"/>
          <w:lang w:val="es-ES_tradnl"/>
        </w:rPr>
      </w:pPr>
      <w:r w:rsidRPr="00FA67BD">
        <w:rPr>
          <w:rFonts w:ascii="Arial" w:hAnsi="Arial" w:cs="Arial"/>
          <w:spacing w:val="-3"/>
          <w:sz w:val="20"/>
          <w:szCs w:val="20"/>
          <w:lang w:val="es-ES_tradnl"/>
        </w:rPr>
        <w:t>En efecto, el accionado se halla retardado para emitir los pronunciamientos definitivos, sin embargo, acreditó tener varios asuntos a despacho con prelación legal p</w:t>
      </w:r>
      <w:r w:rsidR="00584327">
        <w:rPr>
          <w:rFonts w:ascii="Arial" w:hAnsi="Arial" w:cs="Arial"/>
          <w:spacing w:val="-3"/>
          <w:sz w:val="20"/>
          <w:szCs w:val="20"/>
          <w:lang w:val="es-ES_tradnl"/>
        </w:rPr>
        <w:t>ara decidir (…</w:t>
      </w:r>
      <w:r w:rsidRPr="00FA67BD">
        <w:rPr>
          <w:rFonts w:ascii="Arial" w:hAnsi="Arial" w:cs="Arial"/>
          <w:spacing w:val="-3"/>
          <w:sz w:val="20"/>
          <w:szCs w:val="20"/>
          <w:lang w:val="es-ES_tradnl"/>
        </w:rPr>
        <w:t xml:space="preserve">), es decir, la mora se encuentra debidamente </w:t>
      </w:r>
      <w:r w:rsidR="00594001">
        <w:rPr>
          <w:rFonts w:ascii="Arial" w:hAnsi="Arial" w:cs="Arial"/>
          <w:spacing w:val="-3"/>
          <w:sz w:val="20"/>
          <w:szCs w:val="20"/>
          <w:lang w:val="es-ES_tradnl"/>
        </w:rPr>
        <w:t>justificada</w:t>
      </w:r>
      <w:r w:rsidR="00584327">
        <w:rPr>
          <w:rFonts w:ascii="Arial" w:hAnsi="Arial" w:cs="Arial"/>
          <w:spacing w:val="-3"/>
          <w:sz w:val="20"/>
          <w:szCs w:val="20"/>
          <w:lang w:val="es-ES_tradnl"/>
        </w:rPr>
        <w:t xml:space="preserve"> (…)”</w:t>
      </w:r>
    </w:p>
    <w:p w:rsidR="00FA67BD" w:rsidRPr="00AB2720" w:rsidRDefault="00FA67BD" w:rsidP="00FA67BD">
      <w:pPr>
        <w:jc w:val="both"/>
        <w:rPr>
          <w:rFonts w:ascii="Arial" w:hAnsi="Arial"/>
          <w:sz w:val="20"/>
          <w:szCs w:val="20"/>
        </w:rPr>
      </w:pPr>
    </w:p>
    <w:p w:rsidR="004F6D7F" w:rsidRPr="00AB2720" w:rsidRDefault="004F6D7F" w:rsidP="004F6D7F">
      <w:pPr>
        <w:jc w:val="both"/>
        <w:rPr>
          <w:rFonts w:ascii="Arial" w:hAnsi="Arial" w:cs="Arial"/>
          <w:sz w:val="20"/>
          <w:szCs w:val="20"/>
        </w:rPr>
      </w:pPr>
      <w:r w:rsidRPr="00AB2720">
        <w:rPr>
          <w:rFonts w:ascii="Arial" w:hAnsi="Arial" w:cs="Arial"/>
          <w:sz w:val="20"/>
          <w:szCs w:val="20"/>
        </w:rPr>
        <w:t>ACCIÓN DE TUTELA/ No es un medio para elevar quejas aisladas o sin fundamento.</w:t>
      </w:r>
    </w:p>
    <w:p w:rsidR="004F6D7F" w:rsidRPr="00AB2720" w:rsidRDefault="004F6D7F" w:rsidP="004F6D7F">
      <w:pPr>
        <w:jc w:val="both"/>
        <w:rPr>
          <w:rFonts w:ascii="Arial" w:hAnsi="Arial" w:cs="Arial"/>
          <w:sz w:val="20"/>
          <w:szCs w:val="20"/>
        </w:rPr>
      </w:pPr>
    </w:p>
    <w:p w:rsidR="004F6D7F" w:rsidRPr="00AB2720" w:rsidRDefault="004F6D7F" w:rsidP="004F6D7F">
      <w:pPr>
        <w:pStyle w:val="Textoindependiente"/>
        <w:spacing w:line="240" w:lineRule="auto"/>
        <w:rPr>
          <w:rFonts w:ascii="Arial" w:hAnsi="Arial" w:cs="Arial"/>
          <w:spacing w:val="3"/>
          <w:sz w:val="20"/>
        </w:rPr>
      </w:pPr>
      <w:r w:rsidRPr="00AB2720">
        <w:rPr>
          <w:rFonts w:ascii="Arial" w:hAnsi="Arial" w:cs="Arial"/>
          <w:iCs/>
          <w:sz w:val="20"/>
          <w:lang w:eastAsia="es-CO"/>
        </w:rPr>
        <w:t>“</w:t>
      </w:r>
      <w:r w:rsidR="00584327" w:rsidRPr="00584327">
        <w:rPr>
          <w:rFonts w:ascii="Arial" w:hAnsi="Arial" w:cs="Arial"/>
          <w:iCs/>
          <w:sz w:val="20"/>
          <w:lang w:eastAsia="es-CO"/>
        </w:rPr>
        <w:t xml:space="preserve">En lo relativo a la pretensión de adelantar simultáneamente la presente acción frente a la Defensoría del Pueblo de Caldas, hay que precisar, que de los hechos no se advierte conducta que amerite tramitarla </w:t>
      </w:r>
      <w:r w:rsidRPr="00AB2720">
        <w:rPr>
          <w:rFonts w:ascii="Arial" w:hAnsi="Arial" w:cs="Arial"/>
          <w:iCs/>
          <w:sz w:val="20"/>
          <w:lang w:eastAsia="es-CO"/>
        </w:rPr>
        <w:t>(…)”</w:t>
      </w:r>
    </w:p>
    <w:p w:rsidR="004F6D7F" w:rsidRPr="00AB2720" w:rsidRDefault="004F6D7F" w:rsidP="004F6D7F">
      <w:pPr>
        <w:pStyle w:val="Textoindependiente"/>
        <w:tabs>
          <w:tab w:val="clear" w:pos="0"/>
        </w:tabs>
        <w:suppressAutoHyphens w:val="0"/>
        <w:overflowPunct/>
        <w:autoSpaceDE/>
        <w:adjustRightInd/>
        <w:spacing w:line="240" w:lineRule="auto"/>
        <w:rPr>
          <w:rFonts w:ascii="Arial" w:hAnsi="Arial" w:cs="Arial"/>
          <w:szCs w:val="24"/>
          <w:lang w:val="es-ES"/>
        </w:rPr>
      </w:pPr>
    </w:p>
    <w:p w:rsidR="004F6D7F" w:rsidRPr="00202D2B" w:rsidRDefault="004F6D7F" w:rsidP="004F6D7F">
      <w:pPr>
        <w:jc w:val="both"/>
        <w:rPr>
          <w:rFonts w:ascii="Arial" w:hAnsi="Arial" w:cs="Arial"/>
          <w:spacing w:val="-12"/>
          <w:sz w:val="16"/>
          <w:szCs w:val="16"/>
          <w:lang w:val="es-CO"/>
        </w:rPr>
      </w:pPr>
      <w:r w:rsidRPr="00202D2B">
        <w:rPr>
          <w:rFonts w:ascii="Arial" w:hAnsi="Arial" w:cs="Arial"/>
          <w:bCs/>
          <w:iCs/>
          <w:spacing w:val="-12"/>
          <w:sz w:val="16"/>
          <w:szCs w:val="16"/>
          <w:lang w:val="es-CO"/>
        </w:rPr>
        <w:t xml:space="preserve">Citas: </w:t>
      </w:r>
      <w:r w:rsidRPr="00202D2B">
        <w:rPr>
          <w:rFonts w:ascii="Arial" w:hAnsi="Arial" w:cs="Arial"/>
          <w:spacing w:val="-12"/>
          <w:sz w:val="16"/>
          <w:szCs w:val="16"/>
          <w:lang w:val="es-CO"/>
        </w:rPr>
        <w:t xml:space="preserve">Corte Constitucional, sentencias T-134 de 1994, </w:t>
      </w:r>
      <w:r w:rsidR="00CE4057" w:rsidRPr="00202D2B">
        <w:rPr>
          <w:rFonts w:ascii="Arial" w:hAnsi="Arial" w:cs="Arial"/>
          <w:spacing w:val="-12"/>
          <w:sz w:val="16"/>
          <w:szCs w:val="16"/>
          <w:lang w:val="es-CO"/>
        </w:rPr>
        <w:t xml:space="preserve">T-668 de 1996, </w:t>
      </w:r>
      <w:r w:rsidRPr="00202D2B">
        <w:rPr>
          <w:rFonts w:ascii="Arial" w:hAnsi="Arial" w:cs="Arial"/>
          <w:spacing w:val="-12"/>
          <w:sz w:val="16"/>
          <w:szCs w:val="16"/>
          <w:lang w:val="es-CO"/>
        </w:rPr>
        <w:t xml:space="preserve">T-567 de 1998, </w:t>
      </w:r>
      <w:r w:rsidR="00C16FCC" w:rsidRPr="00202D2B">
        <w:rPr>
          <w:rFonts w:ascii="Arial" w:hAnsi="Arial" w:cs="Arial"/>
          <w:spacing w:val="-12"/>
          <w:sz w:val="16"/>
          <w:szCs w:val="16"/>
          <w:lang w:val="es-CO"/>
        </w:rPr>
        <w:t xml:space="preserve">T-243 de 2000, </w:t>
      </w:r>
      <w:r w:rsidR="00727FF3" w:rsidRPr="00202D2B">
        <w:rPr>
          <w:rFonts w:ascii="Arial" w:hAnsi="Arial" w:cs="Arial"/>
          <w:spacing w:val="-12"/>
          <w:sz w:val="16"/>
          <w:szCs w:val="16"/>
          <w:lang w:val="es-CO"/>
        </w:rPr>
        <w:t xml:space="preserve">T-1249 de 2004, T-366 y </w:t>
      </w:r>
      <w:r w:rsidRPr="00202D2B">
        <w:rPr>
          <w:rFonts w:ascii="Arial" w:hAnsi="Arial" w:cs="Arial"/>
          <w:spacing w:val="-12"/>
          <w:sz w:val="16"/>
          <w:szCs w:val="16"/>
          <w:lang w:val="es-CO"/>
        </w:rPr>
        <w:t xml:space="preserve">C-590 de 2005, </w:t>
      </w:r>
      <w:r w:rsidR="00FA5938" w:rsidRPr="00202D2B">
        <w:rPr>
          <w:rFonts w:ascii="Arial" w:hAnsi="Arial" w:cs="Arial"/>
          <w:spacing w:val="-12"/>
          <w:sz w:val="16"/>
          <w:szCs w:val="16"/>
          <w:lang w:val="es-CO"/>
        </w:rPr>
        <w:t xml:space="preserve">T-708 de 2006, T-220 de 2007, </w:t>
      </w:r>
      <w:r w:rsidR="00480B95" w:rsidRPr="00202D2B">
        <w:rPr>
          <w:rFonts w:ascii="Arial" w:hAnsi="Arial" w:cs="Arial"/>
          <w:spacing w:val="-12"/>
          <w:sz w:val="16"/>
          <w:szCs w:val="16"/>
          <w:lang w:val="es-CO"/>
        </w:rPr>
        <w:t>T-945A de 2008</w:t>
      </w:r>
      <w:r w:rsidR="00594001">
        <w:rPr>
          <w:rFonts w:ascii="Arial" w:hAnsi="Arial" w:cs="Arial"/>
          <w:spacing w:val="-12"/>
          <w:sz w:val="16"/>
          <w:szCs w:val="16"/>
          <w:lang w:val="es-CO"/>
        </w:rPr>
        <w:t xml:space="preserve">, </w:t>
      </w:r>
      <w:r w:rsidR="006379D5" w:rsidRPr="00202D2B">
        <w:rPr>
          <w:rFonts w:ascii="Arial" w:hAnsi="Arial" w:cs="Arial"/>
          <w:spacing w:val="-12"/>
          <w:sz w:val="16"/>
          <w:szCs w:val="16"/>
          <w:lang w:val="es-CO"/>
        </w:rPr>
        <w:t>T-917 de 2011, T-145 de 2012</w:t>
      </w:r>
      <w:r w:rsidRPr="00202D2B">
        <w:rPr>
          <w:rFonts w:ascii="Arial" w:hAnsi="Arial" w:cs="Arial"/>
          <w:spacing w:val="-12"/>
          <w:sz w:val="16"/>
          <w:szCs w:val="16"/>
          <w:lang w:val="es-CO"/>
        </w:rPr>
        <w:t>,</w:t>
      </w:r>
      <w:r w:rsidRPr="00202D2B">
        <w:rPr>
          <w:rFonts w:ascii="Arial" w:hAnsi="Arial" w:cs="Arial"/>
          <w:i/>
          <w:spacing w:val="-12"/>
          <w:sz w:val="16"/>
          <w:szCs w:val="16"/>
          <w:lang w:val="es-CO"/>
        </w:rPr>
        <w:t xml:space="preserve"> </w:t>
      </w:r>
      <w:r w:rsidR="00CE4057" w:rsidRPr="00202D2B">
        <w:rPr>
          <w:rFonts w:ascii="Arial" w:hAnsi="Arial" w:cs="Arial"/>
          <w:spacing w:val="-12"/>
          <w:sz w:val="16"/>
          <w:szCs w:val="16"/>
          <w:lang w:val="es-CO"/>
        </w:rPr>
        <w:t xml:space="preserve">T-230 y </w:t>
      </w:r>
      <w:r w:rsidRPr="00202D2B">
        <w:rPr>
          <w:rFonts w:ascii="Arial" w:hAnsi="Arial" w:cs="Arial"/>
          <w:spacing w:val="-12"/>
          <w:sz w:val="16"/>
          <w:szCs w:val="16"/>
          <w:lang w:val="es-CO"/>
        </w:rPr>
        <w:t>T-662 de 2013,</w:t>
      </w:r>
      <w:r w:rsidRPr="00202D2B">
        <w:rPr>
          <w:rFonts w:ascii="Arial" w:hAnsi="Arial" w:cs="Arial"/>
          <w:i/>
          <w:spacing w:val="-12"/>
          <w:sz w:val="16"/>
          <w:szCs w:val="16"/>
          <w:lang w:val="es-CO"/>
        </w:rPr>
        <w:t xml:space="preserve"> </w:t>
      </w:r>
      <w:r w:rsidRPr="00202D2B">
        <w:rPr>
          <w:rFonts w:ascii="Arial" w:hAnsi="Arial" w:cs="Arial"/>
          <w:spacing w:val="-12"/>
          <w:sz w:val="16"/>
          <w:szCs w:val="16"/>
          <w:lang w:val="es-CO"/>
        </w:rPr>
        <w:t>T-103 de 2014,</w:t>
      </w:r>
      <w:r w:rsidRPr="00202D2B">
        <w:rPr>
          <w:rFonts w:ascii="Arial" w:hAnsi="Arial" w:cs="Arial"/>
          <w:i/>
          <w:spacing w:val="-12"/>
          <w:sz w:val="16"/>
          <w:szCs w:val="16"/>
          <w:lang w:val="es-CO"/>
        </w:rPr>
        <w:t xml:space="preserve"> </w:t>
      </w:r>
      <w:r w:rsidRPr="00202D2B">
        <w:rPr>
          <w:rFonts w:ascii="Arial" w:hAnsi="Arial" w:cs="Arial"/>
          <w:spacing w:val="-12"/>
          <w:sz w:val="16"/>
          <w:szCs w:val="16"/>
          <w:lang w:val="es-CO"/>
        </w:rPr>
        <w:t>T-064 y T-307 de 2015; Corte Suprema de Justicia. Sala Civil, providencias del 2 de septiembre de 2014 –rad.</w:t>
      </w:r>
      <w:r w:rsidR="002458FD" w:rsidRPr="00202D2B">
        <w:rPr>
          <w:rFonts w:ascii="Arial" w:hAnsi="Arial" w:cs="Arial"/>
          <w:spacing w:val="-12"/>
          <w:sz w:val="16"/>
          <w:szCs w:val="16"/>
          <w:lang w:val="es-CO"/>
        </w:rPr>
        <w:t xml:space="preserve"> 23001-22-14-000-2014-00097-01- y</w:t>
      </w:r>
      <w:r w:rsidRPr="00202D2B">
        <w:rPr>
          <w:rFonts w:ascii="Arial" w:hAnsi="Arial" w:cs="Arial"/>
          <w:spacing w:val="-12"/>
          <w:sz w:val="16"/>
          <w:szCs w:val="16"/>
          <w:lang w:val="es-CO"/>
        </w:rPr>
        <w:t xml:space="preserve"> del 26 de noviembre de 2015 -rad. 66001-22-13-000-2015-00749-01-;</w:t>
      </w:r>
      <w:r w:rsidR="00C52314" w:rsidRPr="00202D2B">
        <w:rPr>
          <w:rFonts w:ascii="Arial" w:hAnsi="Arial" w:cs="Arial"/>
          <w:spacing w:val="-12"/>
          <w:sz w:val="16"/>
          <w:szCs w:val="16"/>
          <w:lang w:val="es-CO"/>
        </w:rPr>
        <w:t xml:space="preserve"> Tribunal Superior de Pereira, Sala Civil </w:t>
      </w:r>
      <w:r w:rsidR="0048252E" w:rsidRPr="00202D2B">
        <w:rPr>
          <w:rFonts w:ascii="Arial" w:hAnsi="Arial" w:cs="Arial"/>
          <w:spacing w:val="-12"/>
          <w:sz w:val="16"/>
          <w:szCs w:val="16"/>
          <w:lang w:val="es-CO"/>
        </w:rPr>
        <w:t>–</w:t>
      </w:r>
      <w:r w:rsidR="00C52314" w:rsidRPr="00202D2B">
        <w:rPr>
          <w:rFonts w:ascii="Arial" w:hAnsi="Arial" w:cs="Arial"/>
          <w:spacing w:val="-12"/>
          <w:sz w:val="16"/>
          <w:szCs w:val="16"/>
          <w:lang w:val="es-CO"/>
        </w:rPr>
        <w:t xml:space="preserve"> Familia</w:t>
      </w:r>
      <w:r w:rsidR="0048252E" w:rsidRPr="00202D2B">
        <w:rPr>
          <w:rFonts w:ascii="Arial" w:hAnsi="Arial" w:cs="Arial"/>
          <w:spacing w:val="-12"/>
          <w:sz w:val="16"/>
          <w:szCs w:val="16"/>
          <w:lang w:val="es-CO"/>
        </w:rPr>
        <w:t xml:space="preserve">, sentencias </w:t>
      </w:r>
      <w:r w:rsidR="00B12B45" w:rsidRPr="00202D2B">
        <w:rPr>
          <w:rFonts w:ascii="Arial" w:hAnsi="Arial" w:cs="Arial"/>
          <w:spacing w:val="-12"/>
          <w:sz w:val="16"/>
          <w:szCs w:val="16"/>
          <w:lang w:val="es-CO"/>
        </w:rPr>
        <w:t>del 22 de septiembre de 2015 -rad. 2015-00490-00, 2015-00495</w:t>
      </w:r>
      <w:r w:rsidR="00376E69">
        <w:rPr>
          <w:rFonts w:ascii="Arial" w:hAnsi="Arial" w:cs="Arial"/>
          <w:spacing w:val="-12"/>
          <w:sz w:val="16"/>
          <w:szCs w:val="16"/>
          <w:lang w:val="es-CO"/>
        </w:rPr>
        <w:t>,</w:t>
      </w:r>
      <w:r w:rsidR="00B12B45" w:rsidRPr="00202D2B">
        <w:rPr>
          <w:rFonts w:ascii="Arial" w:hAnsi="Arial" w:cs="Arial"/>
          <w:spacing w:val="-12"/>
          <w:sz w:val="16"/>
          <w:szCs w:val="16"/>
          <w:lang w:val="es-CO"/>
        </w:rPr>
        <w:t xml:space="preserve"> </w:t>
      </w:r>
      <w:r w:rsidR="00376E69">
        <w:rPr>
          <w:rFonts w:ascii="Arial" w:hAnsi="Arial" w:cs="Arial"/>
          <w:spacing w:val="-12"/>
          <w:sz w:val="16"/>
          <w:szCs w:val="16"/>
          <w:lang w:val="es-CO"/>
        </w:rPr>
        <w:t>2015-00485</w:t>
      </w:r>
      <w:r w:rsidR="00B705C4" w:rsidRPr="00202D2B">
        <w:rPr>
          <w:rFonts w:ascii="Arial" w:hAnsi="Arial" w:cs="Arial"/>
          <w:spacing w:val="-12"/>
          <w:sz w:val="16"/>
          <w:szCs w:val="16"/>
          <w:lang w:val="es-CO"/>
        </w:rPr>
        <w:t xml:space="preserve"> y 2015-00511-</w:t>
      </w:r>
      <w:r w:rsidR="00332375" w:rsidRPr="00202D2B">
        <w:rPr>
          <w:rFonts w:ascii="Arial" w:hAnsi="Arial" w:cs="Arial"/>
          <w:spacing w:val="-12"/>
          <w:sz w:val="16"/>
          <w:szCs w:val="16"/>
          <w:lang w:val="es-CO"/>
        </w:rPr>
        <w:t xml:space="preserve"> y</w:t>
      </w:r>
      <w:r w:rsidR="00B12B45" w:rsidRPr="00202D2B">
        <w:rPr>
          <w:rFonts w:ascii="Arial" w:hAnsi="Arial" w:cs="Arial"/>
          <w:spacing w:val="-12"/>
          <w:sz w:val="16"/>
          <w:szCs w:val="16"/>
          <w:lang w:val="es-CO"/>
        </w:rPr>
        <w:t xml:space="preserve"> </w:t>
      </w:r>
      <w:bookmarkStart w:id="0" w:name="_GoBack"/>
      <w:bookmarkEnd w:id="0"/>
      <w:r w:rsidR="0048252E" w:rsidRPr="00202D2B">
        <w:rPr>
          <w:rFonts w:ascii="Arial" w:hAnsi="Arial" w:cs="Arial"/>
          <w:spacing w:val="-12"/>
          <w:sz w:val="16"/>
          <w:szCs w:val="16"/>
          <w:lang w:val="es-CO"/>
        </w:rPr>
        <w:t>del 9 de diciembre de 2015 -rad. 2015-00898-</w:t>
      </w:r>
      <w:r w:rsidR="00E32702" w:rsidRPr="00202D2B">
        <w:rPr>
          <w:rFonts w:ascii="Arial" w:hAnsi="Arial" w:cs="Arial"/>
          <w:spacing w:val="-12"/>
          <w:sz w:val="16"/>
          <w:szCs w:val="16"/>
          <w:lang w:val="es-CO"/>
        </w:rPr>
        <w:t xml:space="preserve">; </w:t>
      </w:r>
      <w:r w:rsidRPr="00202D2B">
        <w:rPr>
          <w:rFonts w:ascii="Arial" w:hAnsi="Arial" w:cs="Arial"/>
          <w:spacing w:val="-12"/>
          <w:sz w:val="16"/>
          <w:szCs w:val="16"/>
          <w:lang w:val="es-CO"/>
        </w:rPr>
        <w:t>doctrina: BOTERO MARINO, Catalina. “La acción de tutela en el ordenamiento constitucional colombiano”, Escuela Judicial Rodrigo Lara Bonilla, Ediprime Ltda., Bogotá D.C., 2006.</w:t>
      </w:r>
      <w:r w:rsidRPr="00202D2B">
        <w:rPr>
          <w:rFonts w:ascii="Arial" w:hAnsi="Arial" w:cs="Arial"/>
          <w:i/>
          <w:spacing w:val="-12"/>
          <w:sz w:val="16"/>
          <w:szCs w:val="16"/>
          <w:lang w:val="es-CO"/>
        </w:rPr>
        <w:t xml:space="preserve"> </w:t>
      </w:r>
      <w:r w:rsidRPr="00202D2B">
        <w:rPr>
          <w:rFonts w:ascii="Arial" w:hAnsi="Arial" w:cs="Arial"/>
          <w:spacing w:val="-12"/>
          <w:sz w:val="16"/>
          <w:szCs w:val="16"/>
          <w:lang w:val="es-CO"/>
        </w:rPr>
        <w:t>QUINCHE RAMÍREZ, Manuel Fernando. “Vías de hecho, acción de tutela contra providencias”, Editorial Temis S.A., Bogotá D.C., 2013.</w:t>
      </w:r>
    </w:p>
    <w:p w:rsidR="008965E0" w:rsidRDefault="008965E0" w:rsidP="00202D2B">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Juzgado Segundo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 xml:space="preserve">2016-00028-00 </w:t>
      </w:r>
      <w:r w:rsidRPr="00A00766">
        <w:rPr>
          <w:rFonts w:ascii="Arial" w:hAnsi="Arial" w:cs="Arial"/>
          <w:sz w:val="22"/>
        </w:rPr>
        <w:t>(Interno No.</w:t>
      </w:r>
      <w:r w:rsidR="00104367">
        <w:rPr>
          <w:rFonts w:ascii="Arial" w:hAnsi="Arial" w:cs="Arial"/>
          <w:sz w:val="22"/>
        </w:rPr>
        <w:t>28</w:t>
      </w:r>
      <w:r w:rsidRPr="00A00766">
        <w:rPr>
          <w:rFonts w:ascii="Arial" w:hAnsi="Arial" w:cs="Arial"/>
          <w:sz w:val="22"/>
        </w:rPr>
        <w:t xml:space="preserve">) </w:t>
      </w:r>
      <w:r w:rsidR="00104367">
        <w:rPr>
          <w:rFonts w:ascii="Arial" w:hAnsi="Arial" w:cs="Arial"/>
          <w:sz w:val="22"/>
        </w:rPr>
        <w:t>y otras 2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r w:rsidR="00157CDD">
        <w:rPr>
          <w:rFonts w:ascii="Arial" w:hAnsi="Arial" w:cs="Arial"/>
          <w:sz w:val="22"/>
          <w:szCs w:val="22"/>
        </w:rPr>
        <w:t>- Mora Judicial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A321AB">
        <w:rPr>
          <w:rFonts w:ascii="Arial" w:hAnsi="Arial"/>
          <w:sz w:val="22"/>
          <w:szCs w:val="22"/>
        </w:rPr>
        <w:t>65 de 11-02-2016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104367">
        <w:rPr>
          <w:rFonts w:ascii="Arial" w:hAnsi="Arial" w:cs="Arial"/>
          <w:iCs/>
          <w:smallCaps/>
          <w:szCs w:val="28"/>
          <w:lang w:val="es-CO"/>
        </w:rPr>
        <w:t>R.,</w:t>
      </w:r>
      <w:r w:rsidRPr="000B1B68">
        <w:rPr>
          <w:rFonts w:ascii="Arial" w:hAnsi="Arial" w:cs="Arial"/>
          <w:iCs/>
          <w:smallCaps/>
          <w:szCs w:val="28"/>
          <w:lang w:val="es-CO"/>
        </w:rPr>
        <w:t xml:space="preserve"> </w:t>
      </w:r>
      <w:r w:rsidR="00A321AB">
        <w:rPr>
          <w:rFonts w:ascii="Arial" w:hAnsi="Arial" w:cs="Arial"/>
          <w:iCs/>
          <w:smallCaps/>
          <w:szCs w:val="28"/>
          <w:lang w:val="es-CO"/>
        </w:rPr>
        <w:t>once</w:t>
      </w:r>
      <w:r w:rsidR="00104367">
        <w:rPr>
          <w:rFonts w:ascii="Arial" w:hAnsi="Arial" w:cs="Arial"/>
          <w:iCs/>
          <w:smallCaps/>
          <w:szCs w:val="28"/>
          <w:lang w:val="es-CO"/>
        </w:rPr>
        <w:t xml:space="preserve"> </w:t>
      </w:r>
      <w:r w:rsidR="00437198">
        <w:rPr>
          <w:rFonts w:ascii="Arial" w:hAnsi="Arial" w:cs="Arial"/>
          <w:iCs/>
          <w:smallCaps/>
          <w:szCs w:val="28"/>
          <w:lang w:val="es-CO"/>
        </w:rPr>
        <w:t>(</w:t>
      </w:r>
      <w:r w:rsidR="00A321AB">
        <w:rPr>
          <w:rFonts w:ascii="Arial" w:hAnsi="Arial" w:cs="Arial"/>
          <w:iCs/>
          <w:smallCaps/>
          <w:szCs w:val="28"/>
          <w:lang w:val="es-CO"/>
        </w:rPr>
        <w:t>11</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104367">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104367">
        <w:rPr>
          <w:rFonts w:ascii="Arial" w:hAnsi="Arial" w:cs="Arial"/>
          <w:iCs/>
          <w:smallCaps/>
          <w:szCs w:val="28"/>
          <w:lang w:val="es-CO"/>
        </w:rPr>
        <w:t xml:space="preserve">dieciséis </w:t>
      </w:r>
      <w:r w:rsidRPr="000B1B68">
        <w:rPr>
          <w:rFonts w:ascii="Arial" w:hAnsi="Arial" w:cs="Arial"/>
          <w:iCs/>
          <w:smallCaps/>
          <w:szCs w:val="28"/>
          <w:lang w:val="es-CO"/>
        </w:rPr>
        <w:t>(</w:t>
      </w:r>
      <w:r w:rsidR="00104367">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104367" w:rsidRDefault="00104367" w:rsidP="00104367">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 xml:space="preserve">radicadas a los Nos.2016-00028-00, 2016-00034-00 y 2016-00037-00,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0147A2" w:rsidRDefault="000147A2" w:rsidP="0099045D">
      <w:pPr>
        <w:pStyle w:val="Textoindependiente"/>
        <w:spacing w:line="360" w:lineRule="auto"/>
        <w:rPr>
          <w:rFonts w:ascii="Arial" w:hAnsi="Arial"/>
          <w:szCs w:val="24"/>
        </w:rPr>
      </w:pPr>
    </w:p>
    <w:p w:rsidR="00104367" w:rsidRPr="00BA69B4" w:rsidRDefault="00104367"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accionado, las acciones populares radicadas a los Nos.2015-00074-00, 2014-00150-00 y 2014-00151-00, </w:t>
      </w:r>
      <w:r w:rsidRPr="00AB48A7">
        <w:rPr>
          <w:rFonts w:ascii="Arial" w:hAnsi="Arial" w:cs="Arial"/>
        </w:rPr>
        <w:t xml:space="preserve">que </w:t>
      </w:r>
      <w:r>
        <w:rPr>
          <w:rFonts w:ascii="Arial" w:hAnsi="Arial" w:cs="Arial"/>
        </w:rPr>
        <w:t>ingresaron a despacho para sentencia, a la fecha no han sido falladas y los términos se encuentran vencidos</w:t>
      </w:r>
      <w:r w:rsidRPr="00AF753A">
        <w:rPr>
          <w:rFonts w:ascii="Arial" w:hAnsi="Arial" w:cs="Arial"/>
        </w:rPr>
        <w:t xml:space="preserve"> </w:t>
      </w:r>
      <w:r w:rsidR="004B1EB8" w:rsidRPr="00AF753A">
        <w:rPr>
          <w:rFonts w:ascii="Arial" w:hAnsi="Arial" w:cs="Arial"/>
        </w:rPr>
        <w:t>(Folio</w:t>
      </w:r>
      <w:r w:rsidR="004B1EB8">
        <w:rPr>
          <w:rFonts w:ascii="Arial" w:hAnsi="Arial" w:cs="Arial"/>
        </w:rPr>
        <w:t xml:space="preserve"> 1</w:t>
      </w:r>
      <w:r w:rsidR="004B1EB8" w:rsidRPr="00AF753A">
        <w:rPr>
          <w:rFonts w:ascii="Arial" w:hAnsi="Arial" w:cs="Arial"/>
        </w:rPr>
        <w:t xml:space="preserve">, </w:t>
      </w:r>
      <w:r w:rsidR="004B1EB8">
        <w:rPr>
          <w:rFonts w:ascii="Arial" w:hAnsi="Arial" w:cs="Arial"/>
        </w:rPr>
        <w:t>del cuaderno No.1)</w:t>
      </w:r>
      <w:r w:rsidR="004B1EB8" w:rsidRPr="00AF753A">
        <w:rPr>
          <w:rFonts w:ascii="Arial" w:hAnsi="Arial" w:cs="Arial"/>
        </w:rPr>
        <w:t xml:space="preserve">. </w:t>
      </w:r>
    </w:p>
    <w:p w:rsidR="00EC57DE" w:rsidRPr="00BA69B4" w:rsidRDefault="00EC57DE" w:rsidP="0099045D">
      <w:pPr>
        <w:pStyle w:val="Textoindependiente"/>
        <w:spacing w:line="360" w:lineRule="auto"/>
        <w:rPr>
          <w:rFonts w:ascii="Arial" w:hAnsi="Arial"/>
          <w:szCs w:val="24"/>
          <w:lang w:val="es-CO"/>
        </w:rPr>
      </w:pPr>
    </w:p>
    <w:p w:rsidR="002B0607" w:rsidRPr="00BA69B4"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debida administración de justicia.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Textoindependiente"/>
        <w:spacing w:line="360" w:lineRule="auto"/>
        <w:ind w:left="360"/>
        <w:rPr>
          <w:rFonts w:ascii="Arial" w:hAnsi="Arial"/>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proferir </w:t>
      </w:r>
      <w:r w:rsidR="00104367">
        <w:rPr>
          <w:rFonts w:ascii="Arial" w:hAnsi="Arial" w:cs="Arial"/>
          <w:szCs w:val="24"/>
        </w:rPr>
        <w:t xml:space="preserve">las </w:t>
      </w:r>
      <w:r>
        <w:rPr>
          <w:rFonts w:ascii="Arial" w:hAnsi="Arial" w:cs="Arial"/>
          <w:szCs w:val="24"/>
        </w:rPr>
        <w:t>sentencia</w:t>
      </w:r>
      <w:r w:rsidR="00104367">
        <w:rPr>
          <w:rFonts w:ascii="Arial" w:hAnsi="Arial" w:cs="Arial"/>
          <w:szCs w:val="24"/>
        </w:rPr>
        <w:t>s</w:t>
      </w:r>
      <w:r>
        <w:rPr>
          <w:rFonts w:ascii="Arial" w:hAnsi="Arial" w:cs="Arial"/>
          <w:szCs w:val="24"/>
        </w:rPr>
        <w:t xml:space="preserve"> en forma inmediata y sin dilación; (iii) Se sancione al accionado por incumplir los términos para proferir </w:t>
      </w:r>
      <w:r w:rsidR="00104367">
        <w:rPr>
          <w:rFonts w:ascii="Arial" w:hAnsi="Arial" w:cs="Arial"/>
          <w:szCs w:val="24"/>
        </w:rPr>
        <w:t>las decisiones</w:t>
      </w:r>
      <w:r>
        <w:rPr>
          <w:rFonts w:ascii="Arial" w:hAnsi="Arial" w:cs="Arial"/>
          <w:szCs w:val="24"/>
        </w:rPr>
        <w:t xml:space="preserve">; (iv)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 y, (v) Se tramite, simultáneamente, tutela contra la Defensoría del Pueblo de Caldas</w:t>
      </w:r>
      <w:r w:rsidR="0022407E" w:rsidRPr="005C4C0F">
        <w:rPr>
          <w:rFonts w:ascii="Arial" w:hAnsi="Arial" w:cs="Arial"/>
          <w:szCs w:val="24"/>
        </w:rPr>
        <w:t>.</w:t>
      </w:r>
      <w:r>
        <w:rPr>
          <w:rFonts w:ascii="Arial" w:hAnsi="Arial" w:cs="Arial"/>
          <w:szCs w:val="24"/>
        </w:rPr>
        <w:t xml:space="preserve"> (Folio 1, </w:t>
      </w:r>
      <w:r>
        <w:rPr>
          <w:rFonts w:ascii="Arial" w:hAnsi="Arial" w:cs="Arial"/>
        </w:rPr>
        <w:t>del cuaderno No.1</w:t>
      </w:r>
      <w:r>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B1EB8" w:rsidRPr="004B019A" w:rsidRDefault="004B1EB8" w:rsidP="004B1EB8">
      <w:pPr>
        <w:spacing w:line="360" w:lineRule="auto"/>
        <w:jc w:val="both"/>
        <w:rPr>
          <w:rFonts w:ascii="Arial" w:hAnsi="Arial" w:cs="Arial"/>
        </w:rPr>
      </w:pPr>
      <w:r w:rsidRPr="004B019A">
        <w:rPr>
          <w:rFonts w:ascii="Arial" w:hAnsi="Arial" w:cs="Arial"/>
          <w:color w:val="000000"/>
        </w:rPr>
        <w:t xml:space="preserve">En reparto ordinario del día </w:t>
      </w:r>
      <w:r w:rsidR="0022407E">
        <w:rPr>
          <w:rFonts w:ascii="Arial" w:hAnsi="Arial" w:cs="Arial"/>
          <w:color w:val="000000"/>
        </w:rPr>
        <w:t>28-01-2016 correspondieron</w:t>
      </w:r>
      <w:r w:rsidRPr="004B019A">
        <w:rPr>
          <w:rFonts w:ascii="Arial" w:hAnsi="Arial" w:cs="Arial"/>
          <w:color w:val="000000"/>
        </w:rPr>
        <w:t xml:space="preserve"> a este Despacho</w:t>
      </w:r>
      <w:r w:rsidR="0022407E">
        <w:rPr>
          <w:rFonts w:ascii="Arial" w:hAnsi="Arial" w:cs="Arial"/>
          <w:color w:val="000000"/>
        </w:rPr>
        <w:t xml:space="preserve"> las 3 tutelas acumuladas</w:t>
      </w:r>
      <w:r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l día hábil siguiente, se admitieron</w:t>
      </w:r>
      <w:r w:rsidRPr="004B019A">
        <w:rPr>
          <w:rFonts w:ascii="Arial" w:hAnsi="Arial" w:cs="Arial"/>
          <w:color w:val="000000"/>
        </w:rPr>
        <w:t xml:space="preserve">, </w:t>
      </w:r>
      <w:r w:rsidR="0022407E" w:rsidRPr="008E5A62">
        <w:rPr>
          <w:rFonts w:ascii="Arial" w:hAnsi="Arial"/>
        </w:rPr>
        <w:t xml:space="preserve">se </w:t>
      </w:r>
      <w:r w:rsidR="0022407E">
        <w:rPr>
          <w:rFonts w:ascii="Arial" w:hAnsi="Arial"/>
        </w:rPr>
        <w:t>ordenó vincular</w:t>
      </w:r>
      <w:r w:rsidR="0022407E" w:rsidRPr="008E5A62">
        <w:rPr>
          <w:rFonts w:ascii="Arial" w:hAnsi="Arial"/>
        </w:rPr>
        <w:t xml:space="preserve"> a </w:t>
      </w:r>
      <w:r w:rsidR="0022407E">
        <w:rPr>
          <w:rFonts w:ascii="Arial" w:hAnsi="Arial"/>
        </w:rPr>
        <w:t>quienes se estimó conveniente</w:t>
      </w:r>
      <w:r w:rsidR="0022407E" w:rsidRPr="008E5A62">
        <w:rPr>
          <w:rFonts w:ascii="Arial" w:hAnsi="Arial"/>
        </w:rPr>
        <w:t xml:space="preserve"> y, se dispuso notificar a la partes, entre otros ordenamientos </w:t>
      </w:r>
      <w:r w:rsidRPr="004B019A">
        <w:rPr>
          <w:rFonts w:ascii="Arial" w:hAnsi="Arial" w:cs="Arial"/>
          <w:color w:val="000000"/>
        </w:rPr>
        <w:t xml:space="preserve">(Folios 4 y 5, </w:t>
      </w:r>
      <w:r w:rsidR="0022407E">
        <w:rPr>
          <w:rFonts w:ascii="Arial" w:hAnsi="Arial" w:cs="Arial"/>
          <w:color w:val="000000"/>
        </w:rPr>
        <w:t>del cuaderno No.1</w:t>
      </w:r>
      <w:r w:rsidRPr="004B019A">
        <w:rPr>
          <w:rFonts w:ascii="Arial" w:hAnsi="Arial" w:cs="Arial"/>
          <w:color w:val="000000"/>
        </w:rPr>
        <w:t xml:space="preserve">). Fueron debidamente enterados los extremos de la acción (Folios </w:t>
      </w:r>
      <w:r w:rsidR="00F332AF">
        <w:rPr>
          <w:rFonts w:ascii="Arial" w:hAnsi="Arial" w:cs="Arial"/>
          <w:color w:val="000000"/>
        </w:rPr>
        <w:t>6 a 8 y 35 a 38</w:t>
      </w:r>
      <w:r w:rsidRPr="004B019A">
        <w:rPr>
          <w:rFonts w:ascii="Arial" w:hAnsi="Arial" w:cs="Arial"/>
          <w:color w:val="000000"/>
        </w:rPr>
        <w:t xml:space="preserve">, </w:t>
      </w:r>
      <w:r w:rsidR="00F332AF">
        <w:rPr>
          <w:rFonts w:ascii="Arial" w:hAnsi="Arial" w:cs="Arial"/>
          <w:color w:val="000000"/>
        </w:rPr>
        <w:t>ibídem</w:t>
      </w:r>
      <w:r w:rsidRPr="004B019A">
        <w:rPr>
          <w:rFonts w:ascii="Arial" w:hAnsi="Arial" w:cs="Arial"/>
          <w:color w:val="000000"/>
        </w:rPr>
        <w:t>). Contest</w:t>
      </w:r>
      <w:r w:rsidR="00F20A08">
        <w:rPr>
          <w:rFonts w:ascii="Arial" w:hAnsi="Arial" w:cs="Arial"/>
          <w:color w:val="000000"/>
        </w:rPr>
        <w:t>ó</w:t>
      </w:r>
      <w:r>
        <w:rPr>
          <w:rFonts w:ascii="Arial" w:hAnsi="Arial" w:cs="Arial"/>
          <w:color w:val="000000"/>
        </w:rPr>
        <w:t xml:space="preserve"> </w:t>
      </w:r>
      <w:r>
        <w:rPr>
          <w:rFonts w:ascii="Arial" w:hAnsi="Arial"/>
        </w:rPr>
        <w:t xml:space="preserve">la Procuraduría </w:t>
      </w:r>
      <w:r>
        <w:rPr>
          <w:rFonts w:ascii="Arial" w:hAnsi="Arial" w:cs="Arial"/>
        </w:rPr>
        <w:t xml:space="preserve">de la Nación </w:t>
      </w:r>
      <w:r>
        <w:rPr>
          <w:rFonts w:ascii="Arial" w:hAnsi="Arial"/>
        </w:rPr>
        <w:t>Regional de Risaralda</w:t>
      </w:r>
      <w:r w:rsidR="00F332AF">
        <w:rPr>
          <w:rFonts w:ascii="Arial" w:hAnsi="Arial" w:cs="Arial"/>
        </w:rPr>
        <w:t xml:space="preserve"> (Folio 9</w:t>
      </w:r>
      <w:r w:rsidRPr="004B019A">
        <w:rPr>
          <w:rFonts w:ascii="Arial" w:hAnsi="Arial" w:cs="Arial"/>
        </w:rPr>
        <w:t xml:space="preserve">, </w:t>
      </w:r>
      <w:r w:rsidR="00F332AF">
        <w:rPr>
          <w:rFonts w:ascii="Arial" w:hAnsi="Arial" w:cs="Arial"/>
        </w:rPr>
        <w:t>ibídem</w:t>
      </w:r>
      <w:r w:rsidRPr="004B019A">
        <w:rPr>
          <w:rFonts w:ascii="Arial" w:hAnsi="Arial" w:cs="Arial"/>
        </w:rPr>
        <w:t>)</w:t>
      </w:r>
      <w:r w:rsidR="00827F4A">
        <w:rPr>
          <w:rFonts w:ascii="Arial" w:hAnsi="Arial" w:cs="Arial"/>
        </w:rPr>
        <w:t xml:space="preserve">, </w:t>
      </w:r>
      <w:r w:rsidR="00F332AF">
        <w:rPr>
          <w:rFonts w:ascii="Arial" w:hAnsi="Arial" w:cs="Arial"/>
        </w:rPr>
        <w:t xml:space="preserve">la Personería Municipal de Pereira (Folios 13 a 15, ibídem), la Alcaldía de Pereira (Folios </w:t>
      </w:r>
      <w:r w:rsidR="003F0054">
        <w:rPr>
          <w:rFonts w:ascii="Arial" w:hAnsi="Arial" w:cs="Arial"/>
        </w:rPr>
        <w:t>25 a 30</w:t>
      </w:r>
      <w:r w:rsidR="00F332AF">
        <w:rPr>
          <w:rFonts w:ascii="Arial" w:hAnsi="Arial" w:cs="Arial"/>
        </w:rPr>
        <w:t xml:space="preserve">, ib.), </w:t>
      </w:r>
      <w:r w:rsidR="003F0054">
        <w:rPr>
          <w:rFonts w:ascii="Arial" w:hAnsi="Arial" w:cs="Arial"/>
        </w:rPr>
        <w:t>el Banco WWB SA</w:t>
      </w:r>
      <w:r w:rsidR="00F332AF">
        <w:rPr>
          <w:rFonts w:ascii="Arial" w:hAnsi="Arial" w:cs="Arial"/>
        </w:rPr>
        <w:t xml:space="preserve"> </w:t>
      </w:r>
      <w:r w:rsidR="003F0054">
        <w:rPr>
          <w:rFonts w:ascii="Arial" w:hAnsi="Arial" w:cs="Arial"/>
        </w:rPr>
        <w:t xml:space="preserve">(Folios 39 y 40, ib.), </w:t>
      </w:r>
      <w:r w:rsidR="00827F4A">
        <w:rPr>
          <w:rFonts w:ascii="Arial" w:hAnsi="Arial" w:cs="Arial"/>
        </w:rPr>
        <w:t xml:space="preserve">el accionado (Folios </w:t>
      </w:r>
      <w:r w:rsidR="004809E0">
        <w:rPr>
          <w:rFonts w:ascii="Arial" w:hAnsi="Arial" w:cs="Arial"/>
        </w:rPr>
        <w:t xml:space="preserve">50 a 54, ib.) y la Fundación </w:t>
      </w:r>
      <w:r w:rsidR="004809E0" w:rsidRPr="004809E0">
        <w:rPr>
          <w:rFonts w:ascii="Arial" w:hAnsi="Arial" w:cs="Arial"/>
          <w:i/>
        </w:rPr>
        <w:t>“</w:t>
      </w:r>
      <w:r w:rsidR="008E0188">
        <w:rPr>
          <w:rFonts w:ascii="Arial" w:hAnsi="Arial" w:cs="Arial"/>
          <w:i/>
        </w:rPr>
        <w:t>d</w:t>
      </w:r>
      <w:r w:rsidR="004809E0" w:rsidRPr="004809E0">
        <w:rPr>
          <w:rFonts w:ascii="Arial" w:hAnsi="Arial" w:cs="Arial"/>
          <w:i/>
        </w:rPr>
        <w:t>elamujer”</w:t>
      </w:r>
      <w:r w:rsidR="00827F4A">
        <w:rPr>
          <w:rFonts w:ascii="Arial" w:hAnsi="Arial" w:cs="Arial"/>
        </w:rPr>
        <w:t xml:space="preserve"> (Folios </w:t>
      </w:r>
      <w:r w:rsidR="004809E0">
        <w:rPr>
          <w:rFonts w:ascii="Arial" w:hAnsi="Arial" w:cs="Arial"/>
        </w:rPr>
        <w:t>130 y 131, ib.</w:t>
      </w:r>
      <w:r w:rsidR="00827F4A">
        <w:rPr>
          <w:rFonts w:ascii="Arial" w:hAnsi="Arial" w:cs="Arial"/>
        </w:rPr>
        <w:t>)</w:t>
      </w:r>
      <w:r w:rsidR="004809E0">
        <w:rPr>
          <w:rFonts w:ascii="Arial" w:hAnsi="Arial" w:cs="Arial"/>
        </w:rPr>
        <w:t xml:space="preserve">. La Empresa de Telecomunicaciones de Pereira SA </w:t>
      </w:r>
      <w:r w:rsidR="004809E0" w:rsidRPr="004809E0">
        <w:rPr>
          <w:rFonts w:ascii="Arial" w:hAnsi="Arial" w:cs="Arial"/>
          <w:i/>
        </w:rPr>
        <w:t>“UNE”</w:t>
      </w:r>
      <w:r w:rsidR="00827F4A">
        <w:rPr>
          <w:rFonts w:ascii="Arial" w:hAnsi="Arial" w:cs="Arial"/>
        </w:rPr>
        <w:t xml:space="preserve"> y </w:t>
      </w:r>
      <w:r w:rsidR="004809E0">
        <w:rPr>
          <w:rFonts w:ascii="Arial" w:hAnsi="Arial" w:cs="Arial"/>
        </w:rPr>
        <w:t>la Alcaldìa y Personería, municipales de Santa Rosa de Cabal, guardaron silencio</w:t>
      </w:r>
      <w:r w:rsidR="00827F4A">
        <w:rPr>
          <w:rFonts w:ascii="Arial" w:hAnsi="Arial" w:cs="Arial"/>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Default="00310F89" w:rsidP="00310F89">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FE4ABF" w:rsidP="00310F89">
      <w:pPr>
        <w:spacing w:line="360" w:lineRule="auto"/>
        <w:jc w:val="both"/>
        <w:rPr>
          <w:rFonts w:ascii="Arial" w:hAnsi="Arial"/>
        </w:rPr>
      </w:pPr>
      <w:r>
        <w:rPr>
          <w:rFonts w:ascii="Arial" w:hAnsi="Arial"/>
        </w:rPr>
        <w:t>Rememoró su</w:t>
      </w:r>
      <w:r w:rsidR="00310F89">
        <w:rPr>
          <w:rFonts w:ascii="Arial" w:hAnsi="Arial"/>
        </w:rPr>
        <w:t xml:space="preserve"> papel en las acciones populares, estima que la situación alegada, es ajena a su función, de allí que solicitó su desvinculación (Folio </w:t>
      </w:r>
      <w:r w:rsidR="00827F4A">
        <w:rPr>
          <w:rFonts w:ascii="Arial" w:hAnsi="Arial"/>
        </w:rPr>
        <w:t>8 a 9</w:t>
      </w:r>
      <w:r w:rsidR="00310F89">
        <w:rPr>
          <w:rFonts w:ascii="Arial" w:hAnsi="Arial"/>
        </w:rPr>
        <w:t xml:space="preserve">, ib.). </w:t>
      </w:r>
    </w:p>
    <w:p w:rsidR="00827F4A" w:rsidRDefault="00827F4A" w:rsidP="00310F89">
      <w:pPr>
        <w:spacing w:line="360" w:lineRule="auto"/>
        <w:jc w:val="both"/>
        <w:rPr>
          <w:rFonts w:ascii="Arial" w:hAnsi="Arial"/>
        </w:rPr>
      </w:pPr>
    </w:p>
    <w:p w:rsidR="00AE26BB" w:rsidRDefault="00AE26BB" w:rsidP="00AE26BB">
      <w:pPr>
        <w:pStyle w:val="Prrafodelista"/>
        <w:numPr>
          <w:ilvl w:val="1"/>
          <w:numId w:val="18"/>
        </w:numPr>
        <w:spacing w:line="360" w:lineRule="auto"/>
        <w:jc w:val="both"/>
        <w:rPr>
          <w:rFonts w:ascii="Arial" w:hAnsi="Arial"/>
        </w:rPr>
      </w:pPr>
      <w:r>
        <w:rPr>
          <w:rFonts w:ascii="Arial" w:hAnsi="Arial"/>
        </w:rPr>
        <w:t>La Personería Municipal de Pereira</w:t>
      </w:r>
    </w:p>
    <w:p w:rsidR="00AE26BB" w:rsidRDefault="00AE26BB" w:rsidP="00AE26BB">
      <w:pPr>
        <w:pStyle w:val="Prrafodelista"/>
        <w:spacing w:line="360" w:lineRule="auto"/>
        <w:ind w:left="720"/>
        <w:jc w:val="both"/>
        <w:rPr>
          <w:rFonts w:ascii="Arial" w:hAnsi="Arial"/>
        </w:rPr>
      </w:pPr>
    </w:p>
    <w:p w:rsidR="00622FFC" w:rsidRDefault="00AE26BB" w:rsidP="00AE26BB">
      <w:pPr>
        <w:spacing w:line="360" w:lineRule="auto"/>
        <w:jc w:val="both"/>
        <w:rPr>
          <w:rFonts w:ascii="Arial" w:hAnsi="Arial"/>
        </w:rPr>
      </w:pPr>
      <w:r w:rsidRPr="00AE26BB">
        <w:rPr>
          <w:rFonts w:ascii="Arial" w:hAnsi="Arial"/>
        </w:rPr>
        <w:t>Precisó que el trámite de la acción popular es exclusivo del aparato judicial, por tanto, no puede endilgársele responsabilidad frente a un asunto ajeno a su competencia</w:t>
      </w:r>
      <w:r w:rsidR="00622FFC">
        <w:rPr>
          <w:rFonts w:ascii="Arial" w:hAnsi="Arial"/>
        </w:rPr>
        <w:t xml:space="preserve"> (Folios 13 a 15, ib.).</w:t>
      </w:r>
    </w:p>
    <w:p w:rsidR="00622FFC" w:rsidRDefault="00622FFC" w:rsidP="00AE26BB">
      <w:pPr>
        <w:spacing w:line="360" w:lineRule="auto"/>
        <w:jc w:val="both"/>
        <w:rPr>
          <w:rFonts w:ascii="Arial" w:hAnsi="Arial"/>
        </w:rPr>
      </w:pPr>
    </w:p>
    <w:p w:rsidR="00622FFC" w:rsidRDefault="00622FFC" w:rsidP="00622FFC">
      <w:pPr>
        <w:pStyle w:val="Prrafodelista"/>
        <w:numPr>
          <w:ilvl w:val="1"/>
          <w:numId w:val="18"/>
        </w:numPr>
        <w:spacing w:line="360" w:lineRule="auto"/>
        <w:jc w:val="both"/>
        <w:rPr>
          <w:rFonts w:ascii="Arial" w:hAnsi="Arial"/>
        </w:rPr>
      </w:pPr>
      <w:r>
        <w:rPr>
          <w:rFonts w:ascii="Arial" w:hAnsi="Arial"/>
        </w:rPr>
        <w:t>La Alcaldía de Pereira</w:t>
      </w:r>
    </w:p>
    <w:p w:rsidR="00622FFC" w:rsidRDefault="00622FFC" w:rsidP="00622FFC">
      <w:pPr>
        <w:pStyle w:val="Prrafodelista"/>
        <w:spacing w:line="360" w:lineRule="auto"/>
        <w:ind w:left="0"/>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 (Folios 25 a 30, ib.).</w:t>
      </w:r>
    </w:p>
    <w:p w:rsidR="00622FFC" w:rsidRDefault="00622FFC" w:rsidP="00622FFC">
      <w:pPr>
        <w:pStyle w:val="Prrafodelista"/>
        <w:spacing w:line="360" w:lineRule="auto"/>
        <w:ind w:left="720"/>
        <w:jc w:val="both"/>
        <w:rPr>
          <w:rFonts w:ascii="Arial" w:hAnsi="Arial"/>
        </w:rPr>
      </w:pPr>
    </w:p>
    <w:p w:rsidR="00622FFC" w:rsidRDefault="00622FFC" w:rsidP="00622FFC">
      <w:pPr>
        <w:pStyle w:val="Prrafodelista"/>
        <w:numPr>
          <w:ilvl w:val="1"/>
          <w:numId w:val="18"/>
        </w:numPr>
        <w:spacing w:line="360" w:lineRule="auto"/>
        <w:jc w:val="both"/>
        <w:rPr>
          <w:rFonts w:ascii="Arial" w:hAnsi="Arial"/>
        </w:rPr>
      </w:pPr>
      <w:r>
        <w:rPr>
          <w:rFonts w:ascii="Arial" w:hAnsi="Arial"/>
        </w:rPr>
        <w:t>El Banco WWB SA</w:t>
      </w:r>
    </w:p>
    <w:p w:rsidR="00622FFC" w:rsidRDefault="00622FFC" w:rsidP="00622FFC">
      <w:pPr>
        <w:spacing w:line="360" w:lineRule="auto"/>
        <w:jc w:val="both"/>
        <w:rPr>
          <w:rFonts w:ascii="Arial" w:hAnsi="Arial"/>
        </w:rPr>
      </w:pPr>
    </w:p>
    <w:p w:rsidR="00622FFC" w:rsidRDefault="00622FFC" w:rsidP="00622FFC">
      <w:pPr>
        <w:spacing w:line="360" w:lineRule="auto"/>
        <w:jc w:val="both"/>
        <w:rPr>
          <w:rFonts w:ascii="Arial" w:hAnsi="Arial"/>
        </w:rPr>
      </w:pPr>
      <w:r>
        <w:rPr>
          <w:rFonts w:ascii="Arial" w:hAnsi="Arial"/>
        </w:rPr>
        <w:t>Adujo que no es de su incumbencia la controversia planteada en la tutela, en consecuencia, pide ser desvinculado (Folios 39 y 40, ib.).</w:t>
      </w:r>
    </w:p>
    <w:p w:rsidR="00622FFC" w:rsidRDefault="00622FFC" w:rsidP="00622FFC">
      <w:pPr>
        <w:spacing w:line="360" w:lineRule="auto"/>
        <w:jc w:val="both"/>
        <w:rPr>
          <w:rFonts w:ascii="Arial" w:hAnsi="Arial"/>
        </w:rPr>
      </w:pPr>
    </w:p>
    <w:p w:rsidR="00827F4A" w:rsidRPr="00622FFC" w:rsidRDefault="00827F4A" w:rsidP="00622FFC">
      <w:pPr>
        <w:pStyle w:val="Prrafodelista"/>
        <w:numPr>
          <w:ilvl w:val="1"/>
          <w:numId w:val="18"/>
        </w:numPr>
        <w:spacing w:line="360" w:lineRule="auto"/>
        <w:jc w:val="both"/>
        <w:rPr>
          <w:rFonts w:ascii="Arial" w:hAnsi="Arial"/>
        </w:rPr>
      </w:pPr>
      <w:r w:rsidRPr="00622FFC">
        <w:rPr>
          <w:rFonts w:ascii="Arial" w:hAnsi="Arial"/>
        </w:rPr>
        <w:t>El Juzgado Segundo Civil del Circuito de Pereira</w:t>
      </w:r>
    </w:p>
    <w:p w:rsidR="00827F4A" w:rsidRDefault="00827F4A" w:rsidP="00827F4A">
      <w:pPr>
        <w:spacing w:line="360" w:lineRule="auto"/>
        <w:jc w:val="both"/>
        <w:rPr>
          <w:rFonts w:ascii="Arial" w:hAnsi="Arial"/>
        </w:rPr>
      </w:pPr>
    </w:p>
    <w:p w:rsidR="00827F4A" w:rsidRDefault="008E0188" w:rsidP="00827F4A">
      <w:pPr>
        <w:spacing w:line="360" w:lineRule="auto"/>
        <w:jc w:val="both"/>
        <w:rPr>
          <w:rFonts w:ascii="Arial" w:hAnsi="Arial"/>
        </w:rPr>
      </w:pPr>
      <w:r>
        <w:rPr>
          <w:rFonts w:ascii="Arial" w:hAnsi="Arial"/>
        </w:rPr>
        <w:t>Detalló</w:t>
      </w:r>
      <w:r w:rsidR="00206398">
        <w:rPr>
          <w:rFonts w:ascii="Arial" w:hAnsi="Arial"/>
        </w:rPr>
        <w:t xml:space="preserve"> los procesos que están a despacho para dictar sentencia</w:t>
      </w:r>
      <w:r>
        <w:rPr>
          <w:rFonts w:ascii="Arial" w:hAnsi="Arial"/>
        </w:rPr>
        <w:t>, indicando el orden en que se encuentran las acciones populares, y pidió negar la tutela</w:t>
      </w:r>
      <w:r w:rsidR="00206398">
        <w:rPr>
          <w:rFonts w:ascii="Arial" w:hAnsi="Arial"/>
        </w:rPr>
        <w:t xml:space="preserve"> (Folio </w:t>
      </w:r>
      <w:r>
        <w:rPr>
          <w:rFonts w:ascii="Arial" w:hAnsi="Arial"/>
        </w:rPr>
        <w:t>50 a 51</w:t>
      </w:r>
      <w:r w:rsidR="001235FF">
        <w:rPr>
          <w:rFonts w:ascii="Arial" w:hAnsi="Arial"/>
        </w:rPr>
        <w:t>, ib.</w:t>
      </w:r>
      <w:r w:rsidR="00206398">
        <w:rPr>
          <w:rFonts w:ascii="Arial" w:hAnsi="Arial"/>
        </w:rPr>
        <w:t>)</w:t>
      </w:r>
      <w:r w:rsidR="00FC0892">
        <w:rPr>
          <w:rFonts w:ascii="Arial" w:hAnsi="Arial"/>
        </w:rPr>
        <w:t>.</w:t>
      </w:r>
    </w:p>
    <w:p w:rsidR="00827F4A" w:rsidRDefault="00827F4A" w:rsidP="00206398">
      <w:pPr>
        <w:pStyle w:val="Prrafodelista"/>
        <w:spacing w:line="360" w:lineRule="auto"/>
        <w:ind w:left="720"/>
        <w:jc w:val="both"/>
        <w:rPr>
          <w:rFonts w:ascii="Arial" w:hAnsi="Arial"/>
        </w:rPr>
      </w:pPr>
    </w:p>
    <w:p w:rsidR="00206398" w:rsidRDefault="00206398" w:rsidP="00206398">
      <w:pPr>
        <w:pStyle w:val="Prrafodelista"/>
        <w:numPr>
          <w:ilvl w:val="1"/>
          <w:numId w:val="18"/>
        </w:numPr>
        <w:spacing w:line="360" w:lineRule="auto"/>
        <w:jc w:val="both"/>
        <w:rPr>
          <w:rFonts w:ascii="Arial" w:hAnsi="Arial"/>
        </w:rPr>
      </w:pPr>
      <w:r>
        <w:rPr>
          <w:rFonts w:ascii="Arial" w:hAnsi="Arial"/>
        </w:rPr>
        <w:t xml:space="preserve">La </w:t>
      </w:r>
      <w:r w:rsidR="008E0188">
        <w:rPr>
          <w:rFonts w:ascii="Arial" w:hAnsi="Arial"/>
        </w:rPr>
        <w:t xml:space="preserve">Fundación </w:t>
      </w:r>
      <w:r w:rsidR="008E0188" w:rsidRPr="008E0188">
        <w:rPr>
          <w:rFonts w:ascii="Arial" w:hAnsi="Arial"/>
          <w:i/>
        </w:rPr>
        <w:t>“delamujer”</w:t>
      </w:r>
    </w:p>
    <w:p w:rsidR="00206398" w:rsidRDefault="00206398" w:rsidP="00206398">
      <w:pPr>
        <w:spacing w:line="360" w:lineRule="auto"/>
        <w:jc w:val="both"/>
        <w:rPr>
          <w:rFonts w:ascii="Arial" w:hAnsi="Arial"/>
        </w:rPr>
      </w:pPr>
    </w:p>
    <w:p w:rsidR="00206398" w:rsidRDefault="008E0188" w:rsidP="00206398">
      <w:pPr>
        <w:spacing w:line="360" w:lineRule="auto"/>
        <w:jc w:val="both"/>
        <w:rPr>
          <w:rFonts w:ascii="Arial" w:hAnsi="Arial"/>
        </w:rPr>
      </w:pPr>
      <w:r>
        <w:rPr>
          <w:rFonts w:ascii="Arial" w:hAnsi="Arial"/>
        </w:rPr>
        <w:t xml:space="preserve">Pidió declarar la improcedencia de la acción, porque el accionado ha observado las garantías procesales </w:t>
      </w:r>
      <w:r w:rsidR="00206398">
        <w:rPr>
          <w:rFonts w:ascii="Arial" w:hAnsi="Arial"/>
        </w:rPr>
        <w:t xml:space="preserve">(Folios </w:t>
      </w:r>
      <w:r w:rsidR="001235FF">
        <w:rPr>
          <w:rFonts w:ascii="Arial" w:hAnsi="Arial" w:cs="Arial"/>
          <w:spacing w:val="3"/>
        </w:rPr>
        <w:t>130 a 131</w:t>
      </w:r>
      <w:r w:rsidR="00206398">
        <w:rPr>
          <w:rFonts w:ascii="Arial" w:hAnsi="Arial" w:cs="Arial"/>
          <w:spacing w:val="3"/>
        </w:rPr>
        <w:t>,</w:t>
      </w:r>
      <w:r w:rsidR="00206398">
        <w:rPr>
          <w:rFonts w:ascii="Arial" w:hAnsi="Arial"/>
        </w:rPr>
        <w:t xml:space="preserve"> ib.).</w:t>
      </w:r>
    </w:p>
    <w:p w:rsidR="0038283B" w:rsidRPr="001235FF" w:rsidRDefault="0038283B" w:rsidP="001235FF">
      <w:pPr>
        <w:spacing w:line="360" w:lineRule="auto"/>
        <w:jc w:val="both"/>
        <w:rPr>
          <w:rFonts w:ascii="Arial" w:hAnsi="Arial"/>
          <w:highlight w:val="yellow"/>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Segundo </w:t>
      </w:r>
      <w:r w:rsidR="00EE1C51" w:rsidRPr="00EE1C51">
        <w:rPr>
          <w:rFonts w:ascii="Arial" w:hAnsi="Arial" w:cs="Arial"/>
          <w:color w:val="000000"/>
          <w:sz w:val="24"/>
          <w:szCs w:val="24"/>
        </w:rPr>
        <w:t xml:space="preserve">Civil del Circuito de </w:t>
      </w:r>
      <w:r w:rsidR="00CB0B9E">
        <w:rPr>
          <w:rFonts w:ascii="Arial" w:hAnsi="Arial" w:cs="Arial"/>
          <w:color w:val="000000"/>
          <w:sz w:val="24"/>
          <w:szCs w:val="24"/>
        </w:rPr>
        <w:t xml:space="preserve">Pereira </w:t>
      </w:r>
      <w:r w:rsidRPr="00EE1C51">
        <w:rPr>
          <w:rFonts w:ascii="Arial" w:hAnsi="Arial" w:cs="Arial"/>
          <w:sz w:val="24"/>
          <w:szCs w:val="24"/>
        </w:rPr>
        <w:t>(Artículos 86 de la CP, 37 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CE4238"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dentro </w:t>
      </w:r>
      <w:r w:rsidR="001235FF">
        <w:rPr>
          <w:rFonts w:ascii="Arial" w:hAnsi="Arial" w:cs="Arial"/>
          <w:szCs w:val="24"/>
        </w:rPr>
        <w:t xml:space="preserve">de los procesos </w:t>
      </w:r>
      <w:r>
        <w:rPr>
          <w:rFonts w:ascii="Arial" w:hAnsi="Arial" w:cs="Arial"/>
          <w:szCs w:val="24"/>
        </w:rPr>
        <w:t>judicial</w:t>
      </w:r>
      <w:r w:rsidR="001235FF">
        <w:rPr>
          <w:rFonts w:ascii="Arial" w:hAnsi="Arial" w:cs="Arial"/>
          <w:szCs w:val="24"/>
        </w:rPr>
        <w:t>es</w:t>
      </w:r>
      <w:r>
        <w:rPr>
          <w:rFonts w:ascii="Arial" w:hAnsi="Arial" w:cs="Arial"/>
          <w:szCs w:val="24"/>
        </w:rPr>
        <w:t xml:space="preserve"> en </w:t>
      </w:r>
      <w:r w:rsidR="001235FF">
        <w:rPr>
          <w:rFonts w:ascii="Arial" w:hAnsi="Arial" w:cs="Arial"/>
          <w:szCs w:val="24"/>
        </w:rPr>
        <w:t xml:space="preserve">los </w:t>
      </w:r>
      <w:r>
        <w:rPr>
          <w:rFonts w:ascii="Arial" w:hAnsi="Arial" w:cs="Arial"/>
          <w:szCs w:val="24"/>
        </w:rPr>
        <w:t>que se 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96024C">
        <w:rPr>
          <w:rFonts w:ascii="Arial" w:hAnsi="Arial" w:cs="Arial"/>
          <w:color w:val="000000"/>
          <w:szCs w:val="24"/>
        </w:rPr>
        <w:t xml:space="preserve">Segundo </w:t>
      </w:r>
      <w:r w:rsidR="00CB0B9E">
        <w:rPr>
          <w:rFonts w:ascii="Arial" w:hAnsi="Arial" w:cs="Arial"/>
          <w:szCs w:val="24"/>
        </w:rPr>
        <w:t xml:space="preserve">Civil del Circuito de 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CB0B9E">
        <w:rPr>
          <w:rFonts w:ascii="Arial" w:hAnsi="Arial" w:cs="Arial"/>
          <w:szCs w:val="24"/>
        </w:rPr>
        <w:t>conoc</w:t>
      </w:r>
      <w:r>
        <w:rPr>
          <w:rFonts w:ascii="Arial" w:hAnsi="Arial" w:cs="Arial"/>
          <w:szCs w:val="24"/>
        </w:rPr>
        <w:t xml:space="preserve">e </w:t>
      </w:r>
      <w:r w:rsidR="001235FF">
        <w:rPr>
          <w:rFonts w:ascii="Arial" w:hAnsi="Arial" w:cs="Arial"/>
          <w:szCs w:val="24"/>
        </w:rPr>
        <w:t xml:space="preserve">los </w:t>
      </w:r>
      <w:r>
        <w:rPr>
          <w:rFonts w:ascii="Arial" w:hAnsi="Arial" w:cs="Arial"/>
          <w:szCs w:val="24"/>
        </w:rPr>
        <w:t>asunto</w:t>
      </w:r>
      <w:r w:rsidR="001235FF">
        <w:rPr>
          <w:rFonts w:ascii="Arial" w:hAnsi="Arial" w:cs="Arial"/>
          <w:szCs w:val="24"/>
        </w:rPr>
        <w:t>s</w:t>
      </w:r>
      <w:r w:rsidR="005427D5">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235FF" w:rsidRPr="00AE73C7" w:rsidRDefault="001235FF" w:rsidP="001235FF">
      <w:pPr>
        <w:pStyle w:val="Textoindependiente"/>
        <w:spacing w:line="360" w:lineRule="auto"/>
        <w:rPr>
          <w:rFonts w:ascii="Arial" w:hAnsi="Arial" w:cs="Arial"/>
          <w:szCs w:val="24"/>
        </w:rPr>
      </w:pPr>
      <w:r>
        <w:rPr>
          <w:rFonts w:ascii="Arial" w:hAnsi="Arial" w:cs="Arial"/>
        </w:rPr>
        <w:t>Como l</w:t>
      </w:r>
      <w:r>
        <w:rPr>
          <w:rFonts w:ascii="Arial" w:hAnsi="Arial" w:cs="Arial"/>
          <w:szCs w:val="24"/>
        </w:rPr>
        <w:t>os litisconsortes vinculados a este trámite, eventuales afectados con la acción constitucional, no incurrieron en violación o amenaza alguna, se negará la tutela frente a ellos.</w:t>
      </w: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6024C">
        <w:rPr>
          <w:rFonts w:ascii="Arial" w:hAnsi="Arial" w:cs="Arial"/>
          <w:color w:val="000000"/>
        </w:rPr>
        <w:t xml:space="preserve">Segundo </w:t>
      </w:r>
      <w:r w:rsidR="00CB0B9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6B3755" w:rsidRDefault="006B3755" w:rsidP="0062273B">
      <w:pPr>
        <w:spacing w:line="360" w:lineRule="auto"/>
        <w:jc w:val="both"/>
        <w:rPr>
          <w:rFonts w:ascii="Arial" w:hAnsi="Arial" w:cs="Arial"/>
          <w:lang w:val="es-ES_tradnl"/>
        </w:rPr>
      </w:pPr>
    </w:p>
    <w:p w:rsidR="00A25373" w:rsidRDefault="00A25373" w:rsidP="0062273B">
      <w:pPr>
        <w:spacing w:line="360" w:lineRule="auto"/>
        <w:jc w:val="both"/>
        <w:rPr>
          <w:rFonts w:ascii="Arial" w:hAnsi="Arial" w:cs="Arial"/>
          <w:lang w:val="es-ES_tradnl"/>
        </w:rPr>
      </w:pPr>
      <w:r>
        <w:rPr>
          <w:rFonts w:ascii="Arial" w:hAnsi="Arial" w:cs="Arial"/>
          <w:lang w:val="es-ES_tradnl"/>
        </w:rPr>
        <w:t>7.4.3. La mora judicial</w:t>
      </w:r>
    </w:p>
    <w:p w:rsidR="00F455DA" w:rsidRDefault="00F455DA" w:rsidP="0062273B">
      <w:pPr>
        <w:spacing w:line="360" w:lineRule="auto"/>
        <w:jc w:val="both"/>
        <w:rPr>
          <w:rFonts w:ascii="Arial" w:hAnsi="Arial" w:cs="Arial"/>
          <w:lang w:val="es-ES_tradnl"/>
        </w:rPr>
      </w:pPr>
    </w:p>
    <w:p w:rsidR="00F455DA" w:rsidRDefault="00F455DA" w:rsidP="0062273B">
      <w:pPr>
        <w:spacing w:line="360" w:lineRule="auto"/>
        <w:jc w:val="both"/>
        <w:rPr>
          <w:rFonts w:ascii="Arial" w:hAnsi="Arial" w:cs="Arial"/>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A321AB">
        <w:rPr>
          <w:rFonts w:ascii="Arial" w:hAnsi="Arial" w:cs="Arial"/>
          <w:lang w:val="es-ES_tradnl"/>
        </w:rPr>
        <w:t>i</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Refdenotaalpie"/>
          <w:rFonts w:ascii="Arial" w:hAnsi="Arial"/>
        </w:rPr>
        <w:footnoteReference w:id="14"/>
      </w:r>
    </w:p>
    <w:p w:rsidR="00F455DA" w:rsidRDefault="00F455DA" w:rsidP="0062273B">
      <w:pPr>
        <w:spacing w:line="360" w:lineRule="auto"/>
        <w:jc w:val="both"/>
        <w:rPr>
          <w:rFonts w:ascii="Arial" w:hAnsi="Arial" w:cs="Arial"/>
          <w:lang w:val="es-ES_tradnl"/>
        </w:rPr>
      </w:pPr>
    </w:p>
    <w:p w:rsidR="00A25373" w:rsidRPr="00A25373" w:rsidRDefault="00A25373" w:rsidP="00F455DA">
      <w:pPr>
        <w:ind w:left="567" w:right="567"/>
        <w:jc w:val="both"/>
        <w:rPr>
          <w:rFonts w:ascii="Arial" w:hAnsi="Arial" w:cs="Arial"/>
          <w:lang w:val="es-CO"/>
        </w:rPr>
      </w:pPr>
      <w:r w:rsidRPr="00A25373">
        <w:rPr>
          <w:rFonts w:ascii="Arial" w:hAnsi="Arial" w:cs="Arial"/>
          <w:lang w:val="es-ES_tradnl"/>
        </w:rPr>
        <w:t>3.5.4. Ahora bien, según la jurisprudencia constitucional, en los casos en que se presenta un incumplimiento en los términos procesales, más allá de que se acredite la inexistencia de otr</w:t>
      </w:r>
      <w:r w:rsidR="00067715">
        <w:rPr>
          <w:rFonts w:ascii="Arial" w:hAnsi="Arial" w:cs="Arial"/>
          <w:lang w:val="es-ES_tradnl"/>
        </w:rPr>
        <w:t>a</w:t>
      </w:r>
      <w:r w:rsidRPr="00A25373">
        <w:rPr>
          <w:rFonts w:ascii="Arial" w:hAnsi="Arial" w:cs="Arial"/>
          <w:lang w:val="es-ES_tradnl"/>
        </w:rPr>
        <w:t xml:space="preserve"> defensa judicial, la prosperidad del amparo se somete a que </w:t>
      </w:r>
      <w:r w:rsidRPr="00A25373">
        <w:rPr>
          <w:rFonts w:ascii="Arial" w:hAnsi="Arial" w:cs="Arial"/>
          <w:lang w:val="es-CO"/>
        </w:rPr>
        <w:t xml:space="preserve">(i) el funcionario haya incurrido en </w:t>
      </w:r>
      <w:r w:rsidRPr="00A25373">
        <w:rPr>
          <w:rFonts w:ascii="Arial" w:hAnsi="Arial" w:cs="Arial"/>
          <w:i/>
          <w:lang w:val="es-CO"/>
        </w:rPr>
        <w:t>mora judicial injustificada</w:t>
      </w:r>
      <w:r w:rsidRPr="00A25373">
        <w:rPr>
          <w:rFonts w:ascii="Arial" w:hAnsi="Arial" w:cs="Arial"/>
          <w:lang w:val="es-CO"/>
        </w:rPr>
        <w:t xml:space="preserve"> y que (ii) se este</w:t>
      </w:r>
      <w:r w:rsidR="00FC0892">
        <w:rPr>
          <w:rFonts w:ascii="Arial" w:hAnsi="Arial" w:cs="Arial"/>
          <w:lang w:val="es-CO"/>
        </w:rPr>
        <w:t xml:space="preserve"> (Sic)</w:t>
      </w:r>
      <w:r w:rsidRPr="00A25373">
        <w:rPr>
          <w:rFonts w:ascii="Arial" w:hAnsi="Arial" w:cs="Arial"/>
          <w:lang w:val="es-CO"/>
        </w:rPr>
        <w:t xml:space="preserve"> ante la posibilidad de que se materialice un daño que genere un perjuicio que no pueda ser subsanado</w:t>
      </w:r>
      <w:r w:rsidRPr="00A25373">
        <w:rPr>
          <w:rFonts w:ascii="Arial" w:hAnsi="Arial" w:cs="Arial"/>
          <w:vertAlign w:val="superscript"/>
          <w:lang w:val="es-CO"/>
        </w:rPr>
        <w:footnoteReference w:id="15"/>
      </w:r>
      <w:r w:rsidRPr="00A25373">
        <w:rPr>
          <w:rFonts w:ascii="Arial" w:hAnsi="Arial" w:cs="Arial"/>
          <w:lang w:val="es-CO"/>
        </w:rPr>
        <w:t>.</w:t>
      </w:r>
    </w:p>
    <w:p w:rsidR="00A25373" w:rsidRPr="00A25373" w:rsidRDefault="00A25373" w:rsidP="00F455DA">
      <w:pPr>
        <w:ind w:left="567" w:right="567"/>
        <w:jc w:val="both"/>
        <w:rPr>
          <w:rFonts w:ascii="Arial" w:hAnsi="Arial" w:cs="Arial"/>
          <w:lang w:val="es-CO"/>
        </w:rPr>
      </w:pPr>
    </w:p>
    <w:p w:rsidR="00A25373" w:rsidRPr="00A25373" w:rsidRDefault="00A25373" w:rsidP="00F455DA">
      <w:pPr>
        <w:ind w:left="567" w:right="567"/>
        <w:jc w:val="both"/>
        <w:rPr>
          <w:rFonts w:ascii="Arial" w:hAnsi="Arial" w:cs="Arial"/>
          <w:lang w:val="es-ES_tradnl"/>
        </w:rPr>
      </w:pPr>
      <w:r w:rsidRPr="00A25373">
        <w:rPr>
          <w:rFonts w:ascii="Arial" w:hAnsi="Arial" w:cs="Arial"/>
          <w:lang w:val="es-ES_tradnl"/>
        </w:rPr>
        <w:t xml:space="preserve">3.5.5. Por otra parte, en los casos de </w:t>
      </w:r>
      <w:r w:rsidRPr="00A25373">
        <w:rPr>
          <w:rFonts w:ascii="Arial" w:hAnsi="Arial" w:cs="Arial"/>
          <w:i/>
          <w:lang w:val="es-ES_tradnl"/>
        </w:rPr>
        <w:t>mora judicial justificada</w:t>
      </w:r>
      <w:r w:rsidRPr="00A25373">
        <w:rPr>
          <w:rFonts w:ascii="Arial" w:hAnsi="Arial" w:cs="Arial"/>
          <w:lang w:val="es-ES_tradnl"/>
        </w:rPr>
        <w:t>, la jurisprudencia de esta Corporación ha propuesto dos alternativas distintas de solución, en primer lugar, se ha limitado a negar la violación de los derechos al debido proceso y al acceso a la administración de justicia, por lo que se reitera la obligación de someterse al sistema de turnos, en términos de igualdad</w:t>
      </w:r>
      <w:r w:rsidRPr="00A25373">
        <w:rPr>
          <w:rStyle w:val="Refdenotaalpie"/>
          <w:rFonts w:ascii="Arial" w:hAnsi="Arial" w:cs="Arial"/>
        </w:rPr>
        <w:footnoteReference w:id="16"/>
      </w:r>
      <w:r w:rsidRPr="00A25373">
        <w:rPr>
          <w:rFonts w:ascii="Arial" w:hAnsi="Arial" w:cs="Arial"/>
          <w:lang w:val="es-ES_tradnl"/>
        </w:rPr>
        <w:t xml:space="preserve">. En segundo lugar, se ha ordenado excepcionalmente la alteración del orden para proferir el fallo, cuando el </w:t>
      </w:r>
      <w:r w:rsidRPr="00A25373">
        <w:rPr>
          <w:rFonts w:ascii="Arial" w:hAnsi="Arial" w:cs="Arial"/>
        </w:rPr>
        <w:t>juez está en presencia de un sujeto de especial protección constitucional, o cuando la mora judicial supere los plazos razonables y tolerables de solución, en contraste con las condiciones de espera particulares del afectado</w:t>
      </w:r>
      <w:r w:rsidRPr="00A25373">
        <w:rPr>
          <w:rStyle w:val="Refdenotaalpie"/>
          <w:rFonts w:ascii="Arial" w:hAnsi="Arial" w:cs="Arial"/>
        </w:rPr>
        <w:footnoteReference w:id="17"/>
      </w:r>
      <w:r w:rsidRPr="00A25373">
        <w:rPr>
          <w:rFonts w:ascii="Arial" w:hAnsi="Arial" w:cs="Arial"/>
        </w:rPr>
        <w:t xml:space="preserve">. Frente a las alternativas propuestas, en aquellos casos en que se está </w:t>
      </w:r>
      <w:r w:rsidRPr="00A25373">
        <w:rPr>
          <w:rFonts w:ascii="Arial" w:hAnsi="Arial" w:cs="Arial"/>
          <w:iCs/>
          <w:lang w:val="es-CO"/>
        </w:rPr>
        <w:t>ante la posible materialización de un daño cuyos perjuicios no puedan ser subsanados (perjuicio irremediable)</w:t>
      </w:r>
      <w:r w:rsidR="00F455DA">
        <w:rPr>
          <w:rFonts w:ascii="Arial" w:hAnsi="Arial" w:cs="Arial"/>
          <w:iCs/>
          <w:lang w:val="es-CO"/>
        </w:rPr>
        <w:t>.</w:t>
      </w:r>
    </w:p>
    <w:p w:rsidR="00FC0892" w:rsidRPr="00FC0892" w:rsidRDefault="00FC0892" w:rsidP="00FC0892">
      <w:pPr>
        <w:pStyle w:val="NormalWeb"/>
        <w:spacing w:after="0" w:line="360" w:lineRule="auto"/>
        <w:jc w:val="both"/>
        <w:rPr>
          <w:rFonts w:ascii="Arial" w:eastAsia="Arial Unicode MS" w:hAnsi="Arial" w:cs="Arial"/>
          <w:i/>
          <w:sz w:val="22"/>
          <w:szCs w:val="22"/>
          <w:lang w:val="es-ES" w:eastAsia="es-ES"/>
        </w:rPr>
      </w:pPr>
      <w:r>
        <w:rPr>
          <w:rFonts w:ascii="Arial" w:hAnsi="Arial" w:cs="Arial"/>
          <w:lang w:val="es-ES_tradnl"/>
        </w:rPr>
        <w:t>Recientemente, sobre la justificación de la mora judicial se ha pronunciado la CSJ,</w:t>
      </w:r>
      <w:r>
        <w:rPr>
          <w:rStyle w:val="Refdenotaalpie"/>
          <w:rFonts w:ascii="Arial" w:hAnsi="Arial"/>
          <w:lang w:val="es-ES_tradnl"/>
        </w:rPr>
        <w:footnoteReference w:id="18"/>
      </w:r>
      <w:r>
        <w:rPr>
          <w:rFonts w:ascii="Arial" w:hAnsi="Arial" w:cs="Arial"/>
          <w:lang w:val="es-ES_tradnl"/>
        </w:rPr>
        <w:t xml:space="preserve"> en la especialidad Civil y en ese sentido señaló: </w:t>
      </w:r>
      <w:r w:rsidRPr="00F12FAC">
        <w:rPr>
          <w:rFonts w:ascii="Arial" w:hAnsi="Arial" w:cs="Arial"/>
          <w:i/>
          <w:lang w:val="es-ES_tradnl"/>
        </w:rPr>
        <w:t>“</w:t>
      </w:r>
      <w:r w:rsidR="00F12FAC" w:rsidRPr="00F12FAC">
        <w:rPr>
          <w:rFonts w:ascii="Arial" w:hAnsi="Arial" w:cs="Arial"/>
          <w:i/>
          <w:lang w:val="es-ES_tradnl"/>
        </w:rPr>
        <w:t>(…)</w:t>
      </w:r>
      <w:r w:rsidR="00F12FAC">
        <w:rPr>
          <w:rFonts w:ascii="Arial" w:hAnsi="Arial" w:cs="Arial"/>
          <w:lang w:val="es-ES_tradnl"/>
        </w:rPr>
        <w:t xml:space="preserve"> </w:t>
      </w:r>
      <w:r w:rsidRPr="00FC0892">
        <w:rPr>
          <w:rFonts w:ascii="Arial" w:hAnsi="Arial" w:cs="Arial"/>
          <w:i/>
          <w:sz w:val="22"/>
          <w:szCs w:val="22"/>
          <w:lang w:val="es-ES_tradnl"/>
        </w:rPr>
        <w:t xml:space="preserve">la jurisprudencia de la Sala ha determinado </w:t>
      </w:r>
      <w:r w:rsidRPr="00FC0892">
        <w:rPr>
          <w:rFonts w:ascii="Arial" w:eastAsia="Arial Unicode MS" w:hAnsi="Arial" w:cs="Arial"/>
          <w:i/>
          <w:iCs/>
          <w:color w:val="000000"/>
          <w:sz w:val="22"/>
          <w:szCs w:val="22"/>
          <w:lang w:val="es-ES" w:eastAsia="es-ES"/>
        </w:rPr>
        <w:t xml:space="preserve">aquellas que denotan una abierta y ostensible carencia de defensa, esto es, las que sean el indisimulado producto ‘de un comportamiento desidioso, apático o negligente de la autoridad vinculada, </w:t>
      </w:r>
      <w:r w:rsidRPr="00F12FAC">
        <w:rPr>
          <w:rFonts w:ascii="Arial" w:eastAsia="Arial Unicode MS" w:hAnsi="Arial" w:cs="Arial"/>
          <w:i/>
          <w:iCs/>
          <w:color w:val="000000"/>
          <w:sz w:val="22"/>
          <w:szCs w:val="22"/>
          <w:u w:val="single"/>
          <w:lang w:val="es-ES" w:eastAsia="es-ES"/>
        </w:rPr>
        <w:t>y no cuando ésta obedece a circunstancias objetiva y razonablemente justificadas’</w:t>
      </w:r>
      <w:r w:rsidRPr="00FC0892">
        <w:rPr>
          <w:rFonts w:ascii="Arial" w:eastAsia="Arial Unicode MS" w:hAnsi="Arial" w:cs="Arial"/>
          <w:i/>
          <w:iCs/>
          <w:color w:val="000000"/>
          <w:sz w:val="22"/>
          <w:szCs w:val="22"/>
          <w:lang w:val="es-ES" w:eastAsia="es-ES"/>
        </w:rPr>
        <w:t xml:space="preserve"> (Sentencia de 29 de abril de 2011, Exp. T. No.</w:t>
      </w:r>
      <w:r>
        <w:rPr>
          <w:rFonts w:ascii="Arial" w:eastAsia="Arial Unicode MS" w:hAnsi="Arial" w:cs="Arial"/>
          <w:i/>
          <w:iCs/>
          <w:color w:val="000000"/>
          <w:sz w:val="22"/>
          <w:szCs w:val="22"/>
          <w:lang w:val="es-ES" w:eastAsia="es-ES"/>
        </w:rPr>
        <w:t xml:space="preserve"> 11001-22-10-000-2011-00094-01) (…)”</w:t>
      </w:r>
      <w:r w:rsidR="00F12FAC">
        <w:rPr>
          <w:rFonts w:ascii="Arial" w:eastAsia="Arial Unicode MS" w:hAnsi="Arial" w:cs="Arial"/>
          <w:i/>
          <w:iCs/>
          <w:color w:val="000000"/>
          <w:sz w:val="22"/>
          <w:szCs w:val="22"/>
          <w:lang w:val="es-ES" w:eastAsia="es-ES"/>
        </w:rPr>
        <w:t xml:space="preserve">. </w:t>
      </w:r>
      <w:r w:rsidR="00F12FAC" w:rsidRPr="00F12FAC">
        <w:rPr>
          <w:rFonts w:ascii="Arial" w:eastAsia="Arial Unicode MS" w:hAnsi="Arial" w:cs="Arial"/>
          <w:iCs/>
          <w:color w:val="000000"/>
          <w:sz w:val="22"/>
          <w:szCs w:val="22"/>
          <w:lang w:val="es-ES" w:eastAsia="es-ES"/>
        </w:rPr>
        <w:t xml:space="preserve">Sublíneas </w:t>
      </w:r>
      <w:r w:rsidR="00F12FAC">
        <w:rPr>
          <w:rFonts w:ascii="Arial" w:eastAsia="Arial Unicode MS" w:hAnsi="Arial" w:cs="Arial"/>
          <w:iCs/>
          <w:color w:val="000000"/>
          <w:sz w:val="22"/>
          <w:szCs w:val="22"/>
          <w:lang w:val="es-ES" w:eastAsia="es-ES"/>
        </w:rPr>
        <w:t>extratextuales.</w:t>
      </w:r>
    </w:p>
    <w:p w:rsidR="000F2939" w:rsidRDefault="000F2939" w:rsidP="0062273B">
      <w:pPr>
        <w:spacing w:line="360" w:lineRule="auto"/>
        <w:jc w:val="both"/>
        <w:rPr>
          <w:rFonts w:ascii="Arial" w:hAnsi="Arial" w:cs="Arial"/>
          <w:lang w:val="es-ES_tradnl"/>
        </w:rPr>
      </w:pPr>
    </w:p>
    <w:p w:rsidR="00067715" w:rsidRDefault="0006771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FC0892" w:rsidRDefault="00FC0892" w:rsidP="00FC0892">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procedibilidad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F5B57" w:rsidRDefault="00FF5B57" w:rsidP="00FF5B57">
      <w:pPr>
        <w:spacing w:line="360" w:lineRule="auto"/>
        <w:jc w:val="both"/>
        <w:rPr>
          <w:rFonts w:ascii="Arial" w:hAnsi="Arial" w:cs="Arial"/>
          <w:lang w:val="es-ES_tradnl"/>
        </w:rPr>
      </w:pPr>
    </w:p>
    <w:p w:rsidR="006F565F" w:rsidRDefault="00F12FAC" w:rsidP="00FF5B57">
      <w:pPr>
        <w:spacing w:line="360" w:lineRule="auto"/>
        <w:jc w:val="both"/>
        <w:rPr>
          <w:rFonts w:ascii="Arial" w:hAnsi="Arial" w:cs="Arial"/>
          <w:lang w:val="es-ES_tradnl"/>
        </w:rPr>
      </w:pPr>
      <w:r>
        <w:rPr>
          <w:rFonts w:ascii="Arial" w:hAnsi="Arial" w:cs="Arial"/>
          <w:lang w:val="es-ES_tradnl"/>
        </w:rPr>
        <w:t>Antes de continuar, precisa la Sala indicar, que</w:t>
      </w:r>
      <w:r w:rsidR="006F565F">
        <w:rPr>
          <w:rFonts w:ascii="Arial" w:hAnsi="Arial" w:cs="Arial"/>
          <w:lang w:val="es-ES_tradnl"/>
        </w:rPr>
        <w:t xml:space="preserve"> no considera temeraria la acción constitucional aquí acumulada y radicada al No.2016-00034,</w:t>
      </w:r>
      <w:r>
        <w:rPr>
          <w:rFonts w:ascii="Arial" w:hAnsi="Arial" w:cs="Arial"/>
          <w:lang w:val="es-ES_tradnl"/>
        </w:rPr>
        <w:t xml:space="preserve"> </w:t>
      </w:r>
      <w:r w:rsidR="006F565F">
        <w:rPr>
          <w:rFonts w:ascii="Arial" w:hAnsi="Arial" w:cs="Arial"/>
          <w:lang w:val="es-ES_tradnl"/>
        </w:rPr>
        <w:t xml:space="preserve">pues, aunque previamente </w:t>
      </w:r>
      <w:r>
        <w:rPr>
          <w:rFonts w:ascii="Arial" w:hAnsi="Arial" w:cs="Arial"/>
          <w:lang w:val="es-ES_tradnl"/>
        </w:rPr>
        <w:t xml:space="preserve">haya conocido de </w:t>
      </w:r>
      <w:r w:rsidR="006F565F">
        <w:rPr>
          <w:rFonts w:ascii="Arial" w:hAnsi="Arial" w:cs="Arial"/>
          <w:lang w:val="es-ES_tradnl"/>
        </w:rPr>
        <w:t xml:space="preserve">una </w:t>
      </w:r>
      <w:r>
        <w:rPr>
          <w:rFonts w:ascii="Arial" w:hAnsi="Arial" w:cs="Arial"/>
          <w:lang w:val="es-ES_tradnl"/>
        </w:rPr>
        <w:t xml:space="preserve">incoada por el actor </w:t>
      </w:r>
      <w:r w:rsidR="006F565F">
        <w:rPr>
          <w:rFonts w:ascii="Arial" w:hAnsi="Arial" w:cs="Arial"/>
          <w:lang w:val="es-ES_tradnl"/>
        </w:rPr>
        <w:t>donde reclamaba igual derecho, los hechos que dieron origen a su presentación son distin</w:t>
      </w:r>
      <w:r w:rsidR="003B4FF8">
        <w:rPr>
          <w:rFonts w:ascii="Arial" w:hAnsi="Arial" w:cs="Arial"/>
          <w:lang w:val="es-ES_tradnl"/>
        </w:rPr>
        <w:t>tos de los referidos en aquella, ha pasado más tiempo a esta época.</w:t>
      </w:r>
    </w:p>
    <w:p w:rsidR="00F12FAC" w:rsidRDefault="00F12FAC" w:rsidP="00FF5B57">
      <w:pPr>
        <w:spacing w:line="360" w:lineRule="auto"/>
        <w:jc w:val="both"/>
        <w:rPr>
          <w:rFonts w:ascii="Arial" w:hAnsi="Arial" w:cs="Arial"/>
          <w:lang w:val="es-ES_tradnl"/>
        </w:rPr>
      </w:pPr>
    </w:p>
    <w:p w:rsidR="00F12FAC" w:rsidRDefault="000F2939" w:rsidP="00ED60D0">
      <w:pPr>
        <w:pStyle w:val="Textoindependiente"/>
        <w:spacing w:line="360" w:lineRule="auto"/>
        <w:rPr>
          <w:rFonts w:ascii="Arial" w:hAnsi="Arial" w:cs="Arial"/>
        </w:rPr>
      </w:pPr>
      <w:r w:rsidRPr="00160026">
        <w:rPr>
          <w:rFonts w:ascii="Arial" w:hAnsi="Arial"/>
          <w:szCs w:val="24"/>
        </w:rPr>
        <w:t>Pretend</w:t>
      </w:r>
      <w:r>
        <w:rPr>
          <w:rFonts w:ascii="Arial" w:hAnsi="Arial"/>
          <w:szCs w:val="24"/>
        </w:rPr>
        <w:t xml:space="preserve">e </w:t>
      </w:r>
      <w:r w:rsidRPr="00160026">
        <w:rPr>
          <w:rFonts w:ascii="Arial" w:hAnsi="Arial"/>
          <w:szCs w:val="24"/>
        </w:rPr>
        <w:t xml:space="preserve">el accionante que se </w:t>
      </w:r>
      <w:r>
        <w:rPr>
          <w:rFonts w:ascii="Arial" w:hAnsi="Arial" w:cs="Arial"/>
          <w:szCs w:val="24"/>
        </w:rPr>
        <w:t xml:space="preserve">ordene </w:t>
      </w:r>
      <w:r w:rsidR="00C847EA">
        <w:rPr>
          <w:rFonts w:ascii="Arial" w:hAnsi="Arial" w:cs="Arial"/>
          <w:szCs w:val="24"/>
        </w:rPr>
        <w:t xml:space="preserve">a la </w:t>
      </w:r>
      <w:r w:rsidR="00C847EA" w:rsidRPr="00C847EA">
        <w:rPr>
          <w:rFonts w:ascii="Arial" w:hAnsi="Arial" w:cs="Arial"/>
          <w:i/>
          <w:szCs w:val="24"/>
        </w:rPr>
        <w:t>a quo</w:t>
      </w:r>
      <w:r w:rsidRPr="00C847EA">
        <w:rPr>
          <w:rFonts w:ascii="Arial" w:hAnsi="Arial" w:cs="Arial"/>
          <w:i/>
          <w:szCs w:val="24"/>
        </w:rPr>
        <w:t xml:space="preserve"> </w:t>
      </w:r>
      <w:r w:rsidR="00C847EA">
        <w:rPr>
          <w:rFonts w:ascii="Arial" w:hAnsi="Arial" w:cs="Arial"/>
          <w:szCs w:val="24"/>
        </w:rPr>
        <w:t xml:space="preserve">emitir </w:t>
      </w:r>
      <w:r w:rsidR="00067715">
        <w:rPr>
          <w:rFonts w:ascii="Arial" w:hAnsi="Arial" w:cs="Arial"/>
          <w:szCs w:val="24"/>
        </w:rPr>
        <w:t xml:space="preserve">las </w:t>
      </w:r>
      <w:r>
        <w:rPr>
          <w:rFonts w:ascii="Arial" w:hAnsi="Arial" w:cs="Arial"/>
          <w:szCs w:val="24"/>
        </w:rPr>
        <w:t>sentencia</w:t>
      </w:r>
      <w:r w:rsidR="00067715">
        <w:rPr>
          <w:rFonts w:ascii="Arial" w:hAnsi="Arial" w:cs="Arial"/>
          <w:szCs w:val="24"/>
        </w:rPr>
        <w:t>s</w:t>
      </w:r>
      <w:r>
        <w:rPr>
          <w:rFonts w:ascii="Arial" w:hAnsi="Arial" w:cs="Arial"/>
          <w:szCs w:val="24"/>
        </w:rPr>
        <w:t xml:space="preserve"> en </w:t>
      </w:r>
      <w:r w:rsidR="00A453AE">
        <w:rPr>
          <w:rFonts w:ascii="Arial" w:hAnsi="Arial" w:cs="Arial"/>
          <w:szCs w:val="24"/>
        </w:rPr>
        <w:t>las acciones populares 2015-00074-00, 2014-00150 y 2014-00151-00</w:t>
      </w:r>
      <w:r w:rsidR="00ED60D0">
        <w:rPr>
          <w:rFonts w:ascii="Arial" w:hAnsi="Arial" w:cs="Arial"/>
          <w:szCs w:val="24"/>
        </w:rPr>
        <w:t xml:space="preserve">. </w:t>
      </w:r>
    </w:p>
    <w:p w:rsidR="00F12FAC" w:rsidRDefault="00F12FAC" w:rsidP="00ED60D0">
      <w:pPr>
        <w:pStyle w:val="Textoindependiente"/>
        <w:spacing w:line="360" w:lineRule="auto"/>
        <w:rPr>
          <w:rFonts w:ascii="Arial" w:hAnsi="Arial" w:cs="Arial"/>
        </w:rPr>
      </w:pPr>
    </w:p>
    <w:p w:rsidR="00A453AE" w:rsidRDefault="00681DBE" w:rsidP="00ED60D0">
      <w:pPr>
        <w:pStyle w:val="Textoindependiente"/>
        <w:spacing w:line="360" w:lineRule="auto"/>
        <w:rPr>
          <w:rFonts w:ascii="Arial" w:hAnsi="Arial" w:cs="Arial"/>
        </w:rPr>
      </w:pPr>
      <w:r>
        <w:rPr>
          <w:rFonts w:ascii="Arial" w:hAnsi="Arial" w:cs="Arial"/>
        </w:rPr>
        <w:t xml:space="preserve">Con relación a </w:t>
      </w:r>
      <w:r w:rsidR="00A453AE">
        <w:rPr>
          <w:rFonts w:ascii="Arial" w:hAnsi="Arial" w:cs="Arial"/>
        </w:rPr>
        <w:t>la primera</w:t>
      </w:r>
      <w:r w:rsidR="003B4FF8">
        <w:rPr>
          <w:rFonts w:ascii="Arial" w:hAnsi="Arial" w:cs="Arial"/>
        </w:rPr>
        <w:t xml:space="preserve"> (2015-00074-00)</w:t>
      </w:r>
      <w:r w:rsidR="00A453AE">
        <w:rPr>
          <w:rFonts w:ascii="Arial" w:hAnsi="Arial" w:cs="Arial"/>
        </w:rPr>
        <w:t xml:space="preserve">, hay que decir, que no se halla vulneración alguna en los derechos del actor, pues el accionado se encuentra </w:t>
      </w:r>
      <w:r w:rsidR="003B4FF8">
        <w:rPr>
          <w:rFonts w:ascii="Arial" w:hAnsi="Arial" w:cs="Arial"/>
        </w:rPr>
        <w:t xml:space="preserve">dentro de los términos de ley </w:t>
      </w:r>
      <w:r w:rsidR="00A453AE">
        <w:rPr>
          <w:rFonts w:ascii="Arial" w:hAnsi="Arial" w:cs="Arial"/>
        </w:rPr>
        <w:t>para dictar la sentencia deprecada, ya que a la fecha de presentación de esta acción (28-02-2016), tan sólo habían trascurrido 11 días desde el día que entró a despacho para ello</w:t>
      </w:r>
      <w:r w:rsidR="003B4FF8">
        <w:rPr>
          <w:rFonts w:ascii="Arial" w:hAnsi="Arial" w:cs="Arial"/>
        </w:rPr>
        <w:t>, y son 20</w:t>
      </w:r>
      <w:r w:rsidR="005B72A9">
        <w:rPr>
          <w:rFonts w:ascii="Arial" w:hAnsi="Arial" w:cs="Arial"/>
        </w:rPr>
        <w:t xml:space="preserve"> (Artículo 34, Ley 472)</w:t>
      </w:r>
    </w:p>
    <w:p w:rsidR="00A453AE" w:rsidRDefault="00A453AE" w:rsidP="00ED60D0">
      <w:pPr>
        <w:pStyle w:val="Textoindependiente"/>
        <w:spacing w:line="360" w:lineRule="auto"/>
        <w:rPr>
          <w:rFonts w:ascii="Arial" w:hAnsi="Arial" w:cs="Arial"/>
        </w:rPr>
      </w:pPr>
    </w:p>
    <w:p w:rsidR="00ED60D0" w:rsidRDefault="00681DBE" w:rsidP="00ED60D0">
      <w:pPr>
        <w:pStyle w:val="Textoindependiente"/>
        <w:spacing w:line="360" w:lineRule="auto"/>
        <w:rPr>
          <w:rFonts w:ascii="Arial" w:hAnsi="Arial" w:cs="Arial"/>
        </w:rPr>
      </w:pPr>
      <w:r>
        <w:rPr>
          <w:rFonts w:ascii="Arial" w:hAnsi="Arial" w:cs="Arial"/>
        </w:rPr>
        <w:t>Frente a los trámites restantes</w:t>
      </w:r>
      <w:r w:rsidR="003B4FF8">
        <w:rPr>
          <w:rFonts w:ascii="Arial" w:hAnsi="Arial" w:cs="Arial"/>
        </w:rPr>
        <w:t xml:space="preserve"> (</w:t>
      </w:r>
      <w:r w:rsidR="003B4FF8">
        <w:rPr>
          <w:rFonts w:ascii="Arial" w:hAnsi="Arial" w:cs="Arial"/>
          <w:szCs w:val="24"/>
        </w:rPr>
        <w:t>2014-00150 y 2014-00151-00)</w:t>
      </w:r>
      <w:r w:rsidR="00574D42">
        <w:rPr>
          <w:rFonts w:ascii="Arial" w:hAnsi="Arial" w:cs="Arial"/>
        </w:rPr>
        <w:t xml:space="preserve">, </w:t>
      </w:r>
      <w:r w:rsidR="00B30BA1">
        <w:rPr>
          <w:rFonts w:ascii="Arial" w:hAnsi="Arial" w:cs="Arial"/>
        </w:rPr>
        <w:t>no se agotaron los</w:t>
      </w:r>
      <w:r w:rsidR="00ED60D0">
        <w:rPr>
          <w:rFonts w:ascii="Arial" w:hAnsi="Arial" w:cs="Arial"/>
        </w:rPr>
        <w:t xml:space="preserve"> mecanismo</w:t>
      </w:r>
      <w:r w:rsidR="0064668E">
        <w:rPr>
          <w:rFonts w:ascii="Arial" w:hAnsi="Arial" w:cs="Arial"/>
        </w:rPr>
        <w:t>s</w:t>
      </w:r>
      <w:r w:rsidR="00ED60D0">
        <w:rPr>
          <w:rFonts w:ascii="Arial" w:hAnsi="Arial" w:cs="Arial"/>
        </w:rPr>
        <w:t xml:space="preserve"> ordinarios y extraordinario</w:t>
      </w:r>
      <w:r w:rsidR="0064668E">
        <w:rPr>
          <w:rFonts w:ascii="Arial" w:hAnsi="Arial" w:cs="Arial"/>
        </w:rPr>
        <w:t>s</w:t>
      </w:r>
      <w:r w:rsidR="00ED60D0">
        <w:rPr>
          <w:rFonts w:ascii="Arial" w:hAnsi="Arial" w:cs="Arial"/>
        </w:rPr>
        <w:t xml:space="preserve"> para la defensa judicial,</w:t>
      </w:r>
      <w:r w:rsidR="0064668E">
        <w:rPr>
          <w:rFonts w:ascii="Arial" w:hAnsi="Arial" w:cs="Arial"/>
        </w:rPr>
        <w:t xml:space="preserve"> es decir, el requisito de subsidiaridad</w:t>
      </w:r>
      <w:r w:rsidR="00B30BA1">
        <w:rPr>
          <w:rFonts w:ascii="Arial" w:hAnsi="Arial" w:cs="Arial"/>
        </w:rPr>
        <w:t xml:space="preserve"> está incumplido</w:t>
      </w:r>
      <w:r w:rsidR="00EA5069">
        <w:rPr>
          <w:rFonts w:ascii="Arial" w:hAnsi="Arial" w:cs="Arial"/>
        </w:rPr>
        <w:t>,</w:t>
      </w:r>
      <w:r w:rsidR="00B30BA1">
        <w:rPr>
          <w:rFonts w:ascii="Arial" w:hAnsi="Arial" w:cs="Arial"/>
        </w:rPr>
        <w:t xml:space="preserve"> se itera que el actor debe requerir a</w:t>
      </w:r>
      <w:r w:rsidR="00D43C00">
        <w:rPr>
          <w:rFonts w:ascii="Arial" w:hAnsi="Arial" w:cs="Arial"/>
        </w:rPr>
        <w:t xml:space="preserve">l </w:t>
      </w:r>
      <w:r w:rsidR="003829EF">
        <w:rPr>
          <w:rFonts w:ascii="Arial" w:hAnsi="Arial" w:cs="Arial"/>
        </w:rPr>
        <w:t>juzgado</w:t>
      </w:r>
      <w:r w:rsidR="00B30BA1">
        <w:rPr>
          <w:rFonts w:ascii="Arial" w:hAnsi="Arial" w:cs="Arial"/>
        </w:rPr>
        <w:t>,</w:t>
      </w:r>
      <w:r w:rsidR="00ED60D0">
        <w:rPr>
          <w:rFonts w:ascii="Arial" w:hAnsi="Arial" w:cs="Arial"/>
        </w:rPr>
        <w:t xml:space="preserve"> </w:t>
      </w:r>
      <w:r w:rsidR="00EA5069">
        <w:rPr>
          <w:rFonts w:ascii="Arial" w:hAnsi="Arial" w:cs="Arial"/>
        </w:rPr>
        <w:t xml:space="preserve">y </w:t>
      </w:r>
      <w:r w:rsidR="006F565F">
        <w:rPr>
          <w:rFonts w:ascii="Arial" w:hAnsi="Arial" w:cs="Arial"/>
        </w:rPr>
        <w:t>sobre ello ninguna prueba obra en esta acción</w:t>
      </w:r>
      <w:r w:rsidR="0064668E">
        <w:rPr>
          <w:rFonts w:ascii="Arial" w:hAnsi="Arial" w:cs="Arial"/>
        </w:rPr>
        <w:t>, en consecuencia</w:t>
      </w:r>
      <w:r w:rsidR="006F565F">
        <w:rPr>
          <w:rFonts w:ascii="Arial" w:hAnsi="Arial" w:cs="Arial"/>
        </w:rPr>
        <w:t>,</w:t>
      </w:r>
      <w:r w:rsidR="00ED60D0">
        <w:rPr>
          <w:rFonts w:ascii="Arial" w:hAnsi="Arial" w:cs="Arial"/>
        </w:rPr>
        <w:t xml:space="preserve"> </w:t>
      </w:r>
      <w:r w:rsidR="00B30BA1">
        <w:rPr>
          <w:rFonts w:ascii="Arial" w:hAnsi="Arial" w:cs="Arial"/>
        </w:rPr>
        <w:t>habrá</w:t>
      </w:r>
      <w:r w:rsidR="00ED60D0">
        <w:rPr>
          <w:rFonts w:ascii="Arial" w:hAnsi="Arial" w:cs="Arial"/>
        </w:rPr>
        <w:t xml:space="preserve"> de declararse improcedente</w:t>
      </w:r>
      <w:r w:rsidR="0064668E">
        <w:rPr>
          <w:rFonts w:ascii="Arial" w:hAnsi="Arial" w:cs="Arial"/>
        </w:rPr>
        <w:t>.</w:t>
      </w:r>
    </w:p>
    <w:p w:rsidR="00ED60D0" w:rsidRDefault="00ED60D0" w:rsidP="00ED60D0">
      <w:pPr>
        <w:pStyle w:val="Textoindependiente"/>
        <w:spacing w:line="360" w:lineRule="auto"/>
        <w:rPr>
          <w:rFonts w:ascii="Arial" w:hAnsi="Arial" w:cs="Arial"/>
        </w:rPr>
      </w:pPr>
    </w:p>
    <w:p w:rsidR="0064668E" w:rsidRDefault="00B30BA1" w:rsidP="00ED60D0">
      <w:pPr>
        <w:pStyle w:val="Textoindependiente"/>
        <w:spacing w:line="360" w:lineRule="auto"/>
        <w:rPr>
          <w:rFonts w:ascii="Arial" w:hAnsi="Arial" w:cs="Arial"/>
        </w:rPr>
      </w:pPr>
      <w:r>
        <w:rPr>
          <w:rFonts w:ascii="Arial" w:hAnsi="Arial" w:cs="Arial"/>
        </w:rPr>
        <w:t xml:space="preserve">En efecto, el </w:t>
      </w:r>
      <w:r w:rsidR="005B72A9">
        <w:rPr>
          <w:rFonts w:ascii="Arial" w:hAnsi="Arial" w:cs="Arial"/>
        </w:rPr>
        <w:t xml:space="preserve">accionado </w:t>
      </w:r>
      <w:r>
        <w:rPr>
          <w:rFonts w:ascii="Arial" w:hAnsi="Arial" w:cs="Arial"/>
        </w:rPr>
        <w:t>se halla retardado para</w:t>
      </w:r>
      <w:r w:rsidR="0064668E">
        <w:rPr>
          <w:rFonts w:ascii="Arial" w:hAnsi="Arial" w:cs="Arial"/>
        </w:rPr>
        <w:t xml:space="preserve"> emitir </w:t>
      </w:r>
      <w:r w:rsidR="00067715">
        <w:rPr>
          <w:rFonts w:ascii="Arial" w:hAnsi="Arial" w:cs="Arial"/>
        </w:rPr>
        <w:t xml:space="preserve">los </w:t>
      </w:r>
      <w:r w:rsidR="0064668E">
        <w:rPr>
          <w:rFonts w:ascii="Arial" w:hAnsi="Arial" w:cs="Arial"/>
        </w:rPr>
        <w:t>pronunciamiento</w:t>
      </w:r>
      <w:r w:rsidR="00067715">
        <w:rPr>
          <w:rFonts w:ascii="Arial" w:hAnsi="Arial" w:cs="Arial"/>
        </w:rPr>
        <w:t>s</w:t>
      </w:r>
      <w:r w:rsidR="0064668E">
        <w:rPr>
          <w:rFonts w:ascii="Arial" w:hAnsi="Arial" w:cs="Arial"/>
        </w:rPr>
        <w:t xml:space="preserve"> definitivo</w:t>
      </w:r>
      <w:r w:rsidR="00067715">
        <w:rPr>
          <w:rFonts w:ascii="Arial" w:hAnsi="Arial" w:cs="Arial"/>
        </w:rPr>
        <w:t>s</w:t>
      </w:r>
      <w:r w:rsidR="0064668E">
        <w:rPr>
          <w:rFonts w:ascii="Arial" w:hAnsi="Arial" w:cs="Arial"/>
        </w:rPr>
        <w:t xml:space="preserve">, </w:t>
      </w:r>
      <w:r>
        <w:rPr>
          <w:rFonts w:ascii="Arial" w:hAnsi="Arial" w:cs="Arial"/>
        </w:rPr>
        <w:t>sin embargo, acreditó tener</w:t>
      </w:r>
      <w:r w:rsidR="00A0021D">
        <w:rPr>
          <w:rFonts w:ascii="Arial" w:hAnsi="Arial" w:cs="Arial"/>
        </w:rPr>
        <w:t xml:space="preserve"> varios asuntos a despacho con prelación legal para decidir (Folio</w:t>
      </w:r>
      <w:r w:rsidR="006F565F">
        <w:rPr>
          <w:rFonts w:ascii="Arial" w:hAnsi="Arial" w:cs="Arial"/>
        </w:rPr>
        <w:t>s</w:t>
      </w:r>
      <w:r w:rsidR="00A0021D">
        <w:rPr>
          <w:rFonts w:ascii="Arial" w:hAnsi="Arial" w:cs="Arial"/>
        </w:rPr>
        <w:t xml:space="preserve"> </w:t>
      </w:r>
      <w:r w:rsidR="00067715">
        <w:rPr>
          <w:rFonts w:ascii="Arial" w:hAnsi="Arial" w:cs="Arial"/>
        </w:rPr>
        <w:t>50 a 53</w:t>
      </w:r>
      <w:r w:rsidR="00A0021D">
        <w:rPr>
          <w:rFonts w:ascii="Arial" w:hAnsi="Arial" w:cs="Arial"/>
        </w:rPr>
        <w:t>, ib</w:t>
      </w:r>
      <w:r w:rsidR="00067715">
        <w:rPr>
          <w:rFonts w:ascii="Arial" w:hAnsi="Arial" w:cs="Arial"/>
        </w:rPr>
        <w:t>.</w:t>
      </w:r>
      <w:r w:rsidR="00A0021D">
        <w:rPr>
          <w:rFonts w:ascii="Arial" w:hAnsi="Arial" w:cs="Arial"/>
        </w:rPr>
        <w:t xml:space="preserve">), es decir, </w:t>
      </w:r>
      <w:r w:rsidR="0064668E">
        <w:rPr>
          <w:rFonts w:ascii="Arial" w:hAnsi="Arial" w:cs="Arial"/>
        </w:rPr>
        <w:t xml:space="preserve">la mora se encuentra </w:t>
      </w:r>
      <w:r w:rsidR="00E25472">
        <w:rPr>
          <w:rFonts w:ascii="Arial" w:hAnsi="Arial" w:cs="Arial"/>
        </w:rPr>
        <w:t>debidamente</w:t>
      </w:r>
      <w:r w:rsidR="00A0021D">
        <w:rPr>
          <w:rFonts w:ascii="Arial" w:hAnsi="Arial" w:cs="Arial"/>
        </w:rPr>
        <w:t xml:space="preserve"> justificada.</w:t>
      </w:r>
      <w:r>
        <w:rPr>
          <w:rFonts w:ascii="Arial" w:hAnsi="Arial" w:cs="Arial"/>
        </w:rPr>
        <w:t xml:space="preserve"> </w:t>
      </w:r>
      <w:r w:rsidR="005B72A9">
        <w:rPr>
          <w:rFonts w:ascii="Arial" w:hAnsi="Arial" w:cs="Arial"/>
        </w:rPr>
        <w:t>Criterio expuesto en reciente pronunciamiento por esta Sala</w:t>
      </w:r>
      <w:r w:rsidR="005B72A9">
        <w:rPr>
          <w:rStyle w:val="Refdenotaalpie"/>
          <w:rFonts w:ascii="Arial" w:hAnsi="Arial"/>
        </w:rPr>
        <w:footnoteReference w:id="19"/>
      </w:r>
      <w:r w:rsidR="005B72A9">
        <w:rPr>
          <w:rFonts w:ascii="Arial" w:hAnsi="Arial" w:cs="Arial"/>
        </w:rPr>
        <w:t>.</w:t>
      </w:r>
      <w:r w:rsidR="00513CE7">
        <w:rPr>
          <w:rFonts w:ascii="Arial" w:hAnsi="Arial" w:cs="Arial"/>
        </w:rPr>
        <w:t xml:space="preserve"> </w:t>
      </w:r>
      <w:r>
        <w:rPr>
          <w:rFonts w:ascii="Arial" w:hAnsi="Arial" w:cs="Arial"/>
        </w:rPr>
        <w:t>No sobra acotar que el actor no arguyó y menos demostró que se estuviera causando un perjuicio irremediable</w:t>
      </w:r>
      <w:r>
        <w:rPr>
          <w:rStyle w:val="Refdenotaalpie"/>
          <w:rFonts w:ascii="Arial" w:hAnsi="Arial"/>
        </w:rPr>
        <w:footnoteReference w:id="20"/>
      </w:r>
      <w:r w:rsidR="00A0021D">
        <w:rPr>
          <w:rFonts w:ascii="Arial" w:hAnsi="Arial" w:cs="Arial"/>
        </w:rPr>
        <w:t xml:space="preserve"> </w:t>
      </w:r>
      <w:r>
        <w:rPr>
          <w:rFonts w:ascii="Arial" w:hAnsi="Arial" w:cs="Arial"/>
        </w:rPr>
        <w:t>por la tardanza para proferir la</w:t>
      </w:r>
      <w:r w:rsidR="00067715">
        <w:rPr>
          <w:rFonts w:ascii="Arial" w:hAnsi="Arial" w:cs="Arial"/>
        </w:rPr>
        <w:t>s</w:t>
      </w:r>
      <w:r>
        <w:rPr>
          <w:rFonts w:ascii="Arial" w:hAnsi="Arial" w:cs="Arial"/>
        </w:rPr>
        <w:t xml:space="preserve"> </w:t>
      </w:r>
      <w:r w:rsidR="00067715">
        <w:rPr>
          <w:rFonts w:ascii="Arial" w:hAnsi="Arial" w:cs="Arial"/>
        </w:rPr>
        <w:t>decisiones</w:t>
      </w:r>
      <w:r w:rsidR="0064668E">
        <w:rPr>
          <w:rFonts w:ascii="Arial" w:hAnsi="Arial" w:cs="Arial"/>
        </w:rPr>
        <w:t>.</w:t>
      </w:r>
    </w:p>
    <w:p w:rsidR="0064668E" w:rsidRDefault="0064668E" w:rsidP="00ED60D0">
      <w:pPr>
        <w:pStyle w:val="Textoindependiente"/>
        <w:spacing w:line="360" w:lineRule="auto"/>
        <w:rPr>
          <w:rFonts w:ascii="Arial" w:hAnsi="Arial" w:cs="Arial"/>
        </w:rPr>
      </w:pPr>
    </w:p>
    <w:p w:rsidR="00067715" w:rsidRDefault="00067715" w:rsidP="00067715">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29-01-2016 </w:t>
      </w:r>
      <w:r>
        <w:rPr>
          <w:rFonts w:ascii="Arial" w:hAnsi="Arial" w:cs="Arial"/>
          <w:iCs/>
          <w:color w:val="000000"/>
          <w:lang w:eastAsia="es-CO"/>
        </w:rPr>
        <w:t>(Folios 4 y 5, ib.)</w:t>
      </w:r>
      <w:r>
        <w:rPr>
          <w:rFonts w:ascii="Arial" w:hAnsi="Arial" w:cs="Arial"/>
        </w:rPr>
        <w:t>, en el sentido de escanearlas y remitirlas a su correo electrónico, se cumplió dicho pedimento.</w:t>
      </w:r>
    </w:p>
    <w:p w:rsidR="00067715" w:rsidRDefault="00067715" w:rsidP="00067715">
      <w:pPr>
        <w:spacing w:line="360" w:lineRule="auto"/>
        <w:ind w:right="51"/>
        <w:jc w:val="both"/>
        <w:rPr>
          <w:rFonts w:ascii="Arial" w:hAnsi="Arial" w:cs="Arial"/>
        </w:rPr>
      </w:pPr>
    </w:p>
    <w:p w:rsidR="00067715" w:rsidRDefault="00067715" w:rsidP="00067715">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adelantar simultáneamente la presente acción frente a la Defensoría del Pueblo de Caldas, hay que precisar, que de los hechos no se advierte conducta que amerite tramitarla, tal como se indicó en el referido 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21"/>
      </w:r>
      <w:r>
        <w:rPr>
          <w:rFonts w:ascii="Arial" w:hAnsi="Arial" w:cs="Arial"/>
          <w:spacing w:val="3"/>
        </w:rPr>
        <w:t>, resolvió negativamente esa petición, así:</w:t>
      </w:r>
    </w:p>
    <w:p w:rsidR="00067715" w:rsidRDefault="00067715" w:rsidP="00067715">
      <w:pPr>
        <w:pStyle w:val="Textoindependiente"/>
        <w:spacing w:line="360" w:lineRule="auto"/>
        <w:rPr>
          <w:rFonts w:ascii="Arial" w:hAnsi="Arial" w:cs="Arial"/>
          <w:spacing w:val="3"/>
        </w:rPr>
      </w:pPr>
    </w:p>
    <w:p w:rsidR="00067715" w:rsidRDefault="00067715" w:rsidP="00067715">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82666E" w:rsidRDefault="0082666E" w:rsidP="0082666E">
      <w:pPr>
        <w:pStyle w:val="Textoindependiente"/>
        <w:spacing w:line="360" w:lineRule="auto"/>
        <w:rPr>
          <w:rFonts w:ascii="Arial" w:hAnsi="Arial" w:cs="Arial"/>
          <w:spacing w:val="3"/>
        </w:rPr>
      </w:pPr>
    </w:p>
    <w:p w:rsidR="0082666E" w:rsidRDefault="0082666E" w:rsidP="0082666E">
      <w:pPr>
        <w:pStyle w:val="Textoindependiente"/>
        <w:spacing w:line="360" w:lineRule="auto"/>
        <w:rPr>
          <w:rFonts w:ascii="Arial" w:hAnsi="Arial" w:cs="Arial"/>
          <w:szCs w:val="23"/>
        </w:rPr>
      </w:pPr>
      <w:r>
        <w:rPr>
          <w:rFonts w:ascii="Arial" w:hAnsi="Arial" w:cs="Arial"/>
          <w:spacing w:val="3"/>
        </w:rPr>
        <w:t>Nugatoria que también</w:t>
      </w:r>
      <w:r>
        <w:rPr>
          <w:rFonts w:ascii="Arial" w:hAnsi="Arial" w:cs="Arial"/>
          <w:iCs/>
          <w:color w:val="000000"/>
          <w:lang w:eastAsia="es-CO"/>
        </w:rPr>
        <w:t xml:space="preserve"> </w:t>
      </w:r>
      <w:r w:rsidRPr="0024466D">
        <w:rPr>
          <w:rFonts w:ascii="Arial" w:hAnsi="Arial" w:cs="Arial"/>
          <w:spacing w:val="3"/>
        </w:rPr>
        <w:t>en anteriores oportunidades</w:t>
      </w:r>
      <w:r w:rsidRPr="0024466D">
        <w:rPr>
          <w:rStyle w:val="Refdenotaalpie"/>
          <w:rFonts w:ascii="Arial" w:eastAsia="Yu Gothic Light" w:hAnsi="Arial"/>
        </w:rPr>
        <w:footnoteReference w:id="22"/>
      </w:r>
      <w:r>
        <w:rPr>
          <w:rFonts w:ascii="Arial" w:hAnsi="Arial" w:cs="Arial"/>
          <w:spacing w:val="3"/>
          <w:vertAlign w:val="superscript"/>
        </w:rPr>
        <w:t>-</w:t>
      </w:r>
      <w:r>
        <w:rPr>
          <w:rStyle w:val="Refdenotaalpie"/>
          <w:rFonts w:ascii="Arial" w:hAnsi="Arial"/>
          <w:spacing w:val="3"/>
        </w:rPr>
        <w:footnoteReference w:id="23"/>
      </w:r>
      <w:r>
        <w:rPr>
          <w:rFonts w:ascii="Arial" w:hAnsi="Arial" w:cs="Arial"/>
          <w:spacing w:val="3"/>
          <w:vertAlign w:val="superscript"/>
        </w:rPr>
        <w:t>-</w:t>
      </w:r>
      <w:r>
        <w:rPr>
          <w:rStyle w:val="Refdenotaalpie"/>
          <w:rFonts w:ascii="Arial" w:hAnsi="Arial"/>
          <w:spacing w:val="3"/>
        </w:rPr>
        <w:footnoteReference w:id="24"/>
      </w:r>
      <w:r>
        <w:rPr>
          <w:rFonts w:ascii="Arial" w:hAnsi="Arial" w:cs="Arial"/>
          <w:spacing w:val="3"/>
        </w:rPr>
        <w:t xml:space="preserve"> </w:t>
      </w:r>
      <w:r w:rsidR="00B30BA1">
        <w:rPr>
          <w:rFonts w:ascii="Arial" w:hAnsi="Arial" w:cs="Arial"/>
          <w:spacing w:val="3"/>
        </w:rPr>
        <w:t xml:space="preserve">ha sido patrocinada </w:t>
      </w:r>
      <w:r>
        <w:rPr>
          <w:rFonts w:ascii="Arial" w:hAnsi="Arial" w:cs="Arial"/>
          <w:spacing w:val="3"/>
        </w:rPr>
        <w:t xml:space="preserve">por </w:t>
      </w:r>
      <w:r w:rsidRPr="0024466D">
        <w:rPr>
          <w:rFonts w:ascii="Arial" w:hAnsi="Arial" w:cs="Arial"/>
          <w:spacing w:val="3"/>
        </w:rPr>
        <w:t xml:space="preserve">esta Sala </w:t>
      </w:r>
      <w:r w:rsidRPr="0024466D">
        <w:rPr>
          <w:rFonts w:ascii="Arial" w:hAnsi="Arial" w:cs="Arial"/>
        </w:rPr>
        <w:t>Especializada</w:t>
      </w:r>
      <w:r>
        <w:rPr>
          <w:rFonts w:ascii="Arial" w:hAnsi="Arial" w:cs="Arial"/>
        </w:rPr>
        <w:t>.</w:t>
      </w:r>
    </w:p>
    <w:p w:rsidR="00B30BA1" w:rsidRDefault="00B30BA1" w:rsidP="00ED60D0">
      <w:pPr>
        <w:pStyle w:val="Textoindependiente"/>
        <w:spacing w:line="360" w:lineRule="auto"/>
        <w:rPr>
          <w:rFonts w:ascii="Arial" w:hAnsi="Arial" w:cs="Arial"/>
        </w:rPr>
      </w:pPr>
    </w:p>
    <w:p w:rsidR="005B4A1B" w:rsidRPr="00A30437" w:rsidRDefault="005B4A1B" w:rsidP="00FF5B57">
      <w:pPr>
        <w:spacing w:line="360" w:lineRule="auto"/>
        <w:jc w:val="both"/>
        <w:rPr>
          <w:rFonts w:ascii="Arial" w:hAnsi="Arial" w:cs="Arial"/>
          <w:lang w:val="es-ES_tradnl"/>
        </w:rPr>
      </w:pPr>
    </w:p>
    <w:p w:rsidR="00FF5B57" w:rsidRPr="00F36F9C"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FF5B57"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EE70D2" w:rsidRPr="00842D42" w:rsidRDefault="00EE70D2" w:rsidP="00EE70D2">
      <w:pPr>
        <w:pStyle w:val="Textoindependiente"/>
        <w:tabs>
          <w:tab w:val="clear" w:pos="708"/>
        </w:tabs>
        <w:spacing w:line="360" w:lineRule="auto"/>
        <w:rPr>
          <w:rFonts w:ascii="Arial" w:hAnsi="Arial" w:cs="Arial"/>
          <w:szCs w:val="24"/>
          <w:lang w:val="es-ES"/>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e declarar</w:t>
      </w:r>
      <w:r w:rsidR="00A0021D">
        <w:rPr>
          <w:rFonts w:ascii="Arial" w:hAnsi="Arial" w:cs="Arial"/>
          <w:szCs w:val="24"/>
          <w:lang w:val="es-ES"/>
        </w:rPr>
        <w:t>á</w:t>
      </w:r>
      <w:r w:rsidR="0023296A">
        <w:rPr>
          <w:rFonts w:ascii="Arial" w:hAnsi="Arial" w:cs="Arial"/>
          <w:szCs w:val="24"/>
          <w:lang w:val="es-ES"/>
        </w:rPr>
        <w:t>n</w:t>
      </w:r>
      <w:r w:rsidR="00A0021D">
        <w:rPr>
          <w:rFonts w:ascii="Arial" w:hAnsi="Arial" w:cs="Arial"/>
          <w:szCs w:val="24"/>
          <w:lang w:val="es-ES"/>
        </w:rPr>
        <w:t xml:space="preserve"> </w:t>
      </w:r>
      <w:r w:rsidRPr="00A30437">
        <w:rPr>
          <w:rFonts w:ascii="Arial" w:hAnsi="Arial" w:cs="Arial"/>
          <w:szCs w:val="24"/>
          <w:lang w:val="es-ES"/>
        </w:rPr>
        <w:t>improcedente</w:t>
      </w:r>
      <w:r w:rsidR="0023296A">
        <w:rPr>
          <w:rFonts w:ascii="Arial" w:hAnsi="Arial" w:cs="Arial"/>
          <w:szCs w:val="24"/>
          <w:lang w:val="es-ES"/>
        </w:rPr>
        <w:t>s</w:t>
      </w:r>
      <w:r w:rsidRPr="00A30437">
        <w:rPr>
          <w:rFonts w:ascii="Arial" w:hAnsi="Arial" w:cs="Arial"/>
          <w:szCs w:val="24"/>
          <w:lang w:val="es-ES"/>
        </w:rPr>
        <w:t xml:space="preserve"> la</w:t>
      </w:r>
      <w:r w:rsidR="0023296A">
        <w:rPr>
          <w:rFonts w:ascii="Arial" w:hAnsi="Arial" w:cs="Arial"/>
          <w:szCs w:val="24"/>
          <w:lang w:val="es-ES"/>
        </w:rPr>
        <w:t>s</w:t>
      </w:r>
      <w:r w:rsidR="007A3F1E">
        <w:rPr>
          <w:rFonts w:ascii="Arial" w:hAnsi="Arial" w:cs="Arial"/>
          <w:szCs w:val="24"/>
          <w:lang w:val="es-ES"/>
        </w:rPr>
        <w:t xml:space="preserve"> </w:t>
      </w:r>
      <w:r w:rsidR="0023296A">
        <w:rPr>
          <w:rFonts w:ascii="Arial" w:hAnsi="Arial" w:cs="Arial"/>
          <w:szCs w:val="24"/>
          <w:lang w:val="es-ES"/>
        </w:rPr>
        <w:t xml:space="preserve">acciones </w:t>
      </w:r>
      <w:r w:rsidR="00A0021D">
        <w:rPr>
          <w:rFonts w:ascii="Arial" w:hAnsi="Arial" w:cs="Arial"/>
          <w:szCs w:val="24"/>
          <w:lang w:val="es-ES"/>
        </w:rPr>
        <w:t>de tutela</w:t>
      </w:r>
      <w:r w:rsidRPr="00A30437">
        <w:rPr>
          <w:rFonts w:ascii="Arial" w:hAnsi="Arial" w:cs="Arial"/>
          <w:szCs w:val="24"/>
          <w:lang w:val="es-ES"/>
        </w:rPr>
        <w:t xml:space="preserve"> con estribo en que se incumplió el presupuesto de subsidiariedad</w:t>
      </w:r>
      <w:r w:rsidR="0023296A">
        <w:rPr>
          <w:rFonts w:ascii="Arial" w:hAnsi="Arial" w:cs="Arial"/>
          <w:szCs w:val="24"/>
          <w:lang w:val="es-ES"/>
        </w:rPr>
        <w:t xml:space="preserve">; y </w:t>
      </w:r>
      <w:r>
        <w:rPr>
          <w:rFonts w:ascii="Arial" w:hAnsi="Arial" w:cs="Arial"/>
          <w:szCs w:val="24"/>
          <w:lang w:val="es-ES"/>
        </w:rPr>
        <w:t xml:space="preserve">(ii) </w:t>
      </w:r>
      <w:r w:rsidR="000E3170">
        <w:rPr>
          <w:rFonts w:ascii="Arial" w:hAnsi="Arial" w:cs="Arial"/>
        </w:rPr>
        <w:t>Se negará</w:t>
      </w:r>
      <w:r w:rsidR="00F374CC">
        <w:rPr>
          <w:rFonts w:ascii="Arial" w:hAnsi="Arial" w:cs="Arial"/>
        </w:rPr>
        <w:t>n</w:t>
      </w:r>
      <w:r w:rsidR="000E3170">
        <w:rPr>
          <w:rFonts w:ascii="Arial" w:hAnsi="Arial" w:cs="Arial"/>
        </w:rPr>
        <w:t xml:space="preserve"> </w:t>
      </w:r>
      <w:r>
        <w:rPr>
          <w:rFonts w:ascii="Arial" w:hAnsi="Arial" w:cs="Arial"/>
        </w:rPr>
        <w:t>respecto a los vinculados</w:t>
      </w:r>
      <w:r w:rsidRPr="00A30437">
        <w:rPr>
          <w:rFonts w:ascii="Arial" w:hAnsi="Arial" w:cs="Arial"/>
          <w:szCs w:val="24"/>
          <w:lang w:val="es-ES"/>
        </w:rPr>
        <w:t>.</w:t>
      </w: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23296A" w:rsidRDefault="00FF5B57" w:rsidP="00FF5B57">
      <w:pPr>
        <w:tabs>
          <w:tab w:val="left" w:pos="-720"/>
        </w:tabs>
        <w:suppressAutoHyphens/>
        <w:spacing w:line="360" w:lineRule="auto"/>
        <w:jc w:val="both"/>
        <w:rPr>
          <w:rFonts w:ascii="Arial" w:hAnsi="Arial" w:cs="Arial"/>
          <w:sz w:val="14"/>
        </w:rPr>
      </w:pPr>
    </w:p>
    <w:p w:rsidR="00FF5B57" w:rsidRPr="00A3043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FF5B57" w:rsidRPr="00A30437"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DECLARAR improcedente</w:t>
      </w:r>
      <w:r w:rsidR="0023296A">
        <w:rPr>
          <w:rFonts w:ascii="Arial" w:hAnsi="Arial" w:cs="Arial"/>
        </w:rPr>
        <w:t>s</w:t>
      </w:r>
      <w:r w:rsidRPr="00A30437">
        <w:rPr>
          <w:rFonts w:ascii="Arial" w:hAnsi="Arial" w:cs="Arial"/>
        </w:rPr>
        <w:t xml:space="preserve"> la</w:t>
      </w:r>
      <w:r w:rsidR="0023296A">
        <w:rPr>
          <w:rFonts w:ascii="Arial" w:hAnsi="Arial" w:cs="Arial"/>
        </w:rPr>
        <w:t>s</w:t>
      </w:r>
      <w:r w:rsidRPr="00A30437">
        <w:rPr>
          <w:rFonts w:ascii="Arial" w:hAnsi="Arial" w:cs="Arial"/>
        </w:rPr>
        <w:t xml:space="preserve"> tutela</w:t>
      </w:r>
      <w:r w:rsidR="0023296A">
        <w:rPr>
          <w:rFonts w:ascii="Arial" w:hAnsi="Arial" w:cs="Arial"/>
        </w:rPr>
        <w:t>s</w:t>
      </w:r>
      <w:r w:rsidRPr="00A30437">
        <w:rPr>
          <w:rFonts w:ascii="Arial" w:hAnsi="Arial" w:cs="Arial"/>
        </w:rPr>
        <w:t xml:space="preserve"> propuesta</w:t>
      </w:r>
      <w:r w:rsidR="0023296A">
        <w:rPr>
          <w:rFonts w:ascii="Arial" w:hAnsi="Arial" w:cs="Arial"/>
        </w:rPr>
        <w:t>s</w:t>
      </w:r>
      <w:r w:rsidRPr="00A30437">
        <w:rPr>
          <w:rFonts w:ascii="Arial" w:hAnsi="Arial" w:cs="Arial"/>
        </w:rPr>
        <w:t xml:space="preserve"> por haberse incumplido el requisito de subsidiariedad</w:t>
      </w:r>
      <w:r w:rsidR="0023296A">
        <w:rPr>
          <w:rFonts w:ascii="Arial" w:hAnsi="Arial" w:cs="Arial"/>
        </w:rPr>
        <w:t>.</w:t>
      </w:r>
    </w:p>
    <w:p w:rsidR="007C583C" w:rsidRDefault="007C583C" w:rsidP="007C583C">
      <w:pPr>
        <w:pStyle w:val="Textoindependiente"/>
        <w:tabs>
          <w:tab w:val="clear" w:pos="708"/>
        </w:tabs>
        <w:spacing w:line="360" w:lineRule="auto"/>
        <w:ind w:left="360"/>
        <w:rPr>
          <w:rFonts w:ascii="Arial" w:hAnsi="Arial" w:cs="Arial"/>
          <w:szCs w:val="24"/>
        </w:rPr>
      </w:pPr>
    </w:p>
    <w:p w:rsidR="000144F9" w:rsidRPr="003C1983" w:rsidRDefault="000144F9" w:rsidP="000144F9">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NEGAR la</w:t>
      </w:r>
      <w:r w:rsidR="0023296A">
        <w:rPr>
          <w:rFonts w:ascii="Arial" w:hAnsi="Arial" w:cs="Arial"/>
          <w:szCs w:val="24"/>
        </w:rPr>
        <w:t>s</w:t>
      </w:r>
      <w:r w:rsidRPr="003C1983">
        <w:rPr>
          <w:rFonts w:ascii="Arial" w:hAnsi="Arial" w:cs="Arial"/>
          <w:szCs w:val="24"/>
        </w:rPr>
        <w:t xml:space="preserve"> </w:t>
      </w:r>
      <w:r w:rsidR="0023296A">
        <w:rPr>
          <w:rFonts w:ascii="Arial" w:hAnsi="Arial" w:cs="Arial"/>
          <w:szCs w:val="24"/>
        </w:rPr>
        <w:t xml:space="preserve">acciones </w:t>
      </w:r>
      <w:r w:rsidRPr="003C1983">
        <w:rPr>
          <w:rFonts w:ascii="Arial" w:hAnsi="Arial" w:cs="Arial"/>
          <w:szCs w:val="24"/>
        </w:rPr>
        <w:t>de tutela promovida</w:t>
      </w:r>
      <w:r w:rsidR="0023296A">
        <w:rPr>
          <w:rFonts w:ascii="Arial" w:hAnsi="Arial" w:cs="Arial"/>
          <w:szCs w:val="24"/>
        </w:rPr>
        <w:t>s</w:t>
      </w:r>
      <w:r w:rsidRPr="003C1983">
        <w:rPr>
          <w:rFonts w:ascii="Arial" w:hAnsi="Arial" w:cs="Arial"/>
          <w:szCs w:val="24"/>
        </w:rPr>
        <w:t xml:space="preserve"> frente </w:t>
      </w:r>
      <w:r w:rsidR="0023296A" w:rsidRPr="00A40AC5">
        <w:rPr>
          <w:rFonts w:ascii="Arial" w:hAnsi="Arial" w:cs="Arial"/>
          <w:spacing w:val="3"/>
          <w:szCs w:val="24"/>
        </w:rPr>
        <w:t>a</w:t>
      </w:r>
      <w:r w:rsidR="0023296A">
        <w:rPr>
          <w:rFonts w:ascii="Arial" w:hAnsi="Arial" w:cs="Arial"/>
          <w:spacing w:val="3"/>
          <w:szCs w:val="24"/>
        </w:rPr>
        <w:t xml:space="preserve">l Banco WWB SA -sucursal calle 25 No.8-10 de Pereira-, la Fundación </w:t>
      </w:r>
      <w:r w:rsidR="0023296A" w:rsidRPr="0023296A">
        <w:rPr>
          <w:rFonts w:ascii="Arial" w:hAnsi="Arial" w:cs="Arial"/>
          <w:i/>
          <w:spacing w:val="3"/>
          <w:szCs w:val="24"/>
        </w:rPr>
        <w:t>“delamujer”</w:t>
      </w:r>
      <w:r w:rsidR="0023296A">
        <w:rPr>
          <w:rFonts w:ascii="Arial" w:hAnsi="Arial" w:cs="Arial"/>
          <w:spacing w:val="3"/>
          <w:szCs w:val="24"/>
        </w:rPr>
        <w:t xml:space="preserve"> -sucursal carrera 15 No.15-80 de Santa Rosa de Cabal, R.-, la Empresa de Telecomunicaciones de Pereira SA UNE -sucursal CAN de Santa Rosa de Cabal, R.-, </w:t>
      </w:r>
      <w:r w:rsidR="0023296A" w:rsidRPr="00A40AC5">
        <w:rPr>
          <w:rFonts w:ascii="Arial" w:hAnsi="Arial" w:cs="Arial"/>
          <w:spacing w:val="3"/>
          <w:szCs w:val="24"/>
        </w:rPr>
        <w:t xml:space="preserve">la Defensoría del Pueblo </w:t>
      </w:r>
      <w:r w:rsidR="0023296A">
        <w:rPr>
          <w:rFonts w:ascii="Arial" w:hAnsi="Arial" w:cs="Arial"/>
          <w:spacing w:val="3"/>
          <w:szCs w:val="24"/>
        </w:rPr>
        <w:t xml:space="preserve">y </w:t>
      </w:r>
      <w:r w:rsidR="0023296A" w:rsidRPr="00A40AC5">
        <w:rPr>
          <w:rFonts w:ascii="Arial" w:hAnsi="Arial" w:cs="Arial"/>
          <w:spacing w:val="3"/>
          <w:szCs w:val="24"/>
        </w:rPr>
        <w:t>la Procuraduría General de la Nación</w:t>
      </w:r>
      <w:r w:rsidR="0023296A">
        <w:rPr>
          <w:rFonts w:ascii="Arial" w:hAnsi="Arial" w:cs="Arial"/>
          <w:spacing w:val="3"/>
          <w:szCs w:val="24"/>
        </w:rPr>
        <w:t>,</w:t>
      </w:r>
      <w:r w:rsidR="0023296A" w:rsidRPr="00A40AC5">
        <w:rPr>
          <w:rFonts w:ascii="Arial" w:hAnsi="Arial" w:cs="Arial"/>
          <w:spacing w:val="3"/>
          <w:szCs w:val="24"/>
        </w:rPr>
        <w:t xml:space="preserve"> Regional</w:t>
      </w:r>
      <w:r w:rsidR="0023296A">
        <w:rPr>
          <w:rFonts w:ascii="Arial" w:hAnsi="Arial" w:cs="Arial"/>
          <w:spacing w:val="3"/>
          <w:szCs w:val="24"/>
        </w:rPr>
        <w:t>es</w:t>
      </w:r>
      <w:r w:rsidR="0023296A" w:rsidRPr="00A40AC5">
        <w:rPr>
          <w:rFonts w:ascii="Arial" w:hAnsi="Arial" w:cs="Arial"/>
          <w:spacing w:val="3"/>
          <w:szCs w:val="24"/>
        </w:rPr>
        <w:t xml:space="preserve"> de Risaralda</w:t>
      </w:r>
      <w:r w:rsidR="0023296A">
        <w:rPr>
          <w:rFonts w:ascii="Arial" w:hAnsi="Arial" w:cs="Arial"/>
          <w:spacing w:val="3"/>
          <w:szCs w:val="24"/>
        </w:rPr>
        <w:t>,</w:t>
      </w:r>
      <w:r w:rsidR="0023296A" w:rsidRPr="00A40AC5">
        <w:rPr>
          <w:rFonts w:ascii="Arial" w:hAnsi="Arial" w:cs="Arial"/>
          <w:spacing w:val="3"/>
          <w:szCs w:val="24"/>
        </w:rPr>
        <w:t xml:space="preserve"> y</w:t>
      </w:r>
      <w:r w:rsidR="0023296A">
        <w:rPr>
          <w:rFonts w:ascii="Arial" w:hAnsi="Arial" w:cs="Arial"/>
          <w:spacing w:val="3"/>
          <w:szCs w:val="24"/>
        </w:rPr>
        <w:t xml:space="preserve">, </w:t>
      </w:r>
      <w:r w:rsidR="0023296A" w:rsidRPr="00A40AC5">
        <w:rPr>
          <w:rFonts w:ascii="Arial" w:hAnsi="Arial" w:cs="Arial"/>
          <w:spacing w:val="3"/>
          <w:szCs w:val="24"/>
        </w:rPr>
        <w:t>la</w:t>
      </w:r>
      <w:r w:rsidR="0023296A">
        <w:rPr>
          <w:rFonts w:ascii="Arial" w:hAnsi="Arial" w:cs="Arial"/>
          <w:spacing w:val="3"/>
          <w:szCs w:val="24"/>
        </w:rPr>
        <w:t>s</w:t>
      </w:r>
      <w:r w:rsidR="0023296A" w:rsidRPr="00A40AC5">
        <w:rPr>
          <w:rFonts w:ascii="Arial" w:hAnsi="Arial" w:cs="Arial"/>
          <w:spacing w:val="3"/>
          <w:szCs w:val="24"/>
        </w:rPr>
        <w:t xml:space="preserve"> Alcaldía</w:t>
      </w:r>
      <w:r w:rsidR="0023296A">
        <w:rPr>
          <w:rFonts w:ascii="Arial" w:hAnsi="Arial" w:cs="Arial"/>
          <w:spacing w:val="3"/>
          <w:szCs w:val="24"/>
        </w:rPr>
        <w:t xml:space="preserve">s y </w:t>
      </w:r>
      <w:r w:rsidR="0023296A" w:rsidRPr="00A40AC5">
        <w:rPr>
          <w:rFonts w:ascii="Arial" w:hAnsi="Arial" w:cs="Arial"/>
          <w:spacing w:val="3"/>
          <w:szCs w:val="24"/>
        </w:rPr>
        <w:t>Personería</w:t>
      </w:r>
      <w:r w:rsidR="0023296A">
        <w:rPr>
          <w:rFonts w:ascii="Arial" w:hAnsi="Arial" w:cs="Arial"/>
          <w:spacing w:val="3"/>
          <w:szCs w:val="24"/>
        </w:rPr>
        <w:t xml:space="preserve">s </w:t>
      </w:r>
      <w:r w:rsidR="0023296A" w:rsidRPr="00A40AC5">
        <w:rPr>
          <w:rFonts w:ascii="Arial" w:hAnsi="Arial" w:cs="Arial"/>
          <w:spacing w:val="3"/>
          <w:szCs w:val="24"/>
        </w:rPr>
        <w:t>Municipal</w:t>
      </w:r>
      <w:r w:rsidR="0023296A">
        <w:rPr>
          <w:rFonts w:ascii="Arial" w:hAnsi="Arial" w:cs="Arial"/>
          <w:spacing w:val="3"/>
          <w:szCs w:val="24"/>
        </w:rPr>
        <w:t>es</w:t>
      </w:r>
      <w:r w:rsidR="0023296A" w:rsidRPr="00A40AC5">
        <w:rPr>
          <w:rFonts w:ascii="Arial" w:hAnsi="Arial" w:cs="Arial"/>
          <w:spacing w:val="3"/>
          <w:szCs w:val="24"/>
        </w:rPr>
        <w:t xml:space="preserve"> de Pereira</w:t>
      </w:r>
      <w:r w:rsidR="0023296A">
        <w:rPr>
          <w:rFonts w:ascii="Arial" w:hAnsi="Arial" w:cs="Arial"/>
          <w:spacing w:val="3"/>
          <w:szCs w:val="24"/>
        </w:rPr>
        <w:t xml:space="preserve"> y Santa Rosa de Cabal, R.</w:t>
      </w:r>
      <w:r w:rsidRPr="003C1983">
        <w:rPr>
          <w:rFonts w:ascii="Arial" w:hAnsi="Arial" w:cs="Arial"/>
          <w:spacing w:val="3"/>
          <w:szCs w:val="24"/>
        </w:rPr>
        <w:t>;</w:t>
      </w:r>
      <w:r w:rsidRPr="003C1983">
        <w:rPr>
          <w:rFonts w:ascii="Arial" w:hAnsi="Arial" w:cs="Arial"/>
          <w:szCs w:val="24"/>
        </w:rPr>
        <w:t xml:space="preserve"> por inexistencia de violación o amenaza a los derechos invocados.</w:t>
      </w:r>
    </w:p>
    <w:p w:rsidR="000144F9" w:rsidRPr="003C1983" w:rsidRDefault="000144F9" w:rsidP="000144F9">
      <w:pPr>
        <w:pStyle w:val="Textoindependiente"/>
        <w:tabs>
          <w:tab w:val="clear" w:pos="708"/>
        </w:tabs>
        <w:spacing w:line="360" w:lineRule="auto"/>
        <w:rPr>
          <w:rFonts w:ascii="Arial" w:hAnsi="Arial" w:cs="Arial"/>
          <w:szCs w:val="24"/>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E606C4" w:rsidRDefault="00626C89" w:rsidP="00FF5B57">
      <w:pPr>
        <w:pStyle w:val="Prrafodelista"/>
        <w:widowControl/>
        <w:autoSpaceDE/>
        <w:autoSpaceDN/>
        <w:adjustRightInd/>
        <w:spacing w:line="360" w:lineRule="auto"/>
        <w:ind w:left="360" w:right="51"/>
        <w:contextualSpacing/>
        <w:jc w:val="both"/>
        <w:rPr>
          <w:rFonts w:ascii="Arial" w:hAnsi="Arial"/>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Default="00DA569C" w:rsidP="00417DA5">
      <w:pPr>
        <w:pStyle w:val="Textoindependiente"/>
        <w:spacing w:line="360" w:lineRule="auto"/>
        <w:jc w:val="center"/>
        <w:rPr>
          <w:rFonts w:ascii="Arial" w:hAnsi="Arial"/>
          <w:szCs w:val="24"/>
        </w:rPr>
      </w:pPr>
    </w:p>
    <w:p w:rsidR="003E66CE" w:rsidRDefault="003E66CE" w:rsidP="00417DA5">
      <w:pPr>
        <w:pStyle w:val="Textoindependiente"/>
        <w:spacing w:line="360" w:lineRule="auto"/>
        <w:jc w:val="center"/>
        <w:rPr>
          <w:rFonts w:ascii="Arial" w:hAnsi="Arial"/>
          <w:szCs w:val="24"/>
        </w:rPr>
      </w:pPr>
    </w:p>
    <w:p w:rsidR="00B30152" w:rsidRPr="00A0021D" w:rsidRDefault="00B30152" w:rsidP="00417DA5">
      <w:pPr>
        <w:pStyle w:val="Textoindependiente"/>
        <w:spacing w:line="360" w:lineRule="auto"/>
        <w:jc w:val="center"/>
        <w:rPr>
          <w:rFonts w:ascii="Arial" w:hAnsi="Arial"/>
          <w:szCs w:val="24"/>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C136DB" w:rsidRPr="00A0021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E66CE" w:rsidRPr="00A0021D"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73BD3" w:rsidRPr="00A0021D"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A0021D">
        <w:rPr>
          <w:rFonts w:ascii="Arial" w:hAnsi="Arial"/>
          <w:w w:val="150"/>
          <w:sz w:val="28"/>
          <w:szCs w:val="18"/>
          <w:lang w:val="es-ES_tradnl"/>
        </w:rPr>
        <w:t>E</w:t>
      </w:r>
      <w:r w:rsidRPr="00A0021D">
        <w:rPr>
          <w:rFonts w:ascii="Arial" w:hAnsi="Arial"/>
          <w:w w:val="150"/>
          <w:sz w:val="18"/>
          <w:szCs w:val="18"/>
          <w:lang w:val="es-ES_tradnl"/>
        </w:rPr>
        <w:t>DDER</w:t>
      </w:r>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E606C4" w:rsidRDefault="00157CDD" w:rsidP="005B4A1B">
      <w:pPr>
        <w:pStyle w:val="Textoindependien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BA" w:rsidRDefault="00293FBA" w:rsidP="0099045D">
      <w:r>
        <w:separator/>
      </w:r>
    </w:p>
  </w:endnote>
  <w:endnote w:type="continuationSeparator" w:id="0">
    <w:p w:rsidR="00293FBA" w:rsidRDefault="00293FB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BA" w:rsidRDefault="00293FBA" w:rsidP="0099045D">
      <w:r>
        <w:separator/>
      </w:r>
    </w:p>
  </w:footnote>
  <w:footnote w:type="continuationSeparator" w:id="0">
    <w:p w:rsidR="00293FBA" w:rsidRDefault="00293FBA"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00067715">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sidR="00067715">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sidR="00E71ABD">
        <w:rPr>
          <w:rFonts w:asciiTheme="minorHAnsi" w:hAnsiTheme="minorHAnsi" w:cs="Calibri"/>
          <w:lang w:val="es-CO"/>
        </w:rPr>
        <w:t>.</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62273B" w:rsidRPr="00574D42" w:rsidRDefault="0062273B" w:rsidP="0062273B">
      <w:pPr>
        <w:pStyle w:val="Textonotapie"/>
        <w:jc w:val="both"/>
        <w:rPr>
          <w:rFonts w:asciiTheme="minorHAnsi" w:hAnsiTheme="minorHAnsi"/>
          <w:lang w:val="es-CO"/>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Sala de Casación Civil.  Providencia STC6121-2015 del 21-05-2015</w:t>
      </w:r>
      <w:r w:rsidRPr="00574D42">
        <w:rPr>
          <w:rFonts w:asciiTheme="minorHAnsi" w:hAnsiTheme="minorHAnsi" w:cs="Calibri"/>
          <w:w w:val="110"/>
          <w:lang w:val="es-CO"/>
        </w:rPr>
        <w:t>.</w:t>
      </w:r>
    </w:p>
  </w:footnote>
  <w:footnote w:id="14">
    <w:p w:rsidR="001325E7" w:rsidRPr="00574D42" w:rsidRDefault="001325E7">
      <w:pPr>
        <w:pStyle w:val="Textonotapie"/>
        <w:rPr>
          <w:rFonts w:asciiTheme="minorHAnsi" w:hAnsiTheme="minorHAnsi"/>
          <w:lang w:val="es-CO"/>
        </w:rPr>
      </w:pPr>
      <w:r w:rsidRPr="00574D42">
        <w:rPr>
          <w:rStyle w:val="Refdenotaalpie"/>
          <w:rFonts w:asciiTheme="minorHAnsi" w:hAnsiTheme="minorHAnsi"/>
        </w:rPr>
        <w:footnoteRef/>
      </w:r>
      <w:r w:rsidRPr="00574D42">
        <w:rPr>
          <w:rFonts w:asciiTheme="minorHAnsi" w:hAnsiTheme="minorHAnsi"/>
        </w:rPr>
        <w:t xml:space="preserve"> CORTE CONSTITUCIONAL. Sentencia T-230 de 2013.</w:t>
      </w:r>
    </w:p>
  </w:footnote>
  <w:footnote w:id="15">
    <w:p w:rsidR="00A25373" w:rsidRDefault="00A25373" w:rsidP="00A25373">
      <w:pPr>
        <w:pStyle w:val="Textonotapie"/>
        <w:jc w:val="both"/>
      </w:pPr>
      <w:r w:rsidRPr="00574D42">
        <w:rPr>
          <w:rStyle w:val="Refdenotaalpie"/>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16">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T-668 de 1996, T-243 de 2000, T-1249 de 2004 y T-366 de 2005. </w:t>
      </w:r>
    </w:p>
  </w:footnote>
  <w:footnote w:id="17">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T-708 de 2006,</w:t>
      </w:r>
      <w:r w:rsidR="001325E7" w:rsidRPr="001325E7">
        <w:rPr>
          <w:rFonts w:asciiTheme="minorHAnsi" w:hAnsiTheme="minorHAnsi"/>
          <w:lang w:val="es-CO"/>
        </w:rPr>
        <w:t xml:space="preserve"> T-220 de 2007 y T-945A de 2008.</w:t>
      </w:r>
    </w:p>
  </w:footnote>
  <w:footnote w:id="18">
    <w:p w:rsidR="00FC0892" w:rsidRPr="00FC0892" w:rsidRDefault="00FC0892" w:rsidP="00FC0892">
      <w:pPr>
        <w:pStyle w:val="Textonotapie"/>
        <w:jc w:val="both"/>
        <w:rPr>
          <w:rFonts w:asciiTheme="minorHAnsi" w:hAnsiTheme="minorHAnsi"/>
          <w:lang w:val="es-CO"/>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Sala de Casación Civil.  Providencia STC</w:t>
      </w:r>
      <w:r>
        <w:rPr>
          <w:rFonts w:asciiTheme="minorHAnsi" w:hAnsiTheme="minorHAnsi" w:cs="Calibri"/>
        </w:rPr>
        <w:t xml:space="preserve">12858-2015, </w:t>
      </w:r>
      <w:r w:rsidRPr="00574D42">
        <w:rPr>
          <w:rFonts w:asciiTheme="minorHAnsi" w:hAnsiTheme="minorHAnsi" w:cs="Calibri"/>
          <w:lang w:val="es-CO"/>
        </w:rPr>
        <w:t>MP: Ariel Salazar Ramírez</w:t>
      </w:r>
      <w:r w:rsidRPr="00574D42">
        <w:rPr>
          <w:rFonts w:asciiTheme="minorHAnsi" w:hAnsiTheme="minorHAnsi" w:cs="Calibri"/>
          <w:w w:val="110"/>
          <w:lang w:val="es-CO"/>
        </w:rPr>
        <w:t>.</w:t>
      </w:r>
    </w:p>
  </w:footnote>
  <w:footnote w:id="19">
    <w:p w:rsidR="005B72A9" w:rsidRPr="005B72A9" w:rsidRDefault="005B72A9">
      <w:pPr>
        <w:pStyle w:val="Textonotapie"/>
        <w:rPr>
          <w:lang w:val="es-CO"/>
        </w:rPr>
      </w:pPr>
      <w:r>
        <w:rPr>
          <w:rStyle w:val="Refdenotaalpie"/>
        </w:rPr>
        <w:footnoteRef/>
      </w:r>
      <w:r>
        <w:t xml:space="preserve"> </w:t>
      </w:r>
      <w:r w:rsidRPr="00261711">
        <w:rPr>
          <w:rFonts w:asciiTheme="minorHAnsi" w:hAnsiTheme="minorHAnsi" w:cs="Calibri"/>
          <w:lang w:val="es-CO"/>
        </w:rPr>
        <w:t xml:space="preserve">TRIBUNAL SUPERIOR DE PEREIRA, </w:t>
      </w:r>
      <w:r>
        <w:rPr>
          <w:rFonts w:asciiTheme="minorHAnsi" w:hAnsiTheme="minorHAnsi" w:cs="Calibri"/>
          <w:lang w:val="es-CO"/>
        </w:rPr>
        <w:t>Sala Civil – Familia. Sentencia</w:t>
      </w:r>
      <w:r w:rsidRPr="00261711">
        <w:rPr>
          <w:rFonts w:asciiTheme="minorHAnsi" w:hAnsiTheme="minorHAnsi" w:cs="Calibri"/>
          <w:lang w:val="es-CO"/>
        </w:rPr>
        <w:t xml:space="preserve"> del</w:t>
      </w:r>
      <w:r w:rsidRPr="00261711">
        <w:rPr>
          <w:rFonts w:asciiTheme="minorHAnsi" w:hAnsiTheme="minorHAnsi" w:cs="Calibri"/>
        </w:rPr>
        <w:t xml:space="preserve"> </w:t>
      </w:r>
      <w:r w:rsidRPr="005B72A9">
        <w:rPr>
          <w:rFonts w:asciiTheme="minorHAnsi" w:hAnsiTheme="minorHAnsi" w:cs="Calibri"/>
        </w:rPr>
        <w:t>09-12-2015</w:t>
      </w:r>
      <w:r w:rsidRPr="00261711">
        <w:rPr>
          <w:rFonts w:asciiTheme="minorHAnsi" w:hAnsiTheme="minorHAnsi" w:cs="Calibri"/>
        </w:rPr>
        <w:t xml:space="preserve">; MP: </w:t>
      </w:r>
      <w:r>
        <w:rPr>
          <w:rFonts w:asciiTheme="minorHAnsi" w:hAnsiTheme="minorHAnsi" w:cs="Calibri"/>
        </w:rPr>
        <w:t>Duberney Grisales Herrera, expediente</w:t>
      </w:r>
      <w:r w:rsidRPr="00261711">
        <w:rPr>
          <w:rFonts w:asciiTheme="minorHAnsi" w:hAnsiTheme="minorHAnsi" w:cs="Calibri"/>
        </w:rPr>
        <w:t xml:space="preserve"> Nos. </w:t>
      </w:r>
      <w:r>
        <w:rPr>
          <w:rFonts w:asciiTheme="minorHAnsi" w:hAnsiTheme="minorHAnsi" w:cs="Calibri"/>
        </w:rPr>
        <w:t>2015-00898-00.</w:t>
      </w:r>
    </w:p>
  </w:footnote>
  <w:footnote w:id="20">
    <w:p w:rsidR="00B30BA1" w:rsidRPr="00B30BA1" w:rsidRDefault="00B30BA1">
      <w:pPr>
        <w:pStyle w:val="Textonotapie"/>
        <w:rPr>
          <w:lang w:val="es-CO"/>
        </w:rPr>
      </w:pPr>
      <w:r>
        <w:rPr>
          <w:rStyle w:val="Refdenotaalpie"/>
        </w:rPr>
        <w:footnoteRef/>
      </w:r>
      <w:r>
        <w:t xml:space="preserve"> </w:t>
      </w:r>
      <w:r w:rsidRPr="001325E7">
        <w:rPr>
          <w:rFonts w:asciiTheme="minorHAnsi" w:hAnsiTheme="minorHAnsi"/>
          <w:lang w:val="es-CO"/>
        </w:rPr>
        <w:t>CORTE CONSTITUCIONAL. Sentencia T-</w:t>
      </w:r>
      <w:r>
        <w:rPr>
          <w:rFonts w:asciiTheme="minorHAnsi" w:hAnsiTheme="minorHAnsi"/>
          <w:lang w:val="es-CO"/>
        </w:rPr>
        <w:t>145</w:t>
      </w:r>
      <w:r w:rsidRPr="001325E7">
        <w:rPr>
          <w:rFonts w:asciiTheme="minorHAnsi" w:hAnsiTheme="minorHAnsi"/>
          <w:lang w:val="es-CO"/>
        </w:rPr>
        <w:t xml:space="preserve"> de</w:t>
      </w:r>
      <w:r>
        <w:rPr>
          <w:rFonts w:asciiTheme="minorHAnsi" w:hAnsiTheme="minorHAnsi"/>
          <w:lang w:val="es-CO"/>
        </w:rPr>
        <w:t>l 01-03-2012.</w:t>
      </w:r>
    </w:p>
  </w:footnote>
  <w:footnote w:id="21">
    <w:p w:rsidR="00067715" w:rsidRDefault="00067715" w:rsidP="00067715">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 w:id="22">
    <w:p w:rsidR="0082666E" w:rsidRPr="00261711" w:rsidRDefault="0082666E" w:rsidP="0082666E">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Jaime Alberto Saraza Naranjo, expedientes Nos. 2015-00490-00 y 2015-00495-00.</w:t>
      </w:r>
    </w:p>
  </w:footnote>
  <w:footnote w:id="23">
    <w:p w:rsidR="0082666E" w:rsidRPr="00261711" w:rsidRDefault="0082666E" w:rsidP="0082666E">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w:t>
      </w:r>
      <w:r>
        <w:rPr>
          <w:rFonts w:asciiTheme="minorHAnsi" w:hAnsiTheme="minorHAnsi" w:cs="Calibri"/>
        </w:rPr>
        <w:t>Claudia María Arcila Ríos</w:t>
      </w:r>
      <w:r w:rsidRPr="00261711">
        <w:rPr>
          <w:rFonts w:asciiTheme="minorHAnsi" w:hAnsiTheme="minorHAnsi" w:cs="Calibri"/>
        </w:rPr>
        <w:t>, expedientes Nos. 2015-004</w:t>
      </w:r>
      <w:r>
        <w:rPr>
          <w:rFonts w:asciiTheme="minorHAnsi" w:hAnsiTheme="minorHAnsi" w:cs="Calibri"/>
        </w:rPr>
        <w:t>85</w:t>
      </w:r>
      <w:r w:rsidRPr="00261711">
        <w:rPr>
          <w:rFonts w:asciiTheme="minorHAnsi" w:hAnsiTheme="minorHAnsi" w:cs="Calibri"/>
        </w:rPr>
        <w:t>-00 y 2015-00</w:t>
      </w:r>
      <w:r>
        <w:rPr>
          <w:rFonts w:asciiTheme="minorHAnsi" w:hAnsiTheme="minorHAnsi" w:cs="Calibri"/>
        </w:rPr>
        <w:t>511</w:t>
      </w:r>
      <w:r w:rsidRPr="00261711">
        <w:rPr>
          <w:rFonts w:asciiTheme="minorHAnsi" w:hAnsiTheme="minorHAnsi" w:cs="Calibri"/>
        </w:rPr>
        <w:t>-00</w:t>
      </w:r>
      <w:r>
        <w:rPr>
          <w:rFonts w:asciiTheme="minorHAnsi" w:hAnsiTheme="minorHAnsi" w:cs="Calibri"/>
        </w:rPr>
        <w:t>.</w:t>
      </w:r>
    </w:p>
  </w:footnote>
  <w:footnote w:id="24">
    <w:p w:rsidR="0082666E" w:rsidRPr="00070840" w:rsidRDefault="0082666E" w:rsidP="0082666E">
      <w:pPr>
        <w:pStyle w:val="Textonotapie"/>
        <w:jc w:val="both"/>
        <w:rPr>
          <w:rFonts w:asciiTheme="minorHAnsi" w:hAnsiTheme="minorHAnsi"/>
          <w:lang w:val="es-CO"/>
        </w:rPr>
      </w:pPr>
      <w:r w:rsidRPr="00070840">
        <w:rPr>
          <w:rStyle w:val="Refdenotaalpie"/>
          <w:rFonts w:asciiTheme="minorHAnsi" w:hAnsiTheme="minorHAnsi"/>
        </w:rPr>
        <w:footnoteRef/>
      </w:r>
      <w:r w:rsidRPr="00070840">
        <w:rPr>
          <w:rFonts w:asciiTheme="minorHAnsi" w:hAnsiTheme="minorHAnsi"/>
        </w:rPr>
        <w:t xml:space="preserve"> </w:t>
      </w:r>
      <w:r w:rsidR="0023296A" w:rsidRPr="00070840">
        <w:rPr>
          <w:rFonts w:asciiTheme="minorHAnsi" w:hAnsiTheme="minorHAnsi" w:cs="Calibri"/>
          <w:lang w:val="es-CO"/>
        </w:rPr>
        <w:t>TRIBUNAL SUPERIOR DE PEREIRA, Sala Civil – Familia. Sentencias del</w:t>
      </w:r>
      <w:r w:rsidR="0023296A">
        <w:rPr>
          <w:rFonts w:asciiTheme="minorHAnsi" w:hAnsiTheme="minorHAnsi" w:cs="Calibri"/>
        </w:rPr>
        <w:t xml:space="preserve"> 16-10-2015,</w:t>
      </w:r>
      <w:r w:rsidR="0023296A" w:rsidRPr="00070840">
        <w:rPr>
          <w:rFonts w:asciiTheme="minorHAnsi" w:hAnsiTheme="minorHAnsi" w:cs="Calibri"/>
        </w:rPr>
        <w:t xml:space="preserve"> 23-10-2015</w:t>
      </w:r>
      <w:r w:rsidR="0023296A">
        <w:rPr>
          <w:rFonts w:asciiTheme="minorHAnsi" w:hAnsiTheme="minorHAnsi" w:cs="Calibri"/>
        </w:rPr>
        <w:t>, 14-01-2016 y 05-02-2016</w:t>
      </w:r>
      <w:r w:rsidR="0023296A" w:rsidRPr="00070840">
        <w:rPr>
          <w:rFonts w:asciiTheme="minorHAnsi" w:hAnsiTheme="minorHAnsi" w:cs="Calibri"/>
        </w:rPr>
        <w:t xml:space="preserve">; MP: </w:t>
      </w:r>
      <w:r w:rsidR="0023296A">
        <w:rPr>
          <w:rFonts w:asciiTheme="minorHAnsi" w:hAnsiTheme="minorHAnsi" w:cs="Calibri"/>
        </w:rPr>
        <w:t>Du</w:t>
      </w:r>
      <w:r w:rsidR="0023296A" w:rsidRPr="00070840">
        <w:rPr>
          <w:rFonts w:asciiTheme="minorHAnsi" w:hAnsiTheme="minorHAnsi" w:cs="Calibri"/>
        </w:rPr>
        <w:t>berney Grisales Herrar</w:t>
      </w:r>
      <w:r w:rsidR="0023296A">
        <w:rPr>
          <w:rFonts w:asciiTheme="minorHAnsi" w:hAnsiTheme="minorHAnsi" w:cs="Calibri"/>
        </w:rPr>
        <w:t>a</w:t>
      </w:r>
      <w:r w:rsidR="005B72A9">
        <w:rPr>
          <w:rFonts w:asciiTheme="minorHAnsi" w:hAnsiTheme="minorHAnsi" w:cs="Calibri"/>
        </w:rPr>
        <w:t>, expedientes Nos.</w:t>
      </w:r>
      <w:r w:rsidR="0023296A" w:rsidRPr="00070840">
        <w:rPr>
          <w:rFonts w:asciiTheme="minorHAnsi" w:hAnsiTheme="minorHAnsi" w:cs="Calibri"/>
        </w:rPr>
        <w:t>2015-00</w:t>
      </w:r>
      <w:r w:rsidR="0023296A">
        <w:rPr>
          <w:rFonts w:asciiTheme="minorHAnsi" w:hAnsiTheme="minorHAnsi" w:cs="Calibri"/>
        </w:rPr>
        <w:t>693-00 (4 Acumuladas),</w:t>
      </w:r>
      <w:r w:rsidR="0023296A" w:rsidRPr="00070840">
        <w:rPr>
          <w:rFonts w:asciiTheme="minorHAnsi" w:hAnsiTheme="minorHAnsi" w:cs="Calibri"/>
        </w:rPr>
        <w:t xml:space="preserve"> 2015-00</w:t>
      </w:r>
      <w:r w:rsidR="0023296A">
        <w:rPr>
          <w:rFonts w:asciiTheme="minorHAnsi" w:hAnsiTheme="minorHAnsi" w:cs="Calibri"/>
        </w:rPr>
        <w:t>750</w:t>
      </w:r>
      <w:r w:rsidR="0023296A" w:rsidRPr="00070840">
        <w:rPr>
          <w:rFonts w:asciiTheme="minorHAnsi" w:hAnsiTheme="minorHAnsi" w:cs="Calibri"/>
        </w:rPr>
        <w:t>-00</w:t>
      </w:r>
      <w:r w:rsidR="0023296A">
        <w:rPr>
          <w:rFonts w:asciiTheme="minorHAnsi" w:hAnsiTheme="minorHAnsi" w:cs="Calibri"/>
        </w:rPr>
        <w:t xml:space="preserve"> (21 Acumuladas), 2015-00908-00 (19 Acumuladas) y 2016-00018-00</w:t>
      </w:r>
      <w:r w:rsidR="0023296A" w:rsidRPr="00070840">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293FBA">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2016-00028-00 – ACUMULADAS 2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FCC"/>
    <w:rsid w:val="001F7109"/>
    <w:rsid w:val="001F71B3"/>
    <w:rsid w:val="001F7452"/>
    <w:rsid w:val="00200243"/>
    <w:rsid w:val="0020048B"/>
    <w:rsid w:val="00200C1A"/>
    <w:rsid w:val="00201038"/>
    <w:rsid w:val="002010AF"/>
    <w:rsid w:val="00201462"/>
    <w:rsid w:val="00201608"/>
    <w:rsid w:val="00202D2B"/>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8FD"/>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3FBA"/>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4A6"/>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37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E69"/>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0B95"/>
    <w:rsid w:val="00481DFA"/>
    <w:rsid w:val="004821B4"/>
    <w:rsid w:val="004824B8"/>
    <w:rsid w:val="0048252E"/>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D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27"/>
    <w:rsid w:val="005843B1"/>
    <w:rsid w:val="0058608C"/>
    <w:rsid w:val="00586B40"/>
    <w:rsid w:val="00586D15"/>
    <w:rsid w:val="00587535"/>
    <w:rsid w:val="0058760B"/>
    <w:rsid w:val="005879EB"/>
    <w:rsid w:val="00587A58"/>
    <w:rsid w:val="00587E67"/>
    <w:rsid w:val="005900E8"/>
    <w:rsid w:val="00590AD2"/>
    <w:rsid w:val="005912EB"/>
    <w:rsid w:val="00591A2D"/>
    <w:rsid w:val="00594001"/>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9D5"/>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3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27FF3"/>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007"/>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3F7D"/>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5E0"/>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239"/>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390"/>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AF9"/>
    <w:rsid w:val="009D5A25"/>
    <w:rsid w:val="009D5CFB"/>
    <w:rsid w:val="009D6634"/>
    <w:rsid w:val="009D6E82"/>
    <w:rsid w:val="009E015F"/>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92A"/>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C97"/>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B45"/>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5C4"/>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CC"/>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2314"/>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05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2702"/>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ACE"/>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38"/>
    <w:rsid w:val="00FA59D4"/>
    <w:rsid w:val="00FA6651"/>
    <w:rsid w:val="00FA67BD"/>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C518-E641-4516-B1C5-597AE89F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3063</Words>
  <Characters>16848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10</cp:revision>
  <cp:lastPrinted>2016-02-11T18:36:00Z</cp:lastPrinted>
  <dcterms:created xsi:type="dcterms:W3CDTF">2016-02-09T20:52:00Z</dcterms:created>
  <dcterms:modified xsi:type="dcterms:W3CDTF">2016-05-16T20:12:00Z</dcterms:modified>
</cp:coreProperties>
</file>