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45" w:rsidRPr="0038495D" w:rsidRDefault="00ED0C45" w:rsidP="00C123F3">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r w:rsidRPr="0038495D">
        <w:rPr>
          <w:rFonts w:ascii="Arial" w:hAnsi="Arial" w:cs="Arial"/>
          <w:sz w:val="20"/>
        </w:rPr>
        <w:t xml:space="preserve">SUBSIDIARIEDAD ACCIÓN DE TUTELA/ Solicitud prematura/ </w:t>
      </w:r>
      <w:r w:rsidR="006037DC">
        <w:rPr>
          <w:rFonts w:ascii="Arial" w:hAnsi="Arial" w:cs="Arial"/>
          <w:sz w:val="20"/>
        </w:rPr>
        <w:t>Proceso en trámite</w:t>
      </w:r>
      <w:r w:rsidRPr="0038495D">
        <w:rPr>
          <w:rFonts w:ascii="Arial" w:hAnsi="Arial" w:cs="Arial"/>
          <w:sz w:val="20"/>
        </w:rPr>
        <w:t xml:space="preserve"> </w:t>
      </w:r>
    </w:p>
    <w:p w:rsidR="00ED0C45" w:rsidRPr="0038495D" w:rsidRDefault="00ED0C45" w:rsidP="00C123F3">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p>
    <w:p w:rsidR="00C123F3" w:rsidRPr="0038495D" w:rsidRDefault="00EC23D7" w:rsidP="00C123F3">
      <w:pPr>
        <w:pStyle w:val="Textoindependiente"/>
        <w:tabs>
          <w:tab w:val="left" w:pos="5839"/>
        </w:tabs>
        <w:spacing w:line="240" w:lineRule="auto"/>
        <w:rPr>
          <w:rFonts w:ascii="Arial" w:hAnsi="Arial" w:cs="Arial"/>
          <w:sz w:val="20"/>
        </w:rPr>
      </w:pPr>
      <w:r w:rsidRPr="0038495D">
        <w:rPr>
          <w:rFonts w:ascii="Arial" w:hAnsi="Arial" w:cs="Arial"/>
          <w:sz w:val="20"/>
        </w:rPr>
        <w:t xml:space="preserve">“(…) </w:t>
      </w:r>
      <w:r w:rsidR="00C123F3" w:rsidRPr="0038495D">
        <w:rPr>
          <w:rFonts w:ascii="Arial" w:hAnsi="Arial" w:cs="Arial"/>
          <w:sz w:val="20"/>
        </w:rPr>
        <w:t>hay que decir que a estas alturas de las diligencias, la acción constitucional se torna prematura porque aún está pendiente de resolverse por parte del despacho judicial al cual fue re</w:t>
      </w:r>
      <w:r w:rsidRPr="0038495D">
        <w:rPr>
          <w:rFonts w:ascii="Arial" w:hAnsi="Arial" w:cs="Arial"/>
          <w:sz w:val="20"/>
        </w:rPr>
        <w:t>mitido el proceso (…)</w:t>
      </w:r>
      <w:r w:rsidR="00C123F3" w:rsidRPr="0038495D">
        <w:rPr>
          <w:rFonts w:ascii="Arial" w:hAnsi="Arial" w:cs="Arial"/>
          <w:sz w:val="20"/>
        </w:rPr>
        <w:t xml:space="preserve"> si asume su conocimiento o provoca el conflicto negativo de competencia, actuación que revelará al actor, el juzgado que tramitará su acción</w:t>
      </w:r>
      <w:r w:rsidR="0038495D" w:rsidRPr="0038495D">
        <w:rPr>
          <w:rFonts w:ascii="Arial" w:hAnsi="Arial" w:cs="Arial"/>
          <w:sz w:val="20"/>
        </w:rPr>
        <w:t xml:space="preserve"> (…)</w:t>
      </w:r>
      <w:r w:rsidR="00C123F3" w:rsidRPr="0038495D">
        <w:rPr>
          <w:rFonts w:ascii="Arial" w:hAnsi="Arial" w:cs="Arial"/>
          <w:sz w:val="20"/>
        </w:rPr>
        <w:t xml:space="preserve"> debe declararse su improcedencia porque </w:t>
      </w:r>
      <w:r w:rsidR="0038495D" w:rsidRPr="0038495D">
        <w:rPr>
          <w:rFonts w:ascii="Arial" w:hAnsi="Arial" w:cs="Arial"/>
          <w:sz w:val="20"/>
        </w:rPr>
        <w:t>(…)</w:t>
      </w:r>
      <w:r w:rsidR="00C123F3" w:rsidRPr="0038495D">
        <w:rPr>
          <w:rFonts w:ascii="Arial" w:hAnsi="Arial" w:cs="Arial"/>
          <w:sz w:val="20"/>
        </w:rPr>
        <w:t xml:space="preserve"> también se incumple el principio de subsidiariedad cuando los procesos aún se encuentran en trámite.</w:t>
      </w:r>
    </w:p>
    <w:p w:rsidR="00ED0C45" w:rsidRPr="0038495D" w:rsidRDefault="00ED0C45" w:rsidP="00C123F3">
      <w:pPr>
        <w:jc w:val="both"/>
        <w:rPr>
          <w:rFonts w:ascii="Arial" w:hAnsi="Arial"/>
          <w:sz w:val="20"/>
          <w:szCs w:val="20"/>
        </w:rPr>
      </w:pPr>
    </w:p>
    <w:p w:rsidR="00ED0C45" w:rsidRPr="0038495D" w:rsidRDefault="00ED0C45" w:rsidP="00C123F3">
      <w:pPr>
        <w:jc w:val="both"/>
        <w:rPr>
          <w:rFonts w:ascii="Arial" w:hAnsi="Arial" w:cs="Arial"/>
          <w:sz w:val="20"/>
          <w:szCs w:val="20"/>
        </w:rPr>
      </w:pPr>
      <w:r w:rsidRPr="0038495D">
        <w:rPr>
          <w:rFonts w:ascii="Arial" w:hAnsi="Arial" w:cs="Arial"/>
          <w:sz w:val="20"/>
          <w:szCs w:val="20"/>
        </w:rPr>
        <w:t>ACCIÓN DE TUTELA/ No es un medio para elevar quejas aisladas o sin fundamento.</w:t>
      </w:r>
    </w:p>
    <w:p w:rsidR="00ED0C45" w:rsidRPr="0038495D" w:rsidRDefault="00ED0C45" w:rsidP="00C123F3">
      <w:pPr>
        <w:jc w:val="both"/>
        <w:rPr>
          <w:rFonts w:ascii="Arial" w:hAnsi="Arial" w:cs="Arial"/>
          <w:sz w:val="20"/>
          <w:szCs w:val="20"/>
        </w:rPr>
      </w:pPr>
    </w:p>
    <w:p w:rsidR="00ED0C45" w:rsidRPr="0038495D" w:rsidRDefault="00ED0C45" w:rsidP="00C123F3">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r w:rsidRPr="0038495D">
        <w:rPr>
          <w:rFonts w:ascii="Arial" w:hAnsi="Arial" w:cs="Arial"/>
          <w:iCs/>
          <w:sz w:val="20"/>
          <w:lang w:eastAsia="es-CO"/>
        </w:rPr>
        <w:t>“</w:t>
      </w:r>
      <w:r w:rsidR="00C123F3" w:rsidRPr="0038495D">
        <w:rPr>
          <w:rFonts w:ascii="Arial" w:hAnsi="Arial" w:cs="Arial"/>
          <w:sz w:val="20"/>
        </w:rPr>
        <w:t>En lo relativo a la pretensión de adelantar simultáneamente la presente acción frente a la Defensoría del Pueblo de Caldas, hay que precisar, que de los hechos no se advierte conducta que amerite tramitarla</w:t>
      </w:r>
      <w:r w:rsidR="00C123F3" w:rsidRPr="0038495D">
        <w:rPr>
          <w:rFonts w:ascii="Arial" w:hAnsi="Arial" w:cs="Arial"/>
          <w:sz w:val="20"/>
        </w:rPr>
        <w:t xml:space="preserve"> </w:t>
      </w:r>
      <w:r w:rsidRPr="0038495D">
        <w:rPr>
          <w:rFonts w:ascii="Arial" w:hAnsi="Arial" w:cs="Arial"/>
          <w:iCs/>
          <w:sz w:val="20"/>
          <w:lang w:eastAsia="es-CO"/>
        </w:rPr>
        <w:t>(…)”</w:t>
      </w:r>
    </w:p>
    <w:p w:rsidR="008F70F7" w:rsidRPr="0038495D" w:rsidRDefault="008F70F7" w:rsidP="00C123F3">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40" w:lineRule="auto"/>
        <w:textAlignment w:val="auto"/>
        <w:rPr>
          <w:rFonts w:ascii="Arial" w:hAnsi="Arial" w:cs="Arial"/>
          <w:szCs w:val="24"/>
          <w:lang w:val="es-ES"/>
        </w:rPr>
      </w:pPr>
    </w:p>
    <w:p w:rsidR="008F70F7" w:rsidRPr="0038495D" w:rsidRDefault="008F70F7" w:rsidP="00C123F3">
      <w:pPr>
        <w:jc w:val="both"/>
        <w:rPr>
          <w:rFonts w:ascii="Arial" w:hAnsi="Arial" w:cs="Arial"/>
          <w:spacing w:val="-10"/>
          <w:sz w:val="17"/>
          <w:szCs w:val="17"/>
          <w:lang w:val="es-CO"/>
        </w:rPr>
      </w:pPr>
      <w:r w:rsidRPr="0038495D">
        <w:rPr>
          <w:rFonts w:ascii="Arial" w:hAnsi="Arial" w:cs="Arial"/>
          <w:bCs/>
          <w:iCs/>
          <w:spacing w:val="-10"/>
          <w:sz w:val="17"/>
          <w:szCs w:val="17"/>
          <w:lang w:val="es-CO"/>
        </w:rPr>
        <w:t xml:space="preserve">Citas: </w:t>
      </w:r>
      <w:r w:rsidRPr="0038495D">
        <w:rPr>
          <w:rFonts w:ascii="Arial" w:hAnsi="Arial" w:cs="Arial"/>
          <w:spacing w:val="-10"/>
          <w:sz w:val="17"/>
          <w:szCs w:val="17"/>
          <w:lang w:val="es-CO"/>
        </w:rPr>
        <w:t>Corte Constitucional, sentencias T-134 de 1994, T-567 de 1998,</w:t>
      </w:r>
      <w:r w:rsidRPr="0038495D">
        <w:rPr>
          <w:rFonts w:ascii="Arial" w:hAnsi="Arial" w:cs="Arial"/>
          <w:i/>
          <w:spacing w:val="-10"/>
          <w:sz w:val="17"/>
          <w:szCs w:val="17"/>
          <w:lang w:val="es-CO"/>
        </w:rPr>
        <w:t xml:space="preserve"> </w:t>
      </w:r>
      <w:r w:rsidRPr="0038495D">
        <w:rPr>
          <w:rFonts w:ascii="Arial" w:hAnsi="Arial" w:cs="Arial"/>
          <w:spacing w:val="-10"/>
          <w:sz w:val="17"/>
          <w:szCs w:val="17"/>
          <w:lang w:val="es-CO"/>
        </w:rPr>
        <w:t>C-590 de 2005, T-429, T-717</w:t>
      </w:r>
      <w:r w:rsidRPr="0038495D">
        <w:rPr>
          <w:rFonts w:ascii="Arial" w:hAnsi="Arial" w:cs="Arial"/>
          <w:i/>
          <w:spacing w:val="-10"/>
          <w:sz w:val="17"/>
          <w:szCs w:val="17"/>
          <w:lang w:val="es-CO"/>
        </w:rPr>
        <w:t xml:space="preserve"> </w:t>
      </w:r>
      <w:r w:rsidRPr="0038495D">
        <w:rPr>
          <w:rFonts w:ascii="Arial" w:hAnsi="Arial" w:cs="Arial"/>
          <w:sz w:val="17"/>
          <w:szCs w:val="17"/>
        </w:rPr>
        <w:t xml:space="preserve">y </w:t>
      </w:r>
      <w:r w:rsidRPr="0038495D">
        <w:rPr>
          <w:rFonts w:ascii="Arial" w:hAnsi="Arial" w:cs="Arial"/>
          <w:spacing w:val="-10"/>
          <w:sz w:val="17"/>
          <w:szCs w:val="17"/>
          <w:lang w:val="es-CO"/>
        </w:rPr>
        <w:t>T-917 de 2011,</w:t>
      </w:r>
      <w:r w:rsidRPr="0038495D">
        <w:rPr>
          <w:rFonts w:ascii="Arial" w:hAnsi="Arial" w:cs="Arial"/>
          <w:i/>
          <w:spacing w:val="-10"/>
          <w:sz w:val="17"/>
          <w:szCs w:val="17"/>
          <w:lang w:val="es-CO"/>
        </w:rPr>
        <w:t xml:space="preserve"> </w:t>
      </w:r>
      <w:r w:rsidRPr="0038495D">
        <w:rPr>
          <w:rFonts w:ascii="Arial" w:hAnsi="Arial" w:cs="Arial"/>
          <w:spacing w:val="-10"/>
          <w:sz w:val="17"/>
          <w:szCs w:val="17"/>
          <w:lang w:val="es-CO"/>
        </w:rPr>
        <w:t>T-662 de 2013,</w:t>
      </w:r>
      <w:r w:rsidRPr="0038495D">
        <w:rPr>
          <w:rFonts w:ascii="Arial" w:hAnsi="Arial" w:cs="Arial"/>
          <w:i/>
          <w:spacing w:val="-10"/>
          <w:sz w:val="17"/>
          <w:szCs w:val="17"/>
          <w:lang w:val="es-CO"/>
        </w:rPr>
        <w:t xml:space="preserve"> </w:t>
      </w:r>
      <w:r w:rsidRPr="0038495D">
        <w:rPr>
          <w:rFonts w:ascii="Arial" w:hAnsi="Arial" w:cs="Arial"/>
          <w:spacing w:val="-10"/>
          <w:sz w:val="17"/>
          <w:szCs w:val="17"/>
          <w:lang w:val="es-CO"/>
        </w:rPr>
        <w:t>T-103 de 2014,</w:t>
      </w:r>
      <w:r w:rsidRPr="0038495D">
        <w:rPr>
          <w:rFonts w:ascii="Arial" w:hAnsi="Arial" w:cs="Arial"/>
          <w:i/>
          <w:spacing w:val="-10"/>
          <w:sz w:val="17"/>
          <w:szCs w:val="17"/>
          <w:lang w:val="es-CO"/>
        </w:rPr>
        <w:t xml:space="preserve"> </w:t>
      </w:r>
      <w:r w:rsidRPr="0038495D">
        <w:rPr>
          <w:rFonts w:ascii="Arial" w:hAnsi="Arial" w:cs="Arial"/>
          <w:spacing w:val="-10"/>
          <w:sz w:val="17"/>
          <w:szCs w:val="17"/>
          <w:lang w:val="es-CO"/>
        </w:rPr>
        <w:t>T-064 y T-307 de 2015; Corte Suprema de Justicia. Sala Civil, providencias del 2 de septiembre de 2014 –rad. 23001-22-14-000-2014-00097-01-, del 21 de mayo 2015 -rad. 6600122-13-000-2015-00081-01- y del 26 de noviembre de 2015 -rad. 66001-22-13-000-2015-00749-01-; doctrina: BOTERO MARINO, Catalina. “La acción de tutela en el ordenamiento constitucional colombiano”, Escuela Judicial Rodrigo Lara Bonilla, Ediprime Ltda., Bogotá D.C., 2006.</w:t>
      </w:r>
      <w:r w:rsidRPr="0038495D">
        <w:rPr>
          <w:rFonts w:ascii="Arial" w:hAnsi="Arial" w:cs="Arial"/>
          <w:i/>
          <w:spacing w:val="-10"/>
          <w:sz w:val="17"/>
          <w:szCs w:val="17"/>
          <w:lang w:val="es-CO"/>
        </w:rPr>
        <w:t xml:space="preserve"> </w:t>
      </w:r>
      <w:r w:rsidRPr="0038495D">
        <w:rPr>
          <w:rFonts w:ascii="Arial" w:hAnsi="Arial" w:cs="Arial"/>
          <w:spacing w:val="-10"/>
          <w:sz w:val="17"/>
          <w:szCs w:val="17"/>
          <w:lang w:val="es-CO"/>
        </w:rPr>
        <w:t>QUINCHE RAMÍREZ, Manuel Fernando. “Vías de hecho, acción de tutela contra providencias”, Editorial Temis S.A., Bogotá D.C., 2013.</w:t>
      </w:r>
    </w:p>
    <w:p w:rsidR="000759A2" w:rsidRDefault="000759A2" w:rsidP="00817C8D">
      <w:pPr>
        <w:pStyle w:val="Sinespaciado"/>
        <w:tabs>
          <w:tab w:val="left" w:pos="3579"/>
        </w:tabs>
        <w:spacing w:line="360" w:lineRule="auto"/>
        <w:rPr>
          <w:rFonts w:ascii="Arial" w:hAnsi="Arial" w:cs="Arial"/>
          <w:w w:val="140"/>
          <w:sz w:val="14"/>
        </w:rPr>
      </w:pPr>
      <w:bookmarkStart w:id="0" w:name="_GoBack"/>
      <w:bookmarkEnd w:id="0"/>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7379F8">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7379F8">
        <w:rPr>
          <w:rFonts w:ascii="Arial" w:hAnsi="Arial" w:cs="Arial"/>
          <w:sz w:val="22"/>
        </w:rPr>
        <w:t>Tercero 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7379F8">
        <w:rPr>
          <w:rFonts w:ascii="Arial" w:hAnsi="Arial" w:cs="Arial"/>
          <w:sz w:val="22"/>
          <w:szCs w:val="22"/>
        </w:rPr>
        <w:t>Defensoría del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37396E">
        <w:rPr>
          <w:rFonts w:ascii="Arial" w:hAnsi="Arial" w:cs="Arial"/>
          <w:sz w:val="22"/>
        </w:rPr>
        <w:t>2016-</w:t>
      </w:r>
      <w:r w:rsidR="007379F8">
        <w:rPr>
          <w:rFonts w:ascii="Arial" w:hAnsi="Arial" w:cs="Arial"/>
          <w:sz w:val="22"/>
        </w:rPr>
        <w:t>00054</w:t>
      </w:r>
      <w:r w:rsidR="007949D4">
        <w:rPr>
          <w:rFonts w:ascii="Arial" w:hAnsi="Arial" w:cs="Arial"/>
          <w:sz w:val="22"/>
        </w:rPr>
        <w:t xml:space="preserve">-00 </w:t>
      </w:r>
      <w:r w:rsidRPr="00A00766">
        <w:rPr>
          <w:rFonts w:ascii="Arial" w:hAnsi="Arial" w:cs="Arial"/>
          <w:sz w:val="22"/>
        </w:rPr>
        <w:t>(Interno No.</w:t>
      </w:r>
      <w:r w:rsidR="007379F8">
        <w:rPr>
          <w:rFonts w:ascii="Arial" w:hAnsi="Arial" w:cs="Arial"/>
          <w:sz w:val="22"/>
        </w:rPr>
        <w:t>54</w:t>
      </w:r>
      <w:r w:rsidRPr="00A00766">
        <w:rPr>
          <w:rFonts w:ascii="Arial" w:hAnsi="Arial" w:cs="Arial"/>
          <w:sz w:val="22"/>
        </w:rPr>
        <w:t xml:space="preserve">) </w:t>
      </w:r>
    </w:p>
    <w:p w:rsidR="008F34B8" w:rsidRPr="00262406" w:rsidRDefault="00970930" w:rsidP="008E5334">
      <w:pPr>
        <w:pStyle w:val="Textoindependien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400BAD">
        <w:rPr>
          <w:rFonts w:ascii="Arial" w:hAnsi="Arial"/>
          <w:sz w:val="22"/>
          <w:szCs w:val="22"/>
        </w:rPr>
        <w:t>56 de 10-02-2016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400BAD">
        <w:rPr>
          <w:rFonts w:ascii="Arial" w:hAnsi="Arial" w:cs="Arial"/>
          <w:iCs/>
          <w:smallCaps/>
          <w:szCs w:val="28"/>
          <w:lang w:val="es-CO"/>
        </w:rPr>
        <w:t>diez</w:t>
      </w:r>
      <w:r w:rsidR="0037396E">
        <w:rPr>
          <w:rFonts w:ascii="Arial" w:hAnsi="Arial" w:cs="Arial"/>
          <w:iCs/>
          <w:smallCaps/>
          <w:szCs w:val="28"/>
          <w:lang w:val="es-CO"/>
        </w:rPr>
        <w:t xml:space="preserve"> </w:t>
      </w:r>
      <w:r w:rsidR="00437198">
        <w:rPr>
          <w:rFonts w:ascii="Arial" w:hAnsi="Arial" w:cs="Arial"/>
          <w:iCs/>
          <w:smallCaps/>
          <w:szCs w:val="28"/>
          <w:lang w:val="es-CO"/>
        </w:rPr>
        <w:t>(</w:t>
      </w:r>
      <w:r w:rsidR="00400BAD">
        <w:rPr>
          <w:rFonts w:ascii="Arial" w:hAnsi="Arial" w:cs="Arial"/>
          <w:iCs/>
          <w:smallCaps/>
          <w:szCs w:val="28"/>
          <w:lang w:val="es-CO"/>
        </w:rPr>
        <w:t>10</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7949D4">
        <w:rPr>
          <w:rFonts w:ascii="Arial" w:hAnsi="Arial" w:cs="Arial"/>
          <w:iCs/>
          <w:smallCaps/>
          <w:szCs w:val="28"/>
          <w:lang w:val="es-CO"/>
        </w:rPr>
        <w:t xml:space="preserve">febrero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7949D4">
      <w:pPr>
        <w:pStyle w:val="Textoindependiente"/>
        <w:spacing w:line="360" w:lineRule="auto"/>
        <w:rPr>
          <w:rFonts w:ascii="Arial" w:hAnsi="Arial"/>
          <w:szCs w:val="24"/>
        </w:rPr>
      </w:pPr>
    </w:p>
    <w:p w:rsidR="007949D4" w:rsidRPr="007949D4" w:rsidRDefault="007949D4" w:rsidP="007949D4">
      <w:pPr>
        <w:pStyle w:val="Textoindependiente"/>
        <w:spacing w:line="360" w:lineRule="auto"/>
        <w:rPr>
          <w:rFonts w:ascii="Arial" w:hAnsi="Arial"/>
        </w:rPr>
      </w:pPr>
      <w:r w:rsidRPr="007949D4">
        <w:rPr>
          <w:rFonts w:ascii="Arial" w:hAnsi="Arial"/>
        </w:rPr>
        <w:t xml:space="preserve">La acción constitucional </w:t>
      </w:r>
      <w:r w:rsidR="003D747F">
        <w:rPr>
          <w:rFonts w:ascii="Arial" w:hAnsi="Arial"/>
        </w:rPr>
        <w:t>de la referencia</w:t>
      </w:r>
      <w:r w:rsidRPr="007949D4">
        <w:rPr>
          <w:rFonts w:ascii="Arial" w:hAnsi="Arial"/>
        </w:rPr>
        <w:t>, adelantada la actuación respectiva con el trámite preferente y sumario, sin que se aprecien causales de nulidad que la invaliden.</w:t>
      </w:r>
    </w:p>
    <w:p w:rsidR="009C568C" w:rsidRPr="00BA69B4" w:rsidRDefault="009C568C" w:rsidP="0099045D">
      <w:pPr>
        <w:pStyle w:val="Textoindependiente"/>
        <w:spacing w:line="360" w:lineRule="auto"/>
        <w:rPr>
          <w:rFonts w:ascii="Arial" w:hAnsi="Arial"/>
          <w:szCs w:val="24"/>
        </w:rPr>
      </w:pPr>
    </w:p>
    <w:p w:rsidR="000147A2" w:rsidRPr="00BA69B4"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EC57DE">
          <w:rPr>
            <w:rFonts w:ascii="Arial" w:hAnsi="Arial"/>
            <w:szCs w:val="24"/>
          </w:rPr>
          <w:t>LA SÍNTESIS DE</w:t>
        </w:r>
      </w:smartTag>
      <w:r w:rsidRPr="00EC57D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EC57DE" w:rsidRDefault="00AC2785" w:rsidP="00AC2785">
      <w:pPr>
        <w:spacing w:line="360" w:lineRule="auto"/>
        <w:jc w:val="both"/>
        <w:rPr>
          <w:rFonts w:ascii="Arial" w:hAnsi="Arial" w:cs="Arial"/>
          <w:color w:val="000000"/>
        </w:rPr>
      </w:pPr>
      <w:r>
        <w:rPr>
          <w:rFonts w:ascii="Arial" w:hAnsi="Arial" w:cs="Arial"/>
          <w:color w:val="000000"/>
        </w:rPr>
        <w:t xml:space="preserve">Se quejó el actor </w:t>
      </w:r>
      <w:r w:rsidR="007379F8">
        <w:rPr>
          <w:rFonts w:ascii="Arial" w:hAnsi="Arial" w:cs="Arial"/>
          <w:color w:val="000000"/>
        </w:rPr>
        <w:t xml:space="preserve">que el juzgado accionado no concedió el recurso de apelación que </w:t>
      </w:r>
      <w:r w:rsidR="007379F8">
        <w:rPr>
          <w:rFonts w:ascii="Arial" w:hAnsi="Arial" w:cs="Arial"/>
          <w:color w:val="000000"/>
        </w:rPr>
        <w:lastRenderedPageBreak/>
        <w:t>formuló contra el auto que rechazó la acción popular radicada al No.2015-01124-00</w:t>
      </w:r>
      <w:r w:rsidR="0037396E">
        <w:rPr>
          <w:rFonts w:ascii="Arial" w:hAnsi="Arial" w:cs="Arial"/>
          <w:color w:val="000000"/>
        </w:rPr>
        <w:t xml:space="preserve"> </w:t>
      </w:r>
      <w:r w:rsidR="004A4E9F">
        <w:rPr>
          <w:rFonts w:ascii="Arial" w:hAnsi="Arial" w:cs="Arial"/>
          <w:color w:val="000000"/>
        </w:rPr>
        <w:t>(Folio 1, este cuaderno)</w:t>
      </w:r>
      <w:r w:rsidR="00E45BA0">
        <w:rPr>
          <w:rFonts w:ascii="Arial" w:hAnsi="Arial" w:cs="Arial"/>
          <w:color w:val="000000"/>
        </w:rPr>
        <w:t>.</w:t>
      </w:r>
    </w:p>
    <w:p w:rsidR="00AC2785" w:rsidRPr="00BA69B4" w:rsidRDefault="00AC2785" w:rsidP="00AC2785">
      <w:pPr>
        <w:spacing w:line="360" w:lineRule="auto"/>
        <w:jc w:val="both"/>
        <w:rPr>
          <w:rFonts w:ascii="Arial" w:hAnsi="Arial"/>
          <w:lang w:val="es-CO"/>
        </w:rPr>
      </w:pPr>
    </w:p>
    <w:p w:rsidR="002B0607" w:rsidRPr="00BA69B4" w:rsidRDefault="002B0607" w:rsidP="0099045D">
      <w:pPr>
        <w:pStyle w:val="Textoindependiente"/>
        <w:spacing w:line="360" w:lineRule="auto"/>
        <w:rPr>
          <w:rFonts w:ascii="Arial" w:hAnsi="Arial"/>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D2BA8" w:rsidRDefault="00AD2BA8"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 xml:space="preserve">Se ordene al accionado </w:t>
      </w:r>
      <w:r w:rsidR="00452E1F">
        <w:rPr>
          <w:rFonts w:ascii="Arial" w:hAnsi="Arial" w:cs="Arial"/>
          <w:szCs w:val="24"/>
        </w:rPr>
        <w:t xml:space="preserve">conceder </w:t>
      </w:r>
      <w:r w:rsidR="003606C8">
        <w:rPr>
          <w:rFonts w:ascii="Arial" w:hAnsi="Arial" w:cs="Arial"/>
          <w:szCs w:val="24"/>
        </w:rPr>
        <w:t>la apelación formulada</w:t>
      </w:r>
      <w:r w:rsidR="00AD2BA8" w:rsidRPr="005C4C0F">
        <w:rPr>
          <w:rFonts w:ascii="Arial" w:hAnsi="Arial" w:cs="Arial"/>
          <w:szCs w:val="24"/>
        </w:rPr>
        <w:t>; (</w:t>
      </w:r>
      <w:r w:rsidR="003606C8">
        <w:rPr>
          <w:rFonts w:ascii="Arial" w:hAnsi="Arial" w:cs="Arial"/>
          <w:szCs w:val="24"/>
        </w:rPr>
        <w:t xml:space="preserve">iii) </w:t>
      </w:r>
      <w:r w:rsidR="003606C8" w:rsidRPr="005C4C0F">
        <w:rPr>
          <w:rFonts w:ascii="Arial" w:hAnsi="Arial" w:cs="Arial"/>
          <w:szCs w:val="24"/>
        </w:rPr>
        <w:t xml:space="preserve">Se envíe copia escaneada de esta acción </w:t>
      </w:r>
      <w:r w:rsidR="003606C8">
        <w:rPr>
          <w:rFonts w:ascii="Arial" w:hAnsi="Arial" w:cs="Arial"/>
          <w:szCs w:val="24"/>
        </w:rPr>
        <w:t xml:space="preserve">a su </w:t>
      </w:r>
      <w:r w:rsidR="003606C8" w:rsidRPr="005C4C0F">
        <w:rPr>
          <w:rFonts w:ascii="Arial" w:hAnsi="Arial" w:cs="Arial"/>
          <w:szCs w:val="24"/>
        </w:rPr>
        <w:t>correo electrónico</w:t>
      </w:r>
      <w:r w:rsidR="003606C8">
        <w:rPr>
          <w:rFonts w:ascii="Arial" w:hAnsi="Arial" w:cs="Arial"/>
          <w:szCs w:val="24"/>
        </w:rPr>
        <w:t xml:space="preserve"> y se le haga entrega de copia física; y, (iv) Se tramite simultáneamente tutela contra la Defensoría del Pueblo de Caldas</w:t>
      </w:r>
      <w:r w:rsidR="003606C8" w:rsidRPr="005C4C0F">
        <w:rPr>
          <w:rFonts w:ascii="Arial" w:hAnsi="Arial" w:cs="Arial"/>
          <w:szCs w:val="24"/>
        </w:rPr>
        <w:t>.</w:t>
      </w:r>
      <w:r w:rsidR="003606C8" w:rsidRPr="004B019A">
        <w:rPr>
          <w:rFonts w:ascii="Arial" w:hAnsi="Arial" w:cs="Arial"/>
          <w:szCs w:val="24"/>
        </w:rPr>
        <w:t xml:space="preserve"> </w:t>
      </w:r>
      <w:r w:rsidR="00B1245A">
        <w:rPr>
          <w:rFonts w:ascii="Arial" w:hAnsi="Arial" w:cs="Arial"/>
          <w:szCs w:val="24"/>
        </w:rPr>
        <w:t>(Folio 1, este cuaderno)</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20B87"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3606C8">
        <w:rPr>
          <w:rFonts w:ascii="Arial" w:hAnsi="Arial"/>
        </w:rPr>
        <w:t>28</w:t>
      </w:r>
      <w:r>
        <w:rPr>
          <w:rFonts w:ascii="Arial" w:hAnsi="Arial"/>
        </w:rPr>
        <w:t>-01-2016</w:t>
      </w:r>
      <w:r w:rsidR="00DD597F">
        <w:rPr>
          <w:rFonts w:ascii="Arial" w:hAnsi="Arial"/>
        </w:rPr>
        <w:t xml:space="preserve">, </w:t>
      </w:r>
      <w:r w:rsidR="003606C8" w:rsidRPr="00B74361">
        <w:rPr>
          <w:rFonts w:ascii="Arial" w:hAnsi="Arial"/>
        </w:rPr>
        <w:t>con providencia</w:t>
      </w:r>
      <w:r w:rsidR="003606C8" w:rsidRPr="008E5A62">
        <w:rPr>
          <w:rFonts w:ascii="Arial" w:hAnsi="Arial"/>
        </w:rPr>
        <w:t xml:space="preserve"> de</w:t>
      </w:r>
      <w:r w:rsidR="003606C8">
        <w:rPr>
          <w:rFonts w:ascii="Arial" w:hAnsi="Arial"/>
        </w:rPr>
        <w:t>l día hábil siguiente</w:t>
      </w:r>
      <w:r w:rsidR="003606C8" w:rsidRPr="008E5A62">
        <w:rPr>
          <w:rFonts w:ascii="Arial" w:hAnsi="Arial"/>
        </w:rPr>
        <w:t xml:space="preserve"> </w:t>
      </w:r>
      <w:r w:rsidR="008E50E4" w:rsidRPr="008E5A62">
        <w:rPr>
          <w:rFonts w:ascii="Arial" w:hAnsi="Arial"/>
        </w:rPr>
        <w:t>se admiti</w:t>
      </w:r>
      <w:r>
        <w:rPr>
          <w:rFonts w:ascii="Arial" w:hAnsi="Arial"/>
        </w:rPr>
        <w:t xml:space="preserve">ó, </w:t>
      </w:r>
      <w:r w:rsidR="008E50E4" w:rsidRPr="008E5A62">
        <w:rPr>
          <w:rFonts w:ascii="Arial" w:hAnsi="Arial"/>
        </w:rPr>
        <w:t>se vincul</w:t>
      </w:r>
      <w:r w:rsidR="008E50E4">
        <w:rPr>
          <w:rFonts w:ascii="Arial" w:hAnsi="Arial"/>
        </w:rPr>
        <w:t xml:space="preserve">ó </w:t>
      </w:r>
      <w:r w:rsidR="008E50E4" w:rsidRPr="008E5A62">
        <w:rPr>
          <w:rFonts w:ascii="Arial" w:hAnsi="Arial"/>
        </w:rPr>
        <w:t xml:space="preserve">a </w:t>
      </w:r>
      <w:r w:rsidR="008E50E4">
        <w:rPr>
          <w:rFonts w:ascii="Arial" w:hAnsi="Arial"/>
        </w:rPr>
        <w:t>quienes se estimó conveniente</w:t>
      </w:r>
      <w:r w:rsidR="008E50E4" w:rsidRPr="008E5A62">
        <w:rPr>
          <w:rFonts w:ascii="Arial" w:hAnsi="Arial"/>
        </w:rPr>
        <w:t xml:space="preserve"> y se dispuso notificar a la</w:t>
      </w:r>
      <w:r w:rsidR="008E50E4">
        <w:rPr>
          <w:rFonts w:ascii="Arial" w:hAnsi="Arial"/>
        </w:rPr>
        <w:t>s</w:t>
      </w:r>
      <w:r w:rsidR="008E50E4" w:rsidRPr="008E5A62">
        <w:rPr>
          <w:rFonts w:ascii="Arial" w:hAnsi="Arial"/>
        </w:rPr>
        <w:t xml:space="preserve"> partes, entre otros ordenamientos</w:t>
      </w:r>
      <w:r w:rsidR="008E50E4">
        <w:rPr>
          <w:rFonts w:ascii="Arial" w:hAnsi="Arial"/>
        </w:rPr>
        <w:t xml:space="preserve"> (Folios 4 y 5, </w:t>
      </w:r>
      <w:r w:rsidR="00B1245A">
        <w:rPr>
          <w:rFonts w:ascii="Arial" w:hAnsi="Arial"/>
        </w:rPr>
        <w:t>ibídem</w:t>
      </w:r>
      <w:r w:rsidR="008E50E4">
        <w:rPr>
          <w:rFonts w:ascii="Arial" w:hAnsi="Arial"/>
        </w:rPr>
        <w:t>)</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8E50E4">
        <w:rPr>
          <w:rFonts w:ascii="Arial" w:hAnsi="Arial"/>
        </w:rPr>
        <w:t xml:space="preserve">(Folios </w:t>
      </w:r>
      <w:r w:rsidR="00127786">
        <w:rPr>
          <w:rFonts w:ascii="Arial" w:hAnsi="Arial"/>
        </w:rPr>
        <w:t xml:space="preserve">6 </w:t>
      </w:r>
      <w:r w:rsidR="003606C8">
        <w:rPr>
          <w:rFonts w:ascii="Arial" w:hAnsi="Arial"/>
        </w:rPr>
        <w:t>y 7</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8E50E4">
        <w:rPr>
          <w:rFonts w:ascii="Arial" w:hAnsi="Arial"/>
        </w:rPr>
        <w:t>C</w:t>
      </w:r>
      <w:r w:rsidR="008E50E4" w:rsidRPr="008E5A62">
        <w:rPr>
          <w:rFonts w:ascii="Arial" w:hAnsi="Arial"/>
        </w:rPr>
        <w:t xml:space="preserve">ontestaron </w:t>
      </w:r>
      <w:r w:rsidR="008E50E4" w:rsidRPr="00E859EA">
        <w:rPr>
          <w:rFonts w:ascii="Arial" w:hAnsi="Arial" w:cs="Arial"/>
          <w:spacing w:val="3"/>
        </w:rPr>
        <w:t>la Procuraduría General de la Nación Regional de Risaralda</w:t>
      </w:r>
      <w:r w:rsidR="00127786">
        <w:rPr>
          <w:rFonts w:ascii="Arial" w:hAnsi="Arial" w:cs="Arial"/>
          <w:spacing w:val="3"/>
        </w:rPr>
        <w:t xml:space="preserve"> (Folio</w:t>
      </w:r>
      <w:r w:rsidR="008E50E4">
        <w:rPr>
          <w:rFonts w:ascii="Arial" w:hAnsi="Arial" w:cs="Arial"/>
          <w:spacing w:val="3"/>
        </w:rPr>
        <w:t xml:space="preserve"> </w:t>
      </w:r>
      <w:r w:rsidR="003606C8">
        <w:rPr>
          <w:rFonts w:ascii="Arial" w:hAnsi="Arial" w:cs="Arial"/>
          <w:spacing w:val="3"/>
        </w:rPr>
        <w:t>8</w:t>
      </w:r>
      <w:r w:rsidR="008E50E4">
        <w:rPr>
          <w:rFonts w:ascii="Arial" w:hAnsi="Arial" w:cs="Arial"/>
          <w:spacing w:val="3"/>
        </w:rPr>
        <w:t xml:space="preserve">, </w:t>
      </w:r>
      <w:r w:rsidR="00127786">
        <w:rPr>
          <w:rFonts w:ascii="Arial" w:hAnsi="Arial" w:cs="Arial"/>
          <w:spacing w:val="3"/>
        </w:rPr>
        <w:t>ib</w:t>
      </w:r>
      <w:r w:rsidR="003606C8">
        <w:rPr>
          <w:rFonts w:ascii="Arial" w:hAnsi="Arial" w:cs="Arial"/>
          <w:spacing w:val="3"/>
        </w:rPr>
        <w:t>ídem</w:t>
      </w:r>
      <w:r w:rsidR="008E50E4">
        <w:rPr>
          <w:rFonts w:ascii="Arial" w:hAnsi="Arial" w:cs="Arial"/>
          <w:spacing w:val="3"/>
        </w:rPr>
        <w:t xml:space="preserve">), </w:t>
      </w:r>
      <w:r w:rsidR="00127786">
        <w:rPr>
          <w:rFonts w:ascii="Arial" w:hAnsi="Arial" w:cs="Arial"/>
          <w:spacing w:val="3"/>
        </w:rPr>
        <w:t xml:space="preserve">la </w:t>
      </w:r>
      <w:r w:rsidR="003606C8">
        <w:rPr>
          <w:rFonts w:ascii="Arial" w:hAnsi="Arial" w:cs="Arial"/>
          <w:spacing w:val="3"/>
        </w:rPr>
        <w:t xml:space="preserve">Personería Municipal de Pereira </w:t>
      </w:r>
      <w:r w:rsidR="00127786">
        <w:rPr>
          <w:rFonts w:ascii="Arial" w:hAnsi="Arial" w:cs="Arial"/>
          <w:spacing w:val="3"/>
        </w:rPr>
        <w:t xml:space="preserve">(Folios </w:t>
      </w:r>
      <w:r w:rsidR="003606C8">
        <w:rPr>
          <w:rFonts w:ascii="Arial" w:hAnsi="Arial" w:cs="Arial"/>
          <w:spacing w:val="3"/>
        </w:rPr>
        <w:t>12 a 14</w:t>
      </w:r>
      <w:r w:rsidR="00127786">
        <w:rPr>
          <w:rFonts w:ascii="Arial" w:hAnsi="Arial" w:cs="Arial"/>
          <w:spacing w:val="3"/>
        </w:rPr>
        <w:t>, ib.)</w:t>
      </w:r>
      <w:r w:rsidR="00CB54FB">
        <w:rPr>
          <w:rFonts w:ascii="Arial" w:hAnsi="Arial" w:cs="Arial"/>
          <w:spacing w:val="3"/>
        </w:rPr>
        <w:t xml:space="preserve"> y la Alcal</w:t>
      </w:r>
      <w:r w:rsidR="00E45BA0">
        <w:rPr>
          <w:rFonts w:ascii="Arial" w:hAnsi="Arial" w:cs="Arial"/>
          <w:spacing w:val="3"/>
        </w:rPr>
        <w:t xml:space="preserve">día de </w:t>
      </w:r>
      <w:r w:rsidR="003606C8">
        <w:rPr>
          <w:rFonts w:ascii="Arial" w:hAnsi="Arial" w:cs="Arial"/>
          <w:spacing w:val="3"/>
        </w:rPr>
        <w:t>Pereira</w:t>
      </w:r>
      <w:r w:rsidR="00E45BA0">
        <w:rPr>
          <w:rFonts w:ascii="Arial" w:hAnsi="Arial" w:cs="Arial"/>
          <w:spacing w:val="3"/>
        </w:rPr>
        <w:t xml:space="preserve"> (Folios </w:t>
      </w:r>
      <w:r w:rsidR="003606C8">
        <w:rPr>
          <w:rFonts w:ascii="Arial" w:hAnsi="Arial" w:cs="Arial"/>
          <w:spacing w:val="3"/>
        </w:rPr>
        <w:t>16 y 17</w:t>
      </w:r>
      <w:r w:rsidR="00CB54FB">
        <w:rPr>
          <w:rFonts w:ascii="Arial" w:hAnsi="Arial" w:cs="Arial"/>
          <w:spacing w:val="3"/>
        </w:rPr>
        <w:t xml:space="preserve">, ib.). </w:t>
      </w:r>
      <w:r w:rsidR="00423961">
        <w:rPr>
          <w:rFonts w:ascii="Arial" w:hAnsi="Arial" w:cs="Arial"/>
          <w:spacing w:val="3"/>
        </w:rPr>
        <w:t xml:space="preserve">La Defensoría del Pueblo Regional Risaralda y el accionado, guardaron </w:t>
      </w:r>
      <w:r w:rsidR="00CB54FB">
        <w:rPr>
          <w:rFonts w:ascii="Arial" w:hAnsi="Arial" w:cs="Arial"/>
          <w:spacing w:val="3"/>
        </w:rPr>
        <w:t>silencio</w:t>
      </w:r>
      <w:r w:rsidR="00423961">
        <w:rPr>
          <w:rFonts w:ascii="Arial" w:hAnsi="Arial" w:cs="Arial"/>
          <w:spacing w:val="3"/>
        </w:rPr>
        <w:t>, sin embargo</w:t>
      </w:r>
      <w:r w:rsidR="00CA3B2B">
        <w:rPr>
          <w:rFonts w:ascii="Arial" w:hAnsi="Arial" w:cs="Arial"/>
          <w:spacing w:val="3"/>
        </w:rPr>
        <w:t>,</w:t>
      </w:r>
      <w:r w:rsidR="00423961">
        <w:rPr>
          <w:rFonts w:ascii="Arial" w:hAnsi="Arial" w:cs="Arial"/>
          <w:spacing w:val="3"/>
        </w:rPr>
        <w:t xml:space="preserve"> este</w:t>
      </w:r>
      <w:r w:rsidR="005535F5">
        <w:rPr>
          <w:rFonts w:ascii="Arial" w:hAnsi="Arial" w:cs="Arial"/>
          <w:spacing w:val="3"/>
        </w:rPr>
        <w:t xml:space="preserve"> último </w:t>
      </w:r>
      <w:r w:rsidR="00423961">
        <w:rPr>
          <w:rFonts w:ascii="Arial" w:hAnsi="Arial" w:cs="Arial"/>
          <w:spacing w:val="3"/>
        </w:rPr>
        <w:t>arrimó las copias solicitadas (Folios 29 a 35, ib.)</w:t>
      </w:r>
      <w:r w:rsidR="00CB54FB">
        <w:rPr>
          <w:rFonts w:ascii="Arial" w:hAnsi="Arial" w:cs="Arial"/>
          <w:spacing w:val="3"/>
        </w:rPr>
        <w:t>.</w:t>
      </w:r>
      <w:r w:rsidR="001A4C76">
        <w:rPr>
          <w:rFonts w:ascii="Arial" w:hAnsi="Arial" w:cs="Arial"/>
        </w:rPr>
        <w:t xml:space="preserve"> </w:t>
      </w:r>
    </w:p>
    <w:p w:rsidR="00B41B34" w:rsidRPr="00984EE4" w:rsidRDefault="00B41B34" w:rsidP="00B50331">
      <w:pPr>
        <w:spacing w:line="360" w:lineRule="auto"/>
        <w:jc w:val="both"/>
        <w:rPr>
          <w:rFonts w:ascii="Arial" w:hAnsi="Arial"/>
          <w:sz w:val="22"/>
        </w:rPr>
      </w:pPr>
    </w:p>
    <w:p w:rsidR="00B41B34" w:rsidRPr="00984EE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310F89" w:rsidRDefault="00423961" w:rsidP="00310F89">
      <w:pPr>
        <w:spacing w:line="360" w:lineRule="auto"/>
        <w:jc w:val="both"/>
        <w:rPr>
          <w:rFonts w:ascii="Arial" w:hAnsi="Arial"/>
        </w:rPr>
      </w:pPr>
      <w:r>
        <w:rPr>
          <w:rFonts w:ascii="Arial" w:hAnsi="Arial"/>
        </w:rPr>
        <w:t xml:space="preserve">Hizo un recuento de </w:t>
      </w:r>
      <w:r w:rsidR="00310F89">
        <w:rPr>
          <w:rFonts w:ascii="Arial" w:hAnsi="Arial"/>
        </w:rPr>
        <w:t xml:space="preserve">su papel en las acciones populares, estima que la situación alegada, es ajena a su función, de allí que solicitó su desvinculación </w:t>
      </w:r>
      <w:r w:rsidR="00C87D22">
        <w:rPr>
          <w:rFonts w:ascii="Arial" w:hAnsi="Arial" w:cs="Arial"/>
          <w:spacing w:val="3"/>
        </w:rPr>
        <w:t xml:space="preserve">(Folio </w:t>
      </w:r>
      <w:r>
        <w:rPr>
          <w:rFonts w:ascii="Arial" w:hAnsi="Arial" w:cs="Arial"/>
          <w:spacing w:val="3"/>
        </w:rPr>
        <w:t>8</w:t>
      </w:r>
      <w:r w:rsidR="00C87D22">
        <w:rPr>
          <w:rFonts w:ascii="Arial" w:hAnsi="Arial" w:cs="Arial"/>
          <w:spacing w:val="3"/>
        </w:rPr>
        <w:t>, ib.)</w:t>
      </w:r>
      <w:r w:rsidR="00310F89">
        <w:rPr>
          <w:rFonts w:ascii="Arial" w:hAnsi="Arial"/>
        </w:rPr>
        <w:t xml:space="preserve">. </w:t>
      </w:r>
    </w:p>
    <w:p w:rsidR="00E04790" w:rsidRDefault="00E04790" w:rsidP="00264032">
      <w:pPr>
        <w:spacing w:line="360" w:lineRule="auto"/>
        <w:jc w:val="both"/>
        <w:rPr>
          <w:rFonts w:ascii="Arial" w:hAnsi="Arial"/>
        </w:rPr>
      </w:pPr>
    </w:p>
    <w:p w:rsidR="00DD597F" w:rsidRDefault="00423961" w:rsidP="00DD597F">
      <w:pPr>
        <w:pStyle w:val="Prrafodelista"/>
        <w:numPr>
          <w:ilvl w:val="1"/>
          <w:numId w:val="18"/>
        </w:numPr>
        <w:spacing w:line="360" w:lineRule="auto"/>
        <w:jc w:val="both"/>
        <w:rPr>
          <w:rFonts w:ascii="Arial" w:hAnsi="Arial"/>
        </w:rPr>
      </w:pPr>
      <w:r>
        <w:rPr>
          <w:rFonts w:ascii="Arial" w:hAnsi="Arial"/>
        </w:rPr>
        <w:t>La Personer</w:t>
      </w:r>
      <w:r w:rsidR="00537CEA">
        <w:rPr>
          <w:rFonts w:ascii="Arial" w:hAnsi="Arial"/>
        </w:rPr>
        <w:t>ía de Pereira</w:t>
      </w:r>
    </w:p>
    <w:p w:rsidR="00443A7E" w:rsidRDefault="00443A7E" w:rsidP="00443A7E">
      <w:pPr>
        <w:spacing w:line="360" w:lineRule="auto"/>
        <w:jc w:val="both"/>
        <w:rPr>
          <w:rFonts w:ascii="Arial" w:hAnsi="Arial"/>
        </w:rPr>
      </w:pPr>
    </w:p>
    <w:p w:rsidR="00443A7E" w:rsidRPr="00443A7E" w:rsidRDefault="00423961" w:rsidP="00443A7E">
      <w:pPr>
        <w:spacing w:line="360" w:lineRule="auto"/>
        <w:jc w:val="both"/>
        <w:rPr>
          <w:rFonts w:ascii="Arial" w:hAnsi="Arial"/>
        </w:rPr>
      </w:pPr>
      <w:r>
        <w:rPr>
          <w:rFonts w:ascii="Arial" w:hAnsi="Arial"/>
        </w:rPr>
        <w:t xml:space="preserve">Refirió </w:t>
      </w:r>
      <w:r w:rsidR="00537CEA">
        <w:rPr>
          <w:rFonts w:ascii="Arial" w:hAnsi="Arial"/>
        </w:rPr>
        <w:t xml:space="preserve">que es el aparato judicial el competente para tramitar las acciones populares, y por tanto, no se le puede endilgar responsabilidad alguna en la vulneración de los derechos invocados </w:t>
      </w:r>
      <w:r w:rsidR="00AE3CA9">
        <w:rPr>
          <w:rFonts w:ascii="Arial" w:hAnsi="Arial"/>
        </w:rPr>
        <w:t xml:space="preserve">(Folios </w:t>
      </w:r>
      <w:r w:rsidR="00537CEA">
        <w:rPr>
          <w:rFonts w:ascii="Arial" w:hAnsi="Arial"/>
        </w:rPr>
        <w:t>12 a 14</w:t>
      </w:r>
      <w:r w:rsidR="00AE3CA9">
        <w:rPr>
          <w:rFonts w:ascii="Arial" w:hAnsi="Arial"/>
        </w:rPr>
        <w:t>, ib.).</w:t>
      </w:r>
    </w:p>
    <w:p w:rsidR="00DD597F" w:rsidRDefault="00DD597F" w:rsidP="001545E2">
      <w:pPr>
        <w:spacing w:line="360" w:lineRule="auto"/>
        <w:jc w:val="both"/>
        <w:rPr>
          <w:rFonts w:ascii="Arial" w:hAnsi="Arial"/>
        </w:rPr>
      </w:pPr>
    </w:p>
    <w:p w:rsidR="00537CEA" w:rsidRDefault="00537CEA" w:rsidP="00537CEA">
      <w:pPr>
        <w:pStyle w:val="Prrafodelista"/>
        <w:numPr>
          <w:ilvl w:val="1"/>
          <w:numId w:val="18"/>
        </w:numPr>
        <w:spacing w:line="360" w:lineRule="auto"/>
        <w:jc w:val="both"/>
        <w:rPr>
          <w:rFonts w:ascii="Arial" w:hAnsi="Arial"/>
        </w:rPr>
      </w:pPr>
      <w:r>
        <w:rPr>
          <w:rFonts w:ascii="Arial" w:hAnsi="Arial"/>
        </w:rPr>
        <w:t>La Alcaldía de Pereira</w:t>
      </w:r>
    </w:p>
    <w:p w:rsidR="00537CEA" w:rsidRDefault="00537CEA" w:rsidP="00537CEA">
      <w:pPr>
        <w:spacing w:line="360" w:lineRule="auto"/>
        <w:jc w:val="both"/>
        <w:rPr>
          <w:rFonts w:ascii="Arial" w:hAnsi="Arial"/>
        </w:rPr>
      </w:pPr>
    </w:p>
    <w:p w:rsidR="00537CEA" w:rsidRDefault="00537CEA" w:rsidP="00537CEA">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en esas condiciones pidió negar la tutela</w:t>
      </w:r>
      <w:r w:rsidRPr="008E5A62">
        <w:rPr>
          <w:rFonts w:ascii="Arial" w:hAnsi="Arial"/>
        </w:rPr>
        <w:t xml:space="preserve"> </w:t>
      </w:r>
      <w:r>
        <w:rPr>
          <w:rFonts w:ascii="Arial" w:hAnsi="Arial"/>
        </w:rPr>
        <w:t>(Folios 16 a 17, ib.)</w:t>
      </w:r>
    </w:p>
    <w:p w:rsidR="00C43553" w:rsidRPr="00AE3CA9" w:rsidRDefault="00C43553" w:rsidP="00AE3CA9">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Pr="00EE1C51" w:rsidRDefault="005427D5" w:rsidP="00CF429F">
      <w:pPr>
        <w:pStyle w:val="Sangra2detindependiente"/>
        <w:spacing w:after="0" w:line="360" w:lineRule="auto"/>
        <w:ind w:left="0"/>
        <w:jc w:val="both"/>
        <w:rPr>
          <w:rFonts w:ascii="Arial" w:hAnsi="Arial" w:cs="Arial"/>
          <w:sz w:val="24"/>
          <w:szCs w:val="24"/>
        </w:rPr>
      </w:pPr>
      <w:r w:rsidRPr="00EE1C51">
        <w:rPr>
          <w:rFonts w:ascii="Arial" w:hAnsi="Arial" w:cs="Arial"/>
          <w:sz w:val="24"/>
          <w:szCs w:val="24"/>
        </w:rPr>
        <w:t xml:space="preserve">Este Tribunal es competente para conocer la acción 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537CEA">
        <w:rPr>
          <w:rFonts w:ascii="Arial" w:hAnsi="Arial" w:cs="Arial"/>
          <w:color w:val="000000"/>
          <w:sz w:val="24"/>
          <w:szCs w:val="24"/>
        </w:rPr>
        <w:t xml:space="preserve">Tercero Civil </w:t>
      </w:r>
      <w:r w:rsidR="00FE2788">
        <w:rPr>
          <w:rFonts w:ascii="Arial" w:hAnsi="Arial" w:cs="Arial"/>
          <w:color w:val="000000"/>
          <w:sz w:val="24"/>
          <w:szCs w:val="24"/>
        </w:rPr>
        <w:t xml:space="preserve">del Circuito </w:t>
      </w:r>
      <w:r w:rsidR="00537CEA">
        <w:rPr>
          <w:rFonts w:ascii="Arial" w:hAnsi="Arial" w:cs="Arial"/>
          <w:color w:val="000000"/>
          <w:sz w:val="24"/>
          <w:szCs w:val="24"/>
        </w:rPr>
        <w:t>de Pereira</w:t>
      </w:r>
      <w:r w:rsidR="00FE2788">
        <w:rPr>
          <w:rFonts w:ascii="Arial" w:hAnsi="Arial" w:cs="Arial"/>
          <w:color w:val="000000"/>
          <w:sz w:val="24"/>
          <w:szCs w:val="24"/>
        </w:rPr>
        <w:t xml:space="preserve"> </w:t>
      </w:r>
      <w:r w:rsidRPr="00EE1C51">
        <w:rPr>
          <w:rFonts w:ascii="Arial" w:hAnsi="Arial" w:cs="Arial"/>
          <w:sz w:val="24"/>
          <w:szCs w:val="24"/>
        </w:rPr>
        <w:t>(Artículos 86 de la CP, 37 del Decreto 2591 de 1991 y Decreto 1382 de 2000).</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537CEA">
        <w:rPr>
          <w:rFonts w:ascii="Arial" w:hAnsi="Arial" w:cs="Arial"/>
          <w:szCs w:val="24"/>
        </w:rPr>
        <w:t xml:space="preserve">el </w:t>
      </w:r>
      <w:r w:rsidR="001A4C76">
        <w:rPr>
          <w:rFonts w:ascii="Arial" w:hAnsi="Arial" w:cs="Arial"/>
          <w:szCs w:val="24"/>
        </w:rPr>
        <w:t>proceso judicial</w:t>
      </w:r>
      <w:r w:rsidR="00FE2788">
        <w:rPr>
          <w:rFonts w:ascii="Arial" w:hAnsi="Arial" w:cs="Arial"/>
          <w:szCs w:val="24"/>
        </w:rPr>
        <w:t xml:space="preserve">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537CEA">
        <w:rPr>
          <w:rFonts w:ascii="Arial" w:hAnsi="Arial" w:cs="Arial"/>
          <w:szCs w:val="24"/>
        </w:rPr>
        <w:t>Tercero Civil del Circuito de Pedreira</w:t>
      </w:r>
      <w:r w:rsidR="00CB0B9E">
        <w:rPr>
          <w:rFonts w:ascii="Arial" w:hAnsi="Arial" w:cs="Arial"/>
          <w:szCs w:val="24"/>
        </w:rPr>
        <w:t xml:space="preserve">,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del</w:t>
      </w:r>
      <w:r w:rsidR="003D2915">
        <w:rPr>
          <w:rFonts w:ascii="Arial" w:hAnsi="Arial" w:cs="Arial"/>
          <w:szCs w:val="24"/>
        </w:rPr>
        <w:t xml:space="preserve"> juicio</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1A4C76" w:rsidRPr="00AE73C7" w:rsidRDefault="00537CEA" w:rsidP="001A4C76">
      <w:pPr>
        <w:pStyle w:val="Textoindependiente"/>
        <w:spacing w:line="360" w:lineRule="auto"/>
        <w:rPr>
          <w:rFonts w:ascii="Arial" w:hAnsi="Arial" w:cs="Arial"/>
          <w:szCs w:val="24"/>
        </w:rPr>
      </w:pPr>
      <w:r>
        <w:rPr>
          <w:rFonts w:ascii="Arial" w:hAnsi="Arial" w:cs="Arial"/>
        </w:rPr>
        <w:t xml:space="preserve">Como </w:t>
      </w:r>
      <w:r w:rsidR="001A4C76">
        <w:rPr>
          <w:rFonts w:ascii="Arial" w:hAnsi="Arial" w:cs="Arial"/>
        </w:rPr>
        <w:t>l</w:t>
      </w:r>
      <w:r w:rsidR="00FD49FE">
        <w:rPr>
          <w:rFonts w:ascii="Arial" w:hAnsi="Arial" w:cs="Arial"/>
          <w:szCs w:val="24"/>
        </w:rPr>
        <w:t xml:space="preserve">os </w:t>
      </w:r>
      <w:r w:rsidR="001A4C76">
        <w:rPr>
          <w:rFonts w:ascii="Arial" w:hAnsi="Arial" w:cs="Arial"/>
          <w:szCs w:val="24"/>
        </w:rPr>
        <w:t xml:space="preserve">litisconsortes </w:t>
      </w:r>
      <w:r w:rsidR="00FD49FE">
        <w:rPr>
          <w:rFonts w:ascii="Arial" w:hAnsi="Arial" w:cs="Arial"/>
          <w:szCs w:val="24"/>
        </w:rPr>
        <w:t xml:space="preserve">vinculados a este trámite, </w:t>
      </w:r>
      <w:r w:rsidR="001A4C76">
        <w:rPr>
          <w:rFonts w:ascii="Arial" w:hAnsi="Arial" w:cs="Arial"/>
          <w:szCs w:val="24"/>
        </w:rPr>
        <w:t>eventuales afectados con la acción constitucional, no incurrieron en violación o amenaza alguna, se n</w:t>
      </w:r>
      <w:r w:rsidR="000E62D3">
        <w:rPr>
          <w:rFonts w:ascii="Arial" w:hAnsi="Arial" w:cs="Arial"/>
          <w:szCs w:val="24"/>
        </w:rPr>
        <w:t>egará la tutela frente a ellos.</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537CEA">
        <w:rPr>
          <w:rFonts w:ascii="Arial" w:hAnsi="Arial" w:cs="Arial"/>
          <w:color w:val="000000"/>
        </w:rPr>
        <w:t>Tercero 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260D7" w:rsidRDefault="00F260D7" w:rsidP="00F260D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260D7" w:rsidRDefault="00F260D7" w:rsidP="00F260D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260D7" w:rsidRPr="006A3AB9" w:rsidRDefault="00F260D7" w:rsidP="00F260D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260D7" w:rsidRPr="006A3AB9" w:rsidRDefault="00F260D7" w:rsidP="00F260D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260D7" w:rsidRPr="008740E9" w:rsidRDefault="00F260D7" w:rsidP="00F260D7">
      <w:pPr>
        <w:pStyle w:val="Textoindependiente"/>
        <w:spacing w:line="360" w:lineRule="auto"/>
        <w:rPr>
          <w:rFonts w:ascii="Arial" w:hAnsi="Arial" w:cs="Arial"/>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260D7" w:rsidRPr="006A3AB9" w:rsidRDefault="00F260D7" w:rsidP="00F260D7">
      <w:pPr>
        <w:pStyle w:val="Textoindependiente"/>
        <w:spacing w:line="360" w:lineRule="auto"/>
        <w:rPr>
          <w:rFonts w:ascii="Arial" w:hAnsi="Arial" w:cs="Arial"/>
          <w:szCs w:val="24"/>
        </w:rPr>
      </w:pPr>
    </w:p>
    <w:p w:rsidR="00F260D7" w:rsidRDefault="00F260D7" w:rsidP="00F260D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F260D7" w:rsidRDefault="00F260D7" w:rsidP="00F260D7">
      <w:pPr>
        <w:pStyle w:val="Textoindependiente"/>
        <w:spacing w:line="360" w:lineRule="auto"/>
        <w:rPr>
          <w:rFonts w:ascii="Arial" w:hAnsi="Arial" w:cs="Arial"/>
          <w:szCs w:val="24"/>
        </w:rPr>
      </w:pPr>
    </w:p>
    <w:p w:rsidR="00130DD6" w:rsidRPr="00FF4929" w:rsidRDefault="00130DD6" w:rsidP="00130DD6">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130DD6" w:rsidRPr="00FF4929" w:rsidRDefault="00130DD6" w:rsidP="00130DD6">
      <w:pPr>
        <w:pStyle w:val="Textoindependiente"/>
        <w:tabs>
          <w:tab w:val="clear" w:pos="0"/>
        </w:tabs>
        <w:spacing w:line="360" w:lineRule="auto"/>
        <w:rPr>
          <w:rFonts w:ascii="Arial" w:hAnsi="Arial" w:cs="Arial"/>
          <w:szCs w:val="24"/>
        </w:rPr>
      </w:pPr>
    </w:p>
    <w:p w:rsidR="00130DD6" w:rsidRPr="00FF4929" w:rsidRDefault="00130DD6" w:rsidP="00130DD6">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w:t>
      </w:r>
      <w:r>
        <w:rPr>
          <w:rFonts w:ascii="Arial" w:hAnsi="Arial" w:cs="Arial"/>
          <w:szCs w:val="24"/>
        </w:rPr>
        <w:t>Política</w:t>
      </w:r>
      <w:r w:rsidRPr="00FF4929">
        <w:rPr>
          <w:rFonts w:ascii="Arial" w:hAnsi="Arial" w:cs="Arial"/>
          <w:szCs w:val="24"/>
        </w:rPr>
        <w:t xml:space="preserve">,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w:t>
      </w:r>
      <w:r w:rsidRPr="004E2C08">
        <w:rPr>
          <w:rFonts w:ascii="Arial" w:hAnsi="Arial" w:cs="Arial"/>
          <w:sz w:val="22"/>
          <w:szCs w:val="22"/>
        </w:rPr>
        <w:t>. Sublínea puesta a propósito</w:t>
      </w:r>
      <w:r>
        <w:rPr>
          <w:rFonts w:ascii="Arial" w:hAnsi="Arial" w:cs="Arial"/>
          <w:sz w:val="22"/>
          <w:szCs w:val="22"/>
        </w:rPr>
        <w:t>.</w:t>
      </w:r>
    </w:p>
    <w:p w:rsidR="00130DD6" w:rsidRPr="008740E9" w:rsidRDefault="00130DD6" w:rsidP="00130DD6">
      <w:pPr>
        <w:pStyle w:val="Textoindependiente"/>
        <w:tabs>
          <w:tab w:val="clear" w:pos="0"/>
        </w:tabs>
        <w:spacing w:line="360" w:lineRule="auto"/>
        <w:rPr>
          <w:rFonts w:ascii="Arial" w:hAnsi="Arial" w:cs="Arial"/>
          <w:szCs w:val="24"/>
          <w:u w:val="single"/>
        </w:rPr>
      </w:pPr>
    </w:p>
    <w:p w:rsidR="00130DD6" w:rsidRPr="00FF4929" w:rsidRDefault="00130DD6" w:rsidP="00130DD6">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130DD6" w:rsidRPr="008740E9" w:rsidRDefault="00130DD6" w:rsidP="00130DD6">
      <w:pPr>
        <w:widowControl/>
        <w:autoSpaceDE/>
        <w:autoSpaceDN/>
        <w:adjustRightInd/>
        <w:spacing w:line="360" w:lineRule="auto"/>
        <w:jc w:val="both"/>
        <w:rPr>
          <w:rFonts w:ascii="Arial" w:hAnsi="Arial" w:cs="Arial"/>
          <w:szCs w:val="22"/>
          <w:lang w:val="es-ES_tradnl"/>
        </w:rPr>
      </w:pPr>
    </w:p>
    <w:p w:rsidR="00130DD6" w:rsidRPr="00FF4929" w:rsidRDefault="00130DD6" w:rsidP="00130DD6">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w:t>
      </w:r>
      <w:r>
        <w:rPr>
          <w:rFonts w:ascii="Arial" w:hAnsi="Arial" w:cs="Arial"/>
          <w:lang w:val="es-ES_tradnl"/>
        </w:rPr>
        <w:t>,</w:t>
      </w:r>
      <w:r w:rsidRPr="00FF4929">
        <w:rPr>
          <w:rFonts w:ascii="Arial" w:hAnsi="Arial" w:cs="Arial"/>
          <w:lang w:val="es-ES_tradnl"/>
        </w:rPr>
        <w:t xml:space="preserve"> ha destacado la importancia de preservar el principio de subsidiariedad en el amparo constitucional:</w:t>
      </w:r>
    </w:p>
    <w:p w:rsidR="00130DD6" w:rsidRPr="008740E9" w:rsidRDefault="00130DD6" w:rsidP="00130DD6">
      <w:pPr>
        <w:widowControl/>
        <w:overflowPunct w:val="0"/>
        <w:spacing w:line="360" w:lineRule="auto"/>
        <w:ind w:left="540" w:right="560"/>
        <w:jc w:val="both"/>
        <w:textAlignment w:val="baseline"/>
        <w:rPr>
          <w:rFonts w:ascii="Arial" w:hAnsi="Arial" w:cs="Arial"/>
          <w:i/>
          <w:iCs/>
          <w:lang w:val="es-ES_tradnl"/>
        </w:rPr>
      </w:pPr>
    </w:p>
    <w:p w:rsidR="00130DD6" w:rsidRPr="00FF4929" w:rsidRDefault="00130DD6" w:rsidP="00130DD6">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130DD6" w:rsidRPr="008740E9" w:rsidRDefault="00130DD6" w:rsidP="00130DD6">
      <w:pPr>
        <w:pStyle w:val="Textoindependiente"/>
        <w:tabs>
          <w:tab w:val="clear" w:pos="0"/>
        </w:tabs>
        <w:spacing w:line="360" w:lineRule="auto"/>
        <w:rPr>
          <w:rFonts w:ascii="Arial" w:hAnsi="Arial" w:cs="Arial"/>
          <w:szCs w:val="24"/>
        </w:rPr>
      </w:pPr>
    </w:p>
    <w:p w:rsidR="00130DD6" w:rsidRPr="007438DD" w:rsidRDefault="00130DD6" w:rsidP="00130DD6">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130DD6" w:rsidRDefault="00130DD6" w:rsidP="00130DD6">
      <w:pPr>
        <w:spacing w:line="360" w:lineRule="auto"/>
        <w:jc w:val="both"/>
        <w:rPr>
          <w:rFonts w:ascii="Arial" w:hAnsi="Arial" w:cs="Arial"/>
          <w:lang w:val="es-ES_tradnl"/>
        </w:rPr>
      </w:pPr>
    </w:p>
    <w:p w:rsidR="00130DD6" w:rsidRDefault="00130DD6" w:rsidP="00130DD6">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Pr>
          <w:rFonts w:ascii="Arial" w:hAnsi="Arial" w:cs="Arial"/>
          <w:lang w:val="es-ES_tradnl"/>
        </w:rPr>
        <w:t xml:space="preserve">prohija </w:t>
      </w:r>
      <w:r w:rsidRPr="007438DD">
        <w:rPr>
          <w:rFonts w:ascii="Arial" w:hAnsi="Arial" w:cs="Arial"/>
          <w:lang w:val="es-ES_tradnl"/>
        </w:rPr>
        <w:t>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130DD6" w:rsidRDefault="00130DD6" w:rsidP="00130DD6">
      <w:pPr>
        <w:spacing w:line="360" w:lineRule="auto"/>
        <w:jc w:val="both"/>
        <w:rPr>
          <w:rFonts w:ascii="Arial" w:hAnsi="Arial" w:cs="Arial"/>
          <w:lang w:val="es-ES_tradnl"/>
        </w:rPr>
      </w:pPr>
      <w:r>
        <w:rPr>
          <w:rFonts w:ascii="Arial" w:hAnsi="Arial" w:cs="Arial"/>
          <w:lang w:val="es-ES_tradnl"/>
        </w:rPr>
        <w:t>Puesto que los requisitos generales de procedibilidad son concurrentes, esto es, incumplido uno, se torna inane el examen de los demás, menos podrían revisarse los supuestos especiales, el análisis que sigue se limitará a la subsidiariedad, porque es el elemento que se advierte ausente y resulta suficiente para el fracaso del amparo.</w:t>
      </w:r>
    </w:p>
    <w:p w:rsidR="00130DD6" w:rsidRDefault="00130DD6" w:rsidP="00130DD6">
      <w:pPr>
        <w:spacing w:line="360" w:lineRule="auto"/>
        <w:jc w:val="both"/>
        <w:rPr>
          <w:rFonts w:ascii="Arial" w:hAnsi="Arial" w:cs="Arial"/>
          <w:lang w:val="es-ES_tradnl"/>
        </w:rPr>
      </w:pPr>
    </w:p>
    <w:p w:rsidR="00130DD6" w:rsidRDefault="00130DD6" w:rsidP="00130DD6">
      <w:pPr>
        <w:spacing w:line="360" w:lineRule="auto"/>
        <w:jc w:val="both"/>
        <w:rPr>
          <w:rFonts w:ascii="Arial" w:hAnsi="Arial" w:cs="Arial"/>
          <w:lang w:val="es-ES_tradnl"/>
        </w:rPr>
      </w:pPr>
      <w:r>
        <w:rPr>
          <w:rFonts w:ascii="Arial" w:hAnsi="Arial" w:cs="Arial"/>
          <w:lang w:val="es-ES_tradnl"/>
        </w:rPr>
        <w:t xml:space="preserve">El accionante se duele </w:t>
      </w:r>
      <w:r w:rsidR="00DC2958">
        <w:rPr>
          <w:rFonts w:ascii="Arial" w:hAnsi="Arial" w:cs="Arial"/>
          <w:lang w:val="es-ES_tradnl"/>
        </w:rPr>
        <w:t>por</w:t>
      </w:r>
      <w:r w:rsidRPr="00316531">
        <w:rPr>
          <w:rFonts w:ascii="Arial" w:hAnsi="Arial"/>
        </w:rPr>
        <w:t xml:space="preserve">que no fue concedida la apelación formulada contra el auto que rechazó la acción </w:t>
      </w:r>
      <w:r>
        <w:rPr>
          <w:rFonts w:ascii="Arial" w:hAnsi="Arial" w:cs="Arial"/>
          <w:lang w:val="es-ES_tradnl"/>
        </w:rPr>
        <w:t xml:space="preserve">popular radicada al No.2015-01124-00, </w:t>
      </w:r>
      <w:r w:rsidRPr="00316531">
        <w:rPr>
          <w:rFonts w:ascii="Arial" w:hAnsi="Arial"/>
        </w:rPr>
        <w:t>a pesar de ser un proceso de dos instancias</w:t>
      </w:r>
      <w:r>
        <w:rPr>
          <w:rFonts w:ascii="Arial" w:hAnsi="Arial" w:cs="Arial"/>
          <w:lang w:val="es-ES_tradnl"/>
        </w:rPr>
        <w:t>.</w:t>
      </w:r>
    </w:p>
    <w:p w:rsidR="00130DD6" w:rsidRDefault="00130DD6" w:rsidP="00F260D7">
      <w:pPr>
        <w:spacing w:line="360" w:lineRule="auto"/>
        <w:ind w:right="51"/>
        <w:jc w:val="both"/>
        <w:rPr>
          <w:rFonts w:ascii="Arial" w:hAnsi="Arial"/>
          <w:szCs w:val="22"/>
          <w:lang w:val="es-ES_tradnl"/>
        </w:rPr>
      </w:pPr>
    </w:p>
    <w:p w:rsidR="00F260D7" w:rsidRDefault="00130DD6" w:rsidP="00F260D7">
      <w:pPr>
        <w:spacing w:line="360" w:lineRule="auto"/>
        <w:ind w:right="51"/>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xml:space="preserve">, </w:t>
      </w:r>
      <w:r>
        <w:rPr>
          <w:rFonts w:ascii="Arial" w:hAnsi="Arial" w:cs="Arial"/>
        </w:rPr>
        <w:t xml:space="preserve">la acción </w:t>
      </w:r>
      <w:r w:rsidRPr="00301067">
        <w:rPr>
          <w:rFonts w:ascii="Arial" w:hAnsi="Arial" w:cs="Arial"/>
        </w:rPr>
        <w:t xml:space="preserve">constitucional se torna </w:t>
      </w:r>
      <w:r>
        <w:rPr>
          <w:rFonts w:ascii="Arial" w:hAnsi="Arial" w:cs="Arial"/>
        </w:rPr>
        <w:t>prematura</w:t>
      </w:r>
      <w:r w:rsidRPr="00301067">
        <w:rPr>
          <w:rFonts w:ascii="Arial" w:hAnsi="Arial" w:cs="Arial"/>
        </w:rPr>
        <w:t xml:space="preserve"> porque aún</w:t>
      </w:r>
      <w:r>
        <w:rPr>
          <w:rFonts w:ascii="Arial" w:hAnsi="Arial" w:cs="Arial"/>
        </w:rPr>
        <w:t xml:space="preserve"> está pendiente de resolverse por parte del despacho judicial al cual f</w:t>
      </w:r>
      <w:r w:rsidR="00D948E1">
        <w:rPr>
          <w:rFonts w:ascii="Arial" w:hAnsi="Arial" w:cs="Arial"/>
        </w:rPr>
        <w:t>ue remitido el proceso (Folio 35</w:t>
      </w:r>
      <w:r>
        <w:rPr>
          <w:rFonts w:ascii="Arial" w:hAnsi="Arial" w:cs="Arial"/>
        </w:rPr>
        <w:t xml:space="preserve">, ib.), si asume su conocimiento o provoca el conflicto negativo de competencia, actuación que </w:t>
      </w:r>
      <w:r>
        <w:rPr>
          <w:rFonts w:ascii="Arial" w:hAnsi="Arial" w:cs="Arial"/>
          <w:bCs/>
        </w:rPr>
        <w:t>revelará</w:t>
      </w:r>
      <w:r w:rsidRPr="00B0457F">
        <w:rPr>
          <w:rFonts w:ascii="Arial" w:hAnsi="Arial" w:cs="Arial"/>
        </w:rPr>
        <w:t xml:space="preserve"> </w:t>
      </w:r>
      <w:r>
        <w:rPr>
          <w:rFonts w:ascii="Arial" w:hAnsi="Arial" w:cs="Arial"/>
        </w:rPr>
        <w:t xml:space="preserve">al actor, el juzgado que tramitará su acción, que conforme </w:t>
      </w:r>
      <w:r w:rsidR="00D948E1">
        <w:rPr>
          <w:rFonts w:ascii="Arial" w:hAnsi="Arial" w:cs="Arial"/>
        </w:rPr>
        <w:t xml:space="preserve">a </w:t>
      </w:r>
      <w:r>
        <w:rPr>
          <w:rFonts w:ascii="Arial" w:hAnsi="Arial" w:cs="Arial"/>
        </w:rPr>
        <w:t>la sentencia T-103 de 2014</w:t>
      </w:r>
      <w:r>
        <w:rPr>
          <w:rStyle w:val="Refdenotaalpie"/>
          <w:rFonts w:ascii="Arial" w:hAnsi="Arial"/>
        </w:rPr>
        <w:footnoteReference w:id="14"/>
      </w:r>
      <w:r>
        <w:rPr>
          <w:rFonts w:ascii="Arial" w:hAnsi="Arial" w:cs="Arial"/>
        </w:rPr>
        <w:t>, debe declarar</w:t>
      </w:r>
      <w:r w:rsidR="00DC2958">
        <w:rPr>
          <w:rFonts w:ascii="Arial" w:hAnsi="Arial" w:cs="Arial"/>
        </w:rPr>
        <w:t>se</w:t>
      </w:r>
      <w:r>
        <w:rPr>
          <w:rFonts w:ascii="Arial" w:hAnsi="Arial" w:cs="Arial"/>
        </w:rPr>
        <w:t xml:space="preserve"> su improcedencia porque bajo los lineamientos allí citados también se incumple el principio de subsidiariedad cuando los procesos aún se encuentran en trámite.</w:t>
      </w:r>
    </w:p>
    <w:p w:rsidR="00130DD6" w:rsidRDefault="00130DD6" w:rsidP="00F260D7">
      <w:pPr>
        <w:spacing w:line="360" w:lineRule="auto"/>
        <w:ind w:right="51"/>
        <w:jc w:val="both"/>
        <w:rPr>
          <w:rFonts w:ascii="Arial" w:hAnsi="Arial"/>
          <w:szCs w:val="22"/>
          <w:lang w:val="es-ES_tradnl"/>
        </w:rPr>
      </w:pPr>
    </w:p>
    <w:p w:rsidR="00130DD6" w:rsidRDefault="00130DD6" w:rsidP="00130DD6">
      <w:pPr>
        <w:spacing w:line="360" w:lineRule="auto"/>
        <w:jc w:val="both"/>
        <w:rPr>
          <w:rFonts w:ascii="Arial" w:hAnsi="Arial" w:cs="Arial"/>
        </w:rPr>
      </w:pPr>
      <w:r>
        <w:rPr>
          <w:rFonts w:ascii="Arial" w:hAnsi="Arial" w:cs="Arial"/>
        </w:rPr>
        <w:t xml:space="preserve">Lo anterior, según se desprende de las copias del proceso cuestionado, arrimada por el accionado </w:t>
      </w:r>
      <w:r w:rsidRPr="00271622">
        <w:rPr>
          <w:rFonts w:ascii="Arial" w:hAnsi="Arial" w:cs="Arial"/>
        </w:rPr>
        <w:t>(Folio</w:t>
      </w:r>
      <w:r>
        <w:rPr>
          <w:rFonts w:ascii="Arial" w:hAnsi="Arial" w:cs="Arial"/>
        </w:rPr>
        <w:t>s</w:t>
      </w:r>
      <w:r w:rsidRPr="00271622">
        <w:rPr>
          <w:rFonts w:ascii="Arial" w:hAnsi="Arial" w:cs="Arial"/>
        </w:rPr>
        <w:t xml:space="preserve"> </w:t>
      </w:r>
      <w:r>
        <w:rPr>
          <w:rFonts w:ascii="Arial" w:hAnsi="Arial" w:cs="Arial"/>
        </w:rPr>
        <w:t>29 a 35</w:t>
      </w:r>
      <w:r w:rsidRPr="00271622">
        <w:rPr>
          <w:rFonts w:ascii="Arial" w:hAnsi="Arial" w:cs="Arial"/>
        </w:rPr>
        <w:t>, ib.)</w:t>
      </w:r>
      <w:r>
        <w:rPr>
          <w:rFonts w:ascii="Arial" w:hAnsi="Arial" w:cs="Arial"/>
        </w:rPr>
        <w:t>.</w:t>
      </w:r>
    </w:p>
    <w:p w:rsidR="00130DD6" w:rsidRDefault="00130DD6" w:rsidP="00130DD6">
      <w:pPr>
        <w:spacing w:line="360" w:lineRule="auto"/>
        <w:jc w:val="both"/>
        <w:rPr>
          <w:rFonts w:ascii="Arial" w:hAnsi="Arial" w:cs="Arial"/>
        </w:rPr>
      </w:pPr>
    </w:p>
    <w:p w:rsidR="00130DD6" w:rsidRDefault="00130DD6" w:rsidP="00130DD6">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 referida acción </w:t>
      </w:r>
      <w:r w:rsidRPr="00486763">
        <w:rPr>
          <w:rFonts w:ascii="Arial" w:hAnsi="Arial"/>
        </w:rPr>
        <w:t xml:space="preserve">de tutela </w:t>
      </w:r>
      <w:r>
        <w:rPr>
          <w:rFonts w:ascii="Arial" w:hAnsi="Arial"/>
        </w:rPr>
        <w:t xml:space="preserve">es </w:t>
      </w:r>
      <w:r w:rsidRPr="00486763">
        <w:rPr>
          <w:rFonts w:ascii="Arial" w:hAnsi="Arial"/>
        </w:rPr>
        <w:t xml:space="preserve">improcedente </w:t>
      </w:r>
      <w:r>
        <w:rPr>
          <w:rFonts w:ascii="Arial" w:hAnsi="Arial"/>
        </w:rPr>
        <w:t>por incumplirse</w:t>
      </w:r>
      <w:r w:rsidRPr="00486763">
        <w:rPr>
          <w:rFonts w:ascii="Arial" w:hAnsi="Arial"/>
        </w:rPr>
        <w:t xml:space="preserve">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es el de subsidiariedad</w:t>
      </w:r>
      <w:r>
        <w:rPr>
          <w:rFonts w:ascii="Arial" w:hAnsi="Arial"/>
        </w:rPr>
        <w:t>, pues aún se encuentra en trámite la acción popular.</w:t>
      </w:r>
    </w:p>
    <w:p w:rsidR="00F260D7" w:rsidRDefault="00F260D7" w:rsidP="00F260D7">
      <w:pPr>
        <w:spacing w:line="360" w:lineRule="auto"/>
        <w:jc w:val="both"/>
        <w:rPr>
          <w:rFonts w:ascii="Arial" w:hAnsi="Arial" w:cs="Arial"/>
          <w:lang w:val="es-ES_tradnl"/>
        </w:rPr>
      </w:pPr>
    </w:p>
    <w:p w:rsidR="00F260D7" w:rsidRDefault="00F260D7" w:rsidP="00F260D7">
      <w:pPr>
        <w:spacing w:line="360" w:lineRule="auto"/>
        <w:ind w:right="51"/>
        <w:jc w:val="both"/>
        <w:rPr>
          <w:rFonts w:ascii="Arial" w:hAnsi="Arial" w:cs="Arial"/>
        </w:rPr>
      </w:pPr>
      <w:r>
        <w:rPr>
          <w:rFonts w:ascii="Arial" w:hAnsi="Arial" w:cs="Arial"/>
        </w:rPr>
        <w:t>Con relación a la entrega de copia física de toda la actuación surtida, se considera que con la orden impartida en el proveído del día 29-01-2016, en el sentido de escanearlas y remitirlas a su correo electrónico, se cumplió dicho pedimento.</w:t>
      </w:r>
    </w:p>
    <w:p w:rsidR="00F260D7" w:rsidRDefault="00F260D7" w:rsidP="00F260D7">
      <w:pPr>
        <w:spacing w:line="360" w:lineRule="auto"/>
        <w:ind w:right="51"/>
        <w:jc w:val="both"/>
        <w:rPr>
          <w:rFonts w:ascii="Arial" w:hAnsi="Arial" w:cs="Arial"/>
        </w:rPr>
      </w:pPr>
    </w:p>
    <w:p w:rsidR="00F260D7" w:rsidRDefault="00F260D7" w:rsidP="00F260D7">
      <w:pPr>
        <w:pStyle w:val="Textoindependiente"/>
        <w:spacing w:line="360" w:lineRule="auto"/>
        <w:rPr>
          <w:rFonts w:ascii="Arial" w:hAnsi="Arial" w:cs="Arial"/>
          <w:spacing w:val="3"/>
        </w:rPr>
      </w:pPr>
      <w:r>
        <w:rPr>
          <w:rFonts w:ascii="Arial" w:hAnsi="Arial" w:cs="Arial"/>
          <w:iCs/>
          <w:color w:val="000000"/>
          <w:lang w:eastAsia="es-CO"/>
        </w:rPr>
        <w:t xml:space="preserve">En lo relativo a la pretensión de adelantar simultáneamente la presente acción frente a la Defensoría del Pueblo de Caldas, hay que precisar, que de los hechos no se advierte conducta que amerite tramitarla, tal como se indicó en el proveído de 29-01-2016 (Folios 4 y 5, ib.). Adicionalmente, la Sala de Casación Civil de la Corte de Suprema de Justicia, </w:t>
      </w:r>
      <w:r>
        <w:rPr>
          <w:rFonts w:ascii="Arial" w:hAnsi="Arial" w:cs="Arial"/>
          <w:spacing w:val="3"/>
        </w:rPr>
        <w:t>contrario a lo referido por el accionante, en reciente decisión (2015)</w:t>
      </w:r>
      <w:r>
        <w:rPr>
          <w:rStyle w:val="Refdenotaalpie"/>
          <w:rFonts w:ascii="Arial" w:hAnsi="Arial"/>
          <w:spacing w:val="3"/>
        </w:rPr>
        <w:footnoteReference w:id="15"/>
      </w:r>
      <w:r>
        <w:rPr>
          <w:rFonts w:ascii="Arial" w:hAnsi="Arial" w:cs="Arial"/>
          <w:spacing w:val="3"/>
        </w:rPr>
        <w:t>, resolvió negativamente esa petición, así:</w:t>
      </w:r>
    </w:p>
    <w:p w:rsidR="00F260D7" w:rsidRDefault="00F260D7" w:rsidP="00F260D7">
      <w:pPr>
        <w:pStyle w:val="Textoindependiente"/>
        <w:spacing w:line="360" w:lineRule="auto"/>
        <w:rPr>
          <w:rFonts w:ascii="Arial" w:hAnsi="Arial" w:cs="Arial"/>
          <w:spacing w:val="3"/>
        </w:rPr>
      </w:pPr>
    </w:p>
    <w:p w:rsidR="00F260D7" w:rsidRDefault="00F260D7" w:rsidP="00F260D7">
      <w:pPr>
        <w:pStyle w:val="Textoindependiente"/>
        <w:spacing w:line="240" w:lineRule="auto"/>
        <w:ind w:left="567" w:right="567"/>
        <w:rPr>
          <w:rFonts w:ascii="Arial" w:hAnsi="Arial" w:cs="Arial"/>
          <w:spacing w:val="3"/>
        </w:rPr>
      </w:pPr>
      <w:r>
        <w:rPr>
          <w:rFonts w:ascii="Arial" w:hAnsi="Arial" w:cs="Arial"/>
          <w:spacing w:val="3"/>
        </w:rPr>
        <w:t xml:space="preserve">5. Una vez más se indica al peticionario que no es la acción de tutela el mecanismo diseñado para exponer sus quejas contra la </w:t>
      </w:r>
      <w:r>
        <w:rPr>
          <w:rFonts w:ascii="Arial" w:hAnsi="Arial" w:cs="Arial"/>
          <w:iCs/>
          <w:color w:val="000000"/>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CB3037" w:rsidRDefault="00CB3037" w:rsidP="00CB3037">
      <w:pPr>
        <w:spacing w:line="360" w:lineRule="auto"/>
        <w:ind w:right="51"/>
        <w:jc w:val="both"/>
        <w:rPr>
          <w:rFonts w:ascii="Arial" w:hAnsi="Arial" w:cs="Arial"/>
        </w:rPr>
      </w:pPr>
    </w:p>
    <w:p w:rsidR="005C4C0F" w:rsidRPr="008B43C6" w:rsidRDefault="005C4C0F" w:rsidP="00EA7B29">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F260D7" w:rsidRPr="00F36F9C" w:rsidRDefault="00F260D7" w:rsidP="00F260D7">
      <w:pPr>
        <w:pStyle w:val="Textoindependiente"/>
        <w:spacing w:line="360" w:lineRule="auto"/>
        <w:ind w:left="400"/>
        <w:rPr>
          <w:rFonts w:ascii="Arial" w:hAnsi="Arial"/>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 xml:space="preserve">(i) </w:t>
      </w:r>
      <w:r w:rsidR="00485D8D">
        <w:rPr>
          <w:rFonts w:ascii="Arial" w:hAnsi="Arial" w:cs="Arial"/>
        </w:rPr>
        <w:t>Se negará la acción constitucional porque es inexistentes el defecto imputado;</w:t>
      </w:r>
      <w:r w:rsidR="00485D8D">
        <w:rPr>
          <w:rFonts w:ascii="Arial" w:hAnsi="Arial" w:cs="Arial"/>
          <w:szCs w:val="24"/>
          <w:lang w:val="es-ES"/>
        </w:rPr>
        <w:t xml:space="preserve"> y, (ii) </w:t>
      </w:r>
      <w:r w:rsidR="00485D8D">
        <w:rPr>
          <w:rFonts w:ascii="Arial" w:hAnsi="Arial" w:cs="Arial"/>
        </w:rPr>
        <w:t>Se denegará respecto a los vinculados</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Pr="009C6329" w:rsidRDefault="00FF5B57" w:rsidP="00FF5B57">
      <w:pPr>
        <w:tabs>
          <w:tab w:val="left" w:pos="-720"/>
        </w:tabs>
        <w:suppressAutoHyphens/>
        <w:spacing w:line="360" w:lineRule="auto"/>
        <w:jc w:val="both"/>
        <w:rPr>
          <w:rFonts w:ascii="Arial" w:hAnsi="Arial" w:cs="Arial"/>
          <w:sz w:val="16"/>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A30437" w:rsidRDefault="00A67757" w:rsidP="00FF5B57">
      <w:pPr>
        <w:pStyle w:val="Textoindependiente"/>
        <w:spacing w:line="360" w:lineRule="auto"/>
        <w:jc w:val="center"/>
        <w:rPr>
          <w:rFonts w:ascii="Arial" w:hAnsi="Arial" w:cs="Arial"/>
          <w:bCs/>
          <w:smallCaps/>
          <w:szCs w:val="24"/>
        </w:rPr>
      </w:pPr>
    </w:p>
    <w:p w:rsidR="00485D8D" w:rsidRPr="009102BF" w:rsidRDefault="00130DD6" w:rsidP="00485D8D">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DECLARAR improcedente la tutela propuesta por haberse incumplido el requisito de subsidiariedad</w:t>
      </w:r>
      <w:r w:rsidR="00485D8D">
        <w:rPr>
          <w:rFonts w:ascii="Arial" w:hAnsi="Arial" w:cs="Arial"/>
          <w:szCs w:val="24"/>
        </w:rPr>
        <w:t>.</w:t>
      </w:r>
    </w:p>
    <w:p w:rsidR="00485D8D" w:rsidRPr="002A7E33" w:rsidRDefault="00485D8D" w:rsidP="00485D8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485D8D" w:rsidRPr="00485D8D" w:rsidRDefault="00485D8D" w:rsidP="00485D8D">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DENEGAR</w:t>
      </w:r>
      <w:r w:rsidRPr="009102BF">
        <w:rPr>
          <w:rFonts w:ascii="Arial" w:hAnsi="Arial" w:cs="Arial"/>
        </w:rPr>
        <w:t xml:space="preserve"> </w:t>
      </w:r>
      <w:r>
        <w:rPr>
          <w:rFonts w:ascii="Arial" w:hAnsi="Arial" w:cs="Arial"/>
          <w:szCs w:val="24"/>
        </w:rPr>
        <w:t>la acción de tutela promovida</w:t>
      </w:r>
      <w:r w:rsidRPr="00485D8D">
        <w:rPr>
          <w:rFonts w:ascii="Arial" w:hAnsi="Arial" w:cs="Arial"/>
          <w:szCs w:val="24"/>
        </w:rPr>
        <w:t xml:space="preserve"> frente a la Defensoría del Pueblo y la Procuraduría General de la Nación, Regionales de Risaralda, y, la Alcaldía y Personería, municipales</w:t>
      </w:r>
      <w:r w:rsidRPr="00485D8D">
        <w:rPr>
          <w:rFonts w:ascii="Arial" w:hAnsi="Arial" w:cs="Arial"/>
          <w:spacing w:val="3"/>
          <w:szCs w:val="24"/>
        </w:rPr>
        <w:t xml:space="preserve"> de Pereira;</w:t>
      </w:r>
      <w:r w:rsidRPr="00485D8D">
        <w:rPr>
          <w:rFonts w:ascii="Arial" w:hAnsi="Arial" w:cs="Arial"/>
          <w:szCs w:val="24"/>
        </w:rPr>
        <w:t xml:space="preserve"> por inexistencia de violación o amenaza a los derechos invocados.</w:t>
      </w:r>
    </w:p>
    <w:p w:rsidR="007657D5" w:rsidRPr="007657D5" w:rsidRDefault="007657D5" w:rsidP="007657D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E606C4" w:rsidRDefault="00626C89" w:rsidP="00FF5B57">
      <w:pPr>
        <w:pStyle w:val="Prrafodelista"/>
        <w:widowControl/>
        <w:autoSpaceDE/>
        <w:autoSpaceDN/>
        <w:adjustRightInd/>
        <w:spacing w:line="360" w:lineRule="auto"/>
        <w:ind w:left="360" w:right="51"/>
        <w:contextualSpacing/>
        <w:jc w:val="both"/>
        <w:rPr>
          <w:rFonts w:ascii="Arial" w:hAnsi="Arial"/>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445605" w:rsidRDefault="00DA569C" w:rsidP="00417DA5">
      <w:pPr>
        <w:pStyle w:val="Textoindependiente"/>
        <w:spacing w:line="360" w:lineRule="auto"/>
        <w:jc w:val="center"/>
        <w:rPr>
          <w:rFonts w:ascii="Arial" w:hAnsi="Arial"/>
          <w:sz w:val="22"/>
          <w:szCs w:val="24"/>
        </w:rPr>
      </w:pPr>
    </w:p>
    <w:p w:rsidR="003E66CE" w:rsidRPr="00445605" w:rsidRDefault="003E66CE" w:rsidP="00417DA5">
      <w:pPr>
        <w:pStyle w:val="Textoindependiente"/>
        <w:spacing w:line="360" w:lineRule="auto"/>
        <w:jc w:val="center"/>
        <w:rPr>
          <w:rFonts w:ascii="Arial" w:hAnsi="Arial"/>
          <w:sz w:val="22"/>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44560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87D22" w:rsidRDefault="00445605" w:rsidP="009C6329">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9C6329">
        <w:rPr>
          <w:rFonts w:ascii="Arial" w:hAnsi="Arial"/>
          <w:w w:val="150"/>
          <w:sz w:val="8"/>
          <w:szCs w:val="10"/>
          <w:lang w:val="en-US"/>
        </w:rPr>
        <w:t>ODCD/2016</w:t>
      </w:r>
    </w:p>
    <w:sectPr w:rsidR="00C87D22"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88D" w:rsidRDefault="0044088D" w:rsidP="0099045D">
      <w:r>
        <w:separator/>
      </w:r>
    </w:p>
  </w:endnote>
  <w:endnote w:type="continuationSeparator" w:id="0">
    <w:p w:rsidR="0044088D" w:rsidRDefault="0044088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88D" w:rsidRDefault="0044088D" w:rsidP="0099045D">
      <w:r>
        <w:separator/>
      </w:r>
    </w:p>
  </w:footnote>
  <w:footnote w:type="continuationSeparator" w:id="0">
    <w:p w:rsidR="0044088D" w:rsidRDefault="0044088D" w:rsidP="0099045D">
      <w:r>
        <w:continuationSeparator/>
      </w:r>
    </w:p>
  </w:footnote>
  <w:footnote w:id="1">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260D7" w:rsidRPr="00567558" w:rsidRDefault="00F260D7" w:rsidP="00F260D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F260D7" w:rsidRPr="005D1B2D" w:rsidRDefault="00F260D7" w:rsidP="00F260D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260D7" w:rsidRPr="00567558" w:rsidRDefault="00F260D7" w:rsidP="00F260D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F260D7" w:rsidRDefault="00F260D7" w:rsidP="00F260D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130DD6" w:rsidRDefault="00130DD6" w:rsidP="00130DD6">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130DD6" w:rsidRPr="00D73B3B" w:rsidRDefault="00130DD6" w:rsidP="00130DD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26-02-2014</w:t>
      </w:r>
      <w:r w:rsidRPr="0088104A">
        <w:rPr>
          <w:rFonts w:asciiTheme="minorHAnsi" w:hAnsiTheme="minorHAnsi" w:cs="Calibri"/>
        </w:rPr>
        <w:t>.</w:t>
      </w:r>
    </w:p>
  </w:footnote>
  <w:footnote w:id="10">
    <w:p w:rsidR="00130DD6" w:rsidRDefault="00130DD6" w:rsidP="00130DD6">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130DD6" w:rsidRDefault="00130DD6" w:rsidP="00130DD6">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130DD6" w:rsidRDefault="00130DD6" w:rsidP="00130DD6">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130DD6" w:rsidRPr="00574D09" w:rsidRDefault="00130DD6" w:rsidP="00130DD6">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130DD6" w:rsidRPr="009434C0" w:rsidRDefault="00130DD6" w:rsidP="00130DD6">
      <w:pPr>
        <w:pStyle w:val="Textonotapie"/>
        <w:jc w:val="both"/>
        <w:rPr>
          <w:rFonts w:ascii="Calibri" w:hAnsi="Calibri"/>
          <w:lang w:val="es-CO"/>
        </w:rPr>
      </w:pPr>
      <w:r w:rsidRPr="009434C0">
        <w:rPr>
          <w:rStyle w:val="Refdenotaalpie"/>
          <w:rFonts w:ascii="Calibri" w:hAnsi="Calibri"/>
        </w:rPr>
        <w:footnoteRef/>
      </w:r>
      <w:r w:rsidRPr="009434C0">
        <w:rPr>
          <w:rFonts w:ascii="Calibri" w:hAnsi="Calibri"/>
        </w:rPr>
        <w:t xml:space="preserve"> </w:t>
      </w:r>
      <w:r w:rsidRPr="009434C0">
        <w:rPr>
          <w:rFonts w:ascii="Calibri" w:hAnsi="Calibri"/>
          <w:lang w:val="es-CO"/>
        </w:rPr>
        <w:t xml:space="preserve">En esta sentencia la Corte Constitucional estableció “(…) </w:t>
      </w:r>
      <w:r w:rsidRPr="009434C0">
        <w:rPr>
          <w:rFonts w:ascii="Calibri" w:hAnsi="Calibri"/>
        </w:rPr>
        <w:t>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5">
    <w:p w:rsidR="00F260D7" w:rsidRDefault="00F260D7" w:rsidP="00F260D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lang w:val="es-CO"/>
        </w:rPr>
        <w:t xml:space="preserve">CORTE SUPREMA DE JUSTICIA. Sala de Casación Civil. Providencia STC16212-2015 del 26-01-2015, MP: Ariel Salazar Ramírez.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44088D">
      <w:rPr>
        <w:rFonts w:ascii="Calibri" w:hAnsi="Calibri" w:cs="Calibri"/>
        <w:i/>
        <w:noProof/>
        <w:sz w:val="20"/>
      </w:rPr>
      <w:t>1</w:t>
    </w:r>
    <w:r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2016-000</w:t>
    </w:r>
    <w:r w:rsidR="007379F8">
      <w:rPr>
        <w:rFonts w:ascii="Calibri" w:hAnsi="Calibri" w:cs="Calibri"/>
        <w:i/>
        <w:sz w:val="20"/>
        <w:szCs w:val="22"/>
      </w:rPr>
      <w:t>54</w:t>
    </w:r>
    <w:r w:rsidR="007949D4">
      <w:rPr>
        <w:rFonts w:ascii="Calibri" w:hAnsi="Calibri" w:cs="Calibri"/>
        <w:i/>
        <w:sz w:val="20"/>
        <w:szCs w:val="22"/>
      </w:rPr>
      <w:t>-00 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9A2"/>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2D"/>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95D"/>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088D"/>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7DC"/>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23F"/>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7C8D"/>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0F7"/>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B7D77"/>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3C5"/>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23F3"/>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23D7"/>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0C45"/>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53E"/>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3AA2-8627-4FAD-8CAE-2900213B0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2253</Words>
  <Characters>12397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8</cp:revision>
  <cp:lastPrinted>2016-02-10T13:55:00Z</cp:lastPrinted>
  <dcterms:created xsi:type="dcterms:W3CDTF">2016-02-10T12:56:00Z</dcterms:created>
  <dcterms:modified xsi:type="dcterms:W3CDTF">2016-05-17T12:52:00Z</dcterms:modified>
</cp:coreProperties>
</file>