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4B" w:rsidRPr="00D7380C" w:rsidRDefault="0080224B" w:rsidP="0080224B">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r w:rsidRPr="00D7380C">
        <w:rPr>
          <w:rFonts w:ascii="Arial" w:hAnsi="Arial" w:cs="Arial"/>
          <w:sz w:val="20"/>
        </w:rPr>
        <w:t xml:space="preserve">SUBSIDIARIEDAD ACCIÓN DE TUTELA/ Solicitud prematura/ Providencia que decida sobre la competencia de las acciones populares, es susceptible de recurso. </w:t>
      </w:r>
    </w:p>
    <w:p w:rsidR="0080224B" w:rsidRPr="00D7380C" w:rsidRDefault="0080224B" w:rsidP="0080224B">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p>
    <w:p w:rsidR="0080224B" w:rsidRPr="00D7380C" w:rsidRDefault="0080224B" w:rsidP="0080224B">
      <w:pPr>
        <w:jc w:val="both"/>
        <w:rPr>
          <w:rFonts w:ascii="Arial" w:hAnsi="Arial" w:cs="Arial"/>
          <w:spacing w:val="-3"/>
          <w:sz w:val="20"/>
          <w:szCs w:val="20"/>
          <w:lang w:val="es-ES_tradnl"/>
        </w:rPr>
      </w:pPr>
      <w:r w:rsidRPr="00D7380C">
        <w:rPr>
          <w:rFonts w:ascii="Arial" w:hAnsi="Arial" w:cs="Arial"/>
          <w:spacing w:val="-3"/>
          <w:sz w:val="20"/>
          <w:szCs w:val="20"/>
          <w:lang w:val="es-ES_tradnl"/>
        </w:rPr>
        <w:t>“(…)</w:t>
      </w:r>
      <w:r w:rsidR="00B65998" w:rsidRPr="00B65998">
        <w:rPr>
          <w:rFonts w:ascii="Arial" w:hAnsi="Arial" w:cs="Arial"/>
          <w:spacing w:val="-3"/>
          <w:sz w:val="20"/>
          <w:szCs w:val="20"/>
          <w:lang w:val="es-ES_tradnl"/>
        </w:rPr>
        <w:t>hay que decir que a estas alturas de las diligencias, las presentes acciones constitucionales se tornan prematuras porque aún se desconoce si los despachos judiciales a los cuales les sean repartidas las acciones populares, asumirán su conocimiento o provocarán el conflicto negativo de competencia, lo que además, no sólo revelará al actor el competente para tramitar sus acciones, sino también, surgirá la oportunidad de recur</w:t>
      </w:r>
      <w:r w:rsidR="00B65998">
        <w:rPr>
          <w:rFonts w:ascii="Arial" w:hAnsi="Arial" w:cs="Arial"/>
          <w:spacing w:val="-3"/>
          <w:sz w:val="20"/>
          <w:szCs w:val="20"/>
          <w:lang w:val="es-ES_tradnl"/>
        </w:rPr>
        <w:t>rir los proveídos que se dicten</w:t>
      </w:r>
      <w:r w:rsidRPr="00D7380C">
        <w:rPr>
          <w:rFonts w:ascii="Arial" w:hAnsi="Arial" w:cs="Arial"/>
          <w:spacing w:val="-3"/>
          <w:sz w:val="20"/>
          <w:szCs w:val="20"/>
          <w:lang w:val="es-ES_tradnl"/>
        </w:rPr>
        <w:t xml:space="preserve">. </w:t>
      </w:r>
    </w:p>
    <w:p w:rsidR="0080224B" w:rsidRPr="00D7380C" w:rsidRDefault="0080224B" w:rsidP="0080224B">
      <w:pPr>
        <w:jc w:val="both"/>
        <w:rPr>
          <w:rFonts w:ascii="Arial" w:hAnsi="Arial" w:cs="Arial"/>
          <w:spacing w:val="-3"/>
          <w:sz w:val="20"/>
          <w:szCs w:val="20"/>
          <w:lang w:val="es-ES_tradnl"/>
        </w:rPr>
      </w:pPr>
    </w:p>
    <w:p w:rsidR="0080224B" w:rsidRPr="00D7380C" w:rsidRDefault="000524E4" w:rsidP="0080224B">
      <w:pPr>
        <w:jc w:val="both"/>
        <w:rPr>
          <w:rFonts w:ascii="Arial" w:hAnsi="Arial" w:cs="Arial"/>
          <w:spacing w:val="-3"/>
          <w:sz w:val="20"/>
          <w:szCs w:val="20"/>
          <w:lang w:val="es-ES_tradnl"/>
        </w:rPr>
      </w:pPr>
      <w:r w:rsidRPr="000524E4">
        <w:rPr>
          <w:rFonts w:ascii="Arial" w:hAnsi="Arial" w:cs="Arial"/>
          <w:spacing w:val="-3"/>
          <w:sz w:val="20"/>
          <w:szCs w:val="20"/>
          <w:lang w:val="es-ES_tradnl"/>
        </w:rPr>
        <w:t xml:space="preserve">Evidente, entonces, es la falta de agotamiento del </w:t>
      </w:r>
      <w:r w:rsidR="00A53955">
        <w:rPr>
          <w:rFonts w:ascii="Arial" w:hAnsi="Arial" w:cs="Arial"/>
          <w:spacing w:val="-3"/>
          <w:sz w:val="20"/>
          <w:szCs w:val="20"/>
          <w:lang w:val="es-ES_tradnl"/>
        </w:rPr>
        <w:t>supuesto de subsidiariedad (…)</w:t>
      </w:r>
      <w:r w:rsidRPr="000524E4">
        <w:rPr>
          <w:rFonts w:ascii="Arial" w:hAnsi="Arial" w:cs="Arial"/>
          <w:spacing w:val="-3"/>
          <w:sz w:val="20"/>
          <w:szCs w:val="20"/>
          <w:lang w:val="es-ES_tradnl"/>
        </w:rPr>
        <w:t xml:space="preserve"> la acción de tutela no pude implementarse como medio para sustituir los mecanismos ordinarios de defensa, cuando por negligencia, descuido o incuria no fueron utilizados</w:t>
      </w:r>
      <w:r w:rsidR="0080224B" w:rsidRPr="00D7380C">
        <w:rPr>
          <w:rFonts w:ascii="Arial" w:hAnsi="Arial" w:cs="Arial"/>
          <w:spacing w:val="-3"/>
          <w:sz w:val="20"/>
          <w:szCs w:val="20"/>
          <w:lang w:val="es-ES_tradnl"/>
        </w:rPr>
        <w:t>(…).”</w:t>
      </w:r>
    </w:p>
    <w:p w:rsidR="0080224B" w:rsidRPr="00D7380C" w:rsidRDefault="0080224B" w:rsidP="0080224B">
      <w:pPr>
        <w:jc w:val="both"/>
        <w:rPr>
          <w:rFonts w:ascii="Arial" w:hAnsi="Arial"/>
          <w:sz w:val="20"/>
          <w:szCs w:val="20"/>
        </w:rPr>
      </w:pPr>
    </w:p>
    <w:p w:rsidR="0080224B" w:rsidRPr="00D7380C" w:rsidRDefault="0080224B" w:rsidP="0080224B">
      <w:pPr>
        <w:jc w:val="both"/>
        <w:rPr>
          <w:rFonts w:ascii="Arial" w:hAnsi="Arial" w:cs="Arial"/>
          <w:sz w:val="20"/>
          <w:szCs w:val="20"/>
        </w:rPr>
      </w:pPr>
      <w:r w:rsidRPr="00D7380C">
        <w:rPr>
          <w:rFonts w:ascii="Arial" w:hAnsi="Arial" w:cs="Arial"/>
          <w:sz w:val="20"/>
          <w:szCs w:val="20"/>
        </w:rPr>
        <w:t>ACCIÓN DE TUTELA/ No es un medio para elevar quejas aisladas o sin fundamento.</w:t>
      </w:r>
    </w:p>
    <w:p w:rsidR="0080224B" w:rsidRPr="00D7380C" w:rsidRDefault="0080224B" w:rsidP="0080224B">
      <w:pPr>
        <w:jc w:val="both"/>
        <w:rPr>
          <w:rFonts w:ascii="Arial" w:hAnsi="Arial" w:cs="Arial"/>
          <w:sz w:val="20"/>
          <w:szCs w:val="20"/>
        </w:rPr>
      </w:pPr>
    </w:p>
    <w:p w:rsidR="0080224B" w:rsidRPr="00D7380C" w:rsidRDefault="0080224B" w:rsidP="0080224B">
      <w:pPr>
        <w:pStyle w:val="Textoindependiente"/>
        <w:spacing w:line="240" w:lineRule="auto"/>
        <w:rPr>
          <w:rFonts w:ascii="Arial" w:hAnsi="Arial" w:cs="Arial"/>
          <w:spacing w:val="3"/>
          <w:sz w:val="20"/>
        </w:rPr>
      </w:pPr>
      <w:r w:rsidRPr="00D7380C">
        <w:rPr>
          <w:rFonts w:ascii="Arial" w:hAnsi="Arial" w:cs="Arial"/>
          <w:iCs/>
          <w:sz w:val="20"/>
          <w:lang w:eastAsia="es-CO"/>
        </w:rPr>
        <w:t>“</w:t>
      </w:r>
      <w:r w:rsidR="005E5B7B" w:rsidRPr="005E5B7B">
        <w:rPr>
          <w:rFonts w:ascii="Arial" w:hAnsi="Arial" w:cs="Arial"/>
          <w:iCs/>
          <w:sz w:val="20"/>
          <w:lang w:eastAsia="es-CO"/>
        </w:rPr>
        <w:t xml:space="preserve">En lo relativo a la pretensión de adelantar simultáneamente la presente acción frente a la Defensoría del Pueblo de Manizales, hay que precisar, que de los hechos no se advierte conducta que amerite tramitarla </w:t>
      </w:r>
      <w:r w:rsidRPr="00D7380C">
        <w:rPr>
          <w:rFonts w:ascii="Arial" w:hAnsi="Arial" w:cs="Arial"/>
          <w:iCs/>
          <w:sz w:val="20"/>
          <w:lang w:eastAsia="es-CO"/>
        </w:rPr>
        <w:t>(…)”</w:t>
      </w:r>
    </w:p>
    <w:p w:rsidR="0080224B" w:rsidRPr="00D7380C" w:rsidRDefault="0080224B" w:rsidP="0080224B">
      <w:pPr>
        <w:pStyle w:val="Textoindependiente"/>
        <w:tabs>
          <w:tab w:val="clear" w:pos="0"/>
        </w:tabs>
        <w:suppressAutoHyphens w:val="0"/>
        <w:overflowPunct/>
        <w:autoSpaceDE/>
        <w:adjustRightInd/>
        <w:spacing w:line="240" w:lineRule="auto"/>
        <w:rPr>
          <w:rFonts w:ascii="Arial" w:hAnsi="Arial" w:cs="Arial"/>
          <w:szCs w:val="24"/>
          <w:lang w:val="es-ES"/>
        </w:rPr>
      </w:pPr>
    </w:p>
    <w:p w:rsidR="0080224B" w:rsidRDefault="0080224B" w:rsidP="0080224B">
      <w:pPr>
        <w:jc w:val="both"/>
        <w:rPr>
          <w:rFonts w:ascii="Arial" w:hAnsi="Arial" w:cs="Arial"/>
          <w:spacing w:val="-10"/>
          <w:sz w:val="17"/>
          <w:szCs w:val="17"/>
          <w:lang w:val="es-CO"/>
        </w:rPr>
      </w:pPr>
      <w:r w:rsidRPr="00D7380C">
        <w:rPr>
          <w:rFonts w:ascii="Arial" w:hAnsi="Arial" w:cs="Arial"/>
          <w:bCs/>
          <w:iCs/>
          <w:spacing w:val="-10"/>
          <w:sz w:val="17"/>
          <w:szCs w:val="17"/>
          <w:lang w:val="es-CO"/>
        </w:rPr>
        <w:t xml:space="preserve">Citas: </w:t>
      </w:r>
      <w:r w:rsidRPr="00D7380C">
        <w:rPr>
          <w:rFonts w:ascii="Arial" w:hAnsi="Arial" w:cs="Arial"/>
          <w:spacing w:val="-10"/>
          <w:sz w:val="17"/>
          <w:szCs w:val="17"/>
          <w:lang w:val="es-CO"/>
        </w:rPr>
        <w:t>Corte Constitucional, sentencias T-134 de 1994, T-567 de 1998,</w:t>
      </w:r>
      <w:r w:rsidRPr="00D7380C">
        <w:rPr>
          <w:rFonts w:ascii="Arial" w:hAnsi="Arial" w:cs="Arial"/>
          <w:i/>
          <w:spacing w:val="-10"/>
          <w:sz w:val="17"/>
          <w:szCs w:val="17"/>
          <w:lang w:val="es-CO"/>
        </w:rPr>
        <w:t xml:space="preserve"> </w:t>
      </w:r>
      <w:r w:rsidRPr="00D7380C">
        <w:rPr>
          <w:rFonts w:ascii="Arial" w:hAnsi="Arial" w:cs="Arial"/>
          <w:spacing w:val="-10"/>
          <w:sz w:val="17"/>
          <w:szCs w:val="17"/>
          <w:lang w:val="es-CO"/>
        </w:rPr>
        <w:t>C-590 de 2005, T-429, T-717</w:t>
      </w:r>
      <w:r w:rsidRPr="00D7380C">
        <w:rPr>
          <w:rFonts w:ascii="Arial" w:hAnsi="Arial" w:cs="Arial"/>
          <w:i/>
          <w:spacing w:val="-10"/>
          <w:sz w:val="17"/>
          <w:szCs w:val="17"/>
          <w:lang w:val="es-CO"/>
        </w:rPr>
        <w:t xml:space="preserve"> </w:t>
      </w:r>
      <w:r w:rsidRPr="00D7380C">
        <w:rPr>
          <w:rFonts w:ascii="Arial" w:hAnsi="Arial" w:cs="Arial"/>
          <w:sz w:val="17"/>
          <w:szCs w:val="17"/>
        </w:rPr>
        <w:t xml:space="preserve">y </w:t>
      </w:r>
      <w:r w:rsidRPr="00D7380C">
        <w:rPr>
          <w:rFonts w:ascii="Arial" w:hAnsi="Arial" w:cs="Arial"/>
          <w:spacing w:val="-10"/>
          <w:sz w:val="17"/>
          <w:szCs w:val="17"/>
          <w:lang w:val="es-CO"/>
        </w:rPr>
        <w:t>T-917 de 2011,</w:t>
      </w:r>
      <w:r w:rsidRPr="00D7380C">
        <w:rPr>
          <w:rFonts w:ascii="Arial" w:hAnsi="Arial" w:cs="Arial"/>
          <w:i/>
          <w:spacing w:val="-10"/>
          <w:sz w:val="17"/>
          <w:szCs w:val="17"/>
          <w:lang w:val="es-CO"/>
        </w:rPr>
        <w:t xml:space="preserve"> </w:t>
      </w:r>
      <w:r w:rsidRPr="00D7380C">
        <w:rPr>
          <w:rFonts w:ascii="Arial" w:hAnsi="Arial" w:cs="Arial"/>
          <w:spacing w:val="-10"/>
          <w:sz w:val="17"/>
          <w:szCs w:val="17"/>
          <w:lang w:val="es-CO"/>
        </w:rPr>
        <w:t>T-662 de 2013,</w:t>
      </w:r>
      <w:r w:rsidRPr="00D7380C">
        <w:rPr>
          <w:rFonts w:ascii="Arial" w:hAnsi="Arial" w:cs="Arial"/>
          <w:i/>
          <w:spacing w:val="-10"/>
          <w:sz w:val="17"/>
          <w:szCs w:val="17"/>
          <w:lang w:val="es-CO"/>
        </w:rPr>
        <w:t xml:space="preserve"> </w:t>
      </w:r>
      <w:r w:rsidRPr="00D7380C">
        <w:rPr>
          <w:rFonts w:ascii="Arial" w:hAnsi="Arial" w:cs="Arial"/>
          <w:spacing w:val="-10"/>
          <w:sz w:val="17"/>
          <w:szCs w:val="17"/>
          <w:lang w:val="es-CO"/>
        </w:rPr>
        <w:t>T-103 de 2014,</w:t>
      </w:r>
      <w:r w:rsidRPr="00D7380C">
        <w:rPr>
          <w:rFonts w:ascii="Arial" w:hAnsi="Arial" w:cs="Arial"/>
          <w:i/>
          <w:spacing w:val="-10"/>
          <w:sz w:val="17"/>
          <w:szCs w:val="17"/>
          <w:lang w:val="es-CO"/>
        </w:rPr>
        <w:t xml:space="preserve"> </w:t>
      </w:r>
      <w:r w:rsidRPr="00D7380C">
        <w:rPr>
          <w:rFonts w:ascii="Arial" w:hAnsi="Arial" w:cs="Arial"/>
          <w:spacing w:val="-10"/>
          <w:sz w:val="17"/>
          <w:szCs w:val="17"/>
          <w:lang w:val="es-CO"/>
        </w:rPr>
        <w:t>T-064 y T-307 de 2015; Corte Suprema de Justicia. Sala Civil, providencias del 2 de septiembre de 2014 –rad. 23001-22-14-000-2014-00097-01-, del 21 de mayo 2015 -rad. 6600122-13-000-2015-00081-01- y del 26 de noviembre de 2015 -rad. 66001-22-13-000-2015-00749-01-; doctrina: BOTERO MARINO, Catalina. “La acción de tutela en el ordenamiento constitucional colombiano”, Escuela Judicial Rodrigo Lara Bonilla, Ediprime Ltda., Bogotá D.C., 2006.</w:t>
      </w:r>
      <w:r w:rsidRPr="00D7380C">
        <w:rPr>
          <w:rFonts w:ascii="Arial" w:hAnsi="Arial" w:cs="Arial"/>
          <w:i/>
          <w:spacing w:val="-10"/>
          <w:sz w:val="17"/>
          <w:szCs w:val="17"/>
          <w:lang w:val="es-CO"/>
        </w:rPr>
        <w:t xml:space="preserve"> </w:t>
      </w:r>
      <w:r w:rsidRPr="00D7380C">
        <w:rPr>
          <w:rFonts w:ascii="Arial" w:hAnsi="Arial" w:cs="Arial"/>
          <w:spacing w:val="-10"/>
          <w:sz w:val="17"/>
          <w:szCs w:val="17"/>
          <w:lang w:val="es-CO"/>
        </w:rPr>
        <w:t>QUINCHE RAMÍREZ, Manuel Fernando. “Vías de hecho, acción de tutela contra providencias”, Editorial Temis S.A., Bogotá D.C., 2013.</w:t>
      </w:r>
    </w:p>
    <w:p w:rsidR="004F2E86" w:rsidRDefault="004F2E86" w:rsidP="0080224B">
      <w:pPr>
        <w:jc w:val="both"/>
        <w:rPr>
          <w:rFonts w:ascii="Arial" w:hAnsi="Arial" w:cs="Arial"/>
          <w:spacing w:val="-10"/>
          <w:sz w:val="17"/>
          <w:szCs w:val="17"/>
          <w:lang w:val="es-CO"/>
        </w:rPr>
      </w:pPr>
    </w:p>
    <w:p w:rsidR="00253881" w:rsidRDefault="00253881" w:rsidP="002403C8">
      <w:pPr>
        <w:pStyle w:val="Sinespaciado"/>
        <w:tabs>
          <w:tab w:val="left" w:pos="3579"/>
        </w:tabs>
        <w:spacing w:line="360" w:lineRule="auto"/>
        <w:jc w:val="center"/>
        <w:rPr>
          <w:rFonts w:ascii="Arial" w:hAnsi="Arial" w:cs="Arial"/>
          <w:w w:val="140"/>
          <w:sz w:val="14"/>
        </w:rPr>
      </w:pPr>
      <w:bookmarkStart w:id="0" w:name="_GoBack"/>
      <w:bookmarkEnd w:id="0"/>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154A50">
        <w:rPr>
          <w:rFonts w:ascii="Arial" w:hAnsi="Arial" w:cs="Arial"/>
          <w:sz w:val="22"/>
        </w:rPr>
        <w:t xml:space="preserve">Cuarto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154A50">
        <w:rPr>
          <w:rFonts w:ascii="Arial" w:hAnsi="Arial" w:cs="Arial"/>
          <w:sz w:val="22"/>
        </w:rPr>
        <w:t>00098</w:t>
      </w:r>
      <w:r w:rsidR="007949D4">
        <w:rPr>
          <w:rFonts w:ascii="Arial" w:hAnsi="Arial" w:cs="Arial"/>
          <w:sz w:val="22"/>
        </w:rPr>
        <w:t xml:space="preserve">-00 </w:t>
      </w:r>
      <w:r w:rsidRPr="00A00766">
        <w:rPr>
          <w:rFonts w:ascii="Arial" w:hAnsi="Arial" w:cs="Arial"/>
          <w:sz w:val="22"/>
        </w:rPr>
        <w:t>(Interno No.</w:t>
      </w:r>
      <w:r w:rsidR="00154A50">
        <w:rPr>
          <w:rFonts w:ascii="Arial" w:hAnsi="Arial" w:cs="Arial"/>
          <w:sz w:val="22"/>
        </w:rPr>
        <w:t>98</w:t>
      </w:r>
      <w:r w:rsidRPr="00A00766">
        <w:rPr>
          <w:rFonts w:ascii="Arial" w:hAnsi="Arial" w:cs="Arial"/>
          <w:sz w:val="22"/>
        </w:rPr>
        <w:t xml:space="preserve">) </w:t>
      </w:r>
      <w:r w:rsidR="00152300">
        <w:rPr>
          <w:rFonts w:ascii="Arial" w:hAnsi="Arial" w:cs="Arial"/>
          <w:sz w:val="22"/>
        </w:rPr>
        <w:t xml:space="preserve">y otras </w:t>
      </w:r>
      <w:r w:rsidR="00154A50">
        <w:rPr>
          <w:rFonts w:ascii="Arial" w:hAnsi="Arial" w:cs="Arial"/>
          <w:sz w:val="22"/>
        </w:rPr>
        <w:t xml:space="preserve">7 </w:t>
      </w:r>
      <w:r w:rsidR="00152300">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3A69C1">
        <w:rPr>
          <w:rFonts w:ascii="Arial" w:hAnsi="Arial" w:cs="Arial"/>
          <w:sz w:val="22"/>
          <w:szCs w:val="22"/>
        </w:rPr>
        <w:t>Subsidiari</w:t>
      </w:r>
      <w:r w:rsidR="00B45A48">
        <w:rPr>
          <w:rFonts w:ascii="Arial" w:hAnsi="Arial" w:cs="Arial"/>
          <w:sz w:val="22"/>
          <w:szCs w:val="22"/>
        </w:rPr>
        <w:t>e</w:t>
      </w:r>
      <w:r w:rsidR="003A69C1">
        <w:rPr>
          <w:rFonts w:ascii="Arial" w:hAnsi="Arial" w:cs="Arial"/>
          <w:sz w:val="22"/>
          <w:szCs w:val="22"/>
        </w:rPr>
        <w:t>dad – Procesos en trámite – Sin recurrir</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DC243B">
        <w:rPr>
          <w:rFonts w:ascii="Arial" w:hAnsi="Arial"/>
          <w:sz w:val="22"/>
          <w:szCs w:val="22"/>
        </w:rPr>
        <w:t>71 de 16-02-2016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DC243B">
        <w:rPr>
          <w:rFonts w:ascii="Arial" w:hAnsi="Arial" w:cs="Arial"/>
          <w:iCs/>
          <w:smallCaps/>
          <w:szCs w:val="28"/>
          <w:lang w:val="es-CO"/>
        </w:rPr>
        <w:t xml:space="preserve">dieciséis </w:t>
      </w:r>
      <w:r w:rsidR="00437198">
        <w:rPr>
          <w:rFonts w:ascii="Arial" w:hAnsi="Arial" w:cs="Arial"/>
          <w:iCs/>
          <w:smallCaps/>
          <w:szCs w:val="28"/>
          <w:lang w:val="es-CO"/>
        </w:rPr>
        <w:t>(</w:t>
      </w:r>
      <w:r w:rsidR="00DC243B">
        <w:rPr>
          <w:rFonts w:ascii="Arial" w:hAnsi="Arial" w:cs="Arial"/>
          <w:iCs/>
          <w:smallCaps/>
          <w:szCs w:val="28"/>
          <w:lang w:val="es-CO"/>
        </w:rPr>
        <w:t>16</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949D4">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que a continuación se enlistan</w:t>
      </w:r>
      <w:r w:rsidRPr="00F9418E">
        <w:rPr>
          <w:rFonts w:ascii="Arial" w:hAnsi="Arial"/>
          <w:szCs w:val="24"/>
        </w:rPr>
        <w:t xml:space="preserve">, </w:t>
      </w:r>
      <w:r>
        <w:rPr>
          <w:rFonts w:ascii="Arial" w:hAnsi="Arial"/>
          <w:szCs w:val="24"/>
        </w:rPr>
        <w:t xml:space="preserve">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152300" w:rsidRDefault="00152300" w:rsidP="00152300">
      <w:pPr>
        <w:pStyle w:val="Textoindependiente"/>
        <w:spacing w:line="360" w:lineRule="auto"/>
        <w:rPr>
          <w:rFonts w:ascii="Arial" w:hAnsi="Arial"/>
          <w:szCs w:val="24"/>
        </w:rPr>
      </w:pPr>
    </w:p>
    <w:tbl>
      <w:tblPr>
        <w:tblW w:w="9674" w:type="dxa"/>
        <w:tblInd w:w="-50" w:type="dxa"/>
        <w:tblCellMar>
          <w:left w:w="70" w:type="dxa"/>
          <w:right w:w="70" w:type="dxa"/>
        </w:tblCellMar>
        <w:tblLook w:val="04A0" w:firstRow="1" w:lastRow="0" w:firstColumn="1" w:lastColumn="0" w:noHBand="0" w:noVBand="1"/>
      </w:tblPr>
      <w:tblGrid>
        <w:gridCol w:w="364"/>
        <w:gridCol w:w="1536"/>
        <w:gridCol w:w="364"/>
        <w:gridCol w:w="1538"/>
        <w:gridCol w:w="364"/>
        <w:gridCol w:w="1595"/>
        <w:gridCol w:w="364"/>
        <w:gridCol w:w="1576"/>
        <w:gridCol w:w="364"/>
        <w:gridCol w:w="1609"/>
      </w:tblGrid>
      <w:tr w:rsidR="00152300" w:rsidRPr="007A1EBA" w:rsidTr="004603C3">
        <w:trPr>
          <w:trHeight w:val="300"/>
        </w:trPr>
        <w:tc>
          <w:tcPr>
            <w:tcW w:w="967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300" w:rsidRPr="007A1EBA" w:rsidRDefault="00152300" w:rsidP="004603C3">
            <w:pPr>
              <w:jc w:val="center"/>
              <w:rPr>
                <w:rFonts w:ascii="Calibri" w:hAnsi="Calibri"/>
                <w:color w:val="000000"/>
                <w:sz w:val="22"/>
                <w:szCs w:val="22"/>
              </w:rPr>
            </w:pPr>
            <w:r w:rsidRPr="007A1EBA">
              <w:rPr>
                <w:rFonts w:ascii="Calibri" w:hAnsi="Calibri"/>
                <w:color w:val="000000"/>
                <w:sz w:val="22"/>
                <w:szCs w:val="22"/>
              </w:rPr>
              <w:lastRenderedPageBreak/>
              <w:t>Acciones de tutela radicadas</w:t>
            </w:r>
          </w:p>
        </w:tc>
      </w:tr>
      <w:tr w:rsidR="00152300" w:rsidRPr="007A1EBA" w:rsidTr="004603C3">
        <w:trPr>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1</w:t>
            </w:r>
          </w:p>
        </w:tc>
        <w:tc>
          <w:tcPr>
            <w:tcW w:w="1536"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154A50">
            <w:pPr>
              <w:rPr>
                <w:rFonts w:ascii="Calibri" w:hAnsi="Calibri"/>
                <w:color w:val="000000"/>
                <w:sz w:val="22"/>
                <w:szCs w:val="22"/>
              </w:rPr>
            </w:pPr>
            <w:r>
              <w:rPr>
                <w:rFonts w:ascii="Calibri" w:hAnsi="Calibri"/>
                <w:color w:val="000000"/>
                <w:sz w:val="22"/>
                <w:szCs w:val="22"/>
              </w:rPr>
              <w:t>2016-</w:t>
            </w:r>
            <w:r w:rsidR="00154A50">
              <w:rPr>
                <w:rFonts w:ascii="Calibri" w:hAnsi="Calibri"/>
                <w:color w:val="000000"/>
                <w:sz w:val="22"/>
                <w:szCs w:val="22"/>
              </w:rPr>
              <w:t>00098</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2</w:t>
            </w:r>
          </w:p>
        </w:tc>
        <w:tc>
          <w:tcPr>
            <w:tcW w:w="1538"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154A50">
            <w:pPr>
              <w:rPr>
                <w:rFonts w:ascii="Calibri" w:hAnsi="Calibri"/>
                <w:color w:val="000000"/>
                <w:sz w:val="22"/>
                <w:szCs w:val="22"/>
              </w:rPr>
            </w:pPr>
            <w:r>
              <w:rPr>
                <w:rFonts w:ascii="Calibri" w:hAnsi="Calibri"/>
                <w:color w:val="000000"/>
                <w:sz w:val="22"/>
                <w:szCs w:val="22"/>
              </w:rPr>
              <w:t>2016-</w:t>
            </w:r>
            <w:r w:rsidR="00154A50">
              <w:rPr>
                <w:rFonts w:ascii="Calibri" w:hAnsi="Calibri"/>
                <w:color w:val="000000"/>
                <w:sz w:val="22"/>
                <w:szCs w:val="22"/>
              </w:rPr>
              <w:t>00102</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3</w:t>
            </w:r>
          </w:p>
        </w:tc>
        <w:tc>
          <w:tcPr>
            <w:tcW w:w="1595"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154A50">
            <w:pPr>
              <w:rPr>
                <w:rFonts w:ascii="Calibri" w:hAnsi="Calibri"/>
                <w:color w:val="000000"/>
                <w:sz w:val="22"/>
                <w:szCs w:val="22"/>
              </w:rPr>
            </w:pPr>
            <w:r>
              <w:rPr>
                <w:rFonts w:ascii="Calibri" w:hAnsi="Calibri"/>
                <w:color w:val="000000"/>
                <w:sz w:val="22"/>
                <w:szCs w:val="22"/>
              </w:rPr>
              <w:t>2016-</w:t>
            </w:r>
            <w:r w:rsidR="00154A50">
              <w:rPr>
                <w:rFonts w:ascii="Calibri" w:hAnsi="Calibri"/>
                <w:color w:val="000000"/>
                <w:sz w:val="22"/>
                <w:szCs w:val="22"/>
              </w:rPr>
              <w:t>00105</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4</w:t>
            </w:r>
          </w:p>
        </w:tc>
        <w:tc>
          <w:tcPr>
            <w:tcW w:w="1576"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154A50">
            <w:pPr>
              <w:rPr>
                <w:rFonts w:ascii="Calibri" w:hAnsi="Calibri"/>
                <w:color w:val="000000"/>
                <w:sz w:val="22"/>
                <w:szCs w:val="22"/>
              </w:rPr>
            </w:pPr>
            <w:r>
              <w:rPr>
                <w:rFonts w:ascii="Calibri" w:hAnsi="Calibri"/>
                <w:color w:val="000000"/>
                <w:sz w:val="22"/>
                <w:szCs w:val="22"/>
              </w:rPr>
              <w:t>2016-</w:t>
            </w:r>
            <w:r w:rsidR="00154A50">
              <w:rPr>
                <w:rFonts w:ascii="Calibri" w:hAnsi="Calibri"/>
                <w:color w:val="000000"/>
                <w:sz w:val="22"/>
                <w:szCs w:val="22"/>
              </w:rPr>
              <w:t>00117</w:t>
            </w:r>
            <w:r>
              <w:rPr>
                <w:rFonts w:ascii="Calibri" w:hAnsi="Calibri"/>
                <w:color w:val="000000"/>
                <w:sz w:val="22"/>
                <w:szCs w:val="22"/>
              </w:rPr>
              <w:t>-</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5</w:t>
            </w:r>
          </w:p>
        </w:tc>
        <w:tc>
          <w:tcPr>
            <w:tcW w:w="1609"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154A50">
            <w:pPr>
              <w:rPr>
                <w:rFonts w:ascii="Calibri" w:hAnsi="Calibri"/>
                <w:color w:val="000000"/>
                <w:sz w:val="22"/>
                <w:szCs w:val="22"/>
              </w:rPr>
            </w:pPr>
            <w:r>
              <w:rPr>
                <w:rFonts w:ascii="Calibri" w:hAnsi="Calibri"/>
                <w:color w:val="000000"/>
                <w:sz w:val="22"/>
                <w:szCs w:val="22"/>
              </w:rPr>
              <w:t>2016-</w:t>
            </w:r>
            <w:r w:rsidR="00154A50">
              <w:rPr>
                <w:rFonts w:ascii="Calibri" w:hAnsi="Calibri"/>
                <w:color w:val="000000"/>
                <w:sz w:val="22"/>
                <w:szCs w:val="22"/>
              </w:rPr>
              <w:t>00120</w:t>
            </w:r>
            <w:r>
              <w:rPr>
                <w:rFonts w:ascii="Calibri" w:hAnsi="Calibri"/>
                <w:color w:val="000000"/>
                <w:sz w:val="22"/>
                <w:szCs w:val="22"/>
              </w:rPr>
              <w:t>-00</w:t>
            </w:r>
          </w:p>
        </w:tc>
      </w:tr>
      <w:tr w:rsidR="00154A50" w:rsidRPr="007A1EBA" w:rsidTr="004603C3">
        <w:trPr>
          <w:gridAfter w:val="4"/>
          <w:wAfter w:w="3913" w:type="dxa"/>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154A50" w:rsidRPr="007A1EBA" w:rsidRDefault="00154A50" w:rsidP="004603C3">
            <w:pPr>
              <w:jc w:val="right"/>
              <w:rPr>
                <w:rFonts w:ascii="Calibri" w:hAnsi="Calibri"/>
                <w:color w:val="000000"/>
                <w:sz w:val="22"/>
                <w:szCs w:val="22"/>
              </w:rPr>
            </w:pPr>
            <w:r w:rsidRPr="007A1EBA">
              <w:rPr>
                <w:rFonts w:ascii="Calibri" w:hAnsi="Calibri"/>
                <w:color w:val="000000"/>
                <w:sz w:val="22"/>
                <w:szCs w:val="22"/>
              </w:rPr>
              <w:t>6</w:t>
            </w:r>
          </w:p>
        </w:tc>
        <w:tc>
          <w:tcPr>
            <w:tcW w:w="1536" w:type="dxa"/>
            <w:tcBorders>
              <w:top w:val="nil"/>
              <w:left w:val="nil"/>
              <w:bottom w:val="single" w:sz="4" w:space="0" w:color="auto"/>
              <w:right w:val="single" w:sz="4" w:space="0" w:color="auto"/>
            </w:tcBorders>
            <w:shd w:val="clear" w:color="auto" w:fill="auto"/>
            <w:noWrap/>
            <w:vAlign w:val="bottom"/>
            <w:hideMark/>
          </w:tcPr>
          <w:p w:rsidR="00154A50" w:rsidRPr="007A1EBA" w:rsidRDefault="00154A50" w:rsidP="00154A50">
            <w:pPr>
              <w:rPr>
                <w:rFonts w:ascii="Calibri" w:hAnsi="Calibri"/>
                <w:color w:val="000000"/>
                <w:sz w:val="22"/>
                <w:szCs w:val="22"/>
              </w:rPr>
            </w:pPr>
            <w:r>
              <w:rPr>
                <w:rFonts w:ascii="Calibri" w:hAnsi="Calibri"/>
                <w:color w:val="000000"/>
                <w:sz w:val="22"/>
                <w:szCs w:val="22"/>
              </w:rPr>
              <w:t>2016-00125-00</w:t>
            </w:r>
          </w:p>
        </w:tc>
        <w:tc>
          <w:tcPr>
            <w:tcW w:w="364" w:type="dxa"/>
            <w:tcBorders>
              <w:top w:val="nil"/>
              <w:left w:val="nil"/>
              <w:bottom w:val="single" w:sz="4" w:space="0" w:color="auto"/>
              <w:right w:val="single" w:sz="4" w:space="0" w:color="auto"/>
            </w:tcBorders>
            <w:shd w:val="clear" w:color="000000" w:fill="BFBFBF"/>
            <w:noWrap/>
            <w:vAlign w:val="bottom"/>
            <w:hideMark/>
          </w:tcPr>
          <w:p w:rsidR="00154A50" w:rsidRPr="007A1EBA" w:rsidRDefault="00154A50" w:rsidP="004603C3">
            <w:pPr>
              <w:jc w:val="right"/>
              <w:rPr>
                <w:rFonts w:ascii="Calibri" w:hAnsi="Calibri"/>
                <w:color w:val="000000"/>
                <w:sz w:val="22"/>
                <w:szCs w:val="22"/>
              </w:rPr>
            </w:pPr>
            <w:r w:rsidRPr="007A1EBA">
              <w:rPr>
                <w:rFonts w:ascii="Calibri" w:hAnsi="Calibri"/>
                <w:color w:val="000000"/>
                <w:sz w:val="22"/>
                <w:szCs w:val="22"/>
              </w:rPr>
              <w:t>7</w:t>
            </w:r>
          </w:p>
        </w:tc>
        <w:tc>
          <w:tcPr>
            <w:tcW w:w="1538" w:type="dxa"/>
            <w:tcBorders>
              <w:top w:val="nil"/>
              <w:left w:val="nil"/>
              <w:bottom w:val="single" w:sz="4" w:space="0" w:color="auto"/>
              <w:right w:val="single" w:sz="4" w:space="0" w:color="auto"/>
            </w:tcBorders>
            <w:shd w:val="clear" w:color="auto" w:fill="auto"/>
            <w:noWrap/>
            <w:vAlign w:val="bottom"/>
            <w:hideMark/>
          </w:tcPr>
          <w:p w:rsidR="00154A50" w:rsidRPr="007A1EBA" w:rsidRDefault="00154A50" w:rsidP="00154A50">
            <w:pPr>
              <w:rPr>
                <w:rFonts w:ascii="Calibri" w:hAnsi="Calibri"/>
                <w:color w:val="000000"/>
                <w:sz w:val="22"/>
                <w:szCs w:val="22"/>
              </w:rPr>
            </w:pPr>
            <w:r>
              <w:rPr>
                <w:rFonts w:ascii="Calibri" w:hAnsi="Calibri"/>
                <w:color w:val="000000"/>
                <w:sz w:val="22"/>
                <w:szCs w:val="22"/>
              </w:rPr>
              <w:t>2016-00129-00</w:t>
            </w:r>
          </w:p>
        </w:tc>
        <w:tc>
          <w:tcPr>
            <w:tcW w:w="364" w:type="dxa"/>
            <w:tcBorders>
              <w:top w:val="nil"/>
              <w:left w:val="nil"/>
              <w:bottom w:val="single" w:sz="4" w:space="0" w:color="auto"/>
              <w:right w:val="single" w:sz="4" w:space="0" w:color="auto"/>
            </w:tcBorders>
            <w:shd w:val="clear" w:color="000000" w:fill="BFBFBF"/>
            <w:noWrap/>
            <w:vAlign w:val="bottom"/>
            <w:hideMark/>
          </w:tcPr>
          <w:p w:rsidR="00154A50" w:rsidRPr="007A1EBA" w:rsidRDefault="00154A50" w:rsidP="004603C3">
            <w:pPr>
              <w:jc w:val="right"/>
              <w:rPr>
                <w:rFonts w:ascii="Calibri" w:hAnsi="Calibri"/>
                <w:color w:val="000000"/>
                <w:sz w:val="22"/>
                <w:szCs w:val="22"/>
              </w:rPr>
            </w:pPr>
            <w:r w:rsidRPr="007A1EBA">
              <w:rPr>
                <w:rFonts w:ascii="Calibri" w:hAnsi="Calibri"/>
                <w:color w:val="000000"/>
                <w:sz w:val="22"/>
                <w:szCs w:val="22"/>
              </w:rPr>
              <w:t>8</w:t>
            </w:r>
          </w:p>
        </w:tc>
        <w:tc>
          <w:tcPr>
            <w:tcW w:w="1595" w:type="dxa"/>
            <w:tcBorders>
              <w:top w:val="nil"/>
              <w:left w:val="nil"/>
              <w:bottom w:val="single" w:sz="4" w:space="0" w:color="auto"/>
              <w:right w:val="single" w:sz="4" w:space="0" w:color="auto"/>
            </w:tcBorders>
            <w:shd w:val="clear" w:color="auto" w:fill="auto"/>
            <w:noWrap/>
            <w:vAlign w:val="bottom"/>
            <w:hideMark/>
          </w:tcPr>
          <w:p w:rsidR="00154A50" w:rsidRPr="007A1EBA" w:rsidRDefault="00154A50" w:rsidP="00154A50">
            <w:pPr>
              <w:rPr>
                <w:rFonts w:ascii="Calibri" w:hAnsi="Calibri"/>
                <w:color w:val="000000"/>
                <w:sz w:val="22"/>
                <w:szCs w:val="22"/>
              </w:rPr>
            </w:pPr>
            <w:r>
              <w:rPr>
                <w:rFonts w:ascii="Calibri" w:hAnsi="Calibri"/>
                <w:color w:val="000000"/>
                <w:sz w:val="22"/>
                <w:szCs w:val="22"/>
              </w:rPr>
              <w:t>2016-00134-00</w:t>
            </w:r>
          </w:p>
        </w:tc>
      </w:tr>
    </w:tbl>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adelanta en el Juzgado </w:t>
      </w:r>
      <w:r>
        <w:rPr>
          <w:rFonts w:ascii="Arial" w:hAnsi="Arial" w:cs="Arial"/>
        </w:rPr>
        <w:t>accionado</w:t>
      </w:r>
      <w:r w:rsidR="00152300">
        <w:rPr>
          <w:rFonts w:ascii="Arial" w:hAnsi="Arial" w:cs="Arial"/>
        </w:rPr>
        <w:t xml:space="preserve">, las acciones populares que enseguida se detallan, que fueron </w:t>
      </w:r>
      <w:r>
        <w:rPr>
          <w:rFonts w:ascii="Arial" w:hAnsi="Arial" w:cs="Arial"/>
        </w:rPr>
        <w:t>rechazadas</w:t>
      </w:r>
      <w:r w:rsidR="003A69C1">
        <w:rPr>
          <w:rFonts w:ascii="Arial" w:hAnsi="Arial" w:cs="Arial"/>
        </w:rPr>
        <w:t>,</w:t>
      </w:r>
      <w:r w:rsidR="003A69C1" w:rsidRPr="003A69C1">
        <w:rPr>
          <w:rFonts w:ascii="Arial" w:hAnsi="Arial" w:cs="Arial"/>
        </w:rPr>
        <w:t xml:space="preserve"> </w:t>
      </w:r>
      <w:r w:rsidR="003A69C1">
        <w:rPr>
          <w:rFonts w:ascii="Arial" w:hAnsi="Arial" w:cs="Arial"/>
        </w:rPr>
        <w:t xml:space="preserve">y al recurrir en reposición y apelación, no se repuso y se le negó la alzada. Refirió que ese actuar del juzgado contraviene el artículo 16 de la Ley 472 </w:t>
      </w:r>
      <w:r w:rsidR="00152300" w:rsidRPr="00AF753A">
        <w:rPr>
          <w:rFonts w:ascii="Arial" w:hAnsi="Arial" w:cs="Arial"/>
        </w:rPr>
        <w:t>(Folio</w:t>
      </w:r>
      <w:r w:rsidR="00152300">
        <w:rPr>
          <w:rFonts w:ascii="Arial" w:hAnsi="Arial" w:cs="Arial"/>
        </w:rPr>
        <w:t xml:space="preserve"> 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152300" w:rsidRDefault="00152300" w:rsidP="00152300">
      <w:pPr>
        <w:spacing w:line="360" w:lineRule="auto"/>
        <w:jc w:val="both"/>
        <w:rPr>
          <w:rFonts w:ascii="Arial" w:hAnsi="Arial" w:cs="Arial"/>
        </w:rPr>
      </w:pPr>
    </w:p>
    <w:tbl>
      <w:tblPr>
        <w:tblW w:w="9826" w:type="dxa"/>
        <w:tblInd w:w="-187" w:type="dxa"/>
        <w:tblCellMar>
          <w:left w:w="70" w:type="dxa"/>
          <w:right w:w="70" w:type="dxa"/>
        </w:tblCellMar>
        <w:tblLook w:val="04A0" w:firstRow="1" w:lastRow="0" w:firstColumn="1" w:lastColumn="0" w:noHBand="0" w:noVBand="1"/>
      </w:tblPr>
      <w:tblGrid>
        <w:gridCol w:w="477"/>
        <w:gridCol w:w="1546"/>
        <w:gridCol w:w="364"/>
        <w:gridCol w:w="1540"/>
        <w:gridCol w:w="364"/>
        <w:gridCol w:w="1595"/>
        <w:gridCol w:w="364"/>
        <w:gridCol w:w="1580"/>
        <w:gridCol w:w="364"/>
        <w:gridCol w:w="1632"/>
      </w:tblGrid>
      <w:tr w:rsidR="00CD73B4" w:rsidRPr="007A1EBA" w:rsidTr="004603C3">
        <w:trPr>
          <w:trHeight w:val="300"/>
        </w:trPr>
        <w:tc>
          <w:tcPr>
            <w:tcW w:w="982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3B4" w:rsidRPr="007A1EBA" w:rsidRDefault="00CD73B4" w:rsidP="004603C3">
            <w:pPr>
              <w:jc w:val="center"/>
              <w:rPr>
                <w:rFonts w:ascii="Calibri" w:hAnsi="Calibri"/>
                <w:color w:val="000000"/>
                <w:sz w:val="22"/>
                <w:szCs w:val="22"/>
              </w:rPr>
            </w:pPr>
            <w:r w:rsidRPr="007A1EBA">
              <w:rPr>
                <w:rFonts w:ascii="Calibri" w:hAnsi="Calibri"/>
                <w:color w:val="000000"/>
                <w:sz w:val="22"/>
                <w:szCs w:val="22"/>
              </w:rPr>
              <w:t>Acciones populares radicadas</w:t>
            </w:r>
          </w:p>
        </w:tc>
      </w:tr>
      <w:tr w:rsidR="00CD73B4" w:rsidRPr="007A1EBA" w:rsidTr="004603C3">
        <w:trPr>
          <w:trHeight w:val="300"/>
        </w:trPr>
        <w:tc>
          <w:tcPr>
            <w:tcW w:w="477" w:type="dxa"/>
            <w:tcBorders>
              <w:top w:val="nil"/>
              <w:left w:val="single" w:sz="4" w:space="0" w:color="auto"/>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w:t>
            </w:r>
          </w:p>
        </w:tc>
        <w:tc>
          <w:tcPr>
            <w:tcW w:w="1546"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154A50">
            <w:pPr>
              <w:rPr>
                <w:rFonts w:ascii="Calibri" w:hAnsi="Calibri"/>
                <w:color w:val="000000"/>
                <w:sz w:val="22"/>
                <w:szCs w:val="22"/>
              </w:rPr>
            </w:pPr>
            <w:r>
              <w:rPr>
                <w:rFonts w:ascii="Calibri" w:hAnsi="Calibri"/>
                <w:color w:val="000000"/>
                <w:sz w:val="22"/>
                <w:szCs w:val="22"/>
              </w:rPr>
              <w:t>2015-</w:t>
            </w:r>
            <w:r w:rsidR="00154A50">
              <w:rPr>
                <w:rFonts w:ascii="Calibri" w:hAnsi="Calibri"/>
                <w:color w:val="000000"/>
                <w:sz w:val="22"/>
                <w:szCs w:val="22"/>
              </w:rPr>
              <w:t>00963</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2</w:t>
            </w:r>
          </w:p>
        </w:tc>
        <w:tc>
          <w:tcPr>
            <w:tcW w:w="154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154A50">
            <w:pPr>
              <w:rPr>
                <w:rFonts w:ascii="Calibri" w:hAnsi="Calibri"/>
                <w:color w:val="000000"/>
                <w:sz w:val="22"/>
                <w:szCs w:val="22"/>
              </w:rPr>
            </w:pPr>
            <w:r>
              <w:rPr>
                <w:rFonts w:ascii="Calibri" w:hAnsi="Calibri"/>
                <w:color w:val="000000"/>
                <w:sz w:val="22"/>
                <w:szCs w:val="22"/>
              </w:rPr>
              <w:t>2015-</w:t>
            </w:r>
            <w:r w:rsidR="00154A50">
              <w:rPr>
                <w:rFonts w:ascii="Calibri" w:hAnsi="Calibri"/>
                <w:color w:val="000000"/>
                <w:sz w:val="22"/>
                <w:szCs w:val="22"/>
              </w:rPr>
              <w:t>00957</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3</w:t>
            </w:r>
          </w:p>
        </w:tc>
        <w:tc>
          <w:tcPr>
            <w:tcW w:w="1595"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154A50">
            <w:pPr>
              <w:rPr>
                <w:rFonts w:ascii="Calibri" w:hAnsi="Calibri"/>
                <w:color w:val="000000"/>
                <w:sz w:val="22"/>
                <w:szCs w:val="22"/>
              </w:rPr>
            </w:pPr>
            <w:r>
              <w:rPr>
                <w:rFonts w:ascii="Calibri" w:hAnsi="Calibri"/>
                <w:color w:val="000000"/>
                <w:sz w:val="22"/>
                <w:szCs w:val="22"/>
              </w:rPr>
              <w:t>2015-</w:t>
            </w:r>
            <w:r w:rsidR="00154A50">
              <w:rPr>
                <w:rFonts w:ascii="Calibri" w:hAnsi="Calibri"/>
                <w:color w:val="000000"/>
                <w:sz w:val="22"/>
                <w:szCs w:val="22"/>
              </w:rPr>
              <w:t>00955</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4</w:t>
            </w:r>
          </w:p>
        </w:tc>
        <w:tc>
          <w:tcPr>
            <w:tcW w:w="158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154A50">
            <w:pPr>
              <w:rPr>
                <w:rFonts w:ascii="Calibri" w:hAnsi="Calibri"/>
                <w:color w:val="000000"/>
                <w:sz w:val="22"/>
                <w:szCs w:val="22"/>
              </w:rPr>
            </w:pPr>
            <w:r>
              <w:rPr>
                <w:rFonts w:ascii="Calibri" w:hAnsi="Calibri"/>
                <w:color w:val="000000"/>
                <w:sz w:val="22"/>
                <w:szCs w:val="22"/>
              </w:rPr>
              <w:t>2015-</w:t>
            </w:r>
            <w:r w:rsidR="00154A50">
              <w:rPr>
                <w:rFonts w:ascii="Calibri" w:hAnsi="Calibri"/>
                <w:color w:val="000000"/>
                <w:sz w:val="22"/>
                <w:szCs w:val="22"/>
              </w:rPr>
              <w:t>00896</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5</w:t>
            </w:r>
          </w:p>
        </w:tc>
        <w:tc>
          <w:tcPr>
            <w:tcW w:w="1632"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154A50">
            <w:pPr>
              <w:rPr>
                <w:rFonts w:ascii="Calibri" w:hAnsi="Calibri"/>
                <w:color w:val="000000"/>
                <w:sz w:val="22"/>
                <w:szCs w:val="22"/>
              </w:rPr>
            </w:pPr>
            <w:r w:rsidRPr="007A1EBA">
              <w:rPr>
                <w:rFonts w:ascii="Calibri" w:hAnsi="Calibri"/>
                <w:color w:val="000000"/>
                <w:sz w:val="22"/>
                <w:szCs w:val="22"/>
              </w:rPr>
              <w:t>2015-</w:t>
            </w:r>
            <w:r w:rsidR="00154A50">
              <w:rPr>
                <w:rFonts w:ascii="Calibri" w:hAnsi="Calibri"/>
                <w:color w:val="000000"/>
                <w:sz w:val="22"/>
                <w:szCs w:val="22"/>
              </w:rPr>
              <w:t>00894</w:t>
            </w:r>
            <w:r w:rsidRPr="007A1EBA">
              <w:rPr>
                <w:rFonts w:ascii="Calibri" w:hAnsi="Calibri"/>
                <w:color w:val="000000"/>
                <w:sz w:val="22"/>
                <w:szCs w:val="22"/>
              </w:rPr>
              <w:t>-00</w:t>
            </w:r>
          </w:p>
        </w:tc>
      </w:tr>
      <w:tr w:rsidR="00154A50" w:rsidRPr="007A1EBA" w:rsidTr="004603C3">
        <w:trPr>
          <w:gridAfter w:val="4"/>
          <w:wAfter w:w="3940" w:type="dxa"/>
          <w:trHeight w:val="300"/>
        </w:trPr>
        <w:tc>
          <w:tcPr>
            <w:tcW w:w="477" w:type="dxa"/>
            <w:tcBorders>
              <w:top w:val="nil"/>
              <w:left w:val="single" w:sz="4" w:space="0" w:color="auto"/>
              <w:bottom w:val="single" w:sz="4" w:space="0" w:color="auto"/>
              <w:right w:val="single" w:sz="4" w:space="0" w:color="auto"/>
            </w:tcBorders>
            <w:shd w:val="clear" w:color="000000" w:fill="BFBFBF"/>
            <w:noWrap/>
            <w:vAlign w:val="bottom"/>
            <w:hideMark/>
          </w:tcPr>
          <w:p w:rsidR="00154A50" w:rsidRPr="007A1EBA" w:rsidRDefault="00154A50" w:rsidP="004603C3">
            <w:pPr>
              <w:jc w:val="right"/>
              <w:rPr>
                <w:rFonts w:ascii="Calibri" w:hAnsi="Calibri"/>
                <w:color w:val="000000"/>
                <w:sz w:val="22"/>
                <w:szCs w:val="22"/>
              </w:rPr>
            </w:pPr>
            <w:r w:rsidRPr="007A1EBA">
              <w:rPr>
                <w:rFonts w:ascii="Calibri" w:hAnsi="Calibri"/>
                <w:color w:val="000000"/>
                <w:sz w:val="22"/>
                <w:szCs w:val="22"/>
              </w:rPr>
              <w:t>6</w:t>
            </w:r>
          </w:p>
        </w:tc>
        <w:tc>
          <w:tcPr>
            <w:tcW w:w="1546" w:type="dxa"/>
            <w:tcBorders>
              <w:top w:val="nil"/>
              <w:left w:val="nil"/>
              <w:bottom w:val="single" w:sz="4" w:space="0" w:color="auto"/>
              <w:right w:val="single" w:sz="4" w:space="0" w:color="auto"/>
            </w:tcBorders>
            <w:shd w:val="clear" w:color="auto" w:fill="auto"/>
            <w:noWrap/>
            <w:vAlign w:val="bottom"/>
            <w:hideMark/>
          </w:tcPr>
          <w:p w:rsidR="00154A50" w:rsidRPr="007A1EBA" w:rsidRDefault="00154A50" w:rsidP="00154A50">
            <w:pPr>
              <w:rPr>
                <w:rFonts w:ascii="Calibri" w:hAnsi="Calibri"/>
                <w:color w:val="000000"/>
                <w:sz w:val="22"/>
                <w:szCs w:val="22"/>
              </w:rPr>
            </w:pPr>
            <w:r w:rsidRPr="007A1EBA">
              <w:rPr>
                <w:rFonts w:ascii="Calibri" w:hAnsi="Calibri"/>
                <w:color w:val="000000"/>
                <w:sz w:val="22"/>
                <w:szCs w:val="22"/>
              </w:rPr>
              <w:t>2015-</w:t>
            </w:r>
            <w:r>
              <w:rPr>
                <w:rFonts w:ascii="Calibri" w:hAnsi="Calibri"/>
                <w:color w:val="000000"/>
                <w:sz w:val="22"/>
                <w:szCs w:val="22"/>
              </w:rPr>
              <w:t>00891</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4A50" w:rsidRPr="007A1EBA" w:rsidRDefault="00154A50" w:rsidP="004603C3">
            <w:pPr>
              <w:jc w:val="right"/>
              <w:rPr>
                <w:rFonts w:ascii="Calibri" w:hAnsi="Calibri"/>
                <w:color w:val="000000"/>
                <w:sz w:val="22"/>
                <w:szCs w:val="22"/>
              </w:rPr>
            </w:pPr>
            <w:r w:rsidRPr="007A1EBA">
              <w:rPr>
                <w:rFonts w:ascii="Calibri" w:hAnsi="Calibri"/>
                <w:color w:val="000000"/>
                <w:sz w:val="22"/>
                <w:szCs w:val="22"/>
              </w:rPr>
              <w:t>7</w:t>
            </w:r>
          </w:p>
        </w:tc>
        <w:tc>
          <w:tcPr>
            <w:tcW w:w="1540" w:type="dxa"/>
            <w:tcBorders>
              <w:top w:val="nil"/>
              <w:left w:val="nil"/>
              <w:bottom w:val="single" w:sz="4" w:space="0" w:color="auto"/>
              <w:right w:val="single" w:sz="4" w:space="0" w:color="auto"/>
            </w:tcBorders>
            <w:shd w:val="clear" w:color="auto" w:fill="auto"/>
            <w:noWrap/>
            <w:vAlign w:val="bottom"/>
            <w:hideMark/>
          </w:tcPr>
          <w:p w:rsidR="00154A50" w:rsidRPr="007A1EBA" w:rsidRDefault="00154A50" w:rsidP="00154A50">
            <w:pPr>
              <w:rPr>
                <w:rFonts w:ascii="Calibri" w:hAnsi="Calibri"/>
                <w:color w:val="000000"/>
                <w:sz w:val="22"/>
                <w:szCs w:val="22"/>
              </w:rPr>
            </w:pPr>
            <w:r w:rsidRPr="007A1EBA">
              <w:rPr>
                <w:rFonts w:ascii="Calibri" w:hAnsi="Calibri"/>
                <w:color w:val="000000"/>
                <w:sz w:val="22"/>
                <w:szCs w:val="22"/>
              </w:rPr>
              <w:t>2015-</w:t>
            </w:r>
            <w:r>
              <w:rPr>
                <w:rFonts w:ascii="Calibri" w:hAnsi="Calibri"/>
                <w:color w:val="000000"/>
                <w:sz w:val="22"/>
                <w:szCs w:val="22"/>
              </w:rPr>
              <w:t>00887</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4A50" w:rsidRPr="007A1EBA" w:rsidRDefault="00154A50" w:rsidP="004603C3">
            <w:pPr>
              <w:jc w:val="right"/>
              <w:rPr>
                <w:rFonts w:ascii="Calibri" w:hAnsi="Calibri"/>
                <w:color w:val="000000"/>
                <w:sz w:val="22"/>
                <w:szCs w:val="22"/>
              </w:rPr>
            </w:pPr>
            <w:r w:rsidRPr="007A1EBA">
              <w:rPr>
                <w:rFonts w:ascii="Calibri" w:hAnsi="Calibri"/>
                <w:color w:val="000000"/>
                <w:sz w:val="22"/>
                <w:szCs w:val="22"/>
              </w:rPr>
              <w:t>8</w:t>
            </w:r>
          </w:p>
        </w:tc>
        <w:tc>
          <w:tcPr>
            <w:tcW w:w="1595" w:type="dxa"/>
            <w:tcBorders>
              <w:top w:val="nil"/>
              <w:left w:val="nil"/>
              <w:bottom w:val="single" w:sz="4" w:space="0" w:color="auto"/>
              <w:right w:val="single" w:sz="4" w:space="0" w:color="auto"/>
            </w:tcBorders>
            <w:shd w:val="clear" w:color="auto" w:fill="auto"/>
            <w:noWrap/>
            <w:vAlign w:val="bottom"/>
            <w:hideMark/>
          </w:tcPr>
          <w:p w:rsidR="00154A50" w:rsidRPr="007A1EBA" w:rsidRDefault="00154A50" w:rsidP="00154A50">
            <w:pPr>
              <w:rPr>
                <w:rFonts w:ascii="Calibri" w:hAnsi="Calibri"/>
                <w:color w:val="000000"/>
                <w:sz w:val="22"/>
                <w:szCs w:val="22"/>
              </w:rPr>
            </w:pPr>
            <w:r w:rsidRPr="007A1EBA">
              <w:rPr>
                <w:rFonts w:ascii="Calibri" w:hAnsi="Calibri"/>
                <w:color w:val="000000"/>
                <w:sz w:val="22"/>
                <w:szCs w:val="22"/>
              </w:rPr>
              <w:t>2015-</w:t>
            </w:r>
            <w:r>
              <w:rPr>
                <w:rFonts w:ascii="Calibri" w:hAnsi="Calibri"/>
                <w:color w:val="000000"/>
                <w:sz w:val="22"/>
                <w:szCs w:val="22"/>
              </w:rPr>
              <w:t>00886</w:t>
            </w:r>
            <w:r w:rsidRPr="007A1EBA">
              <w:rPr>
                <w:rFonts w:ascii="Calibri" w:hAnsi="Calibri"/>
                <w:color w:val="000000"/>
                <w:sz w:val="22"/>
                <w:szCs w:val="22"/>
              </w:rPr>
              <w:t>-00</w:t>
            </w:r>
          </w:p>
        </w:tc>
      </w:tr>
    </w:tbl>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al accionado </w:t>
      </w:r>
      <w:r w:rsidR="00452E1F">
        <w:rPr>
          <w:rFonts w:ascii="Arial" w:hAnsi="Arial" w:cs="Arial"/>
          <w:szCs w:val="24"/>
        </w:rPr>
        <w:t>conceder las apelaciones formuladas</w:t>
      </w:r>
      <w:r w:rsidR="00CD73B4">
        <w:rPr>
          <w:rFonts w:ascii="Arial" w:hAnsi="Arial" w:cs="Arial"/>
          <w:szCs w:val="24"/>
        </w:rPr>
        <w:t xml:space="preserve"> </w:t>
      </w:r>
      <w:r w:rsidR="00154A50">
        <w:rPr>
          <w:rFonts w:ascii="Arial" w:hAnsi="Arial" w:cs="Arial"/>
          <w:szCs w:val="24"/>
        </w:rPr>
        <w:t xml:space="preserve">contra los autos que rechazaron las </w:t>
      </w:r>
      <w:r w:rsidR="00CD73B4">
        <w:rPr>
          <w:rFonts w:ascii="Arial" w:hAnsi="Arial" w:cs="Arial"/>
          <w:szCs w:val="24"/>
        </w:rPr>
        <w:t>acciones populares</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8E6CF4" w:rsidP="008E6CF4">
      <w:pPr>
        <w:spacing w:line="360" w:lineRule="auto"/>
        <w:jc w:val="both"/>
        <w:rPr>
          <w:rFonts w:ascii="Arial" w:hAnsi="Arial"/>
        </w:rPr>
      </w:pPr>
      <w:r w:rsidRPr="00B74361">
        <w:rPr>
          <w:rFonts w:ascii="Arial" w:hAnsi="Arial"/>
        </w:rPr>
        <w:t xml:space="preserve">En reparto ordinario del día </w:t>
      </w:r>
      <w:r w:rsidR="00154A50">
        <w:rPr>
          <w:rFonts w:ascii="Arial" w:hAnsi="Arial"/>
        </w:rPr>
        <w:t xml:space="preserve">02-02-2016 </w:t>
      </w:r>
      <w:r>
        <w:rPr>
          <w:rFonts w:ascii="Arial" w:hAnsi="Arial"/>
        </w:rPr>
        <w:t>correspondieron</w:t>
      </w:r>
      <w:r w:rsidRPr="00B74361">
        <w:rPr>
          <w:rFonts w:ascii="Arial" w:hAnsi="Arial"/>
        </w:rPr>
        <w:t xml:space="preserve"> a este Despacho</w:t>
      </w:r>
      <w:r>
        <w:rPr>
          <w:rFonts w:ascii="Arial" w:hAnsi="Arial"/>
        </w:rPr>
        <w:t xml:space="preserve"> las </w:t>
      </w:r>
      <w:r w:rsidR="00154A50">
        <w:rPr>
          <w:rFonts w:ascii="Arial" w:hAnsi="Arial"/>
        </w:rPr>
        <w:t xml:space="preserve">ocho </w:t>
      </w:r>
      <w:r w:rsidR="003A69C1">
        <w:rPr>
          <w:rFonts w:ascii="Arial" w:hAnsi="Arial"/>
        </w:rPr>
        <w:t xml:space="preserve">(8) </w:t>
      </w:r>
      <w:r>
        <w:rPr>
          <w:rFonts w:ascii="Arial" w:hAnsi="Arial"/>
        </w:rPr>
        <w:t xml:space="preserve">tutelas aquí acumuladas </w:t>
      </w:r>
      <w:r w:rsidRPr="00B74361">
        <w:rPr>
          <w:rFonts w:ascii="Arial" w:hAnsi="Arial"/>
        </w:rPr>
        <w:t>con providencia</w:t>
      </w:r>
      <w:r w:rsidRPr="008E5A62">
        <w:rPr>
          <w:rFonts w:ascii="Arial" w:hAnsi="Arial"/>
        </w:rPr>
        <w:t xml:space="preserve"> de</w:t>
      </w:r>
      <w:r>
        <w:rPr>
          <w:rFonts w:ascii="Arial" w:hAnsi="Arial"/>
        </w:rPr>
        <w:t>l día hábil siguiente</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 </w:t>
      </w:r>
      <w:r w:rsidR="008E50E4">
        <w:rPr>
          <w:rFonts w:ascii="Arial" w:hAnsi="Arial"/>
        </w:rPr>
        <w:t xml:space="preserve">(Folios 4 y 5, </w:t>
      </w:r>
      <w:r w:rsidR="00B1245A">
        <w:rPr>
          <w:rFonts w:ascii="Arial" w:hAnsi="Arial"/>
        </w:rPr>
        <w:t>ibídem</w:t>
      </w:r>
      <w:r w:rsidR="008E50E4">
        <w:rPr>
          <w:rFonts w:ascii="Arial" w:hAnsi="Arial"/>
        </w:rPr>
        <w:t>)</w:t>
      </w:r>
      <w:r w:rsidR="008E50E4" w:rsidRPr="008E5A62">
        <w:rPr>
          <w:rFonts w:ascii="Arial" w:hAnsi="Arial"/>
        </w:rPr>
        <w:t xml:space="preserve">. </w:t>
      </w:r>
      <w:r w:rsidRPr="008E5A62">
        <w:rPr>
          <w:rFonts w:ascii="Arial" w:hAnsi="Arial"/>
        </w:rPr>
        <w:t xml:space="preserve">Fueron debidamente </w:t>
      </w:r>
      <w:r>
        <w:rPr>
          <w:rFonts w:ascii="Arial" w:hAnsi="Arial"/>
        </w:rPr>
        <w:t xml:space="preserve">enterados </w:t>
      </w:r>
      <w:r w:rsidRPr="008E5A62">
        <w:rPr>
          <w:rFonts w:ascii="Arial" w:hAnsi="Arial"/>
        </w:rPr>
        <w:t xml:space="preserve">los extremos de la acción (Folios </w:t>
      </w:r>
      <w:r>
        <w:rPr>
          <w:rFonts w:ascii="Arial" w:hAnsi="Arial"/>
        </w:rPr>
        <w:t>6 y 7, ibídem</w:t>
      </w:r>
      <w:r w:rsidRPr="008E5A62">
        <w:rPr>
          <w:rFonts w:ascii="Arial" w:hAnsi="Arial"/>
        </w:rPr>
        <w:t xml:space="preserve">). </w:t>
      </w:r>
      <w:r w:rsidRPr="003B7741">
        <w:rPr>
          <w:rFonts w:ascii="Arial" w:hAnsi="Arial"/>
        </w:rPr>
        <w:t>Contestaron</w:t>
      </w:r>
      <w:r>
        <w:rPr>
          <w:rFonts w:ascii="Arial" w:hAnsi="Arial"/>
        </w:rPr>
        <w:t xml:space="preserve"> la</w:t>
      </w:r>
      <w:r w:rsidRPr="003B7741">
        <w:rPr>
          <w:rFonts w:ascii="Arial" w:hAnsi="Arial"/>
        </w:rPr>
        <w:t xml:space="preserve"> </w:t>
      </w:r>
      <w:r w:rsidRPr="003B7741">
        <w:rPr>
          <w:rFonts w:ascii="Arial" w:hAnsi="Arial" w:cs="Arial"/>
        </w:rPr>
        <w:t>Procuraduría General de la Nación Regional Risaralda</w:t>
      </w:r>
      <w:r>
        <w:rPr>
          <w:rFonts w:ascii="Arial" w:hAnsi="Arial" w:cs="Arial"/>
        </w:rPr>
        <w:t>,</w:t>
      </w:r>
      <w:r w:rsidRPr="003B7741">
        <w:rPr>
          <w:rFonts w:ascii="Arial" w:hAnsi="Arial"/>
        </w:rPr>
        <w:t xml:space="preserve"> </w:t>
      </w:r>
      <w:r>
        <w:rPr>
          <w:rFonts w:ascii="Arial" w:hAnsi="Arial"/>
        </w:rPr>
        <w:t xml:space="preserve">la Personería Municipal </w:t>
      </w:r>
      <w:r w:rsidR="0045484E">
        <w:rPr>
          <w:rFonts w:ascii="Arial" w:hAnsi="Arial"/>
        </w:rPr>
        <w:t>y</w:t>
      </w:r>
      <w:r>
        <w:rPr>
          <w:rFonts w:ascii="Arial" w:hAnsi="Arial"/>
        </w:rPr>
        <w:t xml:space="preserve"> la </w:t>
      </w:r>
      <w:r w:rsidRPr="003B7741">
        <w:rPr>
          <w:rFonts w:ascii="Arial" w:hAnsi="Arial"/>
        </w:rPr>
        <w:t>Alcaldía</w:t>
      </w:r>
      <w:r w:rsidR="003A69C1">
        <w:rPr>
          <w:rFonts w:ascii="Arial" w:hAnsi="Arial"/>
        </w:rPr>
        <w:t xml:space="preserve">, ambas </w:t>
      </w:r>
      <w:r w:rsidRPr="003B7741">
        <w:rPr>
          <w:rFonts w:ascii="Arial" w:hAnsi="Arial"/>
        </w:rPr>
        <w:t>de Pereira</w:t>
      </w:r>
      <w:r>
        <w:rPr>
          <w:rFonts w:ascii="Arial" w:hAnsi="Arial"/>
        </w:rPr>
        <w:t xml:space="preserve"> </w:t>
      </w:r>
      <w:r w:rsidRPr="003B6DD2">
        <w:rPr>
          <w:rFonts w:ascii="Arial" w:hAnsi="Arial"/>
        </w:rPr>
        <w:t xml:space="preserve">(Folios </w:t>
      </w:r>
      <w:r w:rsidR="00154A50">
        <w:rPr>
          <w:rFonts w:ascii="Arial" w:hAnsi="Arial"/>
        </w:rPr>
        <w:t>9 y 10, 13 a 15</w:t>
      </w:r>
      <w:r>
        <w:rPr>
          <w:rFonts w:ascii="Arial" w:hAnsi="Arial"/>
        </w:rPr>
        <w:t>,</w:t>
      </w:r>
      <w:r w:rsidR="0045484E">
        <w:rPr>
          <w:rFonts w:ascii="Arial" w:hAnsi="Arial"/>
        </w:rPr>
        <w:t xml:space="preserve"> y</w:t>
      </w:r>
      <w:r>
        <w:rPr>
          <w:rFonts w:ascii="Arial" w:hAnsi="Arial"/>
        </w:rPr>
        <w:t xml:space="preserve"> </w:t>
      </w:r>
      <w:r w:rsidR="00154A50">
        <w:rPr>
          <w:rFonts w:ascii="Arial" w:hAnsi="Arial"/>
        </w:rPr>
        <w:t>38 a 41</w:t>
      </w:r>
      <w:r w:rsidRPr="003B6DD2">
        <w:rPr>
          <w:rFonts w:ascii="Arial" w:hAnsi="Arial"/>
        </w:rPr>
        <w:t xml:space="preserve">, </w:t>
      </w:r>
      <w:r>
        <w:rPr>
          <w:rFonts w:ascii="Arial" w:hAnsi="Arial"/>
        </w:rPr>
        <w:t>ibídem</w:t>
      </w:r>
      <w:r w:rsidRPr="003B6DD2">
        <w:rPr>
          <w:rFonts w:ascii="Arial" w:hAnsi="Arial"/>
        </w:rPr>
        <w:t>)</w:t>
      </w:r>
      <w:r>
        <w:rPr>
          <w:rFonts w:ascii="Arial" w:hAnsi="Arial"/>
        </w:rPr>
        <w:t>;</w:t>
      </w:r>
      <w:r w:rsidRPr="003B6DD2">
        <w:rPr>
          <w:rFonts w:ascii="Arial" w:hAnsi="Arial"/>
        </w:rPr>
        <w:t xml:space="preserve"> </w:t>
      </w:r>
      <w:r>
        <w:rPr>
          <w:rFonts w:ascii="Arial" w:hAnsi="Arial"/>
        </w:rPr>
        <w:t xml:space="preserve">la Defensoría del Pueblo Regional Risaralda </w:t>
      </w:r>
      <w:r w:rsidR="00D8627D">
        <w:rPr>
          <w:rFonts w:ascii="Arial" w:hAnsi="Arial"/>
        </w:rPr>
        <w:t>y el accionado guardaron</w:t>
      </w:r>
      <w:r>
        <w:rPr>
          <w:rFonts w:ascii="Arial" w:hAnsi="Arial"/>
        </w:rPr>
        <w:t xml:space="preserve"> silencio</w:t>
      </w:r>
      <w:r w:rsidR="00D8627D">
        <w:rPr>
          <w:rFonts w:ascii="Arial" w:hAnsi="Arial"/>
        </w:rPr>
        <w:t xml:space="preserve">, sin embargo, este último arrimó las copias requeridas (Folios </w:t>
      </w:r>
      <w:r w:rsidR="003C5016">
        <w:rPr>
          <w:rFonts w:ascii="Arial" w:hAnsi="Arial"/>
        </w:rPr>
        <w:t>20 a 37</w:t>
      </w:r>
      <w:r w:rsidR="00D8627D">
        <w:rPr>
          <w:rFonts w:ascii="Arial" w:hAnsi="Arial"/>
        </w:rPr>
        <w:t>, ib)</w:t>
      </w:r>
      <w:r w:rsidRPr="003B6DD2">
        <w:rPr>
          <w:rFonts w:ascii="Arial" w:hAnsi="Arial"/>
        </w:rPr>
        <w:t>.</w:t>
      </w:r>
    </w:p>
    <w:p w:rsidR="00B41B34" w:rsidRDefault="00B41B34" w:rsidP="00B50331">
      <w:pPr>
        <w:spacing w:line="360" w:lineRule="auto"/>
        <w:jc w:val="both"/>
        <w:rPr>
          <w:rFonts w:ascii="Arial" w:hAnsi="Arial"/>
          <w:sz w:val="22"/>
        </w:rPr>
      </w:pPr>
    </w:p>
    <w:p w:rsidR="008E6CF4" w:rsidRPr="00984EE4" w:rsidRDefault="008E6CF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B1245A" w:rsidP="00310F89">
      <w:pPr>
        <w:spacing w:line="360" w:lineRule="auto"/>
        <w:jc w:val="both"/>
        <w:rPr>
          <w:rFonts w:ascii="Arial" w:hAnsi="Arial"/>
        </w:rPr>
      </w:pPr>
      <w:r>
        <w:rPr>
          <w:rFonts w:ascii="Arial" w:hAnsi="Arial"/>
        </w:rPr>
        <w:t xml:space="preserve">Mencionó </w:t>
      </w:r>
      <w:r w:rsidR="00310F89">
        <w:rPr>
          <w:rFonts w:ascii="Arial" w:hAnsi="Arial"/>
        </w:rPr>
        <w:t xml:space="preserve">su papel en las acciones populares, estima que la situación alegada, es ajena a su función, de allí que solicitó su desvinculación </w:t>
      </w:r>
      <w:r w:rsidR="003C5016">
        <w:rPr>
          <w:rFonts w:ascii="Arial" w:hAnsi="Arial" w:cs="Arial"/>
          <w:spacing w:val="3"/>
        </w:rPr>
        <w:t>(Folios 9 y 10</w:t>
      </w:r>
      <w:r w:rsidR="00C87D22">
        <w:rPr>
          <w:rFonts w:ascii="Arial" w:hAnsi="Arial" w:cs="Arial"/>
          <w:spacing w:val="3"/>
        </w:rPr>
        <w:t>, ib.)</w:t>
      </w:r>
      <w:r w:rsidR="00310F89">
        <w:rPr>
          <w:rFonts w:ascii="Arial" w:hAnsi="Arial"/>
        </w:rPr>
        <w:t xml:space="preserve">. </w:t>
      </w:r>
    </w:p>
    <w:p w:rsidR="00E04790" w:rsidRDefault="00E04790" w:rsidP="00264032">
      <w:pPr>
        <w:spacing w:line="360" w:lineRule="auto"/>
        <w:jc w:val="both"/>
        <w:rPr>
          <w:rFonts w:ascii="Arial" w:hAnsi="Arial"/>
        </w:rPr>
      </w:pPr>
    </w:p>
    <w:p w:rsidR="00E04790" w:rsidRDefault="0045484E" w:rsidP="00E04790">
      <w:pPr>
        <w:pStyle w:val="Prrafodelista"/>
        <w:numPr>
          <w:ilvl w:val="1"/>
          <w:numId w:val="18"/>
        </w:numPr>
        <w:spacing w:line="360" w:lineRule="auto"/>
        <w:jc w:val="both"/>
        <w:rPr>
          <w:rFonts w:ascii="Arial" w:hAnsi="Arial"/>
        </w:rPr>
      </w:pPr>
      <w:r>
        <w:rPr>
          <w:rFonts w:ascii="Arial" w:hAnsi="Arial"/>
        </w:rPr>
        <w:t xml:space="preserve">La </w:t>
      </w:r>
      <w:r w:rsidR="003A69C1">
        <w:rPr>
          <w:rFonts w:ascii="Arial" w:hAnsi="Arial"/>
        </w:rPr>
        <w:t>Personería Municipal de Pereira</w:t>
      </w:r>
    </w:p>
    <w:p w:rsidR="003C5016" w:rsidRDefault="003C5016" w:rsidP="003C5016">
      <w:pPr>
        <w:pStyle w:val="Prrafodelista"/>
        <w:spacing w:line="360" w:lineRule="auto"/>
        <w:ind w:left="720"/>
        <w:jc w:val="both"/>
        <w:rPr>
          <w:rFonts w:ascii="Arial" w:hAnsi="Arial"/>
        </w:rPr>
      </w:pPr>
    </w:p>
    <w:p w:rsidR="00443A7E" w:rsidRDefault="0045484E" w:rsidP="00E04790">
      <w:pPr>
        <w:spacing w:line="360" w:lineRule="auto"/>
        <w:jc w:val="both"/>
        <w:rPr>
          <w:rFonts w:ascii="Arial" w:hAnsi="Arial"/>
        </w:rPr>
      </w:pPr>
      <w:r>
        <w:rPr>
          <w:rFonts w:ascii="Arial" w:hAnsi="Arial"/>
        </w:rPr>
        <w:t>Anotó que es el aparato judicial el competente para tramitar las acciones populares, y por tanto, no se le puede endilgar responsabilidad alguna en la vulneración de los derechos invocados</w:t>
      </w:r>
      <w:r w:rsidR="00443A7E">
        <w:rPr>
          <w:rFonts w:ascii="Arial" w:hAnsi="Arial"/>
        </w:rPr>
        <w:t xml:space="preserve"> (Folios </w:t>
      </w:r>
      <w:r w:rsidR="003C5016">
        <w:rPr>
          <w:rFonts w:ascii="Arial" w:hAnsi="Arial"/>
        </w:rPr>
        <w:t>13 a 15</w:t>
      </w:r>
      <w:r w:rsidR="00443A7E">
        <w:rPr>
          <w:rFonts w:ascii="Arial" w:hAnsi="Arial"/>
        </w:rPr>
        <w:t>, ib.).</w:t>
      </w:r>
    </w:p>
    <w:p w:rsidR="00E04790" w:rsidRPr="00E04790" w:rsidRDefault="00E04790" w:rsidP="00E04790">
      <w:pPr>
        <w:spacing w:line="360" w:lineRule="auto"/>
        <w:jc w:val="both"/>
        <w:rPr>
          <w:rFonts w:ascii="Arial" w:hAnsi="Arial"/>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Default="00443A7E" w:rsidP="00443A7E">
      <w:pPr>
        <w:spacing w:line="360" w:lineRule="auto"/>
        <w:jc w:val="both"/>
        <w:rPr>
          <w:rFonts w:ascii="Arial" w:hAnsi="Arial"/>
        </w:rPr>
      </w:pPr>
    </w:p>
    <w:p w:rsidR="0045484E" w:rsidRDefault="0045484E" w:rsidP="00443A7E">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en esas condiciones pidió negar la tutela</w:t>
      </w:r>
      <w:r w:rsidRPr="008E5A62">
        <w:rPr>
          <w:rFonts w:ascii="Arial" w:hAnsi="Arial"/>
        </w:rPr>
        <w:t xml:space="preserve"> </w:t>
      </w:r>
      <w:r>
        <w:rPr>
          <w:rFonts w:ascii="Arial" w:hAnsi="Arial"/>
        </w:rPr>
        <w:t xml:space="preserve">(Folios </w:t>
      </w:r>
      <w:r w:rsidR="00BB32B5">
        <w:rPr>
          <w:rFonts w:ascii="Arial" w:hAnsi="Arial"/>
        </w:rPr>
        <w:t>38 a 41</w:t>
      </w:r>
      <w:r>
        <w:rPr>
          <w:rFonts w:ascii="Arial" w:hAnsi="Arial"/>
        </w:rPr>
        <w:t>, ib.)</w:t>
      </w:r>
    </w:p>
    <w:p w:rsidR="0045484E" w:rsidRDefault="0045484E" w:rsidP="00443A7E">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Pr>
          <w:rFonts w:ascii="Arial" w:hAnsi="Arial" w:cs="Arial"/>
          <w:sz w:val="24"/>
          <w:szCs w:val="24"/>
        </w:rPr>
        <w:t xml:space="preserve">Cuarto 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D8627D">
        <w:rPr>
          <w:rFonts w:ascii="Arial" w:hAnsi="Arial" w:cs="Arial"/>
          <w:szCs w:val="24"/>
        </w:rPr>
        <w:t xml:space="preserve">Cuarto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3A69C1" w:rsidRDefault="003A69C1" w:rsidP="003A69C1">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DE74E7">
        <w:rPr>
          <w:rFonts w:ascii="Arial" w:hAnsi="Arial" w:cs="Arial"/>
        </w:rPr>
        <w:t>Cuarto 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DE74E7" w:rsidRDefault="00DE74E7" w:rsidP="00FF5B57">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8215CB" w:rsidRDefault="008215CB" w:rsidP="0062273B">
      <w:pPr>
        <w:spacing w:line="360" w:lineRule="auto"/>
        <w:jc w:val="both"/>
        <w:rPr>
          <w:rFonts w:ascii="Arial" w:hAnsi="Arial" w:cs="Arial"/>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BB32B5" w:rsidRDefault="00BB32B5" w:rsidP="00BB32B5">
      <w:pPr>
        <w:spacing w:line="360" w:lineRule="auto"/>
        <w:jc w:val="both"/>
        <w:rPr>
          <w:rFonts w:ascii="Arial" w:hAnsi="Arial" w:cs="Arial"/>
          <w:lang w:val="es-ES_tradnl"/>
        </w:rPr>
      </w:pPr>
      <w:r>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w:t>
      </w:r>
    </w:p>
    <w:p w:rsidR="008215CB" w:rsidRDefault="008215CB" w:rsidP="008215CB">
      <w:pPr>
        <w:pStyle w:val="Textoindependiente"/>
        <w:spacing w:line="360" w:lineRule="auto"/>
        <w:rPr>
          <w:rFonts w:ascii="Arial" w:hAnsi="Arial"/>
          <w:szCs w:val="24"/>
        </w:rPr>
      </w:pPr>
    </w:p>
    <w:p w:rsidR="00242FE7" w:rsidRDefault="00B0457F" w:rsidP="00430B70">
      <w:pPr>
        <w:spacing w:line="360" w:lineRule="auto"/>
        <w:ind w:right="51"/>
        <w:jc w:val="both"/>
        <w:rPr>
          <w:rFonts w:ascii="Arial" w:hAnsi="Arial" w:cs="Arial"/>
          <w:lang w:val="es-ES_tradnl"/>
        </w:rPr>
      </w:pPr>
      <w:r w:rsidRPr="004802FE">
        <w:rPr>
          <w:rFonts w:ascii="Arial" w:hAnsi="Arial" w:cs="Arial"/>
          <w:lang w:val="es-ES_tradnl"/>
        </w:rPr>
        <w:t>El accionante se duele porque el</w:t>
      </w:r>
      <w:r>
        <w:rPr>
          <w:rFonts w:ascii="Arial" w:hAnsi="Arial" w:cs="Arial"/>
          <w:lang w:val="es-ES_tradnl"/>
        </w:rPr>
        <w:t xml:space="preserve"> juzgado accionado no concedió los recursos de apelación que formuló contra los autos que rechazaron las acciones</w:t>
      </w:r>
      <w:r w:rsidR="001D69AE">
        <w:rPr>
          <w:rFonts w:ascii="Arial" w:hAnsi="Arial" w:cs="Arial"/>
          <w:lang w:val="es-ES_tradnl"/>
        </w:rPr>
        <w:t xml:space="preserve"> </w:t>
      </w:r>
      <w:r w:rsidR="00BB32B5">
        <w:rPr>
          <w:rFonts w:ascii="Arial" w:hAnsi="Arial" w:cs="Arial"/>
          <w:lang w:val="es-ES_tradnl"/>
        </w:rPr>
        <w:t>populares</w:t>
      </w:r>
      <w:r>
        <w:rPr>
          <w:rFonts w:ascii="Arial" w:hAnsi="Arial" w:cs="Arial"/>
          <w:lang w:val="es-ES_tradnl"/>
        </w:rPr>
        <w:t xml:space="preserve">. </w:t>
      </w:r>
    </w:p>
    <w:p w:rsidR="00242FE7" w:rsidRDefault="00242FE7" w:rsidP="00430B70">
      <w:pPr>
        <w:spacing w:line="360" w:lineRule="auto"/>
        <w:ind w:right="51"/>
        <w:jc w:val="both"/>
        <w:rPr>
          <w:rFonts w:ascii="Arial" w:hAnsi="Arial" w:cs="Arial"/>
          <w:lang w:val="es-ES_tradnl"/>
        </w:rPr>
      </w:pPr>
    </w:p>
    <w:p w:rsidR="003A69C1" w:rsidRDefault="003A69C1" w:rsidP="003A69C1">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la</w:t>
      </w:r>
      <w:r>
        <w:rPr>
          <w:rFonts w:ascii="Arial" w:hAnsi="Arial" w:cs="Arial"/>
        </w:rPr>
        <w:t>s</w:t>
      </w:r>
      <w:r w:rsidRPr="00301067">
        <w:rPr>
          <w:rFonts w:ascii="Arial" w:hAnsi="Arial" w:cs="Arial"/>
        </w:rPr>
        <w:t xml:space="preserve"> presente</w:t>
      </w:r>
      <w:r>
        <w:rPr>
          <w:rFonts w:ascii="Arial" w:hAnsi="Arial" w:cs="Arial"/>
        </w:rPr>
        <w:t>s acciones</w:t>
      </w:r>
      <w:r w:rsidRPr="00301067">
        <w:rPr>
          <w:rFonts w:ascii="Arial" w:hAnsi="Arial" w:cs="Arial"/>
        </w:rPr>
        <w:t xml:space="preserve"> constitucional</w:t>
      </w:r>
      <w:r>
        <w:rPr>
          <w:rFonts w:ascii="Arial" w:hAnsi="Arial" w:cs="Arial"/>
        </w:rPr>
        <w:t>es</w:t>
      </w:r>
      <w:r w:rsidRPr="00301067">
        <w:rPr>
          <w:rFonts w:ascii="Arial" w:hAnsi="Arial" w:cs="Arial"/>
        </w:rPr>
        <w:t xml:space="preserve"> se torna</w:t>
      </w:r>
      <w:r>
        <w:rPr>
          <w:rFonts w:ascii="Arial" w:hAnsi="Arial" w:cs="Arial"/>
        </w:rPr>
        <w:t>n</w:t>
      </w:r>
      <w:r w:rsidRPr="00301067">
        <w:rPr>
          <w:rFonts w:ascii="Arial" w:hAnsi="Arial" w:cs="Arial"/>
        </w:rPr>
        <w:t xml:space="preserve"> </w:t>
      </w:r>
      <w:r>
        <w:rPr>
          <w:rFonts w:ascii="Arial" w:hAnsi="Arial" w:cs="Arial"/>
        </w:rPr>
        <w:t>prematuras</w:t>
      </w:r>
      <w:r w:rsidRPr="00301067">
        <w:rPr>
          <w:rFonts w:ascii="Arial" w:hAnsi="Arial" w:cs="Arial"/>
        </w:rPr>
        <w:t xml:space="preserve"> porque aún</w:t>
      </w:r>
      <w:r>
        <w:rPr>
          <w:rFonts w:ascii="Arial" w:hAnsi="Arial" w:cs="Arial"/>
        </w:rPr>
        <w:t xml:space="preserve"> </w:t>
      </w:r>
      <w:r w:rsidRPr="00301067">
        <w:rPr>
          <w:rFonts w:ascii="Arial" w:hAnsi="Arial" w:cs="Arial"/>
        </w:rPr>
        <w:t xml:space="preserve">se desconoce </w:t>
      </w:r>
      <w:r>
        <w:rPr>
          <w:rFonts w:ascii="Arial" w:hAnsi="Arial" w:cs="Arial"/>
        </w:rPr>
        <w:t xml:space="preserve">si los despachos judiciales a los cuales les sean repartidas las acciones populares, asumirán su conocimiento o provocarán el conflicto negativo de competencia, lo que además, no sólo </w:t>
      </w:r>
      <w:r>
        <w:rPr>
          <w:rFonts w:ascii="Arial" w:hAnsi="Arial" w:cs="Arial"/>
          <w:bCs/>
        </w:rPr>
        <w:t>revelará</w:t>
      </w:r>
      <w:r w:rsidRPr="00B0457F">
        <w:rPr>
          <w:rFonts w:ascii="Arial" w:hAnsi="Arial" w:cs="Arial"/>
        </w:rPr>
        <w:t xml:space="preserve"> </w:t>
      </w:r>
      <w:r>
        <w:rPr>
          <w:rFonts w:ascii="Arial" w:hAnsi="Arial" w:cs="Arial"/>
        </w:rPr>
        <w:t xml:space="preserve">al actor el competente para tramitar sus acciones, sino también, surgirá la oportunidad </w:t>
      </w:r>
      <w:r w:rsidRPr="009705B1">
        <w:rPr>
          <w:rFonts w:ascii="Arial" w:hAnsi="Arial" w:cs="Arial"/>
          <w:lang w:val="es-419"/>
        </w:rPr>
        <w:t xml:space="preserve">de recurrir </w:t>
      </w:r>
      <w:r>
        <w:rPr>
          <w:rFonts w:ascii="Arial" w:hAnsi="Arial" w:cs="Arial"/>
          <w:lang w:val="es-419"/>
        </w:rPr>
        <w:t>los proveídos que se dicten</w:t>
      </w:r>
      <w:r>
        <w:rPr>
          <w:rFonts w:ascii="Arial" w:hAnsi="Arial" w:cs="Arial"/>
          <w:lang w:val="es-CO"/>
        </w:rPr>
        <w:t>.</w:t>
      </w:r>
      <w:r>
        <w:rPr>
          <w:rFonts w:ascii="Arial" w:hAnsi="Arial" w:cs="Arial"/>
        </w:rPr>
        <w:t xml:space="preserve"> </w:t>
      </w:r>
    </w:p>
    <w:p w:rsidR="003A69C1" w:rsidRDefault="003A69C1" w:rsidP="003A69C1">
      <w:pPr>
        <w:spacing w:line="360" w:lineRule="auto"/>
        <w:ind w:right="51"/>
        <w:jc w:val="both"/>
        <w:rPr>
          <w:rFonts w:ascii="Arial" w:hAnsi="Arial" w:cs="Arial"/>
        </w:rPr>
      </w:pPr>
    </w:p>
    <w:p w:rsidR="003A69C1" w:rsidRDefault="003A69C1" w:rsidP="003A69C1">
      <w:pPr>
        <w:spacing w:line="360" w:lineRule="auto"/>
        <w:ind w:right="51"/>
        <w:jc w:val="both"/>
        <w:rPr>
          <w:rFonts w:ascii="Arial" w:hAnsi="Arial" w:cs="Arial"/>
        </w:rPr>
      </w:pPr>
      <w:r>
        <w:rPr>
          <w:rFonts w:ascii="Arial" w:hAnsi="Arial" w:cs="Arial"/>
        </w:rPr>
        <w:t>Conforme a la sentencia T-103 de 2014</w:t>
      </w:r>
      <w:r>
        <w:rPr>
          <w:rStyle w:val="Refdenotaalpie"/>
          <w:rFonts w:ascii="Arial" w:hAnsi="Arial"/>
        </w:rPr>
        <w:footnoteReference w:id="14"/>
      </w:r>
      <w:r>
        <w:rPr>
          <w:rFonts w:ascii="Arial" w:hAnsi="Arial" w:cs="Arial"/>
        </w:rPr>
        <w:t>, también debe declararse su improcedencia porque bajo los lineamientos allí citados, se incumple el principio de subsidiariedad, pues los procesos aún se encuentran en trámite.</w:t>
      </w:r>
    </w:p>
    <w:p w:rsidR="00B0457F" w:rsidRDefault="00B0457F" w:rsidP="00B0457F">
      <w:pPr>
        <w:spacing w:line="360" w:lineRule="auto"/>
        <w:jc w:val="both"/>
        <w:rPr>
          <w:rFonts w:ascii="Arial" w:hAnsi="Arial" w:cs="Arial"/>
        </w:rPr>
      </w:pPr>
    </w:p>
    <w:p w:rsidR="00B0457F" w:rsidRDefault="00B0457F" w:rsidP="00B0457F">
      <w:pPr>
        <w:spacing w:line="360" w:lineRule="auto"/>
        <w:jc w:val="both"/>
        <w:rPr>
          <w:rFonts w:ascii="Arial" w:hAnsi="Arial" w:cs="Arial"/>
        </w:rPr>
      </w:pPr>
      <w:r>
        <w:rPr>
          <w:rFonts w:ascii="Arial" w:hAnsi="Arial" w:cs="Arial"/>
        </w:rPr>
        <w:t xml:space="preserve">Asimismo, no sobra advertir que frente a los autos mediante los cuales el accionado declaró precluido el pago de las copias necesarias para incoar la queja y dispuso cumplir la orden impartida en los proveídos que rechazaron las demandas por competencia, </w:t>
      </w:r>
      <w:r w:rsidR="003A69C1">
        <w:rPr>
          <w:rFonts w:ascii="Arial" w:hAnsi="Arial" w:cs="Arial"/>
        </w:rPr>
        <w:t xml:space="preserve">el actor no formuló recurso alguno, por lo que adquirieron </w:t>
      </w:r>
      <w:r w:rsidR="003A69C1">
        <w:rPr>
          <w:rFonts w:ascii="Arial" w:hAnsi="Arial" w:cs="Arial"/>
          <w:lang w:val="es-ES_tradnl"/>
        </w:rPr>
        <w:t xml:space="preserve">firmeza, porque </w:t>
      </w:r>
      <w:r w:rsidR="003A69C1">
        <w:rPr>
          <w:rFonts w:ascii="Arial" w:hAnsi="Arial" w:cs="Arial"/>
        </w:rPr>
        <w:t xml:space="preserve">pretermitió los tiempos de ley para hacerlo. </w:t>
      </w:r>
      <w:r>
        <w:rPr>
          <w:rFonts w:ascii="Arial" w:hAnsi="Arial" w:cs="Arial"/>
        </w:rPr>
        <w:t xml:space="preserve">Lo anterior, según se desprende de las copias de los procesos cuestionados, arrimadas por el </w:t>
      </w:r>
      <w:r w:rsidR="009705B1">
        <w:rPr>
          <w:rFonts w:ascii="Arial" w:hAnsi="Arial" w:cs="Arial"/>
        </w:rPr>
        <w:t xml:space="preserve">despacho accionado </w:t>
      </w:r>
      <w:r w:rsidR="001D69AE">
        <w:rPr>
          <w:rFonts w:ascii="Arial" w:hAnsi="Arial" w:cs="Arial"/>
        </w:rPr>
        <w:t>y de la</w:t>
      </w:r>
      <w:r w:rsidR="005A5EAB">
        <w:rPr>
          <w:rFonts w:ascii="Arial" w:hAnsi="Arial" w:cs="Arial"/>
        </w:rPr>
        <w:t>s</w:t>
      </w:r>
      <w:r w:rsidR="001D69AE">
        <w:rPr>
          <w:rFonts w:ascii="Arial" w:hAnsi="Arial" w:cs="Arial"/>
        </w:rPr>
        <w:t xml:space="preserve"> </w:t>
      </w:r>
      <w:r w:rsidR="005A5EAB">
        <w:rPr>
          <w:rFonts w:ascii="Arial" w:hAnsi="Arial" w:cs="Arial"/>
        </w:rPr>
        <w:t xml:space="preserve">certificaciones </w:t>
      </w:r>
      <w:r w:rsidR="001D69AE">
        <w:rPr>
          <w:rFonts w:ascii="Arial" w:hAnsi="Arial" w:cs="Arial"/>
        </w:rPr>
        <w:t>realizada</w:t>
      </w:r>
      <w:r w:rsidR="005A5EAB">
        <w:rPr>
          <w:rFonts w:ascii="Arial" w:hAnsi="Arial" w:cs="Arial"/>
        </w:rPr>
        <w:t>s</w:t>
      </w:r>
      <w:r w:rsidR="001D69AE">
        <w:rPr>
          <w:rFonts w:ascii="Arial" w:hAnsi="Arial" w:cs="Arial"/>
        </w:rPr>
        <w:t xml:space="preserve"> por </w:t>
      </w:r>
      <w:r w:rsidR="005A5EAB">
        <w:rPr>
          <w:rFonts w:ascii="Arial" w:hAnsi="Arial" w:cs="Arial"/>
        </w:rPr>
        <w:t xml:space="preserve">su titular y </w:t>
      </w:r>
      <w:r w:rsidR="009705B1">
        <w:rPr>
          <w:rFonts w:ascii="Arial" w:hAnsi="Arial" w:cs="Arial"/>
        </w:rPr>
        <w:t xml:space="preserve">el secretario </w:t>
      </w:r>
      <w:r w:rsidRPr="00271622">
        <w:rPr>
          <w:rFonts w:ascii="Arial" w:hAnsi="Arial" w:cs="Arial"/>
        </w:rPr>
        <w:t>(Folio</w:t>
      </w:r>
      <w:r>
        <w:rPr>
          <w:rFonts w:ascii="Arial" w:hAnsi="Arial" w:cs="Arial"/>
        </w:rPr>
        <w:t>s</w:t>
      </w:r>
      <w:r w:rsidRPr="00271622">
        <w:rPr>
          <w:rFonts w:ascii="Arial" w:hAnsi="Arial" w:cs="Arial"/>
        </w:rPr>
        <w:t xml:space="preserve"> </w:t>
      </w:r>
      <w:r w:rsidR="00DC243B">
        <w:rPr>
          <w:rFonts w:ascii="Arial" w:hAnsi="Arial" w:cs="Arial"/>
        </w:rPr>
        <w:t>17, 37</w:t>
      </w:r>
      <w:r w:rsidR="009705B1">
        <w:rPr>
          <w:rFonts w:ascii="Arial" w:hAnsi="Arial" w:cs="Arial"/>
        </w:rPr>
        <w:t xml:space="preserve"> y 49</w:t>
      </w:r>
      <w:r w:rsidRPr="00271622">
        <w:rPr>
          <w:rFonts w:ascii="Arial" w:hAnsi="Arial" w:cs="Arial"/>
        </w:rPr>
        <w:t>, ib.)</w:t>
      </w:r>
      <w:r>
        <w:rPr>
          <w:rFonts w:ascii="Arial" w:hAnsi="Arial" w:cs="Arial"/>
        </w:rPr>
        <w:t>.</w:t>
      </w:r>
    </w:p>
    <w:p w:rsidR="00C12829" w:rsidRPr="00DC243B" w:rsidRDefault="00C12829" w:rsidP="00C12829">
      <w:pPr>
        <w:spacing w:line="360" w:lineRule="auto"/>
        <w:jc w:val="both"/>
        <w:rPr>
          <w:rFonts w:ascii="Arial" w:hAnsi="Arial" w:cs="Arial"/>
        </w:rPr>
      </w:pPr>
      <w:r w:rsidRPr="00DC243B">
        <w:rPr>
          <w:rFonts w:ascii="Arial" w:hAnsi="Arial" w:cs="Arial"/>
          <w:lang w:val="es-ES_tradnl"/>
        </w:rPr>
        <w:t xml:space="preserve">Evidente, entonces, es la falta de agotamiento del supuesto de subsidiariedad, como ha explicado </w:t>
      </w:r>
      <w:r w:rsidRPr="00DC243B">
        <w:rPr>
          <w:rFonts w:ascii="Arial" w:hAnsi="Arial"/>
        </w:rPr>
        <w:t>la Corte Constitucional, que reiteradamente ha referido que la acción de tutela no pude implementarse como medio para sustituir los mecanismos ordinarios de defensa, cuando por negligencia, descuido o incuria no fueron utilizados</w:t>
      </w:r>
      <w:r w:rsidRPr="00DC243B">
        <w:rPr>
          <w:rStyle w:val="Refdenotaalpie"/>
          <w:rFonts w:ascii="Arial" w:hAnsi="Arial" w:cs="Arial"/>
        </w:rPr>
        <w:footnoteReference w:id="15"/>
      </w:r>
      <w:r w:rsidRPr="00DC243B">
        <w:rPr>
          <w:rFonts w:ascii="Arial" w:hAnsi="Arial" w:cs="Arial"/>
        </w:rPr>
        <w:t>.</w:t>
      </w:r>
    </w:p>
    <w:p w:rsidR="0055359A" w:rsidRPr="00DC243B" w:rsidRDefault="0055359A" w:rsidP="00C12829">
      <w:pPr>
        <w:spacing w:line="360" w:lineRule="auto"/>
        <w:jc w:val="both"/>
        <w:rPr>
          <w:rFonts w:ascii="Arial" w:hAnsi="Arial" w:cs="Arial"/>
        </w:rPr>
      </w:pPr>
    </w:p>
    <w:p w:rsidR="00C12829" w:rsidRPr="00DC243B" w:rsidRDefault="00C12829" w:rsidP="00C12829">
      <w:pPr>
        <w:spacing w:line="360" w:lineRule="auto"/>
        <w:ind w:right="51"/>
        <w:jc w:val="both"/>
        <w:rPr>
          <w:rFonts w:ascii="Arial" w:hAnsi="Arial"/>
        </w:rPr>
      </w:pPr>
      <w:r w:rsidRPr="00DC243B">
        <w:rPr>
          <w:rFonts w:ascii="Arial" w:hAnsi="Arial"/>
        </w:rPr>
        <w:t xml:space="preserve">Cabe acotar que nada se arguyó y menos acreditó por parte del accionante, de forma que pudiera estimarse </w:t>
      </w:r>
      <w:r w:rsidRPr="00DC243B">
        <w:rPr>
          <w:rFonts w:ascii="Arial" w:hAnsi="Arial" w:cs="Arial"/>
          <w:bCs/>
          <w:lang w:val="es-CO"/>
        </w:rPr>
        <w:t>que es una persona que requiere de protección reforzada</w:t>
      </w:r>
      <w:r w:rsidRPr="00DC243B">
        <w:rPr>
          <w:rStyle w:val="Refdenotaalpie"/>
          <w:rFonts w:ascii="Arial" w:hAnsi="Arial"/>
          <w:bCs/>
          <w:lang w:val="es-CO"/>
        </w:rPr>
        <w:footnoteReference w:id="16"/>
      </w:r>
      <w:r w:rsidRPr="00DC243B">
        <w:rPr>
          <w:rFonts w:ascii="Arial" w:hAnsi="Arial" w:cs="Arial"/>
          <w:bCs/>
          <w:lang w:val="es-CO"/>
        </w:rPr>
        <w:t xml:space="preserve"> o que estaba en una situación de imposibilidad para recurrir los mencionados autos</w:t>
      </w:r>
      <w:r w:rsidRPr="00DC243B">
        <w:rPr>
          <w:rStyle w:val="Refdenotaalpie"/>
          <w:rFonts w:ascii="Arial" w:hAnsi="Arial"/>
          <w:bCs/>
          <w:lang w:val="es-CO"/>
        </w:rPr>
        <w:footnoteReference w:id="17"/>
      </w:r>
      <w:r w:rsidRPr="00DC243B">
        <w:rPr>
          <w:rFonts w:ascii="Arial" w:hAnsi="Arial" w:cs="Arial"/>
          <w:bCs/>
          <w:lang w:val="es-CO"/>
        </w:rPr>
        <w:t xml:space="preserve">, de tal modo que amerite un análisis flexible del requisito de procedibilidad echado de menos, </w:t>
      </w:r>
      <w:r w:rsidRPr="00DC243B">
        <w:rPr>
          <w:rFonts w:ascii="Arial" w:hAnsi="Arial"/>
        </w:rPr>
        <w:t>por ende solo a la parte le es imputable tal descuido.</w:t>
      </w:r>
    </w:p>
    <w:p w:rsidR="00C12829" w:rsidRPr="00DC243B" w:rsidRDefault="00C12829" w:rsidP="00145195">
      <w:pPr>
        <w:spacing w:line="360" w:lineRule="auto"/>
        <w:ind w:right="51"/>
        <w:jc w:val="both"/>
        <w:rPr>
          <w:rFonts w:ascii="Arial" w:hAnsi="Arial" w:cs="Arial"/>
          <w:lang w:val="es-ES_tradnl"/>
        </w:rPr>
      </w:pPr>
    </w:p>
    <w:p w:rsidR="00145195" w:rsidRPr="00DC243B" w:rsidRDefault="00145195" w:rsidP="00145195">
      <w:pPr>
        <w:spacing w:line="360" w:lineRule="auto"/>
        <w:ind w:right="51"/>
        <w:jc w:val="both"/>
        <w:rPr>
          <w:rFonts w:ascii="Arial" w:hAnsi="Arial"/>
        </w:rPr>
      </w:pPr>
      <w:r w:rsidRPr="00DC243B">
        <w:rPr>
          <w:rFonts w:ascii="Arial" w:hAnsi="Arial" w:cs="Arial"/>
          <w:lang w:val="es-ES_tradnl"/>
        </w:rPr>
        <w:t xml:space="preserve">En ese contexto, </w:t>
      </w:r>
      <w:r w:rsidRPr="00DC243B">
        <w:rPr>
          <w:rFonts w:ascii="Arial" w:hAnsi="Arial"/>
        </w:rPr>
        <w:t>las presentes acciones de tutela son improcedentes toda vez que se incumple con uno de los siete (7) requisitos generales de procedibilidad, como lo es el de la subsidiariedad, pues aún se encuentran en trámite las acciones populares, y en gracia de discusión, no se formularon los recursos ordinarios.</w:t>
      </w:r>
    </w:p>
    <w:p w:rsidR="00861A8A" w:rsidRPr="00DC243B" w:rsidRDefault="00861A8A" w:rsidP="00B0457F">
      <w:pPr>
        <w:spacing w:line="360" w:lineRule="auto"/>
        <w:jc w:val="both"/>
        <w:rPr>
          <w:rFonts w:ascii="Arial" w:hAnsi="Arial" w:cs="Arial"/>
          <w:lang w:val="es-ES_tradnl"/>
        </w:rPr>
      </w:pPr>
    </w:p>
    <w:p w:rsidR="00CB3037" w:rsidRPr="00DC243B" w:rsidRDefault="00CB3037" w:rsidP="00CB3037">
      <w:pPr>
        <w:spacing w:line="360" w:lineRule="auto"/>
        <w:ind w:right="51"/>
        <w:jc w:val="both"/>
        <w:rPr>
          <w:rFonts w:ascii="Arial" w:hAnsi="Arial" w:cs="Arial"/>
        </w:rPr>
      </w:pPr>
      <w:r w:rsidRPr="00DC243B">
        <w:rPr>
          <w:rFonts w:ascii="Arial" w:hAnsi="Arial" w:cs="Arial"/>
        </w:rPr>
        <w:t xml:space="preserve">Con relación a la </w:t>
      </w:r>
      <w:r w:rsidR="003E032C" w:rsidRPr="00DC243B">
        <w:rPr>
          <w:rFonts w:ascii="Arial" w:hAnsi="Arial" w:cs="Arial"/>
        </w:rPr>
        <w:t xml:space="preserve">entrega de copia física de toda la actuación surtida, se considera </w:t>
      </w:r>
      <w:r w:rsidR="00316531" w:rsidRPr="00DC243B">
        <w:rPr>
          <w:rFonts w:ascii="Arial" w:hAnsi="Arial" w:cs="Arial"/>
        </w:rPr>
        <w:t xml:space="preserve">que con la orden impartida en el </w:t>
      </w:r>
      <w:r w:rsidR="001C2249" w:rsidRPr="00DC243B">
        <w:rPr>
          <w:rFonts w:ascii="Arial" w:hAnsi="Arial" w:cs="Arial"/>
        </w:rPr>
        <w:t xml:space="preserve">proveído </w:t>
      </w:r>
      <w:r w:rsidR="00316531" w:rsidRPr="00DC243B">
        <w:rPr>
          <w:rFonts w:ascii="Arial" w:hAnsi="Arial" w:cs="Arial"/>
        </w:rPr>
        <w:t>d</w:t>
      </w:r>
      <w:r w:rsidR="001C2249" w:rsidRPr="00DC243B">
        <w:rPr>
          <w:rFonts w:ascii="Arial" w:hAnsi="Arial" w:cs="Arial"/>
        </w:rPr>
        <w:t xml:space="preserve">el </w:t>
      </w:r>
      <w:r w:rsidR="00316531" w:rsidRPr="00DC243B">
        <w:rPr>
          <w:rFonts w:ascii="Arial" w:hAnsi="Arial" w:cs="Arial"/>
        </w:rPr>
        <w:t xml:space="preserve">día </w:t>
      </w:r>
      <w:r w:rsidR="00C12829" w:rsidRPr="00DC243B">
        <w:rPr>
          <w:rFonts w:ascii="Arial" w:hAnsi="Arial" w:cs="Arial"/>
        </w:rPr>
        <w:t>03-02-2016 (Folios 4 y 5, ib.)</w:t>
      </w:r>
      <w:r w:rsidR="001C2249" w:rsidRPr="00DC243B">
        <w:rPr>
          <w:rFonts w:ascii="Arial" w:hAnsi="Arial" w:cs="Arial"/>
        </w:rPr>
        <w:t xml:space="preserve">, </w:t>
      </w:r>
      <w:r w:rsidR="001D69AE" w:rsidRPr="00DC243B">
        <w:rPr>
          <w:rFonts w:ascii="Arial" w:hAnsi="Arial" w:cs="Arial"/>
        </w:rPr>
        <w:t xml:space="preserve">en el sentido de escanearlas y remitirlas </w:t>
      </w:r>
      <w:r w:rsidR="00316531" w:rsidRPr="00DC243B">
        <w:rPr>
          <w:rFonts w:ascii="Arial" w:hAnsi="Arial" w:cs="Arial"/>
        </w:rPr>
        <w:t xml:space="preserve">a su correo electrónico, </w:t>
      </w:r>
      <w:r w:rsidRPr="00DC243B">
        <w:rPr>
          <w:rFonts w:ascii="Arial" w:hAnsi="Arial" w:cs="Arial"/>
        </w:rPr>
        <w:t xml:space="preserve">se </w:t>
      </w:r>
      <w:r w:rsidR="001C2249" w:rsidRPr="00DC243B">
        <w:rPr>
          <w:rFonts w:ascii="Arial" w:hAnsi="Arial" w:cs="Arial"/>
        </w:rPr>
        <w:t xml:space="preserve">cumplió </w:t>
      </w:r>
      <w:r w:rsidRPr="00DC243B">
        <w:rPr>
          <w:rFonts w:ascii="Arial" w:hAnsi="Arial" w:cs="Arial"/>
        </w:rPr>
        <w:t>dicho pedimento.</w:t>
      </w:r>
    </w:p>
    <w:p w:rsidR="00630C9E" w:rsidRPr="00DC243B" w:rsidRDefault="00630C9E" w:rsidP="00EA7B29">
      <w:pPr>
        <w:spacing w:line="360" w:lineRule="auto"/>
        <w:ind w:right="51"/>
        <w:jc w:val="both"/>
        <w:rPr>
          <w:rFonts w:ascii="Arial" w:hAnsi="Arial"/>
        </w:rPr>
      </w:pPr>
    </w:p>
    <w:p w:rsidR="003E032C" w:rsidRPr="00DC243B" w:rsidRDefault="003E032C" w:rsidP="003E032C">
      <w:pPr>
        <w:pStyle w:val="Textoindependiente"/>
        <w:spacing w:line="360" w:lineRule="auto"/>
        <w:rPr>
          <w:rFonts w:ascii="Arial" w:hAnsi="Arial" w:cs="Arial"/>
          <w:spacing w:val="3"/>
          <w:szCs w:val="24"/>
        </w:rPr>
      </w:pPr>
      <w:r w:rsidRPr="00DC243B">
        <w:rPr>
          <w:rFonts w:ascii="Arial" w:hAnsi="Arial" w:cs="Arial"/>
          <w:iCs/>
          <w:color w:val="000000"/>
          <w:szCs w:val="24"/>
          <w:lang w:eastAsia="es-CO"/>
        </w:rPr>
        <w:t xml:space="preserve">En lo relativo a la pretensión de </w:t>
      </w:r>
      <w:r w:rsidR="00316531" w:rsidRPr="00DC243B">
        <w:rPr>
          <w:rFonts w:ascii="Arial" w:hAnsi="Arial" w:cs="Arial"/>
          <w:iCs/>
          <w:color w:val="000000"/>
          <w:szCs w:val="24"/>
          <w:lang w:eastAsia="es-CO"/>
        </w:rPr>
        <w:t xml:space="preserve">adelantar simultáneamente la presente acción frente </w:t>
      </w:r>
      <w:r w:rsidRPr="00DC243B">
        <w:rPr>
          <w:rFonts w:ascii="Arial" w:hAnsi="Arial" w:cs="Arial"/>
          <w:iCs/>
          <w:color w:val="000000"/>
          <w:szCs w:val="24"/>
          <w:lang w:eastAsia="es-CO"/>
        </w:rPr>
        <w:t xml:space="preserve">a la </w:t>
      </w:r>
      <w:r w:rsidR="00316531" w:rsidRPr="00DC243B">
        <w:rPr>
          <w:rFonts w:ascii="Arial" w:hAnsi="Arial" w:cs="Arial"/>
          <w:iCs/>
          <w:color w:val="000000"/>
          <w:szCs w:val="24"/>
          <w:lang w:eastAsia="es-CO"/>
        </w:rPr>
        <w:t xml:space="preserve">Defensoría del Pueblo de </w:t>
      </w:r>
      <w:r w:rsidRPr="00DC243B">
        <w:rPr>
          <w:rFonts w:ascii="Arial" w:hAnsi="Arial" w:cs="Arial"/>
          <w:iCs/>
          <w:color w:val="000000"/>
          <w:szCs w:val="24"/>
          <w:lang w:eastAsia="es-CO"/>
        </w:rPr>
        <w:t xml:space="preserve">Manizales, hay que precisar, que de los hechos </w:t>
      </w:r>
      <w:r w:rsidR="00316531" w:rsidRPr="00DC243B">
        <w:rPr>
          <w:rFonts w:ascii="Arial" w:hAnsi="Arial" w:cs="Arial"/>
          <w:iCs/>
          <w:color w:val="000000"/>
          <w:szCs w:val="24"/>
          <w:lang w:eastAsia="es-CO"/>
        </w:rPr>
        <w:t xml:space="preserve">no </w:t>
      </w:r>
      <w:r w:rsidR="001D69AE" w:rsidRPr="00DC243B">
        <w:rPr>
          <w:rFonts w:ascii="Arial" w:hAnsi="Arial" w:cs="Arial"/>
          <w:iCs/>
          <w:color w:val="000000"/>
          <w:szCs w:val="24"/>
          <w:lang w:eastAsia="es-CO"/>
        </w:rPr>
        <w:t xml:space="preserve">se advierte </w:t>
      </w:r>
      <w:r w:rsidRPr="00DC243B">
        <w:rPr>
          <w:rFonts w:ascii="Arial" w:hAnsi="Arial" w:cs="Arial"/>
          <w:iCs/>
          <w:color w:val="000000"/>
          <w:szCs w:val="24"/>
          <w:lang w:eastAsia="es-CO"/>
        </w:rPr>
        <w:t xml:space="preserve">conducta que amerite tramitarla, tal como se indicó en el </w:t>
      </w:r>
      <w:r w:rsidR="00C12829" w:rsidRPr="00DC243B">
        <w:rPr>
          <w:rFonts w:ascii="Arial" w:hAnsi="Arial" w:cs="Arial"/>
          <w:iCs/>
          <w:color w:val="000000"/>
          <w:szCs w:val="24"/>
          <w:lang w:eastAsia="es-CO"/>
        </w:rPr>
        <w:t xml:space="preserve">referido </w:t>
      </w:r>
      <w:r w:rsidRPr="00DC243B">
        <w:rPr>
          <w:rFonts w:ascii="Arial" w:hAnsi="Arial" w:cs="Arial"/>
          <w:iCs/>
          <w:color w:val="000000"/>
          <w:szCs w:val="24"/>
          <w:lang w:eastAsia="es-CO"/>
        </w:rPr>
        <w:t xml:space="preserve">proveído. Adicionalmente, la Sala de Casación Civil de la Corte de Suprema de Justicia, </w:t>
      </w:r>
      <w:r w:rsidRPr="00DC243B">
        <w:rPr>
          <w:rFonts w:ascii="Arial" w:hAnsi="Arial" w:cs="Arial"/>
          <w:spacing w:val="3"/>
          <w:szCs w:val="24"/>
        </w:rPr>
        <w:t>contrario a lo referido por el accionante, en reciente decisión (2015)</w:t>
      </w:r>
      <w:r w:rsidRPr="00DC243B">
        <w:rPr>
          <w:rStyle w:val="Refdenotaalpie"/>
          <w:rFonts w:ascii="Arial" w:hAnsi="Arial"/>
          <w:spacing w:val="3"/>
          <w:szCs w:val="24"/>
        </w:rPr>
        <w:footnoteReference w:id="18"/>
      </w:r>
      <w:r w:rsidRPr="00DC243B">
        <w:rPr>
          <w:rFonts w:ascii="Arial" w:hAnsi="Arial" w:cs="Arial"/>
          <w:spacing w:val="3"/>
          <w:szCs w:val="24"/>
        </w:rPr>
        <w:t>, resolvió negativamente esa petición, así:</w:t>
      </w:r>
    </w:p>
    <w:p w:rsidR="003E032C" w:rsidRPr="00DC243B" w:rsidRDefault="003E032C" w:rsidP="003E032C">
      <w:pPr>
        <w:pStyle w:val="Textoindependiente"/>
        <w:spacing w:line="360" w:lineRule="auto"/>
        <w:rPr>
          <w:rFonts w:ascii="Arial" w:hAnsi="Arial" w:cs="Arial"/>
          <w:spacing w:val="3"/>
          <w:szCs w:val="24"/>
        </w:rPr>
      </w:pPr>
    </w:p>
    <w:p w:rsidR="003E032C" w:rsidRPr="00DC243B" w:rsidRDefault="003E032C" w:rsidP="003E032C">
      <w:pPr>
        <w:pStyle w:val="Textoindependiente"/>
        <w:spacing w:line="240" w:lineRule="auto"/>
        <w:ind w:left="567" w:right="567"/>
        <w:rPr>
          <w:rFonts w:ascii="Arial" w:hAnsi="Arial" w:cs="Arial"/>
          <w:spacing w:val="3"/>
          <w:szCs w:val="24"/>
        </w:rPr>
      </w:pPr>
      <w:r w:rsidRPr="00DC243B">
        <w:rPr>
          <w:rFonts w:ascii="Arial" w:hAnsi="Arial" w:cs="Arial"/>
          <w:spacing w:val="3"/>
          <w:szCs w:val="24"/>
        </w:rPr>
        <w:t xml:space="preserve">5. Una vez más se indica al peticionario que no es la acción de tutela el mecanismo diseñado para exponer sus quejas contra la </w:t>
      </w:r>
      <w:r w:rsidRPr="00DC243B">
        <w:rPr>
          <w:rFonts w:ascii="Arial" w:hAnsi="Arial" w:cs="Arial"/>
          <w:iCs/>
          <w:color w:val="000000"/>
          <w:szCs w:val="24"/>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5C4C0F" w:rsidRPr="00DC243B" w:rsidRDefault="005C4C0F" w:rsidP="00EA7B29">
      <w:pPr>
        <w:spacing w:line="360" w:lineRule="auto"/>
        <w:ind w:right="51"/>
        <w:jc w:val="both"/>
        <w:rPr>
          <w:rFonts w:ascii="Arial" w:hAnsi="Arial"/>
        </w:rPr>
      </w:pPr>
    </w:p>
    <w:p w:rsidR="001D69AE" w:rsidRPr="00DC243B" w:rsidRDefault="001D69AE" w:rsidP="00EA7B29">
      <w:pPr>
        <w:spacing w:line="360" w:lineRule="auto"/>
        <w:ind w:right="51"/>
        <w:jc w:val="both"/>
        <w:rPr>
          <w:rFonts w:ascii="Arial" w:hAnsi="Arial"/>
        </w:rPr>
      </w:pPr>
    </w:p>
    <w:p w:rsidR="00FF5B57" w:rsidRPr="00DC243B" w:rsidRDefault="00FF5B57" w:rsidP="00FF5B57">
      <w:pPr>
        <w:pStyle w:val="Textoindependiente"/>
        <w:numPr>
          <w:ilvl w:val="0"/>
          <w:numId w:val="18"/>
        </w:numPr>
        <w:spacing w:line="360" w:lineRule="auto"/>
        <w:rPr>
          <w:rFonts w:ascii="Arial" w:hAnsi="Arial"/>
          <w:szCs w:val="24"/>
        </w:rPr>
      </w:pPr>
      <w:r w:rsidRPr="00DC243B">
        <w:rPr>
          <w:rFonts w:ascii="Arial" w:hAnsi="Arial"/>
          <w:szCs w:val="24"/>
        </w:rPr>
        <w:t xml:space="preserve">LAS CONCLUSIONES </w:t>
      </w:r>
    </w:p>
    <w:p w:rsidR="00DC243B" w:rsidRPr="00DC243B" w:rsidRDefault="00DC243B"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w:t>
      </w:r>
      <w:r w:rsidR="001D69AE">
        <w:rPr>
          <w:rFonts w:ascii="Arial" w:hAnsi="Arial" w:cs="Arial"/>
        </w:rPr>
        <w:t>n</w:t>
      </w:r>
      <w:r>
        <w:rPr>
          <w:rFonts w:ascii="Arial" w:hAnsi="Arial" w:cs="Arial"/>
        </w:rPr>
        <w:t xml:space="preserve"> improcedente</w:t>
      </w:r>
      <w:r w:rsidR="001D69AE">
        <w:rPr>
          <w:rFonts w:ascii="Arial" w:hAnsi="Arial" w:cs="Arial"/>
        </w:rPr>
        <w:t>s</w:t>
      </w:r>
      <w:r>
        <w:rPr>
          <w:rFonts w:ascii="Arial" w:hAnsi="Arial" w:cs="Arial"/>
        </w:rPr>
        <w:t xml:space="preserve"> la</w:t>
      </w:r>
      <w:r w:rsidR="001D69AE">
        <w:rPr>
          <w:rFonts w:ascii="Arial" w:hAnsi="Arial" w:cs="Arial"/>
        </w:rPr>
        <w:t>s acciones</w:t>
      </w:r>
      <w:r>
        <w:rPr>
          <w:rFonts w:ascii="Arial" w:hAnsi="Arial" w:cs="Arial"/>
        </w:rPr>
        <w:t xml:space="preserve"> constitucional</w:t>
      </w:r>
      <w:r w:rsidR="001D69AE">
        <w:rPr>
          <w:rFonts w:ascii="Arial" w:hAnsi="Arial" w:cs="Arial"/>
        </w:rPr>
        <w:t>es</w:t>
      </w:r>
      <w:r>
        <w:rPr>
          <w:rFonts w:ascii="Arial" w:hAnsi="Arial" w:cs="Arial"/>
        </w:rPr>
        <w:t xml:space="preserve"> invocada</w:t>
      </w:r>
      <w:r w:rsidR="001D69AE">
        <w:rPr>
          <w:rFonts w:ascii="Arial" w:hAnsi="Arial" w:cs="Arial"/>
        </w:rPr>
        <w:t>s</w:t>
      </w:r>
      <w:r>
        <w:rPr>
          <w:rFonts w:ascii="Arial" w:hAnsi="Arial" w:cs="Arial"/>
        </w:rPr>
        <w:t xml:space="preserve"> con estribo en que se incumplió el presupuesto de subsidiariedad</w:t>
      </w:r>
      <w:r w:rsidR="009102BF">
        <w:rPr>
          <w:rFonts w:ascii="Arial" w:hAnsi="Arial" w:cs="Arial"/>
        </w:rPr>
        <w:t xml:space="preserve">; </w:t>
      </w:r>
      <w:r w:rsidR="00C12829">
        <w:rPr>
          <w:rFonts w:ascii="Arial" w:hAnsi="Arial" w:cs="Arial"/>
        </w:rPr>
        <w:t xml:space="preserve">y, </w:t>
      </w:r>
      <w:r w:rsidR="009102BF">
        <w:rPr>
          <w:rFonts w:ascii="Arial" w:hAnsi="Arial" w:cs="Arial"/>
        </w:rPr>
        <w:t xml:space="preserve">(ii) </w:t>
      </w:r>
      <w:r>
        <w:rPr>
          <w:rFonts w:ascii="Arial" w:hAnsi="Arial" w:cs="Arial"/>
        </w:rPr>
        <w:t>Se negará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A30437" w:rsidRDefault="00A67757" w:rsidP="00FF5B57">
      <w:pPr>
        <w:pStyle w:val="Textoindependiente"/>
        <w:spacing w:line="360" w:lineRule="auto"/>
        <w:jc w:val="center"/>
        <w:rPr>
          <w:rFonts w:ascii="Arial" w:hAnsi="Arial" w:cs="Arial"/>
          <w:bCs/>
          <w:smallCaps/>
          <w:szCs w:val="24"/>
        </w:rPr>
      </w:pPr>
    </w:p>
    <w:p w:rsidR="009102BF" w:rsidRDefault="00FF5B57" w:rsidP="009102BF">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9102BF">
        <w:rPr>
          <w:rFonts w:ascii="Arial" w:hAnsi="Arial" w:cs="Arial"/>
        </w:rPr>
        <w:t xml:space="preserve">DECLARAR </w:t>
      </w:r>
      <w:r w:rsidR="009102BF">
        <w:rPr>
          <w:rFonts w:ascii="Arial" w:hAnsi="Arial" w:cs="Arial"/>
        </w:rPr>
        <w:t>improcedentes las tutelas propuestas por haberse incumplido el requisito de subsidiariedad</w:t>
      </w:r>
      <w:r w:rsidR="00C12829">
        <w:rPr>
          <w:rFonts w:ascii="Arial" w:hAnsi="Arial" w:cs="Arial"/>
        </w:rPr>
        <w:t>.</w:t>
      </w:r>
    </w:p>
    <w:p w:rsidR="009102BF" w:rsidRDefault="009102BF" w:rsidP="009102B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9102BF">
        <w:rPr>
          <w:rFonts w:ascii="Arial" w:hAnsi="Arial" w:cs="Arial"/>
          <w:szCs w:val="24"/>
        </w:rPr>
        <w:t>las acciones de tutela promovidas frente a la Defensoría del Pueblo y la Procuraduría General de la Nación, Regionales de Risaralda, y, la Alcaldía y Personería, municipales</w:t>
      </w:r>
      <w:r w:rsidR="009102BF">
        <w:rPr>
          <w:rFonts w:ascii="Arial" w:hAnsi="Arial" w:cs="Arial"/>
          <w:spacing w:val="3"/>
          <w:szCs w:val="24"/>
        </w:rPr>
        <w:t xml:space="preserve"> de Pereira;</w:t>
      </w:r>
      <w:r w:rsidR="009102BF">
        <w:rPr>
          <w:rFonts w:ascii="Arial" w:hAnsi="Arial" w:cs="Arial"/>
          <w:szCs w:val="24"/>
        </w:rPr>
        <w:t xml:space="preserve"> por inexistencia de violación o amenaza a los derechos invocados.</w:t>
      </w:r>
    </w:p>
    <w:p w:rsidR="007657D5" w:rsidRPr="009102BF"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E606C4"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88" w:rsidRDefault="00DA3488" w:rsidP="0099045D">
      <w:r>
        <w:separator/>
      </w:r>
    </w:p>
  </w:endnote>
  <w:endnote w:type="continuationSeparator" w:id="0">
    <w:p w:rsidR="00DA3488" w:rsidRDefault="00DA348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88" w:rsidRDefault="00DA3488" w:rsidP="0099045D">
      <w:r>
        <w:separator/>
      </w:r>
    </w:p>
  </w:footnote>
  <w:footnote w:type="continuationSeparator" w:id="0">
    <w:p w:rsidR="00DA3488" w:rsidRDefault="00DA3488"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4603C3" w:rsidRPr="00D73B3B" w:rsidRDefault="004603C3"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p>
  </w:footnote>
  <w:footnote w:id="10">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3A69C1" w:rsidRPr="009434C0" w:rsidRDefault="003A69C1" w:rsidP="003A69C1">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5">
    <w:p w:rsidR="00C12829" w:rsidRDefault="00C12829" w:rsidP="00C12829">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6">
    <w:p w:rsidR="00C12829" w:rsidRPr="008B43C6" w:rsidRDefault="00C12829" w:rsidP="00C128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7">
    <w:p w:rsidR="00C12829" w:rsidRPr="008B43C6" w:rsidRDefault="00C12829" w:rsidP="00C128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18">
    <w:p w:rsidR="003E032C" w:rsidRDefault="003E032C" w:rsidP="003E032C">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DA3488">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154A50">
      <w:rPr>
        <w:rFonts w:ascii="Calibri" w:hAnsi="Calibri" w:cs="Calibri"/>
        <w:i/>
        <w:sz w:val="20"/>
        <w:szCs w:val="22"/>
      </w:rPr>
      <w:t>00098</w:t>
    </w:r>
    <w:r>
      <w:rPr>
        <w:rFonts w:ascii="Calibri" w:hAnsi="Calibri" w:cs="Calibri"/>
        <w:i/>
        <w:sz w:val="20"/>
        <w:szCs w:val="22"/>
      </w:rPr>
      <w:t xml:space="preserve">-00 LLRR – ACUMULADAS </w:t>
    </w:r>
    <w:r w:rsidR="00154A50">
      <w:rPr>
        <w:rFonts w:ascii="Calibri" w:hAnsi="Calibri" w:cs="Calibri"/>
        <w:i/>
        <w:sz w:val="20"/>
        <w:szCs w:val="22"/>
      </w:rPr>
      <w:t xml:space="preserve">7 </w:t>
    </w:r>
    <w:r>
      <w:rPr>
        <w:rFonts w:ascii="Calibri" w:hAnsi="Calibri" w:cs="Calibri"/>
        <w:i/>
        <w:sz w:val="20"/>
        <w:szCs w:val="22"/>
      </w:rPr>
      <w:t xml:space="preserve">ACCIONES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4E4"/>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4A50"/>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67DE5"/>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2FE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881"/>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A69C1"/>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01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0B70"/>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BE6"/>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2E86"/>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9A"/>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5EAB"/>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B7B"/>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71E"/>
    <w:rsid w:val="007B4AC7"/>
    <w:rsid w:val="007B534D"/>
    <w:rsid w:val="007B563A"/>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C9B"/>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24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594"/>
    <w:rsid w:val="0089662C"/>
    <w:rsid w:val="00896A8A"/>
    <w:rsid w:val="00897B89"/>
    <w:rsid w:val="008A0C58"/>
    <w:rsid w:val="008A119F"/>
    <w:rsid w:val="008A11CE"/>
    <w:rsid w:val="008A15C0"/>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080"/>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5B1"/>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655"/>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955"/>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E7E8E"/>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1F3C"/>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5A4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998"/>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32B5"/>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2829"/>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451"/>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1028"/>
    <w:rsid w:val="00D9225F"/>
    <w:rsid w:val="00D93740"/>
    <w:rsid w:val="00D93E26"/>
    <w:rsid w:val="00D94140"/>
    <w:rsid w:val="00D941E8"/>
    <w:rsid w:val="00D94240"/>
    <w:rsid w:val="00D94343"/>
    <w:rsid w:val="00D947E2"/>
    <w:rsid w:val="00D94DBA"/>
    <w:rsid w:val="00D954F1"/>
    <w:rsid w:val="00D95A09"/>
    <w:rsid w:val="00D9642C"/>
    <w:rsid w:val="00D97026"/>
    <w:rsid w:val="00D97759"/>
    <w:rsid w:val="00D97BF7"/>
    <w:rsid w:val="00D97DB9"/>
    <w:rsid w:val="00DA0076"/>
    <w:rsid w:val="00DA0A98"/>
    <w:rsid w:val="00DA1514"/>
    <w:rsid w:val="00DA22FB"/>
    <w:rsid w:val="00DA3488"/>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43B"/>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1D0"/>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E09"/>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37AF7"/>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06553293">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A925-F5D0-4394-AF1F-8E27964A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2604</Words>
  <Characters>14326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11</cp:revision>
  <cp:lastPrinted>2016-02-16T12:58:00Z</cp:lastPrinted>
  <dcterms:created xsi:type="dcterms:W3CDTF">2016-02-14T21:14:00Z</dcterms:created>
  <dcterms:modified xsi:type="dcterms:W3CDTF">2016-05-13T18:57:00Z</dcterms:modified>
</cp:coreProperties>
</file>