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A" w:rsidRPr="005E2136" w:rsidRDefault="00542A6A" w:rsidP="00542A6A">
      <w:pPr>
        <w:jc w:val="both"/>
        <w:rPr>
          <w:rFonts w:ascii="Arial" w:hAnsi="Arial" w:cs="Arial"/>
          <w:lang w:val="es-CO"/>
        </w:rPr>
      </w:pPr>
      <w:r w:rsidRPr="005E2136">
        <w:rPr>
          <w:rFonts w:ascii="Arial" w:hAnsi="Arial" w:cs="Arial"/>
          <w:lang w:val="es-CO"/>
        </w:rPr>
        <w:t xml:space="preserve">APELACIÓN DE </w:t>
      </w:r>
      <w:r w:rsidR="005E2136">
        <w:rPr>
          <w:rFonts w:ascii="Arial" w:hAnsi="Arial" w:cs="Arial"/>
          <w:lang w:val="es-CO"/>
        </w:rPr>
        <w:t>AUTOS/ Providencia que ordena</w:t>
      </w:r>
      <w:r w:rsidR="000A6737">
        <w:rPr>
          <w:rFonts w:ascii="Arial" w:hAnsi="Arial" w:cs="Arial"/>
          <w:lang w:val="es-CO"/>
        </w:rPr>
        <w:t xml:space="preserve"> efectuar un nuevo inventario y avalúo de bienes es inapelable</w:t>
      </w:r>
    </w:p>
    <w:p w:rsidR="00DB5980" w:rsidRDefault="00DB5980" w:rsidP="00E26E35">
      <w:pPr>
        <w:jc w:val="both"/>
        <w:rPr>
          <w:rFonts w:ascii="Arial" w:hAnsi="Arial" w:cs="Arial"/>
        </w:rPr>
      </w:pPr>
    </w:p>
    <w:p w:rsidR="00E26E35" w:rsidRPr="00FB556B" w:rsidRDefault="00DB5980" w:rsidP="00E26E35">
      <w:pPr>
        <w:jc w:val="both"/>
        <w:rPr>
          <w:rFonts w:ascii="Arial" w:hAnsi="Arial" w:cs="Arial"/>
        </w:rPr>
      </w:pPr>
      <w:r>
        <w:rPr>
          <w:rFonts w:ascii="Arial" w:hAnsi="Arial" w:cs="Arial"/>
        </w:rPr>
        <w:t xml:space="preserve">“(…) </w:t>
      </w:r>
      <w:r w:rsidR="00E26E35" w:rsidRPr="00FB556B">
        <w:rPr>
          <w:rFonts w:ascii="Arial" w:hAnsi="Arial" w:cs="Arial"/>
        </w:rPr>
        <w:t xml:space="preserve">para la Sala es claro que en esta ocasión la providencia recurrida, no encuadra en ninguna de las enunciadas hipótesis, puesto que si bien, obra objeción del cónyuge supérstite al inventario allegado por los interesados demandantes y de ella se corrió traslado, al emitirse la providencia del 12-11-2015, el análisis del juez, se alejó de la objeción y se limitó a verificar el cumplimiento de lo dispuesto en el numeral 2º del artículo 600 del CPC, que al estimarse desatendido dejó el asunto sin inventario y avalúo de bienes, por lo que se ordenó uno nuevo. </w:t>
      </w:r>
    </w:p>
    <w:p w:rsidR="00E26E35" w:rsidRPr="00FB556B" w:rsidRDefault="00E26E35" w:rsidP="00E26E35">
      <w:pPr>
        <w:jc w:val="both"/>
        <w:rPr>
          <w:rFonts w:ascii="Arial" w:hAnsi="Arial" w:cs="Arial"/>
        </w:rPr>
      </w:pPr>
    </w:p>
    <w:p w:rsidR="00E26E35" w:rsidRPr="00FB556B" w:rsidRDefault="00E26E35" w:rsidP="00E26E35">
      <w:pPr>
        <w:jc w:val="both"/>
        <w:rPr>
          <w:rFonts w:ascii="Arial" w:hAnsi="Arial" w:cs="Arial"/>
        </w:rPr>
      </w:pPr>
      <w:r w:rsidRPr="00FB556B">
        <w:rPr>
          <w:rFonts w:ascii="Arial" w:hAnsi="Arial" w:cs="Arial"/>
        </w:rPr>
        <w:t>En otras palabras, esa decisión en modo alguno puede entenderse como excluyente de bienes (</w:t>
      </w:r>
      <w:r w:rsidR="005E2136">
        <w:rPr>
          <w:rFonts w:ascii="Arial" w:hAnsi="Arial" w:cs="Arial"/>
        </w:rPr>
        <w:t>…</w:t>
      </w:r>
      <w:r w:rsidRPr="00FB556B">
        <w:rPr>
          <w:rFonts w:ascii="Arial" w:hAnsi="Arial" w:cs="Arial"/>
        </w:rPr>
        <w:t xml:space="preserve">) a un inventario que ni siquiera existe y en ese orden de ideas, la alzada es improcedente. </w:t>
      </w:r>
    </w:p>
    <w:p w:rsidR="00542A6A" w:rsidRPr="00542A6A" w:rsidRDefault="00542A6A" w:rsidP="00542A6A">
      <w:pPr>
        <w:jc w:val="both"/>
        <w:rPr>
          <w:rFonts w:ascii="Arial" w:hAnsi="Arial" w:cs="Arial"/>
          <w:color w:val="FF0000"/>
          <w:spacing w:val="-4"/>
          <w:sz w:val="17"/>
          <w:szCs w:val="17"/>
          <w:lang w:val="es-CO"/>
        </w:rPr>
      </w:pPr>
    </w:p>
    <w:p w:rsidR="00542A6A" w:rsidRPr="00FB556B" w:rsidRDefault="00542A6A" w:rsidP="00542A6A">
      <w:pPr>
        <w:pStyle w:val="Textonotapie"/>
        <w:jc w:val="both"/>
        <w:rPr>
          <w:rFonts w:ascii="Arial" w:hAnsi="Arial" w:cs="Arial"/>
          <w:spacing w:val="-4"/>
          <w:sz w:val="17"/>
          <w:szCs w:val="17"/>
          <w:lang w:val="es-CO"/>
        </w:rPr>
      </w:pPr>
      <w:r w:rsidRPr="00FB556B">
        <w:rPr>
          <w:rFonts w:ascii="Arial" w:hAnsi="Arial" w:cs="Arial"/>
          <w:spacing w:val="-4"/>
          <w:sz w:val="17"/>
          <w:szCs w:val="17"/>
          <w:lang w:val="es-CO"/>
        </w:rPr>
        <w:t xml:space="preserve">Citas: </w:t>
      </w:r>
      <w:r w:rsidRPr="00E26E35">
        <w:rPr>
          <w:rFonts w:ascii="Arial" w:hAnsi="Arial" w:cs="Arial"/>
          <w:spacing w:val="-4"/>
          <w:sz w:val="17"/>
          <w:szCs w:val="17"/>
          <w:lang w:val="es-CO"/>
        </w:rPr>
        <w:t>Corte Suprema de Justicia, Sala Civil,</w:t>
      </w:r>
      <w:r w:rsidR="009828F9" w:rsidRPr="00E26E35">
        <w:rPr>
          <w:rFonts w:ascii="Arial" w:hAnsi="Arial" w:cs="Arial"/>
          <w:spacing w:val="-4"/>
          <w:sz w:val="17"/>
          <w:szCs w:val="17"/>
          <w:lang w:val="es-CO"/>
        </w:rPr>
        <w:t xml:space="preserve"> </w:t>
      </w:r>
      <w:r w:rsidR="009828F9">
        <w:rPr>
          <w:rFonts w:ascii="Arial" w:hAnsi="Arial" w:cs="Arial"/>
          <w:spacing w:val="-4"/>
          <w:sz w:val="17"/>
          <w:szCs w:val="17"/>
          <w:lang w:val="es-CO"/>
        </w:rPr>
        <w:t>sentencia del 17 de septiembre de 1992,</w:t>
      </w:r>
      <w:r w:rsidR="009828F9" w:rsidRPr="009828F9">
        <w:rPr>
          <w:rFonts w:ascii="Arial" w:hAnsi="Arial" w:cs="Arial"/>
          <w:spacing w:val="-4"/>
          <w:sz w:val="17"/>
          <w:szCs w:val="17"/>
          <w:lang w:val="es-CO"/>
        </w:rPr>
        <w:t xml:space="preserve"> M</w:t>
      </w:r>
      <w:r w:rsidR="009828F9">
        <w:rPr>
          <w:rFonts w:ascii="Arial" w:hAnsi="Arial" w:cs="Arial"/>
          <w:spacing w:val="-4"/>
          <w:sz w:val="17"/>
          <w:szCs w:val="17"/>
          <w:lang w:val="es-CO"/>
        </w:rPr>
        <w:t>.P.</w:t>
      </w:r>
      <w:r w:rsidR="009828F9" w:rsidRPr="009828F9">
        <w:rPr>
          <w:rFonts w:ascii="Arial" w:hAnsi="Arial" w:cs="Arial"/>
          <w:spacing w:val="-4"/>
          <w:sz w:val="17"/>
          <w:szCs w:val="17"/>
          <w:lang w:val="es-CO"/>
        </w:rPr>
        <w:t xml:space="preserve"> Alberto Ospina Botero</w:t>
      </w:r>
      <w:r w:rsidR="00FB556B">
        <w:rPr>
          <w:rFonts w:ascii="Arial" w:hAnsi="Arial" w:cs="Arial"/>
          <w:spacing w:val="-4"/>
          <w:sz w:val="17"/>
          <w:szCs w:val="17"/>
          <w:lang w:val="es-CO"/>
        </w:rPr>
        <w:t xml:space="preserve">. </w:t>
      </w:r>
      <w:r w:rsidRPr="00DA5515">
        <w:rPr>
          <w:rFonts w:ascii="Arial" w:hAnsi="Arial" w:cs="Arial"/>
          <w:spacing w:val="-4"/>
          <w:sz w:val="17"/>
          <w:szCs w:val="17"/>
          <w:lang w:val="es-CO"/>
        </w:rPr>
        <w:t xml:space="preserve">LÓPEZ BLANCO, Hernán Fabio. “Procedimiento civil, parte general” tomo I, 11ª edición, Dupré editores, Bogotá D.C., 2012. </w:t>
      </w:r>
      <w:r w:rsidRPr="005962BD">
        <w:rPr>
          <w:rFonts w:ascii="Arial" w:hAnsi="Arial" w:cs="Arial"/>
          <w:spacing w:val="-4"/>
          <w:sz w:val="17"/>
          <w:szCs w:val="17"/>
          <w:lang w:val="es-CO"/>
        </w:rPr>
        <w:t xml:space="preserve">ROJAS GÓMEZ, Miguel Enrique. </w:t>
      </w:r>
      <w:r w:rsidR="005962BD">
        <w:rPr>
          <w:rFonts w:ascii="Arial" w:hAnsi="Arial" w:cs="Arial"/>
          <w:spacing w:val="-4"/>
          <w:sz w:val="17"/>
          <w:szCs w:val="17"/>
          <w:lang w:val="es-CO"/>
        </w:rPr>
        <w:t>“</w:t>
      </w:r>
      <w:r w:rsidR="005962BD" w:rsidRPr="005962BD">
        <w:rPr>
          <w:rFonts w:ascii="Arial" w:hAnsi="Arial" w:cs="Arial"/>
          <w:spacing w:val="-4"/>
          <w:sz w:val="17"/>
          <w:szCs w:val="17"/>
          <w:lang w:val="es-CO"/>
        </w:rPr>
        <w:t>Lecciones de derecho procesal</w:t>
      </w:r>
      <w:r w:rsidR="005962BD">
        <w:rPr>
          <w:rFonts w:ascii="Arial" w:hAnsi="Arial" w:cs="Arial"/>
          <w:spacing w:val="-4"/>
          <w:sz w:val="17"/>
          <w:szCs w:val="17"/>
          <w:lang w:val="es-CO"/>
        </w:rPr>
        <w:t>”</w:t>
      </w:r>
      <w:r w:rsidR="00A96502">
        <w:rPr>
          <w:rFonts w:ascii="Arial" w:hAnsi="Arial" w:cs="Arial"/>
          <w:spacing w:val="-4"/>
          <w:sz w:val="17"/>
          <w:szCs w:val="17"/>
          <w:lang w:val="es-CO"/>
        </w:rPr>
        <w:t>, tomo II,</w:t>
      </w:r>
      <w:r w:rsidR="005962BD" w:rsidRPr="005962BD">
        <w:rPr>
          <w:rFonts w:ascii="Arial" w:hAnsi="Arial" w:cs="Arial"/>
          <w:spacing w:val="-4"/>
          <w:sz w:val="17"/>
          <w:szCs w:val="17"/>
          <w:lang w:val="es-CO"/>
        </w:rPr>
        <w:t xml:space="preserve"> Escuela de Actu</w:t>
      </w:r>
      <w:r w:rsidR="005962BD">
        <w:rPr>
          <w:rFonts w:ascii="Arial" w:hAnsi="Arial" w:cs="Arial"/>
          <w:spacing w:val="-4"/>
          <w:sz w:val="17"/>
          <w:szCs w:val="17"/>
          <w:lang w:val="es-CO"/>
        </w:rPr>
        <w:t>alización Jurídica ESAJU</w:t>
      </w:r>
      <w:r w:rsidR="005962BD" w:rsidRPr="005962BD">
        <w:rPr>
          <w:rFonts w:ascii="Arial" w:hAnsi="Arial" w:cs="Arial"/>
          <w:spacing w:val="-4"/>
          <w:sz w:val="17"/>
          <w:szCs w:val="17"/>
          <w:lang w:val="es-CO"/>
        </w:rPr>
        <w:t>, Bogotá D</w:t>
      </w:r>
      <w:r w:rsidR="005962BD">
        <w:rPr>
          <w:rFonts w:ascii="Arial" w:hAnsi="Arial" w:cs="Arial"/>
          <w:spacing w:val="-4"/>
          <w:sz w:val="17"/>
          <w:szCs w:val="17"/>
          <w:lang w:val="es-CO"/>
        </w:rPr>
        <w:t>.</w:t>
      </w:r>
      <w:r w:rsidR="005962BD" w:rsidRPr="005962BD">
        <w:rPr>
          <w:rFonts w:ascii="Arial" w:hAnsi="Arial" w:cs="Arial"/>
          <w:spacing w:val="-4"/>
          <w:sz w:val="17"/>
          <w:szCs w:val="17"/>
          <w:lang w:val="es-CO"/>
        </w:rPr>
        <w:t>C</w:t>
      </w:r>
      <w:r w:rsidRPr="005962BD">
        <w:rPr>
          <w:rFonts w:ascii="Arial" w:hAnsi="Arial" w:cs="Arial"/>
          <w:spacing w:val="-4"/>
          <w:sz w:val="17"/>
          <w:szCs w:val="17"/>
          <w:lang w:val="es-CO"/>
        </w:rPr>
        <w:t>.</w:t>
      </w:r>
      <w:r w:rsidR="005962BD">
        <w:rPr>
          <w:rFonts w:ascii="Arial" w:hAnsi="Arial" w:cs="Arial"/>
          <w:spacing w:val="-4"/>
          <w:sz w:val="17"/>
          <w:szCs w:val="17"/>
          <w:lang w:val="es-CO"/>
        </w:rPr>
        <w:t>, 2013</w:t>
      </w:r>
      <w:r w:rsidR="005C34D8">
        <w:rPr>
          <w:rFonts w:ascii="Arial" w:hAnsi="Arial" w:cs="Arial"/>
          <w:spacing w:val="-4"/>
          <w:sz w:val="17"/>
          <w:szCs w:val="17"/>
          <w:lang w:val="es-CO"/>
        </w:rPr>
        <w:t>.</w:t>
      </w:r>
    </w:p>
    <w:p w:rsidR="00542A6A" w:rsidRPr="005D1B31" w:rsidRDefault="00542A6A" w:rsidP="00542A6A">
      <w:pPr>
        <w:pStyle w:val="Sinespaciado"/>
        <w:spacing w:line="360" w:lineRule="auto"/>
        <w:jc w:val="both"/>
        <w:rPr>
          <w:rFonts w:ascii="Arial" w:hAnsi="Arial" w:cs="Arial"/>
        </w:rPr>
      </w:pPr>
    </w:p>
    <w:p w:rsidR="00542A6A" w:rsidRDefault="00542A6A" w:rsidP="00283F3B">
      <w:pPr>
        <w:pStyle w:val="Sinespaciado1"/>
        <w:spacing w:line="360" w:lineRule="auto"/>
        <w:jc w:val="center"/>
        <w:rPr>
          <w:rFonts w:ascii="Arial" w:hAnsi="Arial" w:cs="Arial"/>
          <w:w w:val="140"/>
          <w:sz w:val="14"/>
        </w:rPr>
      </w:pPr>
    </w:p>
    <w:p w:rsidR="00542A6A" w:rsidRDefault="00542A6A" w:rsidP="00283F3B">
      <w:pPr>
        <w:pStyle w:val="Sinespaciado1"/>
        <w:spacing w:line="360" w:lineRule="auto"/>
        <w:jc w:val="center"/>
        <w:rPr>
          <w:rFonts w:ascii="Arial" w:hAnsi="Arial" w:cs="Arial"/>
          <w:w w:val="140"/>
          <w:sz w:val="14"/>
        </w:rPr>
      </w:pPr>
    </w:p>
    <w:p w:rsidR="000F4FD9" w:rsidRDefault="00FC0999" w:rsidP="00283F3B">
      <w:pPr>
        <w:pStyle w:val="Sinespaciado1"/>
        <w:spacing w:line="360" w:lineRule="auto"/>
        <w:jc w:val="center"/>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inespaciado"/>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704F">
      <w:pPr>
        <w:spacing w:line="360" w:lineRule="auto"/>
        <w:jc w:val="center"/>
        <w:rPr>
          <w:rFonts w:ascii="Arial" w:hAnsi="Arial" w:cs="Arial"/>
          <w:b/>
          <w:bCs/>
          <w:sz w:val="22"/>
          <w:szCs w:val="26"/>
        </w:rPr>
      </w:pPr>
    </w:p>
    <w:p w:rsidR="000F4FD9" w:rsidRPr="00BB695D" w:rsidRDefault="000F4FD9" w:rsidP="00681918">
      <w:pPr>
        <w:pStyle w:val="Textoindependien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BA3131" w:rsidRPr="00BB695D">
        <w:rPr>
          <w:rFonts w:ascii="Arial" w:hAnsi="Arial"/>
          <w:sz w:val="22"/>
          <w:szCs w:val="22"/>
        </w:rPr>
        <w:t>- A</w:t>
      </w:r>
      <w:r w:rsidRPr="00BB695D">
        <w:rPr>
          <w:rFonts w:ascii="Arial" w:hAnsi="Arial"/>
          <w:sz w:val="22"/>
          <w:szCs w:val="22"/>
        </w:rPr>
        <w:t>pelación</w:t>
      </w:r>
    </w:p>
    <w:p w:rsidR="00440173" w:rsidRPr="001F562E" w:rsidRDefault="00440173" w:rsidP="00440173">
      <w:pPr>
        <w:pStyle w:val="Textoindependiente"/>
        <w:spacing w:line="360" w:lineRule="auto"/>
        <w:rPr>
          <w:rFonts w:ascii="Arial" w:hAnsi="Arial" w:cs="Arial"/>
          <w:sz w:val="22"/>
          <w:szCs w:val="22"/>
        </w:rPr>
      </w:pPr>
      <w:r w:rsidRPr="001F562E">
        <w:rPr>
          <w:rFonts w:ascii="Arial" w:hAnsi="Arial" w:cs="Arial"/>
          <w:sz w:val="22"/>
          <w:szCs w:val="22"/>
        </w:rPr>
        <w:tab/>
      </w:r>
      <w:r>
        <w:rPr>
          <w:rFonts w:ascii="Arial" w:hAnsi="Arial" w:cs="Arial"/>
          <w:sz w:val="22"/>
          <w:szCs w:val="22"/>
        </w:rPr>
        <w:tab/>
      </w:r>
      <w:r w:rsidRPr="001F562E">
        <w:rPr>
          <w:rFonts w:ascii="Arial" w:hAnsi="Arial" w:cs="Arial"/>
          <w:sz w:val="22"/>
          <w:szCs w:val="22"/>
        </w:rPr>
        <w:t>Tipo de proceso</w:t>
      </w:r>
      <w:r w:rsidRPr="001F562E">
        <w:rPr>
          <w:rFonts w:ascii="Arial" w:hAnsi="Arial" w:cs="Arial"/>
          <w:sz w:val="22"/>
          <w:szCs w:val="22"/>
        </w:rPr>
        <w:tab/>
        <w:t xml:space="preserve">: Liquidatario – Sucesión </w:t>
      </w:r>
      <w:r>
        <w:rPr>
          <w:rFonts w:ascii="Arial" w:hAnsi="Arial" w:cs="Arial"/>
          <w:sz w:val="22"/>
          <w:szCs w:val="22"/>
        </w:rPr>
        <w:t>in</w:t>
      </w:r>
      <w:r w:rsidRPr="001F562E">
        <w:rPr>
          <w:rFonts w:ascii="Arial" w:hAnsi="Arial" w:cs="Arial"/>
          <w:sz w:val="22"/>
          <w:szCs w:val="22"/>
        </w:rPr>
        <w:t>testada</w:t>
      </w:r>
    </w:p>
    <w:p w:rsidR="00440173" w:rsidRPr="001F562E" w:rsidRDefault="00440173" w:rsidP="00440173">
      <w:pPr>
        <w:pStyle w:val="Textoindependiente"/>
        <w:spacing w:line="360" w:lineRule="auto"/>
        <w:rPr>
          <w:rFonts w:ascii="Arial" w:hAnsi="Arial" w:cs="Arial"/>
          <w:sz w:val="22"/>
          <w:szCs w:val="22"/>
        </w:rPr>
      </w:pPr>
      <w:r w:rsidRPr="001F562E">
        <w:rPr>
          <w:rFonts w:ascii="Arial" w:hAnsi="Arial" w:cs="Arial"/>
          <w:sz w:val="22"/>
          <w:szCs w:val="22"/>
        </w:rPr>
        <w:tab/>
      </w:r>
      <w:r>
        <w:rPr>
          <w:rFonts w:ascii="Arial" w:hAnsi="Arial" w:cs="Arial"/>
          <w:sz w:val="22"/>
          <w:szCs w:val="22"/>
        </w:rPr>
        <w:tab/>
      </w:r>
      <w:r w:rsidRPr="001F562E">
        <w:rPr>
          <w:rFonts w:ascii="Arial" w:hAnsi="Arial" w:cs="Arial"/>
          <w:sz w:val="22"/>
          <w:szCs w:val="22"/>
        </w:rPr>
        <w:t>Causante</w:t>
      </w:r>
      <w:r w:rsidRPr="001F562E">
        <w:rPr>
          <w:rFonts w:ascii="Arial" w:hAnsi="Arial" w:cs="Arial"/>
          <w:sz w:val="22"/>
          <w:szCs w:val="22"/>
        </w:rPr>
        <w:tab/>
      </w:r>
      <w:r w:rsidRPr="001F562E">
        <w:rPr>
          <w:rFonts w:ascii="Arial" w:hAnsi="Arial" w:cs="Arial"/>
          <w:sz w:val="22"/>
          <w:szCs w:val="22"/>
        </w:rPr>
        <w:tab/>
        <w:t xml:space="preserve">: </w:t>
      </w:r>
      <w:r>
        <w:rPr>
          <w:rFonts w:ascii="Arial" w:hAnsi="Arial" w:cs="Arial"/>
          <w:sz w:val="22"/>
          <w:szCs w:val="22"/>
        </w:rPr>
        <w:t>Gloria Amparo Marín Quintero</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Interesados</w:t>
      </w:r>
      <w:r w:rsidRPr="001F562E">
        <w:rPr>
          <w:rFonts w:ascii="Arial" w:hAnsi="Arial" w:cs="Arial"/>
          <w:sz w:val="22"/>
          <w:szCs w:val="22"/>
        </w:rPr>
        <w:tab/>
      </w:r>
      <w:r w:rsidRPr="001F562E">
        <w:rPr>
          <w:rFonts w:ascii="Arial" w:hAnsi="Arial" w:cs="Arial"/>
          <w:sz w:val="22"/>
          <w:szCs w:val="22"/>
        </w:rPr>
        <w:tab/>
        <w:t xml:space="preserve">: </w:t>
      </w:r>
      <w:r>
        <w:rPr>
          <w:rFonts w:ascii="Arial" w:hAnsi="Arial" w:cs="Arial"/>
          <w:sz w:val="22"/>
          <w:szCs w:val="22"/>
        </w:rPr>
        <w:t>Oliverio de Jesús Marín Quintero y otros</w:t>
      </w:r>
      <w:r w:rsidRPr="001F562E">
        <w:rPr>
          <w:rFonts w:ascii="Arial" w:hAnsi="Arial" w:cs="Arial"/>
          <w:sz w:val="22"/>
          <w:szCs w:val="22"/>
        </w:rPr>
        <w:t xml:space="preserve"> </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xml:space="preserve">: Juzgado </w:t>
      </w:r>
      <w:r>
        <w:rPr>
          <w:rFonts w:ascii="Arial" w:hAnsi="Arial" w:cs="Arial"/>
          <w:sz w:val="22"/>
          <w:szCs w:val="22"/>
        </w:rPr>
        <w:t xml:space="preserve">Único Promiscuo del Circuito de Quinchía </w:t>
      </w:r>
    </w:p>
    <w:p w:rsidR="00440173" w:rsidRDefault="00440173" w:rsidP="00440173">
      <w:pPr>
        <w:pStyle w:val="Textoindependien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Pr>
          <w:rFonts w:ascii="Arial" w:hAnsi="Arial" w:cs="Arial"/>
          <w:sz w:val="22"/>
          <w:szCs w:val="22"/>
        </w:rPr>
        <w:t>5-00050-01</w:t>
      </w:r>
    </w:p>
    <w:p w:rsidR="009D0B7B" w:rsidRPr="009D0B7B" w:rsidRDefault="009D0B7B" w:rsidP="00440173">
      <w:pPr>
        <w:pStyle w:val="Textoindependiente"/>
        <w:spacing w:line="360" w:lineRule="auto"/>
        <w:ind w:left="1416"/>
        <w:rPr>
          <w:rFonts w:ascii="Arial" w:hAnsi="Arial" w:cs="Arial"/>
          <w:sz w:val="22"/>
          <w:szCs w:val="22"/>
          <w:lang w:val="es-CO"/>
        </w:rPr>
      </w:pPr>
      <w:r w:rsidRPr="009D0B7B">
        <w:rPr>
          <w:rFonts w:ascii="Arial" w:hAnsi="Arial" w:cs="Arial"/>
          <w:sz w:val="22"/>
          <w:szCs w:val="22"/>
          <w:lang w:val="es-CO"/>
        </w:rPr>
        <w:t>Mag.Sustanciador</w:t>
      </w:r>
      <w:r w:rsidRPr="009D0B7B">
        <w:rPr>
          <w:rFonts w:ascii="Arial" w:hAnsi="Arial" w:cs="Arial"/>
          <w:sz w:val="22"/>
          <w:szCs w:val="22"/>
          <w:lang w:val="es-CO"/>
        </w:rPr>
        <w:tab/>
        <w:t xml:space="preserve">: </w:t>
      </w:r>
      <w:r w:rsidRPr="009D0B7B">
        <w:rPr>
          <w:rFonts w:ascii="Arial" w:hAnsi="Arial" w:cs="Arial"/>
          <w:smallCaps/>
          <w:sz w:val="22"/>
          <w:szCs w:val="22"/>
          <w:lang w:val="es-CO"/>
        </w:rPr>
        <w:t>Duberney Grisales Herrera</w:t>
      </w:r>
    </w:p>
    <w:p w:rsidR="000F4FD9" w:rsidRDefault="000F4FD9" w:rsidP="00984E65">
      <w:pPr>
        <w:pStyle w:val="Textoindependiente"/>
        <w:pBdr>
          <w:bottom w:val="double" w:sz="6" w:space="1" w:color="auto"/>
        </w:pBdr>
        <w:spacing w:line="276" w:lineRule="auto"/>
        <w:jc w:val="center"/>
        <w:rPr>
          <w:rFonts w:ascii="Arial" w:hAnsi="Arial" w:cs="Arial"/>
          <w:sz w:val="22"/>
        </w:rPr>
      </w:pPr>
    </w:p>
    <w:p w:rsidR="000F4FD9" w:rsidRPr="0001641A" w:rsidRDefault="000F4FD9" w:rsidP="00A14F72">
      <w:pPr>
        <w:pStyle w:val="Textoindependiente"/>
        <w:spacing w:line="276" w:lineRule="auto"/>
        <w:jc w:val="center"/>
        <w:rPr>
          <w:rFonts w:ascii="Arial" w:hAnsi="Arial" w:cs="Arial"/>
          <w:szCs w:val="24"/>
        </w:rPr>
      </w:pPr>
    </w:p>
    <w:p w:rsidR="000F4FD9" w:rsidRPr="0001641A" w:rsidRDefault="000F4FD9" w:rsidP="00A14F72">
      <w:pPr>
        <w:pStyle w:val="Textoindependiente"/>
        <w:spacing w:line="276" w:lineRule="auto"/>
        <w:jc w:val="center"/>
        <w:rPr>
          <w:rFonts w:ascii="Arial" w:hAnsi="Arial" w:cs="Arial"/>
          <w:szCs w:val="24"/>
        </w:rPr>
      </w:pPr>
    </w:p>
    <w:p w:rsidR="000F4FD9" w:rsidRPr="00657D91" w:rsidRDefault="000F4FD9" w:rsidP="00310452">
      <w:pPr>
        <w:spacing w:line="360" w:lineRule="auto"/>
        <w:jc w:val="center"/>
        <w:rPr>
          <w:rFonts w:ascii="Arial" w:hAnsi="Arial" w:cs="Arial"/>
          <w:bCs/>
          <w:sz w:val="24"/>
          <w:szCs w:val="24"/>
          <w:lang w:val="es-CO"/>
        </w:rPr>
      </w:pPr>
      <w:r>
        <w:rPr>
          <w:rFonts w:ascii="Arial" w:hAnsi="Arial" w:cs="Arial"/>
          <w:bCs/>
          <w:smallCaps/>
          <w:sz w:val="24"/>
          <w:szCs w:val="24"/>
          <w:lang w:val="es-CO"/>
        </w:rPr>
        <w:t>Pereira</w:t>
      </w:r>
      <w:r w:rsidRPr="00657D91">
        <w:rPr>
          <w:rFonts w:ascii="Arial" w:hAnsi="Arial" w:cs="Arial"/>
          <w:bCs/>
          <w:smallCaps/>
          <w:sz w:val="24"/>
          <w:szCs w:val="24"/>
          <w:lang w:val="es-CO"/>
        </w:rPr>
        <w:t xml:space="preserve">, </w:t>
      </w:r>
      <w:r w:rsidR="00CD02D2">
        <w:rPr>
          <w:rFonts w:ascii="Arial" w:hAnsi="Arial" w:cs="Arial"/>
          <w:bCs/>
          <w:smallCaps/>
          <w:sz w:val="24"/>
          <w:szCs w:val="24"/>
          <w:lang w:val="es-CO"/>
        </w:rPr>
        <w:t xml:space="preserve">R., </w:t>
      </w:r>
      <w:r w:rsidR="00324C60">
        <w:rPr>
          <w:rFonts w:ascii="Arial" w:hAnsi="Arial" w:cs="Arial"/>
          <w:bCs/>
          <w:smallCaps/>
          <w:sz w:val="24"/>
          <w:szCs w:val="24"/>
          <w:lang w:val="es-CO"/>
        </w:rPr>
        <w:t xml:space="preserve">tres </w:t>
      </w:r>
      <w:r w:rsidRPr="00657D91">
        <w:rPr>
          <w:rFonts w:ascii="Arial" w:hAnsi="Arial" w:cs="Arial"/>
          <w:bCs/>
          <w:smallCaps/>
          <w:sz w:val="24"/>
          <w:szCs w:val="24"/>
          <w:lang w:val="es-CO"/>
        </w:rPr>
        <w:t>(</w:t>
      </w:r>
      <w:r w:rsidR="00324C60">
        <w:rPr>
          <w:rFonts w:ascii="Arial" w:hAnsi="Arial" w:cs="Arial"/>
          <w:bCs/>
          <w:smallCaps/>
          <w:sz w:val="24"/>
          <w:szCs w:val="24"/>
          <w:lang w:val="es-CO"/>
        </w:rPr>
        <w:t>3º</w:t>
      </w:r>
      <w:r w:rsidRPr="00657D91">
        <w:rPr>
          <w:rFonts w:ascii="Arial" w:hAnsi="Arial" w:cs="Arial"/>
          <w:bCs/>
          <w:smallCaps/>
          <w:sz w:val="24"/>
          <w:szCs w:val="24"/>
          <w:lang w:val="es-CO"/>
        </w:rPr>
        <w:t xml:space="preserve">) de </w:t>
      </w:r>
      <w:r w:rsidR="00BB695D">
        <w:rPr>
          <w:rFonts w:ascii="Arial" w:hAnsi="Arial" w:cs="Arial"/>
          <w:bCs/>
          <w:smallCaps/>
          <w:sz w:val="24"/>
          <w:szCs w:val="24"/>
          <w:lang w:val="es-CO"/>
        </w:rPr>
        <w:t>febrero</w:t>
      </w:r>
      <w:r w:rsidRPr="00657D91">
        <w:rPr>
          <w:rFonts w:ascii="Arial" w:hAnsi="Arial" w:cs="Arial"/>
          <w:bCs/>
          <w:smallCaps/>
          <w:sz w:val="24"/>
          <w:szCs w:val="24"/>
          <w:lang w:val="es-CO"/>
        </w:rPr>
        <w:t xml:space="preserve"> de dos mil </w:t>
      </w:r>
      <w:r w:rsidR="009D0B7B">
        <w:rPr>
          <w:rFonts w:ascii="Arial" w:hAnsi="Arial" w:cs="Arial"/>
          <w:bCs/>
          <w:smallCaps/>
          <w:sz w:val="24"/>
          <w:szCs w:val="24"/>
          <w:lang w:val="es-CO"/>
        </w:rPr>
        <w:t xml:space="preserve">dieciséis </w:t>
      </w:r>
      <w:r w:rsidRPr="00657D91">
        <w:rPr>
          <w:rFonts w:ascii="Arial" w:hAnsi="Arial" w:cs="Arial"/>
          <w:bCs/>
          <w:smallCaps/>
          <w:sz w:val="24"/>
          <w:szCs w:val="24"/>
          <w:lang w:val="es-CO"/>
        </w:rPr>
        <w:t>(201</w:t>
      </w:r>
      <w:r w:rsidR="009D0B7B">
        <w:rPr>
          <w:rFonts w:ascii="Arial" w:hAnsi="Arial" w:cs="Arial"/>
          <w:bCs/>
          <w:smallCaps/>
          <w:sz w:val="24"/>
          <w:szCs w:val="24"/>
          <w:lang w:val="es-CO"/>
        </w:rPr>
        <w:t>6</w:t>
      </w:r>
      <w:r w:rsidRPr="00657D91">
        <w:rPr>
          <w:rFonts w:ascii="Arial" w:hAnsi="Arial" w:cs="Arial"/>
          <w:bCs/>
          <w:smallCaps/>
          <w:sz w:val="24"/>
          <w:szCs w:val="24"/>
          <w:lang w:val="es-CO"/>
        </w:rPr>
        <w:t>)</w:t>
      </w:r>
      <w:r w:rsidRPr="00657D91">
        <w:rPr>
          <w:rFonts w:ascii="Arial" w:hAnsi="Arial" w:cs="Arial"/>
          <w:bCs/>
          <w:sz w:val="24"/>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inespaciado"/>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Puesto"/>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Pr>
          <w:rFonts w:ascii="Arial" w:hAnsi="Arial" w:cs="Arial"/>
          <w:sz w:val="24"/>
          <w:szCs w:val="24"/>
        </w:rPr>
        <w:t>12-11-2015</w:t>
      </w:r>
      <w:r w:rsidR="000F4FD9" w:rsidRPr="00B40F83">
        <w:rPr>
          <w:rFonts w:ascii="Arial" w:hAnsi="Arial" w:cs="Arial"/>
          <w:sz w:val="24"/>
          <w:szCs w:val="24"/>
        </w:rPr>
        <w:t xml:space="preserve">, </w:t>
      </w:r>
      <w:r w:rsidR="00924E0B">
        <w:rPr>
          <w:rFonts w:ascii="Arial" w:hAnsi="Arial" w:cs="Arial"/>
          <w:sz w:val="24"/>
          <w:szCs w:val="24"/>
        </w:rPr>
        <w:t xml:space="preserve">que </w:t>
      </w:r>
      <w:r>
        <w:rPr>
          <w:rFonts w:ascii="Arial" w:hAnsi="Arial" w:cs="Arial"/>
          <w:sz w:val="24"/>
          <w:szCs w:val="24"/>
        </w:rPr>
        <w:t>improbó los inventarios y avalúos</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BD12C5">
      <w:pPr>
        <w:pStyle w:val="Sinespaciado"/>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Pr="00AC3AFA" w:rsidRDefault="000F4FD9" w:rsidP="00395DD3">
      <w:pPr>
        <w:spacing w:line="360" w:lineRule="auto"/>
        <w:jc w:val="both"/>
        <w:rPr>
          <w:rFonts w:ascii="Arial" w:hAnsi="Arial" w:cs="Arial"/>
          <w:sz w:val="24"/>
        </w:rPr>
      </w:pPr>
    </w:p>
    <w:p w:rsidR="000F4FD9" w:rsidRPr="002E1265" w:rsidRDefault="000F4FD9" w:rsidP="00AC3AFA">
      <w:pPr>
        <w:spacing w:line="360" w:lineRule="auto"/>
        <w:jc w:val="both"/>
        <w:rPr>
          <w:rFonts w:ascii="Arial" w:hAnsi="Arial" w:cs="Arial"/>
          <w:sz w:val="24"/>
          <w:szCs w:val="24"/>
        </w:rPr>
      </w:pPr>
      <w:r w:rsidRPr="002E1265">
        <w:rPr>
          <w:rFonts w:ascii="Arial" w:hAnsi="Arial" w:cs="Arial"/>
          <w:sz w:val="24"/>
          <w:szCs w:val="24"/>
        </w:rPr>
        <w:lastRenderedPageBreak/>
        <w:t>Desde la óptica procesal, en presencia de los recursos, deben siempre concurrir los llamados presupuestos de viabilidad</w:t>
      </w:r>
      <w:r>
        <w:rPr>
          <w:rFonts w:ascii="Arial" w:hAnsi="Arial" w:cs="Arial"/>
          <w:sz w:val="24"/>
          <w:szCs w:val="24"/>
        </w:rPr>
        <w:t xml:space="preserve"> o trámite del recurso</w:t>
      </w:r>
      <w:r w:rsidRPr="002E1265">
        <w:rPr>
          <w:rFonts w:ascii="Arial" w:hAnsi="Arial" w:cs="Arial"/>
          <w:sz w:val="24"/>
          <w:szCs w:val="24"/>
        </w:rPr>
        <w:t>, al decir de la doctrina 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2E1265">
        <w:rPr>
          <w:rFonts w:ascii="Arial" w:hAnsi="Arial" w:cs="Arial"/>
          <w:sz w:val="24"/>
          <w:szCs w:val="24"/>
        </w:rPr>
        <w:t>, a efecto</w:t>
      </w:r>
      <w:r>
        <w:rPr>
          <w:rFonts w:ascii="Arial" w:hAnsi="Arial" w:cs="Arial"/>
          <w:sz w:val="24"/>
          <w:szCs w:val="24"/>
        </w:rPr>
        <w:t>s de examinar el tema de apelación.</w:t>
      </w:r>
    </w:p>
    <w:p w:rsidR="000F4FD9" w:rsidRPr="00B27CC5" w:rsidRDefault="000F4FD9" w:rsidP="00AC3AFA">
      <w:pPr>
        <w:pStyle w:val="Sinespaciado"/>
        <w:spacing w:line="360" w:lineRule="auto"/>
        <w:jc w:val="both"/>
        <w:rPr>
          <w:rFonts w:ascii="Arial" w:hAnsi="Arial" w:cs="Arial"/>
        </w:rPr>
      </w:pPr>
    </w:p>
    <w:p w:rsidR="002B6258" w:rsidRDefault="0044659A" w:rsidP="00B27CC5">
      <w:pPr>
        <w:pStyle w:val="Sinespaciado"/>
        <w:spacing w:line="360" w:lineRule="auto"/>
        <w:jc w:val="both"/>
        <w:rPr>
          <w:rFonts w:ascii="Arial" w:hAnsi="Arial" w:cs="Arial"/>
        </w:rPr>
      </w:pPr>
      <w:r w:rsidRPr="00B27CC5">
        <w:rPr>
          <w:rFonts w:ascii="Arial" w:hAnsi="Arial" w:cs="Arial"/>
        </w:rPr>
        <w:t xml:space="preserve">Los </w:t>
      </w:r>
      <w:r w:rsidR="00CF259F" w:rsidRPr="00B27CC5">
        <w:rPr>
          <w:rFonts w:ascii="Arial" w:hAnsi="Arial" w:cs="Arial"/>
        </w:rPr>
        <w:t>referidos</w:t>
      </w:r>
      <w:r w:rsidR="000F4FD9" w:rsidRPr="00B27CC5">
        <w:rPr>
          <w:rFonts w:ascii="Arial" w:hAnsi="Arial" w:cs="Arial"/>
        </w:rPr>
        <w:t xml:space="preserve"> presupuestos son una serie de exigencias normativas formales que permiten su trámite y aseguran su decisión.  </w:t>
      </w:r>
      <w:r>
        <w:rPr>
          <w:rFonts w:ascii="Arial" w:hAnsi="Arial" w:cs="Arial"/>
        </w:rPr>
        <w:t xml:space="preserve">Así lo </w:t>
      </w:r>
      <w:r w:rsidR="000F4FD9" w:rsidRPr="00B27CC5">
        <w:rPr>
          <w:rFonts w:ascii="Arial" w:hAnsi="Arial" w:cs="Arial"/>
        </w:rPr>
        <w:t>anota el profesor López Blanco: “</w:t>
      </w:r>
      <w:r w:rsidR="000F4FD9" w:rsidRPr="00B27CC5">
        <w:rPr>
          <w:rFonts w:ascii="Arial" w:hAnsi="Arial" w:cs="Arial"/>
          <w:i/>
          <w:sz w:val="22"/>
        </w:rPr>
        <w:t>En todo caso sin estar reunidos los requisitos de viabilidad del recurso jamás se podrá tener éxito en el mismo por constituir un precedente necesario para decidirlo</w:t>
      </w:r>
      <w:r w:rsidR="000F4FD9" w:rsidRPr="00B27CC5">
        <w:rPr>
          <w:rFonts w:ascii="Arial" w:hAnsi="Arial" w:cs="Arial"/>
          <w:i/>
        </w:rPr>
        <w:t>.</w:t>
      </w:r>
      <w:r w:rsidR="000F4FD9" w:rsidRPr="00B27CC5">
        <w:rPr>
          <w:rFonts w:ascii="Arial" w:hAnsi="Arial" w:cs="Arial"/>
        </w:rPr>
        <w:t>”</w:t>
      </w:r>
      <w:r w:rsidR="000F4FD9" w:rsidRPr="00B27CC5">
        <w:rPr>
          <w:rFonts w:ascii="Arial" w:hAnsi="Arial" w:cs="Arial"/>
          <w:vertAlign w:val="superscript"/>
        </w:rPr>
        <w:footnoteReference w:id="3"/>
      </w:r>
      <w:r w:rsidR="000F4FD9" w:rsidRPr="00B27CC5">
        <w:rPr>
          <w:rFonts w:ascii="Arial" w:hAnsi="Arial" w:cs="Arial"/>
        </w:rPr>
        <w:t xml:space="preserve">. </w:t>
      </w:r>
      <w:r>
        <w:rPr>
          <w:rFonts w:ascii="Arial" w:hAnsi="Arial" w:cs="Arial"/>
        </w:rPr>
        <w:t>Y lo e</w:t>
      </w:r>
      <w:r w:rsidR="000F4FD9" w:rsidRPr="00B27CC5">
        <w:rPr>
          <w:rFonts w:ascii="Arial" w:hAnsi="Arial" w:cs="Arial"/>
        </w:rPr>
        <w:t>xplica el profesor Rojas Gómez</w:t>
      </w:r>
      <w:r w:rsidR="000F4FD9" w:rsidRPr="00B27CC5">
        <w:rPr>
          <w:rStyle w:val="Refdenotaalpie"/>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inespaciado"/>
        <w:spacing w:line="360" w:lineRule="auto"/>
        <w:jc w:val="both"/>
        <w:rPr>
          <w:rFonts w:ascii="Arial" w:hAnsi="Arial" w:cs="Arial"/>
        </w:rPr>
      </w:pPr>
    </w:p>
    <w:p w:rsidR="009C2613" w:rsidRDefault="000F4FD9" w:rsidP="00395DD3">
      <w:pPr>
        <w:pStyle w:val="Sinespaciado"/>
        <w:spacing w:line="360" w:lineRule="auto"/>
        <w:jc w:val="both"/>
        <w:rPr>
          <w:rFonts w:ascii="Arial" w:hAnsi="Arial" w:cs="Arial"/>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Corte Suprema de Justicia</w:t>
      </w:r>
      <w:r w:rsidR="004B2CC1">
        <w:rPr>
          <w:rStyle w:val="Refdenotaalpie"/>
          <w:rFonts w:ascii="Arial" w:hAnsi="Arial"/>
        </w:rPr>
        <w:footnoteReference w:id="5"/>
      </w:r>
      <w:r w:rsidR="00802BC8">
        <w:rPr>
          <w:rFonts w:ascii="Arial" w:hAnsi="Arial" w:cs="Arial"/>
        </w:rPr>
        <w:t xml:space="preserve"> e</w:t>
      </w:r>
      <w:r w:rsidR="0023712B">
        <w:rPr>
          <w:rFonts w:ascii="Arial" w:hAnsi="Arial" w:cs="Arial"/>
        </w:rPr>
        <w:t>nseña</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p>
    <w:p w:rsidR="00647802" w:rsidRDefault="00647802" w:rsidP="00395DD3">
      <w:pPr>
        <w:pStyle w:val="Sinespaciado"/>
        <w:spacing w:line="360" w:lineRule="auto"/>
        <w:jc w:val="both"/>
        <w:rPr>
          <w:rFonts w:ascii="Arial" w:hAnsi="Arial" w:cs="Arial"/>
        </w:rPr>
      </w:pPr>
    </w:p>
    <w:p w:rsidR="00965470" w:rsidRDefault="00925B32" w:rsidP="00965470">
      <w:pPr>
        <w:pStyle w:val="Sinespaciado"/>
        <w:spacing w:line="360" w:lineRule="auto"/>
        <w:jc w:val="both"/>
        <w:rPr>
          <w:rFonts w:ascii="Arial" w:hAnsi="Arial" w:cs="Arial"/>
        </w:rPr>
      </w:pPr>
      <w:r>
        <w:rPr>
          <w:rFonts w:ascii="Arial" w:hAnsi="Arial" w:cs="Arial"/>
        </w:rPr>
        <w:t xml:space="preserve">Para el </w:t>
      </w:r>
      <w:r w:rsidR="000F4FD9" w:rsidRPr="002A4492">
        <w:rPr>
          <w:rFonts w:ascii="Arial" w:hAnsi="Arial" w:cs="Arial"/>
          <w:i/>
        </w:rPr>
        <w:t>sub lite</w:t>
      </w:r>
      <w:r w:rsidR="000F4FD9" w:rsidRPr="002E1265">
        <w:rPr>
          <w:rFonts w:ascii="Arial" w:hAnsi="Arial" w:cs="Arial"/>
        </w:rPr>
        <w:t xml:space="preserve"> 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965470">
      <w:pPr>
        <w:pStyle w:val="Sinespaciado"/>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inespaciado"/>
        <w:spacing w:line="360" w:lineRule="auto"/>
        <w:jc w:val="both"/>
        <w:rPr>
          <w:rFonts w:ascii="Arial" w:hAnsi="Arial" w:cs="Arial"/>
        </w:rPr>
      </w:pPr>
    </w:p>
    <w:p w:rsidR="00CD61D9" w:rsidRDefault="00815618" w:rsidP="00965470">
      <w:pPr>
        <w:pStyle w:val="Sinespaciado"/>
        <w:spacing w:line="360" w:lineRule="auto"/>
        <w:jc w:val="both"/>
        <w:rPr>
          <w:rFonts w:ascii="Arial" w:hAnsi="Arial" w:cs="Arial"/>
        </w:rPr>
      </w:pPr>
      <w:r>
        <w:rPr>
          <w:rFonts w:ascii="Arial" w:hAnsi="Arial" w:cs="Arial"/>
        </w:rPr>
        <w:t>Para l</w:t>
      </w:r>
      <w:r w:rsidR="005846FC">
        <w:rPr>
          <w:rFonts w:ascii="Arial" w:hAnsi="Arial" w:cs="Arial"/>
        </w:rPr>
        <w:t xml:space="preserve">os asuntos </w:t>
      </w:r>
      <w:r>
        <w:rPr>
          <w:rFonts w:ascii="Arial" w:hAnsi="Arial" w:cs="Arial"/>
        </w:rPr>
        <w:t xml:space="preserve">tramitados </w:t>
      </w:r>
      <w:r w:rsidR="001901EC">
        <w:rPr>
          <w:rFonts w:ascii="Arial" w:hAnsi="Arial" w:cs="Arial"/>
        </w:rPr>
        <w:t>en vigencia d</w:t>
      </w:r>
      <w:r>
        <w:rPr>
          <w:rFonts w:ascii="Arial" w:hAnsi="Arial" w:cs="Arial"/>
        </w:rPr>
        <w:t xml:space="preserve">el CPC y en los que </w:t>
      </w:r>
      <w:r w:rsidR="005846FC">
        <w:rPr>
          <w:rFonts w:ascii="Arial" w:hAnsi="Arial" w:cs="Arial"/>
        </w:rPr>
        <w:t xml:space="preserve">tiene </w:t>
      </w:r>
      <w:r w:rsidR="00F27C3C">
        <w:rPr>
          <w:rFonts w:ascii="Arial" w:hAnsi="Arial" w:cs="Arial"/>
        </w:rPr>
        <w:t xml:space="preserve">lugar </w:t>
      </w:r>
      <w:r w:rsidR="005846FC">
        <w:rPr>
          <w:rFonts w:ascii="Arial" w:hAnsi="Arial" w:cs="Arial"/>
        </w:rPr>
        <w:t xml:space="preserve">la </w:t>
      </w:r>
      <w:r w:rsidR="00F27C3C">
        <w:rPr>
          <w:rFonts w:ascii="Arial" w:hAnsi="Arial" w:cs="Arial"/>
        </w:rPr>
        <w:t>práctica</w:t>
      </w:r>
      <w:r w:rsidR="005846FC">
        <w:rPr>
          <w:rFonts w:ascii="Arial" w:hAnsi="Arial" w:cs="Arial"/>
        </w:rPr>
        <w:t xml:space="preserve"> de inventario y avalúos de bienes</w:t>
      </w:r>
      <w:r w:rsidR="00F27C3C">
        <w:rPr>
          <w:rFonts w:ascii="Arial" w:hAnsi="Arial" w:cs="Arial"/>
        </w:rPr>
        <w:t xml:space="preserve"> (Liquidatorios)</w:t>
      </w:r>
      <w:r>
        <w:rPr>
          <w:rFonts w:ascii="Arial" w:hAnsi="Arial" w:cs="Arial"/>
        </w:rPr>
        <w:t>,</w:t>
      </w:r>
      <w:r w:rsidR="00F27C3C">
        <w:rPr>
          <w:rFonts w:ascii="Arial" w:hAnsi="Arial" w:cs="Arial"/>
        </w:rPr>
        <w:t xml:space="preserve"> </w:t>
      </w:r>
      <w:r>
        <w:rPr>
          <w:rFonts w:ascii="Arial" w:hAnsi="Arial" w:cs="Arial"/>
        </w:rPr>
        <w:t xml:space="preserve">deben </w:t>
      </w:r>
      <w:r w:rsidR="00F27C3C">
        <w:rPr>
          <w:rFonts w:ascii="Arial" w:hAnsi="Arial" w:cs="Arial"/>
        </w:rPr>
        <w:t>seguirse entre otras</w:t>
      </w:r>
      <w:r>
        <w:rPr>
          <w:rFonts w:ascii="Arial" w:hAnsi="Arial" w:cs="Arial"/>
        </w:rPr>
        <w:t>,</w:t>
      </w:r>
      <w:r w:rsidR="00F27C3C">
        <w:rPr>
          <w:rFonts w:ascii="Arial" w:hAnsi="Arial" w:cs="Arial"/>
        </w:rPr>
        <w:t xml:space="preserve"> las reglas consagradas </w:t>
      </w:r>
      <w:r w:rsidR="00CD61D9">
        <w:rPr>
          <w:rFonts w:ascii="Arial" w:hAnsi="Arial" w:cs="Arial"/>
        </w:rPr>
        <w:t xml:space="preserve">por </w:t>
      </w:r>
      <w:r w:rsidR="00F27C3C">
        <w:rPr>
          <w:rFonts w:ascii="Arial" w:hAnsi="Arial" w:cs="Arial"/>
        </w:rPr>
        <w:t>l</w:t>
      </w:r>
      <w:r w:rsidR="00CD61D9">
        <w:rPr>
          <w:rFonts w:ascii="Arial" w:hAnsi="Arial" w:cs="Arial"/>
        </w:rPr>
        <w:t>os</w:t>
      </w:r>
      <w:r w:rsidR="00F27C3C">
        <w:rPr>
          <w:rFonts w:ascii="Arial" w:hAnsi="Arial" w:cs="Arial"/>
        </w:rPr>
        <w:t xml:space="preserve"> artículo</w:t>
      </w:r>
      <w:r w:rsidR="00CD61D9">
        <w:rPr>
          <w:rFonts w:ascii="Arial" w:hAnsi="Arial" w:cs="Arial"/>
        </w:rPr>
        <w:t>s</w:t>
      </w:r>
      <w:r w:rsidR="00F27C3C">
        <w:rPr>
          <w:rFonts w:ascii="Arial" w:hAnsi="Arial" w:cs="Arial"/>
        </w:rPr>
        <w:t xml:space="preserve"> 600</w:t>
      </w:r>
      <w:r w:rsidR="00CD61D9">
        <w:rPr>
          <w:rFonts w:ascii="Arial" w:hAnsi="Arial" w:cs="Arial"/>
        </w:rPr>
        <w:t xml:space="preserve"> y 601</w:t>
      </w:r>
      <w:r w:rsidR="00F27C3C">
        <w:rPr>
          <w:rFonts w:ascii="Arial" w:hAnsi="Arial" w:cs="Arial"/>
        </w:rPr>
        <w:t xml:space="preserve"> de</w:t>
      </w:r>
      <w:r>
        <w:rPr>
          <w:rFonts w:ascii="Arial" w:hAnsi="Arial" w:cs="Arial"/>
        </w:rPr>
        <w:t xml:space="preserve"> esa normativa</w:t>
      </w:r>
      <w:r w:rsidR="00CD61D9">
        <w:rPr>
          <w:rFonts w:ascii="Arial" w:hAnsi="Arial" w:cs="Arial"/>
        </w:rPr>
        <w:t xml:space="preserve">. </w:t>
      </w:r>
    </w:p>
    <w:p w:rsidR="00CD61D9" w:rsidRPr="005D1B31" w:rsidRDefault="00CD61D9" w:rsidP="00965470">
      <w:pPr>
        <w:pStyle w:val="Sinespaciado"/>
        <w:spacing w:line="360" w:lineRule="auto"/>
        <w:jc w:val="both"/>
        <w:rPr>
          <w:rFonts w:ascii="Arial" w:hAnsi="Arial" w:cs="Arial"/>
        </w:rPr>
      </w:pPr>
    </w:p>
    <w:p w:rsidR="00D20747" w:rsidRDefault="00CD61D9" w:rsidP="00965470">
      <w:pPr>
        <w:pStyle w:val="Sinespaciado"/>
        <w:spacing w:line="360" w:lineRule="auto"/>
        <w:jc w:val="both"/>
        <w:rPr>
          <w:rFonts w:ascii="Arial" w:hAnsi="Arial" w:cs="Arial"/>
        </w:rPr>
      </w:pPr>
      <w:r>
        <w:rPr>
          <w:rFonts w:ascii="Arial" w:hAnsi="Arial" w:cs="Arial"/>
        </w:rPr>
        <w:t xml:space="preserve">La primera norma </w:t>
      </w:r>
      <w:r w:rsidR="00815618">
        <w:rPr>
          <w:rFonts w:ascii="Arial" w:hAnsi="Arial" w:cs="Arial"/>
        </w:rPr>
        <w:t>es</w:t>
      </w:r>
      <w:r w:rsidR="00F27C3C">
        <w:rPr>
          <w:rFonts w:ascii="Arial" w:hAnsi="Arial" w:cs="Arial"/>
        </w:rPr>
        <w:t>tablece</w:t>
      </w:r>
      <w:r w:rsidR="001901EC">
        <w:rPr>
          <w:rFonts w:ascii="Arial" w:hAnsi="Arial" w:cs="Arial"/>
        </w:rPr>
        <w:t>,</w:t>
      </w:r>
      <w:r>
        <w:rPr>
          <w:rFonts w:ascii="Arial" w:hAnsi="Arial" w:cs="Arial"/>
        </w:rPr>
        <w:t xml:space="preserve"> la apelabilidad de la decisi</w:t>
      </w:r>
      <w:r w:rsidR="001901EC">
        <w:rPr>
          <w:rFonts w:ascii="Arial" w:hAnsi="Arial" w:cs="Arial"/>
        </w:rPr>
        <w:t>ón que emite</w:t>
      </w:r>
      <w:r w:rsidR="00C10030">
        <w:rPr>
          <w:rFonts w:ascii="Arial" w:hAnsi="Arial" w:cs="Arial"/>
        </w:rPr>
        <w:t xml:space="preserve"> el operador judicial cuando en esa diligencia se incluy</w:t>
      </w:r>
      <w:r w:rsidR="001901EC">
        <w:rPr>
          <w:rFonts w:ascii="Arial" w:hAnsi="Arial" w:cs="Arial"/>
        </w:rPr>
        <w:t xml:space="preserve">eron </w:t>
      </w:r>
      <w:r w:rsidR="00C10030">
        <w:rPr>
          <w:rFonts w:ascii="Arial" w:hAnsi="Arial" w:cs="Arial"/>
        </w:rPr>
        <w:t>bienes del cónyuge sobreviviente y se propon</w:t>
      </w:r>
      <w:r w:rsidR="001901EC">
        <w:rPr>
          <w:rFonts w:ascii="Arial" w:hAnsi="Arial" w:cs="Arial"/>
        </w:rPr>
        <w:t>e</w:t>
      </w:r>
      <w:r w:rsidR="00C10030">
        <w:rPr>
          <w:rFonts w:ascii="Arial" w:hAnsi="Arial" w:cs="Arial"/>
        </w:rPr>
        <w:t xml:space="preserve"> incidente para su exclusión</w:t>
      </w:r>
      <w:r w:rsidR="001901EC">
        <w:rPr>
          <w:rFonts w:ascii="Arial" w:hAnsi="Arial" w:cs="Arial"/>
        </w:rPr>
        <w:t xml:space="preserve">. La </w:t>
      </w:r>
      <w:r w:rsidR="00C10030">
        <w:rPr>
          <w:rFonts w:ascii="Arial" w:hAnsi="Arial" w:cs="Arial"/>
        </w:rPr>
        <w:t>segunda estipula la alzada</w:t>
      </w:r>
      <w:r w:rsidR="001901EC">
        <w:rPr>
          <w:rFonts w:ascii="Arial" w:hAnsi="Arial" w:cs="Arial"/>
        </w:rPr>
        <w:t>,</w:t>
      </w:r>
      <w:r w:rsidR="00C10030">
        <w:rPr>
          <w:rFonts w:ascii="Arial" w:hAnsi="Arial" w:cs="Arial"/>
        </w:rPr>
        <w:t xml:space="preserve"> para el proveído que también en trámite incidental, decid</w:t>
      </w:r>
      <w:r w:rsidR="001901EC">
        <w:rPr>
          <w:rFonts w:ascii="Arial" w:hAnsi="Arial" w:cs="Arial"/>
        </w:rPr>
        <w:t>e</w:t>
      </w:r>
      <w:r w:rsidR="00C10030">
        <w:rPr>
          <w:rFonts w:ascii="Arial" w:hAnsi="Arial" w:cs="Arial"/>
        </w:rPr>
        <w:t xml:space="preserve"> objeciones, aclaraciones y adiciones al </w:t>
      </w:r>
      <w:r w:rsidR="00285BDE">
        <w:rPr>
          <w:rFonts w:ascii="Arial" w:hAnsi="Arial" w:cs="Arial"/>
        </w:rPr>
        <w:t xml:space="preserve">inventario. </w:t>
      </w:r>
      <w:r w:rsidR="00D20747">
        <w:rPr>
          <w:rFonts w:ascii="Arial" w:hAnsi="Arial" w:cs="Arial"/>
        </w:rPr>
        <w:t xml:space="preserve">Hay que agregar </w:t>
      </w:r>
      <w:r w:rsidR="00DA192B">
        <w:rPr>
          <w:rFonts w:ascii="Arial" w:hAnsi="Arial" w:cs="Arial"/>
        </w:rPr>
        <w:t>que tratándose de la exclusión, también es apelable el auto que resuelva sobre ella</w:t>
      </w:r>
      <w:r w:rsidR="00D933B7">
        <w:rPr>
          <w:rFonts w:ascii="Arial" w:hAnsi="Arial" w:cs="Arial"/>
        </w:rPr>
        <w:t>,</w:t>
      </w:r>
      <w:r w:rsidR="00DA192B">
        <w:rPr>
          <w:rFonts w:ascii="Arial" w:hAnsi="Arial" w:cs="Arial"/>
        </w:rPr>
        <w:t xml:space="preserve"> al momento de la partición (Artículo </w:t>
      </w:r>
      <w:r w:rsidR="005D1B31">
        <w:rPr>
          <w:rFonts w:ascii="Arial" w:hAnsi="Arial" w:cs="Arial"/>
        </w:rPr>
        <w:t xml:space="preserve">605, CPC), tema sobre el cual resolviera </w:t>
      </w:r>
      <w:r w:rsidR="005D1B31">
        <w:rPr>
          <w:rFonts w:ascii="Arial" w:hAnsi="Arial" w:cs="Arial"/>
          <w:spacing w:val="-3"/>
          <w:szCs w:val="24"/>
        </w:rPr>
        <w:t>en anterior oportunidad este despacho</w:t>
      </w:r>
      <w:r w:rsidR="005D1B31" w:rsidRPr="00883240">
        <w:rPr>
          <w:rStyle w:val="Refdenotaalpie"/>
          <w:rFonts w:ascii="Arial" w:hAnsi="Arial" w:cs="Arial"/>
          <w:spacing w:val="-3"/>
          <w:szCs w:val="24"/>
          <w:lang w:val="es-CO"/>
        </w:rPr>
        <w:footnoteReference w:id="6"/>
      </w:r>
      <w:r w:rsidR="005D1B31">
        <w:rPr>
          <w:rFonts w:ascii="Arial" w:hAnsi="Arial" w:cs="Arial"/>
          <w:spacing w:val="-3"/>
          <w:szCs w:val="24"/>
        </w:rPr>
        <w:t>.</w:t>
      </w:r>
    </w:p>
    <w:p w:rsidR="00D20747" w:rsidRPr="005D1B31" w:rsidRDefault="00D20747" w:rsidP="00965470">
      <w:pPr>
        <w:pStyle w:val="Sinespaciado"/>
        <w:spacing w:line="360" w:lineRule="auto"/>
        <w:jc w:val="both"/>
        <w:rPr>
          <w:rFonts w:ascii="Arial" w:hAnsi="Arial" w:cs="Arial"/>
        </w:rPr>
      </w:pPr>
    </w:p>
    <w:p w:rsidR="00285BDE" w:rsidRDefault="00285BDE" w:rsidP="00965470">
      <w:pPr>
        <w:pStyle w:val="Sinespaciado"/>
        <w:spacing w:line="360" w:lineRule="auto"/>
        <w:jc w:val="both"/>
        <w:rPr>
          <w:rFonts w:ascii="Arial" w:hAnsi="Arial" w:cs="Arial"/>
        </w:rPr>
      </w:pPr>
      <w:r>
        <w:rPr>
          <w:rFonts w:ascii="Arial" w:hAnsi="Arial" w:cs="Arial"/>
        </w:rPr>
        <w:t>En suma</w:t>
      </w:r>
      <w:r w:rsidR="00BE4E53">
        <w:rPr>
          <w:rFonts w:ascii="Arial" w:hAnsi="Arial" w:cs="Arial"/>
        </w:rPr>
        <w:t xml:space="preserve">, </w:t>
      </w:r>
      <w:r w:rsidR="001901EC">
        <w:rPr>
          <w:rFonts w:ascii="Arial" w:hAnsi="Arial" w:cs="Arial"/>
        </w:rPr>
        <w:t xml:space="preserve">fácil se </w:t>
      </w:r>
      <w:r>
        <w:rPr>
          <w:rFonts w:ascii="Arial" w:hAnsi="Arial" w:cs="Arial"/>
        </w:rPr>
        <w:t>advierte que la alzada es procedente cuando se tramit</w:t>
      </w:r>
      <w:r w:rsidR="001901EC">
        <w:rPr>
          <w:rFonts w:ascii="Arial" w:hAnsi="Arial" w:cs="Arial"/>
        </w:rPr>
        <w:t>a</w:t>
      </w:r>
      <w:r>
        <w:rPr>
          <w:rFonts w:ascii="Arial" w:hAnsi="Arial" w:cs="Arial"/>
        </w:rPr>
        <w:t xml:space="preserve"> incidente para incluir o excluir bienes</w:t>
      </w:r>
      <w:r w:rsidR="001901EC">
        <w:rPr>
          <w:rFonts w:ascii="Arial" w:hAnsi="Arial" w:cs="Arial"/>
        </w:rPr>
        <w:t xml:space="preserve"> del inventario</w:t>
      </w:r>
      <w:r>
        <w:rPr>
          <w:rFonts w:ascii="Arial" w:hAnsi="Arial" w:cs="Arial"/>
        </w:rPr>
        <w:t xml:space="preserve">. </w:t>
      </w:r>
      <w:r w:rsidR="00BE4E53">
        <w:rPr>
          <w:rFonts w:ascii="Arial" w:hAnsi="Arial" w:cs="Arial"/>
        </w:rPr>
        <w:t xml:space="preserve">Tales impugnaciones conservan vigencia en el CGP (Artículo 501), solo que la decisión se adopta </w:t>
      </w:r>
      <w:r w:rsidR="0036730D">
        <w:rPr>
          <w:rFonts w:ascii="Arial" w:hAnsi="Arial" w:cs="Arial"/>
        </w:rPr>
        <w:t>a continuación de la audiencia, ya que en este último Estatuto Procesal Civil, p</w:t>
      </w:r>
      <w:r w:rsidR="005D1B31">
        <w:rPr>
          <w:rFonts w:ascii="Arial" w:hAnsi="Arial" w:cs="Arial"/>
        </w:rPr>
        <w:t xml:space="preserve">uede </w:t>
      </w:r>
      <w:r w:rsidR="0036730D">
        <w:rPr>
          <w:rFonts w:ascii="Arial" w:hAnsi="Arial" w:cs="Arial"/>
        </w:rPr>
        <w:t xml:space="preserve">hablarse de que fueron trasladados </w:t>
      </w:r>
      <w:r w:rsidR="005D1B31">
        <w:rPr>
          <w:rFonts w:ascii="Arial" w:hAnsi="Arial" w:cs="Arial"/>
        </w:rPr>
        <w:t xml:space="preserve">en su esencia </w:t>
      </w:r>
      <w:r w:rsidR="0036730D">
        <w:rPr>
          <w:rFonts w:ascii="Arial" w:hAnsi="Arial" w:cs="Arial"/>
        </w:rPr>
        <w:t>los artículos 600 y 601, ya mencionados</w:t>
      </w:r>
      <w:r w:rsidR="0036730D">
        <w:rPr>
          <w:rStyle w:val="Refdenotaalpie"/>
          <w:rFonts w:ascii="Arial" w:hAnsi="Arial"/>
        </w:rPr>
        <w:footnoteReference w:id="7"/>
      </w:r>
      <w:r w:rsidR="0036730D">
        <w:rPr>
          <w:rFonts w:ascii="Arial" w:hAnsi="Arial" w:cs="Arial"/>
        </w:rPr>
        <w:t>.</w:t>
      </w:r>
    </w:p>
    <w:p w:rsidR="005D1B31" w:rsidRPr="005D1B31" w:rsidRDefault="005D1B31" w:rsidP="00965470">
      <w:pPr>
        <w:pStyle w:val="Sinespaciado"/>
        <w:spacing w:line="360" w:lineRule="auto"/>
        <w:jc w:val="both"/>
        <w:rPr>
          <w:rFonts w:ascii="Arial" w:hAnsi="Arial" w:cs="Arial"/>
          <w:sz w:val="20"/>
        </w:rPr>
      </w:pPr>
    </w:p>
    <w:p w:rsidR="005E4061" w:rsidRDefault="00BE4E53" w:rsidP="00965470">
      <w:pPr>
        <w:pStyle w:val="Sinespaciado"/>
        <w:spacing w:line="360" w:lineRule="auto"/>
        <w:jc w:val="both"/>
        <w:rPr>
          <w:rFonts w:ascii="Arial" w:hAnsi="Arial" w:cs="Arial"/>
        </w:rPr>
      </w:pPr>
      <w:r>
        <w:rPr>
          <w:rFonts w:ascii="Arial" w:hAnsi="Arial" w:cs="Arial"/>
        </w:rPr>
        <w:t xml:space="preserve">Hecho el examen preliminar </w:t>
      </w:r>
      <w:r w:rsidRPr="001F088A">
        <w:rPr>
          <w:rFonts w:ascii="Arial" w:hAnsi="Arial" w:cs="Arial"/>
          <w:szCs w:val="24"/>
        </w:rPr>
        <w:t xml:space="preserve">dispuesto por el artículo 358 del CPC, </w:t>
      </w:r>
      <w:r>
        <w:rPr>
          <w:rFonts w:ascii="Arial" w:hAnsi="Arial" w:cs="Arial"/>
          <w:szCs w:val="24"/>
        </w:rPr>
        <w:t xml:space="preserve">dentro de este proceso, </w:t>
      </w:r>
      <w:r w:rsidR="004A4B66">
        <w:rPr>
          <w:rFonts w:ascii="Arial" w:hAnsi="Arial" w:cs="Arial"/>
        </w:rPr>
        <w:t>para la Sala es claro</w:t>
      </w:r>
      <w:r w:rsidR="00AA2A93">
        <w:rPr>
          <w:rFonts w:ascii="Arial" w:hAnsi="Arial" w:cs="Arial"/>
        </w:rPr>
        <w:t xml:space="preserve"> que </w:t>
      </w:r>
      <w:r w:rsidR="00CF2413">
        <w:rPr>
          <w:rFonts w:ascii="Arial" w:hAnsi="Arial" w:cs="Arial"/>
        </w:rPr>
        <w:t xml:space="preserve">en esta ocasión </w:t>
      </w:r>
      <w:r w:rsidR="004A4B66">
        <w:rPr>
          <w:rFonts w:ascii="Arial" w:hAnsi="Arial" w:cs="Arial"/>
        </w:rPr>
        <w:t>la providencia recurrida</w:t>
      </w:r>
      <w:r w:rsidR="00CF2413">
        <w:rPr>
          <w:rFonts w:ascii="Arial" w:hAnsi="Arial" w:cs="Arial"/>
        </w:rPr>
        <w:t>,</w:t>
      </w:r>
      <w:r w:rsidR="004A4B66">
        <w:rPr>
          <w:rFonts w:ascii="Arial" w:hAnsi="Arial" w:cs="Arial"/>
        </w:rPr>
        <w:t xml:space="preserve"> </w:t>
      </w:r>
      <w:r>
        <w:rPr>
          <w:rFonts w:ascii="Arial" w:hAnsi="Arial" w:cs="Arial"/>
        </w:rPr>
        <w:t>no encuadra en ninguna de las enunciadas hipótesis, puesto que si bien, obra objeción del cónyuge supérstite al inventario allegado por los interesados demandantes y de ella se corrió traslado, al emitirse la providencia del 12-11-2015, el análisis del juez, se alejó de la objeción</w:t>
      </w:r>
      <w:r w:rsidR="005E4061">
        <w:rPr>
          <w:rFonts w:ascii="Arial" w:hAnsi="Arial" w:cs="Arial"/>
        </w:rPr>
        <w:t xml:space="preserve"> y se limitó a verificar el cumplimiento de lo dispuesto en el numeral 2º del artículo 600 del CPC, que al estimarse desatendido dej</w:t>
      </w:r>
      <w:r w:rsidR="00490050">
        <w:rPr>
          <w:rFonts w:ascii="Arial" w:hAnsi="Arial" w:cs="Arial"/>
        </w:rPr>
        <w:t>ó</w:t>
      </w:r>
      <w:r w:rsidR="005E4061">
        <w:rPr>
          <w:rFonts w:ascii="Arial" w:hAnsi="Arial" w:cs="Arial"/>
        </w:rPr>
        <w:t xml:space="preserve"> el asunto sin inventario y avalúo de bienes, por lo que se ordenó uno nuevo. </w:t>
      </w:r>
    </w:p>
    <w:p w:rsidR="005E4061" w:rsidRPr="005D1B31" w:rsidRDefault="005E4061" w:rsidP="00965470">
      <w:pPr>
        <w:pStyle w:val="Sinespaciado"/>
        <w:spacing w:line="360" w:lineRule="auto"/>
        <w:jc w:val="both"/>
        <w:rPr>
          <w:rFonts w:ascii="Arial" w:hAnsi="Arial" w:cs="Arial"/>
          <w:sz w:val="18"/>
        </w:rPr>
      </w:pPr>
    </w:p>
    <w:p w:rsidR="004A4B66" w:rsidRDefault="005E4061" w:rsidP="00965470">
      <w:pPr>
        <w:pStyle w:val="Sinespaciado"/>
        <w:spacing w:line="360" w:lineRule="auto"/>
        <w:jc w:val="both"/>
        <w:rPr>
          <w:rFonts w:ascii="Arial" w:hAnsi="Arial" w:cs="Arial"/>
        </w:rPr>
      </w:pPr>
      <w:r>
        <w:rPr>
          <w:rFonts w:ascii="Arial" w:hAnsi="Arial" w:cs="Arial"/>
        </w:rPr>
        <w:t xml:space="preserve">En otras palabras, esa decisión en modo alguno puede entenderse como excluyente de bienes (Supuesto que daría lugar a la apelabilidad) a un inventario que ni siquiera existe y en ese orden de ideas, la alzada es improcedente. </w:t>
      </w:r>
    </w:p>
    <w:p w:rsidR="004A4B66" w:rsidRPr="005D1B31" w:rsidRDefault="004A4B66" w:rsidP="00965470">
      <w:pPr>
        <w:pStyle w:val="Sinespaciado"/>
        <w:spacing w:line="360" w:lineRule="auto"/>
        <w:jc w:val="both"/>
        <w:rPr>
          <w:rFonts w:ascii="Arial" w:hAnsi="Arial" w:cs="Arial"/>
          <w:sz w:val="20"/>
        </w:rPr>
      </w:pPr>
    </w:p>
    <w:p w:rsidR="005846FC" w:rsidRPr="005D1B31" w:rsidRDefault="005846FC" w:rsidP="00E77EB2">
      <w:pPr>
        <w:pStyle w:val="Sinespaciado"/>
        <w:spacing w:line="360" w:lineRule="auto"/>
        <w:jc w:val="both"/>
        <w:rPr>
          <w:rFonts w:ascii="Arial" w:hAnsi="Arial" w:cs="Arial"/>
          <w:sz w:val="20"/>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Textoindependiente"/>
        <w:spacing w:line="360" w:lineRule="auto"/>
        <w:ind w:right="51"/>
        <w:rPr>
          <w:rFonts w:ascii="Arial" w:hAnsi="Arial"/>
          <w:sz w:val="20"/>
          <w:szCs w:val="22"/>
          <w:lang w:val="es-CO"/>
        </w:rPr>
      </w:pPr>
    </w:p>
    <w:p w:rsidR="001D1A4A" w:rsidRPr="001D1A8E" w:rsidRDefault="001D1A4A" w:rsidP="001D1A4A">
      <w:pPr>
        <w:pStyle w:val="Textoindependiente"/>
        <w:spacing w:line="360" w:lineRule="auto"/>
        <w:ind w:right="51"/>
        <w:rPr>
          <w:rFonts w:ascii="Arial" w:hAnsi="Arial" w:cs="Arial"/>
          <w:sz w:val="22"/>
          <w:szCs w:val="22"/>
        </w:rPr>
      </w:pPr>
      <w:r w:rsidRPr="0090333F">
        <w:rPr>
          <w:rFonts w:ascii="Arial" w:hAnsi="Arial"/>
          <w:szCs w:val="24"/>
          <w:lang w:val="es-CO"/>
        </w:rPr>
        <w:t xml:space="preserve">En armonía con las premisas expuestas, </w:t>
      </w:r>
      <w:r>
        <w:rPr>
          <w:rFonts w:ascii="Arial" w:hAnsi="Arial" w:cs="Arial"/>
          <w:szCs w:val="24"/>
        </w:rPr>
        <w:t xml:space="preserve">se declarará la inadmisibilidad del recurso de apelación contra la providencia que </w:t>
      </w:r>
      <w:r w:rsidR="005E4061">
        <w:rPr>
          <w:rFonts w:ascii="Arial" w:hAnsi="Arial" w:cs="Arial"/>
          <w:szCs w:val="24"/>
        </w:rPr>
        <w:t>improbó el inventario y avalúo de bienes</w:t>
      </w:r>
      <w:r>
        <w:rPr>
          <w:rFonts w:ascii="Arial" w:hAnsi="Arial" w:cs="Arial"/>
          <w:szCs w:val="24"/>
        </w:rPr>
        <w:t>, atendida su improcedencia, como atrás se dijera.</w:t>
      </w:r>
    </w:p>
    <w:p w:rsidR="001D1A4A" w:rsidRPr="005D1B31" w:rsidRDefault="001D1A4A" w:rsidP="00E77EB2">
      <w:pPr>
        <w:pStyle w:val="Sinespaciado"/>
        <w:spacing w:line="360" w:lineRule="auto"/>
        <w:jc w:val="both"/>
        <w:rPr>
          <w:rFonts w:ascii="Arial" w:hAnsi="Arial" w:cs="Arial"/>
          <w:sz w:val="20"/>
        </w:rPr>
      </w:pPr>
    </w:p>
    <w:p w:rsidR="000F4FD9" w:rsidRPr="005B51AB" w:rsidRDefault="000F4FD9" w:rsidP="00310452">
      <w:pPr>
        <w:autoSpaceDE w:val="0"/>
        <w:autoSpaceDN w:val="0"/>
        <w:adjustRightInd w:val="0"/>
        <w:spacing w:line="360" w:lineRule="auto"/>
        <w:jc w:val="both"/>
        <w:rPr>
          <w:rFonts w:ascii="Arial" w:hAnsi="Arial" w:cs="Arial"/>
          <w:sz w:val="24"/>
          <w:szCs w:val="24"/>
          <w:lang w:val="es-ES_tradnl"/>
        </w:rPr>
      </w:pPr>
      <w:r w:rsidRPr="005B51AB">
        <w:rPr>
          <w:rFonts w:ascii="Arial" w:hAnsi="Arial" w:cs="Arial"/>
          <w:sz w:val="24"/>
          <w:szCs w:val="24"/>
        </w:rPr>
        <w:t xml:space="preserve">Considerando suficientes los argumentos expuestos en esta providencia, </w:t>
      </w:r>
      <w:r>
        <w:rPr>
          <w:rFonts w:ascii="Arial" w:hAnsi="Arial" w:cs="Arial"/>
          <w:sz w:val="24"/>
          <w:szCs w:val="24"/>
        </w:rPr>
        <w:t xml:space="preserve">el </w:t>
      </w:r>
      <w:r w:rsidRPr="005B51AB">
        <w:rPr>
          <w:rFonts w:ascii="Arial" w:hAnsi="Arial" w:cs="Arial"/>
          <w:bCs/>
          <w:smallCaps/>
          <w:sz w:val="24"/>
          <w:szCs w:val="24"/>
        </w:rPr>
        <w:t xml:space="preserve">Tribunal Superior del Distrito Judicial de Pereira, en Sala </w:t>
      </w:r>
      <w:r w:rsidR="00FC0999">
        <w:rPr>
          <w:rFonts w:ascii="Arial" w:hAnsi="Arial" w:cs="Arial"/>
          <w:bCs/>
          <w:smallCaps/>
          <w:sz w:val="24"/>
          <w:szCs w:val="24"/>
        </w:rPr>
        <w:t>Unitaria</w:t>
      </w:r>
      <w:r w:rsidRPr="005B51AB">
        <w:rPr>
          <w:rFonts w:ascii="Arial" w:hAnsi="Arial" w:cs="Arial"/>
          <w:sz w:val="24"/>
          <w:szCs w:val="24"/>
        </w:rPr>
        <w:t>,</w:t>
      </w:r>
    </w:p>
    <w:p w:rsidR="000F4FD9" w:rsidRPr="005D1B31" w:rsidRDefault="000F4FD9" w:rsidP="00310452">
      <w:pPr>
        <w:pStyle w:val="Sinespaciado"/>
        <w:spacing w:line="360" w:lineRule="auto"/>
        <w:jc w:val="center"/>
        <w:rPr>
          <w:rFonts w:ascii="Arial" w:hAnsi="Arial" w:cs="Arial"/>
          <w:sz w:val="20"/>
          <w:szCs w:val="22"/>
        </w:rPr>
      </w:pPr>
    </w:p>
    <w:p w:rsidR="000F4FD9" w:rsidRDefault="000F4FD9" w:rsidP="00310452">
      <w:pPr>
        <w:pStyle w:val="Sinespaciado"/>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5D1B31" w:rsidRDefault="000F4FD9" w:rsidP="00310452">
      <w:pPr>
        <w:pStyle w:val="Sinespaciado"/>
        <w:spacing w:line="360" w:lineRule="auto"/>
        <w:jc w:val="center"/>
        <w:rPr>
          <w:rFonts w:ascii="Arial" w:hAnsi="Arial" w:cs="Arial"/>
          <w:sz w:val="18"/>
          <w:szCs w:val="22"/>
        </w:rPr>
      </w:pPr>
    </w:p>
    <w:p w:rsidR="000F4FD9" w:rsidRDefault="000F4FD9" w:rsidP="00310452">
      <w:pPr>
        <w:pStyle w:val="Textopredeterminado"/>
        <w:numPr>
          <w:ilvl w:val="0"/>
          <w:numId w:val="2"/>
        </w:numPr>
        <w:spacing w:line="360" w:lineRule="auto"/>
        <w:jc w:val="both"/>
        <w:rPr>
          <w:rFonts w:ascii="Arial" w:hAnsi="Arial" w:cs="Arial"/>
          <w:szCs w:val="24"/>
        </w:rPr>
      </w:pPr>
      <w:r>
        <w:rPr>
          <w:rFonts w:ascii="Arial" w:hAnsi="Arial" w:cs="Arial"/>
          <w:szCs w:val="24"/>
        </w:rPr>
        <w:t xml:space="preserve">DECLARAR inadmisible el recurso de apelación formulado </w:t>
      </w:r>
      <w:r w:rsidR="00504903">
        <w:rPr>
          <w:rFonts w:ascii="Arial" w:hAnsi="Arial" w:cs="Arial"/>
          <w:szCs w:val="24"/>
        </w:rPr>
        <w:t>c</w:t>
      </w:r>
      <w:r>
        <w:rPr>
          <w:rFonts w:ascii="Arial" w:hAnsi="Arial" w:cs="Arial"/>
          <w:szCs w:val="24"/>
        </w:rPr>
        <w:t xml:space="preserve">ontra </w:t>
      </w:r>
      <w:r w:rsidR="008B5602">
        <w:rPr>
          <w:rFonts w:ascii="Arial" w:hAnsi="Arial" w:cs="Arial"/>
          <w:szCs w:val="24"/>
        </w:rPr>
        <w:t xml:space="preserve">el auto del </w:t>
      </w:r>
      <w:r w:rsidR="005E4061">
        <w:rPr>
          <w:rFonts w:ascii="Arial" w:hAnsi="Arial" w:cs="Arial"/>
          <w:szCs w:val="24"/>
        </w:rPr>
        <w:t>12</w:t>
      </w:r>
      <w:r>
        <w:rPr>
          <w:rFonts w:ascii="Arial" w:hAnsi="Arial" w:cs="Arial"/>
          <w:szCs w:val="24"/>
        </w:rPr>
        <w:t>-</w:t>
      </w:r>
      <w:r w:rsidR="0001641A">
        <w:rPr>
          <w:rFonts w:ascii="Arial" w:hAnsi="Arial" w:cs="Arial"/>
          <w:szCs w:val="24"/>
        </w:rPr>
        <w:t>11</w:t>
      </w:r>
      <w:r w:rsidR="00E46357">
        <w:rPr>
          <w:rFonts w:ascii="Arial" w:hAnsi="Arial" w:cs="Arial"/>
          <w:szCs w:val="24"/>
        </w:rPr>
        <w:t>-201</w:t>
      </w:r>
      <w:r w:rsidR="005E4061">
        <w:rPr>
          <w:rFonts w:ascii="Arial" w:hAnsi="Arial" w:cs="Arial"/>
          <w:szCs w:val="24"/>
        </w:rPr>
        <w:t>5</w:t>
      </w:r>
      <w:r>
        <w:rPr>
          <w:rFonts w:ascii="Arial" w:hAnsi="Arial" w:cs="Arial"/>
          <w:szCs w:val="24"/>
        </w:rPr>
        <w:t xml:space="preserve">, por falta de </w:t>
      </w:r>
      <w:r w:rsidR="00276AAF">
        <w:rPr>
          <w:rFonts w:ascii="Arial" w:hAnsi="Arial" w:cs="Arial"/>
          <w:szCs w:val="24"/>
        </w:rPr>
        <w:t>procedencia</w:t>
      </w:r>
      <w:r>
        <w:rPr>
          <w:rFonts w:ascii="Arial" w:hAnsi="Arial" w:cs="Arial"/>
          <w:szCs w:val="24"/>
        </w:rPr>
        <w:t>.</w:t>
      </w:r>
    </w:p>
    <w:p w:rsidR="00CF2413" w:rsidRPr="005D1B31" w:rsidRDefault="00CF2413" w:rsidP="00CF2413">
      <w:pPr>
        <w:pStyle w:val="Textopredeterminado"/>
        <w:spacing w:line="360" w:lineRule="auto"/>
        <w:ind w:left="360"/>
        <w:jc w:val="both"/>
        <w:rPr>
          <w:rFonts w:ascii="Arial" w:hAnsi="Arial" w:cs="Arial"/>
          <w:sz w:val="18"/>
          <w:szCs w:val="24"/>
        </w:rPr>
      </w:pPr>
    </w:p>
    <w:p w:rsidR="000F4FD9" w:rsidRDefault="000F4FD9" w:rsidP="00504903">
      <w:pPr>
        <w:pStyle w:val="Textopredeterminado"/>
        <w:numPr>
          <w:ilvl w:val="0"/>
          <w:numId w:val="2"/>
        </w:numPr>
        <w:spacing w:line="360" w:lineRule="auto"/>
        <w:jc w:val="both"/>
        <w:rPr>
          <w:rFonts w:ascii="Arial" w:hAnsi="Arial" w:cs="Arial"/>
          <w:szCs w:val="24"/>
        </w:rPr>
      </w:pPr>
      <w:r w:rsidRPr="0032336B">
        <w:rPr>
          <w:rFonts w:ascii="Arial" w:hAnsi="Arial" w:cs="Arial"/>
          <w:szCs w:val="24"/>
        </w:rPr>
        <w:t xml:space="preserve">DEVOLVER el expediente al Juzgado </w:t>
      </w:r>
      <w:r w:rsidR="00504903">
        <w:rPr>
          <w:rFonts w:ascii="Arial" w:hAnsi="Arial" w:cs="Arial"/>
          <w:szCs w:val="24"/>
        </w:rPr>
        <w:t xml:space="preserve">Único Promiscuo del Circuito de </w:t>
      </w:r>
      <w:r w:rsidR="005E4061">
        <w:rPr>
          <w:rFonts w:ascii="Arial" w:hAnsi="Arial" w:cs="Arial"/>
          <w:szCs w:val="24"/>
        </w:rPr>
        <w:t>Quinch</w:t>
      </w:r>
      <w:r w:rsidR="00490050">
        <w:rPr>
          <w:rFonts w:ascii="Arial" w:hAnsi="Arial" w:cs="Arial"/>
          <w:szCs w:val="24"/>
        </w:rPr>
        <w:t>í</w:t>
      </w:r>
      <w:r w:rsidR="005E4061">
        <w:rPr>
          <w:rFonts w:ascii="Arial" w:hAnsi="Arial" w:cs="Arial"/>
          <w:szCs w:val="24"/>
        </w:rPr>
        <w:t>a</w:t>
      </w:r>
      <w:r w:rsidRPr="0032336B">
        <w:rPr>
          <w:rFonts w:ascii="Arial" w:hAnsi="Arial" w:cs="Arial"/>
          <w:szCs w:val="24"/>
        </w:rPr>
        <w:t>.</w:t>
      </w:r>
    </w:p>
    <w:p w:rsidR="0049796A" w:rsidRPr="005D1B31" w:rsidRDefault="0049796A" w:rsidP="001454DA">
      <w:pPr>
        <w:pStyle w:val="Textopredeterminado"/>
        <w:spacing w:line="360" w:lineRule="auto"/>
        <w:ind w:left="360"/>
        <w:jc w:val="center"/>
        <w:rPr>
          <w:rFonts w:ascii="Arial" w:hAnsi="Arial" w:cs="Arial"/>
          <w:sz w:val="18"/>
          <w:szCs w:val="24"/>
        </w:rPr>
      </w:pPr>
    </w:p>
    <w:p w:rsidR="000F4FD9" w:rsidRPr="00D91BEB" w:rsidRDefault="000F4FD9" w:rsidP="00310452">
      <w:pPr>
        <w:pStyle w:val="Textopredeterminado"/>
        <w:spacing w:line="360" w:lineRule="auto"/>
        <w:jc w:val="center"/>
        <w:rPr>
          <w:rFonts w:ascii="Arial" w:hAnsi="Arial" w:cs="Arial"/>
          <w:szCs w:val="24"/>
          <w:lang w:val="en-US"/>
        </w:rPr>
      </w:pPr>
      <w:r w:rsidRPr="00767E8A">
        <w:rPr>
          <w:rFonts w:ascii="Arial" w:hAnsi="Arial" w:cs="Arial"/>
          <w:smallCaps/>
          <w:szCs w:val="24"/>
        </w:rPr>
        <w:t>Notifíquese,</w:t>
      </w:r>
    </w:p>
    <w:p w:rsidR="000F4FD9" w:rsidRDefault="000F4FD9" w:rsidP="002E11FF">
      <w:pPr>
        <w:pStyle w:val="Sinespaciado"/>
        <w:spacing w:line="360" w:lineRule="auto"/>
        <w:jc w:val="center"/>
        <w:rPr>
          <w:rFonts w:ascii="Arial" w:hAnsi="Arial" w:cs="Arial"/>
          <w:spacing w:val="20"/>
          <w:w w:val="150"/>
          <w:lang w:val="en-US"/>
        </w:rPr>
      </w:pPr>
    </w:p>
    <w:p w:rsidR="005E4061" w:rsidRDefault="005E4061" w:rsidP="002E11FF">
      <w:pPr>
        <w:pStyle w:val="Sinespaciado"/>
        <w:spacing w:line="360" w:lineRule="auto"/>
        <w:jc w:val="center"/>
        <w:rPr>
          <w:rFonts w:ascii="Arial" w:hAnsi="Arial" w:cs="Arial"/>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B7680C" w:rsidP="00B7680C">
      <w:pPr>
        <w:pStyle w:val="Sinespaciado"/>
        <w:spacing w:line="360" w:lineRule="auto"/>
        <w:jc w:val="right"/>
        <w:rPr>
          <w:rFonts w:ascii="Arial" w:hAnsi="Arial" w:cs="Arial"/>
          <w:spacing w:val="20"/>
          <w:w w:val="150"/>
          <w:lang w:val="en-US"/>
        </w:rPr>
      </w:pPr>
      <w:bookmarkStart w:id="0" w:name="_GoBack"/>
      <w:bookmarkEnd w:id="0"/>
      <w:r w:rsidRPr="00F10094">
        <w:rPr>
          <w:rFonts w:ascii="Arial" w:hAnsi="Arial" w:cs="Arial"/>
          <w:sz w:val="12"/>
          <w:szCs w:val="12"/>
          <w:lang w:val="en-US"/>
        </w:rPr>
        <w:t>DGH /</w:t>
      </w:r>
      <w:r>
        <w:rPr>
          <w:rFonts w:ascii="Arial" w:hAnsi="Arial" w:cs="Arial"/>
          <w:sz w:val="12"/>
          <w:szCs w:val="12"/>
          <w:lang w:val="en-US"/>
        </w:rPr>
        <w:t>DGD/</w:t>
      </w:r>
      <w:r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0F4FD9" w:rsidP="00147B6F">
      <w:pPr>
        <w:pStyle w:val="Sinespaciado"/>
        <w:spacing w:line="360" w:lineRule="auto"/>
        <w:ind w:firstLine="708"/>
        <w:jc w:val="right"/>
        <w:rPr>
          <w:rFonts w:ascii="Arial" w:hAnsi="Arial" w:cs="Arial"/>
          <w:sz w:val="12"/>
          <w:szCs w:val="16"/>
          <w:lang w:val="en-US"/>
        </w:rPr>
      </w:pPr>
    </w:p>
    <w:sectPr w:rsidR="000F4FD9" w:rsidSect="002E11FF">
      <w:headerReference w:type="default" r:id="rId9"/>
      <w:footerReference w:type="default" r:id="rId10"/>
      <w:pgSz w:w="12242" w:h="18705" w:code="120"/>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AC" w:rsidRDefault="000527AC" w:rsidP="00934BB4">
      <w:r>
        <w:separator/>
      </w:r>
    </w:p>
  </w:endnote>
  <w:endnote w:type="continuationSeparator" w:id="0">
    <w:p w:rsidR="000527AC" w:rsidRDefault="000527AC"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AC" w:rsidRDefault="000527AC" w:rsidP="00934BB4">
      <w:r>
        <w:separator/>
      </w:r>
    </w:p>
  </w:footnote>
  <w:footnote w:type="continuationSeparator" w:id="0">
    <w:p w:rsidR="000527AC" w:rsidRDefault="000527AC" w:rsidP="00934BB4">
      <w:r>
        <w:continuationSeparator/>
      </w:r>
    </w:p>
  </w:footnote>
  <w:footnote w:id="1">
    <w:p w:rsidR="003E6859" w:rsidRPr="00932873" w:rsidRDefault="003E6859" w:rsidP="00840C98">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LÓPEZ BLANCO, Hernán Fabio. Procedimiento civil colombiano, parte general, 2012, 11ª edición, Dupré Editores, p.765.</w:t>
      </w:r>
    </w:p>
  </w:footnote>
  <w:footnote w:id="2">
    <w:p w:rsidR="003E6859" w:rsidRPr="00932873" w:rsidRDefault="003E6859" w:rsidP="00840C98">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PARRA QUIJANO, Jairo. Derecho procesal civil, tomo I, Santafé de Bogotá D.C., Temis, 1992, p.276.</w:t>
      </w:r>
    </w:p>
  </w:footnote>
  <w:footnote w:id="3">
    <w:p w:rsidR="003E6859" w:rsidRPr="00932873" w:rsidRDefault="003E6859" w:rsidP="00840C98">
      <w:pPr>
        <w:pStyle w:val="Sinespaciado"/>
        <w:jc w:val="both"/>
        <w:rPr>
          <w:rFonts w:asciiTheme="minorHAnsi" w:hAnsiTheme="minorHAnsi"/>
        </w:rPr>
      </w:pPr>
      <w:r w:rsidRPr="00932873">
        <w:rPr>
          <w:rFonts w:asciiTheme="minorHAnsi" w:hAnsiTheme="minorHAnsi" w:cs="Calibri"/>
          <w:sz w:val="20"/>
          <w:vertAlign w:val="superscript"/>
        </w:rPr>
        <w:footnoteRef/>
      </w:r>
      <w:r w:rsidRPr="00932873">
        <w:rPr>
          <w:rFonts w:asciiTheme="minorHAnsi" w:hAnsiTheme="minorHAnsi" w:cs="Calibri"/>
          <w:sz w:val="20"/>
        </w:rPr>
        <w:t xml:space="preserve"> LÓPEZ BLANCO, Hernán Fabio. Ob. Cit., p.746. </w:t>
      </w:r>
    </w:p>
  </w:footnote>
  <w:footnote w:id="4">
    <w:p w:rsidR="003E6859" w:rsidRPr="00932873" w:rsidRDefault="003E6859" w:rsidP="00840C98">
      <w:pPr>
        <w:pStyle w:val="Textonotapie"/>
        <w:jc w:val="both"/>
        <w:rPr>
          <w:rFonts w:asciiTheme="minorHAnsi" w:hAnsiTheme="minorHAnsi" w:cs="Calibri"/>
          <w:lang w:val="es-CO"/>
        </w:rPr>
      </w:pPr>
      <w:r w:rsidRPr="00932873">
        <w:rPr>
          <w:rStyle w:val="Refdenotaalpie"/>
          <w:rFonts w:asciiTheme="minorHAnsi" w:hAnsiTheme="minorHAnsi" w:cs="Calibri"/>
        </w:rPr>
        <w:footnoteRef/>
      </w:r>
      <w:r w:rsidRPr="00932873">
        <w:rPr>
          <w:rFonts w:asciiTheme="minorHAnsi" w:hAnsiTheme="minorHAnsi"/>
        </w:rPr>
        <w:t xml:space="preserve"> </w:t>
      </w:r>
      <w:r w:rsidRPr="00932873">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3E6859" w:rsidRPr="00932873" w:rsidRDefault="003E6859" w:rsidP="00840C98">
      <w:pPr>
        <w:pStyle w:val="Textonotapie"/>
        <w:jc w:val="both"/>
        <w:rPr>
          <w:rFonts w:asciiTheme="minorHAnsi" w:hAnsiTheme="minorHAnsi"/>
          <w:lang w:val="es-CO"/>
        </w:rPr>
      </w:pPr>
      <w:r w:rsidRPr="00932873">
        <w:rPr>
          <w:rStyle w:val="Refdenotaalpie"/>
          <w:rFonts w:asciiTheme="minorHAnsi" w:hAnsiTheme="minorHAnsi"/>
        </w:rPr>
        <w:footnoteRef/>
      </w:r>
      <w:r w:rsidRPr="00932873">
        <w:rPr>
          <w:rFonts w:asciiTheme="minorHAnsi" w:hAnsiTheme="minorHAnsi"/>
        </w:rPr>
        <w:t xml:space="preserve"> </w:t>
      </w:r>
      <w:r w:rsidRPr="00932873">
        <w:rPr>
          <w:rFonts w:asciiTheme="minorHAnsi" w:hAnsiTheme="minorHAnsi"/>
          <w:lang w:val="es-CO"/>
        </w:rPr>
        <w:t>CORTE SUPREMA DE JUSTICIA. Sentencia del 17-09-1992; MP: Alberto Ospina Botero, publicado en Revista de Jurisprudencia y Doctrina, t.XXI, núm.251, Bogotá, Legis, p.1021 y 1022.</w:t>
      </w:r>
    </w:p>
  </w:footnote>
  <w:footnote w:id="6">
    <w:p w:rsidR="005D1B31" w:rsidRPr="0063543E" w:rsidRDefault="005D1B31" w:rsidP="005D1B3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rPr>
        <w:t xml:space="preserve"> </w:t>
      </w:r>
      <w:r w:rsidRPr="0063543E">
        <w:rPr>
          <w:rFonts w:asciiTheme="minorHAnsi" w:hAnsiTheme="minorHAnsi" w:cs="Calibri"/>
          <w:lang w:val="es-CO"/>
        </w:rPr>
        <w:t xml:space="preserve">TRIBUNAL SUPERIOR DE PEREIRA, Sala Civil – Familia. </w:t>
      </w:r>
      <w:r>
        <w:rPr>
          <w:rFonts w:asciiTheme="minorHAnsi" w:hAnsiTheme="minorHAnsi" w:cs="Calibri"/>
          <w:lang w:val="es-CO"/>
        </w:rPr>
        <w:t xml:space="preserve">Sentencia </w:t>
      </w:r>
      <w:r w:rsidRPr="0063543E">
        <w:rPr>
          <w:rFonts w:asciiTheme="minorHAnsi" w:hAnsiTheme="minorHAnsi" w:cs="Calibri"/>
          <w:lang w:val="es-CO"/>
        </w:rPr>
        <w:t>del</w:t>
      </w:r>
      <w:r w:rsidRPr="0063543E">
        <w:rPr>
          <w:rFonts w:asciiTheme="minorHAnsi" w:hAnsiTheme="minorHAnsi" w:cs="Calibri"/>
        </w:rPr>
        <w:t xml:space="preserve"> </w:t>
      </w:r>
      <w:r>
        <w:rPr>
          <w:rFonts w:asciiTheme="minorHAnsi" w:hAnsiTheme="minorHAnsi" w:cs="Calibri"/>
        </w:rPr>
        <w:t>13-11-2014</w:t>
      </w:r>
      <w:r w:rsidRPr="0063543E">
        <w:rPr>
          <w:rFonts w:asciiTheme="minorHAnsi" w:hAnsiTheme="minorHAnsi" w:cs="Calibri"/>
        </w:rPr>
        <w:t>; MP: Duberney Grisales Herrera, expediente No.201</w:t>
      </w:r>
      <w:r>
        <w:rPr>
          <w:rFonts w:asciiTheme="minorHAnsi" w:hAnsiTheme="minorHAnsi" w:cs="Calibri"/>
        </w:rPr>
        <w:t>1</w:t>
      </w:r>
      <w:r w:rsidRPr="0063543E">
        <w:rPr>
          <w:rFonts w:asciiTheme="minorHAnsi" w:hAnsiTheme="minorHAnsi" w:cs="Calibri"/>
        </w:rPr>
        <w:t>-00</w:t>
      </w:r>
      <w:r>
        <w:rPr>
          <w:rFonts w:asciiTheme="minorHAnsi" w:hAnsiTheme="minorHAnsi" w:cs="Calibri"/>
        </w:rPr>
        <w:t>120</w:t>
      </w:r>
      <w:r w:rsidRPr="0063543E">
        <w:rPr>
          <w:rFonts w:asciiTheme="minorHAnsi" w:hAnsiTheme="minorHAnsi" w:cs="Calibri"/>
        </w:rPr>
        <w:t>-01.</w:t>
      </w:r>
    </w:p>
  </w:footnote>
  <w:footnote w:id="7">
    <w:p w:rsidR="0036730D" w:rsidRPr="0036730D" w:rsidRDefault="0036730D" w:rsidP="0036730D">
      <w:pPr>
        <w:pStyle w:val="Textonotapie"/>
        <w:jc w:val="both"/>
        <w:rPr>
          <w:rFonts w:asciiTheme="minorHAnsi" w:hAnsiTheme="minorHAnsi"/>
          <w:lang w:val="es-CO"/>
        </w:rPr>
      </w:pPr>
      <w:r w:rsidRPr="00D933B7">
        <w:rPr>
          <w:rStyle w:val="Refdenotaalpie"/>
          <w:rFonts w:asciiTheme="minorHAnsi" w:hAnsiTheme="minorHAnsi"/>
        </w:rPr>
        <w:footnoteRef/>
      </w:r>
      <w:r w:rsidRPr="00D933B7">
        <w:rPr>
          <w:rFonts w:asciiTheme="minorHAnsi" w:hAnsiTheme="minorHAnsi"/>
        </w:rPr>
        <w:t xml:space="preserve"> INSTITUTO COLOMBIANO DE DERECHO PROCESAL</w:t>
      </w:r>
      <w:r w:rsidRPr="00D933B7">
        <w:rPr>
          <w:rFonts w:asciiTheme="minorHAnsi" w:hAnsiTheme="minorHAnsi" w:cs="Calibri"/>
        </w:rPr>
        <w:t xml:space="preserve">. </w:t>
      </w:r>
      <w:r w:rsidRPr="00D933B7">
        <w:rPr>
          <w:rFonts w:asciiTheme="minorHAnsi" w:hAnsiTheme="minorHAnsi" w:cs="Calibri"/>
          <w:lang w:val="es-CO"/>
        </w:rPr>
        <w:t>Ley 1564 de 2012,</w:t>
      </w:r>
      <w:r w:rsidR="000C3E0F">
        <w:rPr>
          <w:rFonts w:asciiTheme="minorHAnsi" w:hAnsiTheme="minorHAnsi" w:cs="Calibri"/>
          <w:lang w:val="es-CO"/>
        </w:rPr>
        <w:t xml:space="preserve"> </w:t>
      </w:r>
      <w:r w:rsidR="00324C60">
        <w:rPr>
          <w:rFonts w:asciiTheme="minorHAnsi" w:hAnsiTheme="minorHAnsi" w:cs="Calibri"/>
          <w:lang w:val="es-CO"/>
        </w:rPr>
        <w:t>Reformas introducidas a alguno</w:t>
      </w:r>
      <w:r w:rsidR="000C3E0F">
        <w:rPr>
          <w:rFonts w:asciiTheme="minorHAnsi" w:hAnsiTheme="minorHAnsi" w:cs="Calibri"/>
          <w:lang w:val="es-CO"/>
        </w:rPr>
        <w:t>s trámites y procedimiento</w:t>
      </w:r>
      <w:r w:rsidR="00324C60">
        <w:rPr>
          <w:rFonts w:asciiTheme="minorHAnsi" w:hAnsiTheme="minorHAnsi" w:cs="Calibri"/>
          <w:lang w:val="es-CO"/>
        </w:rPr>
        <w:t>s</w:t>
      </w:r>
      <w:r w:rsidR="000C3E0F">
        <w:rPr>
          <w:rFonts w:asciiTheme="minorHAnsi" w:hAnsiTheme="minorHAnsi" w:cs="Calibri"/>
          <w:lang w:val="es-CO"/>
        </w:rPr>
        <w:t xml:space="preserve"> en materia de familia por el Código General del Proceso, Jesael Antonio Giraldo Castaño</w:t>
      </w:r>
      <w:r w:rsidR="005D1B31">
        <w:rPr>
          <w:rFonts w:asciiTheme="minorHAnsi" w:hAnsiTheme="minorHAnsi" w:cs="Calibri"/>
          <w:lang w:val="es-CO"/>
        </w:rPr>
        <w:t>,</w:t>
      </w:r>
      <w:r w:rsidR="005D1B31" w:rsidRPr="00D933B7">
        <w:rPr>
          <w:rFonts w:asciiTheme="minorHAnsi" w:hAnsiTheme="minorHAnsi" w:cs="Calibri"/>
          <w:lang w:val="es-CO"/>
        </w:rPr>
        <w:t xml:space="preserve"> </w:t>
      </w:r>
      <w:r w:rsidR="005D1B31" w:rsidRPr="00D933B7">
        <w:rPr>
          <w:rFonts w:asciiTheme="minorHAnsi" w:hAnsiTheme="minorHAnsi"/>
        </w:rPr>
        <w:t xml:space="preserve">Instituto Colombiano </w:t>
      </w:r>
      <w:r w:rsidR="005D1B31">
        <w:rPr>
          <w:rFonts w:asciiTheme="minorHAnsi" w:hAnsiTheme="minorHAnsi"/>
        </w:rPr>
        <w:t>d</w:t>
      </w:r>
      <w:r w:rsidR="005D1B31" w:rsidRPr="00D933B7">
        <w:rPr>
          <w:rFonts w:asciiTheme="minorHAnsi" w:hAnsiTheme="minorHAnsi"/>
        </w:rPr>
        <w:t>e Derecho Procesal</w:t>
      </w:r>
      <w:r w:rsidR="005D1B31">
        <w:rPr>
          <w:rFonts w:asciiTheme="minorHAnsi" w:hAnsiTheme="minorHAnsi"/>
        </w:rPr>
        <w:t>,</w:t>
      </w:r>
      <w:r w:rsidR="005D1B31" w:rsidRPr="00D933B7">
        <w:rPr>
          <w:rFonts w:asciiTheme="minorHAnsi" w:hAnsiTheme="minorHAnsi" w:cs="Calibri"/>
          <w:lang w:val="es-CO"/>
        </w:rPr>
        <w:t xml:space="preserve"> </w:t>
      </w:r>
      <w:r w:rsidR="005D1B31">
        <w:rPr>
          <w:rFonts w:asciiTheme="minorHAnsi" w:hAnsiTheme="minorHAnsi" w:cs="Calibri"/>
          <w:lang w:val="es-CO"/>
        </w:rPr>
        <w:t>1ª edición, Bogotá</w:t>
      </w:r>
      <w:r w:rsidR="00324C60">
        <w:rPr>
          <w:rFonts w:asciiTheme="minorHAnsi" w:hAnsiTheme="minorHAnsi" w:cs="Calibri"/>
          <w:lang w:val="es-CO"/>
        </w:rPr>
        <w:t xml:space="preserve"> DC</w:t>
      </w:r>
      <w:r w:rsidR="005D1B31">
        <w:rPr>
          <w:rFonts w:asciiTheme="minorHAnsi" w:hAnsiTheme="minorHAnsi" w:cs="Calibri"/>
          <w:lang w:val="es-CO"/>
        </w:rPr>
        <w:t xml:space="preserve">, </w:t>
      </w:r>
      <w:r w:rsidRPr="00D933B7">
        <w:rPr>
          <w:rFonts w:asciiTheme="minorHAnsi" w:hAnsiTheme="minorHAnsi" w:cs="Calibri"/>
          <w:lang w:val="es-CO"/>
        </w:rPr>
        <w:t>20</w:t>
      </w:r>
      <w:r w:rsidR="00D933B7" w:rsidRPr="00D933B7">
        <w:rPr>
          <w:rFonts w:asciiTheme="minorHAnsi" w:hAnsiTheme="minorHAnsi" w:cs="Calibri"/>
          <w:lang w:val="es-CO"/>
        </w:rPr>
        <w:t>14</w:t>
      </w:r>
      <w:r w:rsidRPr="00D933B7">
        <w:rPr>
          <w:rFonts w:asciiTheme="minorHAnsi" w:hAnsiTheme="minorHAnsi" w:cs="Calibri"/>
          <w:lang w:val="es-CO"/>
        </w:rPr>
        <w:t>, p.</w:t>
      </w:r>
      <w:r w:rsidR="00D933B7" w:rsidRPr="00D933B7">
        <w:rPr>
          <w:rFonts w:asciiTheme="minorHAnsi" w:hAnsiTheme="minorHAnsi" w:cs="Calibri"/>
          <w:lang w:val="es-CO"/>
        </w:rPr>
        <w:t>443</w:t>
      </w:r>
      <w:r w:rsidRPr="00D933B7">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0527AC" w:rsidRPr="000527AC">
      <w:rPr>
        <w:rFonts w:ascii="Calibri" w:hAnsi="Calibri" w:cs="Calibri"/>
        <w:bCs/>
        <w:noProof/>
      </w:rPr>
      <w:t>1</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9D0B7B">
      <w:rPr>
        <w:rFonts w:ascii="Calibri" w:hAnsi="Calibri" w:cs="Calibri"/>
        <w:i/>
      </w:rPr>
      <w:t>5</w:t>
    </w:r>
    <w:r w:rsidRPr="006F2303">
      <w:rPr>
        <w:rFonts w:ascii="Calibri" w:hAnsi="Calibri" w:cs="Calibri"/>
        <w:i/>
      </w:rPr>
      <w:t>-00</w:t>
    </w:r>
    <w:r>
      <w:rPr>
        <w:rFonts w:ascii="Calibri" w:hAnsi="Calibri" w:cs="Calibri"/>
        <w:i/>
      </w:rPr>
      <w:t>0</w:t>
    </w:r>
    <w:r w:rsidR="009D0B7B">
      <w:rPr>
        <w:rFonts w:ascii="Calibri" w:hAnsi="Calibri" w:cs="Calibri"/>
        <w:i/>
      </w:rPr>
      <w:t>50</w:t>
    </w:r>
    <w:r w:rsidRPr="006F2303">
      <w:rPr>
        <w:rFonts w:ascii="Calibri" w:hAnsi="Calibri" w:cs="Calibri"/>
        <w:i/>
      </w:rPr>
      <w:t>-01 LLRR</w:t>
    </w:r>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74F"/>
    <w:rsid w:val="00005CC9"/>
    <w:rsid w:val="00012F15"/>
    <w:rsid w:val="00013811"/>
    <w:rsid w:val="0001641A"/>
    <w:rsid w:val="00024513"/>
    <w:rsid w:val="00024962"/>
    <w:rsid w:val="00025385"/>
    <w:rsid w:val="000257D4"/>
    <w:rsid w:val="00026A0B"/>
    <w:rsid w:val="00026DE0"/>
    <w:rsid w:val="00027D12"/>
    <w:rsid w:val="00027D62"/>
    <w:rsid w:val="00030F6B"/>
    <w:rsid w:val="00031597"/>
    <w:rsid w:val="00032170"/>
    <w:rsid w:val="000335D9"/>
    <w:rsid w:val="00033C34"/>
    <w:rsid w:val="0004057A"/>
    <w:rsid w:val="00041035"/>
    <w:rsid w:val="000426DF"/>
    <w:rsid w:val="00045583"/>
    <w:rsid w:val="000527AC"/>
    <w:rsid w:val="000539EE"/>
    <w:rsid w:val="000557CF"/>
    <w:rsid w:val="000602F3"/>
    <w:rsid w:val="00073FC1"/>
    <w:rsid w:val="00077288"/>
    <w:rsid w:val="00082B69"/>
    <w:rsid w:val="0008352A"/>
    <w:rsid w:val="00084C89"/>
    <w:rsid w:val="00086A0B"/>
    <w:rsid w:val="000A0D0F"/>
    <w:rsid w:val="000A1680"/>
    <w:rsid w:val="000A171F"/>
    <w:rsid w:val="000A3570"/>
    <w:rsid w:val="000A6737"/>
    <w:rsid w:val="000A6D3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515F"/>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D05FD"/>
    <w:rsid w:val="003D1FEE"/>
    <w:rsid w:val="003D5E3D"/>
    <w:rsid w:val="003D637D"/>
    <w:rsid w:val="003D6411"/>
    <w:rsid w:val="003D741C"/>
    <w:rsid w:val="003E0BE1"/>
    <w:rsid w:val="003E1342"/>
    <w:rsid w:val="003E18D8"/>
    <w:rsid w:val="003E6859"/>
    <w:rsid w:val="003F751D"/>
    <w:rsid w:val="004042B6"/>
    <w:rsid w:val="0040704F"/>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4B66"/>
    <w:rsid w:val="004A7712"/>
    <w:rsid w:val="004B1BE6"/>
    <w:rsid w:val="004B23EF"/>
    <w:rsid w:val="004B283C"/>
    <w:rsid w:val="004B2CC1"/>
    <w:rsid w:val="004B3971"/>
    <w:rsid w:val="004C14DF"/>
    <w:rsid w:val="004C269E"/>
    <w:rsid w:val="004C5362"/>
    <w:rsid w:val="004D328C"/>
    <w:rsid w:val="004D5521"/>
    <w:rsid w:val="004E0A26"/>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2DF0"/>
    <w:rsid w:val="00534744"/>
    <w:rsid w:val="00540948"/>
    <w:rsid w:val="00542A6A"/>
    <w:rsid w:val="00547417"/>
    <w:rsid w:val="005524CB"/>
    <w:rsid w:val="00554579"/>
    <w:rsid w:val="005548C6"/>
    <w:rsid w:val="00556CD7"/>
    <w:rsid w:val="00560A13"/>
    <w:rsid w:val="0056642D"/>
    <w:rsid w:val="00570657"/>
    <w:rsid w:val="00571C50"/>
    <w:rsid w:val="005725C5"/>
    <w:rsid w:val="005726E1"/>
    <w:rsid w:val="005737A8"/>
    <w:rsid w:val="00575A5D"/>
    <w:rsid w:val="005760BE"/>
    <w:rsid w:val="00576A44"/>
    <w:rsid w:val="00580988"/>
    <w:rsid w:val="00580B83"/>
    <w:rsid w:val="00582FC3"/>
    <w:rsid w:val="005846FC"/>
    <w:rsid w:val="00585B94"/>
    <w:rsid w:val="0058654F"/>
    <w:rsid w:val="0059034A"/>
    <w:rsid w:val="00592F41"/>
    <w:rsid w:val="00594009"/>
    <w:rsid w:val="00595F4D"/>
    <w:rsid w:val="005962AF"/>
    <w:rsid w:val="005962BD"/>
    <w:rsid w:val="00596C73"/>
    <w:rsid w:val="005A3954"/>
    <w:rsid w:val="005B1749"/>
    <w:rsid w:val="005B3F17"/>
    <w:rsid w:val="005B51AB"/>
    <w:rsid w:val="005B7C4B"/>
    <w:rsid w:val="005C2FDC"/>
    <w:rsid w:val="005C34D8"/>
    <w:rsid w:val="005C60B4"/>
    <w:rsid w:val="005C6A0B"/>
    <w:rsid w:val="005D185D"/>
    <w:rsid w:val="005D1AC7"/>
    <w:rsid w:val="005D1B31"/>
    <w:rsid w:val="005D1D85"/>
    <w:rsid w:val="005D24AC"/>
    <w:rsid w:val="005D42F4"/>
    <w:rsid w:val="005D5F25"/>
    <w:rsid w:val="005D5F82"/>
    <w:rsid w:val="005D66BB"/>
    <w:rsid w:val="005D6ADD"/>
    <w:rsid w:val="005D7767"/>
    <w:rsid w:val="005E0907"/>
    <w:rsid w:val="005E0C4D"/>
    <w:rsid w:val="005E0EF5"/>
    <w:rsid w:val="005E2136"/>
    <w:rsid w:val="005E4061"/>
    <w:rsid w:val="005E6A59"/>
    <w:rsid w:val="005E716C"/>
    <w:rsid w:val="005F10C5"/>
    <w:rsid w:val="005F281E"/>
    <w:rsid w:val="005F2C64"/>
    <w:rsid w:val="005F321E"/>
    <w:rsid w:val="005F3A7D"/>
    <w:rsid w:val="005F4DF6"/>
    <w:rsid w:val="005F6EB5"/>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970"/>
    <w:rsid w:val="00686AA8"/>
    <w:rsid w:val="00687A40"/>
    <w:rsid w:val="006A0FB6"/>
    <w:rsid w:val="006A18CA"/>
    <w:rsid w:val="006A3058"/>
    <w:rsid w:val="006A34C4"/>
    <w:rsid w:val="006A4747"/>
    <w:rsid w:val="006A52B5"/>
    <w:rsid w:val="006A585E"/>
    <w:rsid w:val="006A59AE"/>
    <w:rsid w:val="006B17C9"/>
    <w:rsid w:val="006B1D95"/>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F68F7"/>
    <w:rsid w:val="007F6B11"/>
    <w:rsid w:val="00802837"/>
    <w:rsid w:val="00802BC8"/>
    <w:rsid w:val="008102A3"/>
    <w:rsid w:val="0081223C"/>
    <w:rsid w:val="00812438"/>
    <w:rsid w:val="008124C0"/>
    <w:rsid w:val="00815227"/>
    <w:rsid w:val="00815618"/>
    <w:rsid w:val="0083071A"/>
    <w:rsid w:val="00836EE1"/>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13BCC"/>
    <w:rsid w:val="00915E07"/>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793A"/>
    <w:rsid w:val="00971480"/>
    <w:rsid w:val="009721FE"/>
    <w:rsid w:val="00977144"/>
    <w:rsid w:val="009828F9"/>
    <w:rsid w:val="00982B46"/>
    <w:rsid w:val="00982D1F"/>
    <w:rsid w:val="00984E65"/>
    <w:rsid w:val="00991EC2"/>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10745"/>
    <w:rsid w:val="00A11372"/>
    <w:rsid w:val="00A14C29"/>
    <w:rsid w:val="00A14F72"/>
    <w:rsid w:val="00A163BD"/>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502"/>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F9C"/>
    <w:rsid w:val="00AD55DC"/>
    <w:rsid w:val="00AD6960"/>
    <w:rsid w:val="00AE025B"/>
    <w:rsid w:val="00AE0D64"/>
    <w:rsid w:val="00AE4941"/>
    <w:rsid w:val="00AF0BEB"/>
    <w:rsid w:val="00AF21C2"/>
    <w:rsid w:val="00AF55D2"/>
    <w:rsid w:val="00AF581F"/>
    <w:rsid w:val="00B03294"/>
    <w:rsid w:val="00B0422C"/>
    <w:rsid w:val="00B07094"/>
    <w:rsid w:val="00B12609"/>
    <w:rsid w:val="00B2078D"/>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70B6C"/>
    <w:rsid w:val="00B70B6D"/>
    <w:rsid w:val="00B7680C"/>
    <w:rsid w:val="00B806ED"/>
    <w:rsid w:val="00B80AB6"/>
    <w:rsid w:val="00B92AB4"/>
    <w:rsid w:val="00B960DF"/>
    <w:rsid w:val="00B96D4D"/>
    <w:rsid w:val="00BA1C8C"/>
    <w:rsid w:val="00BA3131"/>
    <w:rsid w:val="00BA594C"/>
    <w:rsid w:val="00BA5B4F"/>
    <w:rsid w:val="00BA7888"/>
    <w:rsid w:val="00BB39DE"/>
    <w:rsid w:val="00BB5ADA"/>
    <w:rsid w:val="00BB695D"/>
    <w:rsid w:val="00BC3087"/>
    <w:rsid w:val="00BC5F1F"/>
    <w:rsid w:val="00BC6AA2"/>
    <w:rsid w:val="00BD12C5"/>
    <w:rsid w:val="00BD1BDA"/>
    <w:rsid w:val="00BD207B"/>
    <w:rsid w:val="00BD3EF6"/>
    <w:rsid w:val="00BD7CFA"/>
    <w:rsid w:val="00BE0C8F"/>
    <w:rsid w:val="00BE0E76"/>
    <w:rsid w:val="00BE2C52"/>
    <w:rsid w:val="00BE4E53"/>
    <w:rsid w:val="00BF05B9"/>
    <w:rsid w:val="00BF1631"/>
    <w:rsid w:val="00BF4F29"/>
    <w:rsid w:val="00BF54BA"/>
    <w:rsid w:val="00BF571E"/>
    <w:rsid w:val="00BF6D42"/>
    <w:rsid w:val="00C06FCD"/>
    <w:rsid w:val="00C10030"/>
    <w:rsid w:val="00C25D91"/>
    <w:rsid w:val="00C32A6F"/>
    <w:rsid w:val="00C34B6F"/>
    <w:rsid w:val="00C35F68"/>
    <w:rsid w:val="00C37B5C"/>
    <w:rsid w:val="00C42051"/>
    <w:rsid w:val="00C52CF4"/>
    <w:rsid w:val="00C6677A"/>
    <w:rsid w:val="00C66938"/>
    <w:rsid w:val="00C67CDE"/>
    <w:rsid w:val="00C8450D"/>
    <w:rsid w:val="00C85F9E"/>
    <w:rsid w:val="00C861F3"/>
    <w:rsid w:val="00C9261A"/>
    <w:rsid w:val="00C93C5F"/>
    <w:rsid w:val="00C93D6D"/>
    <w:rsid w:val="00C95487"/>
    <w:rsid w:val="00CA3BCF"/>
    <w:rsid w:val="00CA48FA"/>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626D"/>
    <w:rsid w:val="00D26C55"/>
    <w:rsid w:val="00D279DF"/>
    <w:rsid w:val="00D30A13"/>
    <w:rsid w:val="00D32AA4"/>
    <w:rsid w:val="00D32E3D"/>
    <w:rsid w:val="00D34F81"/>
    <w:rsid w:val="00D37639"/>
    <w:rsid w:val="00D37BE3"/>
    <w:rsid w:val="00D41A3E"/>
    <w:rsid w:val="00D43B66"/>
    <w:rsid w:val="00D5242C"/>
    <w:rsid w:val="00D52F0A"/>
    <w:rsid w:val="00D53ADD"/>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A5515"/>
    <w:rsid w:val="00DB00BC"/>
    <w:rsid w:val="00DB1D36"/>
    <w:rsid w:val="00DB2346"/>
    <w:rsid w:val="00DB5980"/>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E0685A"/>
    <w:rsid w:val="00E06B96"/>
    <w:rsid w:val="00E07EEF"/>
    <w:rsid w:val="00E1029B"/>
    <w:rsid w:val="00E12383"/>
    <w:rsid w:val="00E26DAA"/>
    <w:rsid w:val="00E26E35"/>
    <w:rsid w:val="00E27453"/>
    <w:rsid w:val="00E27935"/>
    <w:rsid w:val="00E30F8E"/>
    <w:rsid w:val="00E31602"/>
    <w:rsid w:val="00E37259"/>
    <w:rsid w:val="00E3739D"/>
    <w:rsid w:val="00E37456"/>
    <w:rsid w:val="00E410AB"/>
    <w:rsid w:val="00E4275B"/>
    <w:rsid w:val="00E4399D"/>
    <w:rsid w:val="00E46357"/>
    <w:rsid w:val="00E46FB8"/>
    <w:rsid w:val="00E471BE"/>
    <w:rsid w:val="00E51806"/>
    <w:rsid w:val="00E521DA"/>
    <w:rsid w:val="00E55393"/>
    <w:rsid w:val="00E56401"/>
    <w:rsid w:val="00E56AAF"/>
    <w:rsid w:val="00E57A86"/>
    <w:rsid w:val="00E61687"/>
    <w:rsid w:val="00E619D8"/>
    <w:rsid w:val="00E61CFE"/>
    <w:rsid w:val="00E70E4B"/>
    <w:rsid w:val="00E72608"/>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519C"/>
    <w:rsid w:val="00ED117C"/>
    <w:rsid w:val="00ED4349"/>
    <w:rsid w:val="00ED506C"/>
    <w:rsid w:val="00ED70B1"/>
    <w:rsid w:val="00EE1700"/>
    <w:rsid w:val="00EE186F"/>
    <w:rsid w:val="00EE2A4D"/>
    <w:rsid w:val="00EF0336"/>
    <w:rsid w:val="00EF73DE"/>
    <w:rsid w:val="00F05F0F"/>
    <w:rsid w:val="00F10094"/>
    <w:rsid w:val="00F10D94"/>
    <w:rsid w:val="00F207CD"/>
    <w:rsid w:val="00F21836"/>
    <w:rsid w:val="00F2575F"/>
    <w:rsid w:val="00F25E89"/>
    <w:rsid w:val="00F278D5"/>
    <w:rsid w:val="00F27C3C"/>
    <w:rsid w:val="00F36966"/>
    <w:rsid w:val="00F37133"/>
    <w:rsid w:val="00F40A1D"/>
    <w:rsid w:val="00F430EE"/>
    <w:rsid w:val="00F437F8"/>
    <w:rsid w:val="00F453F1"/>
    <w:rsid w:val="00F503EE"/>
    <w:rsid w:val="00F55497"/>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B49E3"/>
    <w:rsid w:val="00FB556B"/>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BB518-902A-4ECA-9141-7AF5C28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99"/>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ft"/>
    <w:basedOn w:val="Normal"/>
    <w:link w:val="TextonotapieCar"/>
    <w:uiPriority w:val="99"/>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ft Car"/>
    <w:basedOn w:val="Fuentedeprrafopredeter"/>
    <w:link w:val="Textonotapie"/>
    <w:uiPriority w:val="99"/>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0266-F6CF-4743-BF21-10A0DFC4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Mariela López de Meneses</cp:lastModifiedBy>
  <cp:revision>16</cp:revision>
  <cp:lastPrinted>2016-02-04T19:08:00Z</cp:lastPrinted>
  <dcterms:created xsi:type="dcterms:W3CDTF">2016-02-03T15:16:00Z</dcterms:created>
  <dcterms:modified xsi:type="dcterms:W3CDTF">2016-05-17T20:29:00Z</dcterms:modified>
</cp:coreProperties>
</file>