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04" w:rsidRPr="00075297" w:rsidRDefault="009C3204" w:rsidP="00EC004E">
      <w:pPr>
        <w:jc w:val="both"/>
        <w:rPr>
          <w:rFonts w:ascii="Arial" w:hAnsi="Arial" w:cs="Arial"/>
          <w:spacing w:val="-6"/>
          <w:sz w:val="19"/>
          <w:szCs w:val="19"/>
        </w:rPr>
      </w:pPr>
      <w:r w:rsidRPr="00075297">
        <w:rPr>
          <w:rFonts w:ascii="Arial" w:hAnsi="Arial" w:cs="Arial"/>
          <w:spacing w:val="-6"/>
          <w:sz w:val="19"/>
          <w:szCs w:val="19"/>
        </w:rPr>
        <w:t>DERECHO DE PETICIÓN Y DEBIDO PROCESO ADMINISTRATIVO/ Vulneración</w:t>
      </w:r>
      <w:r w:rsidR="00075297">
        <w:rPr>
          <w:rFonts w:ascii="Arial" w:hAnsi="Arial" w:cs="Arial"/>
          <w:spacing w:val="-6"/>
          <w:sz w:val="19"/>
          <w:szCs w:val="19"/>
        </w:rPr>
        <w:t xml:space="preserve"> por</w:t>
      </w:r>
      <w:r w:rsidRPr="00075297">
        <w:rPr>
          <w:rFonts w:ascii="Arial" w:hAnsi="Arial" w:cs="Arial"/>
          <w:spacing w:val="-6"/>
          <w:sz w:val="19"/>
          <w:szCs w:val="19"/>
        </w:rPr>
        <w:t xml:space="preserve"> respuesta incompleta, sin comunicación ni mención</w:t>
      </w:r>
      <w:r w:rsidR="00075297">
        <w:rPr>
          <w:rFonts w:ascii="Arial" w:hAnsi="Arial" w:cs="Arial"/>
          <w:spacing w:val="-6"/>
          <w:sz w:val="19"/>
          <w:szCs w:val="19"/>
        </w:rPr>
        <w:t xml:space="preserve"> de</w:t>
      </w:r>
      <w:r w:rsidRPr="00075297">
        <w:rPr>
          <w:rFonts w:ascii="Arial" w:hAnsi="Arial" w:cs="Arial"/>
          <w:spacing w:val="-6"/>
          <w:sz w:val="19"/>
          <w:szCs w:val="19"/>
        </w:rPr>
        <w:t xml:space="preserve"> los recursos disponibles contra el acto que pone fin a la actuación administrativa</w:t>
      </w:r>
    </w:p>
    <w:p w:rsidR="00EA14C8" w:rsidRPr="00075297" w:rsidRDefault="00EA14C8" w:rsidP="00EC004E">
      <w:pPr>
        <w:pStyle w:val="Textoindependiente"/>
        <w:tabs>
          <w:tab w:val="clear" w:pos="708"/>
          <w:tab w:val="clear" w:pos="1416"/>
          <w:tab w:val="left" w:pos="709"/>
          <w:tab w:val="left" w:pos="1418"/>
        </w:tabs>
        <w:spacing w:line="240" w:lineRule="auto"/>
        <w:rPr>
          <w:rFonts w:ascii="Arial" w:hAnsi="Arial" w:cs="Arial"/>
          <w:spacing w:val="-6"/>
          <w:sz w:val="19"/>
          <w:szCs w:val="19"/>
        </w:rPr>
      </w:pPr>
    </w:p>
    <w:p w:rsidR="00EA14C8" w:rsidRPr="00075297" w:rsidRDefault="00414A8B" w:rsidP="00EC004E">
      <w:pPr>
        <w:pStyle w:val="Textoindependiente"/>
        <w:tabs>
          <w:tab w:val="clear" w:pos="708"/>
          <w:tab w:val="clear" w:pos="1416"/>
          <w:tab w:val="left" w:pos="709"/>
          <w:tab w:val="left" w:pos="1418"/>
        </w:tabs>
        <w:spacing w:line="240" w:lineRule="auto"/>
        <w:rPr>
          <w:rFonts w:ascii="Arial" w:hAnsi="Arial" w:cs="Arial"/>
          <w:spacing w:val="-6"/>
          <w:sz w:val="19"/>
          <w:szCs w:val="19"/>
        </w:rPr>
      </w:pPr>
      <w:r w:rsidRPr="00075297">
        <w:rPr>
          <w:rFonts w:ascii="Arial" w:hAnsi="Arial" w:cs="Arial"/>
          <w:spacing w:val="-6"/>
          <w:sz w:val="19"/>
          <w:szCs w:val="19"/>
        </w:rPr>
        <w:t>“</w:t>
      </w:r>
      <w:r w:rsidR="00EA14C8" w:rsidRPr="00075297">
        <w:rPr>
          <w:rFonts w:ascii="Arial" w:hAnsi="Arial" w:cs="Arial"/>
          <w:spacing w:val="-6"/>
          <w:sz w:val="19"/>
          <w:szCs w:val="19"/>
        </w:rPr>
        <w:t xml:space="preserve">El Grupo de Prestaciones Sociales accionado reconoció en la contestación del libelo que no había dado respuesta al referido derecho de petición e intentó hacerlo con el oficio OFI16-15581 del </w:t>
      </w:r>
      <w:r w:rsidR="003358E9" w:rsidRPr="00075297">
        <w:rPr>
          <w:rFonts w:ascii="Arial" w:hAnsi="Arial" w:cs="Arial"/>
          <w:spacing w:val="-6"/>
          <w:sz w:val="19"/>
          <w:szCs w:val="19"/>
        </w:rPr>
        <w:t xml:space="preserve">07-03-2016 (…) </w:t>
      </w:r>
      <w:r w:rsidR="00EA14C8" w:rsidRPr="00075297">
        <w:rPr>
          <w:rFonts w:ascii="Arial" w:hAnsi="Arial" w:cs="Arial"/>
          <w:spacing w:val="-6"/>
          <w:sz w:val="19"/>
          <w:szCs w:val="19"/>
        </w:rPr>
        <w:t>del cual se desprende que no respondió todos los cuestionamientos formulados por el actor (Quedó pendiente de responder sobre el reajuste de los salarios y prestaciones sociales) ni precisó los recursos que proceden contra aquella decisión, además, omitió comunicarlo adecuadamente, pues, según se co</w:t>
      </w:r>
      <w:r w:rsidR="00E55B4F" w:rsidRPr="00075297">
        <w:rPr>
          <w:rFonts w:ascii="Arial" w:hAnsi="Arial" w:cs="Arial"/>
          <w:spacing w:val="-6"/>
          <w:sz w:val="19"/>
          <w:szCs w:val="19"/>
        </w:rPr>
        <w:t>nstató en esta instancia (…</w:t>
      </w:r>
      <w:r w:rsidR="00EA14C8" w:rsidRPr="00075297">
        <w:rPr>
          <w:rFonts w:ascii="Arial" w:hAnsi="Arial" w:cs="Arial"/>
          <w:spacing w:val="-6"/>
          <w:sz w:val="19"/>
          <w:szCs w:val="19"/>
        </w:rPr>
        <w:t>) la empresa de correos inadmitió el envío.</w:t>
      </w:r>
      <w:r w:rsidR="007D7B8E" w:rsidRPr="00075297">
        <w:rPr>
          <w:rFonts w:ascii="Arial" w:hAnsi="Arial" w:cs="Arial"/>
          <w:spacing w:val="-6"/>
          <w:sz w:val="19"/>
          <w:szCs w:val="19"/>
        </w:rPr>
        <w:t>”</w:t>
      </w:r>
      <w:r w:rsidR="00EA14C8" w:rsidRPr="00075297">
        <w:rPr>
          <w:rFonts w:ascii="Arial" w:hAnsi="Arial" w:cs="Arial"/>
          <w:spacing w:val="-6"/>
          <w:sz w:val="19"/>
          <w:szCs w:val="19"/>
        </w:rPr>
        <w:t xml:space="preserve"> </w:t>
      </w:r>
    </w:p>
    <w:p w:rsidR="00EA14C8" w:rsidRPr="00075297" w:rsidRDefault="00EA14C8" w:rsidP="00EC004E">
      <w:pPr>
        <w:pStyle w:val="Textoindependiente"/>
        <w:tabs>
          <w:tab w:val="clear" w:pos="708"/>
          <w:tab w:val="clear" w:pos="1416"/>
          <w:tab w:val="left" w:pos="709"/>
          <w:tab w:val="left" w:pos="1418"/>
        </w:tabs>
        <w:spacing w:line="240" w:lineRule="auto"/>
        <w:rPr>
          <w:rFonts w:ascii="Arial" w:hAnsi="Arial" w:cs="Arial"/>
          <w:spacing w:val="-6"/>
          <w:sz w:val="19"/>
          <w:szCs w:val="19"/>
        </w:rPr>
      </w:pPr>
    </w:p>
    <w:p w:rsidR="00EA14C8" w:rsidRDefault="00414A8B" w:rsidP="00EC004E">
      <w:pPr>
        <w:pStyle w:val="Textoindependiente"/>
        <w:spacing w:line="240" w:lineRule="auto"/>
        <w:rPr>
          <w:rFonts w:ascii="Arial" w:eastAsia="Yu Gothic Light" w:hAnsi="Arial" w:cs="Arial"/>
          <w:spacing w:val="-6"/>
          <w:sz w:val="19"/>
          <w:szCs w:val="19"/>
        </w:rPr>
      </w:pPr>
      <w:r w:rsidRPr="00075297">
        <w:rPr>
          <w:rFonts w:ascii="Arial" w:hAnsi="Arial" w:cs="Arial"/>
          <w:spacing w:val="-6"/>
          <w:sz w:val="19"/>
          <w:szCs w:val="19"/>
        </w:rPr>
        <w:t>“</w:t>
      </w:r>
      <w:r w:rsidR="00075297">
        <w:rPr>
          <w:rFonts w:ascii="Arial" w:hAnsi="Arial" w:cs="Arial"/>
          <w:spacing w:val="-6"/>
          <w:sz w:val="19"/>
          <w:szCs w:val="19"/>
        </w:rPr>
        <w:t xml:space="preserve">(…) </w:t>
      </w:r>
      <w:r w:rsidR="00EA14C8" w:rsidRPr="00075297">
        <w:rPr>
          <w:rFonts w:ascii="Arial" w:hAnsi="Arial" w:cs="Arial"/>
          <w:spacing w:val="-6"/>
          <w:sz w:val="19"/>
          <w:szCs w:val="19"/>
        </w:rPr>
        <w:t>en este caso debe observarse que la respuesta al derecho de petición formulado por el actor, pone fin a una actuación administrativa y en esas condiciones sí debe cumplir, con los requisitos que para tal efecto regula el CPACA, esto es, que por lo menos le indique de qué manera puede ejercer su derecho de contradicción en contra de ella</w:t>
      </w:r>
      <w:r w:rsidRPr="00075297">
        <w:rPr>
          <w:rFonts w:ascii="Arial" w:hAnsi="Arial" w:cs="Arial"/>
          <w:spacing w:val="-6"/>
          <w:sz w:val="19"/>
          <w:szCs w:val="19"/>
        </w:rPr>
        <w:t xml:space="preserve"> (…)</w:t>
      </w:r>
      <w:r w:rsidRPr="00075297">
        <w:rPr>
          <w:rFonts w:ascii="Arial" w:eastAsia="Yu Gothic Light" w:hAnsi="Arial" w:cs="Arial"/>
          <w:spacing w:val="-6"/>
          <w:sz w:val="19"/>
          <w:szCs w:val="19"/>
        </w:rPr>
        <w:t>”</w:t>
      </w:r>
    </w:p>
    <w:p w:rsidR="00953EBF" w:rsidRDefault="00953EBF" w:rsidP="00EC004E">
      <w:pPr>
        <w:pStyle w:val="Textoindependiente"/>
        <w:spacing w:line="240" w:lineRule="auto"/>
        <w:rPr>
          <w:rFonts w:ascii="Arial" w:eastAsia="Yu Gothic Light" w:hAnsi="Arial" w:cs="Arial"/>
          <w:spacing w:val="-6"/>
          <w:sz w:val="19"/>
          <w:szCs w:val="19"/>
        </w:rPr>
      </w:pPr>
    </w:p>
    <w:p w:rsidR="00953EBF" w:rsidRPr="00075297" w:rsidRDefault="00953EBF" w:rsidP="00EC004E">
      <w:pPr>
        <w:pStyle w:val="Textoindependiente"/>
        <w:spacing w:line="240" w:lineRule="auto"/>
        <w:rPr>
          <w:rFonts w:ascii="Arial" w:hAnsi="Arial" w:cs="Arial"/>
          <w:spacing w:val="-6"/>
          <w:sz w:val="19"/>
          <w:szCs w:val="19"/>
        </w:rPr>
      </w:pPr>
      <w:r>
        <w:rPr>
          <w:rFonts w:ascii="Arial" w:eastAsia="Yu Gothic Light" w:hAnsi="Arial" w:cs="Arial"/>
          <w:spacing w:val="-6"/>
          <w:sz w:val="19"/>
          <w:szCs w:val="19"/>
        </w:rPr>
        <w:t xml:space="preserve">INMEDIATEZ/ </w:t>
      </w:r>
      <w:r w:rsidRPr="00075297">
        <w:rPr>
          <w:rFonts w:ascii="Arial" w:hAnsi="Arial" w:cs="Arial"/>
          <w:spacing w:val="-6"/>
          <w:sz w:val="19"/>
          <w:szCs w:val="19"/>
        </w:rPr>
        <w:t>Sobrepaso injustificado del término razonable para interponer la acción</w:t>
      </w:r>
      <w:r w:rsidR="007D39CB">
        <w:rPr>
          <w:rFonts w:ascii="Arial" w:hAnsi="Arial" w:cs="Arial"/>
          <w:spacing w:val="-6"/>
          <w:sz w:val="19"/>
          <w:szCs w:val="19"/>
        </w:rPr>
        <w:t xml:space="preserve"> de tutela</w:t>
      </w:r>
      <w:bookmarkStart w:id="0" w:name="_GoBack"/>
      <w:bookmarkEnd w:id="0"/>
    </w:p>
    <w:p w:rsidR="00EA14C8" w:rsidRPr="00075297" w:rsidRDefault="00EA14C8" w:rsidP="00EC004E">
      <w:pPr>
        <w:pStyle w:val="Textoindependiente"/>
        <w:spacing w:line="240" w:lineRule="auto"/>
        <w:rPr>
          <w:rFonts w:ascii="Arial" w:hAnsi="Arial" w:cs="Arial"/>
          <w:spacing w:val="-6"/>
          <w:sz w:val="19"/>
          <w:szCs w:val="19"/>
        </w:rPr>
      </w:pPr>
    </w:p>
    <w:p w:rsidR="00EA14C8" w:rsidRPr="00075297" w:rsidRDefault="00CD5876" w:rsidP="00EC004E">
      <w:pPr>
        <w:pStyle w:val="Textoindependiente"/>
        <w:spacing w:line="240" w:lineRule="auto"/>
        <w:rPr>
          <w:rFonts w:ascii="Arial" w:hAnsi="Arial" w:cs="Arial"/>
          <w:spacing w:val="-6"/>
          <w:sz w:val="19"/>
          <w:szCs w:val="19"/>
        </w:rPr>
      </w:pPr>
      <w:r w:rsidRPr="00075297">
        <w:rPr>
          <w:rFonts w:ascii="Arial" w:hAnsi="Arial" w:cs="Arial"/>
          <w:spacing w:val="-6"/>
          <w:sz w:val="19"/>
          <w:szCs w:val="19"/>
        </w:rPr>
        <w:t>“</w:t>
      </w:r>
      <w:r w:rsidR="00EA14C8" w:rsidRPr="00075297">
        <w:rPr>
          <w:rFonts w:ascii="Arial" w:hAnsi="Arial" w:cs="Arial"/>
          <w:spacing w:val="-6"/>
          <w:sz w:val="19"/>
          <w:szCs w:val="19"/>
        </w:rPr>
        <w:t>Respecto a la segunda petición, tendiente a que la Caja de Retiro de las Fuerzas Militares reajuste la asignación de retiro del accionante, encuentra la Sala que fue resuelta con oficio 812064 del 19-12-2014 (</w:t>
      </w:r>
      <w:r w:rsidR="00E55B4F" w:rsidRPr="00075297">
        <w:rPr>
          <w:rFonts w:ascii="Arial" w:hAnsi="Arial" w:cs="Arial"/>
          <w:spacing w:val="-6"/>
          <w:sz w:val="19"/>
          <w:szCs w:val="19"/>
        </w:rPr>
        <w:t>…</w:t>
      </w:r>
      <w:r w:rsidR="00EA14C8" w:rsidRPr="00075297">
        <w:rPr>
          <w:rFonts w:ascii="Arial" w:hAnsi="Arial" w:cs="Arial"/>
          <w:spacing w:val="-6"/>
          <w:sz w:val="19"/>
          <w:szCs w:val="19"/>
        </w:rPr>
        <w:t>), entregado en la dirección indicada para el ef</w:t>
      </w:r>
      <w:r w:rsidR="00953EBF">
        <w:rPr>
          <w:rFonts w:ascii="Arial" w:hAnsi="Arial" w:cs="Arial"/>
          <w:spacing w:val="-6"/>
          <w:sz w:val="19"/>
          <w:szCs w:val="19"/>
        </w:rPr>
        <w:t>ecto el día 24-12-2014 (…</w:t>
      </w:r>
      <w:r w:rsidR="00EA14C8" w:rsidRPr="00075297">
        <w:rPr>
          <w:rFonts w:ascii="Arial" w:hAnsi="Arial" w:cs="Arial"/>
          <w:spacing w:val="-6"/>
          <w:sz w:val="19"/>
          <w:szCs w:val="19"/>
        </w:rPr>
        <w:t>)</w:t>
      </w:r>
    </w:p>
    <w:p w:rsidR="00EA14C8" w:rsidRPr="00075297" w:rsidRDefault="00EA14C8" w:rsidP="00EC004E">
      <w:pPr>
        <w:pStyle w:val="Textoindependiente"/>
        <w:spacing w:line="240" w:lineRule="auto"/>
        <w:rPr>
          <w:rFonts w:ascii="Arial" w:hAnsi="Arial" w:cs="Arial"/>
          <w:spacing w:val="-6"/>
          <w:sz w:val="19"/>
          <w:szCs w:val="19"/>
        </w:rPr>
      </w:pPr>
    </w:p>
    <w:p w:rsidR="00EA14C8" w:rsidRPr="00075297" w:rsidRDefault="00EA14C8" w:rsidP="00EC004E">
      <w:pPr>
        <w:pStyle w:val="Textoindependiente"/>
        <w:spacing w:line="240" w:lineRule="auto"/>
        <w:rPr>
          <w:rFonts w:ascii="Arial" w:hAnsi="Arial" w:cs="Arial"/>
          <w:spacing w:val="-6"/>
          <w:sz w:val="19"/>
          <w:szCs w:val="19"/>
        </w:rPr>
      </w:pPr>
      <w:r w:rsidRPr="00075297">
        <w:rPr>
          <w:rFonts w:ascii="Arial" w:hAnsi="Arial" w:cs="Arial"/>
          <w:spacing w:val="-6"/>
          <w:sz w:val="19"/>
          <w:szCs w:val="19"/>
        </w:rPr>
        <w:t xml:space="preserve">Tales fechas permiten afirmar que frente a la mencionada entidad la presente acción carece de inmediatez, pues su interposición desborda el plazo de los seis (6) meses fijado por la jurisprudencia tanto constitucional como ordinaria; como tiempo razonable para tal efecto, ya que transcurrió un año y dos meses desde la respuesta dada. </w:t>
      </w:r>
    </w:p>
    <w:p w:rsidR="00EA14C8" w:rsidRPr="00075297" w:rsidRDefault="00EA14C8" w:rsidP="00EC004E">
      <w:pPr>
        <w:ind w:right="45"/>
        <w:jc w:val="both"/>
        <w:rPr>
          <w:rFonts w:ascii="Arial" w:hAnsi="Arial" w:cs="Arial"/>
          <w:spacing w:val="-6"/>
          <w:sz w:val="19"/>
          <w:szCs w:val="19"/>
        </w:rPr>
      </w:pPr>
    </w:p>
    <w:p w:rsidR="00EA14C8" w:rsidRPr="00075297" w:rsidRDefault="00EA14C8" w:rsidP="00EC004E">
      <w:pPr>
        <w:jc w:val="both"/>
        <w:rPr>
          <w:rFonts w:ascii="Arial" w:hAnsi="Arial" w:cs="Arial"/>
          <w:spacing w:val="-6"/>
          <w:sz w:val="19"/>
          <w:szCs w:val="19"/>
        </w:rPr>
      </w:pPr>
      <w:r w:rsidRPr="00075297">
        <w:rPr>
          <w:rFonts w:ascii="Arial" w:hAnsi="Arial" w:cs="Arial"/>
          <w:spacing w:val="-6"/>
          <w:sz w:val="19"/>
          <w:szCs w:val="19"/>
        </w:rPr>
        <w:t xml:space="preserve">Ahora bien, es cierto que conforme a la doctrina, el juez de la causa debe tener flexibilidad en la aplicación de este principio, pero a ese </w:t>
      </w:r>
      <w:r w:rsidRPr="00075297">
        <w:rPr>
          <w:rFonts w:ascii="Arial" w:hAnsi="Arial" w:cs="Arial"/>
          <w:spacing w:val="-6"/>
          <w:sz w:val="19"/>
          <w:szCs w:val="19"/>
          <w:lang w:val="es-ES_tradnl"/>
        </w:rPr>
        <w:t xml:space="preserve">tenor, se debe </w:t>
      </w:r>
      <w:r w:rsidRPr="00075297">
        <w:rPr>
          <w:rFonts w:ascii="Arial" w:hAnsi="Arial" w:cs="Arial"/>
          <w:spacing w:val="-6"/>
          <w:sz w:val="19"/>
          <w:szCs w:val="19"/>
        </w:rPr>
        <w:t>probar o alegar, que medió causa alguna de fuerza mayor o caso fortuito que impidiera a la actora gestionar, su defensa a través de esta acción con mayor celeridad sin desconocer la inmediatez; circunstancias que no fueron expuestas ni probadas en el trámite. De igual forma, no se encuentra ni alegado ni probado, que el actor sea persona de especial protección constitucional</w:t>
      </w:r>
      <w:r w:rsidR="00EC004E" w:rsidRPr="00075297">
        <w:rPr>
          <w:rFonts w:ascii="Arial" w:hAnsi="Arial" w:cs="Arial"/>
          <w:spacing w:val="-6"/>
          <w:sz w:val="19"/>
          <w:szCs w:val="19"/>
        </w:rPr>
        <w:t xml:space="preserve"> (…)</w:t>
      </w:r>
      <w:r w:rsidR="009C3204" w:rsidRPr="00075297">
        <w:rPr>
          <w:rFonts w:ascii="Arial" w:hAnsi="Arial" w:cs="Arial"/>
          <w:spacing w:val="-6"/>
          <w:sz w:val="19"/>
          <w:szCs w:val="19"/>
        </w:rPr>
        <w:t>”</w:t>
      </w:r>
    </w:p>
    <w:p w:rsidR="009C3204" w:rsidRPr="00075297" w:rsidRDefault="009C3204" w:rsidP="00EC004E">
      <w:pPr>
        <w:jc w:val="both"/>
        <w:rPr>
          <w:rFonts w:ascii="Arial" w:hAnsi="Arial" w:cs="Arial"/>
          <w:spacing w:val="-6"/>
          <w:sz w:val="16"/>
          <w:szCs w:val="16"/>
        </w:rPr>
      </w:pPr>
    </w:p>
    <w:p w:rsidR="009C3204" w:rsidRPr="00727A35" w:rsidRDefault="009C3204" w:rsidP="00EC004E">
      <w:pPr>
        <w:jc w:val="both"/>
        <w:rPr>
          <w:rFonts w:ascii="Arial" w:hAnsi="Arial" w:cs="Arial"/>
          <w:spacing w:val="-13"/>
          <w:sz w:val="16"/>
          <w:szCs w:val="16"/>
        </w:rPr>
      </w:pPr>
      <w:r w:rsidRPr="00727A35">
        <w:rPr>
          <w:rFonts w:ascii="Arial" w:hAnsi="Arial" w:cs="Arial"/>
          <w:spacing w:val="-13"/>
          <w:sz w:val="16"/>
          <w:szCs w:val="16"/>
        </w:rPr>
        <w:t xml:space="preserve">Citas: </w:t>
      </w:r>
      <w:r w:rsidR="00EC004E" w:rsidRPr="00727A35">
        <w:rPr>
          <w:rFonts w:ascii="Arial" w:hAnsi="Arial" w:cs="Arial"/>
          <w:spacing w:val="-13"/>
          <w:sz w:val="16"/>
          <w:szCs w:val="16"/>
          <w:lang w:val="es-CO"/>
        </w:rPr>
        <w:t>Corte Constitucional</w:t>
      </w:r>
      <w:r w:rsidRPr="00727A35">
        <w:rPr>
          <w:rFonts w:ascii="Arial" w:hAnsi="Arial" w:cs="Arial"/>
          <w:spacing w:val="-13"/>
          <w:sz w:val="16"/>
          <w:szCs w:val="16"/>
          <w:lang w:val="es-CO"/>
        </w:rPr>
        <w:t xml:space="preserve">, sentencias </w:t>
      </w:r>
      <w:r w:rsidRPr="00727A35">
        <w:rPr>
          <w:rFonts w:ascii="Arial" w:hAnsi="Arial" w:cs="Arial"/>
          <w:spacing w:val="-13"/>
          <w:sz w:val="16"/>
          <w:szCs w:val="16"/>
          <w:lang w:val="es-MX"/>
        </w:rPr>
        <w:t>T-309 de 2000</w:t>
      </w:r>
      <w:r w:rsidR="00EC004E" w:rsidRPr="00727A35">
        <w:rPr>
          <w:rFonts w:ascii="Arial" w:hAnsi="Arial" w:cs="Arial"/>
          <w:spacing w:val="-13"/>
          <w:sz w:val="16"/>
          <w:szCs w:val="16"/>
          <w:lang w:val="es-MX"/>
        </w:rPr>
        <w:t xml:space="preserve">, </w:t>
      </w:r>
      <w:r w:rsidR="00EC004E" w:rsidRPr="00727A35">
        <w:rPr>
          <w:rFonts w:ascii="Arial" w:hAnsi="Arial" w:cs="Arial"/>
          <w:spacing w:val="-13"/>
          <w:sz w:val="16"/>
          <w:szCs w:val="16"/>
        </w:rPr>
        <w:t xml:space="preserve">T-669 de </w:t>
      </w:r>
      <w:r w:rsidRPr="00727A35">
        <w:rPr>
          <w:rFonts w:ascii="Arial" w:hAnsi="Arial" w:cs="Arial"/>
          <w:spacing w:val="-13"/>
          <w:sz w:val="16"/>
          <w:szCs w:val="16"/>
        </w:rPr>
        <w:t xml:space="preserve">2003, </w:t>
      </w:r>
      <w:r w:rsidRPr="00727A35">
        <w:rPr>
          <w:rFonts w:ascii="Arial" w:hAnsi="Arial" w:cs="Arial"/>
          <w:spacing w:val="-13"/>
          <w:sz w:val="16"/>
          <w:szCs w:val="16"/>
          <w:lang w:val="es-MX"/>
        </w:rPr>
        <w:t>T-119 de 2011</w:t>
      </w:r>
      <w:r w:rsidR="00EC004E" w:rsidRPr="00727A35">
        <w:rPr>
          <w:rFonts w:ascii="Arial" w:hAnsi="Arial" w:cs="Arial"/>
          <w:spacing w:val="-13"/>
          <w:sz w:val="16"/>
          <w:szCs w:val="16"/>
          <w:lang w:val="es-MX"/>
        </w:rPr>
        <w:t>,</w:t>
      </w:r>
      <w:r w:rsidRPr="00727A35">
        <w:rPr>
          <w:rFonts w:ascii="Arial" w:hAnsi="Arial" w:cs="Arial"/>
          <w:spacing w:val="-13"/>
          <w:sz w:val="16"/>
          <w:szCs w:val="16"/>
          <w:lang w:val="es-CO"/>
        </w:rPr>
        <w:t xml:space="preserve"> </w:t>
      </w:r>
      <w:r w:rsidRPr="00727A35">
        <w:rPr>
          <w:rFonts w:ascii="Arial" w:hAnsi="Arial" w:cs="Arial"/>
          <w:spacing w:val="-13"/>
          <w:sz w:val="16"/>
          <w:szCs w:val="16"/>
        </w:rPr>
        <w:t>T-146 de 2012</w:t>
      </w:r>
      <w:r w:rsidR="00EC004E" w:rsidRPr="00727A35">
        <w:rPr>
          <w:rFonts w:ascii="Arial" w:hAnsi="Arial" w:cs="Arial"/>
          <w:spacing w:val="-13"/>
          <w:sz w:val="16"/>
          <w:szCs w:val="16"/>
        </w:rPr>
        <w:t xml:space="preserve"> y</w:t>
      </w:r>
      <w:r w:rsidRPr="00727A35">
        <w:rPr>
          <w:rFonts w:ascii="Arial" w:hAnsi="Arial" w:cs="Arial"/>
          <w:spacing w:val="-13"/>
          <w:sz w:val="16"/>
          <w:szCs w:val="16"/>
        </w:rPr>
        <w:t xml:space="preserve"> </w:t>
      </w:r>
      <w:r w:rsidRPr="00727A35">
        <w:rPr>
          <w:rFonts w:ascii="Arial" w:hAnsi="Arial" w:cs="Arial"/>
          <w:spacing w:val="-13"/>
          <w:sz w:val="16"/>
          <w:szCs w:val="16"/>
          <w:lang w:val="es-CO"/>
        </w:rPr>
        <w:t>T-217 de 2013</w:t>
      </w:r>
      <w:r w:rsidR="00EC004E" w:rsidRPr="00727A35">
        <w:rPr>
          <w:rFonts w:ascii="Arial" w:hAnsi="Arial" w:cs="Arial"/>
          <w:spacing w:val="-13"/>
          <w:sz w:val="16"/>
          <w:szCs w:val="16"/>
          <w:lang w:val="es-CO"/>
        </w:rPr>
        <w:t>;</w:t>
      </w:r>
      <w:r w:rsidR="00EC004E" w:rsidRPr="00727A35">
        <w:rPr>
          <w:rFonts w:ascii="Arial" w:hAnsi="Arial" w:cs="Arial"/>
          <w:spacing w:val="-13"/>
          <w:sz w:val="16"/>
          <w:szCs w:val="16"/>
        </w:rPr>
        <w:t xml:space="preserve"> </w:t>
      </w:r>
      <w:r w:rsidRPr="00727A35">
        <w:rPr>
          <w:rFonts w:ascii="Arial" w:hAnsi="Arial" w:cs="Arial"/>
          <w:spacing w:val="-13"/>
          <w:sz w:val="16"/>
          <w:szCs w:val="16"/>
        </w:rPr>
        <w:t xml:space="preserve">Corte Suprema de Justicia, Sala Civil, </w:t>
      </w:r>
      <w:r w:rsidRPr="00727A35">
        <w:rPr>
          <w:rFonts w:ascii="Arial" w:hAnsi="Arial" w:cs="Arial"/>
          <w:spacing w:val="-13"/>
          <w:sz w:val="16"/>
          <w:szCs w:val="16"/>
          <w:lang w:val="es-CO"/>
        </w:rPr>
        <w:t>s</w:t>
      </w:r>
      <w:r w:rsidR="00EC004E" w:rsidRPr="00727A35">
        <w:rPr>
          <w:rFonts w:ascii="Arial" w:hAnsi="Arial" w:cs="Arial"/>
          <w:spacing w:val="-13"/>
          <w:sz w:val="16"/>
          <w:szCs w:val="16"/>
          <w:lang w:val="es-CO"/>
        </w:rPr>
        <w:t>entencia de</w:t>
      </w:r>
      <w:r w:rsidRPr="00727A35">
        <w:rPr>
          <w:rFonts w:ascii="Arial" w:hAnsi="Arial" w:cs="Arial"/>
          <w:spacing w:val="-13"/>
          <w:sz w:val="16"/>
          <w:szCs w:val="16"/>
          <w:lang w:val="es-CO"/>
        </w:rPr>
        <w:t xml:space="preserve"> 2 de septiembre de 2014</w:t>
      </w:r>
      <w:r w:rsidRPr="00727A35">
        <w:rPr>
          <w:rFonts w:ascii="Arial" w:hAnsi="Arial" w:cs="Arial"/>
          <w:color w:val="000000"/>
          <w:spacing w:val="-13"/>
          <w:sz w:val="16"/>
          <w:szCs w:val="16"/>
        </w:rPr>
        <w:t xml:space="preserve"> </w:t>
      </w:r>
      <w:r w:rsidR="00EC004E" w:rsidRPr="00727A35">
        <w:rPr>
          <w:rFonts w:ascii="Arial" w:hAnsi="Arial" w:cs="Arial"/>
          <w:color w:val="000000"/>
          <w:spacing w:val="-13"/>
          <w:sz w:val="16"/>
          <w:szCs w:val="16"/>
        </w:rPr>
        <w:t xml:space="preserve">-rad. </w:t>
      </w:r>
      <w:r w:rsidR="00EC004E" w:rsidRPr="00727A35">
        <w:rPr>
          <w:rFonts w:ascii="Arial" w:hAnsi="Arial" w:cs="Arial"/>
          <w:spacing w:val="-13"/>
          <w:sz w:val="16"/>
          <w:szCs w:val="16"/>
        </w:rPr>
        <w:t>2014-01254-</w:t>
      </w:r>
      <w:r w:rsidR="00727A35" w:rsidRPr="00727A35">
        <w:rPr>
          <w:rFonts w:ascii="Arial" w:hAnsi="Arial" w:cs="Arial"/>
          <w:spacing w:val="-13"/>
          <w:sz w:val="16"/>
          <w:szCs w:val="16"/>
        </w:rPr>
        <w:t>;</w:t>
      </w:r>
      <w:r w:rsidR="00EC004E" w:rsidRPr="00727A35">
        <w:rPr>
          <w:rFonts w:ascii="Arial" w:hAnsi="Arial" w:cs="Arial"/>
          <w:spacing w:val="-13"/>
          <w:sz w:val="16"/>
          <w:szCs w:val="16"/>
        </w:rPr>
        <w:t xml:space="preserve"> Tribunal Superior de Pereira</w:t>
      </w:r>
      <w:r w:rsidR="00EC004E" w:rsidRPr="00727A35">
        <w:rPr>
          <w:rFonts w:ascii="Arial" w:hAnsi="Arial" w:cs="Arial"/>
          <w:spacing w:val="-13"/>
          <w:sz w:val="16"/>
          <w:szCs w:val="16"/>
          <w:lang w:val="es-CO"/>
        </w:rPr>
        <w:t>, Sala Civil – Familia, sentencia de</w:t>
      </w:r>
      <w:r w:rsidRPr="00727A35">
        <w:rPr>
          <w:rFonts w:ascii="Arial" w:hAnsi="Arial" w:cs="Arial"/>
          <w:spacing w:val="-13"/>
          <w:sz w:val="16"/>
          <w:szCs w:val="16"/>
        </w:rPr>
        <w:t xml:space="preserve"> </w:t>
      </w:r>
      <w:r w:rsidR="00EC004E" w:rsidRPr="00727A35">
        <w:rPr>
          <w:rFonts w:ascii="Arial" w:hAnsi="Arial" w:cs="Arial"/>
          <w:spacing w:val="-13"/>
          <w:sz w:val="16"/>
          <w:szCs w:val="16"/>
        </w:rPr>
        <w:t xml:space="preserve">29 de enero de </w:t>
      </w:r>
      <w:r w:rsidRPr="00727A35">
        <w:rPr>
          <w:rFonts w:ascii="Arial" w:hAnsi="Arial" w:cs="Arial"/>
          <w:spacing w:val="-13"/>
          <w:sz w:val="16"/>
          <w:szCs w:val="16"/>
        </w:rPr>
        <w:t>2015</w:t>
      </w:r>
      <w:r w:rsidR="00EC004E" w:rsidRPr="00727A35">
        <w:rPr>
          <w:rFonts w:ascii="Arial" w:hAnsi="Arial" w:cs="Arial"/>
          <w:spacing w:val="-13"/>
          <w:sz w:val="16"/>
          <w:szCs w:val="16"/>
        </w:rPr>
        <w:t xml:space="preserve"> -rad. 2015-0000</w:t>
      </w:r>
      <w:r w:rsidRPr="00727A35">
        <w:rPr>
          <w:rFonts w:ascii="Arial" w:hAnsi="Arial" w:cs="Arial"/>
          <w:spacing w:val="-13"/>
          <w:sz w:val="16"/>
          <w:szCs w:val="16"/>
        </w:rPr>
        <w:t>5-.</w:t>
      </w:r>
    </w:p>
    <w:p w:rsidR="00EA14C8" w:rsidRDefault="00EA14C8" w:rsidP="007D39CB">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300D8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1F6336" w:rsidRDefault="001F6336" w:rsidP="001F6336">
      <w:pPr>
        <w:pStyle w:val="Textoindependiente"/>
        <w:tabs>
          <w:tab w:val="clear" w:pos="1416"/>
        </w:tabs>
        <w:spacing w:line="360" w:lineRule="auto"/>
        <w:ind w:left="3600" w:hanging="2184"/>
        <w:rPr>
          <w:rFonts w:ascii="Arial" w:hAnsi="Arial" w:cs="Arial"/>
          <w:sz w:val="22"/>
          <w:szCs w:val="22"/>
        </w:rPr>
      </w:pPr>
      <w:r>
        <w:rPr>
          <w:rFonts w:ascii="Arial" w:hAnsi="Arial" w:cs="Arial"/>
          <w:sz w:val="22"/>
          <w:szCs w:val="22"/>
        </w:rPr>
        <w:t>Accionante</w:t>
      </w:r>
      <w:r>
        <w:rPr>
          <w:rFonts w:ascii="Arial" w:hAnsi="Arial" w:cs="Arial"/>
          <w:sz w:val="22"/>
          <w:szCs w:val="22"/>
        </w:rPr>
        <w:tab/>
      </w:r>
      <w:r>
        <w:rPr>
          <w:rFonts w:ascii="Arial" w:hAnsi="Arial" w:cs="Arial"/>
          <w:sz w:val="22"/>
          <w:szCs w:val="22"/>
        </w:rPr>
        <w:tab/>
        <w:t xml:space="preserve">: </w:t>
      </w:r>
      <w:r w:rsidR="0094333D">
        <w:rPr>
          <w:rFonts w:ascii="Arial" w:hAnsi="Arial" w:cs="Arial"/>
          <w:sz w:val="22"/>
          <w:szCs w:val="22"/>
        </w:rPr>
        <w:t>Nolberto Torres Ospina</w:t>
      </w:r>
    </w:p>
    <w:p w:rsidR="001F6336" w:rsidRDefault="00270E88" w:rsidP="00E44D9D">
      <w:pPr>
        <w:pStyle w:val="Textoindependiente"/>
        <w:tabs>
          <w:tab w:val="clear" w:pos="2832"/>
          <w:tab w:val="clear" w:pos="3540"/>
        </w:tabs>
        <w:spacing w:line="360" w:lineRule="auto"/>
        <w:ind w:left="3544" w:hanging="2187"/>
        <w:rPr>
          <w:rFonts w:ascii="Arial" w:hAnsi="Arial" w:cs="Arial"/>
          <w:sz w:val="22"/>
          <w:szCs w:val="22"/>
        </w:rPr>
      </w:pPr>
      <w:r>
        <w:rPr>
          <w:rFonts w:ascii="Arial" w:hAnsi="Arial" w:cs="Arial"/>
          <w:sz w:val="22"/>
          <w:szCs w:val="22"/>
        </w:rPr>
        <w:t xml:space="preserve"> </w:t>
      </w:r>
      <w:r w:rsidR="001F6336">
        <w:rPr>
          <w:rFonts w:ascii="Arial" w:hAnsi="Arial" w:cs="Arial"/>
          <w:sz w:val="22"/>
          <w:szCs w:val="22"/>
        </w:rPr>
        <w:t>Presunto infractor</w:t>
      </w:r>
      <w:r w:rsidR="001F6336">
        <w:rPr>
          <w:rFonts w:ascii="Arial" w:hAnsi="Arial" w:cs="Arial"/>
          <w:sz w:val="22"/>
          <w:szCs w:val="22"/>
        </w:rPr>
        <w:tab/>
      </w:r>
      <w:r w:rsidR="001F6336" w:rsidRPr="006D1BF2">
        <w:rPr>
          <w:rFonts w:ascii="Arial" w:hAnsi="Arial" w:cs="Arial"/>
          <w:sz w:val="22"/>
          <w:szCs w:val="22"/>
        </w:rPr>
        <w:t>:</w:t>
      </w:r>
      <w:r w:rsidR="001F6336">
        <w:rPr>
          <w:rFonts w:ascii="Arial" w:hAnsi="Arial" w:cs="Arial"/>
          <w:sz w:val="22"/>
          <w:szCs w:val="22"/>
        </w:rPr>
        <w:t xml:space="preserve"> </w:t>
      </w:r>
      <w:r w:rsidR="0094333D">
        <w:rPr>
          <w:rFonts w:ascii="Arial" w:hAnsi="Arial" w:cs="Arial"/>
          <w:sz w:val="22"/>
          <w:szCs w:val="22"/>
        </w:rPr>
        <w:t>Ministerio de Defensa Nacional y otros</w:t>
      </w:r>
    </w:p>
    <w:p w:rsidR="001F6336" w:rsidRDefault="00270E88" w:rsidP="00E44D9D">
      <w:pPr>
        <w:pStyle w:val="Textoindependiente"/>
        <w:tabs>
          <w:tab w:val="clear" w:pos="2832"/>
          <w:tab w:val="clear" w:pos="3540"/>
        </w:tabs>
        <w:spacing w:line="360" w:lineRule="auto"/>
        <w:ind w:left="3544" w:hanging="2187"/>
        <w:rPr>
          <w:rFonts w:ascii="Arial" w:hAnsi="Arial" w:cs="Arial"/>
          <w:sz w:val="22"/>
          <w:szCs w:val="22"/>
        </w:rPr>
      </w:pPr>
      <w:r>
        <w:rPr>
          <w:rFonts w:ascii="Arial" w:hAnsi="Arial" w:cs="Arial"/>
          <w:sz w:val="22"/>
          <w:szCs w:val="22"/>
        </w:rPr>
        <w:t xml:space="preserve"> </w:t>
      </w:r>
      <w:r w:rsidR="0094333D">
        <w:rPr>
          <w:rFonts w:ascii="Arial" w:hAnsi="Arial" w:cs="Arial"/>
          <w:sz w:val="22"/>
          <w:szCs w:val="22"/>
        </w:rPr>
        <w:t>Litisconsorte</w:t>
      </w:r>
      <w:r w:rsidR="001F6336">
        <w:rPr>
          <w:rFonts w:ascii="Arial" w:hAnsi="Arial" w:cs="Arial"/>
          <w:sz w:val="22"/>
          <w:szCs w:val="22"/>
        </w:rPr>
        <w:tab/>
        <w:t xml:space="preserve">: </w:t>
      </w:r>
      <w:r w:rsidR="0094333D">
        <w:rPr>
          <w:rFonts w:ascii="Arial" w:hAnsi="Arial" w:cs="Arial"/>
          <w:sz w:val="22"/>
          <w:szCs w:val="22"/>
        </w:rPr>
        <w:t>Dirección de Personal del Ejército Nacional</w:t>
      </w:r>
    </w:p>
    <w:p w:rsidR="001F6336" w:rsidRPr="0060190E" w:rsidRDefault="001F6336" w:rsidP="001F6336">
      <w:pPr>
        <w:pStyle w:val="Textoindependiente"/>
        <w:spacing w:line="360" w:lineRule="auto"/>
        <w:rPr>
          <w:rFonts w:ascii="Arial" w:hAnsi="Arial" w:cs="Arial"/>
          <w:sz w:val="22"/>
          <w:szCs w:val="22"/>
        </w:rPr>
      </w:pPr>
      <w:r>
        <w:rPr>
          <w:sz w:val="18"/>
          <w:szCs w:val="18"/>
        </w:rPr>
        <w:tab/>
      </w:r>
      <w:r>
        <w:rPr>
          <w:sz w:val="18"/>
          <w:szCs w:val="18"/>
        </w:rPr>
        <w:tab/>
      </w:r>
      <w:r>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60190E">
        <w:rPr>
          <w:rFonts w:ascii="Arial" w:hAnsi="Arial" w:cs="Arial"/>
          <w:sz w:val="22"/>
          <w:szCs w:val="22"/>
        </w:rPr>
        <w:t xml:space="preserve">: </w:t>
      </w:r>
      <w:r w:rsidR="0094333D">
        <w:rPr>
          <w:rFonts w:ascii="Arial" w:hAnsi="Arial" w:cs="Arial"/>
          <w:sz w:val="22"/>
          <w:szCs w:val="22"/>
        </w:rPr>
        <w:t xml:space="preserve">2016-00286-00 </w:t>
      </w:r>
      <w:r w:rsidRPr="0060190E">
        <w:rPr>
          <w:rFonts w:ascii="Arial" w:hAnsi="Arial" w:cs="Arial"/>
          <w:sz w:val="22"/>
          <w:szCs w:val="22"/>
        </w:rPr>
        <w:t xml:space="preserve">(Interna </w:t>
      </w:r>
      <w:r w:rsidR="0094333D">
        <w:rPr>
          <w:rFonts w:ascii="Arial" w:hAnsi="Arial" w:cs="Arial"/>
          <w:sz w:val="22"/>
          <w:szCs w:val="22"/>
        </w:rPr>
        <w:t>No.286</w:t>
      </w:r>
      <w:r w:rsidRPr="0060190E">
        <w:rPr>
          <w:rFonts w:ascii="Arial" w:hAnsi="Arial" w:cs="Arial"/>
          <w:sz w:val="22"/>
          <w:szCs w:val="22"/>
        </w:rPr>
        <w:t>LLRR)</w:t>
      </w:r>
    </w:p>
    <w:p w:rsidR="00C82923" w:rsidRPr="002060F5" w:rsidRDefault="00970930" w:rsidP="00970930">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EF4C81" w:rsidRPr="001A4619">
        <w:rPr>
          <w:rFonts w:ascii="Arial" w:hAnsi="Arial" w:cs="Arial"/>
          <w:sz w:val="22"/>
          <w:szCs w:val="22"/>
        </w:rPr>
        <w:t>Procedencia - Inmediatez</w:t>
      </w:r>
      <w:r w:rsidR="00EF4C81" w:rsidRPr="006F0F7D">
        <w:rPr>
          <w:rFonts w:ascii="Arial" w:hAnsi="Arial" w:cs="Arial"/>
          <w:sz w:val="22"/>
          <w:szCs w:val="22"/>
        </w:rPr>
        <w:t xml:space="preserve"> </w:t>
      </w:r>
      <w:r w:rsidR="00EF4C81">
        <w:rPr>
          <w:rFonts w:ascii="Arial" w:hAnsi="Arial" w:cs="Arial"/>
          <w:sz w:val="22"/>
          <w:szCs w:val="22"/>
        </w:rPr>
        <w:t xml:space="preserve">- </w:t>
      </w:r>
      <w:r w:rsidR="00B0104A" w:rsidRPr="006F0F7D">
        <w:rPr>
          <w:rFonts w:ascii="Arial" w:hAnsi="Arial" w:cs="Arial"/>
          <w:sz w:val="22"/>
          <w:szCs w:val="22"/>
        </w:rPr>
        <w:t>Derecho de petición</w:t>
      </w:r>
      <w:r w:rsidR="00B0104A" w:rsidRPr="00E44D9D">
        <w:rPr>
          <w:rFonts w:ascii="Arial" w:hAnsi="Arial" w:cs="Arial"/>
          <w:sz w:val="22"/>
          <w:szCs w:val="22"/>
        </w:rPr>
        <w:t xml:space="preserve"> </w:t>
      </w:r>
    </w:p>
    <w:p w:rsidR="0099045D" w:rsidRPr="002060F5" w:rsidRDefault="0099045D" w:rsidP="00D70A1B">
      <w:pPr>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54453">
        <w:rPr>
          <w:rFonts w:ascii="Arial" w:hAnsi="Arial"/>
          <w:sz w:val="22"/>
          <w:szCs w:val="22"/>
        </w:rPr>
        <w:t>126 de 1</w:t>
      </w:r>
      <w:r w:rsidR="00A06DE7">
        <w:rPr>
          <w:rFonts w:ascii="Arial" w:hAnsi="Arial"/>
          <w:sz w:val="22"/>
          <w:szCs w:val="22"/>
        </w:rPr>
        <w:t>4</w:t>
      </w:r>
      <w:r w:rsidR="00554453">
        <w:rPr>
          <w:rFonts w:ascii="Arial" w:hAnsi="Arial"/>
          <w:sz w:val="22"/>
          <w:szCs w:val="22"/>
        </w:rPr>
        <w:t>-03-2016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94333D">
        <w:rPr>
          <w:rFonts w:ascii="Arial" w:hAnsi="Arial" w:cs="Arial"/>
          <w:iCs/>
          <w:smallCaps/>
          <w:szCs w:val="28"/>
          <w:lang w:val="es-CO"/>
        </w:rPr>
        <w:t>R.</w:t>
      </w:r>
      <w:r w:rsidRPr="000B1B68">
        <w:rPr>
          <w:rFonts w:ascii="Arial" w:hAnsi="Arial" w:cs="Arial"/>
          <w:iCs/>
          <w:smallCaps/>
          <w:szCs w:val="28"/>
          <w:lang w:val="es-CO"/>
        </w:rPr>
        <w:t>,</w:t>
      </w:r>
      <w:r w:rsidR="00FC566E">
        <w:rPr>
          <w:rFonts w:ascii="Arial" w:hAnsi="Arial" w:cs="Arial"/>
          <w:iCs/>
          <w:smallCaps/>
          <w:szCs w:val="28"/>
          <w:lang w:val="es-CO"/>
        </w:rPr>
        <w:t xml:space="preserve"> </w:t>
      </w:r>
      <w:r w:rsidR="00554453">
        <w:rPr>
          <w:rFonts w:ascii="Arial" w:hAnsi="Arial" w:cs="Arial"/>
          <w:iCs/>
          <w:smallCaps/>
          <w:szCs w:val="28"/>
          <w:lang w:val="es-CO"/>
        </w:rPr>
        <w:t>catorce</w:t>
      </w:r>
      <w:r w:rsidR="0094333D">
        <w:rPr>
          <w:rFonts w:ascii="Arial" w:hAnsi="Arial" w:cs="Arial"/>
          <w:iCs/>
          <w:smallCaps/>
          <w:szCs w:val="28"/>
          <w:lang w:val="es-CO"/>
        </w:rPr>
        <w:t xml:space="preserve"> </w:t>
      </w:r>
      <w:r w:rsidR="005319C2">
        <w:rPr>
          <w:rFonts w:ascii="Arial" w:hAnsi="Arial" w:cs="Arial"/>
          <w:iCs/>
          <w:smallCaps/>
          <w:szCs w:val="28"/>
          <w:lang w:val="es-CO"/>
        </w:rPr>
        <w:t>(</w:t>
      </w:r>
      <w:r w:rsidR="00554453">
        <w:rPr>
          <w:rFonts w:ascii="Arial" w:hAnsi="Arial" w:cs="Arial"/>
          <w:iCs/>
          <w:smallCaps/>
          <w:szCs w:val="28"/>
          <w:lang w:val="es-CO"/>
        </w:rPr>
        <w:t>14</w:t>
      </w:r>
      <w:r w:rsidR="00122B6C">
        <w:rPr>
          <w:rFonts w:ascii="Arial" w:hAnsi="Arial" w:cs="Arial"/>
          <w:iCs/>
          <w:smallCaps/>
          <w:szCs w:val="28"/>
          <w:lang w:val="es-CO"/>
        </w:rPr>
        <w:t xml:space="preserve">) de </w:t>
      </w:r>
      <w:r w:rsidR="00A80796">
        <w:rPr>
          <w:rFonts w:ascii="Arial" w:hAnsi="Arial" w:cs="Arial"/>
          <w:iCs/>
          <w:smallCaps/>
          <w:szCs w:val="28"/>
          <w:lang w:val="es-CO"/>
        </w:rPr>
        <w:t>marzo</w:t>
      </w:r>
      <w:r w:rsidR="00A90334">
        <w:rPr>
          <w:rFonts w:ascii="Arial" w:hAnsi="Arial" w:cs="Arial"/>
          <w:iCs/>
          <w:smallCaps/>
          <w:szCs w:val="28"/>
          <w:lang w:val="es-CO"/>
        </w:rPr>
        <w:t xml:space="preserve"> </w:t>
      </w:r>
      <w:r w:rsidRPr="000B1B68">
        <w:rPr>
          <w:rFonts w:ascii="Arial" w:hAnsi="Arial" w:cs="Arial"/>
          <w:iCs/>
          <w:smallCaps/>
          <w:szCs w:val="28"/>
          <w:lang w:val="es-CO"/>
        </w:rPr>
        <w:t xml:space="preserve">dos mil </w:t>
      </w:r>
      <w:r w:rsidR="00A80796">
        <w:rPr>
          <w:rFonts w:ascii="Arial" w:hAnsi="Arial" w:cs="Arial"/>
          <w:iCs/>
          <w:smallCaps/>
          <w:szCs w:val="28"/>
          <w:lang w:val="es-CO"/>
        </w:rPr>
        <w:t xml:space="preserve">dieciséis </w:t>
      </w:r>
      <w:r w:rsidRPr="000B1B68">
        <w:rPr>
          <w:rFonts w:ascii="Arial" w:hAnsi="Arial" w:cs="Arial"/>
          <w:iCs/>
          <w:smallCaps/>
          <w:szCs w:val="28"/>
          <w:lang w:val="es-CO"/>
        </w:rPr>
        <w:t>(</w:t>
      </w:r>
      <w:r w:rsidR="00A80796">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Default="0023398A" w:rsidP="0099045D">
      <w:pPr>
        <w:spacing w:line="360" w:lineRule="auto"/>
        <w:jc w:val="center"/>
        <w:rPr>
          <w:rFonts w:ascii="Arial" w:hAnsi="Arial" w:cs="Arial"/>
          <w:b/>
          <w:bCs/>
          <w:lang w:val="es-CO"/>
        </w:rPr>
      </w:pPr>
    </w:p>
    <w:p w:rsidR="000147A2" w:rsidRPr="009C254F"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667FEF">
        <w:rPr>
          <w:rFonts w:ascii="Arial" w:hAnsi="Arial"/>
          <w:szCs w:val="24"/>
        </w:rPr>
        <w:t>POR</w:t>
      </w:r>
      <w:r w:rsidRPr="00F9418E">
        <w:rPr>
          <w:rFonts w:ascii="Arial" w:hAnsi="Arial"/>
          <w:szCs w:val="24"/>
        </w:rPr>
        <w:t xml:space="preserve"> DECIDIR</w:t>
      </w:r>
    </w:p>
    <w:p w:rsidR="00134F0A" w:rsidRPr="00F9418E" w:rsidRDefault="00134F0A" w:rsidP="0099045D">
      <w:pPr>
        <w:pStyle w:val="Textoindependiente"/>
        <w:spacing w:line="360" w:lineRule="auto"/>
        <w:rPr>
          <w:rFonts w:ascii="Arial" w:hAnsi="Arial"/>
          <w:szCs w:val="24"/>
        </w:rPr>
      </w:pPr>
    </w:p>
    <w:p w:rsidR="0099045D" w:rsidRPr="00F9418E" w:rsidRDefault="00667FEF" w:rsidP="0099045D">
      <w:pPr>
        <w:pStyle w:val="Textoindependiente"/>
        <w:spacing w:line="360" w:lineRule="auto"/>
        <w:rPr>
          <w:rFonts w:ascii="Arial" w:hAnsi="Arial"/>
          <w:szCs w:val="24"/>
        </w:rPr>
      </w:pPr>
      <w:r w:rsidRPr="00F9418E">
        <w:rPr>
          <w:rFonts w:ascii="Arial" w:hAnsi="Arial"/>
          <w:szCs w:val="24"/>
        </w:rPr>
        <w:lastRenderedPageBreak/>
        <w:t xml:space="preserve">La </w:t>
      </w:r>
      <w:r w:rsidR="00134F0A" w:rsidRPr="00F9418E">
        <w:rPr>
          <w:rFonts w:ascii="Arial" w:hAnsi="Arial"/>
          <w:szCs w:val="24"/>
        </w:rPr>
        <w:t>acción constitucional referenciada,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Default="0099045D" w:rsidP="0099045D">
      <w:pPr>
        <w:pStyle w:val="Textoindependiente"/>
        <w:spacing w:line="360" w:lineRule="auto"/>
        <w:rPr>
          <w:rFonts w:ascii="Arial" w:hAnsi="Arial"/>
          <w:szCs w:val="24"/>
        </w:rPr>
      </w:pPr>
    </w:p>
    <w:p w:rsidR="000147A2" w:rsidRPr="00F9418E"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6A7A1D" w:rsidRPr="00AF753A" w:rsidRDefault="0094333D" w:rsidP="00AF753A">
      <w:pPr>
        <w:spacing w:line="360" w:lineRule="auto"/>
        <w:jc w:val="both"/>
        <w:rPr>
          <w:rFonts w:ascii="Arial" w:hAnsi="Arial" w:cs="Arial"/>
        </w:rPr>
      </w:pPr>
      <w:r>
        <w:rPr>
          <w:rFonts w:ascii="Arial" w:hAnsi="Arial" w:cs="Arial"/>
        </w:rPr>
        <w:t xml:space="preserve">Adujo el accionante que el día 11-12-2014 radicó </w:t>
      </w:r>
      <w:r w:rsidRPr="00AF753A">
        <w:rPr>
          <w:rFonts w:ascii="Arial" w:hAnsi="Arial" w:cs="Arial"/>
        </w:rPr>
        <w:t>derecho de petición</w:t>
      </w:r>
      <w:r>
        <w:rPr>
          <w:rFonts w:ascii="Arial" w:hAnsi="Arial" w:cs="Arial"/>
        </w:rPr>
        <w:t xml:space="preserve"> ante la Secretaría General del Ministerio de Defensa Nacional, sin recibir respuesta efectiva, inconforme insistió en su solicitud con escrito del 05-08-2015, esta vez dirigido ante la Coordinadora Grupo de Prestaciones Sociales de aquel Ministerio, sin resultado alguno</w:t>
      </w:r>
      <w:r w:rsidR="008D5456">
        <w:rPr>
          <w:rFonts w:ascii="Arial" w:hAnsi="Arial" w:cs="Arial"/>
        </w:rPr>
        <w:t xml:space="preserve"> </w:t>
      </w:r>
      <w:r w:rsidR="00CC2232" w:rsidRPr="00AF753A">
        <w:rPr>
          <w:rFonts w:ascii="Arial" w:hAnsi="Arial" w:cs="Arial"/>
        </w:rPr>
        <w:t>(Folio</w:t>
      </w:r>
      <w:r w:rsidR="00036175">
        <w:rPr>
          <w:rFonts w:ascii="Arial" w:hAnsi="Arial" w:cs="Arial"/>
        </w:rPr>
        <w:t>s</w:t>
      </w:r>
      <w:r w:rsidR="008259FB">
        <w:rPr>
          <w:rFonts w:ascii="Arial" w:hAnsi="Arial" w:cs="Arial"/>
        </w:rPr>
        <w:t xml:space="preserve"> </w:t>
      </w:r>
      <w:r w:rsidR="00496163">
        <w:rPr>
          <w:rFonts w:ascii="Arial" w:hAnsi="Arial" w:cs="Arial"/>
        </w:rPr>
        <w:t>3 y 4</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FD3140" w:rsidRDefault="00FD3140" w:rsidP="0099045D">
      <w:pPr>
        <w:pStyle w:val="Textoindependiente"/>
        <w:spacing w:line="360" w:lineRule="auto"/>
        <w:rPr>
          <w:rFonts w:ascii="Arial" w:hAnsi="Arial"/>
          <w:szCs w:val="24"/>
          <w:lang w:val="es-ES"/>
        </w:rPr>
      </w:pPr>
    </w:p>
    <w:p w:rsidR="00CB7493" w:rsidRDefault="00CB7493"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Conside</w:t>
      </w:r>
      <w:r w:rsidR="00FC5F6F">
        <w:rPr>
          <w:rFonts w:ascii="Arial" w:hAnsi="Arial" w:cs="Arial"/>
          <w:spacing w:val="-3"/>
          <w:lang w:val="es-ES_tradnl"/>
        </w:rPr>
        <w:t xml:space="preserve">ra </w:t>
      </w:r>
      <w:r w:rsidR="008D5456">
        <w:rPr>
          <w:rFonts w:ascii="Arial" w:hAnsi="Arial" w:cs="Arial"/>
          <w:spacing w:val="-3"/>
          <w:lang w:val="es-ES_tradnl"/>
        </w:rPr>
        <w:t>e</w:t>
      </w:r>
      <w:r w:rsidR="004B7439">
        <w:rPr>
          <w:rFonts w:ascii="Arial" w:hAnsi="Arial" w:cs="Arial"/>
          <w:spacing w:val="-3"/>
          <w:lang w:val="es-ES_tradnl"/>
        </w:rPr>
        <w:t>l</w:t>
      </w:r>
      <w:r w:rsidR="00A76268">
        <w:rPr>
          <w:rFonts w:ascii="Arial" w:hAnsi="Arial" w:cs="Arial"/>
          <w:spacing w:val="-3"/>
          <w:lang w:val="es-ES_tradnl"/>
        </w:rPr>
        <w:t xml:space="preserve"> </w:t>
      </w:r>
      <w:r w:rsidR="00FC5F6F">
        <w:rPr>
          <w:rFonts w:ascii="Arial" w:hAnsi="Arial" w:cs="Arial"/>
          <w:spacing w:val="-3"/>
          <w:lang w:val="es-ES_tradnl"/>
        </w:rPr>
        <w:t>accionante que se vulnera</w:t>
      </w:r>
      <w:r w:rsidR="008259FB">
        <w:rPr>
          <w:rFonts w:ascii="Arial" w:hAnsi="Arial" w:cs="Arial"/>
          <w:spacing w:val="-3"/>
          <w:lang w:val="es-ES_tradnl"/>
        </w:rPr>
        <w:t xml:space="preserve"> </w:t>
      </w:r>
      <w:r w:rsidR="00496163">
        <w:rPr>
          <w:rFonts w:ascii="Arial" w:hAnsi="Arial" w:cs="Arial"/>
          <w:spacing w:val="-3"/>
          <w:lang w:val="es-ES_tradnl"/>
        </w:rPr>
        <w:t xml:space="preserve">el </w:t>
      </w:r>
      <w:r w:rsidR="00496163">
        <w:rPr>
          <w:rFonts w:ascii="Arial" w:hAnsi="Arial" w:cs="Arial"/>
        </w:rPr>
        <w:t xml:space="preserve">derecho de </w:t>
      </w:r>
      <w:r w:rsidR="00CC2232">
        <w:rPr>
          <w:rFonts w:ascii="Arial" w:hAnsi="Arial" w:cs="Arial"/>
        </w:rPr>
        <w:t>petición</w:t>
      </w:r>
      <w:r w:rsidR="00BF622E">
        <w:rPr>
          <w:rFonts w:ascii="Arial" w:hAnsi="Arial" w:cs="Arial"/>
        </w:rPr>
        <w:t xml:space="preserve"> </w:t>
      </w:r>
      <w:r w:rsidR="00B940F0">
        <w:rPr>
          <w:rFonts w:ascii="Arial" w:hAnsi="Arial" w:cs="Arial"/>
        </w:rPr>
        <w:t>(Folio</w:t>
      </w:r>
      <w:r w:rsidR="00B77CD2">
        <w:rPr>
          <w:rFonts w:ascii="Arial" w:hAnsi="Arial" w:cs="Arial"/>
        </w:rPr>
        <w:t xml:space="preserve"> </w:t>
      </w:r>
      <w:r w:rsidR="00496163">
        <w:rPr>
          <w:rFonts w:ascii="Arial" w:hAnsi="Arial" w:cs="Arial"/>
        </w:rPr>
        <w:t>4</w:t>
      </w:r>
      <w:r w:rsidR="00062560">
        <w:rPr>
          <w:rFonts w:ascii="Arial" w:hAnsi="Arial" w:cs="Arial"/>
        </w:rPr>
        <w:t xml:space="preserve">, </w:t>
      </w:r>
      <w:r w:rsidR="003A4181">
        <w:rPr>
          <w:rFonts w:ascii="Arial" w:hAnsi="Arial" w:cs="Arial"/>
        </w:rPr>
        <w:t>del cuaderno No.1</w:t>
      </w:r>
      <w:r w:rsidR="00B940F0">
        <w:rPr>
          <w:rFonts w:ascii="Arial" w:hAnsi="Arial" w:cs="Arial"/>
        </w:rPr>
        <w:t>).</w:t>
      </w:r>
    </w:p>
    <w:p w:rsidR="00036175" w:rsidRDefault="0003617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270E88" w:rsidRDefault="00270E88"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C37681"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7149F4" w:rsidRDefault="007149F4" w:rsidP="000145EA">
      <w:pPr>
        <w:pStyle w:val="Sinespaciado"/>
        <w:spacing w:line="360" w:lineRule="auto"/>
        <w:jc w:val="both"/>
        <w:rPr>
          <w:rFonts w:ascii="Arial" w:hAnsi="Arial" w:cs="Arial"/>
          <w:szCs w:val="24"/>
        </w:rPr>
      </w:pPr>
    </w:p>
    <w:p w:rsidR="008154F0" w:rsidRPr="00B5411C" w:rsidRDefault="00496163" w:rsidP="000145EA">
      <w:pPr>
        <w:pStyle w:val="Sinespaciado"/>
        <w:spacing w:line="360" w:lineRule="auto"/>
        <w:jc w:val="both"/>
        <w:rPr>
          <w:rFonts w:ascii="Arial" w:hAnsi="Arial" w:cs="Arial"/>
          <w:szCs w:val="24"/>
        </w:rPr>
      </w:pPr>
      <w:r>
        <w:rPr>
          <w:rFonts w:ascii="Arial" w:hAnsi="Arial" w:cs="Arial"/>
          <w:szCs w:val="24"/>
        </w:rPr>
        <w:t>Ordenar a los accionados que en un término improrrogable y perentorio resuelva</w:t>
      </w:r>
      <w:r w:rsidR="00554453">
        <w:rPr>
          <w:rFonts w:ascii="Arial" w:hAnsi="Arial" w:cs="Arial"/>
          <w:szCs w:val="24"/>
        </w:rPr>
        <w:t>n</w:t>
      </w:r>
      <w:r>
        <w:rPr>
          <w:rFonts w:ascii="Arial" w:hAnsi="Arial" w:cs="Arial"/>
          <w:szCs w:val="24"/>
        </w:rPr>
        <w:t xml:space="preserve"> de manera definitiva, de fondo, median</w:t>
      </w:r>
      <w:r w:rsidR="008F1472">
        <w:rPr>
          <w:rFonts w:ascii="Arial" w:hAnsi="Arial" w:cs="Arial"/>
          <w:szCs w:val="24"/>
        </w:rPr>
        <w:t>te acto administrativo motivado y</w:t>
      </w:r>
      <w:r>
        <w:rPr>
          <w:rFonts w:ascii="Arial" w:hAnsi="Arial" w:cs="Arial"/>
          <w:szCs w:val="24"/>
        </w:rPr>
        <w:t xml:space="preserve"> con indicación de los recursos procedentes</w:t>
      </w:r>
      <w:r w:rsidR="008F1472">
        <w:rPr>
          <w:rFonts w:ascii="Arial" w:hAnsi="Arial" w:cs="Arial"/>
          <w:szCs w:val="24"/>
        </w:rPr>
        <w:t>,</w:t>
      </w:r>
      <w:r>
        <w:rPr>
          <w:rFonts w:ascii="Arial" w:hAnsi="Arial" w:cs="Arial"/>
          <w:szCs w:val="24"/>
        </w:rPr>
        <w:t xml:space="preserve"> el derecho de petición que data del día 11-12-2014 reiterado el día 05-08-2015</w:t>
      </w:r>
      <w:r w:rsidR="00036175">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Pr>
          <w:rFonts w:ascii="Arial" w:hAnsi="Arial" w:cs="Arial"/>
          <w:szCs w:val="24"/>
        </w:rPr>
        <w:t>6</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Default="004821B4" w:rsidP="003F6CF1">
      <w:pPr>
        <w:pStyle w:val="Sinespaciado"/>
        <w:spacing w:line="360" w:lineRule="auto"/>
        <w:jc w:val="both"/>
        <w:rPr>
          <w:rFonts w:ascii="Arial" w:hAnsi="Arial" w:cs="Arial"/>
          <w:szCs w:val="22"/>
        </w:rPr>
      </w:pPr>
    </w:p>
    <w:p w:rsidR="00261943" w:rsidRPr="00037093" w:rsidRDefault="00261943" w:rsidP="003F6CF1">
      <w:pPr>
        <w:pStyle w:val="Sinespaciado"/>
        <w:spacing w:line="360" w:lineRule="auto"/>
        <w:jc w:val="both"/>
        <w:rPr>
          <w:rFonts w:ascii="Arial" w:hAnsi="Arial" w:cs="Arial"/>
          <w:szCs w:val="22"/>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 xml:space="preserve">LA SÍNTESIS DE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D124C3" w:rsidP="00B50331">
      <w:pPr>
        <w:spacing w:line="360" w:lineRule="auto"/>
        <w:jc w:val="both"/>
        <w:rPr>
          <w:rFonts w:ascii="Arial" w:hAnsi="Arial"/>
        </w:rPr>
      </w:pPr>
      <w:r w:rsidRPr="00704D44">
        <w:rPr>
          <w:rFonts w:ascii="Arial" w:hAnsi="Arial"/>
        </w:rPr>
        <w:t>El</w:t>
      </w:r>
      <w:r w:rsidR="00D55A12" w:rsidRPr="00704D44">
        <w:rPr>
          <w:rFonts w:ascii="Arial" w:hAnsi="Arial"/>
        </w:rPr>
        <w:t xml:space="preserve"> </w:t>
      </w:r>
      <w:r w:rsidR="00BC4BF8">
        <w:rPr>
          <w:rFonts w:ascii="Arial" w:hAnsi="Arial"/>
        </w:rPr>
        <w:t xml:space="preserve">día </w:t>
      </w:r>
      <w:r w:rsidR="009363F6">
        <w:rPr>
          <w:rFonts w:ascii="Arial" w:hAnsi="Arial"/>
        </w:rPr>
        <w:t>29-02</w:t>
      </w:r>
      <w:r w:rsidR="00491B8B" w:rsidRPr="00704D44">
        <w:rPr>
          <w:rFonts w:ascii="Arial" w:hAnsi="Arial"/>
        </w:rPr>
        <w:t>-</w:t>
      </w:r>
      <w:r w:rsidR="009363F6">
        <w:rPr>
          <w:rFonts w:ascii="Arial" w:hAnsi="Arial"/>
        </w:rPr>
        <w:t>2016</w:t>
      </w:r>
      <w:r w:rsidR="008F1472">
        <w:rPr>
          <w:rFonts w:ascii="Arial" w:hAnsi="Arial"/>
        </w:rPr>
        <w:t xml:space="preserve"> </w:t>
      </w:r>
      <w:r w:rsidR="00D55A12" w:rsidRPr="00704D44">
        <w:rPr>
          <w:rFonts w:ascii="Arial" w:hAnsi="Arial"/>
        </w:rPr>
        <w:t>correspondió por reparto ordinario a</w:t>
      </w:r>
      <w:r w:rsidR="008B5070">
        <w:rPr>
          <w:rFonts w:ascii="Arial" w:hAnsi="Arial"/>
        </w:rPr>
        <w:t xml:space="preserve"> este </w:t>
      </w:r>
      <w:r w:rsidR="000D41CB">
        <w:rPr>
          <w:rFonts w:ascii="Arial" w:hAnsi="Arial"/>
        </w:rPr>
        <w:t>Despacho</w:t>
      </w:r>
      <w:r w:rsidR="00270E88">
        <w:rPr>
          <w:rFonts w:ascii="Arial" w:hAnsi="Arial"/>
        </w:rPr>
        <w:t>,</w:t>
      </w:r>
      <w:r w:rsidR="008B5070">
        <w:rPr>
          <w:rFonts w:ascii="Arial" w:hAnsi="Arial"/>
        </w:rPr>
        <w:t xml:space="preserve"> co</w:t>
      </w:r>
      <w:r w:rsidR="00AE3DA6" w:rsidRPr="00704D44">
        <w:rPr>
          <w:rFonts w:ascii="Arial" w:hAnsi="Arial"/>
        </w:rPr>
        <w:t xml:space="preserve">n providencia </w:t>
      </w:r>
      <w:r w:rsidR="00401EFF">
        <w:rPr>
          <w:rFonts w:ascii="Arial" w:hAnsi="Arial"/>
        </w:rPr>
        <w:t>de</w:t>
      </w:r>
      <w:r w:rsidR="003930B5">
        <w:rPr>
          <w:rFonts w:ascii="Arial" w:hAnsi="Arial"/>
        </w:rPr>
        <w:t xml:space="preserve"> la misma fecha</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C15191">
        <w:rPr>
          <w:rFonts w:ascii="Arial" w:hAnsi="Arial"/>
        </w:rPr>
        <w:t xml:space="preserve">, se vinculó </w:t>
      </w:r>
      <w:r w:rsidR="009363F6">
        <w:rPr>
          <w:rFonts w:ascii="Arial" w:hAnsi="Arial"/>
        </w:rPr>
        <w:t xml:space="preserve">a la Dirección de Personal del Ejército Nacional, </w:t>
      </w:r>
      <w:r w:rsidR="009363F6" w:rsidRPr="008E5A62">
        <w:rPr>
          <w:rFonts w:ascii="Arial" w:hAnsi="Arial"/>
        </w:rPr>
        <w:t>se dispuso notificar a la partes, entre otros ordenamientos</w:t>
      </w:r>
      <w:r w:rsidR="009C4A9B">
        <w:rPr>
          <w:rFonts w:ascii="Arial" w:hAnsi="Arial"/>
        </w:rPr>
        <w:t xml:space="preserve"> </w:t>
      </w:r>
      <w:r w:rsidR="00D55A12" w:rsidRPr="00704D44">
        <w:rPr>
          <w:rFonts w:ascii="Arial" w:hAnsi="Arial"/>
        </w:rPr>
        <w:t xml:space="preserve">(Folio </w:t>
      </w:r>
      <w:r w:rsidR="009363F6">
        <w:rPr>
          <w:rFonts w:ascii="Arial" w:hAnsi="Arial"/>
        </w:rPr>
        <w:t>38</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F</w:t>
      </w:r>
      <w:r w:rsidR="00566FD2">
        <w:rPr>
          <w:rFonts w:ascii="Arial" w:hAnsi="Arial"/>
        </w:rPr>
        <w:t>ue</w:t>
      </w:r>
      <w:r w:rsidR="00C15191">
        <w:rPr>
          <w:rFonts w:ascii="Arial" w:hAnsi="Arial"/>
        </w:rPr>
        <w:t>ron</w:t>
      </w:r>
      <w:r w:rsidR="00566FD2">
        <w:rPr>
          <w:rFonts w:ascii="Arial" w:hAnsi="Arial"/>
        </w:rPr>
        <w:t xml:space="preserve"> debidamente notificad</w:t>
      </w:r>
      <w:r w:rsidR="00091C6D">
        <w:rPr>
          <w:rFonts w:ascii="Arial" w:hAnsi="Arial"/>
        </w:rPr>
        <w:t>a</w:t>
      </w:r>
      <w:r w:rsidR="00C15191">
        <w:rPr>
          <w:rFonts w:ascii="Arial" w:hAnsi="Arial"/>
        </w:rPr>
        <w:t>s</w:t>
      </w:r>
      <w:r w:rsidR="00BD3214">
        <w:rPr>
          <w:rFonts w:ascii="Arial" w:hAnsi="Arial"/>
        </w:rPr>
        <w:t xml:space="preserve"> </w:t>
      </w:r>
      <w:r w:rsidR="00091C6D">
        <w:rPr>
          <w:rFonts w:ascii="Arial" w:hAnsi="Arial"/>
        </w:rPr>
        <w:t xml:space="preserve">las partes </w:t>
      </w:r>
      <w:r w:rsidR="00566FD2">
        <w:rPr>
          <w:rFonts w:ascii="Arial" w:hAnsi="Arial"/>
        </w:rPr>
        <w:t xml:space="preserve">(Folios </w:t>
      </w:r>
      <w:r w:rsidR="009363F6">
        <w:rPr>
          <w:rFonts w:ascii="Arial" w:hAnsi="Arial"/>
        </w:rPr>
        <w:t>39 a 42 y 86 a 87</w:t>
      </w:r>
      <w:r w:rsidR="00EE29B8">
        <w:rPr>
          <w:rFonts w:ascii="Arial" w:hAnsi="Arial"/>
        </w:rPr>
        <w:t xml:space="preserve">, </w:t>
      </w:r>
      <w:r w:rsidR="00DD61D7">
        <w:rPr>
          <w:rFonts w:ascii="Arial" w:hAnsi="Arial"/>
        </w:rPr>
        <w:t>ídem</w:t>
      </w:r>
      <w:r w:rsidR="00EE29B8">
        <w:rPr>
          <w:rFonts w:ascii="Arial" w:hAnsi="Arial"/>
        </w:rPr>
        <w:t>)</w:t>
      </w:r>
      <w:r w:rsidR="009363F6">
        <w:rPr>
          <w:rFonts w:ascii="Arial" w:hAnsi="Arial"/>
        </w:rPr>
        <w:t>;</w:t>
      </w:r>
      <w:r w:rsidR="00091C6D">
        <w:rPr>
          <w:rFonts w:ascii="Arial" w:hAnsi="Arial"/>
        </w:rPr>
        <w:t xml:space="preserve"> </w:t>
      </w:r>
      <w:r w:rsidR="009363F6">
        <w:rPr>
          <w:rFonts w:ascii="Arial" w:hAnsi="Arial"/>
        </w:rPr>
        <w:t>C</w:t>
      </w:r>
      <w:r w:rsidR="00554453">
        <w:rPr>
          <w:rFonts w:ascii="Arial" w:hAnsi="Arial"/>
        </w:rPr>
        <w:t>ontestaron</w:t>
      </w:r>
      <w:r w:rsidR="00CF429F">
        <w:rPr>
          <w:rFonts w:ascii="Arial" w:hAnsi="Arial"/>
        </w:rPr>
        <w:t xml:space="preserve"> </w:t>
      </w:r>
      <w:r w:rsidR="009363F6">
        <w:rPr>
          <w:rFonts w:ascii="Arial" w:hAnsi="Arial"/>
        </w:rPr>
        <w:t xml:space="preserve">la Caja del Retiro de las Fuerzas Militares y el Grupo de Prestaciones Sociales del Ministerio de Defensa Nacional </w:t>
      </w:r>
      <w:r w:rsidR="00F619F4">
        <w:rPr>
          <w:rFonts w:ascii="Arial" w:hAnsi="Arial"/>
        </w:rPr>
        <w:t xml:space="preserve">(Folios </w:t>
      </w:r>
      <w:r w:rsidR="009363F6">
        <w:rPr>
          <w:rFonts w:ascii="Arial" w:hAnsi="Arial"/>
        </w:rPr>
        <w:t>43 a 46 y 89 a 90</w:t>
      </w:r>
      <w:r w:rsidR="00C572BA">
        <w:rPr>
          <w:rFonts w:ascii="Arial" w:hAnsi="Arial"/>
        </w:rPr>
        <w:t>, ídem)</w:t>
      </w:r>
      <w:r w:rsidR="00CB7493">
        <w:rPr>
          <w:rFonts w:ascii="Arial" w:hAnsi="Arial"/>
        </w:rPr>
        <w:t>.</w:t>
      </w:r>
    </w:p>
    <w:p w:rsidR="00B41B34" w:rsidRDefault="00B41B34" w:rsidP="00B50331">
      <w:pPr>
        <w:spacing w:line="360" w:lineRule="auto"/>
        <w:jc w:val="both"/>
        <w:rPr>
          <w:rFonts w:ascii="Arial" w:hAnsi="Arial"/>
        </w:rPr>
      </w:pPr>
    </w:p>
    <w:p w:rsidR="00B41B34" w:rsidRDefault="00B41B34" w:rsidP="00B50331">
      <w:pPr>
        <w:spacing w:line="360" w:lineRule="auto"/>
        <w:jc w:val="both"/>
        <w:rPr>
          <w:rFonts w:ascii="Arial" w:hAnsi="Arial"/>
        </w:rPr>
      </w:pPr>
    </w:p>
    <w:p w:rsidR="00CF429F" w:rsidRPr="00F57517" w:rsidRDefault="00CF429F" w:rsidP="00CF429F">
      <w:pPr>
        <w:numPr>
          <w:ilvl w:val="0"/>
          <w:numId w:val="18"/>
        </w:numPr>
        <w:spacing w:line="360" w:lineRule="auto"/>
        <w:jc w:val="both"/>
        <w:rPr>
          <w:rFonts w:ascii="Arial" w:hAnsi="Arial"/>
        </w:rPr>
      </w:pPr>
      <w:r w:rsidRPr="00F57517">
        <w:rPr>
          <w:rFonts w:ascii="Arial" w:hAnsi="Arial"/>
        </w:rPr>
        <w:t>LA SINOPSIS DE LA</w:t>
      </w:r>
      <w:r w:rsidR="0026749A">
        <w:rPr>
          <w:rFonts w:ascii="Arial" w:hAnsi="Arial"/>
        </w:rPr>
        <w:t>S</w:t>
      </w:r>
      <w:r w:rsidRPr="00F57517">
        <w:rPr>
          <w:rFonts w:ascii="Arial" w:hAnsi="Arial"/>
        </w:rPr>
        <w:t xml:space="preserve"> RESPUESTA</w:t>
      </w:r>
      <w:r w:rsidR="0026749A">
        <w:rPr>
          <w:rFonts w:ascii="Arial" w:hAnsi="Arial"/>
        </w:rPr>
        <w:t>S</w:t>
      </w:r>
    </w:p>
    <w:p w:rsidR="009363F6" w:rsidRDefault="009363F6" w:rsidP="009363F6">
      <w:pPr>
        <w:spacing w:line="360" w:lineRule="auto"/>
        <w:jc w:val="both"/>
        <w:rPr>
          <w:rFonts w:ascii="Arial" w:hAnsi="Arial"/>
        </w:rPr>
      </w:pPr>
    </w:p>
    <w:p w:rsidR="009363F6" w:rsidRDefault="0026749A" w:rsidP="009363F6">
      <w:pPr>
        <w:pStyle w:val="Prrafodelista"/>
        <w:numPr>
          <w:ilvl w:val="1"/>
          <w:numId w:val="18"/>
        </w:numPr>
        <w:spacing w:line="360" w:lineRule="auto"/>
        <w:jc w:val="both"/>
        <w:rPr>
          <w:rFonts w:ascii="Arial" w:hAnsi="Arial"/>
        </w:rPr>
      </w:pPr>
      <w:r>
        <w:rPr>
          <w:rFonts w:ascii="Arial" w:hAnsi="Arial"/>
        </w:rPr>
        <w:t>La Caja de</w:t>
      </w:r>
      <w:r w:rsidR="009363F6">
        <w:rPr>
          <w:rFonts w:ascii="Arial" w:hAnsi="Arial"/>
        </w:rPr>
        <w:t xml:space="preserve"> Retiro de las Fuerzas Militares</w:t>
      </w:r>
    </w:p>
    <w:p w:rsidR="009363F6" w:rsidRPr="009363F6" w:rsidRDefault="009363F6" w:rsidP="009363F6">
      <w:pPr>
        <w:pStyle w:val="Prrafodelista"/>
        <w:spacing w:line="360" w:lineRule="auto"/>
        <w:ind w:left="720"/>
        <w:jc w:val="both"/>
        <w:rPr>
          <w:rFonts w:ascii="Arial" w:hAnsi="Arial"/>
        </w:rPr>
      </w:pPr>
    </w:p>
    <w:p w:rsidR="00375393" w:rsidRDefault="00B31F00" w:rsidP="00CF429F">
      <w:pPr>
        <w:spacing w:line="360" w:lineRule="auto"/>
        <w:jc w:val="both"/>
        <w:rPr>
          <w:rFonts w:ascii="Arial" w:hAnsi="Arial"/>
        </w:rPr>
      </w:pPr>
      <w:r>
        <w:rPr>
          <w:rFonts w:ascii="Arial" w:hAnsi="Arial"/>
        </w:rPr>
        <w:t>Señaló</w:t>
      </w:r>
      <w:r w:rsidR="0098210E">
        <w:rPr>
          <w:rFonts w:ascii="Arial" w:hAnsi="Arial"/>
        </w:rPr>
        <w:t xml:space="preserve"> </w:t>
      </w:r>
      <w:r w:rsidR="00F57517">
        <w:rPr>
          <w:rFonts w:ascii="Arial" w:hAnsi="Arial"/>
        </w:rPr>
        <w:t xml:space="preserve">que </w:t>
      </w:r>
      <w:r w:rsidR="00CD013E">
        <w:rPr>
          <w:rFonts w:ascii="Arial" w:hAnsi="Arial"/>
        </w:rPr>
        <w:t xml:space="preserve">el </w:t>
      </w:r>
      <w:r w:rsidR="00F57517">
        <w:rPr>
          <w:rFonts w:ascii="Arial" w:hAnsi="Arial"/>
        </w:rPr>
        <w:t>derecho de petición formulado por el actor</w:t>
      </w:r>
      <w:r w:rsidR="0098210E">
        <w:rPr>
          <w:rFonts w:ascii="Arial" w:hAnsi="Arial"/>
        </w:rPr>
        <w:t>,</w:t>
      </w:r>
      <w:r w:rsidR="00F57517">
        <w:rPr>
          <w:rFonts w:ascii="Arial" w:hAnsi="Arial"/>
        </w:rPr>
        <w:t xml:space="preserve"> fue contestado </w:t>
      </w:r>
      <w:r w:rsidR="009363F6">
        <w:rPr>
          <w:rFonts w:ascii="Arial" w:hAnsi="Arial"/>
        </w:rPr>
        <w:t xml:space="preserve">con </w:t>
      </w:r>
      <w:r w:rsidR="00F57517">
        <w:rPr>
          <w:rFonts w:ascii="Arial" w:hAnsi="Arial"/>
        </w:rPr>
        <w:t xml:space="preserve">oficio </w:t>
      </w:r>
      <w:r w:rsidR="009363F6">
        <w:rPr>
          <w:rFonts w:ascii="Arial" w:hAnsi="Arial"/>
        </w:rPr>
        <w:t>812064 de fecha 1</w:t>
      </w:r>
      <w:r w:rsidR="00A83D59">
        <w:rPr>
          <w:rFonts w:ascii="Arial" w:hAnsi="Arial"/>
        </w:rPr>
        <w:t>9</w:t>
      </w:r>
      <w:r w:rsidR="009363F6">
        <w:rPr>
          <w:rFonts w:ascii="Arial" w:hAnsi="Arial"/>
        </w:rPr>
        <w:t xml:space="preserve">-12-2014, </w:t>
      </w:r>
      <w:r w:rsidR="0098210E">
        <w:rPr>
          <w:rFonts w:ascii="Arial" w:hAnsi="Arial"/>
        </w:rPr>
        <w:t xml:space="preserve">en el que indicó </w:t>
      </w:r>
      <w:r w:rsidR="00CD013E">
        <w:rPr>
          <w:rFonts w:ascii="Arial" w:hAnsi="Arial"/>
        </w:rPr>
        <w:t xml:space="preserve">que no </w:t>
      </w:r>
      <w:r w:rsidR="0098210E">
        <w:rPr>
          <w:rFonts w:ascii="Arial" w:hAnsi="Arial"/>
        </w:rPr>
        <w:t xml:space="preserve">se </w:t>
      </w:r>
      <w:r w:rsidR="00CD013E">
        <w:rPr>
          <w:rFonts w:ascii="Arial" w:hAnsi="Arial"/>
        </w:rPr>
        <w:t xml:space="preserve">atendía favorable la solicitud de reajuste de asignación de retiro </w:t>
      </w:r>
      <w:r w:rsidR="008F1472">
        <w:rPr>
          <w:rFonts w:ascii="Arial" w:hAnsi="Arial"/>
        </w:rPr>
        <w:t xml:space="preserve">solicitado </w:t>
      </w:r>
      <w:r w:rsidR="009856A1">
        <w:rPr>
          <w:rFonts w:ascii="Arial" w:hAnsi="Arial"/>
        </w:rPr>
        <w:t xml:space="preserve">y </w:t>
      </w:r>
      <w:r w:rsidR="008F1472">
        <w:rPr>
          <w:rFonts w:ascii="Arial" w:hAnsi="Arial"/>
        </w:rPr>
        <w:t xml:space="preserve">que </w:t>
      </w:r>
      <w:r w:rsidR="0098210E">
        <w:rPr>
          <w:rFonts w:ascii="Arial" w:hAnsi="Arial"/>
        </w:rPr>
        <w:t xml:space="preserve">posteriormente aclaró en el sentido </w:t>
      </w:r>
      <w:r w:rsidR="00A07BCC">
        <w:rPr>
          <w:rFonts w:ascii="Arial" w:hAnsi="Arial"/>
        </w:rPr>
        <w:t xml:space="preserve">de </w:t>
      </w:r>
      <w:r>
        <w:rPr>
          <w:rFonts w:ascii="Arial" w:hAnsi="Arial"/>
        </w:rPr>
        <w:t xml:space="preserve">indicar </w:t>
      </w:r>
      <w:r w:rsidR="00375393">
        <w:rPr>
          <w:rFonts w:ascii="Arial" w:hAnsi="Arial"/>
        </w:rPr>
        <w:t xml:space="preserve">que </w:t>
      </w:r>
      <w:r w:rsidR="0098210E">
        <w:rPr>
          <w:rFonts w:ascii="Arial" w:hAnsi="Arial"/>
        </w:rPr>
        <w:t xml:space="preserve">contra dicha decisión </w:t>
      </w:r>
      <w:r>
        <w:rPr>
          <w:rFonts w:ascii="Arial" w:hAnsi="Arial"/>
        </w:rPr>
        <w:t xml:space="preserve">era improcedente </w:t>
      </w:r>
      <w:r w:rsidR="0098210E">
        <w:rPr>
          <w:rFonts w:ascii="Arial" w:hAnsi="Arial"/>
        </w:rPr>
        <w:t xml:space="preserve">recurso alguno. </w:t>
      </w:r>
    </w:p>
    <w:p w:rsidR="00375393" w:rsidRDefault="00375393" w:rsidP="00CF429F">
      <w:pPr>
        <w:spacing w:line="360" w:lineRule="auto"/>
        <w:jc w:val="both"/>
        <w:rPr>
          <w:rFonts w:ascii="Arial" w:hAnsi="Arial"/>
        </w:rPr>
      </w:pPr>
    </w:p>
    <w:p w:rsidR="00375393" w:rsidRDefault="00F57517" w:rsidP="00CF429F">
      <w:pPr>
        <w:spacing w:line="360" w:lineRule="auto"/>
        <w:jc w:val="both"/>
        <w:rPr>
          <w:rFonts w:ascii="Arial" w:hAnsi="Arial"/>
        </w:rPr>
      </w:pPr>
      <w:r>
        <w:rPr>
          <w:rFonts w:ascii="Arial" w:hAnsi="Arial"/>
        </w:rPr>
        <w:t xml:space="preserve">Manifestó </w:t>
      </w:r>
      <w:r w:rsidR="0098210E">
        <w:rPr>
          <w:rFonts w:ascii="Arial" w:hAnsi="Arial"/>
        </w:rPr>
        <w:t xml:space="preserve">que </w:t>
      </w:r>
      <w:r w:rsidR="00B31F00">
        <w:rPr>
          <w:rFonts w:ascii="Arial" w:hAnsi="Arial"/>
        </w:rPr>
        <w:t xml:space="preserve">la petición </w:t>
      </w:r>
      <w:r w:rsidR="00375393">
        <w:rPr>
          <w:rFonts w:ascii="Arial" w:hAnsi="Arial"/>
        </w:rPr>
        <w:t xml:space="preserve">propende por el </w:t>
      </w:r>
      <w:r w:rsidR="0098210E">
        <w:rPr>
          <w:rFonts w:ascii="Arial" w:hAnsi="Arial"/>
        </w:rPr>
        <w:t>reconocimiento de la pen</w:t>
      </w:r>
      <w:r w:rsidR="00B31F00">
        <w:rPr>
          <w:rFonts w:ascii="Arial" w:hAnsi="Arial"/>
        </w:rPr>
        <w:t>sión de invalidez por lo que fue trasladada</w:t>
      </w:r>
      <w:r w:rsidR="0098210E">
        <w:rPr>
          <w:rFonts w:ascii="Arial" w:hAnsi="Arial"/>
        </w:rPr>
        <w:t xml:space="preserve"> al Grupo de Prestaciones Sociales</w:t>
      </w:r>
      <w:r w:rsidR="00B31F00">
        <w:rPr>
          <w:rFonts w:ascii="Arial" w:hAnsi="Arial"/>
        </w:rPr>
        <w:t>,</w:t>
      </w:r>
      <w:r w:rsidR="0098210E">
        <w:rPr>
          <w:rFonts w:ascii="Arial" w:hAnsi="Arial"/>
        </w:rPr>
        <w:t xml:space="preserve"> por competencia. Concluyó </w:t>
      </w:r>
      <w:r w:rsidR="00B31F00">
        <w:rPr>
          <w:rFonts w:ascii="Arial" w:hAnsi="Arial"/>
        </w:rPr>
        <w:t xml:space="preserve">que hay </w:t>
      </w:r>
      <w:r w:rsidR="0098210E">
        <w:rPr>
          <w:rFonts w:ascii="Arial" w:hAnsi="Arial"/>
        </w:rPr>
        <w:t>falta de legitimación por pasiva y carencia actual de objeto por hecho superado</w:t>
      </w:r>
      <w:r w:rsidR="00375393">
        <w:rPr>
          <w:rFonts w:ascii="Arial" w:hAnsi="Arial"/>
        </w:rPr>
        <w:t xml:space="preserve">, </w:t>
      </w:r>
      <w:r w:rsidR="00B31F00">
        <w:rPr>
          <w:rFonts w:ascii="Arial" w:hAnsi="Arial"/>
        </w:rPr>
        <w:t xml:space="preserve">solicita </w:t>
      </w:r>
      <w:r w:rsidR="00375393">
        <w:rPr>
          <w:rFonts w:ascii="Arial" w:hAnsi="Arial"/>
        </w:rPr>
        <w:t xml:space="preserve">su desvinculación y </w:t>
      </w:r>
      <w:r w:rsidR="009856A1">
        <w:rPr>
          <w:rFonts w:ascii="Arial" w:hAnsi="Arial"/>
        </w:rPr>
        <w:t>la declaratoria de</w:t>
      </w:r>
      <w:r w:rsidR="00375393">
        <w:rPr>
          <w:rFonts w:ascii="Arial" w:hAnsi="Arial"/>
        </w:rPr>
        <w:t xml:space="preserve"> improcedencia de la acción (</w:t>
      </w:r>
      <w:r w:rsidR="009753DE">
        <w:rPr>
          <w:rFonts w:ascii="Arial" w:hAnsi="Arial"/>
        </w:rPr>
        <w:t xml:space="preserve">Folios </w:t>
      </w:r>
      <w:r w:rsidR="00375393">
        <w:rPr>
          <w:rFonts w:ascii="Arial" w:hAnsi="Arial"/>
        </w:rPr>
        <w:t>43 a 46, id</w:t>
      </w:r>
      <w:r w:rsidR="009753DE">
        <w:rPr>
          <w:rFonts w:ascii="Arial" w:hAnsi="Arial"/>
        </w:rPr>
        <w:t>.).</w:t>
      </w:r>
    </w:p>
    <w:p w:rsidR="00375393" w:rsidRDefault="00375393" w:rsidP="00CF429F">
      <w:pPr>
        <w:spacing w:line="360" w:lineRule="auto"/>
        <w:jc w:val="both"/>
        <w:rPr>
          <w:rFonts w:ascii="Arial" w:hAnsi="Arial"/>
        </w:rPr>
      </w:pPr>
    </w:p>
    <w:p w:rsidR="00375393" w:rsidRDefault="00375393" w:rsidP="00375393">
      <w:pPr>
        <w:pStyle w:val="Prrafodelista"/>
        <w:numPr>
          <w:ilvl w:val="1"/>
          <w:numId w:val="18"/>
        </w:numPr>
        <w:spacing w:line="360" w:lineRule="auto"/>
        <w:jc w:val="both"/>
        <w:rPr>
          <w:rFonts w:ascii="Arial" w:hAnsi="Arial"/>
        </w:rPr>
      </w:pPr>
      <w:r>
        <w:rPr>
          <w:rFonts w:ascii="Arial" w:hAnsi="Arial"/>
        </w:rPr>
        <w:t>El Grupo de Prestaciones Sociales del Ministerio de Defensa Nacional</w:t>
      </w:r>
    </w:p>
    <w:p w:rsidR="00375393" w:rsidRDefault="00375393" w:rsidP="00375393">
      <w:pPr>
        <w:spacing w:line="360" w:lineRule="auto"/>
        <w:jc w:val="both"/>
        <w:rPr>
          <w:rFonts w:ascii="Arial" w:hAnsi="Arial"/>
        </w:rPr>
      </w:pPr>
    </w:p>
    <w:p w:rsidR="009753DE" w:rsidRPr="00925FA3" w:rsidRDefault="00B31F00" w:rsidP="00375393">
      <w:pPr>
        <w:spacing w:line="360" w:lineRule="auto"/>
        <w:jc w:val="both"/>
        <w:rPr>
          <w:rFonts w:ascii="Arial" w:hAnsi="Arial"/>
          <w:lang w:val="es-CO"/>
        </w:rPr>
      </w:pPr>
      <w:r>
        <w:rPr>
          <w:rFonts w:ascii="Arial" w:hAnsi="Arial"/>
        </w:rPr>
        <w:t xml:space="preserve">Expresó </w:t>
      </w:r>
      <w:r w:rsidR="00925FA3">
        <w:rPr>
          <w:rFonts w:ascii="Arial" w:hAnsi="Arial"/>
        </w:rPr>
        <w:t xml:space="preserve">que </w:t>
      </w:r>
      <w:r>
        <w:rPr>
          <w:rFonts w:ascii="Arial" w:hAnsi="Arial"/>
        </w:rPr>
        <w:t>la solicitud relacionada</w:t>
      </w:r>
      <w:r w:rsidR="00925FA3">
        <w:rPr>
          <w:rFonts w:ascii="Arial" w:hAnsi="Arial"/>
        </w:rPr>
        <w:t xml:space="preserve"> con el reajuste de la </w:t>
      </w:r>
      <w:r>
        <w:rPr>
          <w:rFonts w:ascii="Arial" w:hAnsi="Arial"/>
        </w:rPr>
        <w:t>asignación de retiro fue enviada</w:t>
      </w:r>
      <w:r w:rsidR="00925FA3">
        <w:rPr>
          <w:rFonts w:ascii="Arial" w:hAnsi="Arial"/>
        </w:rPr>
        <w:t xml:space="preserve"> a la Caja de Retiro de las Fuerzas Militares, y, que dio respuesta con relación al reconocimiento de la pensión de inva</w:t>
      </w:r>
      <w:r w:rsidR="009856A1">
        <w:rPr>
          <w:rFonts w:ascii="Arial" w:hAnsi="Arial"/>
        </w:rPr>
        <w:t>lidez con oficio No.OFI16-15581;</w:t>
      </w:r>
      <w:r w:rsidR="00925FA3">
        <w:rPr>
          <w:rFonts w:ascii="Arial" w:hAnsi="Arial"/>
        </w:rPr>
        <w:t xml:space="preserve"> solicitó por </w:t>
      </w:r>
      <w:r>
        <w:rPr>
          <w:rFonts w:ascii="Arial" w:hAnsi="Arial"/>
        </w:rPr>
        <w:t xml:space="preserve">lo </w:t>
      </w:r>
      <w:r w:rsidR="00925FA3">
        <w:rPr>
          <w:rFonts w:ascii="Arial" w:hAnsi="Arial"/>
        </w:rPr>
        <w:t>tanto declarar el hecho superado</w:t>
      </w:r>
      <w:r w:rsidR="009856A1">
        <w:rPr>
          <w:rFonts w:ascii="Arial" w:hAnsi="Arial"/>
        </w:rPr>
        <w:t xml:space="preserve"> (Folios</w:t>
      </w:r>
      <w:r>
        <w:rPr>
          <w:rFonts w:ascii="Arial" w:hAnsi="Arial"/>
        </w:rPr>
        <w:t xml:space="preserve"> </w:t>
      </w:r>
      <w:r w:rsidR="009856A1">
        <w:rPr>
          <w:rFonts w:ascii="Arial" w:hAnsi="Arial"/>
        </w:rPr>
        <w:t>89 y 90, id.)</w:t>
      </w:r>
      <w:r w:rsidR="00925FA3">
        <w:rPr>
          <w:rFonts w:ascii="Arial" w:hAnsi="Arial"/>
        </w:rPr>
        <w:t>.</w:t>
      </w:r>
    </w:p>
    <w:p w:rsidR="00041489" w:rsidRDefault="00041489" w:rsidP="00CF429F">
      <w:pPr>
        <w:spacing w:line="360" w:lineRule="auto"/>
        <w:jc w:val="both"/>
        <w:rPr>
          <w:rFonts w:ascii="Arial" w:hAnsi="Arial"/>
        </w:rPr>
      </w:pPr>
    </w:p>
    <w:p w:rsidR="00925FA3" w:rsidRDefault="00925FA3" w:rsidP="00CF429F">
      <w:pPr>
        <w:spacing w:line="360" w:lineRule="auto"/>
        <w:jc w:val="both"/>
        <w:rPr>
          <w:rFonts w:ascii="Arial" w:hAnsi="Arial"/>
        </w:rPr>
      </w:pPr>
    </w:p>
    <w:p w:rsidR="00CF429F" w:rsidRPr="00525C2D" w:rsidRDefault="00CF429F" w:rsidP="00CF429F">
      <w:pPr>
        <w:pStyle w:val="Textoindependiente"/>
        <w:numPr>
          <w:ilvl w:val="0"/>
          <w:numId w:val="18"/>
        </w:numPr>
        <w:spacing w:line="360" w:lineRule="auto"/>
        <w:rPr>
          <w:rFonts w:ascii="Arial" w:hAnsi="Arial"/>
          <w:szCs w:val="24"/>
        </w:rPr>
      </w:pPr>
      <w:r w:rsidRPr="00525C2D">
        <w:rPr>
          <w:rFonts w:ascii="Arial" w:hAnsi="Arial"/>
          <w:szCs w:val="24"/>
        </w:rPr>
        <w:t>LA FUNDAMENTACIÓN JURÍDICA PARA DECIDIR</w:t>
      </w:r>
    </w:p>
    <w:p w:rsidR="00CF429F" w:rsidRPr="00F66EF7" w:rsidRDefault="00CF429F" w:rsidP="00CF429F">
      <w:pPr>
        <w:pStyle w:val="Textoindependiente"/>
        <w:spacing w:line="360" w:lineRule="auto"/>
        <w:rPr>
          <w:rFonts w:ascii="Arial" w:hAnsi="Arial"/>
          <w:szCs w:val="22"/>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CF429F" w:rsidRPr="008B388E" w:rsidRDefault="00CF429F" w:rsidP="00CF429F">
      <w:pPr>
        <w:pStyle w:val="Textoindependiente"/>
        <w:tabs>
          <w:tab w:val="clear" w:pos="708"/>
          <w:tab w:val="left" w:pos="709"/>
        </w:tabs>
        <w:spacing w:line="360" w:lineRule="auto"/>
        <w:rPr>
          <w:rFonts w:ascii="Arial" w:hAnsi="Arial" w:cs="Arial"/>
          <w:szCs w:val="24"/>
        </w:rPr>
      </w:pPr>
    </w:p>
    <w:p w:rsidR="00CF429F" w:rsidRDefault="00CF429F" w:rsidP="00CF429F">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presunta violación, al tener </w:t>
      </w:r>
      <w:r w:rsidR="005948D3">
        <w:rPr>
          <w:rFonts w:ascii="Arial" w:hAnsi="Arial" w:cs="Arial"/>
          <w:sz w:val="24"/>
          <w:szCs w:val="24"/>
        </w:rPr>
        <w:t>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w:t>
      </w:r>
      <w:r w:rsidR="005948D3">
        <w:rPr>
          <w:rFonts w:ascii="Arial" w:hAnsi="Arial" w:cs="Arial"/>
          <w:sz w:val="24"/>
          <w:szCs w:val="24"/>
        </w:rPr>
        <w:t>la</w:t>
      </w:r>
      <w:r>
        <w:rPr>
          <w:rFonts w:ascii="Arial" w:hAnsi="Arial" w:cs="Arial"/>
          <w:sz w:val="24"/>
          <w:szCs w:val="24"/>
        </w:rPr>
        <w:t xml:space="preserve"> accionad</w:t>
      </w:r>
      <w:r w:rsidR="00E44D9D">
        <w:rPr>
          <w:rFonts w:ascii="Arial" w:hAnsi="Arial" w:cs="Arial"/>
          <w:sz w:val="24"/>
          <w:szCs w:val="24"/>
        </w:rPr>
        <w:t>a</w:t>
      </w:r>
      <w:r w:rsidR="00712E16">
        <w:rPr>
          <w:rFonts w:ascii="Arial" w:hAnsi="Arial" w:cs="Arial"/>
          <w:sz w:val="24"/>
          <w:szCs w:val="24"/>
        </w:rPr>
        <w:t xml:space="preserve"> </w:t>
      </w:r>
      <w:r w:rsidR="00091C6D">
        <w:rPr>
          <w:rFonts w:ascii="Arial" w:hAnsi="Arial" w:cs="Arial"/>
          <w:sz w:val="24"/>
          <w:szCs w:val="24"/>
        </w:rPr>
        <w:t xml:space="preserve">es </w:t>
      </w:r>
      <w:r w:rsidR="00712E16">
        <w:rPr>
          <w:rFonts w:ascii="Arial" w:hAnsi="Arial" w:cs="Arial"/>
          <w:sz w:val="24"/>
          <w:szCs w:val="24"/>
        </w:rPr>
        <w:t>una</w:t>
      </w:r>
      <w:r w:rsidR="00E44D9D">
        <w:rPr>
          <w:rFonts w:ascii="Arial" w:hAnsi="Arial" w:cs="Arial"/>
          <w:sz w:val="24"/>
          <w:szCs w:val="24"/>
        </w:rPr>
        <w:t xml:space="preserve"> entidad del orden nacional </w:t>
      </w:r>
      <w:r w:rsidR="00554453">
        <w:rPr>
          <w:rFonts w:ascii="Arial" w:hAnsi="Arial" w:cs="Arial"/>
          <w:sz w:val="24"/>
          <w:szCs w:val="24"/>
        </w:rPr>
        <w:t>(</w:t>
      </w:r>
      <w:r>
        <w:rPr>
          <w:rFonts w:ascii="Arial" w:hAnsi="Arial" w:cs="Arial"/>
          <w:sz w:val="24"/>
          <w:szCs w:val="24"/>
        </w:rPr>
        <w:t>Artículo 1°-1°, Decreto 1382 del 2000</w:t>
      </w:r>
      <w:r w:rsidR="00525C2D">
        <w:rPr>
          <w:rFonts w:ascii="Arial" w:hAnsi="Arial" w:cs="Arial"/>
          <w:sz w:val="24"/>
          <w:szCs w:val="24"/>
        </w:rPr>
        <w:t xml:space="preserve"> concordante con literal d), numeral 1), artículo 3</w:t>
      </w:r>
      <w:r w:rsidR="00554453">
        <w:rPr>
          <w:rFonts w:ascii="Arial" w:hAnsi="Arial" w:cs="Arial"/>
          <w:sz w:val="24"/>
          <w:szCs w:val="24"/>
        </w:rPr>
        <w:t>8</w:t>
      </w:r>
      <w:r w:rsidR="00525C2D">
        <w:rPr>
          <w:rFonts w:ascii="Arial" w:hAnsi="Arial" w:cs="Arial"/>
          <w:sz w:val="24"/>
          <w:szCs w:val="24"/>
        </w:rPr>
        <w:t xml:space="preserve"> de la Ley 489</w:t>
      </w:r>
      <w:r w:rsidR="00554453">
        <w:rPr>
          <w:rFonts w:ascii="Arial" w:hAnsi="Arial" w:cs="Arial"/>
          <w:sz w:val="24"/>
          <w:szCs w:val="24"/>
        </w:rPr>
        <w:t>)</w:t>
      </w:r>
      <w:r>
        <w:rPr>
          <w:rFonts w:ascii="Arial" w:hAnsi="Arial" w:cs="Arial"/>
          <w:sz w:val="24"/>
          <w:szCs w:val="24"/>
        </w:rPr>
        <w:t>.</w:t>
      </w:r>
    </w:p>
    <w:p w:rsidR="00970B55" w:rsidRDefault="00970B55" w:rsidP="00CF429F">
      <w:pPr>
        <w:pStyle w:val="Sangra2detindependiente"/>
        <w:spacing w:after="0" w:line="360" w:lineRule="auto"/>
        <w:ind w:left="0"/>
        <w:jc w:val="both"/>
        <w:rPr>
          <w:rFonts w:ascii="Arial" w:hAnsi="Arial" w:cs="Arial"/>
          <w:sz w:val="24"/>
          <w:szCs w:val="24"/>
        </w:rPr>
      </w:pPr>
    </w:p>
    <w:p w:rsidR="00D90CFF" w:rsidRPr="00F17D22" w:rsidRDefault="00D90CFF" w:rsidP="00D90CF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F17D22">
        <w:rPr>
          <w:rFonts w:ascii="Arial" w:hAnsi="Arial"/>
          <w:szCs w:val="24"/>
        </w:rPr>
        <w:t>La legitimación en la causa</w:t>
      </w:r>
    </w:p>
    <w:p w:rsidR="00D90CFF" w:rsidRDefault="00D90CFF" w:rsidP="00D90CFF">
      <w:pPr>
        <w:pStyle w:val="Textoindependiente"/>
        <w:spacing w:line="360" w:lineRule="auto"/>
        <w:rPr>
          <w:rFonts w:ascii="Arial" w:hAnsi="Arial" w:cs="Arial"/>
          <w:szCs w:val="24"/>
        </w:rPr>
      </w:pPr>
    </w:p>
    <w:p w:rsidR="00F17065" w:rsidRDefault="00D90CFF" w:rsidP="00D90CFF">
      <w:pPr>
        <w:pStyle w:val="Textoindependiente"/>
        <w:spacing w:line="360" w:lineRule="auto"/>
        <w:rPr>
          <w:rFonts w:ascii="Arial" w:hAnsi="Arial" w:cs="Arial"/>
          <w:szCs w:val="24"/>
        </w:rPr>
      </w:pPr>
      <w:r w:rsidRPr="00021E04">
        <w:rPr>
          <w:rFonts w:ascii="Arial" w:hAnsi="Arial" w:cs="Arial"/>
          <w:szCs w:val="24"/>
        </w:rPr>
        <w:t xml:space="preserve">Por activa se cumple en </w:t>
      </w:r>
      <w:r w:rsidRPr="00EF4C81">
        <w:rPr>
          <w:rFonts w:ascii="Arial" w:hAnsi="Arial" w:cs="Arial"/>
          <w:szCs w:val="24"/>
        </w:rPr>
        <w:t xml:space="preserve">consideración a que quien ejerce la acción es quien </w:t>
      </w:r>
      <w:r w:rsidR="00EF4C81" w:rsidRPr="00EF4C81">
        <w:rPr>
          <w:rFonts w:ascii="Arial" w:hAnsi="Arial" w:cs="Arial"/>
          <w:szCs w:val="24"/>
        </w:rPr>
        <w:t xml:space="preserve">presentó los </w:t>
      </w:r>
      <w:r w:rsidRPr="00EF4C81">
        <w:rPr>
          <w:rFonts w:ascii="Arial" w:hAnsi="Arial" w:cs="Arial"/>
          <w:szCs w:val="24"/>
        </w:rPr>
        <w:t>derecho</w:t>
      </w:r>
      <w:r w:rsidR="00EF4C81" w:rsidRPr="00EF4C81">
        <w:rPr>
          <w:rFonts w:ascii="Arial" w:hAnsi="Arial" w:cs="Arial"/>
          <w:szCs w:val="24"/>
        </w:rPr>
        <w:t>s</w:t>
      </w:r>
      <w:r w:rsidRPr="00EF4C81">
        <w:rPr>
          <w:rFonts w:ascii="Arial" w:hAnsi="Arial" w:cs="Arial"/>
          <w:szCs w:val="24"/>
        </w:rPr>
        <w:t xml:space="preserve"> de petición, titula</w:t>
      </w:r>
      <w:r>
        <w:rPr>
          <w:rFonts w:ascii="Arial" w:hAnsi="Arial" w:cs="Arial"/>
          <w:szCs w:val="24"/>
        </w:rPr>
        <w:t xml:space="preserve">r del derecho reclamado </w:t>
      </w:r>
      <w:r w:rsidRPr="00021E04">
        <w:rPr>
          <w:rFonts w:ascii="Arial" w:hAnsi="Arial" w:cs="Arial"/>
          <w:szCs w:val="24"/>
        </w:rPr>
        <w:t>(Artículo 86</w:t>
      </w:r>
      <w:r>
        <w:rPr>
          <w:rFonts w:ascii="Arial" w:hAnsi="Arial" w:cs="Arial"/>
          <w:szCs w:val="24"/>
        </w:rPr>
        <w:t xml:space="preserve">, </w:t>
      </w:r>
      <w:r w:rsidRPr="00021E04">
        <w:rPr>
          <w:rFonts w:ascii="Arial" w:hAnsi="Arial" w:cs="Arial"/>
          <w:szCs w:val="24"/>
        </w:rPr>
        <w:t>CP, y 1</w:t>
      </w:r>
      <w:r>
        <w:rPr>
          <w:rFonts w:ascii="Arial" w:hAnsi="Arial" w:cs="Arial"/>
          <w:szCs w:val="24"/>
        </w:rPr>
        <w:t>0</w:t>
      </w:r>
      <w:r w:rsidRPr="00021E04">
        <w:rPr>
          <w:rFonts w:ascii="Arial" w:hAnsi="Arial" w:cs="Arial"/>
          <w:szCs w:val="24"/>
        </w:rPr>
        <w:t>º</w:t>
      </w:r>
      <w:r>
        <w:rPr>
          <w:rFonts w:ascii="Arial" w:hAnsi="Arial" w:cs="Arial"/>
          <w:szCs w:val="24"/>
        </w:rPr>
        <w:t xml:space="preserve">, </w:t>
      </w:r>
      <w:r w:rsidRPr="00021E04">
        <w:rPr>
          <w:rFonts w:ascii="Arial" w:hAnsi="Arial" w:cs="Arial"/>
          <w:szCs w:val="24"/>
        </w:rPr>
        <w:t>Decreto 2591 de 1991).</w:t>
      </w:r>
      <w:r>
        <w:rPr>
          <w:rFonts w:ascii="Arial" w:hAnsi="Arial" w:cs="Arial"/>
          <w:szCs w:val="24"/>
        </w:rPr>
        <w:t xml:space="preserve"> </w:t>
      </w:r>
    </w:p>
    <w:p w:rsidR="00F17065" w:rsidRDefault="00F17065" w:rsidP="00D90CFF">
      <w:pPr>
        <w:pStyle w:val="Textoindependiente"/>
        <w:spacing w:line="360" w:lineRule="auto"/>
        <w:rPr>
          <w:rFonts w:ascii="Arial" w:hAnsi="Arial" w:cs="Arial"/>
          <w:szCs w:val="24"/>
        </w:rPr>
      </w:pPr>
    </w:p>
    <w:p w:rsidR="00D90CFF" w:rsidRDefault="00D90CFF" w:rsidP="00D90CFF">
      <w:pPr>
        <w:pStyle w:val="Textoindependiente"/>
        <w:spacing w:line="360" w:lineRule="auto"/>
        <w:rPr>
          <w:rFonts w:ascii="Arial" w:hAnsi="Arial" w:cs="Arial"/>
          <w:szCs w:val="24"/>
        </w:rPr>
      </w:pPr>
      <w:r w:rsidRPr="00F17065">
        <w:rPr>
          <w:rFonts w:ascii="Arial" w:hAnsi="Arial" w:cs="Arial"/>
          <w:szCs w:val="24"/>
        </w:rPr>
        <w:t xml:space="preserve">Por pasiva, </w:t>
      </w:r>
      <w:r w:rsidR="00925FA3">
        <w:rPr>
          <w:rFonts w:ascii="Arial" w:hAnsi="Arial" w:cs="Arial"/>
          <w:szCs w:val="24"/>
        </w:rPr>
        <w:t xml:space="preserve">el Grupo de Prestaciones Sociales del Ministerio de Defensa Nacional </w:t>
      </w:r>
      <w:r w:rsidR="002D1F9C">
        <w:rPr>
          <w:rFonts w:ascii="Arial" w:hAnsi="Arial" w:cs="Arial"/>
          <w:szCs w:val="24"/>
        </w:rPr>
        <w:t>y la Caja de Retiro del Ejército Nacional, como destinatarios de los derechos de petición incoados por el actor</w:t>
      </w:r>
      <w:r>
        <w:rPr>
          <w:rFonts w:ascii="Arial" w:hAnsi="Arial" w:cs="Arial"/>
          <w:szCs w:val="24"/>
        </w:rPr>
        <w:t>.</w:t>
      </w:r>
    </w:p>
    <w:p w:rsidR="00355323" w:rsidRDefault="00355323" w:rsidP="00D90CFF">
      <w:pPr>
        <w:pStyle w:val="Textoindependiente"/>
        <w:spacing w:line="360" w:lineRule="auto"/>
        <w:rPr>
          <w:rFonts w:ascii="Arial" w:hAnsi="Arial" w:cs="Arial"/>
          <w:szCs w:val="24"/>
        </w:rPr>
      </w:pPr>
    </w:p>
    <w:p w:rsidR="00355323" w:rsidRDefault="00355323" w:rsidP="00355323">
      <w:pPr>
        <w:widowControl/>
        <w:spacing w:line="360" w:lineRule="auto"/>
        <w:jc w:val="both"/>
        <w:rPr>
          <w:rFonts w:ascii="Arial" w:hAnsi="Arial" w:cs="Arial"/>
        </w:rPr>
      </w:pPr>
      <w:r>
        <w:rPr>
          <w:rFonts w:ascii="Arial" w:hAnsi="Arial" w:cs="Arial"/>
        </w:rPr>
        <w:t xml:space="preserve">El </w:t>
      </w:r>
      <w:r w:rsidR="00DC770D">
        <w:rPr>
          <w:rFonts w:ascii="Arial" w:hAnsi="Arial" w:cs="Arial"/>
        </w:rPr>
        <w:t>Ministerio de Defensa Nacional accionado y la Dirección de Personal del Ejército Nacional</w:t>
      </w:r>
      <w:r>
        <w:rPr>
          <w:rFonts w:ascii="Arial" w:hAnsi="Arial" w:cs="Arial"/>
        </w:rPr>
        <w:t xml:space="preserve"> </w:t>
      </w:r>
      <w:r w:rsidR="00DC770D">
        <w:rPr>
          <w:rFonts w:ascii="Arial" w:hAnsi="Arial" w:cs="Arial"/>
        </w:rPr>
        <w:t xml:space="preserve">vinculada </w:t>
      </w:r>
      <w:r>
        <w:rPr>
          <w:rFonts w:ascii="Arial" w:hAnsi="Arial" w:cs="Arial"/>
        </w:rPr>
        <w:t>a este trámite, como eventuales afectados con la acción constitucional, no incurrieron en violación o amenaza alguna, por tanto, se negará la tutela frente a ellos.</w:t>
      </w:r>
    </w:p>
    <w:p w:rsidR="00D90CFF" w:rsidRDefault="00D90CFF" w:rsidP="00D90CFF">
      <w:pPr>
        <w:pStyle w:val="Textoindependiente"/>
        <w:spacing w:line="360" w:lineRule="auto"/>
        <w:rPr>
          <w:rFonts w:ascii="Arial" w:hAnsi="Arial" w:cs="Arial"/>
          <w:szCs w:val="24"/>
        </w:rPr>
      </w:pPr>
    </w:p>
    <w:p w:rsidR="00C54B44" w:rsidRDefault="00C54B44" w:rsidP="007C6851">
      <w:pPr>
        <w:pStyle w:val="Textoindependiente"/>
        <w:numPr>
          <w:ilvl w:val="1"/>
          <w:numId w:val="18"/>
        </w:numPr>
        <w:spacing w:line="360" w:lineRule="auto"/>
        <w:rPr>
          <w:rFonts w:ascii="Arial" w:hAnsi="Arial"/>
          <w:szCs w:val="24"/>
        </w:rPr>
      </w:pPr>
      <w:r w:rsidRPr="006820CE">
        <w:rPr>
          <w:rFonts w:ascii="Arial" w:hAnsi="Arial"/>
          <w:szCs w:val="24"/>
        </w:rPr>
        <w:t>El problema jurídico a resolver</w:t>
      </w:r>
    </w:p>
    <w:p w:rsidR="001F0FB9" w:rsidRPr="006820CE" w:rsidRDefault="001F0FB9" w:rsidP="001F0FB9">
      <w:pPr>
        <w:pStyle w:val="Textoindependiente"/>
        <w:spacing w:line="360" w:lineRule="auto"/>
        <w:ind w:left="1080"/>
        <w:rPr>
          <w:rFonts w:ascii="Arial" w:hAnsi="Arial"/>
          <w:szCs w:val="24"/>
        </w:rPr>
      </w:pPr>
    </w:p>
    <w:p w:rsidR="00D90CFF" w:rsidRDefault="00C54B44" w:rsidP="00C54B44">
      <w:pPr>
        <w:pStyle w:val="Textoindependiente"/>
        <w:tabs>
          <w:tab w:val="clear" w:pos="708"/>
          <w:tab w:val="clear" w:pos="1416"/>
          <w:tab w:val="left" w:pos="709"/>
          <w:tab w:val="left" w:pos="1418"/>
        </w:tabs>
        <w:spacing w:line="360" w:lineRule="auto"/>
        <w:rPr>
          <w:rFonts w:ascii="Arial" w:hAnsi="Arial" w:cs="Arial"/>
          <w:szCs w:val="24"/>
        </w:rPr>
      </w:pPr>
      <w:r w:rsidRPr="006820CE">
        <w:rPr>
          <w:rFonts w:ascii="Arial" w:hAnsi="Arial"/>
          <w:szCs w:val="24"/>
        </w:rPr>
        <w:t>¿</w:t>
      </w:r>
      <w:r w:rsidR="007C6851" w:rsidRPr="006820CE">
        <w:rPr>
          <w:rFonts w:ascii="Arial" w:hAnsi="Arial"/>
          <w:szCs w:val="24"/>
        </w:rPr>
        <w:t xml:space="preserve">El </w:t>
      </w:r>
      <w:r w:rsidR="002D1F9C">
        <w:rPr>
          <w:rFonts w:ascii="Arial" w:hAnsi="Arial" w:cs="Arial"/>
          <w:szCs w:val="24"/>
        </w:rPr>
        <w:t>Grupo de Prestaciones Sociales del Ministerio de Defensa Nacional y la Caja de Retiro del Ejército Nacional</w:t>
      </w:r>
      <w:r w:rsidRPr="006820CE">
        <w:rPr>
          <w:rFonts w:ascii="Arial" w:hAnsi="Arial"/>
          <w:szCs w:val="24"/>
        </w:rPr>
        <w:t>, viola</w:t>
      </w:r>
      <w:r w:rsidR="00DF3871">
        <w:rPr>
          <w:rFonts w:ascii="Arial" w:hAnsi="Arial"/>
          <w:szCs w:val="24"/>
        </w:rPr>
        <w:t>n</w:t>
      </w:r>
      <w:r w:rsidRPr="006820CE">
        <w:rPr>
          <w:rFonts w:ascii="Arial" w:hAnsi="Arial"/>
          <w:szCs w:val="24"/>
        </w:rPr>
        <w:t xml:space="preserve"> o amenaza</w:t>
      </w:r>
      <w:r w:rsidR="00DF3871">
        <w:rPr>
          <w:rFonts w:ascii="Arial" w:hAnsi="Arial"/>
          <w:szCs w:val="24"/>
        </w:rPr>
        <w:t>n</w:t>
      </w:r>
      <w:r w:rsidRPr="006820CE">
        <w:rPr>
          <w:rFonts w:ascii="Arial" w:hAnsi="Arial"/>
          <w:szCs w:val="24"/>
        </w:rPr>
        <w:t xml:space="preserve"> l</w:t>
      </w:r>
      <w:r w:rsidR="007C6851">
        <w:rPr>
          <w:rFonts w:ascii="Arial" w:hAnsi="Arial"/>
          <w:szCs w:val="24"/>
        </w:rPr>
        <w:t>os</w:t>
      </w:r>
      <w:r w:rsidRPr="006820CE">
        <w:rPr>
          <w:rFonts w:ascii="Arial" w:hAnsi="Arial"/>
          <w:szCs w:val="24"/>
        </w:rPr>
        <w:t xml:space="preserve"> derecho</w:t>
      </w:r>
      <w:r w:rsidR="007C6851">
        <w:rPr>
          <w:rFonts w:ascii="Arial" w:hAnsi="Arial"/>
          <w:szCs w:val="24"/>
        </w:rPr>
        <w:t>s</w:t>
      </w:r>
      <w:r w:rsidRPr="006820CE">
        <w:rPr>
          <w:rFonts w:ascii="Arial" w:hAnsi="Arial"/>
          <w:szCs w:val="24"/>
        </w:rPr>
        <w:t xml:space="preserve"> fundamental</w:t>
      </w:r>
      <w:r w:rsidR="007C6851">
        <w:rPr>
          <w:rFonts w:ascii="Arial" w:hAnsi="Arial"/>
          <w:szCs w:val="24"/>
        </w:rPr>
        <w:t>es</w:t>
      </w:r>
      <w:r w:rsidRPr="006820CE">
        <w:rPr>
          <w:rFonts w:ascii="Arial" w:hAnsi="Arial"/>
          <w:szCs w:val="24"/>
        </w:rPr>
        <w:t xml:space="preserve"> alegado</w:t>
      </w:r>
      <w:r w:rsidR="007C6851">
        <w:rPr>
          <w:rFonts w:ascii="Arial" w:hAnsi="Arial"/>
          <w:szCs w:val="24"/>
        </w:rPr>
        <w:t>s</w:t>
      </w:r>
      <w:r w:rsidRPr="006820CE">
        <w:rPr>
          <w:rFonts w:ascii="Arial" w:hAnsi="Arial"/>
          <w:szCs w:val="24"/>
        </w:rPr>
        <w:t xml:space="preserve"> por la parte accionante, según los hechos expuestos en la petición de tutela</w:t>
      </w:r>
      <w:r w:rsidRPr="006820CE">
        <w:rPr>
          <w:rFonts w:ascii="Arial" w:hAnsi="Arial" w:cs="Arial"/>
          <w:szCs w:val="24"/>
        </w:rPr>
        <w:t>?</w:t>
      </w:r>
    </w:p>
    <w:p w:rsidR="001A1B5D" w:rsidRDefault="001A1B5D" w:rsidP="00C54B44">
      <w:pPr>
        <w:pStyle w:val="Textoindependiente"/>
        <w:tabs>
          <w:tab w:val="clear" w:pos="708"/>
          <w:tab w:val="clear" w:pos="1416"/>
          <w:tab w:val="left" w:pos="709"/>
          <w:tab w:val="left" w:pos="1418"/>
        </w:tabs>
        <w:spacing w:line="360" w:lineRule="auto"/>
        <w:rPr>
          <w:rFonts w:ascii="Arial" w:hAnsi="Arial" w:cs="Arial"/>
          <w:szCs w:val="24"/>
        </w:rPr>
      </w:pPr>
    </w:p>
    <w:p w:rsidR="00C54B44" w:rsidRPr="00D90CFF" w:rsidRDefault="00C54B44" w:rsidP="00D90CFF">
      <w:pPr>
        <w:pStyle w:val="Textoindependiente"/>
        <w:numPr>
          <w:ilvl w:val="1"/>
          <w:numId w:val="18"/>
        </w:numPr>
        <w:tabs>
          <w:tab w:val="clear" w:pos="708"/>
          <w:tab w:val="clear" w:pos="1416"/>
          <w:tab w:val="left" w:pos="709"/>
          <w:tab w:val="left" w:pos="1418"/>
        </w:tabs>
        <w:spacing w:line="360" w:lineRule="auto"/>
        <w:rPr>
          <w:rFonts w:ascii="Arial" w:hAnsi="Arial" w:cs="Arial"/>
          <w:szCs w:val="24"/>
        </w:rPr>
      </w:pPr>
      <w:r w:rsidRPr="006820CE">
        <w:rPr>
          <w:rFonts w:ascii="Arial" w:hAnsi="Arial"/>
          <w:szCs w:val="24"/>
        </w:rPr>
        <w:t>La resolución del problema jurídico</w:t>
      </w:r>
    </w:p>
    <w:p w:rsidR="00C54B44" w:rsidRPr="006820CE" w:rsidRDefault="00C54B44" w:rsidP="00C54B44">
      <w:pPr>
        <w:pStyle w:val="Textoindependiente"/>
        <w:tabs>
          <w:tab w:val="clear" w:pos="708"/>
          <w:tab w:val="clear" w:pos="1416"/>
          <w:tab w:val="left" w:pos="709"/>
          <w:tab w:val="left" w:pos="1418"/>
        </w:tabs>
        <w:spacing w:line="360" w:lineRule="auto"/>
        <w:rPr>
          <w:rFonts w:ascii="Arial" w:hAnsi="Arial"/>
          <w:szCs w:val="24"/>
        </w:rPr>
      </w:pPr>
    </w:p>
    <w:p w:rsidR="00EF4C81" w:rsidRPr="00CF128F" w:rsidRDefault="00EF4C81" w:rsidP="00EF4C81">
      <w:pPr>
        <w:pStyle w:val="Textoindependiente"/>
        <w:numPr>
          <w:ilvl w:val="2"/>
          <w:numId w:val="26"/>
        </w:numPr>
        <w:spacing w:line="360" w:lineRule="auto"/>
        <w:rPr>
          <w:rFonts w:ascii="Arial" w:hAnsi="Arial" w:cs="Arial"/>
          <w:szCs w:val="24"/>
        </w:rPr>
      </w:pPr>
      <w:r w:rsidRPr="00CF128F">
        <w:rPr>
          <w:rFonts w:ascii="Arial" w:hAnsi="Arial" w:cs="Arial"/>
          <w:szCs w:val="24"/>
        </w:rPr>
        <w:t>Los requisitos de procedencia de la acción</w:t>
      </w:r>
    </w:p>
    <w:p w:rsidR="00EF4C81" w:rsidRDefault="00EF4C81" w:rsidP="00EF4C81">
      <w:pPr>
        <w:spacing w:line="360" w:lineRule="auto"/>
        <w:jc w:val="both"/>
        <w:rPr>
          <w:rFonts w:ascii="Arial" w:hAnsi="Arial" w:cs="Arial"/>
          <w:noProof/>
          <w:lang w:val="es-ES_tradnl"/>
        </w:rPr>
      </w:pPr>
    </w:p>
    <w:p w:rsidR="00EF4C81" w:rsidRPr="0098589D" w:rsidRDefault="00EF4C81" w:rsidP="00EF4C81">
      <w:pPr>
        <w:spacing w:line="360" w:lineRule="auto"/>
        <w:jc w:val="both"/>
        <w:rPr>
          <w:rFonts w:ascii="Arial" w:hAnsi="Arial" w:cs="Arial"/>
        </w:rPr>
      </w:pPr>
      <w:r w:rsidRPr="00F31B69">
        <w:rPr>
          <w:rFonts w:ascii="Arial" w:hAnsi="Arial" w:cs="Arial"/>
          <w:noProof/>
          <w:lang w:val="es-ES_tradnl"/>
        </w:rPr>
        <w:t>N</w:t>
      </w:r>
      <w:r w:rsidRPr="0098589D">
        <w:rPr>
          <w:rFonts w:ascii="Arial" w:hAnsi="Arial" w:cs="Arial"/>
          <w:noProof/>
        </w:rPr>
        <w:t xml:space="preserve">uestra Corte Constitucional tiene establecido que la subsidiariedad e inmediatez, son exigencias generales de procedencia de la acción de tutela, ha sido tradicionalmente una condición necesaria para el conocimiento de fondo de las solicitudes de protección de derechos fundamentales, por vía excepcional.  </w:t>
      </w:r>
      <w:r w:rsidRPr="0098589D">
        <w:rPr>
          <w:rFonts w:ascii="Arial" w:hAnsi="Arial" w:cs="Arial"/>
        </w:rPr>
        <w:t>Se considera también que es mecanismo procesal supletorio de los mecanismos ordinarios, frente a la falta de idoneidad del mecanismo ordinario de protección, circunstancia ligada a la inminencia del perjuicio irremediable.  Evento en el cual su carácter protector permite convertirlo en herramienta transitoria de amparo.</w:t>
      </w:r>
    </w:p>
    <w:p w:rsidR="00EF4C81" w:rsidRDefault="00EF4C81" w:rsidP="00EF4C81">
      <w:pPr>
        <w:spacing w:line="360" w:lineRule="auto"/>
        <w:jc w:val="both"/>
        <w:rPr>
          <w:rFonts w:ascii="Arial" w:hAnsi="Arial" w:cs="Arial"/>
        </w:rPr>
      </w:pPr>
    </w:p>
    <w:p w:rsidR="00EF4C81" w:rsidRPr="002B60F4" w:rsidRDefault="00EF4C81" w:rsidP="00EF4C81">
      <w:pPr>
        <w:pStyle w:val="Prrafodelista"/>
        <w:numPr>
          <w:ilvl w:val="2"/>
          <w:numId w:val="26"/>
        </w:numPr>
        <w:spacing w:line="360" w:lineRule="auto"/>
        <w:jc w:val="both"/>
        <w:rPr>
          <w:rFonts w:ascii="Arial" w:hAnsi="Arial" w:cs="Arial"/>
        </w:rPr>
      </w:pPr>
      <w:r w:rsidRPr="002B60F4">
        <w:rPr>
          <w:rFonts w:ascii="Arial" w:hAnsi="Arial" w:cs="Arial"/>
        </w:rPr>
        <w:t>La inmediatez</w:t>
      </w:r>
    </w:p>
    <w:p w:rsidR="00EF4C81" w:rsidRPr="0098589D" w:rsidRDefault="00EF4C81" w:rsidP="00EF4C81">
      <w:pPr>
        <w:spacing w:line="360" w:lineRule="auto"/>
        <w:jc w:val="both"/>
        <w:rPr>
          <w:rFonts w:ascii="Arial" w:hAnsi="Arial" w:cs="Arial"/>
        </w:rPr>
      </w:pPr>
    </w:p>
    <w:p w:rsidR="00EF4C81" w:rsidRDefault="00EF4C81" w:rsidP="00EF4C81">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1"/>
      </w:r>
      <w:r w:rsidRPr="0098589D">
        <w:rPr>
          <w:rFonts w:ascii="Arial" w:hAnsi="Arial" w:cs="Arial"/>
        </w:rPr>
        <w:t>, y también de la Corte Suprema de Justicia</w:t>
      </w:r>
      <w:r w:rsidRPr="0098589D">
        <w:rPr>
          <w:rStyle w:val="Refdenotaalpie"/>
          <w:rFonts w:ascii="Calibri" w:hAnsi="Calibri" w:cs="Calibri"/>
        </w:rPr>
        <w:footnoteReference w:id="2"/>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EF4C81" w:rsidRPr="0098589D" w:rsidRDefault="00EF4C81" w:rsidP="00EF4C81">
      <w:pPr>
        <w:spacing w:line="360" w:lineRule="auto"/>
        <w:jc w:val="both"/>
        <w:rPr>
          <w:rFonts w:ascii="Arial" w:hAnsi="Arial" w:cs="Arial"/>
          <w:u w:val="single"/>
        </w:rPr>
      </w:pPr>
    </w:p>
    <w:p w:rsidR="00EF4C81" w:rsidRDefault="00EF4C81" w:rsidP="00EF4C81">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3"/>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4"/>
      </w:r>
      <w:r>
        <w:rPr>
          <w:rFonts w:ascii="Arial" w:hAnsi="Arial" w:cs="Arial"/>
        </w:rPr>
        <w:t xml:space="preserve"> y de Casación Civil que en reciente providencia señaló: </w:t>
      </w:r>
    </w:p>
    <w:p w:rsidR="00EF4C81" w:rsidRDefault="00EF4C81" w:rsidP="00EF4C81">
      <w:pPr>
        <w:spacing w:line="360" w:lineRule="auto"/>
        <w:ind w:right="22"/>
        <w:jc w:val="both"/>
        <w:rPr>
          <w:rFonts w:ascii="Arial" w:hAnsi="Arial" w:cs="Arial"/>
        </w:rPr>
      </w:pPr>
    </w:p>
    <w:p w:rsidR="00EF4C81" w:rsidRPr="00C83EC6" w:rsidRDefault="00EF4C81" w:rsidP="00EF4C81">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para suplicar la protección constitucional, lo cual desvirtúa, por si sólo, el carácter urgente e impostergable del resguardo implorado.</w:t>
      </w:r>
      <w:r w:rsidRPr="00C83EC6">
        <w:rPr>
          <w:rStyle w:val="Refdenotaalpie"/>
          <w:rFonts w:ascii="Arial" w:hAnsi="Arial" w:cs="Arial"/>
        </w:rPr>
        <w:footnoteReference w:id="5"/>
      </w:r>
      <w:r w:rsidRPr="00C83EC6">
        <w:rPr>
          <w:rFonts w:ascii="Arial" w:hAnsi="Arial" w:cs="Arial"/>
        </w:rPr>
        <w:t xml:space="preserve"> </w:t>
      </w:r>
      <w:r>
        <w:rPr>
          <w:rFonts w:ascii="Arial" w:hAnsi="Arial" w:cs="Arial"/>
        </w:rPr>
        <w:t>Sublínea de esta sala.</w:t>
      </w:r>
    </w:p>
    <w:p w:rsidR="00EF4C81" w:rsidRPr="0098589D" w:rsidRDefault="00EF4C81" w:rsidP="00EF4C81">
      <w:pPr>
        <w:spacing w:line="360" w:lineRule="auto"/>
        <w:ind w:right="22"/>
        <w:jc w:val="both"/>
        <w:rPr>
          <w:rFonts w:ascii="Arial" w:hAnsi="Arial" w:cs="Arial"/>
        </w:rPr>
      </w:pPr>
    </w:p>
    <w:p w:rsidR="00EF4C81" w:rsidRPr="0098589D" w:rsidRDefault="00EF4C81" w:rsidP="00EF4C81">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EF4C81" w:rsidRPr="0098589D" w:rsidRDefault="00EF4C81" w:rsidP="00EF4C81">
      <w:pPr>
        <w:spacing w:line="360" w:lineRule="auto"/>
        <w:ind w:right="22"/>
        <w:jc w:val="both"/>
        <w:rPr>
          <w:rFonts w:ascii="Arial" w:hAnsi="Arial" w:cs="Arial"/>
        </w:rPr>
      </w:pPr>
    </w:p>
    <w:p w:rsidR="00EF4C81" w:rsidRDefault="00EF4C81" w:rsidP="00EF4C81">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6"/>
      </w:r>
      <w:r w:rsidRPr="0098589D">
        <w:rPr>
          <w:rFonts w:ascii="Arial" w:hAnsi="Arial" w:cs="Arial"/>
        </w:rPr>
        <w:t>, con apoyo en un precedente anterior de 2003</w:t>
      </w:r>
      <w:r w:rsidRPr="0098589D">
        <w:rPr>
          <w:rStyle w:val="Refdenotaalpie"/>
          <w:rFonts w:ascii="Arial" w:hAnsi="Arial" w:cs="Arial"/>
        </w:rPr>
        <w:footnoteReference w:id="7"/>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98589D">
        <w:rPr>
          <w:rStyle w:val="Refdenotaalpie"/>
          <w:rFonts w:ascii="Arial" w:hAnsi="Arial" w:cs="Arial"/>
        </w:rPr>
        <w:footnoteReference w:id="8"/>
      </w:r>
      <w:r w:rsidRPr="0098589D">
        <w:rPr>
          <w:rFonts w:ascii="Arial" w:hAnsi="Arial" w:cs="Arial"/>
        </w:rPr>
        <w:t>.</w:t>
      </w:r>
    </w:p>
    <w:p w:rsidR="00DC770D" w:rsidRDefault="00DC770D" w:rsidP="00EF4C81">
      <w:pPr>
        <w:spacing w:line="360" w:lineRule="auto"/>
        <w:ind w:right="22"/>
        <w:jc w:val="both"/>
        <w:rPr>
          <w:rFonts w:ascii="Arial" w:hAnsi="Arial" w:cs="Arial"/>
        </w:rPr>
      </w:pPr>
    </w:p>
    <w:p w:rsidR="00EF4C81" w:rsidRDefault="00EF4C81" w:rsidP="00EF4C81">
      <w:pPr>
        <w:spacing w:line="360" w:lineRule="auto"/>
        <w:jc w:val="both"/>
        <w:rPr>
          <w:rFonts w:ascii="Arial" w:hAnsi="Arial" w:cs="Arial"/>
          <w:lang w:val="es-ES_tradnl"/>
        </w:rPr>
      </w:pPr>
      <w:r>
        <w:rPr>
          <w:rFonts w:ascii="Arial" w:hAnsi="Arial" w:cs="Arial"/>
          <w:lang w:val="es-ES_tradnl"/>
        </w:rPr>
        <w:t>En decisión del año 2013</w:t>
      </w:r>
      <w:r>
        <w:rPr>
          <w:rStyle w:val="Refdenotaalpie"/>
          <w:rFonts w:ascii="Arial" w:hAnsi="Arial" w:cs="Arial"/>
          <w:lang w:val="es-ES_tradnl"/>
        </w:rPr>
        <w:footnoteReference w:id="9"/>
      </w:r>
      <w:r>
        <w:rPr>
          <w:rFonts w:ascii="Arial" w:hAnsi="Arial" w:cs="Arial"/>
          <w:lang w:val="es-ES_tradnl"/>
        </w:rPr>
        <w:t xml:space="preserve"> nuestro órgano de cierre en la especialidad constitucional, ratificó el pensamiento traído en su larga línea jurisprudencial, y resaltó las razones que fundamenta el factor “inmediatez” como presupuesto de procedibilidad, así acotó:</w:t>
      </w:r>
    </w:p>
    <w:p w:rsidR="00EF4C81" w:rsidRDefault="00EF4C81" w:rsidP="00EF4C81">
      <w:pPr>
        <w:ind w:left="567"/>
        <w:jc w:val="both"/>
        <w:rPr>
          <w:rFonts w:ascii="Arial" w:hAnsi="Arial" w:cs="Arial"/>
          <w:lang w:val="es-ES_tradnl"/>
        </w:rPr>
      </w:pPr>
    </w:p>
    <w:p w:rsidR="00EF4C81" w:rsidRPr="00C52F32" w:rsidRDefault="00EF4C81" w:rsidP="00EF4C81">
      <w:pPr>
        <w:ind w:left="567" w:right="567"/>
        <w:jc w:val="both"/>
        <w:rPr>
          <w:rFonts w:ascii="Arial" w:hAnsi="Arial" w:cs="Arial"/>
          <w:lang w:val="es-ES_tradnl"/>
        </w:rPr>
      </w:pPr>
      <w:r w:rsidRPr="00C52F32">
        <w:rPr>
          <w:rFonts w:ascii="Arial" w:hAnsi="Arial" w:cs="Arial"/>
        </w:rPr>
        <w:t xml:space="preserve">La Corte constitucional ha establecido en su jurisprudencia que </w:t>
      </w:r>
      <w:r w:rsidRPr="009927A9">
        <w:rPr>
          <w:rFonts w:ascii="Arial" w:hAnsi="Arial" w:cs="Arial"/>
          <w:u w:val="single"/>
        </w:rPr>
        <w:t>esta exigencia está encaminada a</w:t>
      </w:r>
      <w:r w:rsidRPr="00C52F32">
        <w:rPr>
          <w:rFonts w:ascii="Arial" w:hAnsi="Arial" w:cs="Arial"/>
        </w:rPr>
        <w:t xml:space="preserve">: </w:t>
      </w:r>
      <w:r w:rsidRPr="00F73DAD">
        <w:rPr>
          <w:rFonts w:ascii="Arial" w:hAnsi="Arial" w:cs="Arial"/>
          <w:i/>
          <w:iCs/>
        </w:rPr>
        <w:t>i) proteger derechos de terceros que pueden verse vulnerados por una tutela ejercida en un plazo irrazonable</w:t>
      </w:r>
      <w:r w:rsidRPr="00F73DAD">
        <w:rPr>
          <w:rFonts w:ascii="Arial" w:hAnsi="Arial" w:cs="Arial"/>
          <w:i/>
          <w:iCs/>
          <w:vertAlign w:val="superscript"/>
        </w:rPr>
        <w:footnoteReference w:id="10"/>
      </w:r>
      <w:r w:rsidRPr="00F73DAD">
        <w:rPr>
          <w:rFonts w:ascii="Arial" w:hAnsi="Arial" w:cs="Arial"/>
          <w:i/>
          <w:iCs/>
        </w:rPr>
        <w:t>; ii) impedir que el amparo se convierta en factor de inseguridad jurídica</w:t>
      </w:r>
      <w:r w:rsidRPr="00F73DAD">
        <w:rPr>
          <w:rFonts w:ascii="Arial" w:hAnsi="Arial" w:cs="Arial"/>
          <w:i/>
          <w:iCs/>
          <w:vertAlign w:val="superscript"/>
        </w:rPr>
        <w:footnoteReference w:id="11"/>
      </w:r>
      <w:r w:rsidRPr="00F73DAD">
        <w:rPr>
          <w:rFonts w:ascii="Arial" w:hAnsi="Arial" w:cs="Arial"/>
          <w:i/>
          <w:iCs/>
        </w:rPr>
        <w:t xml:space="preserve">; y iii) </w:t>
      </w:r>
      <w:r w:rsidRPr="00F73DAD">
        <w:rPr>
          <w:rFonts w:ascii="Arial" w:hAnsi="Arial" w:cs="Arial"/>
          <w:i/>
          <w:iCs/>
          <w:lang w:val="es-CO"/>
        </w:rPr>
        <w:t>evitar el uso de este mecanismo constitucional como herramienta supletiva de la propia negligencia en la agencia de los derechos</w:t>
      </w:r>
      <w:r w:rsidRPr="00C52F32">
        <w:rPr>
          <w:rFonts w:ascii="Arial" w:hAnsi="Arial" w:cs="Arial"/>
          <w:vertAlign w:val="superscript"/>
          <w:lang w:val="es-CO"/>
        </w:rPr>
        <w:footnoteReference w:id="12"/>
      </w:r>
      <w:r w:rsidRPr="00C52F32">
        <w:rPr>
          <w:rFonts w:ascii="Arial" w:hAnsi="Arial" w:cs="Arial"/>
          <w:lang w:val="es-CO"/>
        </w:rPr>
        <w:t>.</w:t>
      </w:r>
      <w:r>
        <w:rPr>
          <w:rFonts w:ascii="Arial" w:hAnsi="Arial" w:cs="Arial"/>
          <w:lang w:val="es-CO"/>
        </w:rPr>
        <w:t xml:space="preserve">  La sublínea y la cursiva son de este Tribunal.</w:t>
      </w:r>
    </w:p>
    <w:p w:rsidR="007C6851" w:rsidRDefault="007C6851" w:rsidP="00C54B44">
      <w:pPr>
        <w:pStyle w:val="Textoindependiente"/>
        <w:spacing w:line="360" w:lineRule="auto"/>
        <w:rPr>
          <w:rFonts w:ascii="Arial" w:hAnsi="Arial" w:cs="Arial"/>
          <w:szCs w:val="24"/>
        </w:rPr>
      </w:pPr>
    </w:p>
    <w:p w:rsidR="00C54B44" w:rsidRPr="00EF4C81" w:rsidRDefault="00C54B44" w:rsidP="00EF4C81">
      <w:pPr>
        <w:pStyle w:val="Prrafodelista"/>
        <w:widowControl/>
        <w:numPr>
          <w:ilvl w:val="2"/>
          <w:numId w:val="26"/>
        </w:numPr>
        <w:autoSpaceDE/>
        <w:autoSpaceDN/>
        <w:adjustRightInd/>
        <w:spacing w:line="360" w:lineRule="auto"/>
        <w:contextualSpacing/>
        <w:jc w:val="both"/>
        <w:rPr>
          <w:rFonts w:ascii="Arial" w:hAnsi="Arial"/>
        </w:rPr>
      </w:pPr>
      <w:r w:rsidRPr="00EF4C81">
        <w:rPr>
          <w:rFonts w:ascii="Arial" w:hAnsi="Arial"/>
        </w:rPr>
        <w:t>El derecho fundamental de petición</w:t>
      </w:r>
    </w:p>
    <w:p w:rsidR="00C54B44" w:rsidRPr="007C6851" w:rsidRDefault="00C54B44" w:rsidP="00C54B44">
      <w:pPr>
        <w:pStyle w:val="Prrafodelista"/>
        <w:widowControl/>
        <w:autoSpaceDE/>
        <w:autoSpaceDN/>
        <w:adjustRightInd/>
        <w:spacing w:line="360" w:lineRule="auto"/>
        <w:ind w:left="0"/>
        <w:contextualSpacing/>
        <w:jc w:val="both"/>
        <w:rPr>
          <w:rFonts w:ascii="Arial" w:hAnsi="Arial"/>
        </w:rPr>
      </w:pPr>
    </w:p>
    <w:p w:rsidR="008A49EF" w:rsidRDefault="008A49EF" w:rsidP="008A49EF">
      <w:pPr>
        <w:spacing w:line="360" w:lineRule="auto"/>
        <w:jc w:val="both"/>
        <w:rPr>
          <w:rFonts w:ascii="Arial" w:hAnsi="Arial" w:cs="Arial"/>
          <w:i/>
          <w:iCs/>
          <w:spacing w:val="-3"/>
          <w:sz w:val="22"/>
          <w:szCs w:val="22"/>
        </w:rPr>
      </w:pPr>
      <w:r w:rsidRPr="0095291D">
        <w:rPr>
          <w:rFonts w:ascii="Arial" w:hAnsi="Arial" w:cs="Arial"/>
          <w:spacing w:val="-3"/>
        </w:rPr>
        <w:t>La jurisprudencia constitucional tie</w:t>
      </w:r>
      <w:r>
        <w:rPr>
          <w:rFonts w:ascii="Arial" w:hAnsi="Arial" w:cs="Arial"/>
          <w:spacing w:val="-3"/>
        </w:rPr>
        <w:t>ne dicho de manera reiterada</w:t>
      </w:r>
      <w:r w:rsidRPr="0095291D">
        <w:rPr>
          <w:vertAlign w:val="superscript"/>
        </w:rPr>
        <w:footnoteReference w:id="13"/>
      </w:r>
      <w:r w:rsidRPr="0095291D">
        <w:rPr>
          <w:rFonts w:ascii="Arial" w:hAnsi="Arial" w:cs="Arial"/>
          <w:spacing w:val="-3"/>
        </w:rPr>
        <w:t xml:space="preserve">, que el </w:t>
      </w:r>
      <w:r w:rsidRPr="00563DAB">
        <w:rPr>
          <w:rFonts w:ascii="Arial" w:hAnsi="Arial" w:cs="Arial"/>
          <w:spacing w:val="-3"/>
        </w:rPr>
        <w:t xml:space="preserve">derecho de petición exige concretarse en una pronta y oportuna respuesta por parte de la autoridad ante la cual ha sido elevada la solicitud, sin importar que la misma sea favorable a los intereses del peticionario y escrita, pero en todo caso debe </w:t>
      </w:r>
      <w:r w:rsidRPr="008D77CB">
        <w:rPr>
          <w:rFonts w:ascii="Arial" w:hAnsi="Arial" w:cs="Arial"/>
          <w:i/>
          <w:spacing w:val="-3"/>
          <w:sz w:val="22"/>
          <w:szCs w:val="22"/>
        </w:rPr>
        <w:t>“</w:t>
      </w:r>
      <w:r w:rsidRPr="008D77CB">
        <w:rPr>
          <w:rFonts w:ascii="Arial" w:hAnsi="Arial" w:cs="Arial"/>
          <w:i/>
          <w:iCs/>
          <w:spacing w:val="-3"/>
          <w:sz w:val="22"/>
          <w:szCs w:val="22"/>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1F0FB9" w:rsidRPr="008D77CB" w:rsidRDefault="001F0FB9" w:rsidP="008A49EF">
      <w:pPr>
        <w:spacing w:line="360" w:lineRule="auto"/>
        <w:jc w:val="both"/>
        <w:rPr>
          <w:rFonts w:ascii="Arial" w:hAnsi="Arial" w:cs="Arial"/>
          <w:i/>
          <w:iCs/>
          <w:spacing w:val="-3"/>
          <w:sz w:val="22"/>
          <w:szCs w:val="22"/>
        </w:rPr>
      </w:pPr>
    </w:p>
    <w:p w:rsidR="008A49EF" w:rsidRPr="00563DAB" w:rsidRDefault="008A49EF" w:rsidP="008A49EF">
      <w:pPr>
        <w:pStyle w:val="Textoindependiente"/>
        <w:spacing w:line="360" w:lineRule="auto"/>
        <w:rPr>
          <w:rFonts w:ascii="Arial" w:hAnsi="Arial"/>
          <w:szCs w:val="24"/>
        </w:rPr>
      </w:pPr>
      <w:r w:rsidRPr="00563DAB">
        <w:rPr>
          <w:rFonts w:ascii="Arial" w:hAnsi="Arial" w:cs="Arial"/>
          <w:szCs w:val="24"/>
        </w:rPr>
        <w:t>Por ende,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14"/>
      </w:r>
      <w:r w:rsidRPr="00563DAB">
        <w:rPr>
          <w:rFonts w:ascii="Arial" w:hAnsi="Arial" w:cs="Arial"/>
          <w:szCs w:val="24"/>
        </w:rPr>
        <w:t>.</w:t>
      </w:r>
    </w:p>
    <w:p w:rsidR="008A49EF" w:rsidRPr="007853A9" w:rsidRDefault="008A49EF" w:rsidP="008A49EF">
      <w:pPr>
        <w:pStyle w:val="Textoindependiente"/>
        <w:spacing w:line="360" w:lineRule="auto"/>
        <w:rPr>
          <w:rFonts w:ascii="Arial" w:hAnsi="Arial"/>
          <w:sz w:val="28"/>
          <w:szCs w:val="24"/>
        </w:rPr>
      </w:pPr>
    </w:p>
    <w:p w:rsidR="00C54B44" w:rsidRPr="006820CE" w:rsidRDefault="008A49EF" w:rsidP="008A49EF">
      <w:pPr>
        <w:pStyle w:val="Textoindependiente"/>
        <w:spacing w:line="360" w:lineRule="auto"/>
        <w:rPr>
          <w:rFonts w:ascii="Arial" w:hAnsi="Arial" w:cs="Arial"/>
          <w:szCs w:val="24"/>
        </w:rPr>
      </w:pPr>
      <w:r w:rsidRPr="00B87979">
        <w:rPr>
          <w:rFonts w:ascii="Arial" w:hAnsi="Arial" w:cs="Arial"/>
          <w:szCs w:val="24"/>
        </w:rPr>
        <w:t>Precisa la Corte Constitucional</w:t>
      </w:r>
      <w:r w:rsidRPr="00B87979">
        <w:rPr>
          <w:rFonts w:ascii="Arial" w:hAnsi="Arial" w:cs="Arial"/>
          <w:i/>
          <w:szCs w:val="24"/>
          <w:vertAlign w:val="superscript"/>
        </w:rPr>
        <w:footnoteReference w:id="15"/>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16"/>
      </w:r>
      <w:r>
        <w:rPr>
          <w:rFonts w:ascii="Arial" w:hAnsi="Arial" w:cs="Arial"/>
          <w:szCs w:val="24"/>
          <w:vertAlign w:val="superscript"/>
        </w:rPr>
        <w:t>-</w:t>
      </w:r>
      <w:r>
        <w:rPr>
          <w:rStyle w:val="Refdenotaalpie"/>
          <w:rFonts w:ascii="Arial" w:hAnsi="Arial"/>
          <w:szCs w:val="24"/>
        </w:rPr>
        <w:footnoteReference w:id="17"/>
      </w:r>
      <w:r>
        <w:rPr>
          <w:rFonts w:ascii="Arial" w:hAnsi="Arial" w:cs="Arial"/>
          <w:szCs w:val="24"/>
        </w:rPr>
        <w:t>, de manera reciente (2014</w:t>
      </w:r>
      <w:r w:rsidRPr="00563DAB">
        <w:rPr>
          <w:rFonts w:ascii="Arial" w:hAnsi="Arial" w:cs="Arial"/>
          <w:szCs w:val="24"/>
        </w:rPr>
        <w:t>).</w:t>
      </w:r>
    </w:p>
    <w:p w:rsidR="00A75B1E" w:rsidRDefault="00A75B1E" w:rsidP="00C54B44">
      <w:pPr>
        <w:pStyle w:val="Textoindependiente"/>
        <w:spacing w:line="360" w:lineRule="auto"/>
        <w:rPr>
          <w:rFonts w:ascii="Arial" w:hAnsi="Arial"/>
          <w:szCs w:val="24"/>
        </w:rPr>
      </w:pPr>
    </w:p>
    <w:p w:rsidR="005E4702" w:rsidRDefault="005E4702" w:rsidP="00EF4C81">
      <w:pPr>
        <w:pStyle w:val="Textoindependiente"/>
        <w:numPr>
          <w:ilvl w:val="2"/>
          <w:numId w:val="26"/>
        </w:numPr>
        <w:spacing w:line="360" w:lineRule="auto"/>
        <w:rPr>
          <w:rFonts w:ascii="Arial" w:hAnsi="Arial" w:cs="Arial"/>
          <w:szCs w:val="24"/>
        </w:rPr>
      </w:pPr>
      <w:r>
        <w:rPr>
          <w:rFonts w:ascii="Arial" w:hAnsi="Arial" w:cs="Arial"/>
          <w:szCs w:val="24"/>
        </w:rPr>
        <w:t>El debido proceso administrativo</w:t>
      </w:r>
    </w:p>
    <w:p w:rsidR="005E4702" w:rsidRDefault="005E4702" w:rsidP="005E4702">
      <w:pPr>
        <w:spacing w:before="100" w:beforeAutospacing="1" w:after="100" w:afterAutospacing="1" w:line="360" w:lineRule="auto"/>
        <w:jc w:val="both"/>
        <w:rPr>
          <w:rFonts w:ascii="Arial" w:hAnsi="Arial" w:cs="Arial"/>
        </w:rPr>
      </w:pPr>
      <w:r w:rsidRPr="00F97738">
        <w:rPr>
          <w:rFonts w:ascii="Arial" w:hAnsi="Arial" w:cs="Arial"/>
        </w:rPr>
        <w:t xml:space="preserve">Para la Corte Constitucional </w:t>
      </w:r>
      <w:r>
        <w:rPr>
          <w:rFonts w:ascii="Arial" w:hAnsi="Arial" w:cs="Arial"/>
        </w:rPr>
        <w:t>en</w:t>
      </w:r>
      <w:r w:rsidRPr="00F97738">
        <w:rPr>
          <w:rFonts w:ascii="Arial" w:hAnsi="Arial" w:cs="Arial"/>
        </w:rPr>
        <w:t xml:space="preserve"> el concepto de debido proceso</w:t>
      </w:r>
      <w:r>
        <w:rPr>
          <w:rFonts w:ascii="Arial" w:hAnsi="Arial" w:cs="Arial"/>
        </w:rPr>
        <w:t xml:space="preserve"> se encierran como garantías constitucionales que revisten la actividad de la administración los derechos de defensa, contradicción, publicidad entre otros, los cuales se amplían a todos los administrados a quienes obligue la misma mediante sus disposiciones. </w:t>
      </w:r>
    </w:p>
    <w:p w:rsidR="005E4702" w:rsidRPr="006B470D" w:rsidRDefault="005E4702" w:rsidP="005E4702">
      <w:pPr>
        <w:spacing w:before="100" w:beforeAutospacing="1" w:after="100" w:afterAutospacing="1" w:line="360" w:lineRule="auto"/>
        <w:jc w:val="both"/>
        <w:rPr>
          <w:rFonts w:ascii="Arial" w:hAnsi="Arial" w:cs="Arial"/>
        </w:rPr>
      </w:pPr>
      <w:r>
        <w:rPr>
          <w:rFonts w:ascii="Arial" w:hAnsi="Arial" w:cs="Arial"/>
        </w:rPr>
        <w:t xml:space="preserve">Así las cosas, </w:t>
      </w:r>
      <w:r w:rsidR="00A4781C">
        <w:rPr>
          <w:rFonts w:ascii="Arial" w:hAnsi="Arial" w:cs="Arial"/>
        </w:rPr>
        <w:t xml:space="preserve">con el fin de garantizar tales derechos, se hace necesario </w:t>
      </w:r>
      <w:r>
        <w:rPr>
          <w:rFonts w:ascii="Arial" w:hAnsi="Arial" w:cs="Arial"/>
        </w:rPr>
        <w:t>el conocimiento de las decisiones con el fin de que las partes tengan ocasión de ejercer su defensa y en especial la contradicción mediante la interposición de recursos. Así lo explica la Corte</w:t>
      </w:r>
      <w:r>
        <w:rPr>
          <w:rStyle w:val="Refdenotaalpie"/>
          <w:rFonts w:ascii="Arial" w:eastAsiaTheme="majorEastAsia" w:hAnsi="Arial"/>
        </w:rPr>
        <w:footnoteReference w:id="18"/>
      </w:r>
      <w:r>
        <w:rPr>
          <w:rFonts w:ascii="Arial" w:hAnsi="Arial" w:cs="Arial"/>
        </w:rPr>
        <w:t xml:space="preserve">: </w:t>
      </w:r>
    </w:p>
    <w:p w:rsidR="005E4702" w:rsidRPr="004E5306" w:rsidRDefault="005E4702" w:rsidP="00A4781C">
      <w:pPr>
        <w:spacing w:before="100" w:beforeAutospacing="1" w:after="100" w:afterAutospacing="1"/>
        <w:ind w:left="567" w:right="567"/>
        <w:jc w:val="both"/>
        <w:rPr>
          <w:rFonts w:ascii="Arial" w:hAnsi="Arial" w:cs="Arial"/>
        </w:rPr>
      </w:pPr>
      <w:r w:rsidRPr="004E5306">
        <w:rPr>
          <w:rFonts w:ascii="Arial" w:hAnsi="Arial" w:cs="Arial"/>
        </w:rPr>
        <w:t xml:space="preserve">En la sentencia T- 982 de 2004, la Corte explicó que la existencia del derecho al debido proceso administrativo, como mecanismo de protección de los administrados, se concreta en dos garantías mínimas, a saber: (i) en la obligación de las autoridades de informar al interesado acerca de cualquier medida que lo pueda afectar; y (ii) en que la adopción de dichas decisiones, en todo caso, </w:t>
      </w:r>
      <w:r w:rsidRPr="008E6592">
        <w:rPr>
          <w:rFonts w:ascii="Arial" w:hAnsi="Arial" w:cs="Arial"/>
          <w:u w:val="single"/>
        </w:rPr>
        <w:t>se sometan por lo menos a un proceso sumario que asegure la vigencia de los derechos constitucionales de contradicción e impugnación</w:t>
      </w:r>
      <w:r w:rsidRPr="004E5306">
        <w:rPr>
          <w:rFonts w:ascii="Arial" w:hAnsi="Arial" w:cs="Arial"/>
        </w:rPr>
        <w:t xml:space="preserve">. </w:t>
      </w:r>
    </w:p>
    <w:p w:rsidR="005E4702" w:rsidRPr="004E5306" w:rsidRDefault="005E4702" w:rsidP="00B31F00">
      <w:pPr>
        <w:spacing w:before="100" w:beforeAutospacing="1" w:after="100" w:afterAutospacing="1"/>
        <w:ind w:left="567" w:right="567"/>
        <w:jc w:val="both"/>
        <w:rPr>
          <w:rFonts w:ascii="Arial" w:hAnsi="Arial" w:cs="Arial"/>
        </w:rPr>
      </w:pPr>
      <w:r w:rsidRPr="004E5306">
        <w:rPr>
          <w:rFonts w:ascii="Arial" w:hAnsi="Arial" w:cs="Arial"/>
        </w:rPr>
        <w:t>También ha dicho esta Corporación</w:t>
      </w:r>
      <w:r w:rsidRPr="004E5306">
        <w:rPr>
          <w:rStyle w:val="Refdenotaalpie"/>
          <w:rFonts w:ascii="Arial" w:eastAsiaTheme="majorEastAsia" w:hAnsi="Arial" w:cs="Arial"/>
        </w:rPr>
        <w:footnoteReference w:id="19"/>
      </w:r>
      <w:r w:rsidRPr="004E5306">
        <w:rPr>
          <w:rFonts w:ascii="Arial" w:hAnsi="Arial" w:cs="Arial"/>
        </w:rPr>
        <w:t xml:space="preserve">, </w:t>
      </w:r>
      <w:r w:rsidRPr="008E6592">
        <w:rPr>
          <w:rFonts w:ascii="Arial" w:hAnsi="Arial" w:cs="Arial"/>
          <w:u w:val="single"/>
        </w:rPr>
        <w:t>que el debido proceso administrativo comprende las garantías necesarias para sujetar a reglas mínimas sustantivas y procedimentales</w:t>
      </w:r>
      <w:r w:rsidRPr="004E5306">
        <w:rPr>
          <w:rFonts w:ascii="Arial" w:hAnsi="Arial" w:cs="Arial"/>
        </w:rPr>
        <w:t xml:space="preserve">, el desarrollo de las actuaciones adelantadas por las autoridades judiciales o administrativas, con el fin de proteger los derechos e intereses de las personas vinculadas, pues es claro que el debido proceso constituye un límite material al posible ejercicio abusivo de las autoridades estatales. Así mismo, es desarrollo del principio de legalidad, según el cual toda competencia ejercida por las autoridades públicas debe estar previamente señalada en la ley, como también las funciones que les corresponden y el trámite a seguir antes de la adopción de determinadas decisiones. Igualmente, </w:t>
      </w:r>
      <w:r w:rsidRPr="000D34E6">
        <w:rPr>
          <w:rFonts w:ascii="Arial" w:hAnsi="Arial" w:cs="Arial"/>
          <w:u w:val="single"/>
        </w:rPr>
        <w:t>el principio de legalidad impone a las autoridades el deber de comunicar adecuadamente sus actos y el de dar trámite a los recursos administrativos previstos en el ordenamiento jurídico</w:t>
      </w:r>
      <w:r w:rsidRPr="004E5306">
        <w:rPr>
          <w:rFonts w:ascii="Arial" w:hAnsi="Arial" w:cs="Arial"/>
        </w:rPr>
        <w:t>.</w:t>
      </w:r>
      <w:r>
        <w:rPr>
          <w:rFonts w:ascii="Arial" w:hAnsi="Arial" w:cs="Arial"/>
        </w:rPr>
        <w:t xml:space="preserve"> Subrayado puesto a propósito.</w:t>
      </w:r>
    </w:p>
    <w:p w:rsidR="00A4781C" w:rsidRDefault="00A4781C" w:rsidP="00B31F00">
      <w:pPr>
        <w:pStyle w:val="Textoindependiente"/>
        <w:spacing w:line="240" w:lineRule="auto"/>
        <w:rPr>
          <w:rFonts w:ascii="Arial" w:hAnsi="Arial"/>
          <w:szCs w:val="24"/>
        </w:rPr>
      </w:pPr>
    </w:p>
    <w:p w:rsidR="00EF4C81" w:rsidRDefault="00EF4C81" w:rsidP="00B31F00">
      <w:pPr>
        <w:pStyle w:val="Textoindependiente"/>
        <w:spacing w:line="240" w:lineRule="auto"/>
        <w:rPr>
          <w:rFonts w:ascii="Arial" w:hAnsi="Arial"/>
          <w:szCs w:val="24"/>
        </w:rPr>
      </w:pPr>
    </w:p>
    <w:p w:rsidR="00C54B44" w:rsidRPr="00BE78D1" w:rsidRDefault="008A49EF" w:rsidP="00C54B44">
      <w:pPr>
        <w:spacing w:line="360" w:lineRule="auto"/>
        <w:ind w:right="51"/>
        <w:jc w:val="both"/>
        <w:rPr>
          <w:rFonts w:ascii="Arial" w:hAnsi="Arial"/>
          <w:lang w:val="es-ES_tradnl"/>
        </w:rPr>
      </w:pPr>
      <w:r>
        <w:rPr>
          <w:rFonts w:ascii="Arial" w:hAnsi="Arial"/>
        </w:rPr>
        <w:t>8.</w:t>
      </w:r>
      <w:r>
        <w:rPr>
          <w:rFonts w:ascii="Arial" w:hAnsi="Arial"/>
        </w:rPr>
        <w:tab/>
      </w:r>
      <w:r w:rsidRPr="00BE78D1">
        <w:rPr>
          <w:rFonts w:ascii="Arial" w:hAnsi="Arial"/>
          <w:lang w:val="es-ES_tradnl"/>
        </w:rPr>
        <w:t>EL ANÁLISIS DEL CASO EN CONCRETO</w:t>
      </w:r>
    </w:p>
    <w:p w:rsidR="00C73B37" w:rsidRDefault="00C73B37" w:rsidP="00C54B44">
      <w:pPr>
        <w:pStyle w:val="Textoindependiente"/>
        <w:tabs>
          <w:tab w:val="clear" w:pos="708"/>
          <w:tab w:val="clear" w:pos="1416"/>
          <w:tab w:val="left" w:pos="709"/>
          <w:tab w:val="left" w:pos="1418"/>
        </w:tabs>
        <w:spacing w:line="240" w:lineRule="auto"/>
        <w:rPr>
          <w:rFonts w:ascii="Arial" w:hAnsi="Arial"/>
          <w:szCs w:val="24"/>
        </w:rPr>
      </w:pPr>
    </w:p>
    <w:p w:rsidR="00EF4C81" w:rsidRPr="00104962" w:rsidRDefault="00EF4C81" w:rsidP="00EF4C81">
      <w:pPr>
        <w:shd w:val="clear" w:color="auto" w:fill="FFFFFF"/>
        <w:spacing w:line="360" w:lineRule="auto"/>
        <w:jc w:val="both"/>
        <w:rPr>
          <w:rFonts w:ascii="Arial" w:hAnsi="Arial" w:cs="Arial"/>
          <w:color w:val="000000"/>
          <w:lang w:eastAsia="es-CO"/>
        </w:rPr>
      </w:pPr>
      <w:r w:rsidRPr="00104962">
        <w:rPr>
          <w:rFonts w:ascii="Arial" w:hAnsi="Arial" w:cs="Arial"/>
          <w:color w:val="000000"/>
          <w:spacing w:val="-4"/>
          <w:shd w:val="clear" w:color="auto" w:fill="FFFFFF"/>
        </w:rPr>
        <w:t xml:space="preserve">Se tiene que </w:t>
      </w:r>
      <w:r>
        <w:rPr>
          <w:rFonts w:ascii="Arial" w:hAnsi="Arial" w:cs="Arial"/>
          <w:color w:val="000000"/>
          <w:spacing w:val="-4"/>
          <w:shd w:val="clear" w:color="auto" w:fill="FFFFFF"/>
        </w:rPr>
        <w:t xml:space="preserve">el </w:t>
      </w:r>
      <w:r w:rsidRPr="00104962">
        <w:rPr>
          <w:rFonts w:ascii="Arial" w:hAnsi="Arial" w:cs="Arial"/>
          <w:color w:val="000000"/>
          <w:spacing w:val="-4"/>
          <w:shd w:val="clear" w:color="auto" w:fill="FFFFFF"/>
        </w:rPr>
        <w:t>actor</w:t>
      </w:r>
      <w:r>
        <w:rPr>
          <w:rFonts w:ascii="Arial" w:hAnsi="Arial" w:cs="Arial"/>
          <w:color w:val="000000"/>
          <w:spacing w:val="-4"/>
          <w:shd w:val="clear" w:color="auto" w:fill="FFFFFF"/>
        </w:rPr>
        <w:t xml:space="preserve"> </w:t>
      </w:r>
      <w:r w:rsidRPr="00104962">
        <w:rPr>
          <w:rFonts w:ascii="Arial" w:hAnsi="Arial" w:cs="Arial"/>
          <w:color w:val="000000"/>
          <w:spacing w:val="-4"/>
          <w:shd w:val="clear" w:color="auto" w:fill="FFFFFF"/>
        </w:rPr>
        <w:t>present</w:t>
      </w:r>
      <w:r>
        <w:rPr>
          <w:rFonts w:ascii="Arial" w:hAnsi="Arial" w:cs="Arial"/>
          <w:color w:val="000000"/>
          <w:spacing w:val="-4"/>
          <w:shd w:val="clear" w:color="auto" w:fill="FFFFFF"/>
        </w:rPr>
        <w:t xml:space="preserve">ó dos peticiones ante las accionadas </w:t>
      </w:r>
      <w:r w:rsidRPr="00104962">
        <w:rPr>
          <w:rFonts w:ascii="Arial" w:hAnsi="Arial" w:cs="Arial"/>
          <w:color w:val="000000"/>
          <w:spacing w:val="-4"/>
          <w:shd w:val="clear" w:color="auto" w:fill="FFFFFF"/>
        </w:rPr>
        <w:t xml:space="preserve">el </w:t>
      </w:r>
      <w:r>
        <w:rPr>
          <w:rFonts w:ascii="Arial" w:hAnsi="Arial" w:cs="Arial"/>
          <w:color w:val="000000"/>
          <w:spacing w:val="-4"/>
          <w:shd w:val="clear" w:color="auto" w:fill="FFFFFF"/>
        </w:rPr>
        <w:t xml:space="preserve">11-12-2014 </w:t>
      </w:r>
      <w:r w:rsidRPr="00104962">
        <w:rPr>
          <w:rFonts w:ascii="Arial" w:hAnsi="Arial" w:cs="Arial"/>
          <w:color w:val="000000"/>
          <w:spacing w:val="-4"/>
          <w:shd w:val="clear" w:color="auto" w:fill="FFFFFF"/>
        </w:rPr>
        <w:t>(Folio</w:t>
      </w:r>
      <w:r>
        <w:rPr>
          <w:rFonts w:ascii="Arial" w:hAnsi="Arial" w:cs="Arial"/>
          <w:color w:val="000000"/>
          <w:spacing w:val="-4"/>
          <w:shd w:val="clear" w:color="auto" w:fill="FFFFFF"/>
        </w:rPr>
        <w:t>s 9 a 13 y 17 a 20,</w:t>
      </w:r>
      <w:r w:rsidRPr="00104962">
        <w:rPr>
          <w:rFonts w:ascii="Arial" w:hAnsi="Arial" w:cs="Arial"/>
          <w:color w:val="000000"/>
          <w:spacing w:val="-4"/>
          <w:shd w:val="clear" w:color="auto" w:fill="FFFFFF"/>
        </w:rPr>
        <w:t xml:space="preserve"> ib.), </w:t>
      </w:r>
      <w:r w:rsidR="006C43D7">
        <w:rPr>
          <w:rFonts w:ascii="Arial" w:hAnsi="Arial" w:cs="Arial"/>
          <w:color w:val="000000"/>
          <w:spacing w:val="-4"/>
          <w:shd w:val="clear" w:color="auto" w:fill="FFFFFF"/>
        </w:rPr>
        <w:t>reiterada</w:t>
      </w:r>
      <w:r w:rsidR="00801AB1">
        <w:rPr>
          <w:rFonts w:ascii="Arial" w:hAnsi="Arial" w:cs="Arial"/>
          <w:color w:val="000000"/>
          <w:spacing w:val="-4"/>
          <w:shd w:val="clear" w:color="auto" w:fill="FFFFFF"/>
        </w:rPr>
        <w:t>s</w:t>
      </w:r>
      <w:r>
        <w:rPr>
          <w:rFonts w:ascii="Arial" w:hAnsi="Arial" w:cs="Arial"/>
          <w:color w:val="000000"/>
          <w:spacing w:val="-4"/>
          <w:shd w:val="clear" w:color="auto" w:fill="FFFFFF"/>
        </w:rPr>
        <w:t xml:space="preserve"> con </w:t>
      </w:r>
      <w:r w:rsidR="006C43D7">
        <w:rPr>
          <w:rFonts w:ascii="Arial" w:hAnsi="Arial" w:cs="Arial"/>
          <w:color w:val="000000"/>
          <w:spacing w:val="-4"/>
          <w:shd w:val="clear" w:color="auto" w:fill="FFFFFF"/>
        </w:rPr>
        <w:t>escrito</w:t>
      </w:r>
      <w:r>
        <w:rPr>
          <w:rFonts w:ascii="Arial" w:hAnsi="Arial" w:cs="Arial"/>
          <w:color w:val="000000"/>
          <w:spacing w:val="-4"/>
          <w:shd w:val="clear" w:color="auto" w:fill="FFFFFF"/>
        </w:rPr>
        <w:t xml:space="preserve"> del 05-08-2015 (Folios 15 a 16</w:t>
      </w:r>
      <w:r w:rsidR="006C43D7">
        <w:rPr>
          <w:rFonts w:ascii="Arial" w:hAnsi="Arial" w:cs="Arial"/>
          <w:color w:val="000000"/>
          <w:spacing w:val="-4"/>
          <w:shd w:val="clear" w:color="auto" w:fill="FFFFFF"/>
        </w:rPr>
        <w:t xml:space="preserve">, ib.), con </w:t>
      </w:r>
      <w:r w:rsidR="009856A1">
        <w:rPr>
          <w:rFonts w:ascii="Arial" w:hAnsi="Arial" w:cs="Arial"/>
          <w:color w:val="000000"/>
          <w:spacing w:val="-4"/>
          <w:shd w:val="clear" w:color="auto" w:fill="FFFFFF"/>
        </w:rPr>
        <w:t>las</w:t>
      </w:r>
      <w:r w:rsidR="006C43D7">
        <w:rPr>
          <w:rFonts w:ascii="Arial" w:hAnsi="Arial" w:cs="Arial"/>
          <w:color w:val="000000"/>
          <w:spacing w:val="-4"/>
          <w:shd w:val="clear" w:color="auto" w:fill="FFFFFF"/>
        </w:rPr>
        <w:t xml:space="preserve"> que solicitó (i) El reajuste </w:t>
      </w:r>
      <w:r w:rsidR="002556C4">
        <w:rPr>
          <w:rFonts w:ascii="Arial" w:hAnsi="Arial" w:cs="Arial"/>
          <w:color w:val="000000"/>
          <w:spacing w:val="-4"/>
          <w:shd w:val="clear" w:color="auto" w:fill="FFFFFF"/>
        </w:rPr>
        <w:t xml:space="preserve">del salario </w:t>
      </w:r>
      <w:r w:rsidR="006C43D7">
        <w:rPr>
          <w:rFonts w:ascii="Arial" w:hAnsi="Arial" w:cs="Arial"/>
          <w:color w:val="000000"/>
          <w:spacing w:val="-4"/>
          <w:shd w:val="clear" w:color="auto" w:fill="FFFFFF"/>
        </w:rPr>
        <w:t xml:space="preserve">y </w:t>
      </w:r>
      <w:r w:rsidR="004101B1">
        <w:rPr>
          <w:rFonts w:ascii="Arial" w:hAnsi="Arial" w:cs="Arial"/>
          <w:color w:val="000000"/>
          <w:spacing w:val="-4"/>
          <w:shd w:val="clear" w:color="auto" w:fill="FFFFFF"/>
        </w:rPr>
        <w:t xml:space="preserve">el reconocimiento </w:t>
      </w:r>
      <w:r w:rsidR="006C43D7">
        <w:rPr>
          <w:rFonts w:ascii="Arial" w:hAnsi="Arial" w:cs="Arial"/>
          <w:color w:val="000000"/>
          <w:spacing w:val="-4"/>
          <w:shd w:val="clear" w:color="auto" w:fill="FFFFFF"/>
        </w:rPr>
        <w:t>y pago de la pensión de invalidez; y, (ii) El reajuste de la asignación de retiro</w:t>
      </w:r>
      <w:r w:rsidRPr="00104962">
        <w:rPr>
          <w:rFonts w:ascii="Arial" w:hAnsi="Arial" w:cs="Arial"/>
          <w:color w:val="000000"/>
          <w:spacing w:val="-4"/>
          <w:shd w:val="clear" w:color="auto" w:fill="FFFFFF"/>
        </w:rPr>
        <w:t xml:space="preserve">. </w:t>
      </w:r>
    </w:p>
    <w:p w:rsidR="00EF4C81" w:rsidRDefault="00EF4C81" w:rsidP="00C54B44">
      <w:pPr>
        <w:pStyle w:val="Textoindependiente"/>
        <w:tabs>
          <w:tab w:val="clear" w:pos="708"/>
          <w:tab w:val="clear" w:pos="1416"/>
          <w:tab w:val="left" w:pos="709"/>
          <w:tab w:val="left" w:pos="1418"/>
        </w:tabs>
        <w:spacing w:line="360" w:lineRule="auto"/>
        <w:rPr>
          <w:rFonts w:ascii="Arial" w:hAnsi="Arial"/>
          <w:szCs w:val="24"/>
        </w:rPr>
      </w:pPr>
    </w:p>
    <w:p w:rsidR="00355323" w:rsidRPr="00355323" w:rsidRDefault="00B31F00" w:rsidP="00C54B44">
      <w:pPr>
        <w:pStyle w:val="Textoindependiente"/>
        <w:numPr>
          <w:ilvl w:val="1"/>
          <w:numId w:val="27"/>
        </w:numPr>
        <w:tabs>
          <w:tab w:val="clear" w:pos="708"/>
          <w:tab w:val="clear" w:pos="1416"/>
          <w:tab w:val="left" w:pos="709"/>
          <w:tab w:val="left" w:pos="1418"/>
        </w:tabs>
        <w:spacing w:line="360" w:lineRule="auto"/>
        <w:rPr>
          <w:rFonts w:ascii="Arial" w:hAnsi="Arial" w:cs="Arial"/>
          <w:szCs w:val="24"/>
        </w:rPr>
      </w:pPr>
      <w:r>
        <w:rPr>
          <w:rFonts w:ascii="Arial" w:hAnsi="Arial"/>
          <w:szCs w:val="24"/>
          <w:lang w:val="es-CO"/>
        </w:rPr>
        <w:t xml:space="preserve">La petición frente al Grupo de Prestaciones Sociales del Ministerio de Defensa Nacional </w:t>
      </w:r>
    </w:p>
    <w:p w:rsidR="00355323" w:rsidRDefault="00355323" w:rsidP="00C54B44">
      <w:pPr>
        <w:pStyle w:val="Textoindependiente"/>
        <w:tabs>
          <w:tab w:val="clear" w:pos="708"/>
          <w:tab w:val="clear" w:pos="1416"/>
          <w:tab w:val="left" w:pos="709"/>
          <w:tab w:val="left" w:pos="1418"/>
        </w:tabs>
        <w:spacing w:line="360" w:lineRule="auto"/>
        <w:rPr>
          <w:rFonts w:ascii="Arial" w:hAnsi="Arial"/>
          <w:szCs w:val="24"/>
        </w:rPr>
      </w:pPr>
    </w:p>
    <w:p w:rsidR="006C43D7" w:rsidRDefault="00BD6F77" w:rsidP="006C43D7">
      <w:pPr>
        <w:pStyle w:val="Textoindependiente"/>
        <w:spacing w:line="360" w:lineRule="auto"/>
        <w:rPr>
          <w:rFonts w:ascii="Arial" w:hAnsi="Arial" w:cs="Arial"/>
          <w:szCs w:val="24"/>
        </w:rPr>
      </w:pPr>
      <w:r>
        <w:rPr>
          <w:rFonts w:ascii="Arial" w:hAnsi="Arial"/>
          <w:szCs w:val="24"/>
        </w:rPr>
        <w:t xml:space="preserve">Respecto </w:t>
      </w:r>
      <w:r w:rsidR="00F01F36">
        <w:rPr>
          <w:rFonts w:ascii="Arial" w:hAnsi="Arial"/>
          <w:szCs w:val="24"/>
        </w:rPr>
        <w:t xml:space="preserve">de la primera solicitud, conforme al acervo probatorio, encuentra la Sala que </w:t>
      </w:r>
      <w:r>
        <w:rPr>
          <w:rFonts w:ascii="Arial" w:hAnsi="Arial"/>
          <w:szCs w:val="24"/>
        </w:rPr>
        <w:t xml:space="preserve">la Caja de Retiro </w:t>
      </w:r>
      <w:r w:rsidR="00F01F36">
        <w:rPr>
          <w:rFonts w:ascii="Arial" w:hAnsi="Arial"/>
          <w:szCs w:val="24"/>
        </w:rPr>
        <w:t xml:space="preserve">de la Fuerzas Militares, luego de recibirla por traslado que le hiciera el Grupo de Prestaciones Sociales del Ministerio de Defensa Nacional con </w:t>
      </w:r>
      <w:r w:rsidR="002556C4">
        <w:rPr>
          <w:rFonts w:ascii="Arial" w:hAnsi="Arial"/>
          <w:szCs w:val="24"/>
        </w:rPr>
        <w:t xml:space="preserve">el </w:t>
      </w:r>
      <w:r w:rsidR="00F01F36">
        <w:rPr>
          <w:rFonts w:ascii="Arial" w:hAnsi="Arial"/>
          <w:szCs w:val="24"/>
        </w:rPr>
        <w:t xml:space="preserve">oficio 1680622 del 26-08-2015 (Folio 99, ib.), la </w:t>
      </w:r>
      <w:r>
        <w:rPr>
          <w:rFonts w:ascii="Arial" w:hAnsi="Arial"/>
          <w:szCs w:val="24"/>
        </w:rPr>
        <w:t xml:space="preserve">devolvió </w:t>
      </w:r>
      <w:r w:rsidR="00F01F36">
        <w:rPr>
          <w:rFonts w:ascii="Arial" w:hAnsi="Arial"/>
          <w:szCs w:val="24"/>
        </w:rPr>
        <w:t xml:space="preserve">el día 11-09-2015 con </w:t>
      </w:r>
      <w:r w:rsidR="002556C4">
        <w:rPr>
          <w:rFonts w:ascii="Arial" w:hAnsi="Arial"/>
          <w:szCs w:val="24"/>
        </w:rPr>
        <w:t xml:space="preserve">el </w:t>
      </w:r>
      <w:r w:rsidR="00F01F36">
        <w:rPr>
          <w:rFonts w:ascii="Arial" w:hAnsi="Arial"/>
          <w:szCs w:val="24"/>
        </w:rPr>
        <w:t>oficio 878746</w:t>
      </w:r>
      <w:r w:rsidR="0039356C">
        <w:rPr>
          <w:rFonts w:ascii="Arial" w:hAnsi="Arial"/>
          <w:szCs w:val="24"/>
        </w:rPr>
        <w:t xml:space="preserve"> (Folio 103, ib.)</w:t>
      </w:r>
      <w:r w:rsidR="009265E7">
        <w:rPr>
          <w:rFonts w:ascii="Arial" w:hAnsi="Arial"/>
          <w:szCs w:val="24"/>
        </w:rPr>
        <w:t>,</w:t>
      </w:r>
      <w:r w:rsidR="00F01F36">
        <w:rPr>
          <w:rFonts w:ascii="Arial" w:hAnsi="Arial"/>
          <w:szCs w:val="24"/>
        </w:rPr>
        <w:t xml:space="preserve"> por considerar que no es de su competencia atender solicitudes relacionadas con el reconocimiento y pago de una pensión de invalidez</w:t>
      </w:r>
      <w:r w:rsidR="009265E7">
        <w:rPr>
          <w:rFonts w:ascii="Arial" w:hAnsi="Arial"/>
          <w:szCs w:val="24"/>
        </w:rPr>
        <w:t>.</w:t>
      </w:r>
    </w:p>
    <w:p w:rsidR="006C43D7" w:rsidRDefault="006C43D7" w:rsidP="00C54B44">
      <w:pPr>
        <w:pStyle w:val="Textoindependiente"/>
        <w:tabs>
          <w:tab w:val="clear" w:pos="708"/>
          <w:tab w:val="clear" w:pos="1416"/>
          <w:tab w:val="left" w:pos="709"/>
          <w:tab w:val="left" w:pos="1418"/>
        </w:tabs>
        <w:spacing w:line="360" w:lineRule="auto"/>
        <w:rPr>
          <w:rFonts w:ascii="Arial" w:hAnsi="Arial"/>
          <w:szCs w:val="24"/>
        </w:rPr>
      </w:pPr>
    </w:p>
    <w:p w:rsidR="00806B45" w:rsidRPr="00186CD4" w:rsidRDefault="007658BB" w:rsidP="00C54B44">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 xml:space="preserve">El Grupo de Prestaciones Sociales accionado reconoció en la contestación </w:t>
      </w:r>
      <w:r w:rsidR="004101B1">
        <w:rPr>
          <w:rFonts w:ascii="Arial" w:hAnsi="Arial"/>
          <w:szCs w:val="24"/>
        </w:rPr>
        <w:t xml:space="preserve">del libelo </w:t>
      </w:r>
      <w:r>
        <w:rPr>
          <w:rFonts w:ascii="Arial" w:hAnsi="Arial"/>
          <w:szCs w:val="24"/>
        </w:rPr>
        <w:t>que no hab</w:t>
      </w:r>
      <w:r w:rsidR="004101B1">
        <w:rPr>
          <w:rFonts w:ascii="Arial" w:hAnsi="Arial"/>
          <w:szCs w:val="24"/>
        </w:rPr>
        <w:t xml:space="preserve">ía dado respuesta </w:t>
      </w:r>
      <w:r>
        <w:rPr>
          <w:rFonts w:ascii="Arial" w:hAnsi="Arial"/>
          <w:szCs w:val="24"/>
        </w:rPr>
        <w:t>al referido derecho de petición</w:t>
      </w:r>
      <w:r w:rsidR="002556C4">
        <w:rPr>
          <w:rFonts w:ascii="Arial" w:hAnsi="Arial"/>
          <w:szCs w:val="24"/>
        </w:rPr>
        <w:t xml:space="preserve"> e intentó hacer</w:t>
      </w:r>
      <w:r w:rsidR="004101B1">
        <w:rPr>
          <w:rFonts w:ascii="Arial" w:hAnsi="Arial"/>
          <w:szCs w:val="24"/>
        </w:rPr>
        <w:t>lo</w:t>
      </w:r>
      <w:r w:rsidR="002556C4">
        <w:rPr>
          <w:rFonts w:ascii="Arial" w:hAnsi="Arial"/>
          <w:szCs w:val="24"/>
        </w:rPr>
        <w:t xml:space="preserve"> </w:t>
      </w:r>
      <w:r>
        <w:rPr>
          <w:rFonts w:ascii="Arial" w:hAnsi="Arial"/>
          <w:szCs w:val="24"/>
        </w:rPr>
        <w:t xml:space="preserve">con el oficio OFI16-15581 del </w:t>
      </w:r>
      <w:r w:rsidR="009265E7">
        <w:rPr>
          <w:rFonts w:ascii="Arial" w:hAnsi="Arial"/>
          <w:szCs w:val="24"/>
        </w:rPr>
        <w:t>07-03-2016 (Folio 92, Ib.),</w:t>
      </w:r>
      <w:r w:rsidR="0039356C">
        <w:rPr>
          <w:rFonts w:ascii="Arial" w:hAnsi="Arial"/>
          <w:szCs w:val="24"/>
        </w:rPr>
        <w:t xml:space="preserve"> del cual se desprende</w:t>
      </w:r>
      <w:r w:rsidR="004101B1">
        <w:rPr>
          <w:rFonts w:ascii="Arial" w:hAnsi="Arial"/>
          <w:szCs w:val="24"/>
        </w:rPr>
        <w:t xml:space="preserve"> que no respondió todos los cuestionamientos formulados por el actor </w:t>
      </w:r>
      <w:r w:rsidR="000F7597">
        <w:rPr>
          <w:rFonts w:ascii="Arial" w:hAnsi="Arial"/>
          <w:szCs w:val="24"/>
        </w:rPr>
        <w:t xml:space="preserve">(Quedó pendiente </w:t>
      </w:r>
      <w:r w:rsidR="0026749A">
        <w:rPr>
          <w:rFonts w:ascii="Arial" w:hAnsi="Arial"/>
          <w:szCs w:val="24"/>
        </w:rPr>
        <w:t xml:space="preserve">de </w:t>
      </w:r>
      <w:r w:rsidR="000F7597">
        <w:rPr>
          <w:rFonts w:ascii="Arial" w:hAnsi="Arial"/>
          <w:szCs w:val="24"/>
        </w:rPr>
        <w:t xml:space="preserve">responder sobre el reajuste de los salarios y prestaciones sociales) </w:t>
      </w:r>
      <w:r w:rsidR="004101B1">
        <w:rPr>
          <w:rFonts w:ascii="Arial" w:hAnsi="Arial"/>
          <w:szCs w:val="24"/>
        </w:rPr>
        <w:t>ni precisó los recursos que proceden contra aquella decis</w:t>
      </w:r>
      <w:r w:rsidR="009856A1">
        <w:rPr>
          <w:rFonts w:ascii="Arial" w:hAnsi="Arial"/>
          <w:szCs w:val="24"/>
        </w:rPr>
        <w:t xml:space="preserve">ión, además, </w:t>
      </w:r>
      <w:r w:rsidR="000F7597">
        <w:rPr>
          <w:rFonts w:ascii="Arial" w:hAnsi="Arial"/>
          <w:szCs w:val="24"/>
        </w:rPr>
        <w:t xml:space="preserve">omitió comunicarlo </w:t>
      </w:r>
      <w:r w:rsidR="004101B1">
        <w:rPr>
          <w:rFonts w:ascii="Arial" w:hAnsi="Arial"/>
          <w:szCs w:val="24"/>
        </w:rPr>
        <w:t xml:space="preserve">adecuadamente, pues, </w:t>
      </w:r>
      <w:r>
        <w:rPr>
          <w:rFonts w:ascii="Arial" w:hAnsi="Arial"/>
          <w:szCs w:val="24"/>
        </w:rPr>
        <w:t xml:space="preserve">según se constató en esta instancia (Folio </w:t>
      </w:r>
      <w:r w:rsidR="002556C4">
        <w:rPr>
          <w:rFonts w:ascii="Arial" w:hAnsi="Arial"/>
          <w:szCs w:val="24"/>
        </w:rPr>
        <w:t>133, ib.)</w:t>
      </w:r>
      <w:r w:rsidR="004101B1">
        <w:rPr>
          <w:rFonts w:ascii="Arial" w:hAnsi="Arial"/>
          <w:szCs w:val="24"/>
        </w:rPr>
        <w:t>, la empresa de correo</w:t>
      </w:r>
      <w:r w:rsidR="000F7597">
        <w:rPr>
          <w:rFonts w:ascii="Arial" w:hAnsi="Arial"/>
          <w:szCs w:val="24"/>
        </w:rPr>
        <w:t>s</w:t>
      </w:r>
      <w:r w:rsidR="004101B1">
        <w:rPr>
          <w:rFonts w:ascii="Arial" w:hAnsi="Arial"/>
          <w:szCs w:val="24"/>
        </w:rPr>
        <w:t xml:space="preserve"> </w:t>
      </w:r>
      <w:r w:rsidR="000F7597">
        <w:rPr>
          <w:rFonts w:ascii="Arial" w:hAnsi="Arial"/>
          <w:szCs w:val="24"/>
        </w:rPr>
        <w:t xml:space="preserve">inadmitió </w:t>
      </w:r>
      <w:r w:rsidR="004101B1">
        <w:rPr>
          <w:rFonts w:ascii="Arial" w:hAnsi="Arial"/>
          <w:szCs w:val="24"/>
        </w:rPr>
        <w:t xml:space="preserve">el envío. </w:t>
      </w:r>
    </w:p>
    <w:p w:rsidR="00806B45" w:rsidRPr="00186CD4" w:rsidRDefault="00806B45" w:rsidP="00C54B44">
      <w:pPr>
        <w:pStyle w:val="Textoindependiente"/>
        <w:tabs>
          <w:tab w:val="clear" w:pos="708"/>
          <w:tab w:val="clear" w:pos="1416"/>
          <w:tab w:val="left" w:pos="709"/>
          <w:tab w:val="left" w:pos="1418"/>
        </w:tabs>
        <w:spacing w:line="360" w:lineRule="auto"/>
        <w:rPr>
          <w:rFonts w:ascii="Arial" w:hAnsi="Arial"/>
          <w:szCs w:val="24"/>
        </w:rPr>
      </w:pPr>
    </w:p>
    <w:p w:rsidR="00A92EF8" w:rsidRPr="00186CD4" w:rsidRDefault="00696969" w:rsidP="00C54B44">
      <w:pPr>
        <w:pStyle w:val="Textoindependiente"/>
        <w:tabs>
          <w:tab w:val="clear" w:pos="708"/>
          <w:tab w:val="clear" w:pos="1416"/>
          <w:tab w:val="left" w:pos="709"/>
          <w:tab w:val="left" w:pos="1418"/>
        </w:tabs>
        <w:spacing w:line="360" w:lineRule="auto"/>
        <w:rPr>
          <w:rFonts w:ascii="Arial" w:hAnsi="Arial"/>
          <w:szCs w:val="24"/>
        </w:rPr>
      </w:pPr>
      <w:r w:rsidRPr="00186CD4">
        <w:rPr>
          <w:rFonts w:ascii="Arial" w:hAnsi="Arial"/>
          <w:szCs w:val="24"/>
        </w:rPr>
        <w:t>Conforme</w:t>
      </w:r>
      <w:r w:rsidR="00806B45" w:rsidRPr="00186CD4">
        <w:rPr>
          <w:rFonts w:ascii="Arial" w:hAnsi="Arial"/>
          <w:szCs w:val="24"/>
        </w:rPr>
        <w:t xml:space="preserve"> </w:t>
      </w:r>
      <w:r w:rsidRPr="00186CD4">
        <w:rPr>
          <w:rFonts w:ascii="Arial" w:hAnsi="Arial"/>
          <w:szCs w:val="24"/>
        </w:rPr>
        <w:t>a</w:t>
      </w:r>
      <w:r w:rsidR="002822CD" w:rsidRPr="00186CD4">
        <w:rPr>
          <w:rFonts w:ascii="Arial" w:hAnsi="Arial"/>
          <w:szCs w:val="24"/>
        </w:rPr>
        <w:t xml:space="preserve"> lo expuesto líneas atrás</w:t>
      </w:r>
      <w:r w:rsidR="00B86C6C" w:rsidRPr="00186CD4">
        <w:rPr>
          <w:rFonts w:ascii="Arial" w:hAnsi="Arial"/>
          <w:szCs w:val="24"/>
        </w:rPr>
        <w:t xml:space="preserve"> y ratificado de manera contundente por la jurisprudencia constitucional</w:t>
      </w:r>
      <w:r w:rsidR="002822CD" w:rsidRPr="00186CD4">
        <w:rPr>
          <w:rFonts w:ascii="Arial" w:hAnsi="Arial"/>
          <w:szCs w:val="24"/>
        </w:rPr>
        <w:t>, la respuesta a un derecho de petici</w:t>
      </w:r>
      <w:r w:rsidR="001B6DFD" w:rsidRPr="00186CD4">
        <w:rPr>
          <w:rFonts w:ascii="Arial" w:hAnsi="Arial"/>
          <w:szCs w:val="24"/>
        </w:rPr>
        <w:t xml:space="preserve">ón, debe cumplir con los requisitos </w:t>
      </w:r>
      <w:r w:rsidR="001A1B5D">
        <w:rPr>
          <w:rFonts w:ascii="Arial" w:hAnsi="Arial"/>
          <w:szCs w:val="24"/>
        </w:rPr>
        <w:t xml:space="preserve">de </w:t>
      </w:r>
      <w:r w:rsidR="001B6DFD" w:rsidRPr="00186CD4">
        <w:rPr>
          <w:rFonts w:ascii="Arial" w:hAnsi="Arial"/>
          <w:szCs w:val="24"/>
        </w:rPr>
        <w:t xml:space="preserve">oportunidad, </w:t>
      </w:r>
      <w:r w:rsidR="00E824E9" w:rsidRPr="00186CD4">
        <w:rPr>
          <w:rFonts w:ascii="Arial" w:hAnsi="Arial"/>
          <w:szCs w:val="24"/>
        </w:rPr>
        <w:t xml:space="preserve">que se dé a conocer al peticionario y </w:t>
      </w:r>
      <w:r w:rsidR="001B6DFD" w:rsidRPr="00186CD4">
        <w:rPr>
          <w:rFonts w:ascii="Arial" w:hAnsi="Arial"/>
          <w:szCs w:val="24"/>
        </w:rPr>
        <w:t xml:space="preserve">que resuelva de fondo, </w:t>
      </w:r>
      <w:r w:rsidR="001A1B5D">
        <w:rPr>
          <w:rFonts w:ascii="Arial" w:hAnsi="Arial"/>
          <w:szCs w:val="24"/>
        </w:rPr>
        <w:t xml:space="preserve">en forma </w:t>
      </w:r>
      <w:r w:rsidR="001B6DFD" w:rsidRPr="00186CD4">
        <w:rPr>
          <w:rFonts w:ascii="Arial" w:hAnsi="Arial"/>
          <w:szCs w:val="24"/>
        </w:rPr>
        <w:t>clara, precisa y congruente</w:t>
      </w:r>
      <w:r w:rsidR="00C73B37" w:rsidRPr="00186CD4">
        <w:rPr>
          <w:rFonts w:ascii="Arial" w:hAnsi="Arial"/>
          <w:szCs w:val="24"/>
        </w:rPr>
        <w:t xml:space="preserve"> </w:t>
      </w:r>
      <w:r w:rsidR="001A1B5D">
        <w:rPr>
          <w:rFonts w:ascii="Arial" w:hAnsi="Arial"/>
          <w:szCs w:val="24"/>
        </w:rPr>
        <w:t xml:space="preserve">con </w:t>
      </w:r>
      <w:r w:rsidR="00C73B37" w:rsidRPr="00186CD4">
        <w:rPr>
          <w:rFonts w:ascii="Arial" w:hAnsi="Arial"/>
          <w:szCs w:val="24"/>
        </w:rPr>
        <w:t>la solicitud</w:t>
      </w:r>
      <w:r w:rsidR="00B86C6C" w:rsidRPr="00186CD4">
        <w:rPr>
          <w:rFonts w:ascii="Arial" w:hAnsi="Arial"/>
          <w:szCs w:val="24"/>
        </w:rPr>
        <w:t xml:space="preserve">; </w:t>
      </w:r>
      <w:r w:rsidR="001A1B5D">
        <w:rPr>
          <w:rFonts w:ascii="Arial" w:hAnsi="Arial"/>
          <w:szCs w:val="24"/>
        </w:rPr>
        <w:t>por contera</w:t>
      </w:r>
      <w:r w:rsidR="00B86C6C" w:rsidRPr="00186CD4">
        <w:rPr>
          <w:rFonts w:ascii="Arial" w:hAnsi="Arial"/>
          <w:szCs w:val="24"/>
        </w:rPr>
        <w:t xml:space="preserve"> advierte la Sala, </w:t>
      </w:r>
      <w:r w:rsidR="001A1B5D">
        <w:rPr>
          <w:rFonts w:ascii="Arial" w:hAnsi="Arial"/>
          <w:szCs w:val="24"/>
        </w:rPr>
        <w:t xml:space="preserve">que </w:t>
      </w:r>
      <w:r w:rsidR="00B86C6C" w:rsidRPr="00186CD4">
        <w:rPr>
          <w:rFonts w:ascii="Arial" w:hAnsi="Arial"/>
          <w:szCs w:val="24"/>
        </w:rPr>
        <w:t xml:space="preserve">tales </w:t>
      </w:r>
      <w:r w:rsidRPr="00186CD4">
        <w:rPr>
          <w:rFonts w:ascii="Arial" w:hAnsi="Arial"/>
          <w:szCs w:val="24"/>
        </w:rPr>
        <w:t>exigencias</w:t>
      </w:r>
      <w:r w:rsidR="001A1B5D">
        <w:rPr>
          <w:rFonts w:ascii="Arial" w:hAnsi="Arial"/>
          <w:szCs w:val="24"/>
        </w:rPr>
        <w:t>,</w:t>
      </w:r>
      <w:r w:rsidR="00B86C6C" w:rsidRPr="00186CD4">
        <w:rPr>
          <w:rFonts w:ascii="Arial" w:hAnsi="Arial"/>
          <w:szCs w:val="24"/>
        </w:rPr>
        <w:t xml:space="preserve"> en modo alguno, le </w:t>
      </w:r>
      <w:r w:rsidR="00E824E9" w:rsidRPr="00186CD4">
        <w:rPr>
          <w:rFonts w:ascii="Arial" w:hAnsi="Arial"/>
          <w:szCs w:val="24"/>
        </w:rPr>
        <w:t>impone</w:t>
      </w:r>
      <w:r w:rsidR="00C73B37" w:rsidRPr="00186CD4">
        <w:rPr>
          <w:rFonts w:ascii="Arial" w:hAnsi="Arial"/>
          <w:szCs w:val="24"/>
        </w:rPr>
        <w:t>n</w:t>
      </w:r>
      <w:r w:rsidR="00E824E9" w:rsidRPr="00186CD4">
        <w:rPr>
          <w:rFonts w:ascii="Arial" w:hAnsi="Arial"/>
          <w:szCs w:val="24"/>
        </w:rPr>
        <w:t xml:space="preserve"> </w:t>
      </w:r>
      <w:r w:rsidR="00B86C6C" w:rsidRPr="00186CD4">
        <w:rPr>
          <w:rFonts w:ascii="Arial" w:hAnsi="Arial"/>
          <w:szCs w:val="24"/>
        </w:rPr>
        <w:t xml:space="preserve">a </w:t>
      </w:r>
      <w:r w:rsidR="00186CD4">
        <w:rPr>
          <w:rFonts w:ascii="Arial" w:hAnsi="Arial"/>
          <w:szCs w:val="24"/>
        </w:rPr>
        <w:t>l</w:t>
      </w:r>
      <w:r w:rsidR="00B86C6C" w:rsidRPr="00186CD4">
        <w:rPr>
          <w:rFonts w:ascii="Arial" w:hAnsi="Arial"/>
          <w:szCs w:val="24"/>
        </w:rPr>
        <w:t>a respuesta</w:t>
      </w:r>
      <w:r w:rsidR="00A92EF8" w:rsidRPr="00186CD4">
        <w:rPr>
          <w:rFonts w:ascii="Arial" w:hAnsi="Arial"/>
          <w:szCs w:val="24"/>
        </w:rPr>
        <w:t>,</w:t>
      </w:r>
      <w:r w:rsidR="00B86C6C" w:rsidRPr="00186CD4">
        <w:rPr>
          <w:rFonts w:ascii="Arial" w:hAnsi="Arial"/>
          <w:szCs w:val="24"/>
        </w:rPr>
        <w:t xml:space="preserve"> un formato o modelo preestablecido que además llene </w:t>
      </w:r>
      <w:r w:rsidR="00C73B37" w:rsidRPr="00186CD4">
        <w:rPr>
          <w:rFonts w:ascii="Arial" w:hAnsi="Arial"/>
          <w:szCs w:val="24"/>
        </w:rPr>
        <w:t xml:space="preserve">o </w:t>
      </w:r>
      <w:r w:rsidRPr="00186CD4">
        <w:rPr>
          <w:rFonts w:ascii="Arial" w:hAnsi="Arial"/>
          <w:szCs w:val="24"/>
        </w:rPr>
        <w:t>cumpla con lo que</w:t>
      </w:r>
      <w:r w:rsidR="00B86C6C" w:rsidRPr="00186CD4">
        <w:rPr>
          <w:rFonts w:ascii="Arial" w:hAnsi="Arial"/>
          <w:szCs w:val="24"/>
        </w:rPr>
        <w:t xml:space="preserve"> pretende el actor</w:t>
      </w:r>
      <w:r w:rsidR="00C73B37" w:rsidRPr="00186CD4">
        <w:rPr>
          <w:rFonts w:ascii="Arial" w:hAnsi="Arial"/>
          <w:szCs w:val="24"/>
        </w:rPr>
        <w:t>,</w:t>
      </w:r>
      <w:r w:rsidR="00B86C6C" w:rsidRPr="00186CD4">
        <w:rPr>
          <w:rFonts w:ascii="Arial" w:hAnsi="Arial"/>
          <w:szCs w:val="24"/>
        </w:rPr>
        <w:t xml:space="preserve"> es decir, que indique de manera expresa qu</w:t>
      </w:r>
      <w:r w:rsidR="001A1B5D">
        <w:rPr>
          <w:rFonts w:ascii="Arial" w:hAnsi="Arial"/>
          <w:szCs w:val="24"/>
        </w:rPr>
        <w:t>é</w:t>
      </w:r>
      <w:r w:rsidR="00B86C6C" w:rsidRPr="00186CD4">
        <w:rPr>
          <w:rFonts w:ascii="Arial" w:hAnsi="Arial"/>
          <w:szCs w:val="24"/>
        </w:rPr>
        <w:t xml:space="preserve"> recursos procedían en su contra. </w:t>
      </w:r>
    </w:p>
    <w:p w:rsidR="00B92F7A" w:rsidRPr="00186CD4" w:rsidRDefault="00B92F7A" w:rsidP="00C54B44">
      <w:pPr>
        <w:pStyle w:val="Textoindependiente"/>
        <w:tabs>
          <w:tab w:val="clear" w:pos="708"/>
          <w:tab w:val="clear" w:pos="1416"/>
          <w:tab w:val="left" w:pos="709"/>
          <w:tab w:val="left" w:pos="1418"/>
        </w:tabs>
        <w:spacing w:line="360" w:lineRule="auto"/>
        <w:rPr>
          <w:rFonts w:ascii="Arial" w:hAnsi="Arial"/>
          <w:szCs w:val="24"/>
        </w:rPr>
      </w:pPr>
    </w:p>
    <w:p w:rsidR="005F683B" w:rsidRDefault="00A4781C" w:rsidP="00C54B44">
      <w:pPr>
        <w:pStyle w:val="Textoindependiente"/>
        <w:tabs>
          <w:tab w:val="clear" w:pos="708"/>
          <w:tab w:val="clear" w:pos="1416"/>
          <w:tab w:val="left" w:pos="709"/>
          <w:tab w:val="left" w:pos="1418"/>
        </w:tabs>
        <w:spacing w:line="360" w:lineRule="auto"/>
        <w:rPr>
          <w:rFonts w:ascii="Arial" w:hAnsi="Arial" w:cs="Arial"/>
        </w:rPr>
      </w:pPr>
      <w:r>
        <w:rPr>
          <w:rFonts w:ascii="Arial" w:hAnsi="Arial"/>
          <w:szCs w:val="24"/>
        </w:rPr>
        <w:t>No obstante</w:t>
      </w:r>
      <w:r w:rsidR="005F683B">
        <w:rPr>
          <w:rFonts w:ascii="Arial" w:hAnsi="Arial"/>
          <w:szCs w:val="24"/>
        </w:rPr>
        <w:t>,</w:t>
      </w:r>
      <w:r>
        <w:rPr>
          <w:rFonts w:ascii="Arial" w:hAnsi="Arial"/>
          <w:szCs w:val="24"/>
        </w:rPr>
        <w:t xml:space="preserve"> en este caso d</w:t>
      </w:r>
      <w:r w:rsidR="00A92EF8" w:rsidRPr="00186CD4">
        <w:rPr>
          <w:rFonts w:ascii="Arial" w:hAnsi="Arial"/>
          <w:szCs w:val="24"/>
        </w:rPr>
        <w:t>ebe observarse que la respuesta al derecho de petición formulado por el acto</w:t>
      </w:r>
      <w:r w:rsidR="00186CD4">
        <w:rPr>
          <w:rFonts w:ascii="Arial" w:hAnsi="Arial"/>
          <w:szCs w:val="24"/>
        </w:rPr>
        <w:t>r</w:t>
      </w:r>
      <w:r w:rsidR="00B92F7A" w:rsidRPr="00186CD4">
        <w:rPr>
          <w:rFonts w:ascii="Arial" w:hAnsi="Arial"/>
          <w:szCs w:val="24"/>
        </w:rPr>
        <w:t>,</w:t>
      </w:r>
      <w:r w:rsidR="00A92EF8" w:rsidRPr="00186CD4">
        <w:rPr>
          <w:rFonts w:ascii="Arial" w:hAnsi="Arial"/>
          <w:szCs w:val="24"/>
        </w:rPr>
        <w:t xml:space="preserve"> </w:t>
      </w:r>
      <w:r w:rsidR="009F6672">
        <w:rPr>
          <w:rFonts w:ascii="Arial" w:hAnsi="Arial"/>
          <w:szCs w:val="24"/>
        </w:rPr>
        <w:t xml:space="preserve">pone fin a </w:t>
      </w:r>
      <w:r>
        <w:rPr>
          <w:rFonts w:ascii="Arial" w:hAnsi="Arial"/>
          <w:szCs w:val="24"/>
        </w:rPr>
        <w:t xml:space="preserve">una </w:t>
      </w:r>
      <w:r w:rsidRPr="00A4781C">
        <w:rPr>
          <w:rFonts w:ascii="Arial" w:hAnsi="Arial"/>
          <w:szCs w:val="24"/>
          <w:u w:val="single"/>
        </w:rPr>
        <w:t xml:space="preserve">actuación </w:t>
      </w:r>
      <w:r w:rsidR="00A92EF8" w:rsidRPr="00186CD4">
        <w:rPr>
          <w:rFonts w:ascii="Arial" w:hAnsi="Arial"/>
          <w:szCs w:val="24"/>
          <w:u w:val="single"/>
        </w:rPr>
        <w:t>administrativa</w:t>
      </w:r>
      <w:r w:rsidR="00A92EF8" w:rsidRPr="00186CD4">
        <w:rPr>
          <w:rFonts w:ascii="Arial" w:hAnsi="Arial"/>
          <w:szCs w:val="24"/>
        </w:rPr>
        <w:t xml:space="preserve"> </w:t>
      </w:r>
      <w:r w:rsidR="005F683B">
        <w:rPr>
          <w:rFonts w:ascii="Arial" w:hAnsi="Arial" w:cs="Arial"/>
        </w:rPr>
        <w:t xml:space="preserve">y en esas condiciones </w:t>
      </w:r>
      <w:r w:rsidR="009F6672">
        <w:rPr>
          <w:rFonts w:ascii="Arial" w:hAnsi="Arial" w:cs="Arial"/>
        </w:rPr>
        <w:t>sí</w:t>
      </w:r>
      <w:r w:rsidR="005F683B">
        <w:rPr>
          <w:rFonts w:ascii="Arial" w:hAnsi="Arial" w:cs="Arial"/>
        </w:rPr>
        <w:t xml:space="preserve"> debe cumplir, con los requisitos que para tal efecto regula el CPACA, esto es</w:t>
      </w:r>
      <w:r w:rsidR="00403E85">
        <w:rPr>
          <w:rFonts w:ascii="Arial" w:hAnsi="Arial" w:cs="Arial"/>
        </w:rPr>
        <w:t>,</w:t>
      </w:r>
      <w:r w:rsidR="005F683B">
        <w:rPr>
          <w:rFonts w:ascii="Arial" w:hAnsi="Arial" w:cs="Arial"/>
        </w:rPr>
        <w:t xml:space="preserve"> que por lo menos le indique de qué manera puede ejercer su derecho de contradicción en contra de ella</w:t>
      </w:r>
      <w:r w:rsidR="00B92F7A" w:rsidRPr="00186CD4">
        <w:rPr>
          <w:rFonts w:ascii="Arial" w:hAnsi="Arial" w:cs="Arial"/>
        </w:rPr>
        <w:t xml:space="preserve">. </w:t>
      </w:r>
      <w:r w:rsidR="001A1B5D">
        <w:rPr>
          <w:rFonts w:ascii="Arial" w:hAnsi="Arial" w:cs="Arial"/>
        </w:rPr>
        <w:t>Así</w:t>
      </w:r>
      <w:r w:rsidR="005F683B">
        <w:rPr>
          <w:rFonts w:ascii="Arial" w:hAnsi="Arial" w:cs="Arial"/>
        </w:rPr>
        <w:t xml:space="preserve"> lo ha dicho el Alto Tribunal Constitucional</w:t>
      </w:r>
      <w:r w:rsidR="005F683B">
        <w:rPr>
          <w:rStyle w:val="Refdenotaalpie"/>
          <w:rFonts w:ascii="Arial" w:hAnsi="Arial"/>
        </w:rPr>
        <w:footnoteReference w:id="20"/>
      </w:r>
      <w:r w:rsidR="005F683B">
        <w:rPr>
          <w:rFonts w:ascii="Arial" w:hAnsi="Arial" w:cs="Arial"/>
        </w:rPr>
        <w:t>:</w:t>
      </w:r>
    </w:p>
    <w:p w:rsidR="009F6672" w:rsidRDefault="009F6672" w:rsidP="00C54B44">
      <w:pPr>
        <w:pStyle w:val="Textoindependiente"/>
        <w:tabs>
          <w:tab w:val="clear" w:pos="708"/>
          <w:tab w:val="clear" w:pos="1416"/>
          <w:tab w:val="left" w:pos="709"/>
          <w:tab w:val="left" w:pos="1418"/>
        </w:tabs>
        <w:spacing w:line="360" w:lineRule="auto"/>
        <w:rPr>
          <w:rFonts w:ascii="Arial" w:hAnsi="Arial" w:cs="Arial"/>
        </w:rPr>
      </w:pPr>
    </w:p>
    <w:p w:rsidR="005F683B" w:rsidRPr="005F683B" w:rsidRDefault="005F683B" w:rsidP="005F683B">
      <w:pPr>
        <w:pStyle w:val="Textoindependiente"/>
        <w:tabs>
          <w:tab w:val="clear" w:pos="708"/>
          <w:tab w:val="clear" w:pos="1416"/>
          <w:tab w:val="left" w:pos="709"/>
          <w:tab w:val="left" w:pos="1418"/>
        </w:tabs>
        <w:spacing w:line="240" w:lineRule="auto"/>
        <w:ind w:left="567" w:right="567"/>
        <w:rPr>
          <w:rFonts w:ascii="Arial" w:hAnsi="Arial" w:cs="Arial"/>
          <w:szCs w:val="24"/>
        </w:rPr>
      </w:pPr>
      <w:r w:rsidRPr="005F683B">
        <w:rPr>
          <w:rFonts w:ascii="Arial" w:hAnsi="Arial" w:cs="Arial"/>
          <w:color w:val="000000"/>
          <w:spacing w:val="0"/>
          <w:szCs w:val="24"/>
          <w:shd w:val="clear" w:color="auto" w:fill="FFFFFF"/>
          <w:lang w:val="es-ES"/>
        </w:rPr>
        <w:t>La Sala encuentra que a la solicitud formulada por el señor Navarrete le es aplicable el procedimiento previsto en el Decreto 01 de 1994, Código Contencioso Administrativo, al que la Administración debió ceñirse en forma estricta. Es evidente que no se cumplió con lo dispuesto en los artículos 44 y 47 del citado estatuto normativo, según los cuales las decisiones que pongan término a una actuación administrativa deberán notificarse personalmente al interesado</w:t>
      </w:r>
      <w:r>
        <w:rPr>
          <w:rFonts w:ascii="Arial" w:hAnsi="Arial" w:cs="Arial"/>
          <w:color w:val="000000"/>
          <w:spacing w:val="0"/>
          <w:szCs w:val="24"/>
          <w:shd w:val="clear" w:color="auto" w:fill="FFFFFF"/>
          <w:lang w:val="es-ES"/>
        </w:rPr>
        <w:t xml:space="preserve"> </w:t>
      </w:r>
      <w:r w:rsidRPr="005F683B">
        <w:rPr>
          <w:rFonts w:ascii="Arial" w:hAnsi="Arial" w:cs="Arial"/>
          <w:b/>
          <w:bCs/>
          <w:color w:val="000000"/>
          <w:spacing w:val="0"/>
          <w:szCs w:val="24"/>
          <w:shd w:val="clear" w:color="auto" w:fill="FFFFFF"/>
          <w:lang w:val="es-ES"/>
        </w:rPr>
        <w:t>indicando los recursos que legalmente proceden</w:t>
      </w:r>
      <w:r w:rsidR="004101B1">
        <w:rPr>
          <w:rFonts w:ascii="Arial" w:hAnsi="Arial" w:cs="Arial"/>
          <w:color w:val="000000"/>
          <w:spacing w:val="0"/>
          <w:szCs w:val="24"/>
          <w:shd w:val="clear" w:color="auto" w:fill="FFFFFF"/>
          <w:lang w:val="es-ES"/>
        </w:rPr>
        <w:t xml:space="preserve"> </w:t>
      </w:r>
      <w:r w:rsidRPr="005F683B">
        <w:rPr>
          <w:rFonts w:ascii="Arial" w:hAnsi="Arial" w:cs="Arial"/>
          <w:color w:val="000000"/>
          <w:spacing w:val="0"/>
          <w:szCs w:val="24"/>
          <w:shd w:val="clear" w:color="auto" w:fill="FFFFFF"/>
          <w:lang w:val="es-ES"/>
        </w:rPr>
        <w:t>contra ellas, las autoridades ante quienes deben interponerse y los plazos para hacerlo.</w:t>
      </w:r>
      <w:r w:rsidR="009F6672">
        <w:rPr>
          <w:rFonts w:ascii="Arial" w:hAnsi="Arial" w:cs="Arial"/>
          <w:color w:val="000000"/>
          <w:spacing w:val="0"/>
          <w:szCs w:val="24"/>
          <w:shd w:val="clear" w:color="auto" w:fill="FFFFFF"/>
          <w:lang w:val="es-ES"/>
        </w:rPr>
        <w:t xml:space="preserve"> Negrillas del texto original.</w:t>
      </w:r>
    </w:p>
    <w:p w:rsidR="005F683B" w:rsidRDefault="005F683B" w:rsidP="00C54B44">
      <w:pPr>
        <w:pStyle w:val="Textoindependiente"/>
        <w:tabs>
          <w:tab w:val="clear" w:pos="708"/>
          <w:tab w:val="clear" w:pos="1416"/>
          <w:tab w:val="left" w:pos="709"/>
          <w:tab w:val="left" w:pos="1418"/>
        </w:tabs>
        <w:spacing w:line="360" w:lineRule="auto"/>
        <w:rPr>
          <w:rFonts w:ascii="Arial" w:hAnsi="Arial" w:cs="Arial"/>
        </w:rPr>
      </w:pPr>
    </w:p>
    <w:p w:rsidR="006238C7" w:rsidRDefault="00403E85" w:rsidP="006238C7">
      <w:pPr>
        <w:pStyle w:val="Textoindependiente"/>
        <w:spacing w:line="360" w:lineRule="auto"/>
        <w:rPr>
          <w:rFonts w:ascii="Arial" w:hAnsi="Arial" w:cs="Arial"/>
        </w:rPr>
      </w:pPr>
      <w:r>
        <w:rPr>
          <w:rFonts w:ascii="Arial" w:hAnsi="Arial" w:cs="Arial"/>
        </w:rPr>
        <w:t>El anterior a</w:t>
      </w:r>
      <w:r w:rsidR="005F683B">
        <w:rPr>
          <w:rFonts w:ascii="Arial" w:hAnsi="Arial" w:cs="Arial"/>
        </w:rPr>
        <w:t xml:space="preserve">porte jurisprudencial </w:t>
      </w:r>
      <w:r w:rsidR="00653C9D">
        <w:rPr>
          <w:rFonts w:ascii="Arial" w:hAnsi="Arial" w:cs="Arial"/>
        </w:rPr>
        <w:t>traído</w:t>
      </w:r>
      <w:r w:rsidR="005F683B">
        <w:rPr>
          <w:rFonts w:ascii="Arial" w:hAnsi="Arial" w:cs="Arial"/>
        </w:rPr>
        <w:t xml:space="preserve"> a la actualidad, indica que </w:t>
      </w:r>
      <w:r w:rsidR="00590747">
        <w:rPr>
          <w:rFonts w:ascii="Arial" w:hAnsi="Arial" w:cs="Arial"/>
        </w:rPr>
        <w:t xml:space="preserve">la comunicación al actor, </w:t>
      </w:r>
      <w:r w:rsidR="005F683B">
        <w:rPr>
          <w:rFonts w:ascii="Arial" w:hAnsi="Arial" w:cs="Arial"/>
        </w:rPr>
        <w:t>debe regirse por el artículo 67 del CPACA, es decir,</w:t>
      </w:r>
      <w:r w:rsidR="001A1B5D">
        <w:rPr>
          <w:rFonts w:ascii="Arial" w:hAnsi="Arial" w:cs="Arial"/>
        </w:rPr>
        <w:t xml:space="preserve"> </w:t>
      </w:r>
      <w:r w:rsidR="00653C9D">
        <w:rPr>
          <w:rFonts w:ascii="Arial" w:hAnsi="Arial" w:cs="Arial"/>
        </w:rPr>
        <w:t xml:space="preserve">que </w:t>
      </w:r>
      <w:r w:rsidR="00653C9D" w:rsidRPr="00653C9D">
        <w:rPr>
          <w:rFonts w:ascii="Arial" w:hAnsi="Arial" w:cs="Arial"/>
          <w:i/>
          <w:sz w:val="22"/>
        </w:rPr>
        <w:t>“</w:t>
      </w:r>
      <w:r w:rsidR="005F683B" w:rsidRPr="00653C9D">
        <w:rPr>
          <w:rFonts w:ascii="Arial" w:hAnsi="Arial" w:cs="Arial"/>
          <w:i/>
          <w:sz w:val="22"/>
          <w:szCs w:val="22"/>
        </w:rPr>
        <w:t xml:space="preserve">En la diligencia de notificación se entregará al interesado copia íntegra, auténtica y gratuita del acto administrativo, con anotación de la fecha y la hora, </w:t>
      </w:r>
      <w:r w:rsidR="005F683B" w:rsidRPr="00653C9D">
        <w:rPr>
          <w:rFonts w:ascii="Arial" w:hAnsi="Arial" w:cs="Arial"/>
          <w:i/>
          <w:sz w:val="22"/>
          <w:szCs w:val="22"/>
          <w:u w:val="single"/>
        </w:rPr>
        <w:t>los recursos que legalmente proceden</w:t>
      </w:r>
      <w:r w:rsidR="005F683B" w:rsidRPr="00653C9D">
        <w:rPr>
          <w:rFonts w:ascii="Arial" w:hAnsi="Arial" w:cs="Arial"/>
          <w:i/>
          <w:sz w:val="22"/>
          <w:szCs w:val="22"/>
        </w:rPr>
        <w:t>, las autoridades ante quienes deben interponerse y los plazos para hacerlo</w:t>
      </w:r>
      <w:r w:rsidR="003E16E4">
        <w:rPr>
          <w:rFonts w:ascii="Arial" w:hAnsi="Arial" w:cs="Arial"/>
          <w:i/>
          <w:sz w:val="22"/>
          <w:szCs w:val="22"/>
        </w:rPr>
        <w:t xml:space="preserve"> (</w:t>
      </w:r>
      <w:r w:rsidR="00653C9D" w:rsidRPr="00653C9D">
        <w:rPr>
          <w:rFonts w:ascii="Arial" w:hAnsi="Arial" w:cs="Arial"/>
          <w:i/>
          <w:sz w:val="22"/>
          <w:szCs w:val="22"/>
        </w:rPr>
        <w:t>…</w:t>
      </w:r>
      <w:r w:rsidR="003E16E4">
        <w:rPr>
          <w:rFonts w:ascii="Arial" w:hAnsi="Arial" w:cs="Arial"/>
          <w:i/>
          <w:sz w:val="22"/>
          <w:szCs w:val="22"/>
        </w:rPr>
        <w:t xml:space="preserve">)” </w:t>
      </w:r>
      <w:r w:rsidR="009F6672" w:rsidRPr="003E16E4">
        <w:rPr>
          <w:rFonts w:ascii="Arial" w:hAnsi="Arial" w:cs="Arial"/>
          <w:szCs w:val="24"/>
        </w:rPr>
        <w:t xml:space="preserve">Sublínea </w:t>
      </w:r>
      <w:r w:rsidR="00C24DE7" w:rsidRPr="003E16E4">
        <w:rPr>
          <w:rFonts w:ascii="Arial" w:hAnsi="Arial" w:cs="Arial"/>
          <w:szCs w:val="24"/>
        </w:rPr>
        <w:t>extratextual</w:t>
      </w:r>
      <w:r w:rsidR="00414C4D" w:rsidRPr="003E16E4">
        <w:rPr>
          <w:rFonts w:ascii="Arial" w:hAnsi="Arial" w:cs="Arial"/>
          <w:i/>
          <w:szCs w:val="24"/>
        </w:rPr>
        <w:t>.</w:t>
      </w:r>
      <w:r w:rsidR="009F6672">
        <w:rPr>
          <w:rFonts w:ascii="Arial" w:hAnsi="Arial" w:cs="Arial"/>
          <w:i/>
          <w:sz w:val="22"/>
          <w:szCs w:val="22"/>
        </w:rPr>
        <w:t xml:space="preserve"> </w:t>
      </w:r>
      <w:r w:rsidR="00414C4D">
        <w:rPr>
          <w:rFonts w:ascii="Arial" w:hAnsi="Arial" w:cs="Arial"/>
          <w:i/>
          <w:sz w:val="22"/>
          <w:szCs w:val="22"/>
        </w:rPr>
        <w:t xml:space="preserve"> </w:t>
      </w:r>
      <w:r w:rsidRPr="00403E85">
        <w:rPr>
          <w:rFonts w:ascii="Arial" w:hAnsi="Arial" w:cs="Arial"/>
          <w:szCs w:val="22"/>
        </w:rPr>
        <w:t xml:space="preserve">Porque </w:t>
      </w:r>
      <w:r>
        <w:rPr>
          <w:rFonts w:ascii="Arial" w:hAnsi="Arial" w:cs="Arial"/>
          <w:szCs w:val="22"/>
        </w:rPr>
        <w:t>a</w:t>
      </w:r>
      <w:r w:rsidR="00414C4D">
        <w:rPr>
          <w:rFonts w:ascii="Arial" w:hAnsi="Arial" w:cs="Arial"/>
          <w:szCs w:val="22"/>
        </w:rPr>
        <w:t xml:space="preserve">ceptar </w:t>
      </w:r>
      <w:r>
        <w:rPr>
          <w:rFonts w:ascii="Arial" w:hAnsi="Arial" w:cs="Arial"/>
          <w:szCs w:val="22"/>
        </w:rPr>
        <w:t>que se haga de manera diferente</w:t>
      </w:r>
      <w:r w:rsidR="00414C4D" w:rsidRPr="00414C4D">
        <w:rPr>
          <w:rFonts w:ascii="Arial" w:hAnsi="Arial" w:cs="Arial"/>
          <w:szCs w:val="22"/>
        </w:rPr>
        <w:t>, ser</w:t>
      </w:r>
      <w:r w:rsidR="00414C4D">
        <w:rPr>
          <w:rFonts w:ascii="Arial" w:hAnsi="Arial" w:cs="Arial"/>
          <w:szCs w:val="22"/>
        </w:rPr>
        <w:t>ía permitir la trasgresión del derecho al debido proceso</w:t>
      </w:r>
      <w:r w:rsidR="008C040A">
        <w:rPr>
          <w:rFonts w:ascii="Arial" w:hAnsi="Arial" w:cs="Arial"/>
          <w:szCs w:val="22"/>
        </w:rPr>
        <w:t xml:space="preserve"> administrativo</w:t>
      </w:r>
      <w:r w:rsidR="00590747">
        <w:rPr>
          <w:rFonts w:ascii="Arial" w:hAnsi="Arial" w:cs="Arial"/>
          <w:szCs w:val="22"/>
        </w:rPr>
        <w:t xml:space="preserve">. </w:t>
      </w:r>
      <w:r w:rsidR="006238C7">
        <w:rPr>
          <w:rFonts w:ascii="Arial" w:hAnsi="Arial" w:cs="Arial"/>
          <w:szCs w:val="22"/>
        </w:rPr>
        <w:t xml:space="preserve">Así </w:t>
      </w:r>
      <w:r w:rsidR="008C040A">
        <w:rPr>
          <w:rFonts w:ascii="Arial" w:hAnsi="Arial" w:cs="Arial"/>
          <w:szCs w:val="22"/>
        </w:rPr>
        <w:t xml:space="preserve">fue </w:t>
      </w:r>
      <w:r w:rsidR="006238C7">
        <w:rPr>
          <w:rFonts w:ascii="Arial" w:hAnsi="Arial" w:cs="Arial"/>
          <w:szCs w:val="22"/>
        </w:rPr>
        <w:t>considerado en</w:t>
      </w:r>
      <w:r w:rsidR="006238C7">
        <w:rPr>
          <w:rFonts w:ascii="Arial" w:eastAsia="Yu Gothic Light" w:hAnsi="Arial" w:cs="Arial"/>
          <w:szCs w:val="24"/>
        </w:rPr>
        <w:t xml:space="preserve"> reciente (</w:t>
      </w:r>
      <w:r w:rsidR="000F7597">
        <w:rPr>
          <w:rFonts w:ascii="Arial" w:eastAsia="Yu Gothic Light" w:hAnsi="Arial" w:cs="Arial"/>
          <w:szCs w:val="24"/>
        </w:rPr>
        <w:t>2015</w:t>
      </w:r>
      <w:r w:rsidR="006238C7">
        <w:rPr>
          <w:rFonts w:ascii="Arial" w:eastAsia="Yu Gothic Light" w:hAnsi="Arial" w:cs="Arial"/>
          <w:szCs w:val="24"/>
        </w:rPr>
        <w:t xml:space="preserve">) decisión </w:t>
      </w:r>
      <w:r w:rsidR="00F837F5">
        <w:rPr>
          <w:rFonts w:ascii="Arial" w:eastAsia="Yu Gothic Light" w:hAnsi="Arial" w:cs="Arial"/>
          <w:szCs w:val="24"/>
        </w:rPr>
        <w:t xml:space="preserve">de </w:t>
      </w:r>
      <w:r w:rsidR="006238C7" w:rsidRPr="00273FEA">
        <w:rPr>
          <w:rFonts w:ascii="Arial" w:hAnsi="Arial" w:cs="Arial"/>
        </w:rPr>
        <w:t>esta Colegiatura</w:t>
      </w:r>
      <w:r w:rsidR="006238C7">
        <w:rPr>
          <w:rStyle w:val="Refdenotaalpie"/>
          <w:rFonts w:ascii="Arial" w:eastAsia="Yu Gothic Light" w:hAnsi="Arial"/>
          <w:szCs w:val="24"/>
        </w:rPr>
        <w:footnoteReference w:id="21"/>
      </w:r>
      <w:r w:rsidR="006238C7">
        <w:rPr>
          <w:rFonts w:ascii="Arial" w:hAnsi="Arial" w:cs="Arial"/>
        </w:rPr>
        <w:t>.</w:t>
      </w:r>
    </w:p>
    <w:p w:rsidR="000F7597" w:rsidRPr="00F17065" w:rsidRDefault="000F7597" w:rsidP="006238C7">
      <w:pPr>
        <w:pStyle w:val="Textoindependiente"/>
        <w:spacing w:line="360" w:lineRule="auto"/>
        <w:rPr>
          <w:rFonts w:ascii="Arial" w:eastAsia="Yu Gothic Light" w:hAnsi="Arial" w:cs="Arial"/>
          <w:szCs w:val="24"/>
        </w:rPr>
      </w:pPr>
    </w:p>
    <w:p w:rsidR="00186CD4" w:rsidRDefault="0069261A" w:rsidP="00B92F7A">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Así las cosas, se concederá el amparo constitucional para ordenarle</w:t>
      </w:r>
      <w:r w:rsidR="004101B1">
        <w:rPr>
          <w:rFonts w:ascii="Arial" w:hAnsi="Arial"/>
          <w:szCs w:val="24"/>
        </w:rPr>
        <w:t xml:space="preserve"> a la </w:t>
      </w:r>
      <w:r w:rsidR="006600B2">
        <w:rPr>
          <w:rFonts w:ascii="Arial" w:hAnsi="Arial"/>
          <w:szCs w:val="24"/>
        </w:rPr>
        <w:t>“</w:t>
      </w:r>
      <w:r w:rsidR="004101B1">
        <w:rPr>
          <w:rFonts w:ascii="Arial" w:hAnsi="Arial" w:cs="Arial"/>
          <w:szCs w:val="24"/>
        </w:rPr>
        <w:t>Coordinadora</w:t>
      </w:r>
      <w:r w:rsidR="00DF3871">
        <w:rPr>
          <w:rFonts w:ascii="Arial" w:hAnsi="Arial" w:cs="Arial"/>
          <w:szCs w:val="24"/>
        </w:rPr>
        <w:t xml:space="preserve"> </w:t>
      </w:r>
      <w:r w:rsidR="002556C4">
        <w:rPr>
          <w:rFonts w:ascii="Arial" w:hAnsi="Arial" w:cs="Arial"/>
          <w:szCs w:val="24"/>
        </w:rPr>
        <w:t>d</w:t>
      </w:r>
      <w:r w:rsidR="002556C4">
        <w:rPr>
          <w:rFonts w:ascii="Arial" w:hAnsi="Arial"/>
          <w:szCs w:val="24"/>
        </w:rPr>
        <w:t>el Grupo de Prestaciones Sociales del Ministerio de Defensa Nacional”</w:t>
      </w:r>
      <w:r>
        <w:rPr>
          <w:rFonts w:ascii="Arial" w:hAnsi="Arial" w:cs="Arial"/>
          <w:szCs w:val="24"/>
        </w:rPr>
        <w:t xml:space="preserve">, que </w:t>
      </w:r>
      <w:r w:rsidR="002556C4">
        <w:rPr>
          <w:rFonts w:ascii="Arial" w:hAnsi="Arial" w:cs="Arial"/>
          <w:szCs w:val="24"/>
        </w:rPr>
        <w:t xml:space="preserve">responda de fondo todos los puntos contenidos en la petición y </w:t>
      </w:r>
      <w:r>
        <w:rPr>
          <w:rFonts w:ascii="Arial" w:hAnsi="Arial" w:cs="Arial"/>
          <w:szCs w:val="24"/>
        </w:rPr>
        <w:t>enter</w:t>
      </w:r>
      <w:r w:rsidR="002556C4">
        <w:rPr>
          <w:rFonts w:ascii="Arial" w:hAnsi="Arial" w:cs="Arial"/>
          <w:szCs w:val="24"/>
        </w:rPr>
        <w:t>e</w:t>
      </w:r>
      <w:r>
        <w:rPr>
          <w:rFonts w:ascii="Arial" w:hAnsi="Arial" w:cs="Arial"/>
          <w:szCs w:val="24"/>
        </w:rPr>
        <w:t xml:space="preserve"> al accionan</w:t>
      </w:r>
      <w:r w:rsidR="00DF3871">
        <w:rPr>
          <w:rFonts w:ascii="Arial" w:hAnsi="Arial" w:cs="Arial"/>
          <w:szCs w:val="24"/>
        </w:rPr>
        <w:t>te</w:t>
      </w:r>
      <w:r>
        <w:rPr>
          <w:rFonts w:ascii="Arial" w:hAnsi="Arial" w:cs="Arial"/>
          <w:szCs w:val="24"/>
        </w:rPr>
        <w:t xml:space="preserve"> sobre los recursos que proceden en contra de la decisión </w:t>
      </w:r>
      <w:r w:rsidR="00A80796">
        <w:rPr>
          <w:rFonts w:ascii="Arial" w:hAnsi="Arial" w:cs="Arial"/>
          <w:szCs w:val="24"/>
        </w:rPr>
        <w:t>que llegue a tomar</w:t>
      </w:r>
      <w:r>
        <w:rPr>
          <w:rFonts w:ascii="Arial" w:hAnsi="Arial" w:cs="Arial"/>
          <w:szCs w:val="24"/>
        </w:rPr>
        <w:t>.</w:t>
      </w:r>
      <w:r w:rsidR="00B92F7A" w:rsidRPr="00186CD4">
        <w:rPr>
          <w:rFonts w:ascii="Arial" w:hAnsi="Arial"/>
          <w:szCs w:val="24"/>
        </w:rPr>
        <w:t xml:space="preserve"> </w:t>
      </w:r>
    </w:p>
    <w:p w:rsidR="00355323" w:rsidRDefault="00355323" w:rsidP="00B92F7A">
      <w:pPr>
        <w:pStyle w:val="Textoindependiente"/>
        <w:tabs>
          <w:tab w:val="clear" w:pos="708"/>
          <w:tab w:val="clear" w:pos="1416"/>
          <w:tab w:val="left" w:pos="709"/>
          <w:tab w:val="left" w:pos="1418"/>
        </w:tabs>
        <w:spacing w:line="360" w:lineRule="auto"/>
        <w:rPr>
          <w:rFonts w:ascii="Arial" w:hAnsi="Arial"/>
          <w:szCs w:val="24"/>
        </w:rPr>
      </w:pPr>
    </w:p>
    <w:p w:rsidR="00355323" w:rsidRPr="00355323" w:rsidRDefault="003E16E4" w:rsidP="00355323">
      <w:pPr>
        <w:pStyle w:val="Textoindependiente"/>
        <w:numPr>
          <w:ilvl w:val="1"/>
          <w:numId w:val="27"/>
        </w:numPr>
        <w:tabs>
          <w:tab w:val="clear" w:pos="708"/>
          <w:tab w:val="clear" w:pos="1416"/>
          <w:tab w:val="left" w:pos="709"/>
          <w:tab w:val="left" w:pos="1418"/>
        </w:tabs>
        <w:spacing w:line="360" w:lineRule="auto"/>
        <w:rPr>
          <w:rFonts w:ascii="Arial" w:hAnsi="Arial" w:cs="Arial"/>
          <w:szCs w:val="24"/>
        </w:rPr>
      </w:pPr>
      <w:r>
        <w:rPr>
          <w:rFonts w:ascii="Arial" w:hAnsi="Arial"/>
          <w:szCs w:val="24"/>
        </w:rPr>
        <w:t xml:space="preserve">La </w:t>
      </w:r>
      <w:r w:rsidR="0026749A">
        <w:rPr>
          <w:rFonts w:ascii="Arial" w:hAnsi="Arial"/>
          <w:szCs w:val="24"/>
        </w:rPr>
        <w:t>p</w:t>
      </w:r>
      <w:r>
        <w:rPr>
          <w:rFonts w:ascii="Arial" w:hAnsi="Arial"/>
          <w:szCs w:val="24"/>
        </w:rPr>
        <w:t>etición frente a la Caja de Retiro de las Fuerzas Militares</w:t>
      </w:r>
    </w:p>
    <w:p w:rsidR="00355323" w:rsidRDefault="00355323" w:rsidP="00BD6F77">
      <w:pPr>
        <w:pStyle w:val="Textoindependiente"/>
        <w:spacing w:line="360" w:lineRule="auto"/>
        <w:rPr>
          <w:rFonts w:ascii="Arial" w:hAnsi="Arial"/>
          <w:szCs w:val="24"/>
        </w:rPr>
      </w:pPr>
    </w:p>
    <w:p w:rsidR="00BD6F77" w:rsidRDefault="003E16E4" w:rsidP="00BD6F77">
      <w:pPr>
        <w:pStyle w:val="Textoindependiente"/>
        <w:spacing w:line="360" w:lineRule="auto"/>
        <w:rPr>
          <w:rFonts w:ascii="Arial" w:hAnsi="Arial"/>
          <w:szCs w:val="24"/>
        </w:rPr>
      </w:pPr>
      <w:r>
        <w:rPr>
          <w:rFonts w:ascii="Arial" w:hAnsi="Arial"/>
          <w:szCs w:val="24"/>
        </w:rPr>
        <w:t xml:space="preserve">Respecto </w:t>
      </w:r>
      <w:r w:rsidR="00BD6F77">
        <w:rPr>
          <w:rFonts w:ascii="Arial" w:hAnsi="Arial"/>
          <w:szCs w:val="24"/>
        </w:rPr>
        <w:t xml:space="preserve">a la </w:t>
      </w:r>
      <w:r w:rsidR="004101B1">
        <w:rPr>
          <w:rFonts w:ascii="Arial" w:hAnsi="Arial"/>
          <w:szCs w:val="24"/>
        </w:rPr>
        <w:t xml:space="preserve">segunda petición, </w:t>
      </w:r>
      <w:r w:rsidR="00BD6F77">
        <w:rPr>
          <w:rFonts w:ascii="Arial" w:hAnsi="Arial"/>
          <w:szCs w:val="24"/>
        </w:rPr>
        <w:t xml:space="preserve">tendiente a que la Caja de Retiro de las Fuerzas Militares reajuste la </w:t>
      </w:r>
      <w:r w:rsidR="004101B1">
        <w:rPr>
          <w:rFonts w:ascii="Arial" w:hAnsi="Arial"/>
          <w:szCs w:val="24"/>
        </w:rPr>
        <w:t xml:space="preserve">asignación </w:t>
      </w:r>
      <w:r w:rsidR="00BD6F77">
        <w:rPr>
          <w:rFonts w:ascii="Arial" w:hAnsi="Arial"/>
          <w:szCs w:val="24"/>
        </w:rPr>
        <w:t>de retiro del accionante, encuentra la Sala que fue resuelta con oficio 812064 del 19-12-2014 (Folio 97, ib.), entregado en la dirección indicada para el efecto el día 24-12-2014 (Folio 11</w:t>
      </w:r>
      <w:r w:rsidR="00F77CB8">
        <w:rPr>
          <w:rFonts w:ascii="Arial" w:hAnsi="Arial"/>
          <w:szCs w:val="24"/>
        </w:rPr>
        <w:t>9</w:t>
      </w:r>
      <w:r w:rsidR="00BD6F77">
        <w:rPr>
          <w:rFonts w:ascii="Arial" w:hAnsi="Arial"/>
          <w:szCs w:val="24"/>
        </w:rPr>
        <w:t xml:space="preserve"> y 134, ib.), tal cual se pudo constatar en esta instancia.</w:t>
      </w:r>
    </w:p>
    <w:p w:rsidR="003E16E4" w:rsidRDefault="003E16E4" w:rsidP="00BD6F77">
      <w:pPr>
        <w:pStyle w:val="Textoindependiente"/>
        <w:spacing w:line="360" w:lineRule="auto"/>
        <w:rPr>
          <w:rFonts w:ascii="Arial" w:hAnsi="Arial" w:cs="Arial"/>
          <w:szCs w:val="24"/>
        </w:rPr>
      </w:pPr>
    </w:p>
    <w:p w:rsidR="00BD6F77" w:rsidRDefault="00BD6F77" w:rsidP="00BD6F77">
      <w:pPr>
        <w:pStyle w:val="Textoindependiente"/>
        <w:spacing w:line="360" w:lineRule="auto"/>
        <w:rPr>
          <w:rFonts w:ascii="Arial" w:hAnsi="Arial" w:cs="Arial"/>
        </w:rPr>
      </w:pPr>
      <w:r>
        <w:rPr>
          <w:rFonts w:ascii="Arial" w:hAnsi="Arial" w:cs="Arial"/>
        </w:rPr>
        <w:t xml:space="preserve">Tales fechas permiten afirmar que </w:t>
      </w:r>
      <w:r w:rsidR="00FE55CA">
        <w:rPr>
          <w:rFonts w:ascii="Arial" w:hAnsi="Arial" w:cs="Arial"/>
        </w:rPr>
        <w:t xml:space="preserve">frente a la mencionada entidad </w:t>
      </w:r>
      <w:r>
        <w:rPr>
          <w:rFonts w:ascii="Arial" w:hAnsi="Arial" w:cs="Arial"/>
        </w:rPr>
        <w:t>la presente acción carece de inmediatez, pues su interposición desborda el plazo de los seis (6) meses fijado por la jurisprudencia tanto constitucional</w:t>
      </w:r>
      <w:r w:rsidRPr="0098589D">
        <w:rPr>
          <w:rStyle w:val="Refdenotaalpie"/>
          <w:rFonts w:ascii="Calibri" w:hAnsi="Calibri" w:cs="Calibri"/>
        </w:rPr>
        <w:footnoteReference w:id="22"/>
      </w:r>
      <w:r>
        <w:rPr>
          <w:rFonts w:ascii="Arial" w:hAnsi="Arial" w:cs="Arial"/>
        </w:rPr>
        <w:t xml:space="preserve"> como ordinaria</w:t>
      </w:r>
      <w:r>
        <w:rPr>
          <w:rStyle w:val="Refdenotaalpie"/>
          <w:rFonts w:ascii="Arial" w:hAnsi="Arial"/>
        </w:rPr>
        <w:footnoteReference w:id="23"/>
      </w:r>
      <w:r>
        <w:rPr>
          <w:rFonts w:ascii="Arial" w:hAnsi="Arial" w:cs="Arial"/>
        </w:rPr>
        <w:t xml:space="preserve">; como tiempo razonable para </w:t>
      </w:r>
      <w:r w:rsidR="003E16E4">
        <w:rPr>
          <w:rFonts w:ascii="Arial" w:hAnsi="Arial" w:cs="Arial"/>
        </w:rPr>
        <w:t>tal efecto</w:t>
      </w:r>
      <w:r>
        <w:rPr>
          <w:rFonts w:ascii="Arial" w:hAnsi="Arial" w:cs="Arial"/>
        </w:rPr>
        <w:t>, ya que transcurri</w:t>
      </w:r>
      <w:r w:rsidR="00F01F36">
        <w:rPr>
          <w:rFonts w:ascii="Arial" w:hAnsi="Arial" w:cs="Arial"/>
        </w:rPr>
        <w:t>ó un año y dos m</w:t>
      </w:r>
      <w:r>
        <w:rPr>
          <w:rFonts w:ascii="Arial" w:hAnsi="Arial" w:cs="Arial"/>
        </w:rPr>
        <w:t xml:space="preserve">eses desde la </w:t>
      </w:r>
      <w:r w:rsidR="00F01F36">
        <w:rPr>
          <w:rFonts w:ascii="Arial" w:hAnsi="Arial" w:cs="Arial"/>
        </w:rPr>
        <w:t>respuesta dada.</w:t>
      </w:r>
      <w:r>
        <w:rPr>
          <w:rFonts w:ascii="Arial" w:hAnsi="Arial" w:cs="Arial"/>
        </w:rPr>
        <w:t xml:space="preserve"> </w:t>
      </w:r>
    </w:p>
    <w:p w:rsidR="00BD6F77" w:rsidRDefault="00BD6F77" w:rsidP="00BD6F77">
      <w:pPr>
        <w:spacing w:line="360" w:lineRule="auto"/>
        <w:ind w:right="45"/>
        <w:jc w:val="both"/>
        <w:rPr>
          <w:rFonts w:ascii="Arial" w:hAnsi="Arial" w:cs="Arial"/>
        </w:rPr>
      </w:pPr>
    </w:p>
    <w:p w:rsidR="00BD6F77" w:rsidRDefault="00BD6F77" w:rsidP="00BD6F77">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a</w:t>
      </w:r>
      <w:r>
        <w:rPr>
          <w:rFonts w:ascii="Arial" w:hAnsi="Arial" w:cs="Arial"/>
        </w:rPr>
        <w:t xml:space="preserve"> </w:t>
      </w:r>
      <w:r w:rsidRPr="008B0539">
        <w:rPr>
          <w:rFonts w:ascii="Arial" w:hAnsi="Arial" w:cs="Arial"/>
        </w:rPr>
        <w:t>l</w:t>
      </w:r>
      <w:r>
        <w:rPr>
          <w:rFonts w:ascii="Arial" w:hAnsi="Arial" w:cs="Arial"/>
        </w:rPr>
        <w:t>a</w:t>
      </w:r>
      <w:r w:rsidRPr="008B0539">
        <w:rPr>
          <w:rFonts w:ascii="Arial" w:hAnsi="Arial" w:cs="Arial"/>
        </w:rPr>
        <w:t xml:space="preserve"> actor</w:t>
      </w:r>
      <w:r>
        <w:rPr>
          <w:rFonts w:ascii="Arial" w:hAnsi="Arial" w:cs="Arial"/>
        </w:rPr>
        <w:t>a</w:t>
      </w:r>
      <w:r w:rsidRPr="008B0539">
        <w:rPr>
          <w:rFonts w:ascii="Arial" w:hAnsi="Arial" w:cs="Arial"/>
        </w:rPr>
        <w:t xml:space="preserve">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4"/>
      </w:r>
      <w:r>
        <w:rPr>
          <w:rFonts w:ascii="Arial" w:hAnsi="Arial" w:cs="Arial"/>
        </w:rPr>
        <w:t>; circunstancias que no fueron expuestas ni probadas en el trámite. De igual forma, no se encuentra ni alegado ni probado, que el actor sea persona de especial protección constitucional</w:t>
      </w:r>
      <w:r>
        <w:rPr>
          <w:rStyle w:val="Refdenotaalpie"/>
          <w:rFonts w:ascii="Arial" w:hAnsi="Arial"/>
        </w:rPr>
        <w:footnoteReference w:id="25"/>
      </w:r>
      <w:r>
        <w:rPr>
          <w:rFonts w:ascii="Arial" w:hAnsi="Arial" w:cs="Arial"/>
        </w:rPr>
        <w:t xml:space="preserve">; ni que la falta de respuesta </w:t>
      </w:r>
      <w:r w:rsidRPr="00A36EB8">
        <w:rPr>
          <w:rFonts w:ascii="Arial" w:hAnsi="Arial" w:cs="Arial"/>
        </w:rPr>
        <w:t xml:space="preserve">vulnere o amenace los derechos de la </w:t>
      </w:r>
      <w:r>
        <w:rPr>
          <w:rFonts w:ascii="Arial" w:hAnsi="Arial" w:cs="Arial"/>
        </w:rPr>
        <w:t xml:space="preserve">parte </w:t>
      </w:r>
      <w:r w:rsidRPr="00A36EB8">
        <w:rPr>
          <w:rFonts w:ascii="Arial" w:hAnsi="Arial" w:cs="Arial"/>
        </w:rPr>
        <w:t>actora de forma tal que pueda estar incursa en una debilidad manifiesta</w:t>
      </w:r>
      <w:r>
        <w:rPr>
          <w:rFonts w:ascii="Arial" w:hAnsi="Arial" w:cs="Arial"/>
        </w:rPr>
        <w:t xml:space="preserve">. </w:t>
      </w:r>
    </w:p>
    <w:p w:rsidR="00BD6F77" w:rsidRDefault="00BD6F77" w:rsidP="00B92F7A">
      <w:pPr>
        <w:pStyle w:val="Textoindependiente"/>
        <w:tabs>
          <w:tab w:val="clear" w:pos="708"/>
          <w:tab w:val="clear" w:pos="1416"/>
          <w:tab w:val="left" w:pos="709"/>
          <w:tab w:val="left" w:pos="1418"/>
        </w:tabs>
        <w:spacing w:line="360" w:lineRule="auto"/>
        <w:rPr>
          <w:rFonts w:ascii="Arial" w:hAnsi="Arial"/>
          <w:szCs w:val="24"/>
        </w:rPr>
      </w:pPr>
    </w:p>
    <w:p w:rsidR="00B92F7A" w:rsidRDefault="00B92F7A" w:rsidP="00C54B44">
      <w:pPr>
        <w:pStyle w:val="Textoindependiente"/>
        <w:tabs>
          <w:tab w:val="clear" w:pos="708"/>
          <w:tab w:val="clear" w:pos="1416"/>
          <w:tab w:val="left" w:pos="709"/>
          <w:tab w:val="left" w:pos="1418"/>
        </w:tabs>
        <w:spacing w:line="360" w:lineRule="auto"/>
        <w:rPr>
          <w:rFonts w:ascii="Arial" w:hAnsi="Arial" w:cs="Arial"/>
          <w:iCs/>
          <w:szCs w:val="24"/>
        </w:rPr>
      </w:pPr>
    </w:p>
    <w:p w:rsidR="00525C2D" w:rsidRPr="0033247D" w:rsidRDefault="0033247D" w:rsidP="0033247D">
      <w:pPr>
        <w:spacing w:line="360" w:lineRule="auto"/>
        <w:ind w:right="51"/>
        <w:jc w:val="both"/>
        <w:rPr>
          <w:rFonts w:ascii="Arial" w:hAnsi="Arial" w:cs="Arial"/>
        </w:rPr>
      </w:pPr>
      <w:r>
        <w:rPr>
          <w:rFonts w:ascii="Arial" w:hAnsi="Arial" w:cs="Arial"/>
        </w:rPr>
        <w:t xml:space="preserve">9. </w:t>
      </w:r>
      <w:r w:rsidR="00525C2D" w:rsidRPr="0033247D">
        <w:rPr>
          <w:rFonts w:ascii="Arial" w:hAnsi="Arial" w:cs="Arial"/>
        </w:rPr>
        <w:t xml:space="preserve">LAS CONCLUSIONES </w:t>
      </w:r>
    </w:p>
    <w:p w:rsidR="002B4710" w:rsidRPr="002B4710" w:rsidRDefault="002B4710" w:rsidP="002B4710">
      <w:pPr>
        <w:spacing w:line="360" w:lineRule="auto"/>
        <w:ind w:right="51"/>
        <w:jc w:val="both"/>
        <w:rPr>
          <w:rFonts w:ascii="Arial" w:hAnsi="Arial" w:cs="Arial"/>
        </w:rPr>
      </w:pPr>
    </w:p>
    <w:p w:rsidR="00FE55CA" w:rsidRDefault="003A0C26" w:rsidP="0069261A">
      <w:pPr>
        <w:spacing w:line="360" w:lineRule="auto"/>
        <w:ind w:right="51"/>
        <w:jc w:val="both"/>
        <w:rPr>
          <w:rFonts w:ascii="Arial" w:hAnsi="Arial" w:cs="Arial"/>
        </w:rPr>
      </w:pPr>
      <w:r w:rsidRPr="00F00F95">
        <w:rPr>
          <w:rFonts w:ascii="Arial" w:hAnsi="Arial" w:cs="Arial"/>
        </w:rPr>
        <w:t>En armonía con las premisas expuestas en los acápites anteriores</w:t>
      </w:r>
      <w:r w:rsidR="003E16E4">
        <w:rPr>
          <w:rFonts w:ascii="Arial" w:hAnsi="Arial" w:cs="Arial"/>
        </w:rPr>
        <w:t>:</w:t>
      </w:r>
      <w:r w:rsidR="004E643F">
        <w:rPr>
          <w:rFonts w:ascii="Arial" w:hAnsi="Arial" w:cs="Arial"/>
        </w:rPr>
        <w:t xml:space="preserve"> </w:t>
      </w:r>
      <w:r w:rsidR="00FE55CA" w:rsidRPr="007B7A69">
        <w:rPr>
          <w:rFonts w:ascii="Arial" w:hAnsi="Arial"/>
        </w:rPr>
        <w:t>i) Se declarará próspera la pretensión tutelar</w:t>
      </w:r>
      <w:r w:rsidR="00FE55CA">
        <w:rPr>
          <w:rFonts w:ascii="Arial" w:hAnsi="Arial"/>
        </w:rPr>
        <w:t xml:space="preserve"> frente al Grupo de Prestaciones Sociales del Ministerio de Defensa Nacional</w:t>
      </w:r>
      <w:r w:rsidR="00FE55CA" w:rsidRPr="007B7A69">
        <w:rPr>
          <w:rFonts w:ascii="Arial" w:hAnsi="Arial"/>
        </w:rPr>
        <w:t>, para amparar el derecho de petición; (ii) Se expedirán las órdene</w:t>
      </w:r>
      <w:r w:rsidR="00FE55CA">
        <w:rPr>
          <w:rFonts w:ascii="Arial" w:hAnsi="Arial"/>
        </w:rPr>
        <w:t>s necesarias para su protección; (iii) S</w:t>
      </w:r>
      <w:r w:rsidR="00FE55CA" w:rsidRPr="00FE55CA">
        <w:rPr>
          <w:rFonts w:ascii="Arial" w:hAnsi="Arial"/>
        </w:rPr>
        <w:t xml:space="preserve">e declarará la improcedencia de la acción </w:t>
      </w:r>
      <w:r w:rsidR="00FE55CA">
        <w:rPr>
          <w:rFonts w:ascii="Arial" w:hAnsi="Arial"/>
        </w:rPr>
        <w:t xml:space="preserve">frente a la Caja de Retiro de las Fuerzas Militares </w:t>
      </w:r>
      <w:r w:rsidR="00FE55CA" w:rsidRPr="00FE55CA">
        <w:rPr>
          <w:rFonts w:ascii="Arial" w:hAnsi="Arial"/>
        </w:rPr>
        <w:t>ante el incumplimiento del requisito de inmediatez</w:t>
      </w:r>
      <w:r w:rsidR="00FE55CA">
        <w:rPr>
          <w:rFonts w:ascii="Arial" w:hAnsi="Arial"/>
        </w:rPr>
        <w:t xml:space="preserve">; y (iv) </w:t>
      </w:r>
      <w:r w:rsidR="00FE55CA">
        <w:rPr>
          <w:rFonts w:ascii="Arial" w:hAnsi="Arial" w:cs="Arial"/>
        </w:rPr>
        <w:t>Se negará respecto del Ministerio de Defensa Nacional y la Dirección de Personal del Ejército Nacional.</w:t>
      </w:r>
    </w:p>
    <w:p w:rsidR="00DC770D" w:rsidRDefault="00DC770D" w:rsidP="0069261A">
      <w:pPr>
        <w:spacing w:line="360" w:lineRule="auto"/>
        <w:ind w:right="51"/>
        <w:jc w:val="both"/>
        <w:rPr>
          <w:rFonts w:ascii="Arial" w:hAnsi="Arial" w:cs="Arial"/>
        </w:rPr>
      </w:pPr>
    </w:p>
    <w:p w:rsidR="00525C2D" w:rsidRPr="00383E2F" w:rsidRDefault="00525C2D" w:rsidP="00525C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 xml:space="preserve">En mérito de lo expuesto, el </w:t>
      </w:r>
      <w:r w:rsidRPr="00383E2F">
        <w:rPr>
          <w:rFonts w:ascii="Arial" w:hAnsi="Arial" w:cs="Arial"/>
          <w:smallCaps/>
          <w:spacing w:val="-3"/>
          <w:lang w:val="es-ES_tradnl"/>
        </w:rPr>
        <w:t xml:space="preserve">Tribunal Superior del Distrito Judicial de </w:t>
      </w:r>
      <w:r>
        <w:rPr>
          <w:rFonts w:ascii="Arial" w:hAnsi="Arial" w:cs="Arial"/>
          <w:smallCaps/>
          <w:spacing w:val="-3"/>
          <w:lang w:val="es-ES_tradnl"/>
        </w:rPr>
        <w:t>Pereira</w:t>
      </w:r>
      <w:r w:rsidRPr="00383E2F">
        <w:rPr>
          <w:rFonts w:ascii="Arial" w:hAnsi="Arial" w:cs="Arial"/>
          <w:smallCaps/>
          <w:spacing w:val="-3"/>
          <w:lang w:val="es-ES_tradnl"/>
        </w:rPr>
        <w:t>, Sala</w:t>
      </w:r>
      <w:r>
        <w:rPr>
          <w:rFonts w:ascii="Arial" w:hAnsi="Arial" w:cs="Arial"/>
          <w:smallCaps/>
          <w:spacing w:val="-3"/>
          <w:lang w:val="es-ES_tradnl"/>
        </w:rPr>
        <w:t xml:space="preserve"> de D</w:t>
      </w:r>
      <w:r w:rsidRPr="005064C3">
        <w:rPr>
          <w:rFonts w:ascii="Arial" w:hAnsi="Arial" w:cs="Arial"/>
          <w:smallCaps/>
          <w:spacing w:val="-3"/>
          <w:sz w:val="20"/>
          <w:lang w:val="es-ES_tradnl"/>
        </w:rPr>
        <w:t>ECISIÓN</w:t>
      </w:r>
      <w:r>
        <w:rPr>
          <w:rFonts w:ascii="Arial" w:hAnsi="Arial" w:cs="Arial"/>
          <w:smallCaps/>
          <w:spacing w:val="-3"/>
          <w:lang w:val="es-ES_tradnl"/>
        </w:rPr>
        <w:t xml:space="preserve"> C</w:t>
      </w:r>
      <w:r w:rsidRPr="005064C3">
        <w:rPr>
          <w:rFonts w:ascii="Arial" w:hAnsi="Arial" w:cs="Arial"/>
          <w:smallCaps/>
          <w:spacing w:val="-3"/>
          <w:sz w:val="20"/>
          <w:lang w:val="es-ES_tradnl"/>
        </w:rPr>
        <w:t>IVIL</w:t>
      </w:r>
      <w:r>
        <w:rPr>
          <w:rFonts w:ascii="Arial" w:hAnsi="Arial" w:cs="Arial"/>
          <w:smallCaps/>
          <w:spacing w:val="-3"/>
          <w:lang w:val="es-ES_tradnl"/>
        </w:rPr>
        <w:t xml:space="preserve"> F</w:t>
      </w:r>
      <w:r w:rsidRPr="005064C3">
        <w:rPr>
          <w:rFonts w:ascii="Arial" w:hAnsi="Arial" w:cs="Arial"/>
          <w:smallCaps/>
          <w:spacing w:val="-3"/>
          <w:sz w:val="20"/>
          <w:lang w:val="es-ES_tradnl"/>
        </w:rPr>
        <w:t>AMILIA</w:t>
      </w:r>
      <w:r w:rsidRPr="00383E2F">
        <w:rPr>
          <w:rFonts w:ascii="Arial" w:hAnsi="Arial" w:cs="Arial"/>
          <w:spacing w:val="-3"/>
          <w:lang w:val="es-ES_tradnl"/>
        </w:rPr>
        <w:t>, administrando Justicia, en nombre de la República y por autoridad de la Ley,</w:t>
      </w:r>
    </w:p>
    <w:p w:rsidR="00525C2D" w:rsidRDefault="00525C2D" w:rsidP="00525C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r w:rsidRPr="00383E2F">
        <w:rPr>
          <w:rFonts w:ascii="Arial" w:hAnsi="Arial" w:cs="Arial"/>
          <w:smallCaps/>
          <w:spacing w:val="-3"/>
          <w:lang w:val="es-ES_tradnl"/>
        </w:rPr>
        <w:t>F A L L A,</w:t>
      </w:r>
    </w:p>
    <w:p w:rsidR="00525C2D" w:rsidRPr="00383E2F" w:rsidRDefault="00525C2D" w:rsidP="00525C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69261A" w:rsidRDefault="00FE55CA" w:rsidP="0069261A">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TUTELAR el derecho de petición</w:t>
      </w:r>
      <w:r w:rsidR="0069261A">
        <w:rPr>
          <w:rFonts w:ascii="Arial" w:hAnsi="Arial"/>
          <w:szCs w:val="24"/>
        </w:rPr>
        <w:t xml:space="preserve"> </w:t>
      </w:r>
      <w:r w:rsidR="0069261A" w:rsidRPr="00B77970">
        <w:rPr>
          <w:rFonts w:ascii="Arial" w:hAnsi="Arial"/>
          <w:szCs w:val="24"/>
        </w:rPr>
        <w:t xml:space="preserve">del señor </w:t>
      </w:r>
      <w:r>
        <w:rPr>
          <w:rFonts w:ascii="Arial" w:hAnsi="Arial"/>
          <w:szCs w:val="24"/>
        </w:rPr>
        <w:t>Nolberto Torres Ospina</w:t>
      </w:r>
      <w:r w:rsidR="0069261A">
        <w:rPr>
          <w:rFonts w:ascii="Arial" w:hAnsi="Arial"/>
        </w:rPr>
        <w:t>,</w:t>
      </w:r>
      <w:r w:rsidR="0069261A" w:rsidRPr="00B77970">
        <w:rPr>
          <w:rFonts w:ascii="Arial" w:hAnsi="Arial"/>
          <w:szCs w:val="24"/>
        </w:rPr>
        <w:t xml:space="preserve"> según </w:t>
      </w:r>
      <w:r w:rsidR="003E16E4">
        <w:rPr>
          <w:rFonts w:ascii="Arial" w:hAnsi="Arial"/>
          <w:szCs w:val="24"/>
        </w:rPr>
        <w:t>lo discurrido en esta sentencia, frente al Grupo de Prestaciones Sociales del Ministerio de Defensa Nacional.</w:t>
      </w:r>
    </w:p>
    <w:p w:rsidR="0069261A" w:rsidRPr="00B77970" w:rsidRDefault="0069261A" w:rsidP="0069261A">
      <w:pPr>
        <w:pStyle w:val="Textoindependiente"/>
        <w:tabs>
          <w:tab w:val="clear" w:pos="708"/>
        </w:tabs>
        <w:spacing w:line="360" w:lineRule="auto"/>
        <w:ind w:left="360"/>
        <w:rPr>
          <w:rFonts w:ascii="Arial" w:hAnsi="Arial"/>
          <w:szCs w:val="24"/>
        </w:rPr>
      </w:pPr>
    </w:p>
    <w:p w:rsidR="0069261A" w:rsidRDefault="0069261A" w:rsidP="0069261A">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ORDENAR</w:t>
      </w:r>
      <w:r>
        <w:rPr>
          <w:rFonts w:ascii="Arial" w:hAnsi="Arial"/>
          <w:szCs w:val="24"/>
        </w:rPr>
        <w:t>, en consecuencia,</w:t>
      </w:r>
      <w:r w:rsidRPr="00B77970">
        <w:rPr>
          <w:rFonts w:ascii="Arial" w:hAnsi="Arial"/>
          <w:szCs w:val="24"/>
        </w:rPr>
        <w:t xml:space="preserve"> </w:t>
      </w:r>
      <w:r w:rsidR="00DF3871">
        <w:rPr>
          <w:rFonts w:ascii="Arial" w:hAnsi="Arial"/>
          <w:szCs w:val="24"/>
        </w:rPr>
        <w:t>a</w:t>
      </w:r>
      <w:r w:rsidR="00FE55CA">
        <w:rPr>
          <w:rFonts w:ascii="Arial" w:hAnsi="Arial"/>
          <w:szCs w:val="24"/>
        </w:rPr>
        <w:t xml:space="preserve"> </w:t>
      </w:r>
      <w:r w:rsidR="00DF3871">
        <w:rPr>
          <w:rFonts w:ascii="Arial" w:hAnsi="Arial"/>
          <w:szCs w:val="24"/>
        </w:rPr>
        <w:t>l</w:t>
      </w:r>
      <w:r w:rsidR="00FE55CA">
        <w:rPr>
          <w:rFonts w:ascii="Arial" w:hAnsi="Arial"/>
          <w:szCs w:val="24"/>
        </w:rPr>
        <w:t>a</w:t>
      </w:r>
      <w:r w:rsidR="00355323">
        <w:rPr>
          <w:rFonts w:ascii="Arial" w:hAnsi="Arial"/>
          <w:szCs w:val="24"/>
        </w:rPr>
        <w:t xml:space="preserve"> doctora Lina María Torres Camargo, </w:t>
      </w:r>
      <w:r w:rsidR="00FE55CA">
        <w:rPr>
          <w:rFonts w:ascii="Arial" w:hAnsi="Arial" w:cs="Arial"/>
          <w:szCs w:val="24"/>
        </w:rPr>
        <w:t>Coordinadora d</w:t>
      </w:r>
      <w:r w:rsidR="00FE55CA">
        <w:rPr>
          <w:rFonts w:ascii="Arial" w:hAnsi="Arial"/>
          <w:szCs w:val="24"/>
        </w:rPr>
        <w:t>el Grupo de Prestaciones Sociales del Ministerio de Defensa Nacional</w:t>
      </w:r>
      <w:r>
        <w:rPr>
          <w:rFonts w:ascii="Arial" w:hAnsi="Arial"/>
        </w:rPr>
        <w:t>,</w:t>
      </w:r>
      <w:r w:rsidRPr="00667E9D">
        <w:rPr>
          <w:rFonts w:ascii="Arial" w:hAnsi="Arial"/>
        </w:rPr>
        <w:t xml:space="preserve"> en el perentorio término de cuarenta y ocho (48) horas siguientes a la notificación </w:t>
      </w:r>
      <w:r>
        <w:rPr>
          <w:rFonts w:ascii="Arial" w:hAnsi="Arial"/>
        </w:rPr>
        <w:t xml:space="preserve">de </w:t>
      </w:r>
      <w:r w:rsidRPr="00667E9D">
        <w:rPr>
          <w:rFonts w:ascii="Arial" w:hAnsi="Arial"/>
        </w:rPr>
        <w:t xml:space="preserve">esta sentencia, </w:t>
      </w:r>
      <w:r w:rsidR="00FE55CA" w:rsidRPr="00667E9D">
        <w:rPr>
          <w:rFonts w:ascii="Arial" w:hAnsi="Arial"/>
        </w:rPr>
        <w:t xml:space="preserve">conteste </w:t>
      </w:r>
      <w:r w:rsidR="00FE55CA">
        <w:rPr>
          <w:rFonts w:ascii="Arial" w:hAnsi="Arial"/>
        </w:rPr>
        <w:t xml:space="preserve">al </w:t>
      </w:r>
      <w:r w:rsidR="00FE55CA" w:rsidRPr="00667E9D">
        <w:rPr>
          <w:rFonts w:ascii="Arial" w:hAnsi="Arial"/>
        </w:rPr>
        <w:t>accionante la petición</w:t>
      </w:r>
      <w:r w:rsidR="00FE55CA">
        <w:rPr>
          <w:rFonts w:ascii="Arial" w:hAnsi="Arial"/>
        </w:rPr>
        <w:t xml:space="preserve"> radicada el </w:t>
      </w:r>
      <w:r w:rsidR="00355323">
        <w:rPr>
          <w:rFonts w:ascii="Arial" w:hAnsi="Arial"/>
        </w:rPr>
        <w:t xml:space="preserve">11-12-2014 reiterada el </w:t>
      </w:r>
      <w:r w:rsidR="00FE55CA">
        <w:rPr>
          <w:rFonts w:ascii="Arial" w:hAnsi="Arial"/>
        </w:rPr>
        <w:t>05-08-2015, así: (a) Decidiendo de fondo el asunto; (b) Expresando en forma clara los motivos y la decisión; (c) Cuidando la coherencia; (d) Comunicando oportunamente a</w:t>
      </w:r>
      <w:r w:rsidR="00355323">
        <w:rPr>
          <w:rFonts w:ascii="Arial" w:hAnsi="Arial"/>
        </w:rPr>
        <w:t>l</w:t>
      </w:r>
      <w:r w:rsidR="00FE55CA">
        <w:rPr>
          <w:rFonts w:ascii="Arial" w:hAnsi="Arial"/>
        </w:rPr>
        <w:t xml:space="preserve"> solicitante, de tal forma que no queden incertidumbres sobre la decisión</w:t>
      </w:r>
      <w:r w:rsidR="00355323">
        <w:rPr>
          <w:rFonts w:ascii="Arial" w:hAnsi="Arial"/>
        </w:rPr>
        <w:t>; e</w:t>
      </w:r>
      <w:r w:rsidR="00FE55CA">
        <w:rPr>
          <w:rFonts w:ascii="Arial" w:hAnsi="Arial"/>
        </w:rPr>
        <w:t xml:space="preserve">, (e) Indicando </w:t>
      </w:r>
      <w:r>
        <w:rPr>
          <w:rFonts w:ascii="Arial" w:hAnsi="Arial"/>
        </w:rPr>
        <w:t>los recursos que proceden.</w:t>
      </w:r>
    </w:p>
    <w:p w:rsidR="0069261A" w:rsidRDefault="0069261A" w:rsidP="0069261A">
      <w:pPr>
        <w:pStyle w:val="Textoindependiente"/>
        <w:tabs>
          <w:tab w:val="clear" w:pos="708"/>
        </w:tabs>
        <w:spacing w:line="360" w:lineRule="auto"/>
        <w:rPr>
          <w:rFonts w:ascii="Arial" w:hAnsi="Arial"/>
          <w:szCs w:val="24"/>
        </w:rPr>
      </w:pPr>
    </w:p>
    <w:p w:rsidR="003E16E4" w:rsidRDefault="0069261A" w:rsidP="003E16E4">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ADVERTIR expresamente </w:t>
      </w:r>
      <w:r w:rsidR="00355323">
        <w:rPr>
          <w:rFonts w:ascii="Arial" w:hAnsi="Arial"/>
          <w:szCs w:val="24"/>
        </w:rPr>
        <w:t xml:space="preserve">la doctora Lina María Torres Camargo, </w:t>
      </w:r>
      <w:r w:rsidR="00355323">
        <w:rPr>
          <w:rFonts w:ascii="Arial" w:hAnsi="Arial" w:cs="Arial"/>
          <w:szCs w:val="24"/>
        </w:rPr>
        <w:t>Coordinadora d</w:t>
      </w:r>
      <w:r w:rsidR="00355323">
        <w:rPr>
          <w:rFonts w:ascii="Arial" w:hAnsi="Arial"/>
          <w:szCs w:val="24"/>
        </w:rPr>
        <w:t>el Grupo de Prestaciones Sociales del Ministerio de Defensa Nacional</w:t>
      </w:r>
      <w:r>
        <w:rPr>
          <w:rFonts w:ascii="Arial" w:hAnsi="Arial"/>
          <w:szCs w:val="24"/>
        </w:rPr>
        <w:t xml:space="preserve">, que el incumplimiento a las órdenes impartidas en esta decisión, se sancionan con arresto y multa, previo incidente ante esta Sala. </w:t>
      </w:r>
    </w:p>
    <w:p w:rsidR="003E16E4" w:rsidRDefault="003E16E4" w:rsidP="003E16E4">
      <w:pPr>
        <w:pStyle w:val="Prrafodelista"/>
        <w:rPr>
          <w:rFonts w:ascii="Arial" w:hAnsi="Arial" w:cs="Arial"/>
        </w:rPr>
      </w:pPr>
    </w:p>
    <w:p w:rsidR="003E16E4" w:rsidRPr="003E16E4" w:rsidRDefault="003E16E4" w:rsidP="0060554B">
      <w:pPr>
        <w:pStyle w:val="Textoindependiente"/>
        <w:numPr>
          <w:ilvl w:val="0"/>
          <w:numId w:val="6"/>
        </w:numPr>
        <w:tabs>
          <w:tab w:val="clear" w:pos="720"/>
          <w:tab w:val="num" w:pos="360"/>
        </w:tabs>
        <w:spacing w:line="360" w:lineRule="auto"/>
        <w:ind w:left="360"/>
        <w:rPr>
          <w:rFonts w:ascii="Arial" w:hAnsi="Arial"/>
          <w:szCs w:val="24"/>
        </w:rPr>
      </w:pPr>
      <w:r w:rsidRPr="003E16E4">
        <w:rPr>
          <w:rFonts w:ascii="Arial" w:hAnsi="Arial" w:cs="Arial"/>
        </w:rPr>
        <w:t xml:space="preserve">DECLARAR improcedente la tutela propuesta </w:t>
      </w:r>
      <w:r>
        <w:rPr>
          <w:rFonts w:ascii="Arial" w:hAnsi="Arial" w:cs="Arial"/>
        </w:rPr>
        <w:t xml:space="preserve">frente a la Caja de Retiro de las Fuerzas Militares </w:t>
      </w:r>
      <w:r w:rsidRPr="003E16E4">
        <w:rPr>
          <w:rFonts w:ascii="Arial" w:hAnsi="Arial" w:cs="Arial"/>
        </w:rPr>
        <w:t xml:space="preserve">por haberse incumplido el requisito de </w:t>
      </w:r>
      <w:r>
        <w:rPr>
          <w:rFonts w:ascii="Arial" w:hAnsi="Arial" w:cs="Arial"/>
        </w:rPr>
        <w:t>inmediatez</w:t>
      </w:r>
      <w:r w:rsidRPr="003E16E4">
        <w:rPr>
          <w:rFonts w:ascii="Arial" w:hAnsi="Arial" w:cs="Arial"/>
          <w:szCs w:val="24"/>
        </w:rPr>
        <w:t>.</w:t>
      </w:r>
    </w:p>
    <w:p w:rsidR="003E16E4" w:rsidRDefault="003E16E4" w:rsidP="003E16E4">
      <w:pPr>
        <w:pStyle w:val="Prrafodelista"/>
        <w:rPr>
          <w:rFonts w:ascii="Arial" w:hAnsi="Arial" w:cs="Arial"/>
        </w:rPr>
      </w:pPr>
    </w:p>
    <w:p w:rsidR="00355323" w:rsidRPr="003E16E4" w:rsidRDefault="00355323" w:rsidP="0060554B">
      <w:pPr>
        <w:pStyle w:val="Textoindependiente"/>
        <w:numPr>
          <w:ilvl w:val="0"/>
          <w:numId w:val="6"/>
        </w:numPr>
        <w:tabs>
          <w:tab w:val="clear" w:pos="720"/>
          <w:tab w:val="num" w:pos="360"/>
        </w:tabs>
        <w:spacing w:line="360" w:lineRule="auto"/>
        <w:ind w:left="360"/>
        <w:rPr>
          <w:rFonts w:ascii="Arial" w:hAnsi="Arial"/>
          <w:szCs w:val="24"/>
        </w:rPr>
      </w:pPr>
      <w:r w:rsidRPr="003E16E4">
        <w:rPr>
          <w:rFonts w:ascii="Arial" w:hAnsi="Arial" w:cs="Arial"/>
        </w:rPr>
        <w:t xml:space="preserve">NEGAR </w:t>
      </w:r>
      <w:r w:rsidRPr="003E16E4">
        <w:rPr>
          <w:rFonts w:ascii="Arial" w:hAnsi="Arial" w:cs="Arial"/>
          <w:szCs w:val="24"/>
        </w:rPr>
        <w:t xml:space="preserve">la acción de tutela frente al </w:t>
      </w:r>
      <w:r w:rsidRPr="003E16E4">
        <w:rPr>
          <w:rFonts w:ascii="Arial" w:hAnsi="Arial" w:cs="Arial"/>
        </w:rPr>
        <w:t>Ministerio de Defensa Nacional y la Dirección de Personal del Ejército Nacional</w:t>
      </w:r>
      <w:r w:rsidRPr="003E16E4">
        <w:rPr>
          <w:rFonts w:ascii="Arial" w:hAnsi="Arial" w:cs="Arial"/>
          <w:spacing w:val="3"/>
          <w:szCs w:val="24"/>
        </w:rPr>
        <w:t>;</w:t>
      </w:r>
      <w:r w:rsidRPr="003E16E4">
        <w:rPr>
          <w:rFonts w:ascii="Arial" w:hAnsi="Arial" w:cs="Arial"/>
          <w:szCs w:val="24"/>
        </w:rPr>
        <w:t xml:space="preserve"> por inexistencia de violación o amenaza a los derechos invocados.</w:t>
      </w:r>
    </w:p>
    <w:p w:rsidR="0069261A" w:rsidRDefault="0069261A" w:rsidP="003E16E4">
      <w:pPr>
        <w:pStyle w:val="Prrafodelista"/>
        <w:ind w:left="426"/>
        <w:rPr>
          <w:rFonts w:ascii="Arial" w:hAnsi="Arial"/>
        </w:rPr>
      </w:pPr>
    </w:p>
    <w:p w:rsidR="0069261A" w:rsidRPr="00B77970" w:rsidRDefault="0069261A" w:rsidP="003E16E4">
      <w:pPr>
        <w:pStyle w:val="Textoindependiente"/>
        <w:numPr>
          <w:ilvl w:val="0"/>
          <w:numId w:val="6"/>
        </w:numPr>
        <w:tabs>
          <w:tab w:val="clear" w:pos="720"/>
          <w:tab w:val="num" w:pos="360"/>
        </w:tabs>
        <w:spacing w:line="360" w:lineRule="auto"/>
        <w:ind w:left="426"/>
        <w:rPr>
          <w:rFonts w:ascii="Arial" w:hAnsi="Arial"/>
          <w:szCs w:val="24"/>
        </w:rPr>
      </w:pPr>
      <w:r w:rsidRPr="00B77970">
        <w:rPr>
          <w:rFonts w:ascii="Arial" w:hAnsi="Arial"/>
          <w:szCs w:val="24"/>
        </w:rPr>
        <w:t>NOTIFICAR esta decisión a todas las partes, por el medio más expedito y eficaz.</w:t>
      </w:r>
    </w:p>
    <w:p w:rsidR="0069261A" w:rsidRPr="00B77970" w:rsidRDefault="0069261A" w:rsidP="003E16E4">
      <w:pPr>
        <w:pStyle w:val="Textoindependiente"/>
        <w:tabs>
          <w:tab w:val="clear" w:pos="708"/>
          <w:tab w:val="num" w:pos="360"/>
        </w:tabs>
        <w:spacing w:line="360" w:lineRule="auto"/>
        <w:ind w:left="426"/>
        <w:rPr>
          <w:rFonts w:ascii="Arial" w:hAnsi="Arial"/>
          <w:szCs w:val="24"/>
        </w:rPr>
      </w:pPr>
    </w:p>
    <w:p w:rsidR="0069261A" w:rsidRDefault="0069261A" w:rsidP="003E16E4">
      <w:pPr>
        <w:pStyle w:val="Textoindependiente"/>
        <w:numPr>
          <w:ilvl w:val="0"/>
          <w:numId w:val="6"/>
        </w:numPr>
        <w:tabs>
          <w:tab w:val="clear" w:pos="720"/>
          <w:tab w:val="num" w:pos="360"/>
        </w:tabs>
        <w:spacing w:line="360" w:lineRule="auto"/>
        <w:ind w:left="426"/>
        <w:rPr>
          <w:rFonts w:ascii="Arial" w:hAnsi="Arial"/>
          <w:szCs w:val="24"/>
        </w:rPr>
      </w:pPr>
      <w:r w:rsidRPr="00B77970">
        <w:rPr>
          <w:rFonts w:ascii="Arial" w:hAnsi="Arial"/>
          <w:szCs w:val="24"/>
        </w:rPr>
        <w:t>REMITIR la presente acción, de no ser impugnado este fallo, a la Corte Constitucional para su eventual revisión.</w:t>
      </w:r>
    </w:p>
    <w:p w:rsidR="00764451" w:rsidRDefault="00764451" w:rsidP="00764451">
      <w:pPr>
        <w:pStyle w:val="Prrafodelista"/>
        <w:rPr>
          <w:rFonts w:ascii="Arial" w:hAnsi="Arial"/>
        </w:rPr>
      </w:pPr>
    </w:p>
    <w:p w:rsidR="00AC4804" w:rsidRDefault="0069261A" w:rsidP="0076445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ARCHIVAR el expediente, previas anotaciones en los libros radicadores, una vez agotado el trámite ante la Corte Constitucional.</w:t>
      </w:r>
    </w:p>
    <w:p w:rsidR="00764451" w:rsidRDefault="00764451" w:rsidP="00764451">
      <w:pPr>
        <w:pStyle w:val="Prrafodelista"/>
        <w:rPr>
          <w:rFonts w:ascii="Arial" w:hAnsi="Arial"/>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5900E8" w:rsidRDefault="005900E8" w:rsidP="00C641FE">
      <w:pPr>
        <w:pStyle w:val="Textoindependiente"/>
        <w:spacing w:line="360" w:lineRule="auto"/>
        <w:jc w:val="center"/>
        <w:rPr>
          <w:rFonts w:ascii="Arial" w:hAnsi="Arial"/>
          <w:sz w:val="22"/>
        </w:rPr>
      </w:pPr>
    </w:p>
    <w:p w:rsidR="00355323" w:rsidRDefault="00355323" w:rsidP="00C641FE">
      <w:pPr>
        <w:pStyle w:val="Textoindependiente"/>
        <w:spacing w:line="360" w:lineRule="auto"/>
        <w:jc w:val="center"/>
        <w:rPr>
          <w:rFonts w:ascii="Arial" w:hAnsi="Arial"/>
          <w:sz w:val="22"/>
        </w:rPr>
      </w:pPr>
    </w:p>
    <w:p w:rsidR="008634F9" w:rsidRPr="009A36CF"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8634F9" w:rsidRPr="009A36CF"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0B2D52" w:rsidRPr="00355323" w:rsidRDefault="000B2D52"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8"/>
          <w:lang w:val="es-ES_tradnl"/>
        </w:rPr>
      </w:pPr>
    </w:p>
    <w:p w:rsidR="000B2D52" w:rsidRPr="00355323" w:rsidRDefault="000B2D52"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8"/>
          <w:lang w:val="es-ES_tradnl"/>
        </w:rPr>
      </w:pPr>
    </w:p>
    <w:p w:rsidR="00025CC3" w:rsidRPr="00025CC3" w:rsidRDefault="00025CC3" w:rsidP="00025CC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0B2D52" w:rsidRDefault="00025CC3" w:rsidP="00101EF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sidR="00403E85">
        <w:rPr>
          <w:rFonts w:ascii="Arial" w:hAnsi="Arial" w:cs="Arial"/>
          <w:i/>
          <w:w w:val="150"/>
          <w:sz w:val="18"/>
          <w:lang w:val="en-GB"/>
        </w:rPr>
        <w:t xml:space="preserve"> </w:t>
      </w:r>
      <w:r w:rsidRPr="00025CC3">
        <w:rPr>
          <w:rFonts w:ascii="Arial" w:hAnsi="Arial" w:cs="Arial"/>
          <w:i/>
          <w:w w:val="150"/>
          <w:sz w:val="18"/>
          <w:lang w:val="en-GB"/>
        </w:rPr>
        <w:t>O</w:t>
      </w:r>
    </w:p>
    <w:sectPr w:rsidR="000B2D52" w:rsidSect="00333BA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07" w:rsidRDefault="00F60607" w:rsidP="0099045D">
      <w:r>
        <w:separator/>
      </w:r>
    </w:p>
  </w:endnote>
  <w:endnote w:type="continuationSeparator" w:id="0">
    <w:p w:rsidR="00F60607" w:rsidRDefault="00F6060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07" w:rsidRDefault="00F60607" w:rsidP="0099045D">
      <w:r>
        <w:separator/>
      </w:r>
    </w:p>
  </w:footnote>
  <w:footnote w:type="continuationSeparator" w:id="0">
    <w:p w:rsidR="00F60607" w:rsidRDefault="00F60607" w:rsidP="0099045D">
      <w:r>
        <w:continuationSeparator/>
      </w:r>
    </w:p>
  </w:footnote>
  <w:footnote w:id="1">
    <w:p w:rsidR="00EF4C81" w:rsidRPr="00376F61" w:rsidRDefault="00EF4C81" w:rsidP="00EF4C81">
      <w:pPr>
        <w:pStyle w:val="Textonotapie"/>
        <w:jc w:val="both"/>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lang w:val="es-CO"/>
        </w:rPr>
        <w:t xml:space="preserve"> </w:t>
      </w:r>
      <w:r w:rsidRPr="00376F61">
        <w:rPr>
          <w:rFonts w:asciiTheme="minorHAnsi" w:hAnsiTheme="minorHAnsi" w:cs="Calibri"/>
        </w:rPr>
        <w:t xml:space="preserve">CORTE CONSTITUCIONAL.  Sentencia </w:t>
      </w:r>
      <w:r w:rsidRPr="00376F61">
        <w:rPr>
          <w:rFonts w:asciiTheme="minorHAnsi" w:hAnsiTheme="minorHAnsi" w:cs="Calibri"/>
          <w:lang w:val="es-CO"/>
        </w:rPr>
        <w:t xml:space="preserve">T-890 del 02-11- 2006. </w:t>
      </w:r>
    </w:p>
  </w:footnote>
  <w:footnote w:id="2">
    <w:p w:rsidR="00EF4C81" w:rsidRPr="00376F61" w:rsidRDefault="00EF4C81" w:rsidP="00EF4C81">
      <w:pPr>
        <w:pStyle w:val="Textonotapie"/>
        <w:jc w:val="both"/>
        <w:rPr>
          <w:rFonts w:asciiTheme="minorHAnsi" w:hAnsiTheme="minorHAnsi"/>
        </w:rPr>
      </w:pPr>
      <w:r w:rsidRPr="00376F61">
        <w:rPr>
          <w:rStyle w:val="Refdenotaalpie"/>
          <w:rFonts w:asciiTheme="minorHAnsi" w:hAnsiTheme="minorHAnsi" w:cs="Calibri"/>
        </w:rPr>
        <w:footnoteRef/>
      </w:r>
      <w:r>
        <w:rPr>
          <w:rFonts w:asciiTheme="minorHAnsi" w:hAnsiTheme="minorHAnsi" w:cs="Calibri"/>
          <w:lang w:val="es-CO"/>
        </w:rPr>
        <w:t xml:space="preserve"> </w:t>
      </w:r>
      <w:r w:rsidRPr="00376F61">
        <w:rPr>
          <w:rFonts w:asciiTheme="minorHAnsi" w:hAnsiTheme="minorHAnsi" w:cs="Calibri"/>
          <w:lang w:val="es-CO"/>
        </w:rPr>
        <w:t>CORTE SUPREMA DE JUSTICIA, Sala de Casación Civil. Sentencia del 09-03-2011.</w:t>
      </w:r>
    </w:p>
  </w:footnote>
  <w:footnote w:id="3">
    <w:p w:rsidR="00EF4C81" w:rsidRPr="00C83EC6" w:rsidRDefault="00EF4C81" w:rsidP="00EF4C81">
      <w:pPr>
        <w:pStyle w:val="Textonotapie"/>
        <w:jc w:val="both"/>
        <w:rPr>
          <w:rFonts w:asciiTheme="minorHAnsi" w:hAnsiTheme="minorHAnsi"/>
        </w:rPr>
      </w:pPr>
      <w:r w:rsidRPr="007B0ED5">
        <w:rPr>
          <w:rStyle w:val="Refdenotaalpie"/>
          <w:rFonts w:cs="Calibri"/>
        </w:rPr>
        <w:footnoteRef/>
      </w:r>
      <w:r w:rsidRPr="007B0ED5">
        <w:rPr>
          <w:rFonts w:cs="Calibri"/>
        </w:rPr>
        <w:t xml:space="preserve"> </w:t>
      </w:r>
      <w:r w:rsidRPr="00C83EC6">
        <w:rPr>
          <w:rFonts w:asciiTheme="minorHAnsi" w:hAnsiTheme="minorHAnsi" w:cs="Calibri"/>
        </w:rPr>
        <w:t>CORTE CONSTITUCIONAL.  Sentencia T-1079 del 05-11-2008.</w:t>
      </w:r>
    </w:p>
  </w:footnote>
  <w:footnote w:id="4">
    <w:p w:rsidR="00EF4C81" w:rsidRPr="00C83EC6" w:rsidRDefault="00EF4C81" w:rsidP="00EF4C81">
      <w:pPr>
        <w:pStyle w:val="Textonotapie"/>
        <w:jc w:val="both"/>
        <w:rPr>
          <w:rFonts w:asciiTheme="minorHAnsi" w:hAnsiTheme="minorHAnsi"/>
          <w:lang w:val="es-CO"/>
        </w:rPr>
      </w:pPr>
      <w:r w:rsidRPr="00C83EC6">
        <w:rPr>
          <w:rStyle w:val="Refdenotaalpie"/>
          <w:rFonts w:asciiTheme="minorHAnsi" w:hAnsiTheme="minorHAnsi"/>
          <w:lang w:val="es-CO"/>
        </w:rPr>
        <w:footnoteRef/>
      </w:r>
      <w:r w:rsidRPr="00C83EC6">
        <w:rPr>
          <w:rFonts w:asciiTheme="minorHAnsi" w:hAnsiTheme="minorHAnsi"/>
          <w:lang w:val="es-CO"/>
        </w:rPr>
        <w:t xml:space="preserve"> CORTE SUPREMA DE JUSTICIA, Sala de Casación Penal – Sala de decisión de tutelas No.3. Sentencia del </w:t>
      </w:r>
      <w:r>
        <w:rPr>
          <w:rFonts w:asciiTheme="minorHAnsi" w:hAnsiTheme="minorHAnsi"/>
          <w:lang w:val="es-CO"/>
        </w:rPr>
        <w:t>11-03-2014, M.P. Eugenio Fernández Carlier.</w:t>
      </w:r>
    </w:p>
  </w:footnote>
  <w:footnote w:id="5">
    <w:p w:rsidR="00EF4C81" w:rsidRPr="00C83EC6" w:rsidRDefault="00EF4C81" w:rsidP="00EF4C81">
      <w:pPr>
        <w:pStyle w:val="Textonotapie"/>
        <w:rPr>
          <w:lang w:val="es-CO"/>
        </w:rPr>
      </w:pPr>
      <w:r>
        <w:rPr>
          <w:rStyle w:val="Refdenotaalpie"/>
        </w:rPr>
        <w:footnoteRef/>
      </w:r>
      <w:r>
        <w:t xml:space="preserve"> </w:t>
      </w:r>
      <w:r w:rsidRPr="00C83EC6">
        <w:rPr>
          <w:rFonts w:asciiTheme="minorHAnsi" w:hAnsiTheme="minorHAnsi"/>
          <w:lang w:val="es-CO"/>
        </w:rPr>
        <w:t xml:space="preserve">CORTE SUPREMA DE JUSTICIA, Sala de Casación </w:t>
      </w:r>
      <w:r>
        <w:rPr>
          <w:rFonts w:asciiTheme="minorHAnsi" w:hAnsiTheme="minorHAnsi"/>
          <w:lang w:val="es-CO"/>
        </w:rPr>
        <w:t>Civil,</w:t>
      </w:r>
      <w:r w:rsidRPr="00C83EC6">
        <w:rPr>
          <w:rFonts w:asciiTheme="minorHAnsi" w:hAnsiTheme="minorHAnsi"/>
          <w:lang w:val="es-CO"/>
        </w:rPr>
        <w:t xml:space="preserve"> </w:t>
      </w:r>
      <w:r>
        <w:rPr>
          <w:rFonts w:asciiTheme="minorHAnsi" w:hAnsiTheme="minorHAnsi"/>
          <w:lang w:val="es-CO"/>
        </w:rPr>
        <w:t>s</w:t>
      </w:r>
      <w:r w:rsidRPr="00C83EC6">
        <w:rPr>
          <w:rFonts w:asciiTheme="minorHAnsi" w:hAnsiTheme="minorHAnsi"/>
          <w:lang w:val="es-CO"/>
        </w:rPr>
        <w:t xml:space="preserve">entencia del </w:t>
      </w:r>
      <w:r>
        <w:rPr>
          <w:rFonts w:asciiTheme="minorHAnsi" w:hAnsiTheme="minorHAnsi"/>
          <w:lang w:val="es-CO"/>
        </w:rPr>
        <w:t>02-09</w:t>
      </w:r>
      <w:r w:rsidRPr="00C83EC6">
        <w:rPr>
          <w:rFonts w:asciiTheme="minorHAnsi" w:hAnsiTheme="minorHAnsi"/>
          <w:lang w:val="es-CO"/>
        </w:rPr>
        <w:t>-2014</w:t>
      </w:r>
      <w:r>
        <w:rPr>
          <w:rFonts w:asciiTheme="minorHAnsi" w:hAnsiTheme="minorHAnsi"/>
          <w:lang w:val="es-CO"/>
        </w:rPr>
        <w:t>, M.P. Margarita Cabello Blanco.</w:t>
      </w:r>
    </w:p>
  </w:footnote>
  <w:footnote w:id="6">
    <w:p w:rsidR="00EF4C81" w:rsidRPr="00C83EC6" w:rsidRDefault="00EF4C81" w:rsidP="00EF4C81">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T-016 del 25-01-2006.</w:t>
      </w:r>
    </w:p>
  </w:footnote>
  <w:footnote w:id="7">
    <w:p w:rsidR="00EF4C81" w:rsidRPr="00C83EC6" w:rsidRDefault="00EF4C81" w:rsidP="00EF4C81">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T-684 del 08-08-2003.</w:t>
      </w:r>
    </w:p>
  </w:footnote>
  <w:footnote w:id="8">
    <w:p w:rsidR="00EF4C81" w:rsidRPr="00C83EC6" w:rsidRDefault="00EF4C81" w:rsidP="00EF4C81">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QUINCHE RAMÍREZ, Manuel Fernando. La acción de tutela, el amparo en Colombia, Temis, Bogotá DC, 2011, p.105-106.</w:t>
      </w:r>
    </w:p>
  </w:footnote>
  <w:footnote w:id="9">
    <w:p w:rsidR="00EF4C81" w:rsidRPr="00376F61" w:rsidRDefault="00EF4C81" w:rsidP="00EF4C81">
      <w:pPr>
        <w:pStyle w:val="Textonotapie"/>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rPr>
        <w:t xml:space="preserve"> </w:t>
      </w:r>
      <w:r w:rsidRPr="00376F61">
        <w:rPr>
          <w:rFonts w:asciiTheme="minorHAnsi" w:hAnsiTheme="minorHAnsi" w:cs="Calibri"/>
          <w:lang w:val="es-CO"/>
        </w:rPr>
        <w:t>CORTE CONSTITUCIONAL. Sentencia T-217 del 17-04-2013</w:t>
      </w:r>
      <w:r w:rsidRPr="00376F61">
        <w:rPr>
          <w:rFonts w:asciiTheme="minorHAnsi" w:hAnsiTheme="minorHAnsi" w:cs="Calibri"/>
        </w:rPr>
        <w:t>.</w:t>
      </w:r>
    </w:p>
  </w:footnote>
  <w:footnote w:id="10">
    <w:p w:rsidR="00EF4C81" w:rsidRPr="00376F61" w:rsidRDefault="00EF4C81" w:rsidP="00EF4C81">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w:t>
      </w:r>
      <w:r w:rsidRPr="00376F61">
        <w:rPr>
          <w:rFonts w:asciiTheme="minorHAnsi" w:hAnsiTheme="minorHAnsi" w:cs="Calibri"/>
          <w:lang w:val="es-CO"/>
        </w:rPr>
        <w:t xml:space="preserve">Sentencias T-016 de 2006, T-158 de 2006, T-654 de 2006, T-890 de 2006, T-905 de 2006, T-1084 de 2006, T-1009 de 2006, T-792 de 2007, T-594 de 2008 entre otras.  </w:t>
      </w:r>
    </w:p>
  </w:footnote>
  <w:footnote w:id="11">
    <w:p w:rsidR="00EF4C81" w:rsidRPr="00376F61" w:rsidRDefault="00EF4C81" w:rsidP="00EF4C81">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Sentencias T-526 de 2005, T-016 de 2006, T-158 de 2006, T-692 de 2006, T-890 de 2006, T-905 de 2006, T-1009 de 2006, T-1084 de 2006, T-825 de 2007, T-299 de 2009, T-691 de 2009 y T-883 de 2009, entre otras.</w:t>
      </w:r>
    </w:p>
  </w:footnote>
  <w:footnote w:id="12">
    <w:p w:rsidR="00EF4C81" w:rsidRPr="00376F61" w:rsidRDefault="00EF4C81" w:rsidP="00EF4C81">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 T-594 de 2008. En el mismo sentido sentencias T-526 de 2005, T-016 de 2006, T-692 de 2006, T-1009 de 2006, T-299 de 2009, T-691 de 2009, T-883 de 2009, entre otras. </w:t>
      </w:r>
    </w:p>
  </w:footnote>
  <w:footnote w:id="13">
    <w:p w:rsidR="008A49EF" w:rsidRPr="00CF0884" w:rsidRDefault="008A49EF" w:rsidP="008A49EF">
      <w:pPr>
        <w:pStyle w:val="Textonotapie"/>
        <w:jc w:val="both"/>
        <w:rPr>
          <w:rFonts w:ascii="Calibri" w:hAnsi="Calibri" w:cs="Calibri"/>
        </w:rPr>
      </w:pPr>
      <w:r w:rsidRPr="00CF0884">
        <w:rPr>
          <w:rStyle w:val="Refdenotaalpie"/>
          <w:rFonts w:ascii="Calibri" w:hAnsi="Calibri" w:cs="Calibri"/>
        </w:rPr>
        <w:footnoteRef/>
      </w:r>
      <w:r w:rsidRPr="00CF0884">
        <w:rPr>
          <w:rFonts w:ascii="Calibri" w:hAnsi="Calibri" w:cs="Calibri"/>
        </w:rPr>
        <w:t xml:space="preserve"> CORTE CONSTITUCIONAL. Sentencia T-146 del 06-08-</w:t>
      </w:r>
      <w:r w:rsidR="00DF3871" w:rsidRPr="00CF0884">
        <w:rPr>
          <w:rFonts w:ascii="Calibri" w:hAnsi="Calibri" w:cs="Calibri"/>
        </w:rPr>
        <w:t>2012</w:t>
      </w:r>
      <w:r w:rsidR="00DF3871">
        <w:rPr>
          <w:rFonts w:ascii="Calibri" w:hAnsi="Calibri" w:cs="Calibri"/>
        </w:rPr>
        <w:t>;</w:t>
      </w:r>
      <w:r>
        <w:rPr>
          <w:rFonts w:asciiTheme="minorHAnsi" w:hAnsiTheme="minorHAnsi" w:cs="Arial"/>
        </w:rPr>
        <w:t xml:space="preserve"> MP: Jorge Ignacio Pretelt Chaljub.</w:t>
      </w:r>
    </w:p>
  </w:footnote>
  <w:footnote w:id="14">
    <w:p w:rsidR="008A49EF" w:rsidRPr="00A201E5" w:rsidRDefault="008A49EF" w:rsidP="008A49EF">
      <w:pPr>
        <w:pStyle w:val="Textonotapie"/>
        <w:jc w:val="both"/>
        <w:rPr>
          <w:rFonts w:ascii="Calibri" w:hAnsi="Calibri" w:cs="Calibri"/>
        </w:rPr>
      </w:pPr>
      <w:r w:rsidRPr="00A201E5">
        <w:rPr>
          <w:rStyle w:val="Refdenotaalpie"/>
          <w:rFonts w:ascii="Calibri" w:hAnsi="Calibri" w:cs="Calibri"/>
        </w:rPr>
        <w:footnoteRef/>
      </w:r>
      <w:r w:rsidRPr="00A201E5">
        <w:rPr>
          <w:rFonts w:ascii="Calibri" w:hAnsi="Calibri" w:cs="Calibri"/>
        </w:rPr>
        <w:t xml:space="preserve"> T- 249 de 2001</w:t>
      </w:r>
      <w:r>
        <w:rPr>
          <w:rFonts w:ascii="Calibri" w:hAnsi="Calibri" w:cs="Calibri"/>
        </w:rPr>
        <w:t xml:space="preserve"> “</w:t>
      </w:r>
      <w:r w:rsidRPr="00A201E5">
        <w:rPr>
          <w:rFonts w:ascii="Calibri" w:hAnsi="Calibri" w:cs="Calibri"/>
        </w:rPr>
        <w:t>…pues no puede tenerse como real contestación la que sólo es conocida por la persona o entidad de quien se solicita la información”. T-912 de 2003 en la que se dice:”</w:t>
      </w:r>
      <w:r>
        <w:rPr>
          <w:rFonts w:ascii="Calibri" w:hAnsi="Calibri" w:cs="Calibri"/>
        </w:rPr>
        <w:t xml:space="preserve"> </w:t>
      </w:r>
      <w:r w:rsidRPr="00A201E5">
        <w:rPr>
          <w:rFonts w:ascii="Calibri" w:hAnsi="Calibri" w:cs="Calibri"/>
        </w:rPr>
        <w:t>según lo tiene establecido la Corte, una respuesta dirigida al juez de tutela no constituye una respuesta clara y oportuna notificada al interesado”.</w:t>
      </w:r>
    </w:p>
  </w:footnote>
  <w:footnote w:id="15">
    <w:p w:rsidR="008A49EF" w:rsidRPr="00A201E5" w:rsidRDefault="008A49EF" w:rsidP="008A49EF">
      <w:pPr>
        <w:pStyle w:val="Textonotapie"/>
        <w:jc w:val="both"/>
        <w:rPr>
          <w:rFonts w:ascii="Calibri" w:hAnsi="Calibri" w:cs="Calibri"/>
        </w:rPr>
      </w:pPr>
      <w:r w:rsidRPr="00A201E5">
        <w:rPr>
          <w:rFonts w:ascii="Calibri" w:hAnsi="Calibri" w:cs="Calibri"/>
          <w:vertAlign w:val="superscript"/>
        </w:rPr>
        <w:footnoteRef/>
      </w:r>
      <w:r w:rsidRPr="00A201E5">
        <w:rPr>
          <w:rFonts w:ascii="Calibri" w:hAnsi="Calibri" w:cs="Calibri"/>
        </w:rPr>
        <w:t xml:space="preserve"> CORTE CONSTITUCIONAL. Sentencia T-669 del </w:t>
      </w:r>
      <w:r>
        <w:rPr>
          <w:rFonts w:ascii="Calibri" w:hAnsi="Calibri" w:cs="Calibri"/>
        </w:rPr>
        <w:t>06-08-</w:t>
      </w:r>
      <w:r w:rsidRPr="00A201E5">
        <w:rPr>
          <w:rFonts w:ascii="Calibri" w:hAnsi="Calibri" w:cs="Calibri"/>
        </w:rPr>
        <w:t>2003</w:t>
      </w:r>
      <w:r>
        <w:rPr>
          <w:rFonts w:asciiTheme="minorHAnsi" w:hAnsiTheme="minorHAnsi" w:cs="Arial"/>
        </w:rPr>
        <w:t>; MP: Marco Gerardo Monroy Cabrera</w:t>
      </w:r>
      <w:r w:rsidRPr="00A201E5">
        <w:rPr>
          <w:rFonts w:ascii="Calibri" w:hAnsi="Calibri" w:cs="Calibri"/>
        </w:rPr>
        <w:t xml:space="preserve">. </w:t>
      </w:r>
    </w:p>
  </w:footnote>
  <w:footnote w:id="16">
    <w:p w:rsidR="008A49EF" w:rsidRPr="00175D03" w:rsidRDefault="008A49EF" w:rsidP="008A49EF">
      <w:pPr>
        <w:pStyle w:val="Textonotapie"/>
        <w:jc w:val="both"/>
        <w:rPr>
          <w:rFonts w:cs="Calibri"/>
        </w:rPr>
      </w:pPr>
      <w:r w:rsidRPr="00A201E5">
        <w:rPr>
          <w:rStyle w:val="Refdenotaalpie"/>
          <w:rFonts w:ascii="Calibri" w:hAnsi="Calibri" w:cs="Calibri"/>
        </w:rPr>
        <w:footnoteRef/>
      </w:r>
      <w:r w:rsidRPr="00A201E5">
        <w:rPr>
          <w:rFonts w:ascii="Calibri" w:hAnsi="Calibri" w:cs="Calibri"/>
        </w:rPr>
        <w:t xml:space="preserve"> CORTE CONSTITUCIONAL. Sentencia T-172 del </w:t>
      </w:r>
      <w:r>
        <w:rPr>
          <w:rFonts w:ascii="Calibri" w:hAnsi="Calibri" w:cs="Calibri"/>
        </w:rPr>
        <w:t>01-04</w:t>
      </w:r>
      <w:r w:rsidRPr="00A201E5">
        <w:rPr>
          <w:rFonts w:ascii="Calibri" w:hAnsi="Calibri" w:cs="Calibri"/>
        </w:rPr>
        <w:t>2013</w:t>
      </w:r>
      <w:r>
        <w:rPr>
          <w:rFonts w:asciiTheme="minorHAnsi" w:hAnsiTheme="minorHAnsi" w:cs="Arial"/>
        </w:rPr>
        <w:t>; MP: Jorge Iván Palacio Palacio</w:t>
      </w:r>
      <w:r w:rsidRPr="00A201E5">
        <w:rPr>
          <w:rFonts w:ascii="Calibri" w:hAnsi="Calibri" w:cs="Calibri"/>
        </w:rPr>
        <w:t>.</w:t>
      </w:r>
    </w:p>
  </w:footnote>
  <w:footnote w:id="17">
    <w:p w:rsidR="008A49EF" w:rsidRPr="00483A5C" w:rsidRDefault="008A49EF" w:rsidP="008A49EF">
      <w:pPr>
        <w:pStyle w:val="Textonotapie"/>
        <w:rPr>
          <w:lang w:val="es-CO"/>
        </w:rPr>
      </w:pPr>
      <w:r>
        <w:rPr>
          <w:rStyle w:val="Refdenotaalpie"/>
        </w:rPr>
        <w:footnoteRef/>
      </w:r>
      <w:r>
        <w:t xml:space="preserve"> </w:t>
      </w:r>
      <w:r w:rsidRPr="00A201E5">
        <w:rPr>
          <w:rFonts w:ascii="Calibri" w:hAnsi="Calibri" w:cs="Calibri"/>
        </w:rPr>
        <w:t>CORTE CONSTITUCIONAL. Sentencia T-</w:t>
      </w:r>
      <w:r>
        <w:rPr>
          <w:rFonts w:ascii="Calibri" w:hAnsi="Calibri" w:cs="Calibri"/>
        </w:rPr>
        <w:t>099</w:t>
      </w:r>
      <w:r w:rsidRPr="00A201E5">
        <w:rPr>
          <w:rFonts w:ascii="Calibri" w:hAnsi="Calibri" w:cs="Calibri"/>
        </w:rPr>
        <w:t xml:space="preserve"> del </w:t>
      </w:r>
      <w:r>
        <w:rPr>
          <w:rFonts w:ascii="Calibri" w:hAnsi="Calibri" w:cs="Calibri"/>
        </w:rPr>
        <w:t>24-02-</w:t>
      </w:r>
      <w:r w:rsidRPr="00A201E5">
        <w:rPr>
          <w:rFonts w:ascii="Calibri" w:hAnsi="Calibri" w:cs="Calibri"/>
        </w:rPr>
        <w:t>201</w:t>
      </w:r>
      <w:r>
        <w:rPr>
          <w:rFonts w:ascii="Calibri" w:hAnsi="Calibri" w:cs="Calibri"/>
        </w:rPr>
        <w:t>4</w:t>
      </w:r>
      <w:r>
        <w:rPr>
          <w:rFonts w:asciiTheme="minorHAnsi" w:hAnsiTheme="minorHAnsi" w:cs="Arial"/>
        </w:rPr>
        <w:t>; MP: Nilson Pinilla Pinilla.</w:t>
      </w:r>
    </w:p>
  </w:footnote>
  <w:footnote w:id="18">
    <w:p w:rsidR="005E4702" w:rsidRDefault="005E4702" w:rsidP="005E4702">
      <w:pPr>
        <w:pStyle w:val="Textonotapie"/>
        <w:jc w:val="both"/>
      </w:pPr>
      <w:r>
        <w:rPr>
          <w:rStyle w:val="Refdenotaalpie"/>
          <w:rFonts w:eastAsiaTheme="majorEastAsia"/>
        </w:rPr>
        <w:footnoteRef/>
      </w:r>
      <w:r>
        <w:t xml:space="preserve"> </w:t>
      </w:r>
      <w:r w:rsidRPr="00A14371">
        <w:rPr>
          <w:rFonts w:ascii="Calibri" w:hAnsi="Calibri" w:cs="Calibri"/>
          <w:lang w:val="es-MX"/>
        </w:rPr>
        <w:t>CORTE CONSTITUCIONAL. Sentencia T-119 de 2011 del 28-02-2011, MP: Jorge Ignacio Pretelt Chaljub.</w:t>
      </w:r>
    </w:p>
  </w:footnote>
  <w:footnote w:id="19">
    <w:p w:rsidR="005E4702" w:rsidRDefault="005E4702" w:rsidP="005E4702">
      <w:pPr>
        <w:pStyle w:val="Textonotapie"/>
        <w:jc w:val="both"/>
      </w:pPr>
      <w:r w:rsidRPr="00A14371">
        <w:rPr>
          <w:rStyle w:val="Refdenotaalpie"/>
          <w:rFonts w:ascii="Calibri" w:eastAsiaTheme="majorEastAsia" w:hAnsi="Calibri" w:cs="Calibri"/>
        </w:rPr>
        <w:footnoteRef/>
      </w:r>
      <w:r w:rsidRPr="00A14371">
        <w:rPr>
          <w:rFonts w:ascii="Calibri" w:hAnsi="Calibri" w:cs="Calibri"/>
        </w:rPr>
        <w:t xml:space="preserve"> Sentencias T-1263 del 29 de noviembre de </w:t>
      </w:r>
      <w:smartTag w:uri="urn:schemas-microsoft-com:office:smarttags" w:element="metricconverter">
        <w:smartTagPr>
          <w:attr w:name="ProductID" w:val="2009, M"/>
        </w:smartTagPr>
        <w:r w:rsidRPr="00A14371">
          <w:rPr>
            <w:rFonts w:ascii="Calibri" w:hAnsi="Calibri" w:cs="Calibri"/>
          </w:rPr>
          <w:t>2001, M</w:t>
        </w:r>
      </w:smartTag>
      <w:r w:rsidRPr="00A14371">
        <w:rPr>
          <w:rFonts w:ascii="Calibri" w:hAnsi="Calibri" w:cs="Calibri"/>
        </w:rPr>
        <w:t xml:space="preserve">.P. Jaime Córdoba Triviño y T-395 del  28 de mayo de </w:t>
      </w:r>
      <w:smartTag w:uri="urn:schemas-microsoft-com:office:smarttags" w:element="metricconverter">
        <w:smartTagPr>
          <w:attr w:name="ProductID" w:val="2009, M"/>
        </w:smartTagPr>
        <w:r w:rsidRPr="00A14371">
          <w:rPr>
            <w:rFonts w:ascii="Calibri" w:hAnsi="Calibri" w:cs="Calibri"/>
          </w:rPr>
          <w:t>2009, M</w:t>
        </w:r>
      </w:smartTag>
      <w:r w:rsidRPr="00A14371">
        <w:rPr>
          <w:rFonts w:ascii="Calibri" w:hAnsi="Calibri" w:cs="Calibri"/>
        </w:rPr>
        <w:t>.P. Luis Ernesto Vargas , entre otras.</w:t>
      </w:r>
    </w:p>
  </w:footnote>
  <w:footnote w:id="20">
    <w:p w:rsidR="005F683B" w:rsidRPr="005F683B" w:rsidRDefault="005F683B">
      <w:pPr>
        <w:pStyle w:val="Textonotapie"/>
        <w:rPr>
          <w:lang w:val="es-CO"/>
        </w:rPr>
      </w:pPr>
      <w:r>
        <w:rPr>
          <w:rStyle w:val="Refdenotaalpie"/>
        </w:rPr>
        <w:footnoteRef/>
      </w:r>
      <w:r>
        <w:t xml:space="preserve"> </w:t>
      </w:r>
      <w:r w:rsidRPr="00A14371">
        <w:rPr>
          <w:rFonts w:ascii="Calibri" w:hAnsi="Calibri" w:cs="Calibri"/>
          <w:lang w:val="es-MX"/>
        </w:rPr>
        <w:t>CORTE CONSTITUCIONAL. Sentencia T-</w:t>
      </w:r>
      <w:r>
        <w:rPr>
          <w:rFonts w:ascii="Calibri" w:hAnsi="Calibri" w:cs="Calibri"/>
          <w:lang w:val="es-MX"/>
        </w:rPr>
        <w:t>309</w:t>
      </w:r>
      <w:r w:rsidRPr="00A14371">
        <w:rPr>
          <w:rFonts w:ascii="Calibri" w:hAnsi="Calibri" w:cs="Calibri"/>
          <w:lang w:val="es-MX"/>
        </w:rPr>
        <w:t xml:space="preserve"> de 20</w:t>
      </w:r>
      <w:r>
        <w:rPr>
          <w:rFonts w:ascii="Calibri" w:hAnsi="Calibri" w:cs="Calibri"/>
          <w:lang w:val="es-MX"/>
        </w:rPr>
        <w:t>00</w:t>
      </w:r>
      <w:r w:rsidRPr="00A14371">
        <w:rPr>
          <w:rFonts w:ascii="Calibri" w:hAnsi="Calibri" w:cs="Calibri"/>
          <w:lang w:val="es-MX"/>
        </w:rPr>
        <w:t xml:space="preserve"> del 21</w:t>
      </w:r>
      <w:r>
        <w:rPr>
          <w:rFonts w:ascii="Calibri" w:hAnsi="Calibri" w:cs="Calibri"/>
          <w:lang w:val="es-MX"/>
        </w:rPr>
        <w:t>-03-2000</w:t>
      </w:r>
      <w:r w:rsidRPr="00A14371">
        <w:rPr>
          <w:rFonts w:ascii="Calibri" w:hAnsi="Calibri" w:cs="Calibri"/>
          <w:lang w:val="es-MX"/>
        </w:rPr>
        <w:t>, MP: Jo</w:t>
      </w:r>
      <w:r>
        <w:rPr>
          <w:rFonts w:ascii="Calibri" w:hAnsi="Calibri" w:cs="Calibri"/>
          <w:lang w:val="es-MX"/>
        </w:rPr>
        <w:t>sé Gregorio Hernández Galindo.</w:t>
      </w:r>
    </w:p>
  </w:footnote>
  <w:footnote w:id="21">
    <w:p w:rsidR="006238C7" w:rsidRPr="000F7597" w:rsidRDefault="006238C7" w:rsidP="000F7597">
      <w:pPr>
        <w:pStyle w:val="Textonotapie"/>
        <w:jc w:val="both"/>
        <w:rPr>
          <w:rFonts w:asciiTheme="minorHAnsi" w:hAnsiTheme="minorHAnsi" w:cs="Tahoma"/>
          <w:lang w:val="es-CO"/>
        </w:rPr>
      </w:pPr>
      <w:r>
        <w:rPr>
          <w:rStyle w:val="Refdenotaalpie"/>
        </w:rPr>
        <w:footnoteRef/>
      </w:r>
      <w:r>
        <w:t xml:space="preserve"> </w:t>
      </w:r>
      <w:r w:rsidRPr="001A1B5D">
        <w:rPr>
          <w:rFonts w:asciiTheme="minorHAnsi" w:hAnsiTheme="minorHAnsi" w:cs="Courier New"/>
        </w:rPr>
        <w:t>TRIBUNAL SUPERIOR</w:t>
      </w:r>
      <w:r w:rsidRPr="001A1B5D">
        <w:rPr>
          <w:rFonts w:asciiTheme="minorHAnsi" w:hAnsiTheme="minorHAnsi" w:cs="Calibri"/>
          <w:lang w:val="es-CO"/>
        </w:rPr>
        <w:t xml:space="preserve"> DE PEREIRA, Sala Civil – Familia. Sentencia del</w:t>
      </w:r>
      <w:r w:rsidRPr="001A1B5D">
        <w:rPr>
          <w:rFonts w:asciiTheme="minorHAnsi" w:hAnsiTheme="minorHAnsi" w:cs="Calibri"/>
        </w:rPr>
        <w:t xml:space="preserve"> </w:t>
      </w:r>
      <w:r>
        <w:rPr>
          <w:rFonts w:asciiTheme="minorHAnsi" w:hAnsiTheme="minorHAnsi" w:cs="Calibri"/>
        </w:rPr>
        <w:t>29-</w:t>
      </w:r>
      <w:r w:rsidR="000F7597">
        <w:rPr>
          <w:rFonts w:asciiTheme="minorHAnsi" w:hAnsiTheme="minorHAnsi" w:cs="Calibri"/>
        </w:rPr>
        <w:t>01-2015</w:t>
      </w:r>
      <w:r w:rsidRPr="001A1B5D">
        <w:rPr>
          <w:rFonts w:asciiTheme="minorHAnsi" w:hAnsiTheme="minorHAnsi" w:cs="Calibri"/>
        </w:rPr>
        <w:t xml:space="preserve">; MP: </w:t>
      </w:r>
      <w:r w:rsidR="000F7597">
        <w:rPr>
          <w:rFonts w:asciiTheme="minorHAnsi" w:hAnsiTheme="minorHAnsi" w:cs="Calibri"/>
        </w:rPr>
        <w:t>Duberney Grisales Herrera</w:t>
      </w:r>
      <w:r w:rsidRPr="001A1B5D">
        <w:rPr>
          <w:rFonts w:asciiTheme="minorHAnsi" w:hAnsiTheme="minorHAnsi" w:cs="Calibri"/>
        </w:rPr>
        <w:t>, expediente No.</w:t>
      </w:r>
      <w:r w:rsidR="000F7597" w:rsidRPr="000F7597">
        <w:rPr>
          <w:rFonts w:asciiTheme="minorHAnsi" w:hAnsiTheme="minorHAnsi" w:cs="Calibri"/>
        </w:rPr>
        <w:t>2015-00005-00</w:t>
      </w:r>
      <w:r w:rsidR="000F7597">
        <w:rPr>
          <w:rFonts w:asciiTheme="minorHAnsi" w:hAnsiTheme="minorHAnsi" w:cs="Calibri"/>
        </w:rPr>
        <w:t>.</w:t>
      </w:r>
    </w:p>
  </w:footnote>
  <w:footnote w:id="22">
    <w:p w:rsidR="00BD6F77" w:rsidRPr="009C4841" w:rsidRDefault="00BD6F77" w:rsidP="00BD6F77">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3">
    <w:p w:rsidR="00BD6F77" w:rsidRPr="009C4841" w:rsidRDefault="00BD6F77" w:rsidP="00BD6F77">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w:t>
      </w:r>
      <w:r w:rsidR="000F7597" w:rsidRPr="000C6F22">
        <w:rPr>
          <w:rFonts w:asciiTheme="minorHAnsi" w:hAnsiTheme="minorHAnsi"/>
          <w:lang w:val="es-CO"/>
        </w:rPr>
        <w:t xml:space="preserve">CORTE SUPREMA DE JUSTICIA, Sala de Casación Civil. Sentencia </w:t>
      </w:r>
      <w:r w:rsidR="000F7597">
        <w:rPr>
          <w:rFonts w:asciiTheme="minorHAnsi" w:hAnsiTheme="minorHAnsi"/>
        </w:rPr>
        <w:t>STC10329-</w:t>
      </w:r>
      <w:r w:rsidR="000F7597" w:rsidRPr="000C6F22">
        <w:rPr>
          <w:rFonts w:asciiTheme="minorHAnsi" w:hAnsiTheme="minorHAnsi"/>
        </w:rPr>
        <w:t>2015</w:t>
      </w:r>
      <w:r w:rsidRPr="009C4841">
        <w:rPr>
          <w:rFonts w:asciiTheme="minorHAnsi" w:hAnsiTheme="minorHAnsi"/>
          <w:lang w:val="es-CO"/>
        </w:rPr>
        <w:t>.</w:t>
      </w:r>
    </w:p>
  </w:footnote>
  <w:footnote w:id="24">
    <w:p w:rsidR="00BD6F77" w:rsidRPr="004905B4" w:rsidRDefault="00BD6F77" w:rsidP="00BD6F77">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25">
    <w:p w:rsidR="00BD6F77" w:rsidRPr="004905B4" w:rsidRDefault="00BD6F77" w:rsidP="00BD6F77">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60607">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94333D">
      <w:rPr>
        <w:rFonts w:ascii="Calibri" w:hAnsi="Calibri" w:cs="Calibri"/>
        <w:i/>
        <w:sz w:val="20"/>
        <w:szCs w:val="22"/>
      </w:rPr>
      <w:t>2016-00286-00LLRR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19417EA"/>
    <w:multiLevelType w:val="multilevel"/>
    <w:tmpl w:val="3296163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9967109"/>
    <w:multiLevelType w:val="multilevel"/>
    <w:tmpl w:val="B6623F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2"/>
  </w:num>
  <w:num w:numId="3">
    <w:abstractNumId w:val="11"/>
  </w:num>
  <w:num w:numId="4">
    <w:abstractNumId w:val="3"/>
  </w:num>
  <w:num w:numId="5">
    <w:abstractNumId w:val="24"/>
  </w:num>
  <w:num w:numId="6">
    <w:abstractNumId w:val="0"/>
  </w:num>
  <w:num w:numId="7">
    <w:abstractNumId w:val="18"/>
  </w:num>
  <w:num w:numId="8">
    <w:abstractNumId w:val="1"/>
  </w:num>
  <w:num w:numId="9">
    <w:abstractNumId w:val="25"/>
  </w:num>
  <w:num w:numId="10">
    <w:abstractNumId w:val="19"/>
  </w:num>
  <w:num w:numId="11">
    <w:abstractNumId w:val="16"/>
  </w:num>
  <w:num w:numId="12">
    <w:abstractNumId w:val="22"/>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20"/>
  </w:num>
  <w:num w:numId="22">
    <w:abstractNumId w:val="21"/>
  </w:num>
  <w:num w:numId="23">
    <w:abstractNumId w:val="2"/>
  </w:num>
  <w:num w:numId="24">
    <w:abstractNumId w:val="23"/>
  </w:num>
  <w:num w:numId="25">
    <w:abstractNumId w:val="17"/>
  </w:num>
  <w:num w:numId="26">
    <w:abstractNumId w:val="6"/>
  </w:num>
  <w:num w:numId="27">
    <w:abstractNumId w:val="13"/>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CC3"/>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175"/>
    <w:rsid w:val="00036D33"/>
    <w:rsid w:val="00037093"/>
    <w:rsid w:val="00040D5C"/>
    <w:rsid w:val="00041210"/>
    <w:rsid w:val="00041489"/>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297"/>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C6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537"/>
    <w:rsid w:val="000A6800"/>
    <w:rsid w:val="000B0256"/>
    <w:rsid w:val="000B133E"/>
    <w:rsid w:val="000B1B8C"/>
    <w:rsid w:val="000B2347"/>
    <w:rsid w:val="000B2478"/>
    <w:rsid w:val="000B2D52"/>
    <w:rsid w:val="000B329C"/>
    <w:rsid w:val="000B4029"/>
    <w:rsid w:val="000B415F"/>
    <w:rsid w:val="000B4CD8"/>
    <w:rsid w:val="000B5E81"/>
    <w:rsid w:val="000B6E18"/>
    <w:rsid w:val="000B7061"/>
    <w:rsid w:val="000B7519"/>
    <w:rsid w:val="000B7527"/>
    <w:rsid w:val="000B7969"/>
    <w:rsid w:val="000B7B23"/>
    <w:rsid w:val="000B7B77"/>
    <w:rsid w:val="000B7C77"/>
    <w:rsid w:val="000B7F7C"/>
    <w:rsid w:val="000C0320"/>
    <w:rsid w:val="000C0986"/>
    <w:rsid w:val="000C09C4"/>
    <w:rsid w:val="000C134E"/>
    <w:rsid w:val="000C185C"/>
    <w:rsid w:val="000C1994"/>
    <w:rsid w:val="000C3702"/>
    <w:rsid w:val="000C3A32"/>
    <w:rsid w:val="000C3F92"/>
    <w:rsid w:val="000C401A"/>
    <w:rsid w:val="000C5052"/>
    <w:rsid w:val="000C585F"/>
    <w:rsid w:val="000C69DD"/>
    <w:rsid w:val="000C71EA"/>
    <w:rsid w:val="000C74DD"/>
    <w:rsid w:val="000D152C"/>
    <w:rsid w:val="000D1769"/>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715E"/>
    <w:rsid w:val="000F7597"/>
    <w:rsid w:val="000F7DA2"/>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01"/>
    <w:rsid w:val="00120C3E"/>
    <w:rsid w:val="0012140E"/>
    <w:rsid w:val="001214F8"/>
    <w:rsid w:val="00122552"/>
    <w:rsid w:val="001229DE"/>
    <w:rsid w:val="00122B6C"/>
    <w:rsid w:val="0012348F"/>
    <w:rsid w:val="001238AB"/>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129"/>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CD4"/>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B5D"/>
    <w:rsid w:val="001A1CE0"/>
    <w:rsid w:val="001A1EA0"/>
    <w:rsid w:val="001A1F48"/>
    <w:rsid w:val="001A2A8F"/>
    <w:rsid w:val="001A6A5E"/>
    <w:rsid w:val="001A6BD6"/>
    <w:rsid w:val="001A7270"/>
    <w:rsid w:val="001B024F"/>
    <w:rsid w:val="001B0E0F"/>
    <w:rsid w:val="001B1B9D"/>
    <w:rsid w:val="001B20E8"/>
    <w:rsid w:val="001B3C41"/>
    <w:rsid w:val="001B4164"/>
    <w:rsid w:val="001B4781"/>
    <w:rsid w:val="001B5303"/>
    <w:rsid w:val="001B549A"/>
    <w:rsid w:val="001B5697"/>
    <w:rsid w:val="001B59F9"/>
    <w:rsid w:val="001B62E6"/>
    <w:rsid w:val="001B6DFD"/>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3F84"/>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169"/>
    <w:rsid w:val="001E66AE"/>
    <w:rsid w:val="001E672D"/>
    <w:rsid w:val="001E6E16"/>
    <w:rsid w:val="001E72A0"/>
    <w:rsid w:val="001E7412"/>
    <w:rsid w:val="001E78FE"/>
    <w:rsid w:val="001E7A6A"/>
    <w:rsid w:val="001F083E"/>
    <w:rsid w:val="001F0A57"/>
    <w:rsid w:val="001F0FB9"/>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336"/>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D09"/>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6C4"/>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203"/>
    <w:rsid w:val="00265F36"/>
    <w:rsid w:val="00266971"/>
    <w:rsid w:val="00266F3B"/>
    <w:rsid w:val="002673D6"/>
    <w:rsid w:val="00267454"/>
    <w:rsid w:val="0026749A"/>
    <w:rsid w:val="00270042"/>
    <w:rsid w:val="002708B8"/>
    <w:rsid w:val="00270E8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22CD"/>
    <w:rsid w:val="0028314C"/>
    <w:rsid w:val="00283B13"/>
    <w:rsid w:val="00283CD0"/>
    <w:rsid w:val="0028437A"/>
    <w:rsid w:val="002849D8"/>
    <w:rsid w:val="00284C23"/>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779"/>
    <w:rsid w:val="002A6894"/>
    <w:rsid w:val="002A7D01"/>
    <w:rsid w:val="002A7FA0"/>
    <w:rsid w:val="002B0607"/>
    <w:rsid w:val="002B1AFC"/>
    <w:rsid w:val="002B1D72"/>
    <w:rsid w:val="002B2263"/>
    <w:rsid w:val="002B23E6"/>
    <w:rsid w:val="002B24DA"/>
    <w:rsid w:val="002B4710"/>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D061F"/>
    <w:rsid w:val="002D08EB"/>
    <w:rsid w:val="002D1B84"/>
    <w:rsid w:val="002D1F9C"/>
    <w:rsid w:val="002D31B2"/>
    <w:rsid w:val="002D37CB"/>
    <w:rsid w:val="002D4132"/>
    <w:rsid w:val="002D4A2E"/>
    <w:rsid w:val="002D4B18"/>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0D8D"/>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825"/>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3E9"/>
    <w:rsid w:val="0033247D"/>
    <w:rsid w:val="003327BC"/>
    <w:rsid w:val="00333BA2"/>
    <w:rsid w:val="00334539"/>
    <w:rsid w:val="00334A5D"/>
    <w:rsid w:val="00334C3A"/>
    <w:rsid w:val="003358E9"/>
    <w:rsid w:val="00335FCF"/>
    <w:rsid w:val="00336AC5"/>
    <w:rsid w:val="00337AED"/>
    <w:rsid w:val="00337F22"/>
    <w:rsid w:val="00340361"/>
    <w:rsid w:val="00340F08"/>
    <w:rsid w:val="00341465"/>
    <w:rsid w:val="00341EE9"/>
    <w:rsid w:val="00342323"/>
    <w:rsid w:val="003428A4"/>
    <w:rsid w:val="003434C5"/>
    <w:rsid w:val="003437ED"/>
    <w:rsid w:val="00343B48"/>
    <w:rsid w:val="00343EA4"/>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40DB"/>
    <w:rsid w:val="00354170"/>
    <w:rsid w:val="003543EA"/>
    <w:rsid w:val="00354C2E"/>
    <w:rsid w:val="00355323"/>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393"/>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0B5"/>
    <w:rsid w:val="003931C4"/>
    <w:rsid w:val="0039356C"/>
    <w:rsid w:val="0039383D"/>
    <w:rsid w:val="003938A6"/>
    <w:rsid w:val="00395005"/>
    <w:rsid w:val="00395650"/>
    <w:rsid w:val="003968B3"/>
    <w:rsid w:val="00396F9B"/>
    <w:rsid w:val="00397153"/>
    <w:rsid w:val="00397174"/>
    <w:rsid w:val="00397548"/>
    <w:rsid w:val="00397E40"/>
    <w:rsid w:val="003A0BE6"/>
    <w:rsid w:val="003A0C2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7C74"/>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6E4"/>
    <w:rsid w:val="003E18D8"/>
    <w:rsid w:val="003E2887"/>
    <w:rsid w:val="003E288D"/>
    <w:rsid w:val="003E35E2"/>
    <w:rsid w:val="003E3CD6"/>
    <w:rsid w:val="003E44F9"/>
    <w:rsid w:val="003E4897"/>
    <w:rsid w:val="003E5253"/>
    <w:rsid w:val="003E73B6"/>
    <w:rsid w:val="003F01B3"/>
    <w:rsid w:val="003F12A0"/>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ABA"/>
    <w:rsid w:val="00403E85"/>
    <w:rsid w:val="00403F0E"/>
    <w:rsid w:val="00404517"/>
    <w:rsid w:val="0040457C"/>
    <w:rsid w:val="00404945"/>
    <w:rsid w:val="00404F28"/>
    <w:rsid w:val="00405073"/>
    <w:rsid w:val="00405BFE"/>
    <w:rsid w:val="00405F51"/>
    <w:rsid w:val="00406FAB"/>
    <w:rsid w:val="004074D0"/>
    <w:rsid w:val="004075D1"/>
    <w:rsid w:val="004079E3"/>
    <w:rsid w:val="004101B1"/>
    <w:rsid w:val="004104F0"/>
    <w:rsid w:val="00411107"/>
    <w:rsid w:val="00411435"/>
    <w:rsid w:val="00412707"/>
    <w:rsid w:val="00412781"/>
    <w:rsid w:val="004127DC"/>
    <w:rsid w:val="00413322"/>
    <w:rsid w:val="00413340"/>
    <w:rsid w:val="00414666"/>
    <w:rsid w:val="00414A51"/>
    <w:rsid w:val="00414A8B"/>
    <w:rsid w:val="00414C4D"/>
    <w:rsid w:val="00415E42"/>
    <w:rsid w:val="0041603D"/>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5E14"/>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6FD3"/>
    <w:rsid w:val="004877B5"/>
    <w:rsid w:val="0049027C"/>
    <w:rsid w:val="00491333"/>
    <w:rsid w:val="00491B8B"/>
    <w:rsid w:val="00491D39"/>
    <w:rsid w:val="004927CF"/>
    <w:rsid w:val="004935DB"/>
    <w:rsid w:val="00493D0E"/>
    <w:rsid w:val="004940D6"/>
    <w:rsid w:val="004940DE"/>
    <w:rsid w:val="00494F4B"/>
    <w:rsid w:val="00495FB0"/>
    <w:rsid w:val="00496163"/>
    <w:rsid w:val="0049795A"/>
    <w:rsid w:val="00497AE4"/>
    <w:rsid w:val="00497DE9"/>
    <w:rsid w:val="004A04BB"/>
    <w:rsid w:val="004A07D6"/>
    <w:rsid w:val="004A0C1E"/>
    <w:rsid w:val="004A0D37"/>
    <w:rsid w:val="004A0D74"/>
    <w:rsid w:val="004A0EE2"/>
    <w:rsid w:val="004A113B"/>
    <w:rsid w:val="004A20A1"/>
    <w:rsid w:val="004A2CBD"/>
    <w:rsid w:val="004A3125"/>
    <w:rsid w:val="004A3C7F"/>
    <w:rsid w:val="004A486E"/>
    <w:rsid w:val="004A4C97"/>
    <w:rsid w:val="004A4CF1"/>
    <w:rsid w:val="004A50E5"/>
    <w:rsid w:val="004A6046"/>
    <w:rsid w:val="004A6376"/>
    <w:rsid w:val="004A6566"/>
    <w:rsid w:val="004B0C4A"/>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43F"/>
    <w:rsid w:val="004E683C"/>
    <w:rsid w:val="004E6C03"/>
    <w:rsid w:val="004E6D93"/>
    <w:rsid w:val="004E6E4A"/>
    <w:rsid w:val="004E727B"/>
    <w:rsid w:val="004E7B1B"/>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2D"/>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453"/>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007"/>
    <w:rsid w:val="005747A0"/>
    <w:rsid w:val="00575815"/>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747"/>
    <w:rsid w:val="00590AD2"/>
    <w:rsid w:val="005912EB"/>
    <w:rsid w:val="00591A2D"/>
    <w:rsid w:val="00594584"/>
    <w:rsid w:val="005948D3"/>
    <w:rsid w:val="00594F7E"/>
    <w:rsid w:val="00594FDC"/>
    <w:rsid w:val="0059514B"/>
    <w:rsid w:val="00595487"/>
    <w:rsid w:val="005955FF"/>
    <w:rsid w:val="00596A3B"/>
    <w:rsid w:val="00596DB4"/>
    <w:rsid w:val="0059791D"/>
    <w:rsid w:val="005979AE"/>
    <w:rsid w:val="005A05E6"/>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6E1C"/>
    <w:rsid w:val="005A709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B7E5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51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702"/>
    <w:rsid w:val="005E4A9E"/>
    <w:rsid w:val="005E4FAD"/>
    <w:rsid w:val="005E5111"/>
    <w:rsid w:val="005E5F41"/>
    <w:rsid w:val="005E6794"/>
    <w:rsid w:val="005E6A07"/>
    <w:rsid w:val="005E6DB2"/>
    <w:rsid w:val="005E73B9"/>
    <w:rsid w:val="005E7745"/>
    <w:rsid w:val="005F0692"/>
    <w:rsid w:val="005F0BA8"/>
    <w:rsid w:val="005F0D33"/>
    <w:rsid w:val="005F10FF"/>
    <w:rsid w:val="005F27EA"/>
    <w:rsid w:val="005F2D44"/>
    <w:rsid w:val="005F3125"/>
    <w:rsid w:val="005F3B66"/>
    <w:rsid w:val="005F3E08"/>
    <w:rsid w:val="005F474C"/>
    <w:rsid w:val="005F47CB"/>
    <w:rsid w:val="005F4905"/>
    <w:rsid w:val="005F4B0C"/>
    <w:rsid w:val="005F555E"/>
    <w:rsid w:val="005F5A85"/>
    <w:rsid w:val="005F65BD"/>
    <w:rsid w:val="005F683B"/>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8C7"/>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3C9D"/>
    <w:rsid w:val="006542CC"/>
    <w:rsid w:val="006546C4"/>
    <w:rsid w:val="00654D0B"/>
    <w:rsid w:val="00654DB6"/>
    <w:rsid w:val="006557DB"/>
    <w:rsid w:val="00655E18"/>
    <w:rsid w:val="00656E3D"/>
    <w:rsid w:val="006578F3"/>
    <w:rsid w:val="006600B2"/>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BA0"/>
    <w:rsid w:val="00667E9D"/>
    <w:rsid w:val="00667FEF"/>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61A"/>
    <w:rsid w:val="00692A5A"/>
    <w:rsid w:val="00692D1E"/>
    <w:rsid w:val="00694204"/>
    <w:rsid w:val="006942B0"/>
    <w:rsid w:val="006947CB"/>
    <w:rsid w:val="00694907"/>
    <w:rsid w:val="00694C24"/>
    <w:rsid w:val="006959AC"/>
    <w:rsid w:val="00696969"/>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3D7"/>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0F7D"/>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2E16"/>
    <w:rsid w:val="0071379F"/>
    <w:rsid w:val="007139D2"/>
    <w:rsid w:val="00713A83"/>
    <w:rsid w:val="007149F4"/>
    <w:rsid w:val="0071543E"/>
    <w:rsid w:val="007154A5"/>
    <w:rsid w:val="007154F9"/>
    <w:rsid w:val="007161AC"/>
    <w:rsid w:val="00717574"/>
    <w:rsid w:val="00720F6E"/>
    <w:rsid w:val="00722FB5"/>
    <w:rsid w:val="0072424E"/>
    <w:rsid w:val="0072436C"/>
    <w:rsid w:val="00724BAB"/>
    <w:rsid w:val="0072524B"/>
    <w:rsid w:val="00725E62"/>
    <w:rsid w:val="007263B2"/>
    <w:rsid w:val="007266D3"/>
    <w:rsid w:val="00726918"/>
    <w:rsid w:val="00727095"/>
    <w:rsid w:val="00727A3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C82"/>
    <w:rsid w:val="00761D99"/>
    <w:rsid w:val="0076227A"/>
    <w:rsid w:val="00762B3A"/>
    <w:rsid w:val="0076340A"/>
    <w:rsid w:val="0076379F"/>
    <w:rsid w:val="0076398E"/>
    <w:rsid w:val="00763DE1"/>
    <w:rsid w:val="00764451"/>
    <w:rsid w:val="00764542"/>
    <w:rsid w:val="007645E0"/>
    <w:rsid w:val="00764C2F"/>
    <w:rsid w:val="00764D72"/>
    <w:rsid w:val="007658BB"/>
    <w:rsid w:val="00765DD9"/>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787"/>
    <w:rsid w:val="00780C46"/>
    <w:rsid w:val="00783061"/>
    <w:rsid w:val="00783425"/>
    <w:rsid w:val="00784E9E"/>
    <w:rsid w:val="007853A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851"/>
    <w:rsid w:val="007C6E0E"/>
    <w:rsid w:val="007C764F"/>
    <w:rsid w:val="007C7D97"/>
    <w:rsid w:val="007D066A"/>
    <w:rsid w:val="007D0B87"/>
    <w:rsid w:val="007D2261"/>
    <w:rsid w:val="007D2580"/>
    <w:rsid w:val="007D273C"/>
    <w:rsid w:val="007D39CB"/>
    <w:rsid w:val="007D4C9C"/>
    <w:rsid w:val="007D5384"/>
    <w:rsid w:val="007D61B6"/>
    <w:rsid w:val="007D6C59"/>
    <w:rsid w:val="007D71DF"/>
    <w:rsid w:val="007D736D"/>
    <w:rsid w:val="007D7B1F"/>
    <w:rsid w:val="007D7B8E"/>
    <w:rsid w:val="007D7C03"/>
    <w:rsid w:val="007D7D22"/>
    <w:rsid w:val="007E004A"/>
    <w:rsid w:val="007E0930"/>
    <w:rsid w:val="007E12C5"/>
    <w:rsid w:val="007E138F"/>
    <w:rsid w:val="007E1A99"/>
    <w:rsid w:val="007E1F07"/>
    <w:rsid w:val="007E247C"/>
    <w:rsid w:val="007E25A8"/>
    <w:rsid w:val="007E2877"/>
    <w:rsid w:val="007E293D"/>
    <w:rsid w:val="007E2E20"/>
    <w:rsid w:val="007E4C55"/>
    <w:rsid w:val="007E611C"/>
    <w:rsid w:val="007E614B"/>
    <w:rsid w:val="007E61FB"/>
    <w:rsid w:val="007E63C7"/>
    <w:rsid w:val="007E7055"/>
    <w:rsid w:val="007E75AA"/>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645"/>
    <w:rsid w:val="008017F5"/>
    <w:rsid w:val="00801AB1"/>
    <w:rsid w:val="00802EA3"/>
    <w:rsid w:val="008031C7"/>
    <w:rsid w:val="00803E05"/>
    <w:rsid w:val="00803EA2"/>
    <w:rsid w:val="00804242"/>
    <w:rsid w:val="00804404"/>
    <w:rsid w:val="00804C9F"/>
    <w:rsid w:val="00804F27"/>
    <w:rsid w:val="008052E8"/>
    <w:rsid w:val="00806547"/>
    <w:rsid w:val="0080670C"/>
    <w:rsid w:val="00806B45"/>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B73"/>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4D6"/>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9EF"/>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0A"/>
    <w:rsid w:val="008C049F"/>
    <w:rsid w:val="008C192F"/>
    <w:rsid w:val="008C197B"/>
    <w:rsid w:val="008C25A0"/>
    <w:rsid w:val="008C2FCA"/>
    <w:rsid w:val="008C3090"/>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5456"/>
    <w:rsid w:val="008E2633"/>
    <w:rsid w:val="008E2790"/>
    <w:rsid w:val="008E36DB"/>
    <w:rsid w:val="008E412D"/>
    <w:rsid w:val="008E638B"/>
    <w:rsid w:val="008E6592"/>
    <w:rsid w:val="008E742B"/>
    <w:rsid w:val="008E747D"/>
    <w:rsid w:val="008E7763"/>
    <w:rsid w:val="008E7D5F"/>
    <w:rsid w:val="008F12F4"/>
    <w:rsid w:val="008F1472"/>
    <w:rsid w:val="008F14F3"/>
    <w:rsid w:val="008F15C1"/>
    <w:rsid w:val="008F187F"/>
    <w:rsid w:val="008F1E3E"/>
    <w:rsid w:val="008F23F5"/>
    <w:rsid w:val="008F29C0"/>
    <w:rsid w:val="008F30BF"/>
    <w:rsid w:val="008F3A7B"/>
    <w:rsid w:val="008F4157"/>
    <w:rsid w:val="008F42D9"/>
    <w:rsid w:val="008F49A0"/>
    <w:rsid w:val="008F59AB"/>
    <w:rsid w:val="008F5D8D"/>
    <w:rsid w:val="008F699B"/>
    <w:rsid w:val="008F73B5"/>
    <w:rsid w:val="008F7558"/>
    <w:rsid w:val="008F7F4F"/>
    <w:rsid w:val="00900191"/>
    <w:rsid w:val="009015A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17FB9"/>
    <w:rsid w:val="00920533"/>
    <w:rsid w:val="00920BD9"/>
    <w:rsid w:val="009217C1"/>
    <w:rsid w:val="00921EBD"/>
    <w:rsid w:val="00922BE1"/>
    <w:rsid w:val="0092303A"/>
    <w:rsid w:val="00923780"/>
    <w:rsid w:val="00924A60"/>
    <w:rsid w:val="00925BFB"/>
    <w:rsid w:val="00925F41"/>
    <w:rsid w:val="00925FA3"/>
    <w:rsid w:val="009261AA"/>
    <w:rsid w:val="009263E6"/>
    <w:rsid w:val="009265E7"/>
    <w:rsid w:val="009267DD"/>
    <w:rsid w:val="00926FF0"/>
    <w:rsid w:val="0092718C"/>
    <w:rsid w:val="00927491"/>
    <w:rsid w:val="00930751"/>
    <w:rsid w:val="00930A64"/>
    <w:rsid w:val="00930CA4"/>
    <w:rsid w:val="00932CAA"/>
    <w:rsid w:val="009345B8"/>
    <w:rsid w:val="00934829"/>
    <w:rsid w:val="0093486D"/>
    <w:rsid w:val="00934911"/>
    <w:rsid w:val="009363CF"/>
    <w:rsid w:val="009363F6"/>
    <w:rsid w:val="0093690C"/>
    <w:rsid w:val="00936BEB"/>
    <w:rsid w:val="009371D8"/>
    <w:rsid w:val="0093743B"/>
    <w:rsid w:val="00940AD7"/>
    <w:rsid w:val="009411E1"/>
    <w:rsid w:val="0094149C"/>
    <w:rsid w:val="00941907"/>
    <w:rsid w:val="00941F87"/>
    <w:rsid w:val="00942112"/>
    <w:rsid w:val="009428B0"/>
    <w:rsid w:val="00942DC7"/>
    <w:rsid w:val="0094333D"/>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AF"/>
    <w:rsid w:val="00953805"/>
    <w:rsid w:val="00953EBF"/>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8D5"/>
    <w:rsid w:val="009659F8"/>
    <w:rsid w:val="00966951"/>
    <w:rsid w:val="009676DE"/>
    <w:rsid w:val="00967DF9"/>
    <w:rsid w:val="0097017E"/>
    <w:rsid w:val="009707C8"/>
    <w:rsid w:val="00970930"/>
    <w:rsid w:val="00970B55"/>
    <w:rsid w:val="00972A96"/>
    <w:rsid w:val="009736C5"/>
    <w:rsid w:val="009737E1"/>
    <w:rsid w:val="00973E19"/>
    <w:rsid w:val="009740D5"/>
    <w:rsid w:val="009753DE"/>
    <w:rsid w:val="00975D9D"/>
    <w:rsid w:val="00975FA1"/>
    <w:rsid w:val="0097600A"/>
    <w:rsid w:val="00976010"/>
    <w:rsid w:val="009763D6"/>
    <w:rsid w:val="00976E97"/>
    <w:rsid w:val="00980A11"/>
    <w:rsid w:val="00980AC5"/>
    <w:rsid w:val="0098136D"/>
    <w:rsid w:val="0098210E"/>
    <w:rsid w:val="00982323"/>
    <w:rsid w:val="00982332"/>
    <w:rsid w:val="0098258C"/>
    <w:rsid w:val="009831A6"/>
    <w:rsid w:val="0098327D"/>
    <w:rsid w:val="0098336F"/>
    <w:rsid w:val="009835DF"/>
    <w:rsid w:val="00983995"/>
    <w:rsid w:val="00983B3B"/>
    <w:rsid w:val="00983E7A"/>
    <w:rsid w:val="009842B2"/>
    <w:rsid w:val="009856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04"/>
    <w:rsid w:val="009C3B9F"/>
    <w:rsid w:val="009C4A9B"/>
    <w:rsid w:val="009C56B0"/>
    <w:rsid w:val="009C670F"/>
    <w:rsid w:val="009C6852"/>
    <w:rsid w:val="009C6C29"/>
    <w:rsid w:val="009C7990"/>
    <w:rsid w:val="009C7E68"/>
    <w:rsid w:val="009D00E1"/>
    <w:rsid w:val="009D0139"/>
    <w:rsid w:val="009D0857"/>
    <w:rsid w:val="009D13FF"/>
    <w:rsid w:val="009D1ACD"/>
    <w:rsid w:val="009D1B83"/>
    <w:rsid w:val="009D25B1"/>
    <w:rsid w:val="009D261B"/>
    <w:rsid w:val="009D2EE9"/>
    <w:rsid w:val="009D366A"/>
    <w:rsid w:val="009D37DE"/>
    <w:rsid w:val="009D384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672"/>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DE7"/>
    <w:rsid w:val="00A06EB8"/>
    <w:rsid w:val="00A07BCC"/>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5D32"/>
    <w:rsid w:val="00A26373"/>
    <w:rsid w:val="00A2674A"/>
    <w:rsid w:val="00A26A5B"/>
    <w:rsid w:val="00A26C55"/>
    <w:rsid w:val="00A276EA"/>
    <w:rsid w:val="00A27860"/>
    <w:rsid w:val="00A279FE"/>
    <w:rsid w:val="00A30E82"/>
    <w:rsid w:val="00A30FAB"/>
    <w:rsid w:val="00A31A03"/>
    <w:rsid w:val="00A31AA6"/>
    <w:rsid w:val="00A31C6C"/>
    <w:rsid w:val="00A325F8"/>
    <w:rsid w:val="00A32F3A"/>
    <w:rsid w:val="00A3306A"/>
    <w:rsid w:val="00A33447"/>
    <w:rsid w:val="00A35AFF"/>
    <w:rsid w:val="00A35E6F"/>
    <w:rsid w:val="00A35EE2"/>
    <w:rsid w:val="00A371B5"/>
    <w:rsid w:val="00A37426"/>
    <w:rsid w:val="00A37508"/>
    <w:rsid w:val="00A37BA7"/>
    <w:rsid w:val="00A37DF4"/>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81C"/>
    <w:rsid w:val="00A479C0"/>
    <w:rsid w:val="00A50667"/>
    <w:rsid w:val="00A50B34"/>
    <w:rsid w:val="00A51F23"/>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1E"/>
    <w:rsid w:val="00A75B71"/>
    <w:rsid w:val="00A760A5"/>
    <w:rsid w:val="00A76268"/>
    <w:rsid w:val="00A76A37"/>
    <w:rsid w:val="00A80796"/>
    <w:rsid w:val="00A80BA0"/>
    <w:rsid w:val="00A81679"/>
    <w:rsid w:val="00A81BC6"/>
    <w:rsid w:val="00A81C28"/>
    <w:rsid w:val="00A829CA"/>
    <w:rsid w:val="00A82D34"/>
    <w:rsid w:val="00A8399B"/>
    <w:rsid w:val="00A83C51"/>
    <w:rsid w:val="00A83D59"/>
    <w:rsid w:val="00A84222"/>
    <w:rsid w:val="00A847A8"/>
    <w:rsid w:val="00A847E6"/>
    <w:rsid w:val="00A8601B"/>
    <w:rsid w:val="00A86448"/>
    <w:rsid w:val="00A86ACC"/>
    <w:rsid w:val="00A86D9B"/>
    <w:rsid w:val="00A87737"/>
    <w:rsid w:val="00A90334"/>
    <w:rsid w:val="00A913FC"/>
    <w:rsid w:val="00A91BAB"/>
    <w:rsid w:val="00A91CA9"/>
    <w:rsid w:val="00A92AB1"/>
    <w:rsid w:val="00A92EF8"/>
    <w:rsid w:val="00A934BC"/>
    <w:rsid w:val="00A93951"/>
    <w:rsid w:val="00A93CD3"/>
    <w:rsid w:val="00A95191"/>
    <w:rsid w:val="00A95CC6"/>
    <w:rsid w:val="00A96603"/>
    <w:rsid w:val="00A9698C"/>
    <w:rsid w:val="00A97B18"/>
    <w:rsid w:val="00A97C13"/>
    <w:rsid w:val="00AA08BE"/>
    <w:rsid w:val="00AA0CBE"/>
    <w:rsid w:val="00AA0D4A"/>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8CD"/>
    <w:rsid w:val="00AC44B5"/>
    <w:rsid w:val="00AC45E5"/>
    <w:rsid w:val="00AC4637"/>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04A"/>
    <w:rsid w:val="00B01CA9"/>
    <w:rsid w:val="00B01EBF"/>
    <w:rsid w:val="00B02C05"/>
    <w:rsid w:val="00B02D79"/>
    <w:rsid w:val="00B03045"/>
    <w:rsid w:val="00B04D80"/>
    <w:rsid w:val="00B05CA6"/>
    <w:rsid w:val="00B05F38"/>
    <w:rsid w:val="00B06A13"/>
    <w:rsid w:val="00B0777E"/>
    <w:rsid w:val="00B07948"/>
    <w:rsid w:val="00B108D7"/>
    <w:rsid w:val="00B10D70"/>
    <w:rsid w:val="00B11836"/>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F00"/>
    <w:rsid w:val="00B32064"/>
    <w:rsid w:val="00B322EF"/>
    <w:rsid w:val="00B3248E"/>
    <w:rsid w:val="00B32DFA"/>
    <w:rsid w:val="00B33037"/>
    <w:rsid w:val="00B338A6"/>
    <w:rsid w:val="00B33C85"/>
    <w:rsid w:val="00B33E9D"/>
    <w:rsid w:val="00B34138"/>
    <w:rsid w:val="00B35009"/>
    <w:rsid w:val="00B3584F"/>
    <w:rsid w:val="00B35FDE"/>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EA6"/>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C6C"/>
    <w:rsid w:val="00B87979"/>
    <w:rsid w:val="00B906BD"/>
    <w:rsid w:val="00B9094C"/>
    <w:rsid w:val="00B91A8C"/>
    <w:rsid w:val="00B9240C"/>
    <w:rsid w:val="00B92701"/>
    <w:rsid w:val="00B927A1"/>
    <w:rsid w:val="00B92F7A"/>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1B16"/>
    <w:rsid w:val="00BB2BA3"/>
    <w:rsid w:val="00BB30AC"/>
    <w:rsid w:val="00BB3BD2"/>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D6F77"/>
    <w:rsid w:val="00BE129C"/>
    <w:rsid w:val="00BE1AD5"/>
    <w:rsid w:val="00BE20F9"/>
    <w:rsid w:val="00BE21C2"/>
    <w:rsid w:val="00BE2D5A"/>
    <w:rsid w:val="00BE3D39"/>
    <w:rsid w:val="00BE3ED4"/>
    <w:rsid w:val="00BE3FFA"/>
    <w:rsid w:val="00BE4798"/>
    <w:rsid w:val="00BE4819"/>
    <w:rsid w:val="00BE4F29"/>
    <w:rsid w:val="00BE5793"/>
    <w:rsid w:val="00BE66E3"/>
    <w:rsid w:val="00BE6866"/>
    <w:rsid w:val="00BE6FD6"/>
    <w:rsid w:val="00BE7046"/>
    <w:rsid w:val="00BE71E9"/>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157C"/>
    <w:rsid w:val="00C21F22"/>
    <w:rsid w:val="00C224E8"/>
    <w:rsid w:val="00C230C3"/>
    <w:rsid w:val="00C235B7"/>
    <w:rsid w:val="00C236E4"/>
    <w:rsid w:val="00C23F1E"/>
    <w:rsid w:val="00C24301"/>
    <w:rsid w:val="00C244B0"/>
    <w:rsid w:val="00C24DE7"/>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B44"/>
    <w:rsid w:val="00C54C88"/>
    <w:rsid w:val="00C56710"/>
    <w:rsid w:val="00C572BA"/>
    <w:rsid w:val="00C600AE"/>
    <w:rsid w:val="00C600C1"/>
    <w:rsid w:val="00C60335"/>
    <w:rsid w:val="00C610ED"/>
    <w:rsid w:val="00C612C6"/>
    <w:rsid w:val="00C61529"/>
    <w:rsid w:val="00C619A4"/>
    <w:rsid w:val="00C6217C"/>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A35"/>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26C"/>
    <w:rsid w:val="00C7394E"/>
    <w:rsid w:val="00C73B37"/>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8A3"/>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93"/>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13E"/>
    <w:rsid w:val="00CD0DCE"/>
    <w:rsid w:val="00CD0ECE"/>
    <w:rsid w:val="00CD1059"/>
    <w:rsid w:val="00CD130D"/>
    <w:rsid w:val="00CD1E14"/>
    <w:rsid w:val="00CD264A"/>
    <w:rsid w:val="00CD2869"/>
    <w:rsid w:val="00CD3604"/>
    <w:rsid w:val="00CD38D3"/>
    <w:rsid w:val="00CD3C05"/>
    <w:rsid w:val="00CD3D69"/>
    <w:rsid w:val="00CD3EF7"/>
    <w:rsid w:val="00CD569F"/>
    <w:rsid w:val="00CD5876"/>
    <w:rsid w:val="00CD6423"/>
    <w:rsid w:val="00CD71AA"/>
    <w:rsid w:val="00CD79DB"/>
    <w:rsid w:val="00CE0777"/>
    <w:rsid w:val="00CE0811"/>
    <w:rsid w:val="00CE0821"/>
    <w:rsid w:val="00CE1507"/>
    <w:rsid w:val="00CE35EF"/>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EC6"/>
    <w:rsid w:val="00D11F3E"/>
    <w:rsid w:val="00D11F62"/>
    <w:rsid w:val="00D1216D"/>
    <w:rsid w:val="00D1231D"/>
    <w:rsid w:val="00D124C3"/>
    <w:rsid w:val="00D124DD"/>
    <w:rsid w:val="00D12800"/>
    <w:rsid w:val="00D12AEF"/>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2DC"/>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218"/>
    <w:rsid w:val="00D6033D"/>
    <w:rsid w:val="00D60AB9"/>
    <w:rsid w:val="00D61CBA"/>
    <w:rsid w:val="00D61D58"/>
    <w:rsid w:val="00D62E59"/>
    <w:rsid w:val="00D6333D"/>
    <w:rsid w:val="00D63C40"/>
    <w:rsid w:val="00D6524E"/>
    <w:rsid w:val="00D65A53"/>
    <w:rsid w:val="00D65D95"/>
    <w:rsid w:val="00D66276"/>
    <w:rsid w:val="00D66DF8"/>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DCA"/>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2EEB"/>
    <w:rsid w:val="00D834EE"/>
    <w:rsid w:val="00D8416E"/>
    <w:rsid w:val="00D844AE"/>
    <w:rsid w:val="00D84746"/>
    <w:rsid w:val="00D8523F"/>
    <w:rsid w:val="00D85E84"/>
    <w:rsid w:val="00D862DE"/>
    <w:rsid w:val="00D866D1"/>
    <w:rsid w:val="00D86842"/>
    <w:rsid w:val="00D90100"/>
    <w:rsid w:val="00D90CFF"/>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5ECA"/>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70D"/>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1B7"/>
    <w:rsid w:val="00DE17C8"/>
    <w:rsid w:val="00DE1870"/>
    <w:rsid w:val="00DE1C86"/>
    <w:rsid w:val="00DE1CB3"/>
    <w:rsid w:val="00DE1CEF"/>
    <w:rsid w:val="00DE2FEE"/>
    <w:rsid w:val="00DE3E76"/>
    <w:rsid w:val="00DE448C"/>
    <w:rsid w:val="00DE51A8"/>
    <w:rsid w:val="00DE6847"/>
    <w:rsid w:val="00DE68FE"/>
    <w:rsid w:val="00DE7785"/>
    <w:rsid w:val="00DE7EFF"/>
    <w:rsid w:val="00DF29E9"/>
    <w:rsid w:val="00DF3218"/>
    <w:rsid w:val="00DF356D"/>
    <w:rsid w:val="00DF3616"/>
    <w:rsid w:val="00DF3871"/>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D9D"/>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B4F"/>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4E9"/>
    <w:rsid w:val="00E82697"/>
    <w:rsid w:val="00E833A4"/>
    <w:rsid w:val="00E83D2D"/>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1C6"/>
    <w:rsid w:val="00E96DBB"/>
    <w:rsid w:val="00E97990"/>
    <w:rsid w:val="00E97AF7"/>
    <w:rsid w:val="00E97D74"/>
    <w:rsid w:val="00E97FA2"/>
    <w:rsid w:val="00EA0622"/>
    <w:rsid w:val="00EA1371"/>
    <w:rsid w:val="00EA14C8"/>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04E"/>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4C81"/>
    <w:rsid w:val="00EF519D"/>
    <w:rsid w:val="00EF51AA"/>
    <w:rsid w:val="00EF535D"/>
    <w:rsid w:val="00EF5562"/>
    <w:rsid w:val="00EF5892"/>
    <w:rsid w:val="00EF5C56"/>
    <w:rsid w:val="00EF742E"/>
    <w:rsid w:val="00EF7E9E"/>
    <w:rsid w:val="00F0001C"/>
    <w:rsid w:val="00F00977"/>
    <w:rsid w:val="00F0165D"/>
    <w:rsid w:val="00F01E42"/>
    <w:rsid w:val="00F01EF9"/>
    <w:rsid w:val="00F01F36"/>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065"/>
    <w:rsid w:val="00F176F3"/>
    <w:rsid w:val="00F17D22"/>
    <w:rsid w:val="00F17F69"/>
    <w:rsid w:val="00F17FEF"/>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47AC7"/>
    <w:rsid w:val="00F5025F"/>
    <w:rsid w:val="00F50AA8"/>
    <w:rsid w:val="00F51456"/>
    <w:rsid w:val="00F5194D"/>
    <w:rsid w:val="00F5233C"/>
    <w:rsid w:val="00F52923"/>
    <w:rsid w:val="00F54045"/>
    <w:rsid w:val="00F55267"/>
    <w:rsid w:val="00F55591"/>
    <w:rsid w:val="00F561F5"/>
    <w:rsid w:val="00F574B8"/>
    <w:rsid w:val="00F57517"/>
    <w:rsid w:val="00F5755C"/>
    <w:rsid w:val="00F57882"/>
    <w:rsid w:val="00F6017A"/>
    <w:rsid w:val="00F60607"/>
    <w:rsid w:val="00F619F4"/>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CB8"/>
    <w:rsid w:val="00F815CC"/>
    <w:rsid w:val="00F826AB"/>
    <w:rsid w:val="00F8363D"/>
    <w:rsid w:val="00F837F5"/>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0B3F"/>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5CA"/>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6C4A"/>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F170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tulo4Car">
    <w:name w:val="Título 4 Car"/>
    <w:basedOn w:val="Fuentedeprrafopredeter"/>
    <w:link w:val="Ttulo4"/>
    <w:semiHidden/>
    <w:rsid w:val="00F1706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396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C5CB-0540-4EC0-B94B-B4645BE5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3767</Words>
  <Characters>20722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15</cp:revision>
  <cp:lastPrinted>2016-03-15T14:08:00Z</cp:lastPrinted>
  <dcterms:created xsi:type="dcterms:W3CDTF">2016-03-11T21:27:00Z</dcterms:created>
  <dcterms:modified xsi:type="dcterms:W3CDTF">2016-06-28T16:42:00Z</dcterms:modified>
</cp:coreProperties>
</file>