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64" w:rsidRPr="009D0BFD" w:rsidRDefault="00407EB7" w:rsidP="00C83C08">
      <w:pPr>
        <w:pStyle w:val="Textoindependiente"/>
        <w:spacing w:line="240" w:lineRule="auto"/>
        <w:rPr>
          <w:rFonts w:ascii="Arial" w:hAnsi="Arial" w:cs="Arial"/>
          <w:spacing w:val="-8"/>
          <w:sz w:val="19"/>
          <w:szCs w:val="19"/>
        </w:rPr>
      </w:pPr>
      <w:r w:rsidRPr="009D0BFD">
        <w:rPr>
          <w:rFonts w:ascii="Arial" w:hAnsi="Arial" w:cs="Arial"/>
          <w:spacing w:val="-8"/>
          <w:sz w:val="19"/>
          <w:szCs w:val="19"/>
        </w:rPr>
        <w:t>DERECHO DE PETICIÓN/</w:t>
      </w:r>
      <w:r w:rsidR="00EB0360" w:rsidRPr="009D0BFD">
        <w:rPr>
          <w:rFonts w:ascii="Arial" w:hAnsi="Arial" w:cs="Arial"/>
          <w:spacing w:val="-8"/>
          <w:sz w:val="19"/>
          <w:szCs w:val="19"/>
        </w:rPr>
        <w:t xml:space="preserve"> Posibilidad de declarar el hecho superado se limita a las solicitudes</w:t>
      </w:r>
      <w:r w:rsidR="00093E95" w:rsidRPr="009D0BFD">
        <w:rPr>
          <w:rFonts w:ascii="Arial" w:hAnsi="Arial" w:cs="Arial"/>
          <w:spacing w:val="-8"/>
          <w:sz w:val="19"/>
          <w:szCs w:val="19"/>
        </w:rPr>
        <w:t xml:space="preserve"> </w:t>
      </w:r>
      <w:r w:rsidR="007B2DA3" w:rsidRPr="009D0BFD">
        <w:rPr>
          <w:rFonts w:ascii="Arial" w:hAnsi="Arial" w:cs="Arial"/>
          <w:spacing w:val="-8"/>
          <w:sz w:val="19"/>
          <w:szCs w:val="19"/>
        </w:rPr>
        <w:t>que fueron resuelta</w:t>
      </w:r>
      <w:r w:rsidR="000C7967" w:rsidRPr="009D0BFD">
        <w:rPr>
          <w:rFonts w:ascii="Arial" w:hAnsi="Arial" w:cs="Arial"/>
          <w:spacing w:val="-8"/>
          <w:sz w:val="19"/>
          <w:szCs w:val="19"/>
        </w:rPr>
        <w:t>s</w:t>
      </w:r>
      <w:r w:rsidR="007B2DA3" w:rsidRPr="009D0BFD">
        <w:rPr>
          <w:rFonts w:ascii="Arial" w:hAnsi="Arial" w:cs="Arial"/>
          <w:spacing w:val="-8"/>
          <w:sz w:val="19"/>
          <w:szCs w:val="19"/>
        </w:rPr>
        <w:t xml:space="preserve"> de fondo y</w:t>
      </w:r>
      <w:r w:rsidR="00093E95" w:rsidRPr="009D0BFD">
        <w:rPr>
          <w:rFonts w:ascii="Arial" w:hAnsi="Arial" w:cs="Arial"/>
          <w:spacing w:val="-8"/>
          <w:sz w:val="19"/>
          <w:szCs w:val="19"/>
        </w:rPr>
        <w:t xml:space="preserve"> </w:t>
      </w:r>
      <w:r w:rsidR="00EB0360" w:rsidRPr="009D0BFD">
        <w:rPr>
          <w:rFonts w:ascii="Arial" w:hAnsi="Arial" w:cs="Arial"/>
          <w:spacing w:val="-8"/>
          <w:sz w:val="19"/>
          <w:szCs w:val="19"/>
        </w:rPr>
        <w:t xml:space="preserve">notificadas al </w:t>
      </w:r>
      <w:r w:rsidR="00093E95" w:rsidRPr="009D0BFD">
        <w:rPr>
          <w:rFonts w:ascii="Arial" w:hAnsi="Arial" w:cs="Arial"/>
          <w:spacing w:val="-8"/>
          <w:sz w:val="19"/>
          <w:szCs w:val="19"/>
        </w:rPr>
        <w:t>peticionario</w:t>
      </w:r>
    </w:p>
    <w:p w:rsidR="00093E95" w:rsidRPr="009D0BFD" w:rsidRDefault="00093E95" w:rsidP="00C83C08">
      <w:pPr>
        <w:pStyle w:val="Textoindependiente"/>
        <w:spacing w:line="240" w:lineRule="auto"/>
        <w:rPr>
          <w:rFonts w:ascii="Arial" w:hAnsi="Arial" w:cs="Arial"/>
          <w:spacing w:val="-8"/>
          <w:sz w:val="19"/>
          <w:szCs w:val="19"/>
        </w:rPr>
      </w:pPr>
    </w:p>
    <w:p w:rsidR="00E01A64" w:rsidRPr="009D0BFD" w:rsidRDefault="00C642EC" w:rsidP="00C83C08">
      <w:pPr>
        <w:pStyle w:val="Textoindependiente"/>
        <w:spacing w:line="240" w:lineRule="auto"/>
        <w:rPr>
          <w:rFonts w:ascii="Arial" w:hAnsi="Arial" w:cs="Arial"/>
          <w:spacing w:val="-8"/>
          <w:sz w:val="19"/>
          <w:szCs w:val="19"/>
        </w:rPr>
      </w:pPr>
      <w:r w:rsidRPr="009D0BFD">
        <w:rPr>
          <w:rFonts w:ascii="Arial" w:hAnsi="Arial" w:cs="Arial"/>
          <w:spacing w:val="-8"/>
          <w:sz w:val="19"/>
          <w:szCs w:val="19"/>
        </w:rPr>
        <w:t>“</w:t>
      </w:r>
      <w:r w:rsidR="00E01A64" w:rsidRPr="009D0BFD">
        <w:rPr>
          <w:rFonts w:ascii="Arial" w:hAnsi="Arial" w:cs="Arial"/>
          <w:spacing w:val="-8"/>
          <w:sz w:val="19"/>
          <w:szCs w:val="19"/>
        </w:rPr>
        <w:t>Revisadas las respuestas y los pedimentos, considera la Sala que efectivamente la accionada atendió dos de las solicitudes presentadas, específicamente las referentes a los temas de cesantías y c</w:t>
      </w:r>
      <w:r w:rsidRPr="009D0BFD">
        <w:rPr>
          <w:rFonts w:ascii="Arial" w:hAnsi="Arial" w:cs="Arial"/>
          <w:spacing w:val="-8"/>
          <w:sz w:val="19"/>
          <w:szCs w:val="19"/>
        </w:rPr>
        <w:t>ertificaciones (…</w:t>
      </w:r>
      <w:r w:rsidR="00E01A64" w:rsidRPr="009D0BFD">
        <w:rPr>
          <w:rFonts w:ascii="Arial" w:hAnsi="Arial" w:cs="Arial"/>
          <w:spacing w:val="-8"/>
          <w:sz w:val="19"/>
          <w:szCs w:val="19"/>
        </w:rPr>
        <w:t>) la DESAJ de Tunja, dio repuesta clara, completa, con remisión de los certificados requeridos (</w:t>
      </w:r>
      <w:r w:rsidRPr="009D0BFD">
        <w:rPr>
          <w:rFonts w:ascii="Arial" w:hAnsi="Arial" w:cs="Arial"/>
          <w:spacing w:val="-8"/>
          <w:sz w:val="19"/>
          <w:szCs w:val="19"/>
        </w:rPr>
        <w:t>..</w:t>
      </w:r>
      <w:r w:rsidR="00E01A64" w:rsidRPr="009D0BFD">
        <w:rPr>
          <w:rFonts w:ascii="Arial" w:hAnsi="Arial" w:cs="Arial"/>
          <w:spacing w:val="-8"/>
          <w:sz w:val="19"/>
          <w:szCs w:val="19"/>
        </w:rPr>
        <w:t>.) que fue comunicado vía corre</w:t>
      </w:r>
      <w:r w:rsidRPr="009D0BFD">
        <w:rPr>
          <w:rFonts w:ascii="Arial" w:hAnsi="Arial" w:cs="Arial"/>
          <w:spacing w:val="-8"/>
          <w:sz w:val="19"/>
          <w:szCs w:val="19"/>
        </w:rPr>
        <w:t>o electrónico (…)</w:t>
      </w:r>
    </w:p>
    <w:p w:rsidR="00E01A64" w:rsidRPr="009D0BFD" w:rsidRDefault="00E01A64" w:rsidP="00C83C08">
      <w:pPr>
        <w:pStyle w:val="Textoindependiente"/>
        <w:spacing w:line="240" w:lineRule="auto"/>
        <w:rPr>
          <w:rFonts w:ascii="Arial" w:hAnsi="Arial" w:cs="Arial"/>
          <w:spacing w:val="-8"/>
          <w:sz w:val="19"/>
          <w:szCs w:val="19"/>
        </w:rPr>
      </w:pPr>
    </w:p>
    <w:p w:rsidR="00E01A64" w:rsidRPr="009D0BFD" w:rsidRDefault="00E01A64" w:rsidP="00C83C08">
      <w:pPr>
        <w:pStyle w:val="Textoindependiente"/>
        <w:spacing w:line="240" w:lineRule="auto"/>
        <w:rPr>
          <w:rFonts w:ascii="Arial" w:hAnsi="Arial" w:cs="Arial"/>
          <w:spacing w:val="-8"/>
          <w:sz w:val="19"/>
          <w:szCs w:val="19"/>
        </w:rPr>
      </w:pPr>
      <w:r w:rsidRPr="009D0BFD">
        <w:rPr>
          <w:rFonts w:ascii="Arial" w:hAnsi="Arial" w:cs="Arial"/>
          <w:spacing w:val="-8"/>
          <w:sz w:val="19"/>
          <w:szCs w:val="19"/>
          <w:lang w:val="es-CO" w:eastAsia="es-CO"/>
        </w:rPr>
        <w:t xml:space="preserve">Por lo tanto, la vulneración al derecho de petición cesó y </w:t>
      </w:r>
      <w:r w:rsidRPr="009D0BFD">
        <w:rPr>
          <w:rFonts w:ascii="Arial" w:hAnsi="Arial" w:cs="Arial"/>
          <w:spacing w:val="-8"/>
          <w:sz w:val="19"/>
          <w:szCs w:val="19"/>
        </w:rPr>
        <w:t>no hay objeto jurídico sobre el cual fallar. De esta manera, se configura el hecho superado, pues las aludidas peticiones se encuentran satisfechas.</w:t>
      </w:r>
    </w:p>
    <w:p w:rsidR="00E01A64" w:rsidRPr="009D0BFD" w:rsidRDefault="00E01A64" w:rsidP="00C83C08">
      <w:pPr>
        <w:pStyle w:val="Textoindependiente"/>
        <w:spacing w:line="240" w:lineRule="auto"/>
        <w:rPr>
          <w:rFonts w:ascii="Arial" w:hAnsi="Arial" w:cs="Arial"/>
          <w:spacing w:val="-8"/>
          <w:sz w:val="19"/>
          <w:szCs w:val="19"/>
        </w:rPr>
      </w:pPr>
    </w:p>
    <w:p w:rsidR="00E01A64" w:rsidRPr="009D0BFD" w:rsidRDefault="009D0BFD" w:rsidP="00C83C08">
      <w:pPr>
        <w:pStyle w:val="Textoindependiente"/>
        <w:spacing w:line="240" w:lineRule="auto"/>
        <w:rPr>
          <w:rFonts w:ascii="Arial" w:hAnsi="Arial" w:cs="Arial"/>
          <w:spacing w:val="-8"/>
          <w:sz w:val="19"/>
          <w:szCs w:val="19"/>
        </w:rPr>
      </w:pPr>
      <w:r w:rsidRPr="009D0BFD">
        <w:rPr>
          <w:rFonts w:ascii="Arial" w:hAnsi="Arial" w:cs="Arial"/>
          <w:spacing w:val="-8"/>
          <w:sz w:val="19"/>
          <w:szCs w:val="19"/>
        </w:rPr>
        <w:t>(…)</w:t>
      </w:r>
      <w:r w:rsidR="00E01A64" w:rsidRPr="009D0BFD">
        <w:rPr>
          <w:rFonts w:ascii="Arial" w:hAnsi="Arial" w:cs="Arial"/>
          <w:spacing w:val="-8"/>
          <w:sz w:val="19"/>
          <w:szCs w:val="19"/>
        </w:rPr>
        <w:t xml:space="preserve"> no sucede lo mismo respecto de la solicitud tendiente a que se brinde información y se corrijan inconsistencias relacionadas con los aportes en pen</w:t>
      </w:r>
      <w:r w:rsidRPr="009D0BFD">
        <w:rPr>
          <w:rFonts w:ascii="Arial" w:hAnsi="Arial" w:cs="Arial"/>
          <w:spacing w:val="-8"/>
          <w:sz w:val="19"/>
          <w:szCs w:val="19"/>
        </w:rPr>
        <w:t>siones de la actora (..</w:t>
      </w:r>
      <w:r w:rsidR="00E01A64" w:rsidRPr="009D0BFD">
        <w:rPr>
          <w:rFonts w:ascii="Arial" w:hAnsi="Arial" w:cs="Arial"/>
          <w:spacing w:val="-8"/>
          <w:sz w:val="19"/>
          <w:szCs w:val="19"/>
        </w:rPr>
        <w:t>.) Se envió como contestación el oficio que da</w:t>
      </w:r>
      <w:r w:rsidRPr="009D0BFD">
        <w:rPr>
          <w:rFonts w:ascii="Arial" w:hAnsi="Arial" w:cs="Arial"/>
          <w:spacing w:val="-8"/>
          <w:sz w:val="19"/>
          <w:szCs w:val="19"/>
        </w:rPr>
        <w:t>ta del 25-03-2016 (…)</w:t>
      </w:r>
      <w:r w:rsidR="00E01A64" w:rsidRPr="009D0BFD">
        <w:rPr>
          <w:rFonts w:ascii="Arial" w:hAnsi="Arial" w:cs="Arial"/>
          <w:spacing w:val="-8"/>
          <w:sz w:val="19"/>
          <w:szCs w:val="19"/>
        </w:rPr>
        <w:t xml:space="preserve"> sin arrimar prueba de que se haya comunicado, claro que remitió una planilla de correo del 472 La Red Postal de Colombia</w:t>
      </w:r>
      <w:r w:rsidRPr="009D0BFD">
        <w:rPr>
          <w:rFonts w:ascii="Arial" w:hAnsi="Arial" w:cs="Arial"/>
          <w:spacing w:val="-8"/>
          <w:sz w:val="19"/>
          <w:szCs w:val="19"/>
        </w:rPr>
        <w:t xml:space="preserve"> (…</w:t>
      </w:r>
      <w:r w:rsidR="00E01A64" w:rsidRPr="009D0BFD">
        <w:rPr>
          <w:rFonts w:ascii="Arial" w:hAnsi="Arial" w:cs="Arial"/>
          <w:spacing w:val="-8"/>
          <w:sz w:val="19"/>
          <w:szCs w:val="19"/>
        </w:rPr>
        <w:t>), mas no acredita el recibo</w:t>
      </w:r>
      <w:r w:rsidR="00F05C49">
        <w:rPr>
          <w:rFonts w:ascii="Arial" w:hAnsi="Arial" w:cs="Arial"/>
          <w:spacing w:val="-8"/>
          <w:sz w:val="19"/>
          <w:szCs w:val="19"/>
        </w:rPr>
        <w:t xml:space="preserve"> (..</w:t>
      </w:r>
      <w:r w:rsidR="00E01A64" w:rsidRPr="009D0BFD">
        <w:rPr>
          <w:rFonts w:ascii="Arial" w:hAnsi="Arial" w:cs="Arial"/>
          <w:spacing w:val="-8"/>
          <w:sz w:val="19"/>
          <w:szCs w:val="19"/>
        </w:rPr>
        <w:t>.</w:t>
      </w:r>
      <w:r w:rsidRPr="009D0BFD">
        <w:rPr>
          <w:rFonts w:ascii="Arial" w:hAnsi="Arial" w:cs="Arial"/>
          <w:spacing w:val="-8"/>
          <w:sz w:val="19"/>
          <w:szCs w:val="19"/>
        </w:rPr>
        <w:t>)</w:t>
      </w:r>
      <w:r w:rsidR="00E01A64" w:rsidRPr="009D0BFD">
        <w:rPr>
          <w:rFonts w:ascii="Arial" w:hAnsi="Arial" w:cs="Arial"/>
          <w:spacing w:val="-8"/>
          <w:sz w:val="19"/>
          <w:szCs w:val="19"/>
        </w:rPr>
        <w:t xml:space="preserve"> </w:t>
      </w:r>
    </w:p>
    <w:p w:rsidR="00E01A64" w:rsidRPr="009D0BFD" w:rsidRDefault="00E01A64" w:rsidP="00C83C08">
      <w:pPr>
        <w:pStyle w:val="Textoindependiente"/>
        <w:spacing w:line="240" w:lineRule="auto"/>
        <w:rPr>
          <w:rFonts w:ascii="Arial" w:hAnsi="Arial" w:cs="Arial"/>
          <w:spacing w:val="-8"/>
          <w:sz w:val="19"/>
          <w:szCs w:val="19"/>
        </w:rPr>
      </w:pPr>
    </w:p>
    <w:p w:rsidR="00E01A64" w:rsidRPr="009D0BFD" w:rsidRDefault="00E01A64" w:rsidP="00C83C08">
      <w:pPr>
        <w:pStyle w:val="Textoindependiente"/>
        <w:spacing w:line="240" w:lineRule="auto"/>
        <w:rPr>
          <w:rFonts w:ascii="Arial" w:hAnsi="Arial" w:cs="Arial"/>
          <w:iCs/>
          <w:spacing w:val="-8"/>
          <w:sz w:val="19"/>
          <w:szCs w:val="19"/>
        </w:rPr>
      </w:pPr>
      <w:r w:rsidRPr="009D0BFD">
        <w:rPr>
          <w:rFonts w:ascii="Arial" w:hAnsi="Arial" w:cs="Arial"/>
          <w:spacing w:val="-8"/>
          <w:sz w:val="19"/>
          <w:szCs w:val="19"/>
        </w:rPr>
        <w:t xml:space="preserve">Asimismo, cabe señalar que la respuesta debe ser de </w:t>
      </w:r>
      <w:r w:rsidRPr="009D0BFD">
        <w:rPr>
          <w:rFonts w:ascii="Arial" w:hAnsi="Arial" w:cs="Arial"/>
          <w:iCs/>
          <w:spacing w:val="-8"/>
          <w:sz w:val="19"/>
          <w:szCs w:val="19"/>
        </w:rPr>
        <w:t>fondo, clara, precisa y de manera congruente con lo solicitado, lo que no se descubre en el referido oficio, pues existen puntos sin resolver, que fueron mencionados en la contestación, pero que deben ser comunicados a la petente, pues mal puede ser considerada atendida, con la remisión a este fallador.</w:t>
      </w:r>
      <w:r w:rsidR="009D0BFD" w:rsidRPr="009D0BFD">
        <w:rPr>
          <w:rFonts w:ascii="Arial" w:hAnsi="Arial" w:cs="Arial"/>
          <w:iCs/>
          <w:spacing w:val="-8"/>
          <w:sz w:val="19"/>
          <w:szCs w:val="19"/>
        </w:rPr>
        <w:t>”</w:t>
      </w:r>
    </w:p>
    <w:p w:rsidR="00E01A64" w:rsidRPr="009D0BFD" w:rsidRDefault="00E01A64" w:rsidP="00C83C08">
      <w:pPr>
        <w:pStyle w:val="Textoindependiente"/>
        <w:spacing w:line="240" w:lineRule="auto"/>
        <w:rPr>
          <w:rFonts w:ascii="Arial" w:hAnsi="Arial" w:cs="Arial"/>
          <w:iCs/>
          <w:spacing w:val="-8"/>
          <w:sz w:val="19"/>
          <w:szCs w:val="19"/>
        </w:rPr>
      </w:pPr>
    </w:p>
    <w:p w:rsidR="00F40064" w:rsidRPr="009D0BFD" w:rsidRDefault="0042418B" w:rsidP="00C83C08">
      <w:pPr>
        <w:pStyle w:val="Textoindependiente"/>
        <w:spacing w:line="240" w:lineRule="auto"/>
        <w:rPr>
          <w:rFonts w:ascii="Arial" w:hAnsi="Arial" w:cs="Arial"/>
          <w:spacing w:val="-8"/>
          <w:sz w:val="19"/>
          <w:szCs w:val="19"/>
        </w:rPr>
      </w:pPr>
      <w:r w:rsidRPr="009D0BFD">
        <w:rPr>
          <w:rFonts w:ascii="Arial" w:hAnsi="Arial" w:cs="Arial"/>
          <w:spacing w:val="-8"/>
          <w:sz w:val="17"/>
          <w:szCs w:val="17"/>
        </w:rPr>
        <w:t>Cita</w:t>
      </w:r>
      <w:r w:rsidR="000C7967" w:rsidRPr="009D0BFD">
        <w:rPr>
          <w:rFonts w:ascii="Arial" w:hAnsi="Arial" w:cs="Arial"/>
          <w:spacing w:val="-8"/>
          <w:sz w:val="17"/>
          <w:szCs w:val="17"/>
        </w:rPr>
        <w:t>s</w:t>
      </w:r>
      <w:r w:rsidRPr="009D0BFD">
        <w:rPr>
          <w:rFonts w:ascii="Arial" w:hAnsi="Arial" w:cs="Arial"/>
          <w:spacing w:val="-8"/>
          <w:sz w:val="17"/>
          <w:szCs w:val="17"/>
        </w:rPr>
        <w:t xml:space="preserve">: </w:t>
      </w:r>
      <w:r w:rsidR="000C7967" w:rsidRPr="009D0BFD">
        <w:rPr>
          <w:rFonts w:ascii="Arial" w:hAnsi="Arial" w:cs="Arial"/>
          <w:spacing w:val="-8"/>
          <w:sz w:val="17"/>
          <w:szCs w:val="17"/>
          <w:lang w:val="es-AR"/>
        </w:rPr>
        <w:t xml:space="preserve">Corte Constitucional, </w:t>
      </w:r>
      <w:r w:rsidR="000C7967" w:rsidRPr="009D0BFD">
        <w:rPr>
          <w:rFonts w:ascii="Arial" w:hAnsi="Arial" w:cs="Arial"/>
          <w:bCs/>
          <w:spacing w:val="-8"/>
          <w:sz w:val="17"/>
          <w:szCs w:val="17"/>
          <w:lang w:val="es-AR"/>
        </w:rPr>
        <w:t>s</w:t>
      </w:r>
      <w:r w:rsidRPr="009D0BFD">
        <w:rPr>
          <w:rFonts w:ascii="Arial" w:hAnsi="Arial" w:cs="Arial"/>
          <w:bCs/>
          <w:spacing w:val="-8"/>
          <w:sz w:val="17"/>
          <w:szCs w:val="17"/>
          <w:lang w:val="es-AR"/>
        </w:rPr>
        <w:t>entencia</w:t>
      </w:r>
      <w:r w:rsidR="000C7967" w:rsidRPr="009D0BFD">
        <w:rPr>
          <w:rFonts w:ascii="Arial" w:hAnsi="Arial" w:cs="Arial"/>
          <w:bCs/>
          <w:spacing w:val="-8"/>
          <w:sz w:val="17"/>
          <w:szCs w:val="17"/>
          <w:lang w:val="es-AR"/>
        </w:rPr>
        <w:t>s</w:t>
      </w:r>
      <w:r w:rsidRPr="009D0BFD">
        <w:rPr>
          <w:rFonts w:ascii="Arial" w:hAnsi="Arial" w:cs="Arial"/>
          <w:bCs/>
          <w:spacing w:val="-8"/>
          <w:sz w:val="17"/>
          <w:szCs w:val="17"/>
          <w:lang w:val="es-AR"/>
        </w:rPr>
        <w:t xml:space="preserve"> </w:t>
      </w:r>
      <w:r w:rsidRPr="009D0BFD">
        <w:rPr>
          <w:rFonts w:ascii="Arial" w:hAnsi="Arial" w:cs="Arial"/>
          <w:spacing w:val="-8"/>
          <w:sz w:val="17"/>
          <w:szCs w:val="17"/>
        </w:rPr>
        <w:t xml:space="preserve">T-669 de 2003, T-146 de 2012, </w:t>
      </w:r>
      <w:r w:rsidRPr="009D0BFD">
        <w:rPr>
          <w:rFonts w:ascii="Arial" w:hAnsi="Arial" w:cs="Arial"/>
          <w:spacing w:val="-8"/>
          <w:sz w:val="17"/>
          <w:szCs w:val="17"/>
          <w:lang w:val="es-AR"/>
        </w:rPr>
        <w:t xml:space="preserve">T-728 de 2014, </w:t>
      </w:r>
      <w:r w:rsidRPr="009D0BFD">
        <w:rPr>
          <w:rFonts w:ascii="Arial" w:hAnsi="Arial" w:cs="Arial"/>
          <w:bCs/>
          <w:spacing w:val="-8"/>
          <w:sz w:val="17"/>
          <w:szCs w:val="17"/>
          <w:lang w:val="es-AR"/>
        </w:rPr>
        <w:t xml:space="preserve">T-011 y </w:t>
      </w:r>
      <w:r w:rsidR="00E01A64" w:rsidRPr="009D0BFD">
        <w:rPr>
          <w:rFonts w:ascii="Arial" w:hAnsi="Arial" w:cs="Arial"/>
          <w:color w:val="000000"/>
          <w:spacing w:val="-8"/>
          <w:sz w:val="17"/>
          <w:szCs w:val="17"/>
          <w:bdr w:val="none" w:sz="0" w:space="0" w:color="auto" w:frame="1"/>
          <w:lang w:val="es-AR"/>
        </w:rPr>
        <w:t>T-041 de 2016</w:t>
      </w:r>
      <w:r w:rsidR="00E01A64" w:rsidRPr="009D0BFD">
        <w:rPr>
          <w:rFonts w:ascii="Arial" w:hAnsi="Arial" w:cs="Arial"/>
          <w:color w:val="000000"/>
          <w:spacing w:val="-8"/>
          <w:sz w:val="19"/>
          <w:szCs w:val="19"/>
          <w:bdr w:val="none" w:sz="0" w:space="0" w:color="auto" w:frame="1"/>
          <w:lang w:val="es-AR"/>
        </w:rPr>
        <w:t>.</w:t>
      </w:r>
    </w:p>
    <w:p w:rsidR="00F40064" w:rsidRDefault="00F40064" w:rsidP="002403C8">
      <w:pPr>
        <w:pStyle w:val="Sinespaciado"/>
        <w:tabs>
          <w:tab w:val="left" w:pos="3579"/>
        </w:tabs>
        <w:spacing w:line="360" w:lineRule="auto"/>
        <w:jc w:val="center"/>
        <w:rPr>
          <w:rFonts w:ascii="Arial" w:hAnsi="Arial" w:cs="Arial"/>
          <w:w w:val="140"/>
          <w:sz w:val="14"/>
        </w:rPr>
      </w:pPr>
      <w:bookmarkStart w:id="0" w:name="_GoBack"/>
      <w:bookmarkEnd w:id="0"/>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246761" w:rsidRPr="00246761" w:rsidRDefault="00246761" w:rsidP="00246761">
      <w:pPr>
        <w:pStyle w:val="Textoindependiente"/>
        <w:spacing w:line="360" w:lineRule="auto"/>
        <w:ind w:left="1416"/>
        <w:rPr>
          <w:rFonts w:ascii="Arial" w:hAnsi="Arial" w:cs="Arial"/>
          <w:sz w:val="22"/>
        </w:rPr>
      </w:pPr>
      <w:r w:rsidRPr="00246761">
        <w:rPr>
          <w:rFonts w:ascii="Arial" w:hAnsi="Arial" w:cs="Arial"/>
          <w:sz w:val="22"/>
        </w:rPr>
        <w:t>Accionante</w:t>
      </w:r>
      <w:r w:rsidRPr="00246761">
        <w:rPr>
          <w:rFonts w:ascii="Arial" w:hAnsi="Arial" w:cs="Arial"/>
          <w:sz w:val="22"/>
        </w:rPr>
        <w:tab/>
      </w:r>
      <w:r w:rsidRPr="00246761">
        <w:rPr>
          <w:rFonts w:ascii="Arial" w:hAnsi="Arial" w:cs="Arial"/>
          <w:sz w:val="22"/>
        </w:rPr>
        <w:tab/>
        <w:t xml:space="preserve">: </w:t>
      </w:r>
      <w:r w:rsidR="00D96216">
        <w:rPr>
          <w:rFonts w:ascii="Arial" w:hAnsi="Arial" w:cs="Arial"/>
          <w:sz w:val="22"/>
        </w:rPr>
        <w:t>María Helena Supanteve Rincón</w:t>
      </w:r>
    </w:p>
    <w:p w:rsidR="00246761" w:rsidRDefault="00246761" w:rsidP="00246761">
      <w:pPr>
        <w:pStyle w:val="Textoindependiente"/>
        <w:spacing w:line="360" w:lineRule="auto"/>
        <w:ind w:left="1416"/>
        <w:rPr>
          <w:rFonts w:ascii="Arial" w:hAnsi="Arial" w:cs="Arial"/>
          <w:sz w:val="22"/>
        </w:rPr>
      </w:pPr>
      <w:r w:rsidRPr="00246761">
        <w:rPr>
          <w:rFonts w:ascii="Arial" w:hAnsi="Arial" w:cs="Arial"/>
          <w:sz w:val="22"/>
        </w:rPr>
        <w:t>Accionado (s)</w:t>
      </w:r>
      <w:r w:rsidRPr="00246761">
        <w:rPr>
          <w:rFonts w:ascii="Arial" w:hAnsi="Arial" w:cs="Arial"/>
          <w:sz w:val="22"/>
        </w:rPr>
        <w:tab/>
      </w:r>
      <w:r w:rsidRPr="00246761">
        <w:rPr>
          <w:rFonts w:ascii="Arial" w:hAnsi="Arial" w:cs="Arial"/>
          <w:sz w:val="22"/>
        </w:rPr>
        <w:tab/>
        <w:t xml:space="preserve">: </w:t>
      </w:r>
      <w:r w:rsidR="00D96216" w:rsidRPr="00D96216">
        <w:rPr>
          <w:rFonts w:ascii="Arial" w:hAnsi="Arial" w:cs="Arial"/>
          <w:sz w:val="20"/>
        </w:rPr>
        <w:t xml:space="preserve">Dirección Ejecutiva </w:t>
      </w:r>
      <w:r w:rsidR="008F6EDC">
        <w:rPr>
          <w:rFonts w:ascii="Arial" w:hAnsi="Arial" w:cs="Arial"/>
          <w:sz w:val="20"/>
        </w:rPr>
        <w:t xml:space="preserve">Seccional </w:t>
      </w:r>
      <w:r w:rsidR="00D96216" w:rsidRPr="00D96216">
        <w:rPr>
          <w:rFonts w:ascii="Arial" w:hAnsi="Arial" w:cs="Arial"/>
          <w:sz w:val="20"/>
        </w:rPr>
        <w:t xml:space="preserve">Administración Judicial </w:t>
      </w:r>
      <w:r w:rsidR="00A46AB3">
        <w:rPr>
          <w:rFonts w:ascii="Arial" w:hAnsi="Arial" w:cs="Arial"/>
          <w:sz w:val="20"/>
        </w:rPr>
        <w:t>de Tunja</w:t>
      </w:r>
    </w:p>
    <w:p w:rsidR="009D6CEA" w:rsidRDefault="005C7E6F" w:rsidP="00246761">
      <w:pPr>
        <w:pStyle w:val="Textoindependiente"/>
        <w:spacing w:line="360" w:lineRule="auto"/>
        <w:ind w:left="1416"/>
        <w:rPr>
          <w:rFonts w:ascii="Arial" w:hAnsi="Arial" w:cs="Arial"/>
          <w:sz w:val="22"/>
        </w:rPr>
      </w:pPr>
      <w:r>
        <w:rPr>
          <w:rFonts w:ascii="Arial" w:hAnsi="Arial" w:cs="Arial"/>
          <w:sz w:val="22"/>
        </w:rPr>
        <w:t>Litisconsorte (s)</w:t>
      </w:r>
      <w:r>
        <w:rPr>
          <w:rFonts w:ascii="Arial" w:hAnsi="Arial" w:cs="Arial"/>
          <w:sz w:val="22"/>
        </w:rPr>
        <w:tab/>
        <w:t xml:space="preserve">: </w:t>
      </w:r>
      <w:r w:rsidR="00D96216">
        <w:rPr>
          <w:rFonts w:ascii="Arial" w:hAnsi="Arial" w:cs="Arial"/>
          <w:sz w:val="22"/>
        </w:rPr>
        <w:t>Área de Talento Humano de la DE</w:t>
      </w:r>
      <w:r w:rsidR="00A46AB3">
        <w:rPr>
          <w:rFonts w:ascii="Arial" w:hAnsi="Arial" w:cs="Arial"/>
          <w:sz w:val="22"/>
        </w:rPr>
        <w:t>S</w:t>
      </w:r>
      <w:r w:rsidR="00D96216">
        <w:rPr>
          <w:rFonts w:ascii="Arial" w:hAnsi="Arial" w:cs="Arial"/>
          <w:sz w:val="22"/>
        </w:rPr>
        <w:t xml:space="preserve">AJ </w:t>
      </w:r>
      <w:r w:rsidR="00A46AB3">
        <w:rPr>
          <w:rFonts w:ascii="Arial" w:hAnsi="Arial" w:cs="Arial"/>
          <w:sz w:val="22"/>
        </w:rPr>
        <w:t xml:space="preserve">de Tunja </w:t>
      </w:r>
    </w:p>
    <w:p w:rsidR="00246761" w:rsidRPr="00246761" w:rsidRDefault="00246761" w:rsidP="00246761">
      <w:pPr>
        <w:pStyle w:val="Textoindependiente"/>
        <w:spacing w:line="360" w:lineRule="auto"/>
        <w:ind w:left="1416"/>
        <w:rPr>
          <w:rFonts w:ascii="Arial" w:hAnsi="Arial" w:cs="Arial"/>
          <w:sz w:val="22"/>
        </w:rPr>
      </w:pPr>
      <w:r w:rsidRPr="00246761">
        <w:rPr>
          <w:rFonts w:ascii="Arial" w:hAnsi="Arial" w:cs="Arial"/>
          <w:sz w:val="22"/>
        </w:rPr>
        <w:t>Radicación</w:t>
      </w:r>
      <w:r w:rsidRPr="00246761">
        <w:rPr>
          <w:rFonts w:ascii="Arial" w:hAnsi="Arial" w:cs="Arial"/>
          <w:sz w:val="22"/>
        </w:rPr>
        <w:tab/>
      </w:r>
      <w:r w:rsidRPr="00246761">
        <w:rPr>
          <w:rFonts w:ascii="Arial" w:hAnsi="Arial" w:cs="Arial"/>
          <w:sz w:val="22"/>
        </w:rPr>
        <w:tab/>
        <w:t xml:space="preserve">: </w:t>
      </w:r>
      <w:r w:rsidR="009D6CEA">
        <w:rPr>
          <w:rFonts w:ascii="Arial" w:hAnsi="Arial" w:cs="Arial"/>
          <w:sz w:val="22"/>
        </w:rPr>
        <w:t>2016-</w:t>
      </w:r>
      <w:r w:rsidR="00D96216">
        <w:rPr>
          <w:rFonts w:ascii="Arial" w:hAnsi="Arial" w:cs="Arial"/>
          <w:sz w:val="22"/>
        </w:rPr>
        <w:t>00477</w:t>
      </w:r>
      <w:r w:rsidR="009D6CEA">
        <w:rPr>
          <w:rFonts w:ascii="Arial" w:hAnsi="Arial" w:cs="Arial"/>
          <w:sz w:val="22"/>
        </w:rPr>
        <w:t xml:space="preserve">-00 </w:t>
      </w:r>
      <w:r w:rsidRPr="00246761">
        <w:rPr>
          <w:rFonts w:ascii="Arial" w:hAnsi="Arial" w:cs="Arial"/>
          <w:sz w:val="22"/>
        </w:rPr>
        <w:t>(Interno No.</w:t>
      </w:r>
      <w:r w:rsidR="00D96216">
        <w:rPr>
          <w:rFonts w:ascii="Arial" w:hAnsi="Arial" w:cs="Arial"/>
          <w:sz w:val="22"/>
        </w:rPr>
        <w:t>477</w:t>
      </w:r>
      <w:r w:rsidRPr="00246761">
        <w:rPr>
          <w:rFonts w:ascii="Arial" w:hAnsi="Arial" w:cs="Arial"/>
          <w:sz w:val="22"/>
        </w:rPr>
        <w:t>)</w:t>
      </w:r>
    </w:p>
    <w:p w:rsidR="008E5334" w:rsidRPr="003677F2" w:rsidRDefault="00970930" w:rsidP="008E5334">
      <w:pPr>
        <w:pStyle w:val="Textoindependiente"/>
        <w:spacing w:line="360" w:lineRule="auto"/>
        <w:rPr>
          <w:rFonts w:ascii="Arial" w:hAnsi="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677F2">
        <w:rPr>
          <w:rFonts w:ascii="Arial" w:hAnsi="Arial" w:cs="Arial"/>
          <w:sz w:val="22"/>
          <w:szCs w:val="22"/>
        </w:rPr>
        <w:t>:</w:t>
      </w:r>
      <w:r w:rsidR="004D79C3" w:rsidRPr="003677F2">
        <w:rPr>
          <w:rFonts w:ascii="Arial" w:hAnsi="Arial" w:cs="Arial"/>
          <w:sz w:val="20"/>
          <w:szCs w:val="22"/>
        </w:rPr>
        <w:t xml:space="preserve"> </w:t>
      </w:r>
      <w:r w:rsidR="00007C42">
        <w:rPr>
          <w:rFonts w:ascii="Arial" w:hAnsi="Arial" w:cs="Arial"/>
          <w:sz w:val="20"/>
          <w:szCs w:val="22"/>
        </w:rPr>
        <w:t xml:space="preserve">Carencia actual de objeto - </w:t>
      </w:r>
      <w:r w:rsidR="00D623A3" w:rsidRPr="00007C42">
        <w:rPr>
          <w:rFonts w:ascii="Arial" w:hAnsi="Arial" w:cs="Arial"/>
          <w:sz w:val="20"/>
        </w:rPr>
        <w:t xml:space="preserve">Derecho </w:t>
      </w:r>
      <w:r w:rsidR="003677F2" w:rsidRPr="00007C42">
        <w:rPr>
          <w:rFonts w:ascii="Arial" w:hAnsi="Arial" w:cs="Arial"/>
          <w:sz w:val="20"/>
        </w:rPr>
        <w:t xml:space="preserve">de petición </w:t>
      </w:r>
      <w:r w:rsidR="003918BB" w:rsidRPr="00007C42">
        <w:rPr>
          <w:rFonts w:ascii="Arial" w:hAnsi="Arial" w:cs="Arial"/>
          <w:sz w:val="20"/>
        </w:rPr>
        <w:t>- Subreglas</w:t>
      </w:r>
    </w:p>
    <w:p w:rsidR="0099045D" w:rsidRPr="002060F5" w:rsidRDefault="008E5334" w:rsidP="008E5334">
      <w:pPr>
        <w:pStyle w:val="Textoindependiente"/>
        <w:spacing w:line="360" w:lineRule="auto"/>
        <w:rPr>
          <w:rFonts w:ascii="Arial" w:hAnsi="Arial"/>
          <w:sz w:val="22"/>
          <w:szCs w:val="22"/>
        </w:rPr>
      </w:pPr>
      <w:r w:rsidRPr="003677F2">
        <w:rPr>
          <w:rFonts w:ascii="Arial" w:hAnsi="Arial"/>
          <w:sz w:val="22"/>
          <w:szCs w:val="22"/>
        </w:rPr>
        <w:tab/>
      </w:r>
      <w:r w:rsidRPr="003677F2">
        <w:rPr>
          <w:rFonts w:ascii="Arial" w:hAnsi="Arial"/>
          <w:sz w:val="22"/>
          <w:szCs w:val="22"/>
        </w:rPr>
        <w:tab/>
      </w:r>
      <w:r w:rsidR="0099045D" w:rsidRPr="003677F2">
        <w:rPr>
          <w:rFonts w:ascii="Arial" w:hAnsi="Arial"/>
          <w:sz w:val="22"/>
          <w:szCs w:val="22"/>
        </w:rPr>
        <w:t>Magistrado Ponente</w:t>
      </w:r>
      <w:r w:rsidR="0099045D" w:rsidRPr="003677F2">
        <w:rPr>
          <w:rFonts w:ascii="Arial" w:hAnsi="Arial"/>
          <w:sz w:val="22"/>
          <w:szCs w:val="22"/>
        </w:rPr>
        <w:tab/>
        <w:t xml:space="preserve">: </w:t>
      </w:r>
      <w:r w:rsidR="0099045D" w:rsidRPr="003677F2">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026A18">
        <w:rPr>
          <w:rFonts w:ascii="Arial" w:hAnsi="Arial"/>
          <w:sz w:val="22"/>
          <w:szCs w:val="22"/>
        </w:rPr>
        <w:t>191 de 28-04-2016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9D6CEA">
        <w:rPr>
          <w:rFonts w:ascii="Arial" w:hAnsi="Arial" w:cs="Arial"/>
          <w:iCs/>
          <w:smallCaps/>
          <w:szCs w:val="28"/>
          <w:lang w:val="es-CO"/>
        </w:rPr>
        <w:t>R.</w:t>
      </w:r>
      <w:r w:rsidRPr="000B1B68">
        <w:rPr>
          <w:rFonts w:ascii="Arial" w:hAnsi="Arial" w:cs="Arial"/>
          <w:iCs/>
          <w:smallCaps/>
          <w:szCs w:val="28"/>
          <w:lang w:val="es-CO"/>
        </w:rPr>
        <w:t xml:space="preserve">, </w:t>
      </w:r>
      <w:r w:rsidR="00026A18">
        <w:rPr>
          <w:rFonts w:ascii="Arial" w:hAnsi="Arial" w:cs="Arial"/>
          <w:iCs/>
          <w:smallCaps/>
          <w:szCs w:val="28"/>
          <w:lang w:val="es-CO"/>
        </w:rPr>
        <w:t xml:space="preserve">veintiocho </w:t>
      </w:r>
      <w:r w:rsidR="004E641A" w:rsidRPr="000B1B68">
        <w:rPr>
          <w:rFonts w:ascii="Arial" w:hAnsi="Arial" w:cs="Arial"/>
          <w:iCs/>
          <w:smallCaps/>
          <w:szCs w:val="28"/>
          <w:lang w:val="es-CO"/>
        </w:rPr>
        <w:t>(</w:t>
      </w:r>
      <w:r w:rsidR="00026A18">
        <w:rPr>
          <w:rFonts w:ascii="Arial" w:hAnsi="Arial" w:cs="Arial"/>
          <w:iCs/>
          <w:smallCaps/>
          <w:szCs w:val="28"/>
          <w:lang w:val="es-CO"/>
        </w:rPr>
        <w:t>28</w:t>
      </w:r>
      <w:r w:rsidR="004E641A">
        <w:rPr>
          <w:rFonts w:ascii="Arial" w:hAnsi="Arial" w:cs="Arial"/>
          <w:iCs/>
          <w:smallCaps/>
          <w:szCs w:val="28"/>
          <w:lang w:val="es-CO"/>
        </w:rPr>
        <w:t>)</w:t>
      </w:r>
      <w:r w:rsidR="004E641A" w:rsidRPr="000B1B68">
        <w:rPr>
          <w:rFonts w:ascii="Arial" w:hAnsi="Arial" w:cs="Arial"/>
          <w:iCs/>
          <w:smallCaps/>
          <w:szCs w:val="28"/>
          <w:lang w:val="es-CO"/>
        </w:rPr>
        <w:t xml:space="preserve"> de </w:t>
      </w:r>
      <w:r w:rsidR="00D96216">
        <w:rPr>
          <w:rFonts w:ascii="Arial" w:hAnsi="Arial" w:cs="Arial"/>
          <w:iCs/>
          <w:smallCaps/>
          <w:szCs w:val="28"/>
          <w:lang w:val="es-CO"/>
        </w:rPr>
        <w:t xml:space="preserve">abril </w:t>
      </w:r>
      <w:r>
        <w:rPr>
          <w:rFonts w:ascii="Arial" w:hAnsi="Arial" w:cs="Arial"/>
          <w:iCs/>
          <w:smallCaps/>
          <w:szCs w:val="28"/>
          <w:lang w:val="es-CO"/>
        </w:rPr>
        <w:t>de</w:t>
      </w:r>
      <w:r w:rsidRPr="000B1B68">
        <w:rPr>
          <w:rFonts w:ascii="Arial" w:hAnsi="Arial" w:cs="Arial"/>
          <w:iCs/>
          <w:smallCaps/>
          <w:szCs w:val="28"/>
          <w:lang w:val="es-CO"/>
        </w:rPr>
        <w:t xml:space="preserve"> dos mil </w:t>
      </w:r>
      <w:r w:rsidR="009D6CEA">
        <w:rPr>
          <w:rFonts w:ascii="Arial" w:hAnsi="Arial" w:cs="Arial"/>
          <w:iCs/>
          <w:smallCaps/>
          <w:szCs w:val="28"/>
          <w:lang w:val="es-CO"/>
        </w:rPr>
        <w:t xml:space="preserve">dieciséis </w:t>
      </w:r>
      <w:r w:rsidRPr="000B1B68">
        <w:rPr>
          <w:rFonts w:ascii="Arial" w:hAnsi="Arial" w:cs="Arial"/>
          <w:iCs/>
          <w:smallCaps/>
          <w:szCs w:val="28"/>
          <w:lang w:val="es-CO"/>
        </w:rPr>
        <w:t>(</w:t>
      </w:r>
      <w:r w:rsidR="009D6CEA">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A35FC0" w:rsidP="00A35FC0">
      <w:pPr>
        <w:pStyle w:val="Textoindependiente"/>
        <w:spacing w:line="360" w:lineRule="auto"/>
        <w:rPr>
          <w:rFonts w:ascii="Arial" w:hAnsi="Arial"/>
          <w:szCs w:val="24"/>
        </w:rPr>
      </w:pPr>
      <w:r w:rsidRPr="00F9418E">
        <w:rPr>
          <w:rFonts w:ascii="Arial" w:hAnsi="Arial"/>
          <w:szCs w:val="24"/>
        </w:rPr>
        <w:t xml:space="preserve">La acción constitucional </w:t>
      </w:r>
      <w:r w:rsidR="009F1CB9">
        <w:rPr>
          <w:rFonts w:ascii="Arial" w:hAnsi="Arial"/>
          <w:szCs w:val="24"/>
        </w:rPr>
        <w:t xml:space="preserve">ya </w:t>
      </w:r>
      <w:r w:rsidRPr="00F9418E">
        <w:rPr>
          <w:rFonts w:ascii="Arial" w:hAnsi="Arial"/>
          <w:szCs w:val="24"/>
        </w:rPr>
        <w:t>refer</w:t>
      </w:r>
      <w:r w:rsidR="009F1CB9">
        <w:rPr>
          <w:rFonts w:ascii="Arial" w:hAnsi="Arial"/>
          <w:szCs w:val="24"/>
        </w:rPr>
        <w:t>ida</w:t>
      </w:r>
      <w:r w:rsidRPr="00F9418E">
        <w:rPr>
          <w:rFonts w:ascii="Arial" w:hAnsi="Arial"/>
          <w:szCs w:val="24"/>
        </w:rPr>
        <w:t>,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99045D" w:rsidRPr="00984EE4" w:rsidRDefault="0099045D" w:rsidP="0099045D">
      <w:pPr>
        <w:pStyle w:val="Textoindependiente"/>
        <w:spacing w:line="360" w:lineRule="auto"/>
        <w:rPr>
          <w:rFonts w:ascii="Arial" w:hAnsi="Arial"/>
          <w:sz w:val="22"/>
          <w:szCs w:val="24"/>
        </w:rPr>
      </w:pPr>
    </w:p>
    <w:p w:rsidR="000147A2" w:rsidRPr="00984EE4" w:rsidRDefault="000147A2" w:rsidP="0099045D">
      <w:pPr>
        <w:pStyle w:val="Textoindependiente"/>
        <w:spacing w:line="360" w:lineRule="auto"/>
        <w:rPr>
          <w:rFonts w:ascii="Arial" w:hAnsi="Arial"/>
          <w:sz w:val="22"/>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DF3528" w:rsidRDefault="009D6CEA" w:rsidP="009F1CB9">
      <w:pPr>
        <w:spacing w:line="360" w:lineRule="auto"/>
        <w:jc w:val="both"/>
        <w:rPr>
          <w:rFonts w:ascii="Arial" w:hAnsi="Arial" w:cs="Arial"/>
        </w:rPr>
      </w:pPr>
      <w:r>
        <w:rPr>
          <w:rFonts w:ascii="Arial" w:hAnsi="Arial" w:cs="Arial"/>
        </w:rPr>
        <w:t xml:space="preserve">Manifestó </w:t>
      </w:r>
      <w:r w:rsidR="00B5400A">
        <w:rPr>
          <w:rFonts w:ascii="Arial" w:hAnsi="Arial" w:cs="Arial"/>
        </w:rPr>
        <w:t>la</w:t>
      </w:r>
      <w:r w:rsidR="009F1CB9" w:rsidRPr="00AF753A">
        <w:rPr>
          <w:rFonts w:ascii="Arial" w:hAnsi="Arial" w:cs="Arial"/>
        </w:rPr>
        <w:t xml:space="preserve"> </w:t>
      </w:r>
      <w:r w:rsidR="009F1CB9">
        <w:rPr>
          <w:rFonts w:ascii="Arial" w:hAnsi="Arial" w:cs="Arial"/>
        </w:rPr>
        <w:t>ac</w:t>
      </w:r>
      <w:r w:rsidR="00A420B9">
        <w:rPr>
          <w:rFonts w:ascii="Arial" w:hAnsi="Arial" w:cs="Arial"/>
        </w:rPr>
        <w:t xml:space="preserve">cionante que </w:t>
      </w:r>
      <w:r w:rsidR="00D96216">
        <w:rPr>
          <w:rFonts w:ascii="Arial" w:hAnsi="Arial" w:cs="Arial"/>
        </w:rPr>
        <w:t xml:space="preserve">presentó tres (3) derechos de petición los días 04-03-2016 y </w:t>
      </w:r>
      <w:r w:rsidR="00D96216">
        <w:rPr>
          <w:rFonts w:ascii="Arial" w:hAnsi="Arial" w:cs="Arial"/>
        </w:rPr>
        <w:lastRenderedPageBreak/>
        <w:t xml:space="preserve">01-04-2016, </w:t>
      </w:r>
      <w:r w:rsidR="00DF3528">
        <w:rPr>
          <w:rFonts w:ascii="Arial" w:hAnsi="Arial" w:cs="Arial"/>
        </w:rPr>
        <w:t xml:space="preserve">en el primero requirió al </w:t>
      </w:r>
      <w:r>
        <w:rPr>
          <w:rFonts w:ascii="Arial" w:hAnsi="Arial" w:cs="Arial"/>
        </w:rPr>
        <w:t>accionado</w:t>
      </w:r>
      <w:r w:rsidR="00C53845">
        <w:rPr>
          <w:rFonts w:ascii="Arial" w:hAnsi="Arial" w:cs="Arial"/>
        </w:rPr>
        <w:t xml:space="preserve"> le inf</w:t>
      </w:r>
      <w:r w:rsidR="00BF4053">
        <w:rPr>
          <w:rFonts w:ascii="Arial" w:hAnsi="Arial" w:cs="Arial"/>
        </w:rPr>
        <w:t>ormara:</w:t>
      </w:r>
      <w:r w:rsidR="00C53845">
        <w:rPr>
          <w:rFonts w:ascii="Arial" w:hAnsi="Arial" w:cs="Arial"/>
        </w:rPr>
        <w:t xml:space="preserve"> </w:t>
      </w:r>
      <w:r>
        <w:rPr>
          <w:rFonts w:ascii="Arial" w:hAnsi="Arial" w:cs="Arial"/>
        </w:rPr>
        <w:t xml:space="preserve">(i) </w:t>
      </w:r>
      <w:r w:rsidR="00D96216">
        <w:rPr>
          <w:rFonts w:ascii="Arial" w:hAnsi="Arial" w:cs="Arial"/>
        </w:rPr>
        <w:t>La razón por la cual se pa</w:t>
      </w:r>
      <w:r w:rsidR="00DF3528">
        <w:rPr>
          <w:rFonts w:ascii="Arial" w:hAnsi="Arial" w:cs="Arial"/>
        </w:rPr>
        <w:t xml:space="preserve">gó sin su autorización </w:t>
      </w:r>
      <w:r w:rsidR="00B5400A">
        <w:rPr>
          <w:rFonts w:ascii="Arial" w:hAnsi="Arial" w:cs="Arial"/>
        </w:rPr>
        <w:t xml:space="preserve">al fondo de ahorro individual “Horizonte”, </w:t>
      </w:r>
      <w:r w:rsidR="00DF3528">
        <w:rPr>
          <w:rFonts w:ascii="Arial" w:hAnsi="Arial" w:cs="Arial"/>
        </w:rPr>
        <w:t>el ap</w:t>
      </w:r>
      <w:r w:rsidR="00B5400A">
        <w:rPr>
          <w:rFonts w:ascii="Arial" w:hAnsi="Arial" w:cs="Arial"/>
        </w:rPr>
        <w:t>o</w:t>
      </w:r>
      <w:r w:rsidR="00DF3528">
        <w:rPr>
          <w:rFonts w:ascii="Arial" w:hAnsi="Arial" w:cs="Arial"/>
        </w:rPr>
        <w:t>rt</w:t>
      </w:r>
      <w:r w:rsidR="00B5400A">
        <w:rPr>
          <w:rFonts w:ascii="Arial" w:hAnsi="Arial" w:cs="Arial"/>
        </w:rPr>
        <w:t>e</w:t>
      </w:r>
      <w:r w:rsidR="00DF3528">
        <w:rPr>
          <w:rFonts w:ascii="Arial" w:hAnsi="Arial" w:cs="Arial"/>
        </w:rPr>
        <w:t xml:space="preserve"> en pensión de diciembre de </w:t>
      </w:r>
      <w:r w:rsidR="00B5400A">
        <w:rPr>
          <w:rFonts w:ascii="Arial" w:hAnsi="Arial" w:cs="Arial"/>
        </w:rPr>
        <w:t>2006</w:t>
      </w:r>
      <w:r w:rsidR="00DF3528">
        <w:rPr>
          <w:rFonts w:ascii="Arial" w:hAnsi="Arial" w:cs="Arial"/>
        </w:rPr>
        <w:t xml:space="preserve">; (ii) Además, revisar los pagos efectuados desde el 01-05-2001 al 13-12-2015; y, (iii) Continuar pagando los aportes a Colpensiones. </w:t>
      </w:r>
    </w:p>
    <w:p w:rsidR="00DF3528" w:rsidRDefault="00DF3528" w:rsidP="009F1CB9">
      <w:pPr>
        <w:spacing w:line="360" w:lineRule="auto"/>
        <w:jc w:val="both"/>
        <w:rPr>
          <w:rFonts w:ascii="Arial" w:hAnsi="Arial" w:cs="Arial"/>
        </w:rPr>
      </w:pPr>
    </w:p>
    <w:p w:rsidR="00C54DD1" w:rsidRDefault="00DF3528" w:rsidP="009F1CB9">
      <w:pPr>
        <w:spacing w:line="360" w:lineRule="auto"/>
        <w:jc w:val="both"/>
        <w:rPr>
          <w:rFonts w:ascii="Arial" w:hAnsi="Arial" w:cs="Arial"/>
        </w:rPr>
      </w:pPr>
      <w:r>
        <w:rPr>
          <w:rFonts w:ascii="Arial" w:hAnsi="Arial" w:cs="Arial"/>
        </w:rPr>
        <w:t xml:space="preserve">En el segundo: (i) La fecha y el monto de las cesantías consignadas desde el año 2010 </w:t>
      </w:r>
      <w:r>
        <w:rPr>
          <w:rFonts w:ascii="Arial" w:hAnsi="Arial" w:cs="Arial"/>
          <w:lang w:val="es-CO"/>
        </w:rPr>
        <w:t>hasta la actualidad; (ii) El fondo donde se consign</w:t>
      </w:r>
      <w:r w:rsidR="00B5400A">
        <w:rPr>
          <w:rFonts w:ascii="Arial" w:hAnsi="Arial" w:cs="Arial"/>
          <w:lang w:val="es-CO"/>
        </w:rPr>
        <w:t>aron</w:t>
      </w:r>
      <w:r>
        <w:rPr>
          <w:rFonts w:ascii="Arial" w:hAnsi="Arial" w:cs="Arial"/>
          <w:lang w:val="es-CO"/>
        </w:rPr>
        <w:t xml:space="preserve"> y los intereses causados; y, </w:t>
      </w:r>
      <w:r w:rsidR="00B5400A">
        <w:rPr>
          <w:rFonts w:ascii="Arial" w:hAnsi="Arial" w:cs="Arial"/>
          <w:lang w:val="es-CO"/>
        </w:rPr>
        <w:t>(iii) E</w:t>
      </w:r>
      <w:r>
        <w:rPr>
          <w:rFonts w:ascii="Arial" w:hAnsi="Arial" w:cs="Arial"/>
          <w:lang w:val="es-CO"/>
        </w:rPr>
        <w:t xml:space="preserve">ntregarle los comprobantes de esas operaciones. Y en el último: </w:t>
      </w:r>
      <w:r w:rsidR="00B5400A">
        <w:rPr>
          <w:rFonts w:ascii="Arial" w:hAnsi="Arial" w:cs="Arial"/>
          <w:lang w:val="es-CO"/>
        </w:rPr>
        <w:t>(i) Enviarle certificados de cesantías y de ingresos y retenciones del 2015</w:t>
      </w:r>
      <w:r w:rsidR="00C53845">
        <w:rPr>
          <w:rFonts w:ascii="Arial" w:hAnsi="Arial" w:cs="Arial"/>
        </w:rPr>
        <w:t xml:space="preserve">; dice </w:t>
      </w:r>
      <w:r w:rsidR="00B5400A">
        <w:rPr>
          <w:rFonts w:ascii="Arial" w:hAnsi="Arial" w:cs="Arial"/>
        </w:rPr>
        <w:t xml:space="preserve">que ha realizado reiteradas peticiones verbales sin que a la fecha haya obtenido respuesta </w:t>
      </w:r>
      <w:r w:rsidR="00907DBD">
        <w:rPr>
          <w:rFonts w:ascii="Arial" w:hAnsi="Arial" w:cs="Arial"/>
        </w:rPr>
        <w:t>(</w:t>
      </w:r>
      <w:r w:rsidR="00A420B9">
        <w:rPr>
          <w:rFonts w:ascii="Arial" w:hAnsi="Arial" w:cs="Arial"/>
        </w:rPr>
        <w:t xml:space="preserve">Folios </w:t>
      </w:r>
      <w:r w:rsidR="00B5400A">
        <w:rPr>
          <w:rFonts w:ascii="Arial" w:hAnsi="Arial" w:cs="Arial"/>
        </w:rPr>
        <w:t>1 a 2</w:t>
      </w:r>
      <w:r w:rsidR="00907DBD">
        <w:rPr>
          <w:rFonts w:ascii="Arial" w:hAnsi="Arial" w:cs="Arial"/>
        </w:rPr>
        <w:t xml:space="preserve">, </w:t>
      </w:r>
      <w:r w:rsidR="00B5400A">
        <w:rPr>
          <w:rFonts w:ascii="Arial" w:hAnsi="Arial" w:cs="Arial"/>
        </w:rPr>
        <w:t>este cuaderno</w:t>
      </w:r>
      <w:r w:rsidR="00907DBD">
        <w:rPr>
          <w:rFonts w:ascii="Arial" w:hAnsi="Arial" w:cs="Arial"/>
        </w:rPr>
        <w:t>).</w:t>
      </w: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A46AB3">
        <w:rPr>
          <w:rFonts w:ascii="Arial" w:hAnsi="Arial" w:cs="Arial"/>
          <w:spacing w:val="-3"/>
          <w:lang w:val="es-ES_tradnl"/>
        </w:rPr>
        <w:t>la</w:t>
      </w:r>
      <w:r w:rsidR="00907DBD">
        <w:rPr>
          <w:rFonts w:ascii="Arial" w:hAnsi="Arial" w:cs="Arial"/>
          <w:spacing w:val="-3"/>
          <w:lang w:val="es-ES_tradnl"/>
        </w:rPr>
        <w:t xml:space="preserve"> </w:t>
      </w:r>
      <w:r w:rsidR="00B07E5C">
        <w:rPr>
          <w:rFonts w:ascii="Arial" w:hAnsi="Arial" w:cs="Arial"/>
          <w:spacing w:val="-3"/>
          <w:lang w:val="es-ES_tradnl"/>
        </w:rPr>
        <w:t>actor</w:t>
      </w:r>
      <w:r w:rsidR="00A46AB3">
        <w:rPr>
          <w:rFonts w:ascii="Arial" w:hAnsi="Arial" w:cs="Arial"/>
          <w:spacing w:val="-3"/>
          <w:lang w:val="es-ES_tradnl"/>
        </w:rPr>
        <w:t>a</w:t>
      </w:r>
      <w:r w:rsidR="00B07E5C">
        <w:rPr>
          <w:rFonts w:ascii="Arial" w:hAnsi="Arial" w:cs="Arial"/>
          <w:spacing w:val="-3"/>
          <w:lang w:val="es-ES_tradnl"/>
        </w:rPr>
        <w:t xml:space="preserve">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w:t>
      </w:r>
      <w:r w:rsidR="00D3046C">
        <w:rPr>
          <w:rFonts w:ascii="Arial" w:hAnsi="Arial" w:cs="Arial"/>
          <w:spacing w:val="-3"/>
          <w:lang w:val="es-ES_tradnl"/>
        </w:rPr>
        <w:t>ó</w:t>
      </w:r>
      <w:r w:rsidR="008259FB">
        <w:rPr>
          <w:rFonts w:ascii="Arial" w:hAnsi="Arial" w:cs="Arial"/>
          <w:spacing w:val="-3"/>
          <w:lang w:val="es-ES_tradnl"/>
        </w:rPr>
        <w:t xml:space="preserve"> </w:t>
      </w:r>
      <w:r w:rsidR="00B40B09">
        <w:rPr>
          <w:rFonts w:ascii="Arial" w:hAnsi="Arial" w:cs="Arial"/>
          <w:spacing w:val="-3"/>
          <w:lang w:val="es-ES_tradnl"/>
        </w:rPr>
        <w:t xml:space="preserve">el derecho </w:t>
      </w:r>
      <w:r w:rsidR="00B07E5C">
        <w:rPr>
          <w:rFonts w:ascii="Arial" w:hAnsi="Arial" w:cs="Arial"/>
          <w:spacing w:val="-3"/>
          <w:lang w:val="es-ES_tradnl"/>
        </w:rPr>
        <w:t>de petición</w:t>
      </w:r>
      <w:r w:rsidR="00B40B09">
        <w:rPr>
          <w:rFonts w:ascii="Arial" w:hAnsi="Arial" w:cs="Arial"/>
          <w:spacing w:val="-3"/>
          <w:lang w:val="es-ES_tradnl"/>
        </w:rPr>
        <w:t xml:space="preserve"> </w:t>
      </w:r>
      <w:r w:rsidR="00B40B09">
        <w:rPr>
          <w:rFonts w:ascii="Arial" w:hAnsi="Arial" w:cs="Arial"/>
        </w:rPr>
        <w:t>(Folio</w:t>
      </w:r>
      <w:r w:rsidR="00E73803">
        <w:rPr>
          <w:rFonts w:ascii="Arial" w:hAnsi="Arial" w:cs="Arial"/>
        </w:rPr>
        <w:t xml:space="preserve"> </w:t>
      </w:r>
      <w:r w:rsidR="00B5400A">
        <w:rPr>
          <w:rFonts w:ascii="Arial" w:hAnsi="Arial" w:cs="Arial"/>
        </w:rPr>
        <w:t>2</w:t>
      </w:r>
      <w:r w:rsidR="00B40B09">
        <w:rPr>
          <w:rFonts w:ascii="Arial" w:hAnsi="Arial" w:cs="Arial"/>
        </w:rPr>
        <w:t xml:space="preserve">, </w:t>
      </w:r>
      <w:r w:rsidR="00B5400A">
        <w:rPr>
          <w:rFonts w:ascii="Arial" w:hAnsi="Arial" w:cs="Arial"/>
        </w:rPr>
        <w:t>este cuaderno</w:t>
      </w:r>
      <w:r w:rsidR="00B40B09">
        <w:rPr>
          <w:rFonts w:ascii="Arial" w:hAnsi="Arial" w:cs="Arial"/>
        </w:rPr>
        <w:t>)</w:t>
      </w:r>
      <w:r w:rsidR="00B40B09">
        <w:rPr>
          <w:rFonts w:ascii="Arial" w:hAnsi="Arial" w:cs="Arial"/>
          <w:spacing w:val="-3"/>
          <w:lang w:val="es-ES_tradnl"/>
        </w:rPr>
        <w:t xml:space="preserve">. </w:t>
      </w:r>
    </w:p>
    <w:p w:rsidR="00B07E5C" w:rsidRPr="00984EE4" w:rsidRDefault="00B07E5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BF622E" w:rsidRPr="00984EE4"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C4D01" w:rsidRDefault="00CC4D01" w:rsidP="00CC4D01">
      <w:pPr>
        <w:pStyle w:val="Textoindependiente"/>
        <w:spacing w:line="360" w:lineRule="auto"/>
        <w:ind w:left="360"/>
        <w:rPr>
          <w:rFonts w:ascii="Arial" w:hAnsi="Arial"/>
          <w:szCs w:val="24"/>
        </w:rPr>
      </w:pPr>
    </w:p>
    <w:p w:rsidR="008154F0" w:rsidRDefault="00B40B09" w:rsidP="000145EA">
      <w:pPr>
        <w:pStyle w:val="Sinespaciado"/>
        <w:spacing w:line="360" w:lineRule="auto"/>
        <w:jc w:val="both"/>
        <w:rPr>
          <w:rFonts w:ascii="Arial" w:hAnsi="Arial" w:cs="Arial"/>
          <w:szCs w:val="24"/>
        </w:rPr>
      </w:pPr>
      <w:r>
        <w:rPr>
          <w:rFonts w:ascii="Arial" w:hAnsi="Arial" w:cs="Arial"/>
          <w:szCs w:val="24"/>
        </w:rPr>
        <w:t>Solicit</w:t>
      </w:r>
      <w:r w:rsidR="00D3046C">
        <w:rPr>
          <w:rFonts w:ascii="Arial" w:hAnsi="Arial" w:cs="Arial"/>
          <w:szCs w:val="24"/>
        </w:rPr>
        <w:t>ó</w:t>
      </w:r>
      <w:r w:rsidR="00FC7CD8">
        <w:rPr>
          <w:rFonts w:ascii="Arial" w:hAnsi="Arial" w:cs="Arial"/>
          <w:szCs w:val="24"/>
        </w:rPr>
        <w:t xml:space="preserve"> que</w:t>
      </w:r>
      <w:r w:rsidR="00CC4D01">
        <w:rPr>
          <w:rFonts w:ascii="Arial" w:hAnsi="Arial" w:cs="Arial"/>
          <w:szCs w:val="24"/>
        </w:rPr>
        <w:t xml:space="preserve"> se ordene al </w:t>
      </w:r>
      <w:r w:rsidR="00B5400A">
        <w:rPr>
          <w:rFonts w:ascii="Arial" w:hAnsi="Arial" w:cs="Arial"/>
          <w:szCs w:val="24"/>
        </w:rPr>
        <w:t>DE</w:t>
      </w:r>
      <w:r w:rsidR="00A46AB3">
        <w:rPr>
          <w:rFonts w:ascii="Arial" w:hAnsi="Arial" w:cs="Arial"/>
          <w:szCs w:val="24"/>
        </w:rPr>
        <w:t>S</w:t>
      </w:r>
      <w:r w:rsidR="00B5400A">
        <w:rPr>
          <w:rFonts w:ascii="Arial" w:hAnsi="Arial" w:cs="Arial"/>
          <w:szCs w:val="24"/>
        </w:rPr>
        <w:t xml:space="preserve">AJ de Tunja </w:t>
      </w:r>
      <w:r w:rsidR="00CC4D01">
        <w:rPr>
          <w:rFonts w:ascii="Arial" w:hAnsi="Arial" w:cs="Arial"/>
          <w:szCs w:val="24"/>
        </w:rPr>
        <w:t xml:space="preserve">dar </w:t>
      </w:r>
      <w:r w:rsidR="003F4197">
        <w:rPr>
          <w:rFonts w:ascii="Arial" w:hAnsi="Arial" w:cs="Arial"/>
          <w:szCs w:val="24"/>
        </w:rPr>
        <w:t xml:space="preserve">respuesta </w:t>
      </w:r>
      <w:r w:rsidR="00B5400A">
        <w:rPr>
          <w:rFonts w:ascii="Arial" w:hAnsi="Arial" w:cs="Arial"/>
          <w:szCs w:val="24"/>
        </w:rPr>
        <w:t xml:space="preserve">a los tres (3) derechos de petición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B5400A">
        <w:rPr>
          <w:rFonts w:ascii="Arial" w:hAnsi="Arial" w:cs="Arial"/>
          <w:szCs w:val="24"/>
        </w:rPr>
        <w:t>1</w:t>
      </w:r>
      <w:r w:rsidR="00A76268">
        <w:rPr>
          <w:rFonts w:ascii="Arial" w:hAnsi="Arial" w:cs="Arial"/>
          <w:szCs w:val="24"/>
        </w:rPr>
        <w:t xml:space="preserve">, </w:t>
      </w:r>
      <w:r w:rsidR="00B5400A">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E73803" w:rsidRDefault="00E73803" w:rsidP="000145EA">
      <w:pPr>
        <w:pStyle w:val="Sinespaciado"/>
        <w:spacing w:line="360" w:lineRule="auto"/>
        <w:jc w:val="both"/>
        <w:rPr>
          <w:rFonts w:ascii="Arial" w:hAnsi="Arial" w:cs="Arial"/>
          <w:szCs w:val="24"/>
        </w:rPr>
      </w:pPr>
    </w:p>
    <w:p w:rsidR="00E73803" w:rsidRPr="00B5411C" w:rsidRDefault="00E73803"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E3211E" w:rsidP="00B50331">
      <w:pPr>
        <w:spacing w:line="360" w:lineRule="auto"/>
        <w:jc w:val="both"/>
        <w:rPr>
          <w:rFonts w:ascii="Arial" w:hAnsi="Arial"/>
        </w:rPr>
      </w:pPr>
      <w:r>
        <w:rPr>
          <w:rFonts w:ascii="Arial" w:hAnsi="Arial"/>
        </w:rPr>
        <w:t>P</w:t>
      </w:r>
      <w:r w:rsidRPr="00704D44">
        <w:rPr>
          <w:rFonts w:ascii="Arial" w:hAnsi="Arial"/>
        </w:rPr>
        <w:t xml:space="preserve">or </w:t>
      </w:r>
      <w:r w:rsidR="00E73803" w:rsidRPr="00704D44">
        <w:rPr>
          <w:rFonts w:ascii="Arial" w:hAnsi="Arial"/>
        </w:rPr>
        <w:t>reparto ordinario</w:t>
      </w:r>
      <w:r>
        <w:rPr>
          <w:rFonts w:ascii="Arial" w:hAnsi="Arial"/>
        </w:rPr>
        <w:t xml:space="preserve"> fue asignada</w:t>
      </w:r>
      <w:r w:rsidRPr="00704D44">
        <w:rPr>
          <w:rFonts w:ascii="Arial" w:hAnsi="Arial"/>
        </w:rPr>
        <w:t xml:space="preserve"> </w:t>
      </w:r>
      <w:r w:rsidR="00B40B09" w:rsidRPr="00704D44">
        <w:rPr>
          <w:rFonts w:ascii="Arial" w:hAnsi="Arial"/>
        </w:rPr>
        <w:t>a</w:t>
      </w:r>
      <w:r w:rsidR="00B40B09">
        <w:rPr>
          <w:rFonts w:ascii="Arial" w:hAnsi="Arial"/>
        </w:rPr>
        <w:t xml:space="preserve"> este Despacho</w:t>
      </w:r>
      <w:r w:rsidR="00B40B09" w:rsidRPr="00704D44">
        <w:rPr>
          <w:rFonts w:ascii="Arial" w:hAnsi="Arial"/>
        </w:rPr>
        <w:t xml:space="preserve"> </w:t>
      </w:r>
      <w:r w:rsidR="00B40B09">
        <w:rPr>
          <w:rFonts w:ascii="Arial" w:hAnsi="Arial"/>
        </w:rPr>
        <w:t>e</w:t>
      </w:r>
      <w:r w:rsidR="00D124C3" w:rsidRPr="00704D44">
        <w:rPr>
          <w:rFonts w:ascii="Arial" w:hAnsi="Arial"/>
        </w:rPr>
        <w:t>l</w:t>
      </w:r>
      <w:r w:rsidR="00D55A12" w:rsidRPr="00704D44">
        <w:rPr>
          <w:rFonts w:ascii="Arial" w:hAnsi="Arial"/>
        </w:rPr>
        <w:t xml:space="preserve"> </w:t>
      </w:r>
      <w:r w:rsidR="00BC4BF8">
        <w:rPr>
          <w:rFonts w:ascii="Arial" w:hAnsi="Arial"/>
        </w:rPr>
        <w:t xml:space="preserve">día </w:t>
      </w:r>
      <w:r w:rsidR="00B5400A">
        <w:rPr>
          <w:rFonts w:ascii="Arial" w:hAnsi="Arial"/>
        </w:rPr>
        <w:t>18-04-2016</w:t>
      </w:r>
      <w:r w:rsidR="00B07E5C">
        <w:rPr>
          <w:rFonts w:ascii="Arial" w:hAnsi="Arial"/>
        </w:rPr>
        <w:t>,</w:t>
      </w:r>
      <w:r w:rsidR="008B5070">
        <w:rPr>
          <w:rFonts w:ascii="Arial" w:hAnsi="Arial"/>
        </w:rPr>
        <w:t xml:space="preserve"> co</w:t>
      </w:r>
      <w:r w:rsidR="00AE3DA6" w:rsidRPr="00704D44">
        <w:rPr>
          <w:rFonts w:ascii="Arial" w:hAnsi="Arial"/>
        </w:rPr>
        <w:t>n providencia</w:t>
      </w:r>
      <w:r w:rsidR="008B77FC">
        <w:rPr>
          <w:rFonts w:ascii="Arial" w:hAnsi="Arial"/>
        </w:rPr>
        <w:t xml:space="preserve"> de la misma fecha</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B5400A">
        <w:rPr>
          <w:rFonts w:ascii="Arial" w:hAnsi="Arial"/>
        </w:rPr>
        <w:t>, se vinculó a quien se consideró conveniente</w:t>
      </w:r>
      <w:r>
        <w:rPr>
          <w:rFonts w:ascii="Arial" w:hAnsi="Arial"/>
        </w:rPr>
        <w:t xml:space="preserve"> y </w:t>
      </w:r>
      <w:r w:rsidR="00C15191">
        <w:rPr>
          <w:rFonts w:ascii="Arial" w:hAnsi="Arial"/>
        </w:rPr>
        <w:t xml:space="preserve">se </w:t>
      </w:r>
      <w:r w:rsidR="006617DD">
        <w:rPr>
          <w:rFonts w:ascii="Arial" w:hAnsi="Arial"/>
        </w:rPr>
        <w:t xml:space="preserve">dispuso </w:t>
      </w:r>
      <w:r w:rsidR="00461EBB">
        <w:rPr>
          <w:rFonts w:ascii="Arial" w:hAnsi="Arial"/>
        </w:rPr>
        <w:t>notificar a la</w:t>
      </w:r>
      <w:r w:rsidR="009C4A9B">
        <w:rPr>
          <w:rFonts w:ascii="Arial" w:hAnsi="Arial"/>
        </w:rPr>
        <w:t xml:space="preserve"> </w:t>
      </w:r>
      <w:r w:rsidR="00461EBB">
        <w:rPr>
          <w:rFonts w:ascii="Arial" w:hAnsi="Arial"/>
        </w:rPr>
        <w:t>pa</w:t>
      </w:r>
      <w:r w:rsidR="009C4A9B">
        <w:rPr>
          <w:rFonts w:ascii="Arial" w:hAnsi="Arial"/>
        </w:rPr>
        <w:t>r</w:t>
      </w:r>
      <w:r w:rsidR="00DD4A2B">
        <w:rPr>
          <w:rFonts w:ascii="Arial" w:hAnsi="Arial"/>
        </w:rPr>
        <w:t>t</w:t>
      </w:r>
      <w:r w:rsidR="009C4A9B">
        <w:rPr>
          <w:rFonts w:ascii="Arial" w:hAnsi="Arial"/>
        </w:rPr>
        <w:t>e</w:t>
      </w:r>
      <w:r w:rsidR="00C15191">
        <w:rPr>
          <w:rFonts w:ascii="Arial" w:hAnsi="Arial"/>
        </w:rPr>
        <w:t>s</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 xml:space="preserve">(Folio </w:t>
      </w:r>
      <w:r w:rsidR="00B5400A">
        <w:rPr>
          <w:rFonts w:ascii="Arial" w:hAnsi="Arial"/>
        </w:rPr>
        <w:t>14</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F</w:t>
      </w:r>
      <w:r w:rsidR="00566FD2">
        <w:rPr>
          <w:rFonts w:ascii="Arial" w:hAnsi="Arial"/>
        </w:rPr>
        <w:t>ue</w:t>
      </w:r>
      <w:r w:rsidR="00C15191">
        <w:rPr>
          <w:rFonts w:ascii="Arial" w:hAnsi="Arial"/>
        </w:rPr>
        <w:t>ron</w:t>
      </w:r>
      <w:r w:rsidR="00566FD2">
        <w:rPr>
          <w:rFonts w:ascii="Arial" w:hAnsi="Arial"/>
        </w:rPr>
        <w:t xml:space="preserve"> debidamente notificad</w:t>
      </w:r>
      <w:r w:rsidR="00461EBB">
        <w:rPr>
          <w:rFonts w:ascii="Arial" w:hAnsi="Arial"/>
        </w:rPr>
        <w:t>os los extremos de la acción</w:t>
      </w:r>
      <w:r w:rsidR="00BD3214">
        <w:rPr>
          <w:rFonts w:ascii="Arial" w:hAnsi="Arial"/>
        </w:rPr>
        <w:t xml:space="preserve"> </w:t>
      </w:r>
      <w:r w:rsidR="00566FD2">
        <w:rPr>
          <w:rFonts w:ascii="Arial" w:hAnsi="Arial"/>
        </w:rPr>
        <w:t xml:space="preserve">(Folios </w:t>
      </w:r>
      <w:r w:rsidR="00B5400A">
        <w:rPr>
          <w:rFonts w:ascii="Arial" w:hAnsi="Arial"/>
        </w:rPr>
        <w:t>15 y 18</w:t>
      </w:r>
      <w:r w:rsidR="00EE29B8">
        <w:rPr>
          <w:rFonts w:ascii="Arial" w:hAnsi="Arial"/>
        </w:rPr>
        <w:t xml:space="preserve">, </w:t>
      </w:r>
      <w:r w:rsidR="00DD61D7">
        <w:rPr>
          <w:rFonts w:ascii="Arial" w:hAnsi="Arial"/>
        </w:rPr>
        <w:t>ídem</w:t>
      </w:r>
      <w:r w:rsidR="00EE29B8">
        <w:rPr>
          <w:rFonts w:ascii="Arial" w:hAnsi="Arial"/>
        </w:rPr>
        <w:t>)</w:t>
      </w:r>
      <w:r w:rsidR="007422B7">
        <w:rPr>
          <w:rFonts w:ascii="Arial" w:hAnsi="Arial"/>
        </w:rPr>
        <w:t>.</w:t>
      </w:r>
      <w:r w:rsidR="00CF429F">
        <w:rPr>
          <w:rFonts w:ascii="Arial" w:hAnsi="Arial"/>
        </w:rPr>
        <w:t xml:space="preserve"> </w:t>
      </w:r>
      <w:r w:rsidR="00243F39">
        <w:rPr>
          <w:rFonts w:ascii="Arial" w:hAnsi="Arial"/>
        </w:rPr>
        <w:t>Contestó la accionada (Folios 19 y 20, ídem).</w:t>
      </w:r>
    </w:p>
    <w:p w:rsidR="00B41B34" w:rsidRDefault="00B41B34" w:rsidP="00B50331">
      <w:pPr>
        <w:spacing w:line="360" w:lineRule="auto"/>
        <w:jc w:val="both"/>
        <w:rPr>
          <w:rFonts w:ascii="Arial" w:hAnsi="Arial"/>
        </w:rPr>
      </w:pPr>
    </w:p>
    <w:p w:rsidR="00243F39" w:rsidRDefault="00243F39" w:rsidP="00B50331">
      <w:pPr>
        <w:spacing w:line="360" w:lineRule="auto"/>
        <w:jc w:val="both"/>
        <w:rPr>
          <w:rFonts w:ascii="Arial" w:hAnsi="Arial"/>
        </w:rPr>
      </w:pPr>
    </w:p>
    <w:p w:rsidR="00243F39" w:rsidRPr="00243F39" w:rsidRDefault="00243F39" w:rsidP="00243F39">
      <w:pPr>
        <w:pStyle w:val="Prrafodelista"/>
        <w:numPr>
          <w:ilvl w:val="0"/>
          <w:numId w:val="18"/>
        </w:numPr>
        <w:spacing w:line="360" w:lineRule="auto"/>
        <w:jc w:val="both"/>
        <w:rPr>
          <w:rFonts w:ascii="Arial" w:hAnsi="Arial"/>
        </w:rPr>
      </w:pPr>
      <w:r w:rsidRPr="00243F39">
        <w:rPr>
          <w:rFonts w:ascii="Arial" w:hAnsi="Arial"/>
        </w:rPr>
        <w:t>LA SINOPSIS DE LA</w:t>
      </w:r>
      <w:r>
        <w:rPr>
          <w:rFonts w:ascii="Arial" w:hAnsi="Arial"/>
        </w:rPr>
        <w:t xml:space="preserve"> RESPUESTA</w:t>
      </w:r>
    </w:p>
    <w:p w:rsidR="00243F39" w:rsidRPr="000E6B0D" w:rsidRDefault="00243F39" w:rsidP="00243F39">
      <w:pPr>
        <w:spacing w:line="360" w:lineRule="auto"/>
        <w:jc w:val="both"/>
        <w:rPr>
          <w:rFonts w:ascii="Arial" w:hAnsi="Arial"/>
        </w:rPr>
      </w:pPr>
    </w:p>
    <w:p w:rsidR="00243F39" w:rsidRPr="005D7375" w:rsidRDefault="00243F39" w:rsidP="00243F39">
      <w:pPr>
        <w:spacing w:line="360" w:lineRule="auto"/>
        <w:jc w:val="both"/>
        <w:rPr>
          <w:rFonts w:ascii="Arial" w:hAnsi="Arial"/>
        </w:rPr>
      </w:pPr>
      <w:r>
        <w:rPr>
          <w:rFonts w:ascii="Arial" w:hAnsi="Arial"/>
        </w:rPr>
        <w:t>La DE</w:t>
      </w:r>
      <w:r w:rsidR="00A46AB3">
        <w:rPr>
          <w:rFonts w:ascii="Arial" w:hAnsi="Arial"/>
        </w:rPr>
        <w:t>S</w:t>
      </w:r>
      <w:r>
        <w:rPr>
          <w:rFonts w:ascii="Arial" w:hAnsi="Arial"/>
        </w:rPr>
        <w:t xml:space="preserve">AJ </w:t>
      </w:r>
      <w:r w:rsidR="00A46AB3">
        <w:rPr>
          <w:rFonts w:ascii="Arial" w:hAnsi="Arial"/>
        </w:rPr>
        <w:t xml:space="preserve">de Tunja </w:t>
      </w:r>
      <w:r>
        <w:rPr>
          <w:rFonts w:ascii="Arial" w:hAnsi="Arial"/>
        </w:rPr>
        <w:t>Informó que ha dado respuesta a todos los derechos de petición formulados por la accionante, por lo que solicitó se declarara la carencia actual por el hecho superado. Adjunto copia de las respuestas emitidas (Folios 19 a 32, íb).</w:t>
      </w:r>
    </w:p>
    <w:p w:rsidR="00243F39" w:rsidRDefault="00243F39" w:rsidP="00B50331">
      <w:pPr>
        <w:spacing w:line="360" w:lineRule="auto"/>
        <w:jc w:val="both"/>
        <w:rPr>
          <w:rFonts w:ascii="Arial" w:hAnsi="Arial"/>
          <w:lang w:val="es-CO"/>
        </w:rPr>
      </w:pPr>
    </w:p>
    <w:p w:rsidR="00243F39" w:rsidRPr="00243F39" w:rsidRDefault="00243F39" w:rsidP="00B50331">
      <w:pPr>
        <w:spacing w:line="360" w:lineRule="auto"/>
        <w:jc w:val="both"/>
        <w:rPr>
          <w:rFonts w:ascii="Arial" w:hAnsi="Arial"/>
          <w:lang w:val="es-CO"/>
        </w:rPr>
      </w:pPr>
    </w:p>
    <w:p w:rsidR="00CF429F" w:rsidRDefault="00CF429F" w:rsidP="00243F39">
      <w:pPr>
        <w:pStyle w:val="Textoindependiente"/>
        <w:numPr>
          <w:ilvl w:val="0"/>
          <w:numId w:val="24"/>
        </w:numPr>
        <w:spacing w:line="360" w:lineRule="auto"/>
        <w:rPr>
          <w:rFonts w:ascii="Arial" w:hAnsi="Arial"/>
          <w:szCs w:val="24"/>
        </w:rPr>
      </w:pPr>
      <w:r w:rsidRPr="006F4450">
        <w:rPr>
          <w:rFonts w:ascii="Arial" w:hAnsi="Arial"/>
          <w:szCs w:val="24"/>
        </w:rPr>
        <w:t>LA FUNDAMENTACIÓN JURÍDICA PARA DECIDIR</w:t>
      </w:r>
    </w:p>
    <w:p w:rsidR="00AD554C" w:rsidRDefault="00AD554C" w:rsidP="00AD554C">
      <w:pPr>
        <w:pStyle w:val="Textoindependiente"/>
        <w:spacing w:line="360" w:lineRule="auto"/>
        <w:ind w:left="400"/>
        <w:rPr>
          <w:rFonts w:ascii="Arial" w:hAnsi="Arial"/>
          <w:szCs w:val="24"/>
        </w:rPr>
      </w:pPr>
    </w:p>
    <w:p w:rsidR="00CF429F" w:rsidRDefault="00CF429F" w:rsidP="00243F39">
      <w:pPr>
        <w:pStyle w:val="Textoindependiente"/>
        <w:numPr>
          <w:ilvl w:val="1"/>
          <w:numId w:val="24"/>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CF429F" w:rsidP="00CF429F">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w:t>
      </w:r>
      <w:r w:rsidR="00150C9D">
        <w:rPr>
          <w:rFonts w:ascii="Arial" w:hAnsi="Arial" w:cs="Arial"/>
          <w:sz w:val="24"/>
          <w:szCs w:val="24"/>
        </w:rPr>
        <w:t xml:space="preserve"> </w:t>
      </w:r>
      <w:r w:rsidRPr="00BD0D74">
        <w:rPr>
          <w:rFonts w:ascii="Arial" w:hAnsi="Arial" w:cs="Arial"/>
          <w:sz w:val="24"/>
          <w:szCs w:val="24"/>
        </w:rPr>
        <w:t>compe</w:t>
      </w:r>
      <w:r>
        <w:rPr>
          <w:rFonts w:ascii="Arial" w:hAnsi="Arial" w:cs="Arial"/>
          <w:sz w:val="24"/>
          <w:szCs w:val="24"/>
        </w:rPr>
        <w:t>tente</w:t>
      </w:r>
      <w:r w:rsidR="00150C9D">
        <w:rPr>
          <w:rFonts w:ascii="Arial" w:hAnsi="Arial" w:cs="Arial"/>
          <w:sz w:val="24"/>
          <w:szCs w:val="24"/>
        </w:rPr>
        <w:t xml:space="preserve"> este Tribunal</w:t>
      </w:r>
      <w:r>
        <w:rPr>
          <w:rFonts w:ascii="Arial" w:hAnsi="Arial" w:cs="Arial"/>
          <w:sz w:val="24"/>
          <w:szCs w:val="24"/>
        </w:rPr>
        <w:t xml:space="preserve"> para conocer </w:t>
      </w:r>
      <w:r w:rsidR="00150C9D">
        <w:rPr>
          <w:rFonts w:ascii="Arial" w:hAnsi="Arial" w:cs="Arial"/>
          <w:sz w:val="24"/>
          <w:szCs w:val="24"/>
        </w:rPr>
        <w:t xml:space="preserve">el amparo constitucional </w:t>
      </w:r>
      <w:r>
        <w:rPr>
          <w:rFonts w:ascii="Arial" w:hAnsi="Arial" w:cs="Arial"/>
          <w:sz w:val="24"/>
          <w:szCs w:val="24"/>
        </w:rPr>
        <w:t xml:space="preserve">en virtud del factor territorial, en razón al lugar donde ocurre la presunta violación, al tener </w:t>
      </w:r>
      <w:r w:rsidR="0049676E">
        <w:rPr>
          <w:rFonts w:ascii="Arial" w:hAnsi="Arial" w:cs="Arial"/>
          <w:sz w:val="24"/>
          <w:szCs w:val="24"/>
        </w:rPr>
        <w:t>la</w:t>
      </w:r>
      <w:r>
        <w:rPr>
          <w:rFonts w:ascii="Arial" w:hAnsi="Arial" w:cs="Arial"/>
          <w:sz w:val="24"/>
          <w:szCs w:val="24"/>
        </w:rPr>
        <w:t xml:space="preserve">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w:t>
      </w:r>
      <w:r w:rsidR="00CE3B23">
        <w:rPr>
          <w:rFonts w:ascii="Arial" w:hAnsi="Arial" w:cs="Arial"/>
          <w:sz w:val="24"/>
          <w:szCs w:val="24"/>
        </w:rPr>
        <w:t xml:space="preserve">la </w:t>
      </w:r>
      <w:r>
        <w:rPr>
          <w:rFonts w:ascii="Arial" w:hAnsi="Arial" w:cs="Arial"/>
          <w:sz w:val="24"/>
          <w:szCs w:val="24"/>
        </w:rPr>
        <w:t xml:space="preserve">accionada </w:t>
      </w:r>
      <w:r w:rsidR="00BB676A">
        <w:rPr>
          <w:rFonts w:ascii="Arial" w:hAnsi="Arial" w:cs="Arial"/>
          <w:sz w:val="24"/>
          <w:szCs w:val="24"/>
        </w:rPr>
        <w:t>es</w:t>
      </w:r>
      <w:r w:rsidR="000A46AD">
        <w:rPr>
          <w:rFonts w:ascii="Arial" w:hAnsi="Arial" w:cs="Arial"/>
          <w:sz w:val="24"/>
          <w:szCs w:val="24"/>
        </w:rPr>
        <w:t xml:space="preserve"> </w:t>
      </w:r>
      <w:r w:rsidR="00CE3B23">
        <w:rPr>
          <w:rFonts w:ascii="Arial" w:hAnsi="Arial" w:cs="Arial"/>
          <w:sz w:val="24"/>
          <w:szCs w:val="24"/>
        </w:rPr>
        <w:t xml:space="preserve">una </w:t>
      </w:r>
      <w:r w:rsidR="000A46AD">
        <w:rPr>
          <w:rFonts w:ascii="Arial" w:hAnsi="Arial" w:cs="Arial"/>
          <w:sz w:val="24"/>
          <w:szCs w:val="24"/>
        </w:rPr>
        <w:t xml:space="preserve">entidad </w:t>
      </w:r>
      <w:r>
        <w:rPr>
          <w:rFonts w:ascii="Arial" w:hAnsi="Arial" w:cs="Arial"/>
          <w:sz w:val="24"/>
          <w:szCs w:val="24"/>
        </w:rPr>
        <w:t>del orden nacional (Artículo 1°-1°, Decreto 1382 del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243F39">
      <w:pPr>
        <w:pStyle w:val="Textoindependiente"/>
        <w:numPr>
          <w:ilvl w:val="1"/>
          <w:numId w:val="24"/>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DF74B6" w:rsidRDefault="00007D0D" w:rsidP="00DF74B6">
      <w:pPr>
        <w:pStyle w:val="Textoindependiente"/>
        <w:spacing w:line="360" w:lineRule="auto"/>
        <w:rPr>
          <w:rFonts w:ascii="Arial" w:hAnsi="Arial" w:cs="Arial"/>
          <w:szCs w:val="24"/>
        </w:rPr>
      </w:pPr>
      <w:r w:rsidRPr="001D0A6A">
        <w:rPr>
          <w:rFonts w:ascii="Arial" w:hAnsi="Arial" w:cs="Arial"/>
          <w:szCs w:val="24"/>
        </w:rPr>
        <w:t xml:space="preserve">Se cumple la legitimación por activa porque </w:t>
      </w:r>
      <w:r w:rsidR="0049676E">
        <w:rPr>
          <w:rFonts w:ascii="Arial" w:hAnsi="Arial" w:cs="Arial"/>
          <w:szCs w:val="24"/>
        </w:rPr>
        <w:t xml:space="preserve">la señora María Helena Supanteve Rincón </w:t>
      </w:r>
      <w:r w:rsidR="00931BED">
        <w:rPr>
          <w:rFonts w:ascii="Arial" w:hAnsi="Arial" w:cs="Arial"/>
          <w:szCs w:val="24"/>
        </w:rPr>
        <w:t xml:space="preserve">suscribió </w:t>
      </w:r>
      <w:r w:rsidR="0049676E">
        <w:rPr>
          <w:rFonts w:ascii="Arial" w:hAnsi="Arial" w:cs="Arial"/>
          <w:szCs w:val="24"/>
        </w:rPr>
        <w:t xml:space="preserve">los </w:t>
      </w:r>
      <w:r w:rsidR="00DC46A5">
        <w:rPr>
          <w:rFonts w:ascii="Arial" w:hAnsi="Arial" w:cs="Arial"/>
          <w:szCs w:val="24"/>
        </w:rPr>
        <w:t>derecho</w:t>
      </w:r>
      <w:r w:rsidR="0049676E">
        <w:rPr>
          <w:rFonts w:ascii="Arial" w:hAnsi="Arial" w:cs="Arial"/>
          <w:szCs w:val="24"/>
        </w:rPr>
        <w:t>s</w:t>
      </w:r>
      <w:r w:rsidR="00DC46A5">
        <w:rPr>
          <w:rFonts w:ascii="Arial" w:hAnsi="Arial" w:cs="Arial"/>
          <w:szCs w:val="24"/>
        </w:rPr>
        <w:t xml:space="preserve"> de petición</w:t>
      </w:r>
      <w:r w:rsidRPr="001D0A6A">
        <w:rPr>
          <w:rFonts w:ascii="Arial" w:hAnsi="Arial" w:cs="Arial"/>
          <w:szCs w:val="24"/>
        </w:rPr>
        <w:t xml:space="preserve">. </w:t>
      </w:r>
      <w:r w:rsidR="001B39C9">
        <w:rPr>
          <w:rFonts w:ascii="Arial" w:hAnsi="Arial" w:cs="Arial"/>
          <w:szCs w:val="24"/>
        </w:rPr>
        <w:t xml:space="preserve">Por pasiva, </w:t>
      </w:r>
      <w:r w:rsidR="0049676E">
        <w:rPr>
          <w:rFonts w:ascii="Arial" w:hAnsi="Arial" w:cs="Arial"/>
          <w:szCs w:val="24"/>
        </w:rPr>
        <w:t>la DE</w:t>
      </w:r>
      <w:r w:rsidR="00A46AB3">
        <w:rPr>
          <w:rFonts w:ascii="Arial" w:hAnsi="Arial" w:cs="Arial"/>
          <w:szCs w:val="24"/>
        </w:rPr>
        <w:t>S</w:t>
      </w:r>
      <w:r w:rsidR="0049676E">
        <w:rPr>
          <w:rFonts w:ascii="Arial" w:hAnsi="Arial" w:cs="Arial"/>
          <w:szCs w:val="24"/>
        </w:rPr>
        <w:t xml:space="preserve">AJ </w:t>
      </w:r>
      <w:r w:rsidR="00A46AB3">
        <w:rPr>
          <w:rFonts w:ascii="Arial" w:hAnsi="Arial" w:cs="Arial"/>
          <w:szCs w:val="24"/>
        </w:rPr>
        <w:t xml:space="preserve">de Tunja </w:t>
      </w:r>
      <w:r w:rsidR="0049676E">
        <w:rPr>
          <w:rFonts w:ascii="Arial" w:hAnsi="Arial" w:cs="Arial"/>
          <w:szCs w:val="24"/>
        </w:rPr>
        <w:t>ante quien se presentaron</w:t>
      </w:r>
      <w:r w:rsidR="0006661D">
        <w:rPr>
          <w:rFonts w:ascii="Arial" w:hAnsi="Arial" w:cs="Arial"/>
          <w:szCs w:val="24"/>
        </w:rPr>
        <w:t xml:space="preserve"> la</w:t>
      </w:r>
      <w:r w:rsidR="0049676E">
        <w:rPr>
          <w:rFonts w:ascii="Arial" w:hAnsi="Arial" w:cs="Arial"/>
          <w:szCs w:val="24"/>
        </w:rPr>
        <w:t>s</w:t>
      </w:r>
      <w:r w:rsidR="0006661D">
        <w:rPr>
          <w:rFonts w:ascii="Arial" w:hAnsi="Arial" w:cs="Arial"/>
          <w:szCs w:val="24"/>
        </w:rPr>
        <w:t xml:space="preserve"> solicitud</w:t>
      </w:r>
      <w:r w:rsidR="0049676E">
        <w:rPr>
          <w:rFonts w:ascii="Arial" w:hAnsi="Arial" w:cs="Arial"/>
          <w:szCs w:val="24"/>
        </w:rPr>
        <w:t>es</w:t>
      </w:r>
      <w:r w:rsidR="0006661D">
        <w:rPr>
          <w:rFonts w:ascii="Arial" w:hAnsi="Arial" w:cs="Arial"/>
          <w:szCs w:val="24"/>
        </w:rPr>
        <w:t xml:space="preserve"> </w:t>
      </w:r>
      <w:r w:rsidR="00CE3B23">
        <w:rPr>
          <w:rFonts w:ascii="Arial" w:hAnsi="Arial"/>
        </w:rPr>
        <w:t>(Folio</w:t>
      </w:r>
      <w:r w:rsidR="0049676E">
        <w:rPr>
          <w:rFonts w:ascii="Arial" w:hAnsi="Arial"/>
        </w:rPr>
        <w:t>s</w:t>
      </w:r>
      <w:r w:rsidR="001B39C9">
        <w:rPr>
          <w:rFonts w:ascii="Arial" w:hAnsi="Arial"/>
        </w:rPr>
        <w:t xml:space="preserve"> </w:t>
      </w:r>
      <w:r w:rsidR="0049676E">
        <w:rPr>
          <w:rFonts w:ascii="Arial" w:hAnsi="Arial"/>
        </w:rPr>
        <w:t>9 y 11</w:t>
      </w:r>
      <w:r w:rsidR="001B39C9">
        <w:rPr>
          <w:rFonts w:ascii="Arial" w:hAnsi="Arial"/>
        </w:rPr>
        <w:t xml:space="preserve">, </w:t>
      </w:r>
      <w:r w:rsidR="00CE3B23">
        <w:rPr>
          <w:rFonts w:ascii="Arial" w:hAnsi="Arial"/>
        </w:rPr>
        <w:t>ib</w:t>
      </w:r>
      <w:r w:rsidR="001B39C9">
        <w:rPr>
          <w:rFonts w:ascii="Arial" w:hAnsi="Arial"/>
        </w:rPr>
        <w:t>)</w:t>
      </w:r>
      <w:r w:rsidR="00210F6B">
        <w:rPr>
          <w:rFonts w:ascii="Arial" w:hAnsi="Arial" w:cs="Arial"/>
          <w:szCs w:val="24"/>
        </w:rPr>
        <w:t>.</w:t>
      </w:r>
    </w:p>
    <w:p w:rsidR="00210F6B" w:rsidRDefault="00210F6B" w:rsidP="008611E8">
      <w:pPr>
        <w:pStyle w:val="Textoindependiente"/>
        <w:spacing w:line="360" w:lineRule="auto"/>
        <w:rPr>
          <w:rFonts w:ascii="Arial" w:hAnsi="Arial" w:cs="Arial"/>
          <w:szCs w:val="24"/>
        </w:rPr>
      </w:pPr>
    </w:p>
    <w:p w:rsidR="00210F6B" w:rsidRDefault="006D5474" w:rsidP="008611E8">
      <w:pPr>
        <w:spacing w:line="360" w:lineRule="auto"/>
        <w:jc w:val="both"/>
        <w:rPr>
          <w:rFonts w:ascii="Arial" w:hAnsi="Arial" w:cs="Arial"/>
        </w:rPr>
      </w:pPr>
      <w:r>
        <w:rPr>
          <w:rFonts w:ascii="Arial" w:hAnsi="Arial" w:cs="Arial"/>
        </w:rPr>
        <w:t xml:space="preserve">El </w:t>
      </w:r>
      <w:r w:rsidRPr="006D5474">
        <w:rPr>
          <w:rFonts w:ascii="Arial" w:hAnsi="Arial" w:cs="Arial"/>
          <w:lang w:val="es-ES_tradnl"/>
        </w:rPr>
        <w:t>Área de Talento Humano de la DE</w:t>
      </w:r>
      <w:r w:rsidR="00A46AB3">
        <w:rPr>
          <w:rFonts w:ascii="Arial" w:hAnsi="Arial" w:cs="Arial"/>
          <w:lang w:val="es-ES_tradnl"/>
        </w:rPr>
        <w:t>S</w:t>
      </w:r>
      <w:r w:rsidRPr="006D5474">
        <w:rPr>
          <w:rFonts w:ascii="Arial" w:hAnsi="Arial" w:cs="Arial"/>
          <w:lang w:val="es-ES_tradnl"/>
        </w:rPr>
        <w:t xml:space="preserve">AJ </w:t>
      </w:r>
      <w:r w:rsidR="00A46AB3">
        <w:rPr>
          <w:rFonts w:ascii="Arial" w:hAnsi="Arial" w:cs="Arial"/>
          <w:lang w:val="es-ES_tradnl"/>
        </w:rPr>
        <w:t xml:space="preserve">de Tunja </w:t>
      </w:r>
      <w:r>
        <w:rPr>
          <w:rFonts w:ascii="Arial" w:hAnsi="Arial" w:cs="Arial"/>
        </w:rPr>
        <w:t>vinculada</w:t>
      </w:r>
      <w:r w:rsidR="00210F6B" w:rsidRPr="006D5474">
        <w:rPr>
          <w:rFonts w:ascii="Arial" w:hAnsi="Arial" w:cs="Arial"/>
        </w:rPr>
        <w:t xml:space="preserve"> a este trámite, como </w:t>
      </w:r>
      <w:r>
        <w:rPr>
          <w:rFonts w:ascii="Arial" w:hAnsi="Arial" w:cs="Arial"/>
        </w:rPr>
        <w:t>no incurrió</w:t>
      </w:r>
      <w:r w:rsidR="00210F6B" w:rsidRPr="006D5474">
        <w:rPr>
          <w:rFonts w:ascii="Arial" w:hAnsi="Arial" w:cs="Arial"/>
        </w:rPr>
        <w:t xml:space="preserve"> en violación o amenaza alguna, se negará la tutela </w:t>
      </w:r>
      <w:r>
        <w:rPr>
          <w:rFonts w:ascii="Arial" w:hAnsi="Arial" w:cs="Arial"/>
        </w:rPr>
        <w:t>en su contra</w:t>
      </w:r>
      <w:r w:rsidR="00210F6B" w:rsidRPr="006D5474">
        <w:rPr>
          <w:rFonts w:ascii="Arial" w:hAnsi="Arial" w:cs="Arial"/>
        </w:rPr>
        <w:t>.</w:t>
      </w:r>
    </w:p>
    <w:p w:rsidR="006D5474" w:rsidRDefault="006D5474" w:rsidP="008611E8">
      <w:pPr>
        <w:spacing w:line="360" w:lineRule="auto"/>
        <w:rPr>
          <w:rFonts w:ascii="Arial" w:hAnsi="Arial" w:cs="Arial"/>
        </w:rPr>
      </w:pPr>
    </w:p>
    <w:p w:rsidR="00CF429F" w:rsidRDefault="00CF429F" w:rsidP="008611E8">
      <w:pPr>
        <w:pStyle w:val="Textoindependiente"/>
        <w:numPr>
          <w:ilvl w:val="1"/>
          <w:numId w:val="24"/>
        </w:numPr>
        <w:spacing w:line="360" w:lineRule="auto"/>
        <w:rPr>
          <w:rFonts w:ascii="Arial" w:hAnsi="Arial"/>
          <w:szCs w:val="24"/>
        </w:rPr>
      </w:pPr>
      <w:r w:rsidRPr="007975AC">
        <w:rPr>
          <w:rFonts w:ascii="Arial" w:hAnsi="Arial"/>
          <w:szCs w:val="24"/>
        </w:rPr>
        <w:t>El problema jurídico a resolver</w:t>
      </w:r>
    </w:p>
    <w:p w:rsidR="00243F39" w:rsidRPr="007975AC" w:rsidRDefault="00243F39" w:rsidP="00243F39">
      <w:pPr>
        <w:pStyle w:val="Textoindependiente"/>
        <w:spacing w:line="360" w:lineRule="auto"/>
        <w:ind w:left="720"/>
        <w:rPr>
          <w:rFonts w:ascii="Arial" w:hAnsi="Arial"/>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sidR="006D5474">
        <w:rPr>
          <w:rFonts w:ascii="Arial" w:hAnsi="Arial" w:cs="Arial"/>
          <w:szCs w:val="24"/>
        </w:rPr>
        <w:t>La DE</w:t>
      </w:r>
      <w:r w:rsidR="00A46AB3">
        <w:rPr>
          <w:rFonts w:ascii="Arial" w:hAnsi="Arial" w:cs="Arial"/>
          <w:szCs w:val="24"/>
        </w:rPr>
        <w:t>S</w:t>
      </w:r>
      <w:r w:rsidR="006D5474">
        <w:rPr>
          <w:rFonts w:ascii="Arial" w:hAnsi="Arial" w:cs="Arial"/>
          <w:szCs w:val="24"/>
        </w:rPr>
        <w:t xml:space="preserve">AJ </w:t>
      </w:r>
      <w:r w:rsidR="00A46AB3">
        <w:rPr>
          <w:rFonts w:ascii="Arial" w:hAnsi="Arial" w:cs="Arial"/>
          <w:szCs w:val="24"/>
        </w:rPr>
        <w:t>de Tunja</w:t>
      </w:r>
      <w:r w:rsidR="006D5474">
        <w:rPr>
          <w:rFonts w:ascii="Arial" w:hAnsi="Arial" w:cs="Arial"/>
          <w:szCs w:val="24"/>
        </w:rPr>
        <w:t>,</w:t>
      </w:r>
      <w:r w:rsidRPr="0050145C">
        <w:rPr>
          <w:rFonts w:ascii="Arial" w:hAnsi="Arial"/>
          <w:szCs w:val="24"/>
        </w:rPr>
        <w:t xml:space="preserve"> viola o amena</w:t>
      </w:r>
      <w:r w:rsidR="00170F1F">
        <w:rPr>
          <w:rFonts w:ascii="Arial" w:hAnsi="Arial"/>
          <w:szCs w:val="24"/>
        </w:rPr>
        <w:t>za</w:t>
      </w:r>
      <w:r w:rsidRPr="0050145C">
        <w:rPr>
          <w:rFonts w:ascii="Arial" w:hAnsi="Arial"/>
          <w:szCs w:val="24"/>
        </w:rPr>
        <w:t xml:space="preserve"> los derechos fundamentales alegados por </w:t>
      </w:r>
      <w:r w:rsidR="006D5474">
        <w:rPr>
          <w:rFonts w:ascii="Arial" w:hAnsi="Arial"/>
          <w:szCs w:val="24"/>
        </w:rPr>
        <w:t xml:space="preserve">la </w:t>
      </w:r>
      <w:r w:rsidR="001B39C9">
        <w:rPr>
          <w:rFonts w:ascii="Arial" w:hAnsi="Arial"/>
          <w:szCs w:val="24"/>
        </w:rPr>
        <w:t>actor</w:t>
      </w:r>
      <w:r w:rsidR="006D5474">
        <w:rPr>
          <w:rFonts w:ascii="Arial" w:hAnsi="Arial"/>
          <w:szCs w:val="24"/>
        </w:rPr>
        <w:t>a</w:t>
      </w:r>
      <w:r w:rsidRPr="0050145C">
        <w:rPr>
          <w:rFonts w:ascii="Arial" w:hAnsi="Arial"/>
          <w:szCs w:val="24"/>
        </w:rPr>
        <w:t>, según los hechos expuestos en la petición de tutela</w:t>
      </w:r>
      <w:r w:rsidRPr="0050145C">
        <w:rPr>
          <w:rFonts w:ascii="Arial" w:hAnsi="Arial" w:cs="Arial"/>
          <w:szCs w:val="24"/>
        </w:rPr>
        <w:t>?</w:t>
      </w:r>
    </w:p>
    <w:p w:rsidR="00652C81" w:rsidRDefault="00652C81" w:rsidP="00652C81">
      <w:pPr>
        <w:pStyle w:val="Textoindependiente"/>
        <w:tabs>
          <w:tab w:val="clear" w:pos="708"/>
          <w:tab w:val="clear" w:pos="1416"/>
          <w:tab w:val="left" w:pos="709"/>
          <w:tab w:val="left" w:pos="1418"/>
        </w:tabs>
        <w:spacing w:line="360" w:lineRule="auto"/>
        <w:rPr>
          <w:rFonts w:ascii="Arial" w:hAnsi="Arial" w:cs="Arial"/>
          <w:szCs w:val="24"/>
        </w:rPr>
      </w:pPr>
    </w:p>
    <w:p w:rsidR="00D0219E" w:rsidRDefault="00D0219E" w:rsidP="00243F39">
      <w:pPr>
        <w:pStyle w:val="Textoindependiente"/>
        <w:numPr>
          <w:ilvl w:val="1"/>
          <w:numId w:val="24"/>
        </w:numPr>
        <w:tabs>
          <w:tab w:val="clear" w:pos="708"/>
          <w:tab w:val="clear" w:pos="1416"/>
          <w:tab w:val="left" w:pos="709"/>
          <w:tab w:val="left" w:pos="1418"/>
        </w:tabs>
        <w:spacing w:line="360" w:lineRule="auto"/>
        <w:rPr>
          <w:rFonts w:ascii="Arial" w:hAnsi="Arial"/>
          <w:szCs w:val="24"/>
        </w:rPr>
      </w:pPr>
      <w:r w:rsidRPr="00673A42">
        <w:rPr>
          <w:rFonts w:ascii="Arial" w:hAnsi="Arial"/>
          <w:szCs w:val="24"/>
        </w:rPr>
        <w:t>La resolución del problema jurídico</w:t>
      </w:r>
    </w:p>
    <w:p w:rsidR="00D0219E" w:rsidRDefault="00D0219E" w:rsidP="00D0219E">
      <w:pPr>
        <w:pStyle w:val="Textoindependiente"/>
        <w:tabs>
          <w:tab w:val="clear" w:pos="708"/>
          <w:tab w:val="clear" w:pos="1416"/>
          <w:tab w:val="left" w:pos="709"/>
          <w:tab w:val="left" w:pos="1418"/>
        </w:tabs>
        <w:spacing w:line="360" w:lineRule="auto"/>
        <w:rPr>
          <w:rFonts w:ascii="Arial" w:hAnsi="Arial"/>
          <w:szCs w:val="24"/>
        </w:rPr>
      </w:pPr>
    </w:p>
    <w:p w:rsidR="00D0219E" w:rsidRPr="002C4684" w:rsidRDefault="00D0219E" w:rsidP="00243F39">
      <w:pPr>
        <w:pStyle w:val="Textoindependiente"/>
        <w:numPr>
          <w:ilvl w:val="2"/>
          <w:numId w:val="24"/>
        </w:numPr>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D0219E" w:rsidRDefault="00D0219E" w:rsidP="00D0219E">
      <w:pPr>
        <w:pStyle w:val="Sinespaciado"/>
        <w:spacing w:line="360" w:lineRule="auto"/>
        <w:jc w:val="both"/>
        <w:rPr>
          <w:rFonts w:ascii="Arial" w:hAnsi="Arial" w:cs="Arial"/>
        </w:rPr>
      </w:pPr>
    </w:p>
    <w:p w:rsidR="00D0219E" w:rsidRDefault="00D0219E" w:rsidP="00D0219E">
      <w:pPr>
        <w:pStyle w:val="Sinespaciado"/>
        <w:spacing w:line="360" w:lineRule="auto"/>
        <w:jc w:val="both"/>
        <w:rPr>
          <w:rFonts w:ascii="Arial" w:hAnsi="Arial" w:cs="Arial"/>
        </w:rPr>
      </w:pPr>
      <w:r w:rsidRPr="00005281">
        <w:rPr>
          <w:rFonts w:ascii="Arial" w:hAnsi="Arial" w:cs="Arial"/>
        </w:rPr>
        <w:t xml:space="preserve">El artículo 86 de </w:t>
      </w:r>
      <w:smartTag w:uri="urn:schemas-microsoft-com:office:smarttags" w:element="PersonName">
        <w:smartTagPr>
          <w:attr w:name="ProductID" w:val="la Constituci￳n Pol￭tica"/>
        </w:smartTagPr>
        <w:r w:rsidRPr="00005281">
          <w:rPr>
            <w:rFonts w:ascii="Arial" w:hAnsi="Arial" w:cs="Arial"/>
          </w:rPr>
          <w:t>la Constitución Política</w:t>
        </w:r>
      </w:smartTag>
      <w:r w:rsidRPr="00005281">
        <w:rPr>
          <w:rFonts w:ascii="Arial" w:hAnsi="Arial" w:cs="Arial"/>
        </w:rPr>
        <w:t xml:space="preserve">, </w:t>
      </w:r>
      <w:r>
        <w:rPr>
          <w:rFonts w:ascii="Arial" w:hAnsi="Arial" w:cs="Arial"/>
        </w:rPr>
        <w:t>regula la acción de tutela como</w:t>
      </w:r>
      <w:r w:rsidRPr="00005281">
        <w:rPr>
          <w:rFonts w:ascii="Arial" w:hAnsi="Arial" w:cs="Arial"/>
        </w:rPr>
        <w:t xml:space="preserve"> </w:t>
      </w:r>
      <w:r>
        <w:rPr>
          <w:rFonts w:ascii="Arial" w:hAnsi="Arial" w:cs="Arial"/>
        </w:rPr>
        <w:t xml:space="preserve">un </w:t>
      </w:r>
      <w:r w:rsidRPr="00005281">
        <w:rPr>
          <w:rFonts w:ascii="Arial" w:hAnsi="Arial" w:cs="Arial"/>
        </w:rPr>
        <w:t xml:space="preserve">mecanismo para la protección inmediata </w:t>
      </w:r>
      <w:r>
        <w:rPr>
          <w:rFonts w:ascii="Arial" w:hAnsi="Arial" w:cs="Arial"/>
        </w:rPr>
        <w:t xml:space="preserve">de los derechos fundamentales de toda persona, </w:t>
      </w:r>
      <w:r w:rsidRPr="00005281">
        <w:rPr>
          <w:rFonts w:ascii="Arial" w:hAnsi="Arial" w:cs="Arial"/>
        </w:rPr>
        <w:t xml:space="preserve">cuando quiera que </w:t>
      </w:r>
      <w:r>
        <w:rPr>
          <w:rFonts w:ascii="Arial" w:hAnsi="Arial" w:cs="Arial"/>
        </w:rPr>
        <w:t>estos</w:t>
      </w:r>
      <w:r w:rsidRPr="00005281">
        <w:rPr>
          <w:rFonts w:ascii="Arial" w:hAnsi="Arial" w:cs="Arial"/>
        </w:rPr>
        <w:t xml:space="preserve">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sz w:val="22"/>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6D5474" w:rsidRDefault="006D5474" w:rsidP="00D0219E">
      <w:pPr>
        <w:pStyle w:val="Sinespaciado"/>
        <w:spacing w:line="360" w:lineRule="auto"/>
        <w:jc w:val="both"/>
        <w:rPr>
          <w:rFonts w:ascii="Arial" w:hAnsi="Arial" w:cs="Arial"/>
        </w:rPr>
      </w:pPr>
    </w:p>
    <w:p w:rsidR="00D0219E" w:rsidRPr="00860DAD" w:rsidRDefault="00D0219E" w:rsidP="00D0219E">
      <w:pPr>
        <w:pStyle w:val="Sinespaciado"/>
        <w:spacing w:line="360" w:lineRule="auto"/>
        <w:jc w:val="both"/>
        <w:rPr>
          <w:rFonts w:ascii="Arial" w:hAnsi="Arial" w:cs="Arial"/>
          <w:i/>
          <w:sz w:val="22"/>
          <w:lang w:val="es-CO"/>
        </w:rPr>
      </w:pPr>
      <w:r w:rsidRPr="00195627">
        <w:rPr>
          <w:rFonts w:ascii="Arial" w:hAnsi="Arial" w:cs="Arial"/>
          <w:noProof/>
          <w:szCs w:val="22"/>
        </w:rPr>
        <w:t xml:space="preserve">Nuestra Corte Constitucional tiene establecido que </w:t>
      </w:r>
      <w:r>
        <w:rPr>
          <w:rFonts w:ascii="Arial" w:hAnsi="Arial" w:cs="Arial"/>
          <w:noProof/>
          <w:szCs w:val="22"/>
        </w:rPr>
        <w:t>(i) L</w:t>
      </w:r>
      <w:r w:rsidRPr="00195627">
        <w:rPr>
          <w:rFonts w:ascii="Arial" w:hAnsi="Arial" w:cs="Arial"/>
          <w:noProof/>
          <w:szCs w:val="22"/>
        </w:rPr>
        <w:t xml:space="preserve">a </w:t>
      </w:r>
      <w:r w:rsidRPr="00195627">
        <w:rPr>
          <w:rFonts w:ascii="Arial" w:hAnsi="Arial" w:cs="Arial"/>
          <w:iCs/>
          <w:noProof/>
          <w:szCs w:val="22"/>
        </w:rPr>
        <w:t>subsidiariedad</w:t>
      </w:r>
      <w:r w:rsidRPr="00195627">
        <w:rPr>
          <w:rFonts w:ascii="Arial" w:hAnsi="Arial" w:cs="Arial"/>
          <w:noProof/>
          <w:szCs w:val="22"/>
        </w:rPr>
        <w:t xml:space="preserve"> </w:t>
      </w:r>
      <w:r>
        <w:rPr>
          <w:rFonts w:ascii="Arial" w:hAnsi="Arial" w:cs="Arial"/>
          <w:noProof/>
          <w:szCs w:val="22"/>
        </w:rPr>
        <w:t xml:space="preserve">o residualidad, y (ii) La </w:t>
      </w:r>
      <w:r w:rsidRPr="00195627">
        <w:rPr>
          <w:rFonts w:ascii="Arial" w:hAnsi="Arial" w:cs="Arial"/>
          <w:iCs/>
          <w:noProof/>
          <w:szCs w:val="22"/>
        </w:rPr>
        <w:t>inmediatez</w:t>
      </w:r>
      <w:r w:rsidRPr="00195627">
        <w:rPr>
          <w:rFonts w:ascii="Arial" w:hAnsi="Arial" w:cs="Arial"/>
          <w:noProof/>
          <w:szCs w:val="22"/>
        </w:rPr>
        <w:t xml:space="preserve">, son exigencias generales de procedencia de la acción, </w:t>
      </w:r>
      <w:r>
        <w:rPr>
          <w:rFonts w:ascii="Arial" w:hAnsi="Arial" w:cs="Arial"/>
          <w:noProof/>
          <w:szCs w:val="22"/>
        </w:rPr>
        <w:t>condiciones</w:t>
      </w:r>
      <w:r w:rsidRPr="00195627">
        <w:rPr>
          <w:rFonts w:ascii="Arial" w:hAnsi="Arial" w:cs="Arial"/>
          <w:noProof/>
          <w:szCs w:val="22"/>
        </w:rPr>
        <w:t xml:space="preserve"> </w:t>
      </w:r>
      <w:r>
        <w:rPr>
          <w:rFonts w:ascii="Arial" w:hAnsi="Arial" w:cs="Arial"/>
          <w:noProof/>
          <w:szCs w:val="22"/>
        </w:rPr>
        <w:t xml:space="preserve">indispensables </w:t>
      </w:r>
      <w:r w:rsidRPr="00195627">
        <w:rPr>
          <w:rFonts w:ascii="Arial" w:hAnsi="Arial" w:cs="Arial"/>
          <w:noProof/>
          <w:szCs w:val="22"/>
        </w:rPr>
        <w:t>para el conocimiento de fondo de las solicitudes de prote</w:t>
      </w:r>
      <w:r>
        <w:rPr>
          <w:rFonts w:ascii="Arial" w:hAnsi="Arial" w:cs="Arial"/>
          <w:noProof/>
          <w:szCs w:val="22"/>
        </w:rPr>
        <w:t>cción de derechos fundamentales</w:t>
      </w:r>
      <w:r>
        <w:rPr>
          <w:rStyle w:val="Refdenotaalpie"/>
          <w:rFonts w:ascii="Arial" w:hAnsi="Arial" w:cs="Arial"/>
        </w:rPr>
        <w:footnoteReference w:id="1"/>
      </w:r>
      <w:r>
        <w:rPr>
          <w:rFonts w:ascii="Arial" w:hAnsi="Arial" w:cs="Arial"/>
          <w:noProof/>
          <w:szCs w:val="22"/>
        </w:rPr>
        <w:t>.</w:t>
      </w:r>
    </w:p>
    <w:p w:rsidR="00D0219E" w:rsidRDefault="00D0219E" w:rsidP="00D0219E">
      <w:pPr>
        <w:tabs>
          <w:tab w:val="left" w:pos="1979"/>
        </w:tabs>
        <w:spacing w:line="360" w:lineRule="auto"/>
        <w:jc w:val="both"/>
        <w:rPr>
          <w:rFonts w:ascii="Arial" w:hAnsi="Arial" w:cs="Arial"/>
          <w:lang w:val="es-ES_tradnl"/>
        </w:rPr>
      </w:pPr>
    </w:p>
    <w:p w:rsidR="00D0219E" w:rsidRDefault="00D0219E" w:rsidP="00D0219E">
      <w:pPr>
        <w:pStyle w:val="Textoindependiente"/>
        <w:spacing w:line="360" w:lineRule="auto"/>
        <w:rPr>
          <w:rFonts w:ascii="Arial" w:hAnsi="Arial" w:cs="Arial"/>
        </w:rPr>
      </w:pPr>
      <w:r>
        <w:rPr>
          <w:rFonts w:ascii="Arial" w:hAnsi="Arial"/>
          <w:szCs w:val="24"/>
        </w:rPr>
        <w:t xml:space="preserve">En el </w:t>
      </w:r>
      <w:r w:rsidRPr="008071AE">
        <w:rPr>
          <w:rFonts w:ascii="Arial" w:hAnsi="Arial"/>
          <w:i/>
          <w:szCs w:val="24"/>
        </w:rPr>
        <w:t>sub lite</w:t>
      </w:r>
      <w:r>
        <w:rPr>
          <w:rFonts w:ascii="Arial" w:hAnsi="Arial"/>
          <w:szCs w:val="24"/>
        </w:rPr>
        <w:t xml:space="preserve"> se cumple con dichos requisitos: el primero, porque </w:t>
      </w:r>
      <w:r w:rsidR="001B39C9">
        <w:rPr>
          <w:rFonts w:ascii="Arial" w:hAnsi="Arial"/>
          <w:szCs w:val="24"/>
        </w:rPr>
        <w:t>e</w:t>
      </w:r>
      <w:r>
        <w:rPr>
          <w:rFonts w:ascii="Arial" w:hAnsi="Arial"/>
          <w:szCs w:val="24"/>
        </w:rPr>
        <w:t>l accionante no tiene otro mecanismo diferente a esta acción para procurar la defensa del derecho de petición y, el segundo, porque la</w:t>
      </w:r>
      <w:r w:rsidR="006D5474">
        <w:rPr>
          <w:rFonts w:ascii="Arial" w:hAnsi="Arial"/>
          <w:szCs w:val="24"/>
        </w:rPr>
        <w:t>s</w:t>
      </w:r>
      <w:r>
        <w:rPr>
          <w:rFonts w:ascii="Arial" w:hAnsi="Arial"/>
          <w:szCs w:val="24"/>
        </w:rPr>
        <w:t xml:space="preserve"> solicitud</w:t>
      </w:r>
      <w:r w:rsidR="006D5474">
        <w:rPr>
          <w:rFonts w:ascii="Arial" w:hAnsi="Arial"/>
          <w:szCs w:val="24"/>
        </w:rPr>
        <w:t>es</w:t>
      </w:r>
      <w:r>
        <w:rPr>
          <w:rFonts w:ascii="Arial" w:hAnsi="Arial"/>
          <w:szCs w:val="24"/>
        </w:rPr>
        <w:t xml:space="preserve"> fue</w:t>
      </w:r>
      <w:r w:rsidR="006D5474">
        <w:rPr>
          <w:rFonts w:ascii="Arial" w:hAnsi="Arial"/>
          <w:szCs w:val="24"/>
        </w:rPr>
        <w:t>ron</w:t>
      </w:r>
      <w:r>
        <w:rPr>
          <w:rFonts w:ascii="Arial" w:hAnsi="Arial"/>
          <w:szCs w:val="24"/>
        </w:rPr>
        <w:t xml:space="preserve"> </w:t>
      </w:r>
      <w:r w:rsidR="00A46AB3">
        <w:rPr>
          <w:rFonts w:ascii="Arial" w:hAnsi="Arial"/>
          <w:szCs w:val="24"/>
        </w:rPr>
        <w:t xml:space="preserve">presentadas </w:t>
      </w:r>
      <w:r w:rsidR="006D5474">
        <w:rPr>
          <w:rFonts w:ascii="Arial" w:hAnsi="Arial"/>
          <w:szCs w:val="24"/>
        </w:rPr>
        <w:t xml:space="preserve">los </w:t>
      </w:r>
      <w:r>
        <w:rPr>
          <w:rFonts w:ascii="Arial" w:hAnsi="Arial"/>
          <w:szCs w:val="24"/>
        </w:rPr>
        <w:t>día</w:t>
      </w:r>
      <w:r w:rsidR="006D5474">
        <w:rPr>
          <w:rFonts w:ascii="Arial" w:hAnsi="Arial"/>
          <w:szCs w:val="24"/>
        </w:rPr>
        <w:t>s</w:t>
      </w:r>
      <w:r>
        <w:rPr>
          <w:rFonts w:ascii="Arial" w:hAnsi="Arial"/>
          <w:szCs w:val="24"/>
        </w:rPr>
        <w:t xml:space="preserve"> </w:t>
      </w:r>
      <w:r w:rsidR="00316EFF">
        <w:rPr>
          <w:rFonts w:ascii="Arial" w:hAnsi="Arial"/>
          <w:szCs w:val="24"/>
        </w:rPr>
        <w:t>07-03-2016 y 01-04-2016</w:t>
      </w:r>
      <w:r>
        <w:rPr>
          <w:rFonts w:ascii="Arial" w:hAnsi="Arial"/>
          <w:szCs w:val="24"/>
        </w:rPr>
        <w:t xml:space="preserve"> (Folio</w:t>
      </w:r>
      <w:r w:rsidR="00316EFF">
        <w:rPr>
          <w:rFonts w:ascii="Arial" w:hAnsi="Arial"/>
          <w:szCs w:val="24"/>
        </w:rPr>
        <w:t>s</w:t>
      </w:r>
      <w:r>
        <w:rPr>
          <w:rFonts w:ascii="Arial" w:hAnsi="Arial"/>
          <w:szCs w:val="24"/>
        </w:rPr>
        <w:t xml:space="preserve"> </w:t>
      </w:r>
      <w:r w:rsidR="00210F6B">
        <w:rPr>
          <w:rFonts w:ascii="Arial" w:hAnsi="Arial"/>
          <w:szCs w:val="24"/>
        </w:rPr>
        <w:t>9</w:t>
      </w:r>
      <w:r w:rsidR="00316EFF">
        <w:rPr>
          <w:rFonts w:ascii="Arial" w:hAnsi="Arial"/>
          <w:szCs w:val="24"/>
        </w:rPr>
        <w:t xml:space="preserve"> y 11</w:t>
      </w:r>
      <w:r>
        <w:rPr>
          <w:rFonts w:ascii="Arial" w:hAnsi="Arial"/>
          <w:szCs w:val="24"/>
        </w:rPr>
        <w:t xml:space="preserve">, ib.) y el amparo, el </w:t>
      </w:r>
      <w:r w:rsidR="00A46AB3">
        <w:rPr>
          <w:rFonts w:ascii="Arial" w:hAnsi="Arial"/>
          <w:szCs w:val="24"/>
        </w:rPr>
        <w:t xml:space="preserve">día </w:t>
      </w:r>
      <w:r w:rsidR="00316EFF">
        <w:rPr>
          <w:rFonts w:ascii="Arial" w:hAnsi="Arial"/>
          <w:szCs w:val="24"/>
        </w:rPr>
        <w:t xml:space="preserve">18-04-2016 </w:t>
      </w:r>
      <w:r w:rsidR="00210F6B">
        <w:rPr>
          <w:rFonts w:ascii="Arial" w:hAnsi="Arial"/>
          <w:szCs w:val="24"/>
        </w:rPr>
        <w:t>(</w:t>
      </w:r>
      <w:r>
        <w:rPr>
          <w:rFonts w:ascii="Arial" w:hAnsi="Arial"/>
          <w:szCs w:val="24"/>
        </w:rPr>
        <w:t xml:space="preserve">Folio </w:t>
      </w:r>
      <w:r w:rsidR="00210F6B">
        <w:rPr>
          <w:rFonts w:ascii="Arial" w:hAnsi="Arial"/>
          <w:szCs w:val="24"/>
        </w:rPr>
        <w:t>12</w:t>
      </w:r>
      <w:r>
        <w:rPr>
          <w:rFonts w:ascii="Arial" w:hAnsi="Arial"/>
          <w:szCs w:val="24"/>
        </w:rPr>
        <w:t xml:space="preserve">, ib.).  Por consiguiente, </w:t>
      </w:r>
      <w:r>
        <w:rPr>
          <w:rFonts w:ascii="Arial" w:hAnsi="Arial" w:cs="Arial"/>
          <w:spacing w:val="0"/>
          <w:szCs w:val="24"/>
          <w:lang w:val="es-ES"/>
        </w:rPr>
        <w:t xml:space="preserve">como </w:t>
      </w:r>
      <w:r>
        <w:rPr>
          <w:rFonts w:ascii="Arial" w:hAnsi="Arial" w:cs="Arial"/>
        </w:rPr>
        <w:t xml:space="preserve">el asunto supera el test de procedencia, puede examinarse de fondo. </w:t>
      </w:r>
    </w:p>
    <w:p w:rsidR="00D170BC" w:rsidRDefault="00D170BC" w:rsidP="00D0219E">
      <w:pPr>
        <w:pStyle w:val="Textoindependiente"/>
        <w:spacing w:line="360" w:lineRule="auto"/>
        <w:rPr>
          <w:rFonts w:ascii="Arial" w:hAnsi="Arial"/>
          <w:szCs w:val="22"/>
        </w:rPr>
      </w:pPr>
    </w:p>
    <w:p w:rsidR="00D170BC" w:rsidRPr="00F33A95" w:rsidRDefault="00D170BC" w:rsidP="00D170BC">
      <w:pPr>
        <w:pStyle w:val="Textoindependiente"/>
        <w:numPr>
          <w:ilvl w:val="2"/>
          <w:numId w:val="24"/>
        </w:numPr>
        <w:spacing w:line="360" w:lineRule="auto"/>
        <w:textAlignment w:val="auto"/>
        <w:rPr>
          <w:rFonts w:ascii="Arial" w:hAnsi="Arial" w:cs="Arial"/>
          <w:szCs w:val="24"/>
        </w:rPr>
      </w:pPr>
      <w:r w:rsidRPr="00F33A95">
        <w:rPr>
          <w:rFonts w:ascii="Arial" w:hAnsi="Arial" w:cs="Arial"/>
          <w:szCs w:val="24"/>
        </w:rPr>
        <w:t>La carencia actual de objeto</w:t>
      </w:r>
    </w:p>
    <w:p w:rsidR="00D170BC" w:rsidRPr="00F33A95" w:rsidRDefault="00D170BC" w:rsidP="00D170BC">
      <w:pPr>
        <w:pStyle w:val="Textoindependiente"/>
        <w:spacing w:line="360" w:lineRule="auto"/>
        <w:rPr>
          <w:rFonts w:ascii="Arial" w:hAnsi="Arial" w:cs="Arial"/>
          <w:szCs w:val="24"/>
        </w:rPr>
      </w:pPr>
    </w:p>
    <w:p w:rsidR="00D170BC" w:rsidRPr="00F33A95" w:rsidRDefault="00D170BC" w:rsidP="00D170BC">
      <w:pPr>
        <w:pStyle w:val="Textoindependiente"/>
        <w:spacing w:line="360" w:lineRule="auto"/>
        <w:rPr>
          <w:rFonts w:ascii="Arial" w:hAnsi="Arial" w:cs="Arial"/>
          <w:szCs w:val="24"/>
        </w:rPr>
      </w:pPr>
      <w:r w:rsidRPr="00F33A95">
        <w:rPr>
          <w:rFonts w:ascii="Arial" w:hAnsi="Arial" w:cs="Arial"/>
          <w:szCs w:val="24"/>
        </w:rPr>
        <w:t>En reiterada jurisprudencia</w:t>
      </w:r>
      <w:r w:rsidRPr="00F33A95">
        <w:rPr>
          <w:rStyle w:val="Refdenotaalpie"/>
          <w:rFonts w:ascii="Arial" w:hAnsi="Arial" w:cs="Arial"/>
          <w:szCs w:val="24"/>
        </w:rPr>
        <w:footnoteReference w:id="2"/>
      </w:r>
      <w:r w:rsidRPr="00F33A95">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Cs w:val="24"/>
        </w:rPr>
        <w:footnoteReference w:id="3"/>
      </w:r>
      <w:r w:rsidRPr="00F33A95">
        <w:rPr>
          <w:rFonts w:ascii="Arial" w:hAnsi="Arial" w:cs="Arial"/>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Cs w:val="24"/>
          <w:lang w:val="es-ES"/>
        </w:rPr>
        <w:t>.</w:t>
      </w:r>
      <w:r w:rsidRPr="00F33A95">
        <w:rPr>
          <w:rFonts w:ascii="Arial" w:hAnsi="Arial" w:cs="Arial"/>
          <w:szCs w:val="24"/>
        </w:rPr>
        <w:t xml:space="preserve"> </w:t>
      </w:r>
    </w:p>
    <w:p w:rsidR="00D170BC" w:rsidRPr="00F33A95" w:rsidRDefault="00D170BC" w:rsidP="00D170BC">
      <w:pPr>
        <w:pStyle w:val="Textoindependiente"/>
        <w:spacing w:line="360" w:lineRule="auto"/>
        <w:rPr>
          <w:rFonts w:ascii="Arial" w:hAnsi="Arial" w:cs="Arial"/>
          <w:szCs w:val="24"/>
        </w:rPr>
      </w:pPr>
    </w:p>
    <w:p w:rsidR="00D170BC" w:rsidRPr="00F33A95" w:rsidRDefault="00D170BC" w:rsidP="00D170BC">
      <w:pPr>
        <w:pStyle w:val="Textoindependiente"/>
        <w:spacing w:line="360" w:lineRule="auto"/>
        <w:rPr>
          <w:rFonts w:ascii="Arial" w:hAnsi="Arial" w:cs="Arial"/>
          <w:szCs w:val="24"/>
          <w:lang w:val="es-ES"/>
        </w:rPr>
      </w:pPr>
      <w:r w:rsidRPr="00F33A95">
        <w:rPr>
          <w:rFonts w:ascii="Arial" w:hAnsi="Arial" w:cs="Arial"/>
          <w:szCs w:val="24"/>
        </w:rPr>
        <w:t xml:space="preserve">Dicho fenómeno se denomina carencia actual de objeto que, conforme a la teoría jurisprudencial, se presenta como alternativa para que los pronunciamientos en sede de tutela no se tornen </w:t>
      </w:r>
      <w:r>
        <w:rPr>
          <w:rFonts w:ascii="Arial" w:hAnsi="Arial" w:cs="Arial"/>
          <w:szCs w:val="24"/>
        </w:rPr>
        <w:t>fútiles</w:t>
      </w:r>
      <w:r w:rsidRPr="00F33A95">
        <w:rPr>
          <w:rFonts w:ascii="Arial" w:hAnsi="Arial" w:cs="Arial"/>
          <w:szCs w:val="24"/>
        </w:rPr>
        <w:t xml:space="preserve">. Se materializa de diferentes maneras, destacándose dos eventos específicos </w:t>
      </w:r>
      <w:r w:rsidRPr="00F33A95">
        <w:rPr>
          <w:rFonts w:ascii="Arial" w:hAnsi="Arial" w:cs="Arial"/>
          <w:szCs w:val="24"/>
          <w:lang w:val="es-ES"/>
        </w:rPr>
        <w:t>(i) El hecho superado y (ii) El daño consumado, con consecuencias diferentes.</w:t>
      </w:r>
    </w:p>
    <w:p w:rsidR="00D170BC" w:rsidRPr="00F33A95" w:rsidRDefault="00D170BC" w:rsidP="00D170BC">
      <w:pPr>
        <w:pStyle w:val="Textoindependiente"/>
        <w:spacing w:line="360" w:lineRule="auto"/>
        <w:rPr>
          <w:rFonts w:ascii="Arial" w:hAnsi="Arial" w:cs="Arial"/>
          <w:szCs w:val="24"/>
        </w:rPr>
      </w:pPr>
    </w:p>
    <w:p w:rsidR="00D170BC" w:rsidRPr="00F33A95" w:rsidRDefault="00D170BC" w:rsidP="00D170BC">
      <w:pPr>
        <w:pStyle w:val="Textoindependiente"/>
        <w:spacing w:line="360" w:lineRule="auto"/>
        <w:rPr>
          <w:rFonts w:ascii="Arial" w:hAnsi="Arial" w:cs="Arial"/>
          <w:szCs w:val="24"/>
        </w:rPr>
      </w:pPr>
      <w:r w:rsidRPr="00F33A95">
        <w:rPr>
          <w:rFonts w:ascii="Arial" w:hAnsi="Arial" w:cs="Arial"/>
          <w:szCs w:val="24"/>
          <w:lang w:val="es-ES"/>
        </w:rPr>
        <w:t>En tratándose de la primera hipótesis dispuso la Corte Constitucional</w:t>
      </w:r>
      <w:r w:rsidRPr="00F33A95">
        <w:rPr>
          <w:rStyle w:val="Refdenotaalpie"/>
          <w:rFonts w:ascii="Arial" w:hAnsi="Arial"/>
          <w:szCs w:val="24"/>
        </w:rPr>
        <w:footnoteReference w:id="4"/>
      </w:r>
      <w:r w:rsidRPr="00F33A95">
        <w:rPr>
          <w:rFonts w:ascii="Arial" w:hAnsi="Arial" w:cs="Arial"/>
          <w:szCs w:val="24"/>
          <w:lang w:val="es-ES"/>
        </w:rPr>
        <w:t xml:space="preserve"> que la expresión “hecho superado” debe considerarse en el sentido estricto de las palabras, esto es, que se satisfizo </w:t>
      </w:r>
      <w:r w:rsidRPr="00F33A95">
        <w:rPr>
          <w:rFonts w:ascii="Arial" w:hAnsi="Arial" w:cs="Arial"/>
          <w:szCs w:val="24"/>
        </w:rPr>
        <w:t xml:space="preserve">lo pedido en la tutela, así entonces, se presenta </w:t>
      </w:r>
      <w:r w:rsidRPr="00F33A95">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Cs w:val="24"/>
        </w:rPr>
        <w:t>ha indicado que se configura por la ausencia de interés jurídico o sustracción de materia</w:t>
      </w:r>
      <w:r w:rsidRPr="00F33A95">
        <w:rPr>
          <w:rStyle w:val="Refdenotaalpie"/>
          <w:rFonts w:ascii="Arial" w:hAnsi="Arial"/>
          <w:szCs w:val="24"/>
        </w:rPr>
        <w:footnoteReference w:id="5"/>
      </w:r>
      <w:r w:rsidRPr="00F33A95">
        <w:rPr>
          <w:rFonts w:ascii="Arial" w:hAnsi="Arial" w:cs="Arial"/>
          <w:szCs w:val="24"/>
        </w:rPr>
        <w:t>.</w:t>
      </w:r>
      <w:r w:rsidRPr="00F33A95">
        <w:rPr>
          <w:rFonts w:ascii="Arial" w:hAnsi="Arial" w:cs="Arial"/>
          <w:b/>
          <w:bCs/>
          <w:szCs w:val="24"/>
        </w:rPr>
        <w:t xml:space="preserve"> </w:t>
      </w:r>
    </w:p>
    <w:p w:rsidR="00D170BC" w:rsidRPr="00F33A95" w:rsidRDefault="00D170BC" w:rsidP="00D170BC">
      <w:pPr>
        <w:pStyle w:val="Textoindependiente"/>
        <w:spacing w:line="360" w:lineRule="auto"/>
        <w:rPr>
          <w:rFonts w:ascii="Arial" w:hAnsi="Arial" w:cs="Arial"/>
          <w:szCs w:val="24"/>
          <w:lang w:val="es-ES"/>
        </w:rPr>
      </w:pPr>
    </w:p>
    <w:p w:rsidR="00D170BC" w:rsidRPr="00F33A95" w:rsidRDefault="00D170BC" w:rsidP="00D170BC">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6"/>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D170BC" w:rsidRPr="00F33A95" w:rsidRDefault="00D170BC" w:rsidP="00D170BC">
      <w:pPr>
        <w:shd w:val="clear" w:color="auto" w:fill="FFFFFF"/>
        <w:spacing w:line="360" w:lineRule="auto"/>
        <w:jc w:val="both"/>
        <w:textAlignment w:val="baseline"/>
        <w:rPr>
          <w:rFonts w:ascii="Arial" w:hAnsi="Arial" w:cs="Arial"/>
        </w:rPr>
      </w:pPr>
    </w:p>
    <w:p w:rsidR="00D170BC" w:rsidRPr="00F33A95" w:rsidRDefault="00D170BC" w:rsidP="00D170BC">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7"/>
      </w:r>
      <w:r w:rsidRPr="00F33A95">
        <w:rPr>
          <w:rFonts w:ascii="Arial" w:hAnsi="Arial" w:cs="Arial"/>
          <w:i/>
          <w:lang w:val="es-CO"/>
        </w:rPr>
        <w:t>.</w:t>
      </w:r>
    </w:p>
    <w:p w:rsidR="00D170BC" w:rsidRPr="00F33A95" w:rsidRDefault="00D170BC" w:rsidP="00D170BC">
      <w:pPr>
        <w:pStyle w:val="Textoindependiente"/>
        <w:spacing w:line="360" w:lineRule="auto"/>
        <w:rPr>
          <w:rFonts w:ascii="Arial" w:hAnsi="Arial" w:cs="Arial"/>
          <w:szCs w:val="24"/>
        </w:rPr>
      </w:pPr>
    </w:p>
    <w:p w:rsidR="00D170BC" w:rsidRPr="00DD1EC0" w:rsidRDefault="00D170BC" w:rsidP="00D170BC">
      <w:pPr>
        <w:pStyle w:val="Textoindependiente"/>
        <w:spacing w:line="360" w:lineRule="auto"/>
        <w:rPr>
          <w:rFonts w:ascii="Arial" w:hAnsi="Arial" w:cs="Arial"/>
          <w:sz w:val="22"/>
          <w:szCs w:val="24"/>
          <w:lang w:val="es-CO"/>
        </w:rPr>
      </w:pPr>
      <w:r w:rsidRPr="00F33A95">
        <w:rPr>
          <w:rFonts w:ascii="Arial" w:hAnsi="Arial" w:cs="Arial"/>
          <w:szCs w:val="24"/>
        </w:rPr>
        <w:t xml:space="preserve">Respecto de la segunda hipótesis, esto es, la carencia actual de objeto por daño consumado, ha dicho </w:t>
      </w:r>
      <w:r w:rsidRPr="00F33A95">
        <w:rPr>
          <w:rFonts w:ascii="Arial" w:hAnsi="Arial" w:cs="Arial"/>
          <w:szCs w:val="24"/>
          <w:lang w:val="es-CO"/>
        </w:rPr>
        <w:t>la Corte Constitucional</w:t>
      </w:r>
      <w:r w:rsidRPr="00F33A95">
        <w:rPr>
          <w:rStyle w:val="Refdenotaalpie"/>
          <w:rFonts w:ascii="Arial" w:hAnsi="Arial" w:cs="Arial"/>
          <w:szCs w:val="24"/>
        </w:rPr>
        <w:footnoteReference w:id="8"/>
      </w:r>
      <w:r w:rsidRPr="00F33A95">
        <w:rPr>
          <w:rFonts w:ascii="Arial" w:hAnsi="Arial" w:cs="Arial"/>
          <w:szCs w:val="24"/>
        </w:rPr>
        <w:t xml:space="preserve"> </w:t>
      </w:r>
      <w:r w:rsidRPr="00F33A95">
        <w:rPr>
          <w:rFonts w:ascii="Arial" w:hAnsi="Arial" w:cs="Arial"/>
          <w:szCs w:val="24"/>
          <w:lang w:val="es-CO"/>
        </w:rPr>
        <w:t xml:space="preserve">que se manifiesta </w:t>
      </w:r>
      <w:r w:rsidRPr="00DD1EC0">
        <w:rPr>
          <w:rFonts w:ascii="Arial" w:hAnsi="Arial" w:cs="Arial"/>
          <w:i/>
          <w:sz w:val="22"/>
          <w:szCs w:val="24"/>
          <w:lang w:val="es-CO"/>
        </w:rPr>
        <w:t xml:space="preserve">“(…) </w:t>
      </w:r>
      <w:r w:rsidRPr="00DD1EC0">
        <w:rPr>
          <w:rFonts w:ascii="Arial" w:hAnsi="Arial" w:cs="Arial"/>
          <w:i/>
          <w:iCs/>
          <w:sz w:val="22"/>
          <w:szCs w:val="24"/>
          <w:bdr w:val="none" w:sz="0" w:space="0" w:color="auto" w:frame="1"/>
          <w:shd w:val="clear" w:color="auto" w:fill="FFFFFF"/>
          <w:lang w:val="es-ES"/>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r w:rsidRPr="00DD1EC0">
        <w:rPr>
          <w:rFonts w:ascii="Arial" w:hAnsi="Arial" w:cs="Arial"/>
          <w:i/>
          <w:iCs/>
          <w:sz w:val="22"/>
          <w:szCs w:val="24"/>
          <w:bdr w:val="none" w:sz="0" w:space="0" w:color="auto" w:frame="1"/>
          <w:shd w:val="clear" w:color="auto" w:fill="FFFFFF"/>
        </w:rPr>
        <w:t>.”</w:t>
      </w:r>
    </w:p>
    <w:p w:rsidR="00D170BC" w:rsidRPr="00A46AB3" w:rsidRDefault="00D170BC" w:rsidP="00D170BC">
      <w:pPr>
        <w:pStyle w:val="Textoindependiente"/>
        <w:spacing w:line="360" w:lineRule="auto"/>
        <w:rPr>
          <w:rFonts w:ascii="Arial" w:hAnsi="Arial" w:cs="Arial"/>
          <w:color w:val="000000"/>
          <w:sz w:val="20"/>
          <w:szCs w:val="24"/>
          <w:shd w:val="clear" w:color="auto" w:fill="FFFFFF"/>
        </w:rPr>
      </w:pPr>
    </w:p>
    <w:p w:rsidR="00D170BC" w:rsidRPr="00DD1EC0" w:rsidRDefault="00D170BC" w:rsidP="00D170BC">
      <w:pPr>
        <w:pStyle w:val="Textoindependiente"/>
        <w:spacing w:line="360" w:lineRule="auto"/>
        <w:rPr>
          <w:rFonts w:ascii="Arial" w:hAnsi="Arial" w:cs="Arial"/>
          <w:i/>
          <w:iCs/>
          <w:color w:val="000000"/>
          <w:szCs w:val="24"/>
          <w:bdr w:val="none" w:sz="0" w:space="0" w:color="auto" w:frame="1"/>
          <w:shd w:val="clear" w:color="auto" w:fill="FFFFFF"/>
        </w:rPr>
      </w:pPr>
      <w:r w:rsidRPr="00F33A95">
        <w:rPr>
          <w:rFonts w:ascii="Arial" w:hAnsi="Arial" w:cs="Arial"/>
          <w:color w:val="000000"/>
          <w:szCs w:val="24"/>
          <w:shd w:val="clear" w:color="auto" w:fill="FFFFFF"/>
        </w:rPr>
        <w:t>No obstante, es preciso reseñar que existen otras formas de materializar la carencia actual de objeto, entre ellas, la sustracción de materia, que según lo refiere la Corte</w:t>
      </w:r>
      <w:r w:rsidRPr="00F33A95">
        <w:rPr>
          <w:rStyle w:val="Refdenotaalpie"/>
          <w:rFonts w:ascii="Arial" w:hAnsi="Arial"/>
          <w:color w:val="000000"/>
          <w:szCs w:val="24"/>
          <w:shd w:val="clear" w:color="auto" w:fill="FFFFFF"/>
        </w:rPr>
        <w:footnoteReference w:id="9"/>
      </w:r>
      <w:r w:rsidRPr="00F33A95">
        <w:rPr>
          <w:rFonts w:ascii="Arial" w:hAnsi="Arial" w:cs="Arial"/>
          <w:color w:val="000000"/>
          <w:szCs w:val="24"/>
          <w:shd w:val="clear" w:color="auto" w:fill="FFFFFF"/>
        </w:rPr>
        <w:t xml:space="preserve">, se presenta cuando acaece un hecho, que no guarda relación alguna con el objeto de la acción, pero impide que lo pretendido pueda ser satisfecho, de tal suerte, que las órdenes que llegaren a </w:t>
      </w:r>
      <w:r w:rsidRPr="00DD1EC0">
        <w:rPr>
          <w:rFonts w:ascii="Arial" w:hAnsi="Arial" w:cs="Arial"/>
          <w:color w:val="000000"/>
          <w:szCs w:val="24"/>
          <w:shd w:val="clear" w:color="auto" w:fill="FFFFFF"/>
        </w:rPr>
        <w:t xml:space="preserve">impartirse serían </w:t>
      </w:r>
      <w:r>
        <w:rPr>
          <w:rFonts w:ascii="Arial" w:hAnsi="Arial" w:cs="Arial"/>
          <w:color w:val="000000"/>
          <w:szCs w:val="24"/>
          <w:shd w:val="clear" w:color="auto" w:fill="FFFFFF"/>
        </w:rPr>
        <w:t>inútiles</w:t>
      </w:r>
      <w:r w:rsidRPr="00DD1EC0">
        <w:rPr>
          <w:rFonts w:ascii="Arial" w:hAnsi="Arial" w:cs="Arial"/>
          <w:i/>
          <w:iCs/>
          <w:color w:val="000000"/>
          <w:szCs w:val="24"/>
          <w:bdr w:val="none" w:sz="0" w:space="0" w:color="auto" w:frame="1"/>
          <w:shd w:val="clear" w:color="auto" w:fill="FFFFFF"/>
        </w:rPr>
        <w:t>.</w:t>
      </w:r>
    </w:p>
    <w:p w:rsidR="00D0219E" w:rsidRPr="00A46AB3" w:rsidRDefault="00D0219E" w:rsidP="00D0219E">
      <w:pPr>
        <w:pStyle w:val="Textoindependiente"/>
        <w:tabs>
          <w:tab w:val="clear" w:pos="708"/>
          <w:tab w:val="clear" w:pos="1416"/>
          <w:tab w:val="left" w:pos="709"/>
          <w:tab w:val="left" w:pos="1418"/>
        </w:tabs>
        <w:spacing w:line="360" w:lineRule="auto"/>
        <w:rPr>
          <w:rFonts w:ascii="Arial" w:hAnsi="Arial"/>
          <w:sz w:val="18"/>
          <w:szCs w:val="24"/>
        </w:rPr>
      </w:pPr>
    </w:p>
    <w:p w:rsidR="00D0219E" w:rsidRPr="00D0219E" w:rsidRDefault="00D0219E" w:rsidP="00243F39">
      <w:pPr>
        <w:pStyle w:val="Prrafodelista"/>
        <w:widowControl/>
        <w:numPr>
          <w:ilvl w:val="2"/>
          <w:numId w:val="24"/>
        </w:numPr>
        <w:autoSpaceDE/>
        <w:autoSpaceDN/>
        <w:adjustRightInd/>
        <w:spacing w:line="360" w:lineRule="auto"/>
        <w:contextualSpacing/>
        <w:jc w:val="both"/>
        <w:rPr>
          <w:rFonts w:ascii="Arial" w:hAnsi="Arial" w:cs="Arial"/>
        </w:rPr>
      </w:pPr>
      <w:r w:rsidRPr="00D0219E">
        <w:rPr>
          <w:rFonts w:ascii="Arial" w:hAnsi="Arial" w:cs="Arial"/>
        </w:rPr>
        <w:t>El derecho fundamental de petición</w:t>
      </w:r>
    </w:p>
    <w:p w:rsidR="00D0219E" w:rsidRPr="00A46AB3" w:rsidRDefault="00D0219E" w:rsidP="00D0219E">
      <w:pPr>
        <w:pStyle w:val="Prrafodelista"/>
        <w:widowControl/>
        <w:autoSpaceDE/>
        <w:autoSpaceDN/>
        <w:adjustRightInd/>
        <w:spacing w:line="360" w:lineRule="auto"/>
        <w:ind w:left="0"/>
        <w:contextualSpacing/>
        <w:jc w:val="both"/>
        <w:rPr>
          <w:rFonts w:ascii="Arial" w:hAnsi="Arial" w:cs="Arial"/>
          <w:sz w:val="18"/>
        </w:rPr>
      </w:pPr>
    </w:p>
    <w:p w:rsidR="00D0219E" w:rsidRDefault="00D0219E" w:rsidP="00D0219E">
      <w:pPr>
        <w:spacing w:line="360" w:lineRule="auto"/>
        <w:jc w:val="both"/>
        <w:rPr>
          <w:rFonts w:ascii="Arial" w:hAnsi="Arial" w:cs="Arial"/>
          <w:i/>
          <w:iCs/>
          <w:spacing w:val="-3"/>
          <w:sz w:val="22"/>
          <w:szCs w:val="22"/>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10"/>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 </w:t>
      </w:r>
      <w:r w:rsidRPr="00563DAB">
        <w:rPr>
          <w:rFonts w:ascii="Arial" w:hAnsi="Arial" w:cs="Arial"/>
          <w:spacing w:val="-3"/>
        </w:rPr>
        <w:t xml:space="preserve">en todo caso </w:t>
      </w:r>
      <w:r>
        <w:rPr>
          <w:rFonts w:ascii="Arial" w:hAnsi="Arial" w:cs="Arial"/>
          <w:spacing w:val="-3"/>
        </w:rPr>
        <w:t xml:space="preserve">cumplirá </w:t>
      </w:r>
      <w:r w:rsidRPr="008D77CB">
        <w:rPr>
          <w:rFonts w:ascii="Arial" w:hAnsi="Arial" w:cs="Arial"/>
          <w:i/>
          <w:spacing w:val="-3"/>
          <w:sz w:val="22"/>
          <w:szCs w:val="22"/>
        </w:rPr>
        <w:t>“</w:t>
      </w:r>
      <w:r w:rsidRPr="008D77CB">
        <w:rPr>
          <w:rFonts w:ascii="Arial" w:hAnsi="Arial" w:cs="Arial"/>
          <w:i/>
          <w:iCs/>
          <w:spacing w:val="-3"/>
          <w:sz w:val="22"/>
          <w:szCs w:val="22"/>
        </w:rPr>
        <w:t>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BA1CC0" w:rsidRPr="00A46AB3" w:rsidRDefault="00BA1CC0" w:rsidP="00D0219E">
      <w:pPr>
        <w:spacing w:line="360" w:lineRule="auto"/>
        <w:jc w:val="both"/>
        <w:rPr>
          <w:rFonts w:ascii="Arial" w:hAnsi="Arial" w:cs="Arial"/>
          <w:i/>
          <w:iCs/>
          <w:spacing w:val="-3"/>
          <w:sz w:val="18"/>
          <w:szCs w:val="22"/>
        </w:rPr>
      </w:pPr>
    </w:p>
    <w:p w:rsidR="00D0219E" w:rsidRPr="00563DAB" w:rsidRDefault="00394D98" w:rsidP="00D0219E">
      <w:pPr>
        <w:pStyle w:val="Textoindependiente"/>
        <w:spacing w:line="360" w:lineRule="auto"/>
        <w:rPr>
          <w:rFonts w:ascii="Arial" w:hAnsi="Arial"/>
          <w:szCs w:val="24"/>
        </w:rPr>
      </w:pPr>
      <w:r>
        <w:rPr>
          <w:rFonts w:ascii="Arial" w:hAnsi="Arial" w:cs="Arial"/>
          <w:szCs w:val="24"/>
        </w:rPr>
        <w:t xml:space="preserve">De ahí que </w:t>
      </w:r>
      <w:r w:rsidR="00D0219E" w:rsidRPr="00563DAB">
        <w:rPr>
          <w:rFonts w:ascii="Arial" w:hAnsi="Arial" w:cs="Arial"/>
          <w:szCs w:val="24"/>
        </w:rPr>
        <w:t>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00D0219E" w:rsidRPr="00563DAB">
        <w:rPr>
          <w:rFonts w:ascii="Arial" w:hAnsi="Arial" w:cs="Arial"/>
          <w:szCs w:val="24"/>
          <w:vertAlign w:val="superscript"/>
        </w:rPr>
        <w:footnoteReference w:id="11"/>
      </w:r>
      <w:r w:rsidR="00D0219E" w:rsidRPr="00563DAB">
        <w:rPr>
          <w:rFonts w:ascii="Arial" w:hAnsi="Arial" w:cs="Arial"/>
          <w:szCs w:val="24"/>
        </w:rPr>
        <w:t>.</w:t>
      </w:r>
    </w:p>
    <w:p w:rsidR="00D0219E" w:rsidRPr="00A46AB3" w:rsidRDefault="00D0219E" w:rsidP="00D0219E">
      <w:pPr>
        <w:pStyle w:val="Textoindependiente"/>
        <w:spacing w:line="360" w:lineRule="auto"/>
        <w:rPr>
          <w:rFonts w:ascii="Arial" w:hAnsi="Arial"/>
          <w:sz w:val="20"/>
          <w:szCs w:val="24"/>
        </w:rPr>
      </w:pPr>
    </w:p>
    <w:p w:rsidR="00B77AA2" w:rsidRPr="006820CE" w:rsidRDefault="00D0219E" w:rsidP="00B77AA2">
      <w:pPr>
        <w:pStyle w:val="Textoindependiente"/>
        <w:spacing w:line="360" w:lineRule="auto"/>
        <w:rPr>
          <w:rFonts w:ascii="Arial" w:hAnsi="Arial" w:cs="Arial"/>
          <w:szCs w:val="24"/>
        </w:rPr>
      </w:pPr>
      <w:r w:rsidRPr="00B87979">
        <w:rPr>
          <w:rFonts w:ascii="Arial" w:hAnsi="Arial" w:cs="Arial"/>
          <w:szCs w:val="24"/>
        </w:rPr>
        <w:t xml:space="preserve">Precisa </w:t>
      </w:r>
      <w:r w:rsidR="00394D98">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2"/>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w:t>
      </w:r>
      <w:r w:rsidR="00B77AA2" w:rsidRPr="00563DAB">
        <w:rPr>
          <w:rFonts w:ascii="Arial" w:hAnsi="Arial" w:cs="Arial"/>
          <w:szCs w:val="24"/>
        </w:rPr>
        <w:t>Esta doctrina ha sido consolidada a lo largo de las diversas decisiones del Alto Tribunal constitucional</w:t>
      </w:r>
      <w:r w:rsidR="00B77AA2" w:rsidRPr="00563DAB">
        <w:rPr>
          <w:rStyle w:val="Refdenotaalpie"/>
          <w:szCs w:val="24"/>
        </w:rPr>
        <w:footnoteReference w:id="13"/>
      </w:r>
      <w:r w:rsidR="00B77AA2">
        <w:rPr>
          <w:rFonts w:ascii="Arial" w:hAnsi="Arial" w:cs="Arial"/>
          <w:szCs w:val="24"/>
          <w:vertAlign w:val="superscript"/>
        </w:rPr>
        <w:t>-</w:t>
      </w:r>
      <w:r w:rsidR="00B77AA2">
        <w:rPr>
          <w:rStyle w:val="Refdenotaalpie"/>
          <w:rFonts w:ascii="Arial" w:hAnsi="Arial"/>
          <w:szCs w:val="24"/>
        </w:rPr>
        <w:footnoteReference w:id="14"/>
      </w:r>
      <w:r w:rsidR="00B77AA2">
        <w:rPr>
          <w:rFonts w:ascii="Arial" w:hAnsi="Arial" w:cs="Arial"/>
          <w:szCs w:val="24"/>
        </w:rPr>
        <w:t>, de manera reciente (2015</w:t>
      </w:r>
      <w:r w:rsidR="00B77AA2" w:rsidRPr="00563DAB">
        <w:rPr>
          <w:rFonts w:ascii="Arial" w:hAnsi="Arial" w:cs="Arial"/>
          <w:szCs w:val="24"/>
        </w:rPr>
        <w:t>)</w:t>
      </w:r>
      <w:r w:rsidR="00B77AA2" w:rsidRPr="009C4841">
        <w:rPr>
          <w:rStyle w:val="Refdenotaalpie"/>
          <w:rFonts w:ascii="Arial" w:hAnsi="Arial"/>
          <w:i/>
          <w:color w:val="2D2D2D"/>
          <w:sz w:val="22"/>
          <w:szCs w:val="22"/>
          <w:shd w:val="clear" w:color="auto" w:fill="FFFFFF"/>
        </w:rPr>
        <w:t xml:space="preserve"> </w:t>
      </w:r>
      <w:r w:rsidR="00B77AA2">
        <w:rPr>
          <w:rStyle w:val="Refdenotaalpie"/>
          <w:rFonts w:ascii="Arial" w:hAnsi="Arial"/>
          <w:i/>
          <w:color w:val="2D2D2D"/>
          <w:sz w:val="22"/>
          <w:szCs w:val="22"/>
          <w:shd w:val="clear" w:color="auto" w:fill="FFFFFF"/>
        </w:rPr>
        <w:footnoteReference w:id="15"/>
      </w:r>
      <w:r w:rsidR="00B77AA2" w:rsidRPr="00563DAB">
        <w:rPr>
          <w:rFonts w:ascii="Arial" w:hAnsi="Arial" w:cs="Arial"/>
          <w:szCs w:val="24"/>
        </w:rPr>
        <w:t>.</w:t>
      </w:r>
    </w:p>
    <w:p w:rsidR="00D0219E" w:rsidRDefault="00D0219E" w:rsidP="00243F39">
      <w:pPr>
        <w:pStyle w:val="Prrafodelista"/>
        <w:numPr>
          <w:ilvl w:val="0"/>
          <w:numId w:val="24"/>
        </w:numPr>
        <w:spacing w:line="360" w:lineRule="auto"/>
        <w:ind w:right="51"/>
        <w:jc w:val="both"/>
        <w:rPr>
          <w:rFonts w:ascii="Arial" w:hAnsi="Arial"/>
          <w:lang w:val="es-ES_tradnl"/>
        </w:rPr>
      </w:pPr>
      <w:r w:rsidRPr="00132C78">
        <w:rPr>
          <w:rFonts w:ascii="Arial" w:hAnsi="Arial"/>
          <w:lang w:val="es-ES_tradnl"/>
        </w:rPr>
        <w:t>EL ANÁLISIS DEL CASO EN CONCRETO</w:t>
      </w:r>
    </w:p>
    <w:p w:rsidR="00826267" w:rsidRDefault="00826267" w:rsidP="00826267">
      <w:pPr>
        <w:spacing w:line="360" w:lineRule="auto"/>
        <w:ind w:right="51"/>
        <w:jc w:val="both"/>
        <w:rPr>
          <w:rFonts w:ascii="Arial" w:hAnsi="Arial"/>
          <w:lang w:val="es-ES_tradnl"/>
        </w:rPr>
      </w:pPr>
    </w:p>
    <w:p w:rsidR="008611E8" w:rsidRDefault="00D02D21" w:rsidP="00826267">
      <w:pPr>
        <w:pStyle w:val="Textoindependiente"/>
        <w:spacing w:line="360" w:lineRule="auto"/>
        <w:rPr>
          <w:rFonts w:ascii="Arial" w:hAnsi="Arial"/>
          <w:szCs w:val="24"/>
        </w:rPr>
      </w:pPr>
      <w:r>
        <w:rPr>
          <w:rFonts w:ascii="Arial" w:hAnsi="Arial"/>
          <w:szCs w:val="24"/>
        </w:rPr>
        <w:t xml:space="preserve">La </w:t>
      </w:r>
      <w:r w:rsidR="008611E8">
        <w:rPr>
          <w:rFonts w:ascii="Arial" w:hAnsi="Arial"/>
          <w:szCs w:val="24"/>
        </w:rPr>
        <w:t xml:space="preserve">accionada asegura que dio respuesta efectiva a las </w:t>
      </w:r>
      <w:r>
        <w:rPr>
          <w:rFonts w:ascii="Arial" w:hAnsi="Arial"/>
          <w:szCs w:val="24"/>
        </w:rPr>
        <w:t xml:space="preserve">tres </w:t>
      </w:r>
      <w:r w:rsidR="008611E8">
        <w:rPr>
          <w:rFonts w:ascii="Arial" w:hAnsi="Arial"/>
          <w:szCs w:val="24"/>
        </w:rPr>
        <w:t xml:space="preserve">solicitudes </w:t>
      </w:r>
      <w:r>
        <w:rPr>
          <w:rFonts w:ascii="Arial" w:hAnsi="Arial"/>
          <w:szCs w:val="24"/>
        </w:rPr>
        <w:t xml:space="preserve">formuladas los días 07-03-2016 y 01-04-2016 (Folios 6, 7 y 8, íd.) </w:t>
      </w:r>
      <w:r w:rsidR="008611E8">
        <w:rPr>
          <w:rFonts w:ascii="Arial" w:hAnsi="Arial"/>
          <w:szCs w:val="24"/>
        </w:rPr>
        <w:t>y adjuntó</w:t>
      </w:r>
      <w:r w:rsidR="00172D46">
        <w:rPr>
          <w:rFonts w:ascii="Arial" w:hAnsi="Arial"/>
          <w:szCs w:val="24"/>
        </w:rPr>
        <w:t xml:space="preserve"> los</w:t>
      </w:r>
      <w:r w:rsidR="008611E8">
        <w:rPr>
          <w:rFonts w:ascii="Arial" w:hAnsi="Arial"/>
          <w:szCs w:val="24"/>
        </w:rPr>
        <w:t xml:space="preserve"> documentos</w:t>
      </w:r>
      <w:r>
        <w:rPr>
          <w:rFonts w:ascii="Arial" w:hAnsi="Arial"/>
          <w:szCs w:val="24"/>
        </w:rPr>
        <w:t xml:space="preserve"> respectivos</w:t>
      </w:r>
      <w:r w:rsidR="00991E87">
        <w:rPr>
          <w:rFonts w:ascii="Arial" w:hAnsi="Arial"/>
          <w:szCs w:val="24"/>
        </w:rPr>
        <w:t xml:space="preserve"> (Folios 21 a 32, íd.)</w:t>
      </w:r>
      <w:r w:rsidR="008611E8">
        <w:rPr>
          <w:rFonts w:ascii="Arial" w:hAnsi="Arial"/>
          <w:szCs w:val="24"/>
        </w:rPr>
        <w:t>.</w:t>
      </w:r>
    </w:p>
    <w:p w:rsidR="008611E8" w:rsidRDefault="008611E8" w:rsidP="00826267">
      <w:pPr>
        <w:pStyle w:val="Textoindependiente"/>
        <w:spacing w:line="360" w:lineRule="auto"/>
        <w:rPr>
          <w:rFonts w:ascii="Arial" w:hAnsi="Arial"/>
          <w:szCs w:val="24"/>
        </w:rPr>
      </w:pPr>
    </w:p>
    <w:p w:rsidR="00775459" w:rsidRDefault="00D02D21" w:rsidP="00826267">
      <w:pPr>
        <w:pStyle w:val="Textoindependiente"/>
        <w:spacing w:line="360" w:lineRule="auto"/>
        <w:rPr>
          <w:rFonts w:ascii="Arial" w:hAnsi="Arial"/>
          <w:szCs w:val="24"/>
        </w:rPr>
      </w:pPr>
      <w:r>
        <w:rPr>
          <w:rFonts w:ascii="Arial" w:hAnsi="Arial"/>
          <w:szCs w:val="24"/>
        </w:rPr>
        <w:t>Revisadas las respuestas y los pedimentos</w:t>
      </w:r>
      <w:r w:rsidR="008611E8">
        <w:rPr>
          <w:rFonts w:ascii="Arial" w:hAnsi="Arial"/>
          <w:szCs w:val="24"/>
        </w:rPr>
        <w:t xml:space="preserve">, considera la Sala que efectivamente la accionada atendió </w:t>
      </w:r>
      <w:r w:rsidR="00CD16A5">
        <w:rPr>
          <w:rFonts w:ascii="Arial" w:hAnsi="Arial"/>
          <w:szCs w:val="24"/>
        </w:rPr>
        <w:t xml:space="preserve">dos de </w:t>
      </w:r>
      <w:r w:rsidR="008611E8">
        <w:rPr>
          <w:rFonts w:ascii="Arial" w:hAnsi="Arial"/>
          <w:szCs w:val="24"/>
        </w:rPr>
        <w:t xml:space="preserve">las solicitudes </w:t>
      </w:r>
      <w:r w:rsidR="00CD16A5">
        <w:rPr>
          <w:rFonts w:ascii="Arial" w:hAnsi="Arial"/>
          <w:szCs w:val="24"/>
        </w:rPr>
        <w:t>presentadas, específicamente las referentes a los temas de cesantías y certificaciones (Folios 8 y 9, íd.) con el oficio DESTJ16-1105 del 25-04-2016 (Folio 21 vto., íd.), la DE</w:t>
      </w:r>
      <w:r>
        <w:rPr>
          <w:rFonts w:ascii="Arial" w:hAnsi="Arial"/>
          <w:szCs w:val="24"/>
        </w:rPr>
        <w:t>S</w:t>
      </w:r>
      <w:r w:rsidR="00CD16A5">
        <w:rPr>
          <w:rFonts w:ascii="Arial" w:hAnsi="Arial"/>
          <w:szCs w:val="24"/>
        </w:rPr>
        <w:t xml:space="preserve">AJ </w:t>
      </w:r>
      <w:r>
        <w:rPr>
          <w:rFonts w:ascii="Arial" w:hAnsi="Arial"/>
          <w:szCs w:val="24"/>
        </w:rPr>
        <w:t>de Tunja</w:t>
      </w:r>
      <w:r w:rsidR="00CD16A5">
        <w:rPr>
          <w:rFonts w:ascii="Arial" w:hAnsi="Arial"/>
          <w:szCs w:val="24"/>
        </w:rPr>
        <w:t>, dio repuesta clara</w:t>
      </w:r>
      <w:r>
        <w:rPr>
          <w:rFonts w:ascii="Arial" w:hAnsi="Arial"/>
          <w:szCs w:val="24"/>
        </w:rPr>
        <w:t>,</w:t>
      </w:r>
      <w:r w:rsidR="00CD16A5">
        <w:rPr>
          <w:rFonts w:ascii="Arial" w:hAnsi="Arial"/>
          <w:szCs w:val="24"/>
        </w:rPr>
        <w:t xml:space="preserve"> completa, </w:t>
      </w:r>
      <w:r>
        <w:rPr>
          <w:rFonts w:ascii="Arial" w:hAnsi="Arial"/>
          <w:szCs w:val="24"/>
        </w:rPr>
        <w:t xml:space="preserve">con remisión de </w:t>
      </w:r>
      <w:r w:rsidR="00CD16A5">
        <w:rPr>
          <w:rFonts w:ascii="Arial" w:hAnsi="Arial"/>
          <w:szCs w:val="24"/>
        </w:rPr>
        <w:t xml:space="preserve">los certificados requeridos (Folios 23 vto. y 24, íd.), </w:t>
      </w:r>
      <w:r>
        <w:rPr>
          <w:rFonts w:ascii="Arial" w:hAnsi="Arial"/>
          <w:szCs w:val="24"/>
        </w:rPr>
        <w:t xml:space="preserve">que </w:t>
      </w:r>
      <w:r w:rsidR="003B6175">
        <w:rPr>
          <w:rFonts w:ascii="Arial" w:hAnsi="Arial"/>
          <w:szCs w:val="24"/>
        </w:rPr>
        <w:t>fue comunicado</w:t>
      </w:r>
      <w:r w:rsidR="00CD16A5">
        <w:rPr>
          <w:rFonts w:ascii="Arial" w:hAnsi="Arial"/>
          <w:szCs w:val="24"/>
        </w:rPr>
        <w:t xml:space="preserve"> </w:t>
      </w:r>
      <w:r w:rsidR="003B6175">
        <w:rPr>
          <w:rFonts w:ascii="Arial" w:hAnsi="Arial"/>
          <w:szCs w:val="24"/>
        </w:rPr>
        <w:t xml:space="preserve">vía </w:t>
      </w:r>
      <w:r w:rsidR="00CD16A5">
        <w:rPr>
          <w:rFonts w:ascii="Arial" w:hAnsi="Arial"/>
          <w:szCs w:val="24"/>
        </w:rPr>
        <w:t>correo electrónico (Folio 24 vto., íd</w:t>
      </w:r>
      <w:r w:rsidR="00775459">
        <w:rPr>
          <w:rFonts w:ascii="Arial" w:hAnsi="Arial"/>
          <w:szCs w:val="24"/>
        </w:rPr>
        <w:t>).</w:t>
      </w:r>
    </w:p>
    <w:p w:rsidR="00775459" w:rsidRDefault="00775459" w:rsidP="00826267">
      <w:pPr>
        <w:pStyle w:val="Textoindependiente"/>
        <w:spacing w:line="360" w:lineRule="auto"/>
        <w:rPr>
          <w:rFonts w:ascii="Arial" w:hAnsi="Arial"/>
          <w:szCs w:val="24"/>
        </w:rPr>
      </w:pPr>
    </w:p>
    <w:p w:rsidR="00D02D21" w:rsidRDefault="003B6175" w:rsidP="003B6175">
      <w:pPr>
        <w:pStyle w:val="Textoindependiente"/>
        <w:spacing w:line="360" w:lineRule="auto"/>
        <w:rPr>
          <w:rFonts w:ascii="Arial" w:hAnsi="Arial" w:cs="Arial"/>
          <w:szCs w:val="24"/>
        </w:rPr>
      </w:pPr>
      <w:r w:rsidRPr="00DD1EC0">
        <w:rPr>
          <w:rFonts w:ascii="Arial" w:hAnsi="Arial" w:cs="Arial"/>
          <w:szCs w:val="24"/>
          <w:lang w:val="es-CO" w:eastAsia="es-CO"/>
        </w:rPr>
        <w:t xml:space="preserve">Por lo tanto, </w:t>
      </w:r>
      <w:r w:rsidR="000009CA">
        <w:rPr>
          <w:rFonts w:ascii="Arial" w:hAnsi="Arial" w:cs="Arial"/>
          <w:szCs w:val="24"/>
          <w:lang w:val="es-CO" w:eastAsia="es-CO"/>
        </w:rPr>
        <w:t>la vulneración al derecho de petición cesó y</w:t>
      </w:r>
      <w:r w:rsidRPr="00DD1EC0">
        <w:rPr>
          <w:rFonts w:ascii="Arial" w:hAnsi="Arial" w:cs="Arial"/>
          <w:szCs w:val="24"/>
          <w:lang w:val="es-CO" w:eastAsia="es-CO"/>
        </w:rPr>
        <w:t xml:space="preserve"> </w:t>
      </w:r>
      <w:r w:rsidRPr="00DD1EC0">
        <w:rPr>
          <w:rFonts w:ascii="Arial" w:hAnsi="Arial" w:cs="Arial"/>
          <w:szCs w:val="24"/>
        </w:rPr>
        <w:t>no hay objeto jurídico sobre el cual fallar. De esta manera, se configura el hecho superado, pues la</w:t>
      </w:r>
      <w:r>
        <w:rPr>
          <w:rFonts w:ascii="Arial" w:hAnsi="Arial" w:cs="Arial"/>
          <w:szCs w:val="24"/>
        </w:rPr>
        <w:t>s</w:t>
      </w:r>
      <w:r w:rsidRPr="00DD1EC0">
        <w:rPr>
          <w:rFonts w:ascii="Arial" w:hAnsi="Arial" w:cs="Arial"/>
          <w:szCs w:val="24"/>
        </w:rPr>
        <w:t xml:space="preserve"> aludida</w:t>
      </w:r>
      <w:r>
        <w:rPr>
          <w:rFonts w:ascii="Arial" w:hAnsi="Arial" w:cs="Arial"/>
          <w:szCs w:val="24"/>
        </w:rPr>
        <w:t>s</w:t>
      </w:r>
      <w:r w:rsidRPr="00DD1EC0">
        <w:rPr>
          <w:rFonts w:ascii="Arial" w:hAnsi="Arial" w:cs="Arial"/>
          <w:szCs w:val="24"/>
        </w:rPr>
        <w:t xml:space="preserve"> </w:t>
      </w:r>
      <w:r>
        <w:rPr>
          <w:rFonts w:ascii="Arial" w:hAnsi="Arial" w:cs="Arial"/>
          <w:szCs w:val="24"/>
        </w:rPr>
        <w:t xml:space="preserve">peticiones </w:t>
      </w:r>
      <w:r w:rsidRPr="00DD1EC0">
        <w:rPr>
          <w:rFonts w:ascii="Arial" w:hAnsi="Arial" w:cs="Arial"/>
          <w:szCs w:val="24"/>
        </w:rPr>
        <w:t>se encuentra</w:t>
      </w:r>
      <w:r>
        <w:rPr>
          <w:rFonts w:ascii="Arial" w:hAnsi="Arial" w:cs="Arial"/>
          <w:szCs w:val="24"/>
        </w:rPr>
        <w:t>n</w:t>
      </w:r>
      <w:r w:rsidRPr="00DD1EC0">
        <w:rPr>
          <w:rFonts w:ascii="Arial" w:hAnsi="Arial" w:cs="Arial"/>
          <w:szCs w:val="24"/>
        </w:rPr>
        <w:t xml:space="preserve"> satisfecha</w:t>
      </w:r>
      <w:r w:rsidR="00D02D21">
        <w:rPr>
          <w:rFonts w:ascii="Arial" w:hAnsi="Arial" w:cs="Arial"/>
          <w:szCs w:val="24"/>
        </w:rPr>
        <w:t>s.</w:t>
      </w:r>
    </w:p>
    <w:p w:rsidR="00D02D21" w:rsidRDefault="00D02D21" w:rsidP="003B6175">
      <w:pPr>
        <w:pStyle w:val="Textoindependiente"/>
        <w:spacing w:line="360" w:lineRule="auto"/>
        <w:rPr>
          <w:rFonts w:ascii="Arial" w:hAnsi="Arial" w:cs="Arial"/>
          <w:szCs w:val="24"/>
        </w:rPr>
      </w:pPr>
    </w:p>
    <w:p w:rsidR="003B6175" w:rsidRDefault="00D02D21" w:rsidP="003B6175">
      <w:pPr>
        <w:pStyle w:val="Textoindependiente"/>
        <w:spacing w:line="360" w:lineRule="auto"/>
        <w:rPr>
          <w:rFonts w:ascii="Arial" w:hAnsi="Arial"/>
          <w:szCs w:val="24"/>
        </w:rPr>
      </w:pPr>
      <w:r>
        <w:rPr>
          <w:rFonts w:ascii="Arial" w:hAnsi="Arial" w:cs="Arial"/>
          <w:szCs w:val="24"/>
        </w:rPr>
        <w:t>S</w:t>
      </w:r>
      <w:r w:rsidR="003B6175">
        <w:rPr>
          <w:rFonts w:ascii="Arial" w:hAnsi="Arial" w:cs="Arial"/>
          <w:szCs w:val="24"/>
        </w:rPr>
        <w:t>in embargo, no sucede lo mismo respecto de la solicitud tendiente a que se brinde información y se corrijan inconsistencias relacionadas con los aportes en pensiones de la actora (Folio 6, íd.).</w:t>
      </w:r>
      <w:r>
        <w:rPr>
          <w:rFonts w:ascii="Arial" w:hAnsi="Arial" w:cs="Arial"/>
          <w:szCs w:val="24"/>
        </w:rPr>
        <w:t xml:space="preserve"> Se envió como contestación el </w:t>
      </w:r>
      <w:r w:rsidR="003B6175">
        <w:rPr>
          <w:rFonts w:ascii="Arial" w:hAnsi="Arial" w:cs="Arial"/>
          <w:szCs w:val="24"/>
        </w:rPr>
        <w:t>oficio que data del 25-03-2016 (Folio 32, íd.), sin arrimar prueba de que se haya comunicado, claro que remitió una planilla de correo del 472 La Red Postal de Colombia</w:t>
      </w:r>
      <w:r w:rsidR="000009CA">
        <w:rPr>
          <w:rFonts w:ascii="Arial" w:hAnsi="Arial" w:cs="Arial"/>
          <w:szCs w:val="24"/>
        </w:rPr>
        <w:t xml:space="preserve"> (Folio 32 vto., íd.)</w:t>
      </w:r>
      <w:r w:rsidR="003B6175">
        <w:rPr>
          <w:rFonts w:ascii="Arial" w:hAnsi="Arial" w:cs="Arial"/>
          <w:szCs w:val="24"/>
        </w:rPr>
        <w:t xml:space="preserve">, </w:t>
      </w:r>
      <w:r>
        <w:rPr>
          <w:rFonts w:ascii="Arial" w:hAnsi="Arial" w:cs="Arial"/>
          <w:szCs w:val="24"/>
        </w:rPr>
        <w:t>mas no acredita el recibo</w:t>
      </w:r>
      <w:r w:rsidR="000009CA">
        <w:rPr>
          <w:rFonts w:ascii="Arial" w:hAnsi="Arial" w:cs="Arial"/>
          <w:szCs w:val="24"/>
        </w:rPr>
        <w:t xml:space="preserve">; </w:t>
      </w:r>
      <w:r w:rsidR="003B6175">
        <w:rPr>
          <w:rFonts w:ascii="Arial" w:hAnsi="Arial"/>
          <w:szCs w:val="24"/>
        </w:rPr>
        <w:t xml:space="preserve">en ese orden de ideas, mal puede tenerse por atendida la petición, cuando la accionada </w:t>
      </w:r>
      <w:r w:rsidR="00D170BC">
        <w:rPr>
          <w:rFonts w:ascii="Arial" w:hAnsi="Arial"/>
          <w:szCs w:val="24"/>
        </w:rPr>
        <w:t>omitió comunicar la respuesta</w:t>
      </w:r>
      <w:r w:rsidR="003B6175">
        <w:rPr>
          <w:rFonts w:ascii="Arial" w:hAnsi="Arial"/>
          <w:szCs w:val="24"/>
        </w:rPr>
        <w:t xml:space="preserve">. </w:t>
      </w:r>
    </w:p>
    <w:p w:rsidR="003B6175" w:rsidRDefault="003B6175" w:rsidP="003B6175">
      <w:pPr>
        <w:pStyle w:val="Textoindependiente"/>
        <w:spacing w:line="360" w:lineRule="auto"/>
        <w:rPr>
          <w:rFonts w:ascii="Arial" w:hAnsi="Arial"/>
          <w:szCs w:val="24"/>
        </w:rPr>
      </w:pPr>
    </w:p>
    <w:p w:rsidR="000009CA" w:rsidRDefault="003B6175" w:rsidP="003B6175">
      <w:pPr>
        <w:pStyle w:val="Textoindependiente"/>
        <w:spacing w:line="360" w:lineRule="auto"/>
        <w:rPr>
          <w:rFonts w:ascii="Arial" w:hAnsi="Arial" w:cs="Arial"/>
          <w:iCs/>
          <w:szCs w:val="22"/>
        </w:rPr>
      </w:pPr>
      <w:r>
        <w:rPr>
          <w:rFonts w:ascii="Arial" w:hAnsi="Arial"/>
          <w:szCs w:val="24"/>
        </w:rPr>
        <w:t xml:space="preserve">Asimismo, cabe señalar </w:t>
      </w:r>
      <w:r w:rsidR="000009CA">
        <w:rPr>
          <w:rFonts w:ascii="Arial" w:hAnsi="Arial"/>
          <w:szCs w:val="24"/>
        </w:rPr>
        <w:t xml:space="preserve">que la respuesta debe ser de </w:t>
      </w:r>
      <w:r w:rsidR="000009CA" w:rsidRPr="000009CA">
        <w:rPr>
          <w:rFonts w:ascii="Arial" w:hAnsi="Arial" w:cs="Arial"/>
          <w:iCs/>
          <w:szCs w:val="22"/>
        </w:rPr>
        <w:t>fondo, clara, precisa y de manera congruente con lo solicitado</w:t>
      </w:r>
      <w:r w:rsidR="000009CA">
        <w:rPr>
          <w:rFonts w:ascii="Arial" w:hAnsi="Arial" w:cs="Arial"/>
          <w:iCs/>
          <w:szCs w:val="22"/>
        </w:rPr>
        <w:t xml:space="preserve">, lo que no se descubre en el referido oficio, pues existen puntos </w:t>
      </w:r>
      <w:r w:rsidR="00960217">
        <w:rPr>
          <w:rFonts w:ascii="Arial" w:hAnsi="Arial" w:cs="Arial"/>
          <w:iCs/>
          <w:szCs w:val="22"/>
        </w:rPr>
        <w:t>sin resolver</w:t>
      </w:r>
      <w:r w:rsidR="000009CA">
        <w:rPr>
          <w:rFonts w:ascii="Arial" w:hAnsi="Arial" w:cs="Arial"/>
          <w:iCs/>
          <w:szCs w:val="22"/>
        </w:rPr>
        <w:t xml:space="preserve">, que fueron mencionados en la contestación, </w:t>
      </w:r>
      <w:r w:rsidR="00D170BC">
        <w:rPr>
          <w:rFonts w:ascii="Arial" w:hAnsi="Arial" w:cs="Arial"/>
          <w:iCs/>
          <w:szCs w:val="22"/>
        </w:rPr>
        <w:t xml:space="preserve">pero que deben ser comunicados </w:t>
      </w:r>
      <w:r w:rsidR="00960217">
        <w:rPr>
          <w:rFonts w:ascii="Arial" w:hAnsi="Arial" w:cs="Arial"/>
          <w:iCs/>
          <w:szCs w:val="22"/>
        </w:rPr>
        <w:t xml:space="preserve">a la </w:t>
      </w:r>
      <w:r w:rsidR="00D170BC">
        <w:rPr>
          <w:rFonts w:ascii="Arial" w:hAnsi="Arial" w:cs="Arial"/>
          <w:iCs/>
          <w:szCs w:val="22"/>
        </w:rPr>
        <w:t xml:space="preserve">petente, pues </w:t>
      </w:r>
      <w:r w:rsidR="00960217">
        <w:rPr>
          <w:rFonts w:ascii="Arial" w:hAnsi="Arial" w:cs="Arial"/>
          <w:iCs/>
          <w:szCs w:val="22"/>
        </w:rPr>
        <w:t xml:space="preserve">mal </w:t>
      </w:r>
      <w:r w:rsidR="000009CA">
        <w:rPr>
          <w:rFonts w:ascii="Arial" w:hAnsi="Arial" w:cs="Arial"/>
          <w:iCs/>
          <w:szCs w:val="22"/>
        </w:rPr>
        <w:t>puede ser considera</w:t>
      </w:r>
      <w:r w:rsidR="00960217">
        <w:rPr>
          <w:rFonts w:ascii="Arial" w:hAnsi="Arial" w:cs="Arial"/>
          <w:iCs/>
          <w:szCs w:val="22"/>
        </w:rPr>
        <w:t>da</w:t>
      </w:r>
      <w:r w:rsidR="000009CA">
        <w:rPr>
          <w:rFonts w:ascii="Arial" w:hAnsi="Arial" w:cs="Arial"/>
          <w:iCs/>
          <w:szCs w:val="22"/>
        </w:rPr>
        <w:t xml:space="preserve"> atendida</w:t>
      </w:r>
      <w:r w:rsidR="00960217">
        <w:rPr>
          <w:rFonts w:ascii="Arial" w:hAnsi="Arial" w:cs="Arial"/>
          <w:iCs/>
          <w:szCs w:val="22"/>
        </w:rPr>
        <w:t>,</w:t>
      </w:r>
      <w:r w:rsidR="000009CA">
        <w:rPr>
          <w:rFonts w:ascii="Arial" w:hAnsi="Arial" w:cs="Arial"/>
          <w:iCs/>
          <w:szCs w:val="22"/>
        </w:rPr>
        <w:t xml:space="preserve"> con la remisión </w:t>
      </w:r>
      <w:r w:rsidR="00960217">
        <w:rPr>
          <w:rFonts w:ascii="Arial" w:hAnsi="Arial" w:cs="Arial"/>
          <w:iCs/>
          <w:szCs w:val="22"/>
        </w:rPr>
        <w:t xml:space="preserve">a este </w:t>
      </w:r>
      <w:r w:rsidR="000009CA">
        <w:rPr>
          <w:rFonts w:ascii="Arial" w:hAnsi="Arial" w:cs="Arial"/>
          <w:iCs/>
          <w:szCs w:val="22"/>
        </w:rPr>
        <w:t>fallador.</w:t>
      </w:r>
    </w:p>
    <w:p w:rsidR="000009CA" w:rsidRDefault="000009CA" w:rsidP="003B6175">
      <w:pPr>
        <w:pStyle w:val="Textoindependiente"/>
        <w:spacing w:line="360" w:lineRule="auto"/>
        <w:rPr>
          <w:rFonts w:ascii="Arial" w:hAnsi="Arial" w:cs="Arial"/>
          <w:iCs/>
          <w:szCs w:val="22"/>
        </w:rPr>
      </w:pPr>
    </w:p>
    <w:p w:rsidR="00960217" w:rsidRDefault="004B5E8B" w:rsidP="004B5E8B">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Por consiguiente, se concederá el amparo constitucional para ordenarle a la DE</w:t>
      </w:r>
      <w:r w:rsidR="00960217">
        <w:rPr>
          <w:rFonts w:ascii="Arial" w:hAnsi="Arial"/>
          <w:szCs w:val="24"/>
        </w:rPr>
        <w:t>S</w:t>
      </w:r>
      <w:r>
        <w:rPr>
          <w:rFonts w:ascii="Arial" w:hAnsi="Arial"/>
          <w:szCs w:val="24"/>
        </w:rPr>
        <w:t xml:space="preserve">AJ </w:t>
      </w:r>
      <w:r w:rsidR="00960217">
        <w:rPr>
          <w:rFonts w:ascii="Arial" w:hAnsi="Arial"/>
          <w:szCs w:val="24"/>
        </w:rPr>
        <w:t>de Tunja</w:t>
      </w:r>
      <w:r>
        <w:rPr>
          <w:rFonts w:ascii="Arial" w:hAnsi="Arial" w:cs="Arial"/>
          <w:szCs w:val="24"/>
        </w:rPr>
        <w:t xml:space="preserve">, que responda </w:t>
      </w:r>
      <w:r w:rsidR="000009CA">
        <w:rPr>
          <w:rFonts w:ascii="Arial" w:hAnsi="Arial" w:cs="Arial"/>
          <w:szCs w:val="24"/>
        </w:rPr>
        <w:t>el derecho de petición relacionado con el pago de aportes en pensión</w:t>
      </w:r>
      <w:r>
        <w:rPr>
          <w:rFonts w:ascii="Arial" w:hAnsi="Arial" w:cs="Arial"/>
          <w:szCs w:val="24"/>
        </w:rPr>
        <w:t>.</w:t>
      </w:r>
      <w:r w:rsidRPr="00186CD4">
        <w:rPr>
          <w:rFonts w:ascii="Arial" w:hAnsi="Arial"/>
          <w:szCs w:val="24"/>
        </w:rPr>
        <w:t xml:space="preserve"> </w:t>
      </w:r>
    </w:p>
    <w:p w:rsidR="00960217" w:rsidRDefault="00960217" w:rsidP="004B5E8B">
      <w:pPr>
        <w:pStyle w:val="Textoindependiente"/>
        <w:tabs>
          <w:tab w:val="clear" w:pos="708"/>
          <w:tab w:val="clear" w:pos="1416"/>
          <w:tab w:val="left" w:pos="709"/>
          <w:tab w:val="left" w:pos="1418"/>
        </w:tabs>
        <w:spacing w:line="360" w:lineRule="auto"/>
        <w:rPr>
          <w:rFonts w:ascii="Arial" w:hAnsi="Arial"/>
          <w:szCs w:val="24"/>
        </w:rPr>
      </w:pPr>
    </w:p>
    <w:p w:rsidR="004B5E8B" w:rsidRDefault="00026A18" w:rsidP="004B5E8B">
      <w:pPr>
        <w:pStyle w:val="Textoindependiente"/>
        <w:tabs>
          <w:tab w:val="clear" w:pos="708"/>
          <w:tab w:val="clear" w:pos="1416"/>
          <w:tab w:val="left" w:pos="709"/>
          <w:tab w:val="left" w:pos="1418"/>
        </w:tabs>
        <w:spacing w:line="360" w:lineRule="auto"/>
        <w:rPr>
          <w:rFonts w:ascii="Arial" w:hAnsi="Arial"/>
          <w:szCs w:val="24"/>
          <w:lang w:val="es-ES"/>
        </w:rPr>
      </w:pPr>
      <w:r>
        <w:rPr>
          <w:rFonts w:ascii="Arial" w:hAnsi="Arial"/>
          <w:szCs w:val="24"/>
        </w:rPr>
        <w:t>También</w:t>
      </w:r>
      <w:r w:rsidR="004B5E8B">
        <w:rPr>
          <w:rFonts w:ascii="Arial" w:hAnsi="Arial"/>
          <w:szCs w:val="24"/>
        </w:rPr>
        <w:t xml:space="preserve">, se remitirán copias con destino a la Procuraduría General de la Nación para que </w:t>
      </w:r>
      <w:r w:rsidR="004B5E8B" w:rsidRPr="0093105D">
        <w:rPr>
          <w:rFonts w:ascii="Arial" w:hAnsi="Arial"/>
          <w:szCs w:val="24"/>
          <w:lang w:val="es-ES"/>
        </w:rPr>
        <w:t xml:space="preserve">investigue las posibles faltas disciplinarias correspondientes a la negligencia u omisión en la tramitación de </w:t>
      </w:r>
      <w:r w:rsidR="004B5E8B">
        <w:rPr>
          <w:rFonts w:ascii="Arial" w:hAnsi="Arial"/>
          <w:szCs w:val="24"/>
          <w:lang w:val="es-ES"/>
        </w:rPr>
        <w:t>las peticiones por parte de la referida dirección. (Artículo</w:t>
      </w:r>
      <w:r w:rsidR="00960217">
        <w:rPr>
          <w:rFonts w:ascii="Arial" w:hAnsi="Arial"/>
          <w:szCs w:val="24"/>
          <w:lang w:val="es-ES"/>
        </w:rPr>
        <w:t>s 14 y</w:t>
      </w:r>
      <w:r w:rsidR="004B5E8B">
        <w:rPr>
          <w:rFonts w:ascii="Arial" w:hAnsi="Arial"/>
          <w:szCs w:val="24"/>
          <w:lang w:val="es-ES"/>
        </w:rPr>
        <w:t xml:space="preserve"> 31, Ley 1755</w:t>
      </w:r>
      <w:r w:rsidR="00960217">
        <w:rPr>
          <w:rFonts w:ascii="Arial" w:hAnsi="Arial"/>
          <w:szCs w:val="24"/>
          <w:lang w:val="es-ES"/>
        </w:rPr>
        <w:t xml:space="preserve"> y 34-24º, Ley 734 CDU</w:t>
      </w:r>
      <w:r w:rsidR="004B5E8B">
        <w:rPr>
          <w:rFonts w:ascii="Arial" w:hAnsi="Arial"/>
          <w:szCs w:val="24"/>
          <w:lang w:val="es-ES"/>
        </w:rPr>
        <w:t>)</w:t>
      </w:r>
    </w:p>
    <w:p w:rsidR="00D0219E" w:rsidRDefault="00D0219E" w:rsidP="00D0219E">
      <w:pPr>
        <w:pStyle w:val="Textoindependiente"/>
        <w:spacing w:line="360" w:lineRule="auto"/>
        <w:rPr>
          <w:rFonts w:ascii="Arial" w:hAnsi="Arial" w:cs="Arial"/>
          <w:szCs w:val="24"/>
        </w:rPr>
      </w:pPr>
    </w:p>
    <w:p w:rsidR="00D0219E" w:rsidRDefault="00D0219E" w:rsidP="00243F39">
      <w:pPr>
        <w:pStyle w:val="Textoindependiente"/>
        <w:numPr>
          <w:ilvl w:val="0"/>
          <w:numId w:val="2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34A6A">
        <w:rPr>
          <w:rFonts w:ascii="Arial" w:hAnsi="Arial" w:cs="Arial"/>
          <w:szCs w:val="24"/>
        </w:rPr>
        <w:t xml:space="preserve">LAS CONCLUSIONES </w:t>
      </w:r>
    </w:p>
    <w:p w:rsidR="00D0219E" w:rsidRDefault="00D0219E" w:rsidP="00D0219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61165D" w:rsidRPr="00951700" w:rsidRDefault="0061165D" w:rsidP="0061165D">
      <w:pPr>
        <w:spacing w:line="360" w:lineRule="auto"/>
        <w:ind w:right="51"/>
        <w:jc w:val="both"/>
        <w:rPr>
          <w:rFonts w:ascii="Arial" w:hAnsi="Arial"/>
        </w:rPr>
      </w:pPr>
      <w:r w:rsidRPr="007B7A69">
        <w:rPr>
          <w:rFonts w:ascii="Arial" w:hAnsi="Arial"/>
        </w:rPr>
        <w:t xml:space="preserve">En armonía con las premisas expuestas en los acápites anteriores: (i) </w:t>
      </w:r>
      <w:r w:rsidR="00D170BC">
        <w:rPr>
          <w:rFonts w:ascii="Arial" w:hAnsi="Arial"/>
        </w:rPr>
        <w:t xml:space="preserve">Se declarará la carencia actual de objeto por el hecho superado con relación a las peticiones radicadas el 07-03-2016 y 01-04-2016, que requerían información sobre las cesantías de la actora y la entrega de certificaciones; (ii) </w:t>
      </w:r>
      <w:r w:rsidR="00FA66E1" w:rsidRPr="007B7A69">
        <w:rPr>
          <w:rFonts w:ascii="Arial" w:hAnsi="Arial"/>
        </w:rPr>
        <w:t xml:space="preserve">Se </w:t>
      </w:r>
      <w:r w:rsidR="00A91AC6" w:rsidRPr="007B7A69">
        <w:rPr>
          <w:rFonts w:ascii="Arial" w:hAnsi="Arial"/>
        </w:rPr>
        <w:t>declarará próspera la pretensión tutelar, para amparar el derecho de petición</w:t>
      </w:r>
      <w:r w:rsidR="00D170BC">
        <w:rPr>
          <w:rFonts w:ascii="Arial" w:hAnsi="Arial"/>
        </w:rPr>
        <w:t xml:space="preserve">, respecto </w:t>
      </w:r>
      <w:r w:rsidR="00960217">
        <w:rPr>
          <w:rFonts w:ascii="Arial" w:hAnsi="Arial"/>
        </w:rPr>
        <w:t xml:space="preserve">a </w:t>
      </w:r>
      <w:r w:rsidR="00D170BC">
        <w:rPr>
          <w:rFonts w:ascii="Arial" w:hAnsi="Arial"/>
        </w:rPr>
        <w:t xml:space="preserve">la </w:t>
      </w:r>
      <w:r w:rsidR="00960217">
        <w:rPr>
          <w:rFonts w:ascii="Arial" w:hAnsi="Arial"/>
        </w:rPr>
        <w:t xml:space="preserve">formulada </w:t>
      </w:r>
      <w:r w:rsidR="00D170BC">
        <w:rPr>
          <w:rFonts w:ascii="Arial" w:hAnsi="Arial"/>
        </w:rPr>
        <w:t xml:space="preserve">el 07-03-2016, </w:t>
      </w:r>
      <w:r w:rsidR="00960217">
        <w:rPr>
          <w:rFonts w:ascii="Arial" w:hAnsi="Arial"/>
        </w:rPr>
        <w:t xml:space="preserve">para que se </w:t>
      </w:r>
      <w:r w:rsidR="00D170BC">
        <w:rPr>
          <w:rFonts w:ascii="Arial" w:hAnsi="Arial"/>
        </w:rPr>
        <w:t>inform</w:t>
      </w:r>
      <w:r w:rsidR="00960217">
        <w:rPr>
          <w:rFonts w:ascii="Arial" w:hAnsi="Arial"/>
        </w:rPr>
        <w:t>e</w:t>
      </w:r>
      <w:r w:rsidR="00D170BC">
        <w:rPr>
          <w:rFonts w:ascii="Arial" w:hAnsi="Arial"/>
        </w:rPr>
        <w:t xml:space="preserve"> </w:t>
      </w:r>
      <w:r w:rsidR="00960217">
        <w:rPr>
          <w:rFonts w:ascii="Arial" w:hAnsi="Arial"/>
        </w:rPr>
        <w:t xml:space="preserve">sobre el </w:t>
      </w:r>
      <w:r w:rsidR="00D170BC">
        <w:rPr>
          <w:rFonts w:ascii="Arial" w:hAnsi="Arial"/>
        </w:rPr>
        <w:t>pago de aportes en pensión;</w:t>
      </w:r>
      <w:r w:rsidR="00A91AC6" w:rsidRPr="007B7A69">
        <w:rPr>
          <w:rFonts w:ascii="Arial" w:hAnsi="Arial"/>
        </w:rPr>
        <w:t xml:space="preserve"> </w:t>
      </w:r>
      <w:r w:rsidR="00FA66E1" w:rsidRPr="007B7A69">
        <w:rPr>
          <w:rFonts w:ascii="Arial" w:hAnsi="Arial"/>
        </w:rPr>
        <w:t>(i</w:t>
      </w:r>
      <w:r w:rsidR="00D170BC">
        <w:rPr>
          <w:rFonts w:ascii="Arial" w:hAnsi="Arial"/>
        </w:rPr>
        <w:t>i</w:t>
      </w:r>
      <w:r w:rsidR="00FA66E1" w:rsidRPr="007B7A69">
        <w:rPr>
          <w:rFonts w:ascii="Arial" w:hAnsi="Arial"/>
        </w:rPr>
        <w:t xml:space="preserve">i) Se </w:t>
      </w:r>
      <w:r w:rsidR="00A91AC6" w:rsidRPr="007B7A69">
        <w:rPr>
          <w:rFonts w:ascii="Arial" w:hAnsi="Arial"/>
        </w:rPr>
        <w:t>expedirán las órdenes necesarias para su protección</w:t>
      </w:r>
      <w:r w:rsidR="004B5E8B">
        <w:rPr>
          <w:rFonts w:ascii="Arial" w:hAnsi="Arial"/>
        </w:rPr>
        <w:t>;</w:t>
      </w:r>
      <w:r w:rsidR="00184BA4">
        <w:rPr>
          <w:rFonts w:ascii="Arial" w:hAnsi="Arial"/>
        </w:rPr>
        <w:t xml:space="preserve"> (i</w:t>
      </w:r>
      <w:r w:rsidR="00D170BC">
        <w:rPr>
          <w:rFonts w:ascii="Arial" w:hAnsi="Arial"/>
        </w:rPr>
        <w:t>v</w:t>
      </w:r>
      <w:r w:rsidR="00184BA4">
        <w:rPr>
          <w:rFonts w:ascii="Arial" w:hAnsi="Arial"/>
        </w:rPr>
        <w:t>) Se negará el amparo frente a la litisconsorte vinculada</w:t>
      </w:r>
      <w:r w:rsidR="004B5E8B">
        <w:rPr>
          <w:rFonts w:ascii="Arial" w:hAnsi="Arial"/>
        </w:rPr>
        <w:t>; y, (v) Se remitirán copias con destino a la Procuraduría General de la Nación a efectos de que adelante la investigación disciplinaria respectiva</w:t>
      </w:r>
      <w:r w:rsidR="00A91AC6" w:rsidRPr="007B7A69">
        <w:rPr>
          <w:rFonts w:ascii="Arial" w:hAnsi="Arial"/>
        </w:rPr>
        <w:t>.</w:t>
      </w:r>
      <w:r w:rsidR="00A91AC6">
        <w:rPr>
          <w:rFonts w:ascii="Arial" w:hAnsi="Arial"/>
        </w:rPr>
        <w:t xml:space="preserve"> </w:t>
      </w:r>
      <w:r>
        <w:rPr>
          <w:rFonts w:ascii="Arial" w:hAnsi="Arial"/>
        </w:rPr>
        <w:t xml:space="preserve"> </w:t>
      </w:r>
    </w:p>
    <w:p w:rsidR="00652C81" w:rsidRDefault="00652C81" w:rsidP="00652C81">
      <w:pPr>
        <w:tabs>
          <w:tab w:val="left" w:pos="-720"/>
        </w:tabs>
        <w:suppressAutoHyphens/>
        <w:spacing w:line="360" w:lineRule="auto"/>
        <w:jc w:val="both"/>
        <w:rPr>
          <w:rFonts w:ascii="Arial" w:hAnsi="Arial" w:cs="Arial"/>
        </w:rPr>
      </w:pPr>
    </w:p>
    <w:p w:rsidR="00652C81" w:rsidRDefault="00652C81" w:rsidP="00652C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652C81" w:rsidRDefault="00652C81" w:rsidP="00652C81">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A L L A</w:t>
      </w:r>
      <w:r w:rsidRPr="004D0D02">
        <w:rPr>
          <w:rFonts w:ascii="Arial" w:hAnsi="Arial" w:cs="Arial"/>
          <w:bCs/>
          <w:smallCaps/>
          <w:szCs w:val="22"/>
        </w:rPr>
        <w:t>,</w:t>
      </w:r>
    </w:p>
    <w:p w:rsidR="00652C81" w:rsidRPr="00FA66E1" w:rsidRDefault="00652C81" w:rsidP="00652C81">
      <w:pPr>
        <w:pStyle w:val="Textoindependiente"/>
        <w:spacing w:line="360" w:lineRule="auto"/>
        <w:jc w:val="center"/>
        <w:rPr>
          <w:rFonts w:ascii="Arial" w:hAnsi="Arial" w:cs="Arial"/>
          <w:bCs/>
          <w:smallCaps/>
          <w:sz w:val="18"/>
          <w:szCs w:val="22"/>
        </w:rPr>
      </w:pPr>
    </w:p>
    <w:p w:rsidR="00D170BC" w:rsidRDefault="00D170BC" w:rsidP="00652C81">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DECLARAR la carencia actual de objeto por el hecho superado, respecto de los derechos de petición datados </w:t>
      </w:r>
      <w:r w:rsidR="00960217">
        <w:rPr>
          <w:rFonts w:ascii="Arial" w:hAnsi="Arial"/>
          <w:szCs w:val="24"/>
        </w:rPr>
        <w:t xml:space="preserve">el </w:t>
      </w:r>
      <w:r>
        <w:rPr>
          <w:rFonts w:ascii="Arial" w:hAnsi="Arial"/>
          <w:szCs w:val="24"/>
        </w:rPr>
        <w:t xml:space="preserve">07-03-2016 y </w:t>
      </w:r>
      <w:r w:rsidR="00960217">
        <w:rPr>
          <w:rFonts w:ascii="Arial" w:hAnsi="Arial"/>
          <w:szCs w:val="24"/>
        </w:rPr>
        <w:t xml:space="preserve">el </w:t>
      </w:r>
      <w:r>
        <w:rPr>
          <w:rFonts w:ascii="Arial" w:hAnsi="Arial"/>
          <w:szCs w:val="24"/>
        </w:rPr>
        <w:t>01-04-2016.</w:t>
      </w:r>
    </w:p>
    <w:p w:rsidR="00D170BC" w:rsidRDefault="00D170BC" w:rsidP="00D170BC">
      <w:pPr>
        <w:pStyle w:val="Textoindependiente"/>
        <w:tabs>
          <w:tab w:val="clear" w:pos="708"/>
        </w:tabs>
        <w:spacing w:line="360" w:lineRule="auto"/>
        <w:ind w:left="360"/>
        <w:rPr>
          <w:rFonts w:ascii="Arial" w:hAnsi="Arial"/>
          <w:szCs w:val="24"/>
        </w:rPr>
      </w:pPr>
    </w:p>
    <w:p w:rsidR="00652C81"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 xml:space="preserve">TUTELAR el derecho de petición </w:t>
      </w:r>
      <w:r w:rsidR="00184BA4">
        <w:rPr>
          <w:rFonts w:ascii="Arial" w:hAnsi="Arial"/>
          <w:szCs w:val="24"/>
        </w:rPr>
        <w:t>de la señora María Helena Supanteve Rincón</w:t>
      </w:r>
      <w:r>
        <w:rPr>
          <w:rFonts w:ascii="Arial" w:hAnsi="Arial"/>
        </w:rPr>
        <w:t>,</w:t>
      </w:r>
      <w:r w:rsidRPr="00B77970">
        <w:rPr>
          <w:rFonts w:ascii="Arial" w:hAnsi="Arial"/>
          <w:szCs w:val="24"/>
        </w:rPr>
        <w:t xml:space="preserve"> </w:t>
      </w:r>
      <w:r w:rsidR="00991E87">
        <w:rPr>
          <w:rFonts w:ascii="Arial" w:hAnsi="Arial"/>
          <w:szCs w:val="24"/>
        </w:rPr>
        <w:t>fechado el 07-03-2016, atinente a</w:t>
      </w:r>
      <w:r w:rsidR="00991E87">
        <w:rPr>
          <w:rFonts w:ascii="Arial" w:hAnsi="Arial"/>
        </w:rPr>
        <w:t>l pago de aportes en pensión</w:t>
      </w:r>
      <w:r w:rsidRPr="00B77970">
        <w:rPr>
          <w:rFonts w:ascii="Arial" w:hAnsi="Arial"/>
          <w:szCs w:val="24"/>
        </w:rPr>
        <w:t>.</w:t>
      </w:r>
    </w:p>
    <w:p w:rsidR="00652C81" w:rsidRPr="00B77970" w:rsidRDefault="00652C81" w:rsidP="00652C81">
      <w:pPr>
        <w:pStyle w:val="Textoindependiente"/>
        <w:tabs>
          <w:tab w:val="clear" w:pos="708"/>
        </w:tabs>
        <w:spacing w:line="360" w:lineRule="auto"/>
        <w:ind w:left="360"/>
        <w:rPr>
          <w:rFonts w:ascii="Arial" w:hAnsi="Arial"/>
          <w:szCs w:val="24"/>
        </w:rPr>
      </w:pPr>
    </w:p>
    <w:p w:rsidR="00184BA4" w:rsidRDefault="00233E8D" w:rsidP="00184BA4">
      <w:pPr>
        <w:pStyle w:val="Textoindependiente"/>
        <w:numPr>
          <w:ilvl w:val="0"/>
          <w:numId w:val="6"/>
        </w:numPr>
        <w:tabs>
          <w:tab w:val="clear" w:pos="720"/>
          <w:tab w:val="num" w:pos="360"/>
        </w:tabs>
        <w:spacing w:line="360" w:lineRule="auto"/>
        <w:ind w:left="360"/>
        <w:rPr>
          <w:rFonts w:ascii="Arial" w:hAnsi="Arial"/>
          <w:szCs w:val="24"/>
        </w:rPr>
      </w:pPr>
      <w:r w:rsidRPr="00184BA4">
        <w:rPr>
          <w:rFonts w:ascii="Arial" w:hAnsi="Arial"/>
          <w:szCs w:val="24"/>
        </w:rPr>
        <w:t xml:space="preserve">ORDENAR, en consecuencia, </w:t>
      </w:r>
      <w:r w:rsidR="00184BA4" w:rsidRPr="00184BA4">
        <w:rPr>
          <w:rFonts w:ascii="Arial" w:hAnsi="Arial"/>
          <w:szCs w:val="24"/>
        </w:rPr>
        <w:t xml:space="preserve">al doctor </w:t>
      </w:r>
      <w:r w:rsidR="00184BA4" w:rsidRPr="00184BA4">
        <w:rPr>
          <w:rFonts w:ascii="Arial" w:hAnsi="Arial"/>
          <w:bCs/>
          <w:szCs w:val="24"/>
          <w:lang w:val="es-ES"/>
        </w:rPr>
        <w:t>Re</w:t>
      </w:r>
      <w:r w:rsidR="00D170BC">
        <w:rPr>
          <w:rFonts w:ascii="Arial" w:hAnsi="Arial"/>
          <w:bCs/>
          <w:szCs w:val="24"/>
          <w:lang w:val="es-ES"/>
        </w:rPr>
        <w:t>i</w:t>
      </w:r>
      <w:r w:rsidR="00184BA4" w:rsidRPr="00184BA4">
        <w:rPr>
          <w:rFonts w:ascii="Arial" w:hAnsi="Arial"/>
          <w:bCs/>
          <w:szCs w:val="24"/>
          <w:lang w:val="es-ES"/>
        </w:rPr>
        <w:t xml:space="preserve">naldo Jaime González, en su condición de </w:t>
      </w:r>
      <w:r w:rsidR="00184BA4" w:rsidRPr="00184BA4">
        <w:rPr>
          <w:rFonts w:ascii="Arial" w:hAnsi="Arial"/>
        </w:rPr>
        <w:t xml:space="preserve">Director </w:t>
      </w:r>
      <w:r w:rsidR="00026A18">
        <w:rPr>
          <w:rFonts w:ascii="Arial" w:hAnsi="Arial"/>
        </w:rPr>
        <w:t xml:space="preserve">Ejecutivo Seccional </w:t>
      </w:r>
      <w:r w:rsidR="00184BA4" w:rsidRPr="00184BA4">
        <w:rPr>
          <w:rFonts w:ascii="Arial" w:hAnsi="Arial"/>
        </w:rPr>
        <w:t xml:space="preserve">de Administración Judicial de </w:t>
      </w:r>
      <w:r w:rsidR="00026A18">
        <w:rPr>
          <w:rFonts w:ascii="Arial" w:hAnsi="Arial"/>
        </w:rPr>
        <w:t>Tunja</w:t>
      </w:r>
      <w:r w:rsidR="00184BA4" w:rsidRPr="00184BA4">
        <w:rPr>
          <w:rFonts w:ascii="Arial" w:hAnsi="Arial"/>
        </w:rPr>
        <w:t xml:space="preserve">, o quien haga sus veces, </w:t>
      </w:r>
      <w:r w:rsidRPr="00184BA4">
        <w:rPr>
          <w:rFonts w:ascii="Arial" w:hAnsi="Arial"/>
        </w:rPr>
        <w:t xml:space="preserve">en el perentorio término de cuarenta y ocho (48) horas siguientes a la notificación de esta sentencia, </w:t>
      </w:r>
      <w:r w:rsidR="00184BA4" w:rsidRPr="00667E9D">
        <w:rPr>
          <w:rFonts w:ascii="Arial" w:hAnsi="Arial"/>
        </w:rPr>
        <w:t xml:space="preserve">conteste </w:t>
      </w:r>
      <w:r w:rsidR="00184BA4">
        <w:rPr>
          <w:rFonts w:ascii="Arial" w:hAnsi="Arial"/>
        </w:rPr>
        <w:t xml:space="preserve">a la </w:t>
      </w:r>
      <w:r w:rsidR="00184BA4" w:rsidRPr="00667E9D">
        <w:rPr>
          <w:rFonts w:ascii="Arial" w:hAnsi="Arial"/>
        </w:rPr>
        <w:t>accionante la</w:t>
      </w:r>
      <w:r w:rsidR="00184BA4">
        <w:rPr>
          <w:rFonts w:ascii="Arial" w:hAnsi="Arial"/>
        </w:rPr>
        <w:t xml:space="preserve"> </w:t>
      </w:r>
      <w:r w:rsidR="00D170BC">
        <w:rPr>
          <w:rFonts w:ascii="Arial" w:hAnsi="Arial"/>
        </w:rPr>
        <w:t>petición radicada</w:t>
      </w:r>
      <w:r w:rsidR="00184BA4">
        <w:rPr>
          <w:rFonts w:ascii="Arial" w:hAnsi="Arial"/>
        </w:rPr>
        <w:t xml:space="preserve"> </w:t>
      </w:r>
      <w:r w:rsidR="00D170BC">
        <w:rPr>
          <w:rFonts w:ascii="Arial" w:hAnsi="Arial"/>
        </w:rPr>
        <w:t>el día</w:t>
      </w:r>
      <w:r w:rsidR="00184BA4">
        <w:rPr>
          <w:rFonts w:ascii="Arial" w:hAnsi="Arial"/>
        </w:rPr>
        <w:t xml:space="preserve"> 07-03-2016</w:t>
      </w:r>
      <w:r w:rsidR="00D170BC">
        <w:rPr>
          <w:rFonts w:ascii="Arial" w:hAnsi="Arial"/>
        </w:rPr>
        <w:t>, referente a los pagos de los aportes en pensión</w:t>
      </w:r>
      <w:r w:rsidR="00184BA4">
        <w:rPr>
          <w:rFonts w:ascii="Arial" w:hAnsi="Arial"/>
        </w:rPr>
        <w:t>, así: (a) Decidiendo de fondo el asunto; (b) Expresando en forma clara los motivos y la decisión; (c) Cuidando la coherencia; y, (d) Comunicando oportunamente al solicitante, de tal forma que no queden incertidumbres sobre la decisión.</w:t>
      </w:r>
    </w:p>
    <w:p w:rsidR="00233E8D" w:rsidRPr="00184BA4" w:rsidRDefault="00233E8D" w:rsidP="00184BA4">
      <w:pPr>
        <w:pStyle w:val="Textoindependiente"/>
        <w:tabs>
          <w:tab w:val="clear" w:pos="708"/>
        </w:tabs>
        <w:spacing w:line="360" w:lineRule="auto"/>
        <w:ind w:left="360"/>
        <w:rPr>
          <w:rFonts w:ascii="Arial" w:hAnsi="Arial"/>
          <w:szCs w:val="24"/>
        </w:rPr>
      </w:pPr>
    </w:p>
    <w:p w:rsidR="00652C81"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ADVERTIR expresamente </w:t>
      </w:r>
      <w:r w:rsidR="00184BA4">
        <w:rPr>
          <w:rFonts w:ascii="Arial" w:hAnsi="Arial"/>
          <w:szCs w:val="24"/>
        </w:rPr>
        <w:t xml:space="preserve">al </w:t>
      </w:r>
      <w:r w:rsidR="00184BA4" w:rsidRPr="00184BA4">
        <w:rPr>
          <w:rFonts w:ascii="Arial" w:hAnsi="Arial"/>
        </w:rPr>
        <w:t xml:space="preserve">Director </w:t>
      </w:r>
      <w:r w:rsidR="00026A18">
        <w:rPr>
          <w:rFonts w:ascii="Arial" w:hAnsi="Arial"/>
        </w:rPr>
        <w:t xml:space="preserve">Ejecutivo Seccional </w:t>
      </w:r>
      <w:r w:rsidR="00026A18" w:rsidRPr="00184BA4">
        <w:rPr>
          <w:rFonts w:ascii="Arial" w:hAnsi="Arial"/>
        </w:rPr>
        <w:t xml:space="preserve">de Administración Judicial de </w:t>
      </w:r>
      <w:r w:rsidR="00026A18">
        <w:rPr>
          <w:rFonts w:ascii="Arial" w:hAnsi="Arial"/>
        </w:rPr>
        <w:t>Tunja</w:t>
      </w:r>
      <w:r>
        <w:rPr>
          <w:rFonts w:ascii="Arial" w:hAnsi="Arial"/>
          <w:szCs w:val="24"/>
        </w:rPr>
        <w:t xml:space="preserve">, que el incumplimiento a </w:t>
      </w:r>
      <w:r w:rsidR="00184BA4">
        <w:rPr>
          <w:rFonts w:ascii="Arial" w:hAnsi="Arial"/>
          <w:szCs w:val="24"/>
        </w:rPr>
        <w:t>la orden impartida en esta decisión, se sanciona</w:t>
      </w:r>
      <w:r>
        <w:rPr>
          <w:rFonts w:ascii="Arial" w:hAnsi="Arial"/>
          <w:szCs w:val="24"/>
        </w:rPr>
        <w:t xml:space="preserve"> con arresto y multa, previo incidente ante esta Sala. </w:t>
      </w:r>
    </w:p>
    <w:p w:rsidR="00184BA4" w:rsidRPr="00D170BC" w:rsidRDefault="00184BA4" w:rsidP="00184BA4">
      <w:pPr>
        <w:pStyle w:val="Prrafodelista"/>
        <w:rPr>
          <w:rFonts w:ascii="Arial" w:hAnsi="Arial"/>
          <w:lang w:val="es-CO"/>
        </w:rPr>
      </w:pPr>
    </w:p>
    <w:p w:rsidR="004B5E8B" w:rsidRDefault="00184BA4" w:rsidP="004B5E8B">
      <w:pPr>
        <w:pStyle w:val="Textoindependiente"/>
        <w:numPr>
          <w:ilvl w:val="0"/>
          <w:numId w:val="6"/>
        </w:numPr>
        <w:tabs>
          <w:tab w:val="clear" w:pos="720"/>
          <w:tab w:val="num" w:pos="360"/>
        </w:tabs>
        <w:spacing w:line="360" w:lineRule="auto"/>
        <w:ind w:left="360"/>
        <w:rPr>
          <w:rFonts w:ascii="Arial" w:hAnsi="Arial"/>
          <w:szCs w:val="24"/>
        </w:rPr>
      </w:pPr>
      <w:r>
        <w:rPr>
          <w:rFonts w:ascii="Arial" w:hAnsi="Arial" w:cs="Arial"/>
        </w:rPr>
        <w:t>NE</w:t>
      </w:r>
      <w:r w:rsidRPr="003E16E4">
        <w:rPr>
          <w:rFonts w:ascii="Arial" w:hAnsi="Arial" w:cs="Arial"/>
        </w:rPr>
        <w:t xml:space="preserve">GAR </w:t>
      </w:r>
      <w:r w:rsidRPr="003E16E4">
        <w:rPr>
          <w:rFonts w:ascii="Arial" w:hAnsi="Arial" w:cs="Arial"/>
          <w:szCs w:val="24"/>
        </w:rPr>
        <w:t xml:space="preserve">la acción de tutela frente </w:t>
      </w:r>
      <w:r>
        <w:rPr>
          <w:rFonts w:ascii="Arial" w:hAnsi="Arial" w:cs="Arial"/>
          <w:szCs w:val="24"/>
        </w:rPr>
        <w:t xml:space="preserve">al Área </w:t>
      </w:r>
      <w:r w:rsidR="004B5E8B">
        <w:rPr>
          <w:rFonts w:ascii="Arial" w:hAnsi="Arial" w:cs="Arial"/>
          <w:szCs w:val="24"/>
        </w:rPr>
        <w:t>de Talento Humano de la DE</w:t>
      </w:r>
      <w:r w:rsidR="00026A18">
        <w:rPr>
          <w:rFonts w:ascii="Arial" w:hAnsi="Arial" w:cs="Arial"/>
          <w:szCs w:val="24"/>
        </w:rPr>
        <w:t>S</w:t>
      </w:r>
      <w:r w:rsidR="004B5E8B">
        <w:rPr>
          <w:rFonts w:ascii="Arial" w:hAnsi="Arial" w:cs="Arial"/>
          <w:szCs w:val="24"/>
        </w:rPr>
        <w:t xml:space="preserve">AJ </w:t>
      </w:r>
      <w:r w:rsidR="00026A18">
        <w:rPr>
          <w:rFonts w:ascii="Arial" w:hAnsi="Arial" w:cs="Arial"/>
          <w:szCs w:val="24"/>
        </w:rPr>
        <w:t>de Tunja</w:t>
      </w:r>
      <w:r w:rsidRPr="003E16E4">
        <w:rPr>
          <w:rFonts w:ascii="Arial" w:hAnsi="Arial" w:cs="Arial"/>
          <w:spacing w:val="3"/>
          <w:szCs w:val="24"/>
        </w:rPr>
        <w:t>;</w:t>
      </w:r>
      <w:r w:rsidRPr="003E16E4">
        <w:rPr>
          <w:rFonts w:ascii="Arial" w:hAnsi="Arial" w:cs="Arial"/>
          <w:szCs w:val="24"/>
        </w:rPr>
        <w:t xml:space="preserve"> por inexistencia de violación o amenaza a los derechos invocados.</w:t>
      </w:r>
    </w:p>
    <w:p w:rsidR="004B5E8B" w:rsidRDefault="004B5E8B" w:rsidP="004B5E8B">
      <w:pPr>
        <w:pStyle w:val="Prrafodelista"/>
        <w:rPr>
          <w:rFonts w:ascii="Arial" w:hAnsi="Arial" w:cs="Arial"/>
          <w:bCs/>
          <w:bdr w:val="none" w:sz="0" w:space="0" w:color="auto" w:frame="1"/>
          <w:shd w:val="clear" w:color="auto" w:fill="FFFFFF"/>
        </w:rPr>
      </w:pPr>
    </w:p>
    <w:p w:rsidR="004B5E8B" w:rsidRPr="004B5E8B" w:rsidRDefault="004B5E8B" w:rsidP="004B5E8B">
      <w:pPr>
        <w:pStyle w:val="Textoindependiente"/>
        <w:numPr>
          <w:ilvl w:val="0"/>
          <w:numId w:val="6"/>
        </w:numPr>
        <w:tabs>
          <w:tab w:val="clear" w:pos="720"/>
          <w:tab w:val="num" w:pos="360"/>
        </w:tabs>
        <w:spacing w:line="360" w:lineRule="auto"/>
        <w:ind w:left="360"/>
        <w:rPr>
          <w:rFonts w:ascii="Arial" w:hAnsi="Arial"/>
          <w:szCs w:val="24"/>
        </w:rPr>
      </w:pPr>
      <w:r w:rsidRPr="004B5E8B">
        <w:rPr>
          <w:rFonts w:ascii="Arial" w:hAnsi="Arial" w:cs="Arial"/>
          <w:bCs/>
          <w:spacing w:val="0"/>
          <w:szCs w:val="24"/>
          <w:bdr w:val="none" w:sz="0" w:space="0" w:color="auto" w:frame="1"/>
          <w:shd w:val="clear" w:color="auto" w:fill="FFFFFF"/>
          <w:lang w:val="es-ES"/>
        </w:rPr>
        <w:t>REMITIR</w:t>
      </w:r>
      <w:r w:rsidRPr="004B5E8B">
        <w:rPr>
          <w:rFonts w:ascii="Arial" w:hAnsi="Arial" w:cs="Arial"/>
          <w:b/>
          <w:bCs/>
          <w:spacing w:val="0"/>
          <w:szCs w:val="24"/>
          <w:bdr w:val="none" w:sz="0" w:space="0" w:color="auto" w:frame="1"/>
          <w:shd w:val="clear" w:color="auto" w:fill="FFFFFF"/>
          <w:lang w:val="es-ES"/>
        </w:rPr>
        <w:t> </w:t>
      </w:r>
      <w:r w:rsidRPr="004B5E8B">
        <w:rPr>
          <w:rFonts w:ascii="Arial" w:hAnsi="Arial" w:cs="Arial"/>
          <w:spacing w:val="0"/>
          <w:szCs w:val="24"/>
          <w:shd w:val="clear" w:color="auto" w:fill="FFFFFF"/>
          <w:lang w:val="es-ES"/>
        </w:rPr>
        <w:t xml:space="preserve">copias de </w:t>
      </w:r>
      <w:r w:rsidR="00903865">
        <w:rPr>
          <w:rFonts w:ascii="Arial" w:hAnsi="Arial" w:cs="Arial"/>
          <w:spacing w:val="0"/>
          <w:szCs w:val="24"/>
          <w:shd w:val="clear" w:color="auto" w:fill="FFFFFF"/>
          <w:lang w:val="es-ES"/>
        </w:rPr>
        <w:t xml:space="preserve">esta </w:t>
      </w:r>
      <w:r w:rsidRPr="004B5E8B">
        <w:rPr>
          <w:rFonts w:ascii="Arial" w:hAnsi="Arial" w:cs="Arial"/>
          <w:spacing w:val="0"/>
          <w:szCs w:val="24"/>
          <w:shd w:val="clear" w:color="auto" w:fill="FFFFFF"/>
          <w:lang w:val="es-ES"/>
        </w:rPr>
        <w:t>decisión a la Procuraduría General de la Nación para que investigue las posibles faltas disciplinarias</w:t>
      </w:r>
      <w:r w:rsidR="00903865">
        <w:rPr>
          <w:rFonts w:ascii="Arial" w:hAnsi="Arial" w:cs="Arial"/>
          <w:spacing w:val="0"/>
          <w:szCs w:val="24"/>
          <w:shd w:val="clear" w:color="auto" w:fill="FFFFFF"/>
          <w:lang w:val="es-ES"/>
        </w:rPr>
        <w:t xml:space="preserve"> en que pudiera haber incurrido la DESAJ </w:t>
      </w:r>
      <w:r w:rsidR="00903865">
        <w:rPr>
          <w:rFonts w:ascii="Arial" w:hAnsi="Arial"/>
          <w:szCs w:val="24"/>
        </w:rPr>
        <w:t>de Tunja,</w:t>
      </w:r>
      <w:r w:rsidRPr="004B5E8B">
        <w:rPr>
          <w:rFonts w:ascii="Arial" w:hAnsi="Arial" w:cs="Arial"/>
          <w:spacing w:val="0"/>
          <w:szCs w:val="24"/>
          <w:shd w:val="clear" w:color="auto" w:fill="FFFFFF"/>
          <w:lang w:val="es-ES"/>
        </w:rPr>
        <w:t xml:space="preserve"> </w:t>
      </w:r>
      <w:r w:rsidR="00903865">
        <w:rPr>
          <w:rFonts w:ascii="Arial" w:hAnsi="Arial" w:cs="Arial"/>
          <w:spacing w:val="0"/>
          <w:szCs w:val="24"/>
          <w:shd w:val="clear" w:color="auto" w:fill="FFFFFF"/>
          <w:lang w:val="es-ES"/>
        </w:rPr>
        <w:t xml:space="preserve">por las irregularidades </w:t>
      </w:r>
      <w:r w:rsidRPr="004B5E8B">
        <w:rPr>
          <w:rFonts w:ascii="Arial" w:hAnsi="Arial" w:cs="Arial"/>
          <w:spacing w:val="0"/>
          <w:szCs w:val="24"/>
          <w:shd w:val="clear" w:color="auto" w:fill="FFFFFF"/>
          <w:lang w:val="es-ES"/>
        </w:rPr>
        <w:t xml:space="preserve">en la tramitación </w:t>
      </w:r>
      <w:r>
        <w:rPr>
          <w:rFonts w:ascii="Arial" w:hAnsi="Arial" w:cs="Arial"/>
          <w:spacing w:val="0"/>
          <w:szCs w:val="24"/>
          <w:shd w:val="clear" w:color="auto" w:fill="FFFFFF"/>
          <w:lang w:val="es-ES"/>
        </w:rPr>
        <w:t xml:space="preserve">de los </w:t>
      </w:r>
      <w:r w:rsidR="00903865">
        <w:rPr>
          <w:rFonts w:ascii="Arial" w:hAnsi="Arial" w:cs="Arial"/>
          <w:spacing w:val="0"/>
          <w:szCs w:val="24"/>
          <w:shd w:val="clear" w:color="auto" w:fill="FFFFFF"/>
          <w:lang w:val="es-ES"/>
        </w:rPr>
        <w:t>pedimentos aquí revisados</w:t>
      </w:r>
      <w:r w:rsidRPr="004B5E8B">
        <w:rPr>
          <w:rFonts w:ascii="Arial" w:hAnsi="Arial" w:cs="Arial"/>
          <w:spacing w:val="0"/>
          <w:szCs w:val="24"/>
          <w:shd w:val="clear" w:color="auto" w:fill="FFFFFF"/>
          <w:lang w:val="es-ES"/>
        </w:rPr>
        <w:t>.</w:t>
      </w:r>
    </w:p>
    <w:p w:rsidR="00652C81" w:rsidRPr="00184BA4" w:rsidRDefault="00652C81" w:rsidP="00184BA4">
      <w:pPr>
        <w:rPr>
          <w:rFonts w:ascii="Arial" w:hAnsi="Arial"/>
          <w:lang w:val="es-CO"/>
        </w:rPr>
      </w:pPr>
    </w:p>
    <w:p w:rsidR="00652C81" w:rsidRPr="00B77970"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652C81" w:rsidRPr="004B5E8B" w:rsidRDefault="00652C81" w:rsidP="00652C81">
      <w:pPr>
        <w:pStyle w:val="Textoindependiente"/>
        <w:tabs>
          <w:tab w:val="clear" w:pos="708"/>
        </w:tabs>
        <w:spacing w:line="360" w:lineRule="auto"/>
        <w:ind w:left="360"/>
        <w:rPr>
          <w:rFonts w:ascii="Arial" w:hAnsi="Arial"/>
          <w:szCs w:val="24"/>
          <w:lang w:val="es-CO"/>
        </w:rPr>
      </w:pPr>
    </w:p>
    <w:p w:rsidR="00652C81" w:rsidRPr="00B77970"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652C81" w:rsidRPr="00B77970" w:rsidRDefault="00652C81" w:rsidP="00652C81">
      <w:pPr>
        <w:pStyle w:val="Textoindependiente"/>
        <w:tabs>
          <w:tab w:val="clear" w:pos="708"/>
        </w:tabs>
        <w:spacing w:line="360" w:lineRule="auto"/>
        <w:rPr>
          <w:rFonts w:ascii="Arial" w:hAnsi="Arial"/>
          <w:szCs w:val="24"/>
        </w:rPr>
      </w:pPr>
    </w:p>
    <w:p w:rsidR="00652C81" w:rsidRPr="00B77970"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 xml:space="preserve">ARCHIVAR el expediente, previas anotaciones en los libros radicadores, una vez agotado el trámite ante la Corte Constitucional. </w:t>
      </w:r>
    </w:p>
    <w:p w:rsidR="00984EE4" w:rsidRPr="00814BCC" w:rsidRDefault="00984EE4" w:rsidP="00126266">
      <w:pPr>
        <w:pStyle w:val="Textoindependiente"/>
        <w:spacing w:line="360" w:lineRule="auto"/>
        <w:jc w:val="center"/>
        <w:rPr>
          <w:rFonts w:ascii="Arial" w:hAnsi="Arial"/>
          <w:smallCaps/>
          <w:sz w:val="20"/>
          <w:szCs w:val="24"/>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5900E8" w:rsidRPr="0024698E" w:rsidRDefault="005900E8" w:rsidP="00C641FE">
      <w:pPr>
        <w:pStyle w:val="Textoindependiente"/>
        <w:spacing w:line="360" w:lineRule="auto"/>
        <w:jc w:val="center"/>
        <w:rPr>
          <w:rFonts w:ascii="Arial" w:hAnsi="Arial" w:cs="Arial"/>
          <w:i/>
          <w:w w:val="150"/>
          <w:sz w:val="28"/>
          <w:szCs w:val="24"/>
        </w:rPr>
      </w:pPr>
    </w:p>
    <w:p w:rsidR="00D0219E" w:rsidRPr="00F66344" w:rsidRDefault="00D0219E" w:rsidP="00C641FE">
      <w:pPr>
        <w:pStyle w:val="Textoindependiente"/>
        <w:spacing w:line="360" w:lineRule="auto"/>
        <w:jc w:val="center"/>
        <w:rPr>
          <w:rFonts w:ascii="Arial" w:hAnsi="Arial" w:cs="Arial"/>
          <w:i/>
          <w:w w:val="150"/>
          <w:szCs w:val="24"/>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D0219E" w:rsidRPr="0024698E" w:rsidRDefault="00D0219E"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0219E" w:rsidRPr="0024698E" w:rsidRDefault="00D0219E"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24698E"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026A18" w:rsidRPr="00026A18" w:rsidRDefault="00026A18" w:rsidP="00026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6A18">
        <w:rPr>
          <w:rFonts w:ascii="Arial" w:hAnsi="Arial"/>
          <w:i/>
          <w:w w:val="150"/>
          <w:sz w:val="28"/>
          <w:szCs w:val="18"/>
          <w:lang w:val="es-ES_tradnl"/>
        </w:rPr>
        <w:t>E</w:t>
      </w:r>
      <w:r w:rsidRPr="00026A18">
        <w:rPr>
          <w:rFonts w:ascii="Arial" w:hAnsi="Arial"/>
          <w:i/>
          <w:w w:val="150"/>
          <w:sz w:val="18"/>
          <w:szCs w:val="18"/>
          <w:lang w:val="es-ES_tradnl"/>
        </w:rPr>
        <w:t>DDER</w:t>
      </w:r>
      <w:r w:rsidRPr="00026A18">
        <w:rPr>
          <w:rFonts w:ascii="Arial" w:hAnsi="Arial"/>
          <w:i/>
          <w:w w:val="150"/>
          <w:sz w:val="18"/>
          <w:lang w:val="es-ES_tradnl"/>
        </w:rPr>
        <w:t xml:space="preserve"> </w:t>
      </w:r>
      <w:r w:rsidRPr="00026A18">
        <w:rPr>
          <w:rFonts w:ascii="Arial" w:hAnsi="Arial"/>
          <w:i/>
          <w:w w:val="150"/>
          <w:sz w:val="28"/>
          <w:lang w:val="es-ES_tradnl"/>
        </w:rPr>
        <w:t>J</w:t>
      </w:r>
      <w:r w:rsidRPr="00026A18">
        <w:rPr>
          <w:rFonts w:ascii="Arial" w:hAnsi="Arial"/>
          <w:i/>
          <w:w w:val="150"/>
          <w:sz w:val="18"/>
          <w:szCs w:val="18"/>
          <w:lang w:val="es-ES_tradnl"/>
        </w:rPr>
        <w:t xml:space="preserve">IMMY </w:t>
      </w:r>
      <w:r w:rsidRPr="00026A18">
        <w:rPr>
          <w:rFonts w:ascii="Arial" w:hAnsi="Arial"/>
          <w:i/>
          <w:w w:val="150"/>
          <w:sz w:val="28"/>
          <w:lang w:val="es-ES_tradnl"/>
        </w:rPr>
        <w:t>S</w:t>
      </w:r>
      <w:r w:rsidRPr="00026A18">
        <w:rPr>
          <w:rFonts w:ascii="Arial" w:hAnsi="Arial"/>
          <w:i/>
          <w:w w:val="150"/>
          <w:sz w:val="18"/>
          <w:szCs w:val="18"/>
          <w:lang w:val="es-ES_tradnl"/>
        </w:rPr>
        <w:t xml:space="preserve">ÁNCHEZ </w:t>
      </w:r>
      <w:r w:rsidRPr="00026A18">
        <w:rPr>
          <w:rFonts w:ascii="Arial" w:hAnsi="Arial"/>
          <w:i/>
          <w:w w:val="150"/>
          <w:sz w:val="28"/>
          <w:szCs w:val="18"/>
          <w:lang w:val="es-ES_tradnl"/>
        </w:rPr>
        <w:t>C.</w:t>
      </w:r>
      <w:r w:rsidRPr="00026A18">
        <w:rPr>
          <w:rFonts w:ascii="Arial" w:hAnsi="Arial"/>
          <w:i/>
          <w:w w:val="150"/>
          <w:sz w:val="28"/>
          <w:szCs w:val="18"/>
          <w:lang w:val="es-ES_tradnl"/>
        </w:rPr>
        <w:tab/>
      </w:r>
      <w:r w:rsidRPr="00026A18">
        <w:rPr>
          <w:rFonts w:ascii="Arial" w:hAnsi="Arial"/>
          <w:i/>
          <w:w w:val="150"/>
          <w:sz w:val="28"/>
          <w:szCs w:val="18"/>
          <w:lang w:val="es-ES_tradnl"/>
        </w:rPr>
        <w:tab/>
      </w:r>
      <w:r w:rsidRPr="00026A18">
        <w:rPr>
          <w:rFonts w:ascii="Arial" w:hAnsi="Arial" w:cs="Arial"/>
          <w:i/>
          <w:spacing w:val="-3"/>
          <w:w w:val="150"/>
          <w:sz w:val="28"/>
          <w:szCs w:val="18"/>
        </w:rPr>
        <w:t>J</w:t>
      </w:r>
      <w:r w:rsidRPr="00026A18">
        <w:rPr>
          <w:rFonts w:ascii="Arial" w:hAnsi="Arial" w:cs="Arial"/>
          <w:i/>
          <w:spacing w:val="-3"/>
          <w:w w:val="150"/>
          <w:sz w:val="18"/>
          <w:szCs w:val="18"/>
        </w:rPr>
        <w:t xml:space="preserve">AIME </w:t>
      </w:r>
      <w:r w:rsidRPr="00026A18">
        <w:rPr>
          <w:rFonts w:ascii="Arial" w:hAnsi="Arial" w:cs="Arial"/>
          <w:i/>
          <w:spacing w:val="-3"/>
          <w:w w:val="150"/>
          <w:sz w:val="28"/>
          <w:szCs w:val="18"/>
        </w:rPr>
        <w:t>A</w:t>
      </w:r>
      <w:r w:rsidRPr="00026A18">
        <w:rPr>
          <w:rFonts w:ascii="Arial" w:hAnsi="Arial"/>
          <w:i/>
          <w:w w:val="150"/>
          <w:sz w:val="18"/>
          <w:szCs w:val="18"/>
        </w:rPr>
        <w:t xml:space="preserve">LBERTO </w:t>
      </w:r>
      <w:r w:rsidRPr="00026A18">
        <w:rPr>
          <w:rFonts w:ascii="Arial" w:hAnsi="Arial" w:cs="Arial"/>
          <w:i/>
          <w:spacing w:val="-3"/>
          <w:w w:val="150"/>
          <w:sz w:val="28"/>
          <w:szCs w:val="18"/>
        </w:rPr>
        <w:t>S</w:t>
      </w:r>
      <w:r w:rsidRPr="00026A18">
        <w:rPr>
          <w:rFonts w:ascii="Arial" w:hAnsi="Arial" w:cs="Arial"/>
          <w:i/>
          <w:spacing w:val="-3"/>
          <w:w w:val="150"/>
          <w:sz w:val="18"/>
          <w:szCs w:val="16"/>
        </w:rPr>
        <w:t xml:space="preserve">ARAZA </w:t>
      </w:r>
      <w:r w:rsidRPr="00026A18">
        <w:rPr>
          <w:rFonts w:ascii="Arial" w:hAnsi="Arial" w:cs="Arial"/>
          <w:i/>
          <w:spacing w:val="-3"/>
          <w:w w:val="150"/>
          <w:sz w:val="28"/>
          <w:szCs w:val="18"/>
        </w:rPr>
        <w:t>N.</w:t>
      </w:r>
    </w:p>
    <w:p w:rsidR="00026A18" w:rsidRPr="00026A18" w:rsidRDefault="00026A18" w:rsidP="00026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10"/>
          <w:szCs w:val="10"/>
          <w:lang w:val="en-US"/>
        </w:rPr>
      </w:pPr>
      <w:r w:rsidRPr="00026A18">
        <w:rPr>
          <w:rFonts w:ascii="Arial" w:hAnsi="Arial" w:cs="Arial"/>
          <w:i/>
          <w:w w:val="150"/>
          <w:sz w:val="28"/>
          <w:lang w:val="es-ES_tradnl"/>
        </w:rPr>
        <w:tab/>
      </w:r>
      <w:r w:rsidRPr="00026A18">
        <w:rPr>
          <w:rFonts w:ascii="Arial" w:hAnsi="Arial" w:cs="Arial"/>
          <w:i/>
          <w:w w:val="150"/>
          <w:sz w:val="28"/>
          <w:lang w:val="en-GB"/>
        </w:rPr>
        <w:t>M</w:t>
      </w:r>
      <w:r w:rsidRPr="00026A18">
        <w:rPr>
          <w:rFonts w:ascii="Arial" w:hAnsi="Arial" w:cs="Arial"/>
          <w:i/>
          <w:w w:val="150"/>
          <w:sz w:val="18"/>
          <w:lang w:val="en-GB"/>
        </w:rPr>
        <w:t xml:space="preserve"> A G I S T R A D O </w:t>
      </w:r>
      <w:r w:rsidRPr="00026A18">
        <w:rPr>
          <w:rFonts w:ascii="Arial" w:hAnsi="Arial" w:cs="Arial"/>
          <w:i/>
          <w:w w:val="150"/>
          <w:sz w:val="18"/>
          <w:lang w:val="en-GB"/>
        </w:rPr>
        <w:tab/>
      </w:r>
      <w:r w:rsidRPr="00026A18">
        <w:rPr>
          <w:rFonts w:ascii="Arial" w:hAnsi="Arial" w:cs="Arial"/>
          <w:i/>
          <w:w w:val="150"/>
          <w:sz w:val="18"/>
          <w:lang w:val="en-GB"/>
        </w:rPr>
        <w:tab/>
      </w:r>
      <w:r w:rsidRPr="00026A18">
        <w:rPr>
          <w:rFonts w:ascii="Arial" w:hAnsi="Arial" w:cs="Arial"/>
          <w:i/>
          <w:w w:val="150"/>
          <w:sz w:val="18"/>
          <w:lang w:val="en-GB"/>
        </w:rPr>
        <w:tab/>
      </w:r>
      <w:r w:rsidRPr="00026A18">
        <w:rPr>
          <w:rFonts w:ascii="Arial" w:hAnsi="Arial" w:cs="Arial"/>
          <w:i/>
          <w:w w:val="150"/>
          <w:sz w:val="18"/>
          <w:lang w:val="en-GB"/>
        </w:rPr>
        <w:tab/>
      </w:r>
      <w:r w:rsidRPr="00026A18">
        <w:rPr>
          <w:rFonts w:ascii="Arial" w:hAnsi="Arial" w:cs="Arial"/>
          <w:i/>
          <w:w w:val="150"/>
          <w:sz w:val="28"/>
          <w:lang w:val="en-GB"/>
        </w:rPr>
        <w:t>M</w:t>
      </w:r>
      <w:r w:rsidRPr="00026A18">
        <w:rPr>
          <w:rFonts w:ascii="Arial" w:hAnsi="Arial" w:cs="Arial"/>
          <w:i/>
          <w:w w:val="150"/>
          <w:sz w:val="18"/>
          <w:lang w:val="en-GB"/>
        </w:rPr>
        <w:t xml:space="preserve"> A G I S T R A D O</w:t>
      </w:r>
    </w:p>
    <w:p w:rsidR="00026A18" w:rsidRPr="009C5C12" w:rsidRDefault="00026A18" w:rsidP="00026A18">
      <w:pPr>
        <w:pStyle w:val="Textoindependiente"/>
        <w:spacing w:line="360" w:lineRule="auto"/>
        <w:rPr>
          <w:rFonts w:ascii="Arial" w:hAnsi="Arial"/>
          <w:w w:val="150"/>
          <w:sz w:val="10"/>
          <w:szCs w:val="10"/>
          <w:lang w:val="es-AR"/>
        </w:rPr>
      </w:pP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t xml:space="preserve">        </w:t>
      </w:r>
      <w:r w:rsidRPr="009C5C12">
        <w:rPr>
          <w:rFonts w:ascii="Arial" w:hAnsi="Arial"/>
          <w:w w:val="150"/>
          <w:sz w:val="14"/>
          <w:szCs w:val="10"/>
          <w:lang w:val="es-AR"/>
        </w:rPr>
        <w:t>EN USO DE PERMISO</w:t>
      </w:r>
    </w:p>
    <w:p w:rsidR="00026A18" w:rsidRDefault="00026A18" w:rsidP="00026A18">
      <w:pPr>
        <w:pStyle w:val="Textoindependiente"/>
        <w:spacing w:line="360" w:lineRule="auto"/>
        <w:jc w:val="right"/>
        <w:rPr>
          <w:rFonts w:ascii="Arial" w:hAnsi="Arial"/>
          <w:w w:val="150"/>
          <w:sz w:val="10"/>
          <w:szCs w:val="10"/>
          <w:lang w:val="en-US"/>
        </w:rPr>
      </w:pPr>
    </w:p>
    <w:p w:rsidR="00026A18" w:rsidRDefault="00026A18" w:rsidP="00026A18">
      <w:pPr>
        <w:pStyle w:val="Textoindependiente"/>
        <w:spacing w:line="360" w:lineRule="auto"/>
        <w:jc w:val="right"/>
        <w:rPr>
          <w:rFonts w:ascii="Arial" w:hAnsi="Arial"/>
          <w:w w:val="150"/>
          <w:sz w:val="10"/>
          <w:szCs w:val="10"/>
          <w:lang w:val="en-US"/>
        </w:rPr>
      </w:pPr>
    </w:p>
    <w:p w:rsidR="00026A18" w:rsidRDefault="00026A18" w:rsidP="00026A18">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Pr>
          <w:rFonts w:ascii="Arial" w:hAnsi="Arial"/>
          <w:w w:val="150"/>
          <w:sz w:val="10"/>
          <w:szCs w:val="10"/>
          <w:lang w:val="en-US"/>
        </w:rPr>
        <w:t xml:space="preserve"> </w:t>
      </w:r>
      <w:r w:rsidRPr="00D9225F">
        <w:rPr>
          <w:rFonts w:ascii="Arial" w:hAnsi="Arial"/>
          <w:w w:val="150"/>
          <w:sz w:val="10"/>
          <w:szCs w:val="10"/>
          <w:lang w:val="en-US"/>
        </w:rPr>
        <w:t>/</w:t>
      </w:r>
      <w:r>
        <w:rPr>
          <w:rFonts w:ascii="Arial" w:hAnsi="Arial"/>
          <w:w w:val="150"/>
          <w:sz w:val="10"/>
          <w:szCs w:val="10"/>
          <w:lang w:val="en-US"/>
        </w:rPr>
        <w:t xml:space="preserve"> ODCD </w:t>
      </w:r>
      <w:r w:rsidRPr="00D9225F">
        <w:rPr>
          <w:rFonts w:ascii="Arial" w:hAnsi="Arial"/>
          <w:w w:val="150"/>
          <w:sz w:val="10"/>
          <w:szCs w:val="10"/>
          <w:lang w:val="en-US"/>
        </w:rPr>
        <w:t>/</w:t>
      </w:r>
      <w:r>
        <w:rPr>
          <w:rFonts w:ascii="Arial" w:hAnsi="Arial"/>
          <w:w w:val="150"/>
          <w:sz w:val="10"/>
          <w:szCs w:val="10"/>
          <w:lang w:val="en-US"/>
        </w:rPr>
        <w:t>2016</w:t>
      </w:r>
    </w:p>
    <w:p w:rsidR="009F53DD" w:rsidRPr="009F53DD" w:rsidRDefault="009F53DD" w:rsidP="00026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8"/>
          <w:lang w:val="en-GB"/>
        </w:rPr>
      </w:pPr>
    </w:p>
    <w:sectPr w:rsidR="009F53DD" w:rsidRPr="009F53DD" w:rsidSect="00D722A1">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72" w:rsidRDefault="00A23E72" w:rsidP="0099045D">
      <w:r>
        <w:separator/>
      </w:r>
    </w:p>
  </w:endnote>
  <w:endnote w:type="continuationSeparator" w:id="0">
    <w:p w:rsidR="00A23E72" w:rsidRDefault="00A23E7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72" w:rsidRDefault="00A23E72" w:rsidP="0099045D">
      <w:r>
        <w:separator/>
      </w:r>
    </w:p>
  </w:footnote>
  <w:footnote w:type="continuationSeparator" w:id="0">
    <w:p w:rsidR="00A23E72" w:rsidRDefault="00A23E72" w:rsidP="0099045D">
      <w:r>
        <w:continuationSeparator/>
      </w:r>
    </w:p>
  </w:footnote>
  <w:footnote w:id="1">
    <w:p w:rsidR="00D0219E" w:rsidRPr="00CF0884" w:rsidRDefault="00D0219E" w:rsidP="00D0219E">
      <w:pPr>
        <w:pStyle w:val="Textonotapie"/>
        <w:jc w:val="both"/>
        <w:rPr>
          <w:rFonts w:ascii="Calibri" w:hAnsi="Calibri"/>
        </w:rPr>
      </w:pPr>
      <w:r w:rsidRPr="00A93460">
        <w:rPr>
          <w:rStyle w:val="Refdenotaalpie"/>
          <w:rFonts w:cs="Calibri"/>
        </w:rPr>
        <w:footnoteRef/>
      </w:r>
      <w:r w:rsidRPr="00A93460">
        <w:rPr>
          <w:rFonts w:cs="Calibri"/>
        </w:rPr>
        <w:t xml:space="preserve"> </w:t>
      </w:r>
      <w:r w:rsidRPr="00CF0884">
        <w:rPr>
          <w:rFonts w:ascii="Calibri" w:hAnsi="Calibri" w:cs="Calibri"/>
          <w:lang w:val="es-CO"/>
        </w:rPr>
        <w:t>CORTE CONSTITUCIONAL. Sentencia T-324 del 12-08-1993</w:t>
      </w:r>
      <w:r>
        <w:rPr>
          <w:rFonts w:asciiTheme="minorHAnsi" w:hAnsiTheme="minorHAnsi" w:cs="Arial"/>
        </w:rPr>
        <w:t>; MP: Antonio Barrera Carbonell.</w:t>
      </w:r>
    </w:p>
  </w:footnote>
  <w:footnote w:id="2">
    <w:p w:rsidR="00D170BC" w:rsidRPr="00DD1EC0" w:rsidRDefault="00D170BC" w:rsidP="00D170BC">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T-970 de 2014.</w:t>
      </w:r>
    </w:p>
  </w:footnote>
  <w:footnote w:id="3">
    <w:p w:rsidR="00D170BC" w:rsidRPr="00DD1EC0" w:rsidRDefault="00D170BC" w:rsidP="00D170BC">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w:t>
      </w:r>
      <w:r w:rsidRPr="00DD1EC0">
        <w:rPr>
          <w:rFonts w:asciiTheme="minorHAnsi" w:hAnsiTheme="minorHAnsi"/>
          <w:bCs/>
          <w:lang w:val="es-AR"/>
        </w:rPr>
        <w:t>Sentencia T-011 de 2016.</w:t>
      </w:r>
    </w:p>
  </w:footnote>
  <w:footnote w:id="4">
    <w:p w:rsidR="00D170BC" w:rsidRPr="00DD1EC0" w:rsidRDefault="00D170BC" w:rsidP="00D170BC">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SU-540 de 2007.</w:t>
      </w:r>
    </w:p>
  </w:footnote>
  <w:footnote w:id="5">
    <w:p w:rsidR="00D170BC" w:rsidRPr="00DD1EC0" w:rsidRDefault="00D170BC" w:rsidP="00D170BC">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Sentencias T-414 de 2005, T-1038 de 2005, T-539 de 2003, entre otras, reiteradas en la sentencia </w:t>
      </w:r>
      <w:r w:rsidRPr="00DD1EC0">
        <w:rPr>
          <w:rFonts w:asciiTheme="minorHAnsi" w:hAnsiTheme="minorHAnsi"/>
          <w:bCs/>
          <w:lang w:val="es-AR"/>
        </w:rPr>
        <w:t>T-011 de 2016.</w:t>
      </w:r>
    </w:p>
  </w:footnote>
  <w:footnote w:id="6">
    <w:p w:rsidR="00D170BC" w:rsidRPr="00DD1EC0" w:rsidRDefault="00D170BC" w:rsidP="00D170BC">
      <w:pPr>
        <w:pStyle w:val="Textonotapie"/>
        <w:jc w:val="both"/>
        <w:rPr>
          <w:rFonts w:asciiTheme="minorHAnsi" w:hAnsiTheme="minorHAnsi"/>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w:t>
      </w:r>
      <w:r w:rsidRPr="00DD1EC0">
        <w:rPr>
          <w:rStyle w:val="apple-converted-space"/>
          <w:rFonts w:asciiTheme="minorHAnsi" w:hAnsiTheme="minorHAnsi"/>
          <w:color w:val="000000"/>
          <w:bdr w:val="none" w:sz="0" w:space="0" w:color="auto" w:frame="1"/>
          <w:lang w:val="es-AR"/>
        </w:rPr>
        <w:t xml:space="preserve"> </w:t>
      </w:r>
      <w:r w:rsidRPr="00DD1EC0">
        <w:rPr>
          <w:rFonts w:asciiTheme="minorHAnsi" w:hAnsiTheme="minorHAnsi"/>
          <w:color w:val="000000"/>
          <w:bdr w:val="none" w:sz="0" w:space="0" w:color="auto" w:frame="1"/>
          <w:lang w:val="es-AR"/>
        </w:rPr>
        <w:t>T-045 de 2008 reiterada en la sentencia T-059 de 2016.</w:t>
      </w:r>
    </w:p>
  </w:footnote>
  <w:footnote w:id="7">
    <w:p w:rsidR="00D170BC" w:rsidRPr="00DD1EC0" w:rsidRDefault="00D170BC" w:rsidP="00D170BC">
      <w:pPr>
        <w:pStyle w:val="Textonotapie"/>
        <w:jc w:val="both"/>
        <w:rPr>
          <w:rFonts w:asciiTheme="minorHAnsi" w:hAnsiTheme="minorHAnsi"/>
          <w:b/>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 T-041 de 2016.</w:t>
      </w:r>
    </w:p>
  </w:footnote>
  <w:footnote w:id="8">
    <w:p w:rsidR="00D170BC" w:rsidRPr="00DD1EC0" w:rsidRDefault="00D170BC" w:rsidP="00D170BC">
      <w:pPr>
        <w:pStyle w:val="Textonotapie"/>
        <w:jc w:val="both"/>
        <w:rPr>
          <w:rFonts w:asciiTheme="minorHAnsi" w:hAnsiTheme="minorHAnsi" w:cs="Calibr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 xml:space="preserve">CORTE CONSTITUCIONAL. Sentencia T-728 de 2014. </w:t>
      </w:r>
    </w:p>
  </w:footnote>
  <w:footnote w:id="9">
    <w:p w:rsidR="00D170BC" w:rsidRDefault="00D170BC" w:rsidP="00D170BC">
      <w:pPr>
        <w:pStyle w:val="Textonotapie"/>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CORTE CONSTITUCIONAL. Sentencia Ob. Cit.</w:t>
      </w:r>
    </w:p>
  </w:footnote>
  <w:footnote w:id="10">
    <w:p w:rsidR="00D0219E" w:rsidRPr="00CF0884" w:rsidRDefault="00D0219E" w:rsidP="00D0219E">
      <w:pPr>
        <w:pStyle w:val="Textonotapie"/>
        <w:jc w:val="both"/>
        <w:rPr>
          <w:rFonts w:ascii="Calibri" w:hAnsi="Calibri" w:cs="Calibri"/>
        </w:rPr>
      </w:pPr>
      <w:r w:rsidRPr="00CF0884">
        <w:rPr>
          <w:rStyle w:val="Refdenotaalpie"/>
          <w:rFonts w:ascii="Calibri" w:hAnsi="Calibri" w:cs="Calibri"/>
        </w:rPr>
        <w:footnoteRef/>
      </w:r>
      <w:r w:rsidRPr="00CF0884">
        <w:rPr>
          <w:rFonts w:ascii="Calibri" w:hAnsi="Calibri" w:cs="Calibri"/>
        </w:rPr>
        <w:t xml:space="preserve"> CORTE CONSTITUCIONAL. Sentencia T-146 de</w:t>
      </w:r>
      <w:r w:rsidR="00A46AB3">
        <w:rPr>
          <w:rFonts w:ascii="Calibri" w:hAnsi="Calibri" w:cs="Calibri"/>
        </w:rPr>
        <w:t xml:space="preserve"> </w:t>
      </w:r>
      <w:r w:rsidRPr="00CF0884">
        <w:rPr>
          <w:rFonts w:ascii="Calibri" w:hAnsi="Calibri" w:cs="Calibri"/>
        </w:rPr>
        <w:t>2012</w:t>
      </w:r>
      <w:r w:rsidR="00A46AB3">
        <w:rPr>
          <w:rFonts w:ascii="Calibri" w:hAnsi="Calibri" w:cs="Calibri"/>
        </w:rPr>
        <w:t>.</w:t>
      </w:r>
    </w:p>
  </w:footnote>
  <w:footnote w:id="11">
    <w:p w:rsidR="00D0219E" w:rsidRPr="00A201E5" w:rsidRDefault="00D0219E" w:rsidP="00D0219E">
      <w:pPr>
        <w:pStyle w:val="Textonotapie"/>
        <w:jc w:val="both"/>
        <w:rPr>
          <w:rFonts w:ascii="Calibri" w:hAnsi="Calibri" w:cs="Calibri"/>
        </w:rPr>
      </w:pPr>
      <w:r w:rsidRPr="00A201E5">
        <w:rPr>
          <w:rStyle w:val="Refdenotaalpie"/>
          <w:rFonts w:ascii="Calibri" w:hAnsi="Calibri" w:cs="Calibri"/>
        </w:rPr>
        <w:footnoteRef/>
      </w:r>
      <w:r w:rsidRPr="00A201E5">
        <w:rPr>
          <w:rFonts w:ascii="Calibri" w:hAnsi="Calibri" w:cs="Calibri"/>
        </w:rPr>
        <w:t xml:space="preserve"> </w:t>
      </w:r>
      <w:r w:rsidR="00A46AB3" w:rsidRPr="00CF0884">
        <w:rPr>
          <w:rFonts w:ascii="Calibri" w:hAnsi="Calibri" w:cs="Calibri"/>
        </w:rPr>
        <w:t xml:space="preserve">CORTE CONSTITUCIONAL. Sentencia </w:t>
      </w:r>
      <w:r w:rsidRPr="00A201E5">
        <w:rPr>
          <w:rFonts w:ascii="Calibri" w:hAnsi="Calibri" w:cs="Calibri"/>
        </w:rPr>
        <w:t>T- 249 de 2001</w:t>
      </w:r>
      <w:r>
        <w:rPr>
          <w:rFonts w:ascii="Calibri" w:hAnsi="Calibri" w:cs="Calibri"/>
        </w:rPr>
        <w:t xml:space="preserve"> “</w:t>
      </w:r>
      <w:r w:rsidRPr="00A201E5">
        <w:rPr>
          <w:rFonts w:ascii="Calibri" w:hAnsi="Calibri" w:cs="Calibri"/>
        </w:rPr>
        <w:t>…pues no puede tenerse como real contestación la que sólo es conocida por la persona o entidad de quien se solicita la información”. T-912 de 2003 en la que se dice:”</w:t>
      </w:r>
      <w:r>
        <w:rPr>
          <w:rFonts w:ascii="Calibri" w:hAnsi="Calibri" w:cs="Calibri"/>
        </w:rPr>
        <w:t xml:space="preserve"> </w:t>
      </w:r>
      <w:r w:rsidRPr="00A201E5">
        <w:rPr>
          <w:rFonts w:ascii="Calibri" w:hAnsi="Calibri" w:cs="Calibri"/>
        </w:rPr>
        <w:t>según lo tiene establecido la Corte, una respuesta dirigida al juez de tutela no constituye una respuesta clara y oportuna notificada al interesado”.</w:t>
      </w:r>
    </w:p>
  </w:footnote>
  <w:footnote w:id="12">
    <w:p w:rsidR="00D0219E" w:rsidRPr="00A201E5" w:rsidRDefault="00D0219E" w:rsidP="00D0219E">
      <w:pPr>
        <w:pStyle w:val="Textonotapie"/>
        <w:jc w:val="both"/>
        <w:rPr>
          <w:rFonts w:ascii="Calibri" w:hAnsi="Calibri" w:cs="Calibri"/>
        </w:rPr>
      </w:pPr>
      <w:r w:rsidRPr="00A201E5">
        <w:rPr>
          <w:rFonts w:ascii="Calibri" w:hAnsi="Calibri" w:cs="Calibri"/>
          <w:vertAlign w:val="superscript"/>
        </w:rPr>
        <w:footnoteRef/>
      </w:r>
      <w:r w:rsidRPr="00A201E5">
        <w:rPr>
          <w:rFonts w:ascii="Calibri" w:hAnsi="Calibri" w:cs="Calibri"/>
        </w:rPr>
        <w:t xml:space="preserve"> CORTE CONSTITUCIONAL. Sentencia T-669 de</w:t>
      </w:r>
      <w:r w:rsidR="00A46AB3">
        <w:rPr>
          <w:rFonts w:ascii="Calibri" w:hAnsi="Calibri" w:cs="Calibri"/>
        </w:rPr>
        <w:t xml:space="preserve"> </w:t>
      </w:r>
      <w:r w:rsidRPr="00A201E5">
        <w:rPr>
          <w:rFonts w:ascii="Calibri" w:hAnsi="Calibri" w:cs="Calibri"/>
        </w:rPr>
        <w:t>2003</w:t>
      </w:r>
      <w:r w:rsidR="00A46AB3">
        <w:rPr>
          <w:rFonts w:ascii="Calibri" w:hAnsi="Calibri" w:cs="Calibri"/>
        </w:rPr>
        <w:t>.</w:t>
      </w:r>
      <w:r w:rsidRPr="00A201E5">
        <w:rPr>
          <w:rFonts w:ascii="Calibri" w:hAnsi="Calibri" w:cs="Calibri"/>
        </w:rPr>
        <w:t xml:space="preserve"> </w:t>
      </w:r>
    </w:p>
  </w:footnote>
  <w:footnote w:id="13">
    <w:p w:rsidR="00B77AA2" w:rsidRPr="00925416" w:rsidRDefault="00B77AA2" w:rsidP="00B77AA2">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CORTE CONSTITUCIONAL. Sentencia T-172 de</w:t>
      </w:r>
      <w:r w:rsidR="00A46AB3">
        <w:rPr>
          <w:rFonts w:asciiTheme="minorHAnsi" w:hAnsiTheme="minorHAnsi" w:cs="Calibri"/>
        </w:rPr>
        <w:t xml:space="preserve"> </w:t>
      </w:r>
      <w:r w:rsidRPr="00925416">
        <w:rPr>
          <w:rFonts w:asciiTheme="minorHAnsi" w:hAnsiTheme="minorHAnsi" w:cs="Calibri"/>
        </w:rPr>
        <w:t>2013.</w:t>
      </w:r>
    </w:p>
  </w:footnote>
  <w:footnote w:id="14">
    <w:p w:rsidR="00B77AA2" w:rsidRPr="00925416" w:rsidRDefault="00B77AA2" w:rsidP="00B77AA2">
      <w:pPr>
        <w:pStyle w:val="Textonotapie"/>
        <w:jc w:val="both"/>
        <w:rPr>
          <w:rFonts w:asciiTheme="minorHAnsi" w:hAnsiTheme="minorHAnsi"/>
        </w:rPr>
      </w:pPr>
      <w:r w:rsidRPr="00925416">
        <w:rPr>
          <w:rStyle w:val="Refdenotaalpie"/>
          <w:rFonts w:asciiTheme="minorHAnsi" w:hAnsiTheme="minorHAnsi"/>
        </w:rPr>
        <w:footnoteRef/>
      </w:r>
      <w:r w:rsidRPr="00925416">
        <w:rPr>
          <w:rFonts w:asciiTheme="minorHAnsi" w:hAnsiTheme="minorHAnsi"/>
        </w:rPr>
        <w:t xml:space="preserve"> </w:t>
      </w:r>
      <w:r w:rsidRPr="00925416">
        <w:rPr>
          <w:rFonts w:asciiTheme="minorHAnsi" w:hAnsiTheme="minorHAnsi" w:cs="Calibri"/>
        </w:rPr>
        <w:t>CORTE CONSTITUCIONAL. Sentencia T-099 de</w:t>
      </w:r>
      <w:r w:rsidR="00A46AB3">
        <w:rPr>
          <w:rFonts w:asciiTheme="minorHAnsi" w:hAnsiTheme="minorHAnsi" w:cs="Calibri"/>
        </w:rPr>
        <w:t xml:space="preserve"> </w:t>
      </w:r>
      <w:r w:rsidRPr="00925416">
        <w:rPr>
          <w:rFonts w:asciiTheme="minorHAnsi" w:hAnsiTheme="minorHAnsi" w:cs="Calibri"/>
        </w:rPr>
        <w:t>2014</w:t>
      </w:r>
      <w:r w:rsidRPr="00925416">
        <w:rPr>
          <w:rFonts w:asciiTheme="minorHAnsi" w:hAnsiTheme="minorHAnsi" w:cs="Arial"/>
        </w:rPr>
        <w:t>.</w:t>
      </w:r>
    </w:p>
  </w:footnote>
  <w:footnote w:id="15">
    <w:p w:rsidR="00B77AA2" w:rsidRPr="009C4841" w:rsidRDefault="00B77AA2" w:rsidP="00B77AA2">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w:t>
      </w:r>
      <w:r w:rsidR="00A46AB3">
        <w:rPr>
          <w:rFonts w:asciiTheme="minorHAnsi" w:hAnsiTheme="minorHAnsi" w:cs="Calibri"/>
        </w:rPr>
        <w:t>508</w:t>
      </w:r>
      <w:r w:rsidRPr="009C4841">
        <w:rPr>
          <w:rFonts w:asciiTheme="minorHAnsi" w:hAnsiTheme="minorHAnsi" w:cs="Calibri"/>
        </w:rPr>
        <w:t xml:space="preserve"> </w:t>
      </w:r>
      <w:r w:rsidR="00A46AB3">
        <w:rPr>
          <w:rFonts w:asciiTheme="minorHAnsi" w:hAnsiTheme="minorHAnsi" w:cs="Calibri"/>
        </w:rPr>
        <w:t xml:space="preserve">de </w:t>
      </w:r>
      <w:r w:rsidRPr="009C4841">
        <w:rPr>
          <w:rFonts w:asciiTheme="minorHAnsi" w:hAnsiTheme="minorHAnsi" w:cs="Calibri"/>
        </w:rPr>
        <w:t>2015</w:t>
      </w:r>
      <w:r w:rsidRPr="009C4841">
        <w:rPr>
          <w:rFonts w:asciiTheme="minorHAnsi" w:hAnsiTheme="minorHAns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23E72">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D96216">
      <w:rPr>
        <w:rFonts w:ascii="Calibri" w:hAnsi="Calibri" w:cs="Calibri"/>
        <w:i/>
        <w:sz w:val="20"/>
        <w:szCs w:val="22"/>
      </w:rPr>
      <w:t>2016-00477-00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04A"/>
    <w:multiLevelType w:val="multilevel"/>
    <w:tmpl w:val="41B65B6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3"/>
  </w:num>
  <w:num w:numId="5">
    <w:abstractNumId w:val="21"/>
  </w:num>
  <w:num w:numId="6">
    <w:abstractNumId w:val="1"/>
  </w:num>
  <w:num w:numId="7">
    <w:abstractNumId w:val="17"/>
  </w:num>
  <w:num w:numId="8">
    <w:abstractNumId w:val="2"/>
  </w:num>
  <w:num w:numId="9">
    <w:abstractNumId w:val="22"/>
  </w:num>
  <w:num w:numId="10">
    <w:abstractNumId w:val="18"/>
  </w:num>
  <w:num w:numId="11">
    <w:abstractNumId w:val="15"/>
  </w:num>
  <w:num w:numId="12">
    <w:abstractNumId w:val="20"/>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19"/>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9CA"/>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6EB"/>
    <w:rsid w:val="00006D07"/>
    <w:rsid w:val="00007C0C"/>
    <w:rsid w:val="00007C42"/>
    <w:rsid w:val="00007D0D"/>
    <w:rsid w:val="000103BF"/>
    <w:rsid w:val="00010589"/>
    <w:rsid w:val="00012205"/>
    <w:rsid w:val="000127B0"/>
    <w:rsid w:val="00013352"/>
    <w:rsid w:val="00013748"/>
    <w:rsid w:val="00013E82"/>
    <w:rsid w:val="00013F3E"/>
    <w:rsid w:val="000145EA"/>
    <w:rsid w:val="00014653"/>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A18"/>
    <w:rsid w:val="00026E86"/>
    <w:rsid w:val="000271AD"/>
    <w:rsid w:val="00027398"/>
    <w:rsid w:val="00027A6F"/>
    <w:rsid w:val="00030686"/>
    <w:rsid w:val="000311D1"/>
    <w:rsid w:val="00032C42"/>
    <w:rsid w:val="00033FF8"/>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8D"/>
    <w:rsid w:val="0005410F"/>
    <w:rsid w:val="0005443E"/>
    <w:rsid w:val="00054679"/>
    <w:rsid w:val="000547E1"/>
    <w:rsid w:val="00055048"/>
    <w:rsid w:val="00055173"/>
    <w:rsid w:val="00055FDD"/>
    <w:rsid w:val="0005653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61D"/>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3E95"/>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46AD"/>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0F3"/>
    <w:rsid w:val="000C585F"/>
    <w:rsid w:val="000C69DD"/>
    <w:rsid w:val="000C71EA"/>
    <w:rsid w:val="000C74DD"/>
    <w:rsid w:val="000C7967"/>
    <w:rsid w:val="000D152C"/>
    <w:rsid w:val="000D1769"/>
    <w:rsid w:val="000D27C7"/>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3B4"/>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2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75"/>
    <w:rsid w:val="001677E3"/>
    <w:rsid w:val="001678A1"/>
    <w:rsid w:val="001703A8"/>
    <w:rsid w:val="00170F1F"/>
    <w:rsid w:val="00171238"/>
    <w:rsid w:val="0017157E"/>
    <w:rsid w:val="00172D46"/>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A4"/>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9C9"/>
    <w:rsid w:val="001B3C41"/>
    <w:rsid w:val="001B4781"/>
    <w:rsid w:val="001B5303"/>
    <w:rsid w:val="001B549A"/>
    <w:rsid w:val="001B5697"/>
    <w:rsid w:val="001B59F9"/>
    <w:rsid w:val="001B62E6"/>
    <w:rsid w:val="001B6A10"/>
    <w:rsid w:val="001B6EE3"/>
    <w:rsid w:val="001B7C59"/>
    <w:rsid w:val="001B7FDA"/>
    <w:rsid w:val="001C08BC"/>
    <w:rsid w:val="001C0981"/>
    <w:rsid w:val="001C1220"/>
    <w:rsid w:val="001C142F"/>
    <w:rsid w:val="001C1CCF"/>
    <w:rsid w:val="001C26D2"/>
    <w:rsid w:val="001C30A0"/>
    <w:rsid w:val="001C3455"/>
    <w:rsid w:val="001C3481"/>
    <w:rsid w:val="001C3987"/>
    <w:rsid w:val="001C3B6F"/>
    <w:rsid w:val="001C3EE2"/>
    <w:rsid w:val="001C4890"/>
    <w:rsid w:val="001C4CEF"/>
    <w:rsid w:val="001C4ED0"/>
    <w:rsid w:val="001C539D"/>
    <w:rsid w:val="001C61F5"/>
    <w:rsid w:val="001C7381"/>
    <w:rsid w:val="001C7A2A"/>
    <w:rsid w:val="001C7B73"/>
    <w:rsid w:val="001C7E8E"/>
    <w:rsid w:val="001C7FDD"/>
    <w:rsid w:val="001D00F0"/>
    <w:rsid w:val="001D019C"/>
    <w:rsid w:val="001D025F"/>
    <w:rsid w:val="001D0884"/>
    <w:rsid w:val="001D0CCA"/>
    <w:rsid w:val="001D0F25"/>
    <w:rsid w:val="001D1325"/>
    <w:rsid w:val="001D13B2"/>
    <w:rsid w:val="001D1FCB"/>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B20"/>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B89"/>
    <w:rsid w:val="00202F72"/>
    <w:rsid w:val="002037E2"/>
    <w:rsid w:val="002056C9"/>
    <w:rsid w:val="00205B17"/>
    <w:rsid w:val="00205B8C"/>
    <w:rsid w:val="00205CAA"/>
    <w:rsid w:val="00205F8A"/>
    <w:rsid w:val="002060F5"/>
    <w:rsid w:val="002064F4"/>
    <w:rsid w:val="00206857"/>
    <w:rsid w:val="0020765B"/>
    <w:rsid w:val="002078C7"/>
    <w:rsid w:val="00210558"/>
    <w:rsid w:val="00210F6B"/>
    <w:rsid w:val="002117A8"/>
    <w:rsid w:val="00211BD4"/>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1C5C"/>
    <w:rsid w:val="00222C3B"/>
    <w:rsid w:val="00222EA8"/>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E8D"/>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3F39"/>
    <w:rsid w:val="00244523"/>
    <w:rsid w:val="002445A1"/>
    <w:rsid w:val="002450A3"/>
    <w:rsid w:val="002455C0"/>
    <w:rsid w:val="00245B6F"/>
    <w:rsid w:val="00246761"/>
    <w:rsid w:val="0024698E"/>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57B3A"/>
    <w:rsid w:val="00261879"/>
    <w:rsid w:val="00261943"/>
    <w:rsid w:val="00262566"/>
    <w:rsid w:val="00262FDA"/>
    <w:rsid w:val="002630B8"/>
    <w:rsid w:val="002630FB"/>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1E2C"/>
    <w:rsid w:val="002821C2"/>
    <w:rsid w:val="0028314C"/>
    <w:rsid w:val="00283B13"/>
    <w:rsid w:val="00283CD0"/>
    <w:rsid w:val="0028437A"/>
    <w:rsid w:val="002849D8"/>
    <w:rsid w:val="00284A47"/>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2A05"/>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3F63"/>
    <w:rsid w:val="002F413A"/>
    <w:rsid w:val="002F4C69"/>
    <w:rsid w:val="002F55D1"/>
    <w:rsid w:val="002F5CFC"/>
    <w:rsid w:val="002F6A3D"/>
    <w:rsid w:val="002F6CFE"/>
    <w:rsid w:val="003006B4"/>
    <w:rsid w:val="0030086F"/>
    <w:rsid w:val="00301345"/>
    <w:rsid w:val="00301699"/>
    <w:rsid w:val="00302001"/>
    <w:rsid w:val="00302228"/>
    <w:rsid w:val="0030262F"/>
    <w:rsid w:val="00303DD9"/>
    <w:rsid w:val="00304687"/>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53B1"/>
    <w:rsid w:val="00316088"/>
    <w:rsid w:val="00316ABE"/>
    <w:rsid w:val="00316CAE"/>
    <w:rsid w:val="00316EFF"/>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655"/>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47A23"/>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309"/>
    <w:rsid w:val="003677F2"/>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7B0C"/>
    <w:rsid w:val="00380193"/>
    <w:rsid w:val="003802BA"/>
    <w:rsid w:val="0038072C"/>
    <w:rsid w:val="00380A4B"/>
    <w:rsid w:val="00380A7B"/>
    <w:rsid w:val="00381CF1"/>
    <w:rsid w:val="003822FA"/>
    <w:rsid w:val="00382360"/>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8BB"/>
    <w:rsid w:val="00391B1A"/>
    <w:rsid w:val="00391FA3"/>
    <w:rsid w:val="003928A7"/>
    <w:rsid w:val="00392F23"/>
    <w:rsid w:val="003931C4"/>
    <w:rsid w:val="0039383D"/>
    <w:rsid w:val="003938A6"/>
    <w:rsid w:val="00394D98"/>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0C0"/>
    <w:rsid w:val="003B12FB"/>
    <w:rsid w:val="003B1C6C"/>
    <w:rsid w:val="003B3673"/>
    <w:rsid w:val="003B37F0"/>
    <w:rsid w:val="003B4005"/>
    <w:rsid w:val="003B50F3"/>
    <w:rsid w:val="003B5178"/>
    <w:rsid w:val="003B6175"/>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BEC"/>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7C1"/>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07EB7"/>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18B"/>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73E"/>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57E4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60"/>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5DC"/>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676E"/>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A743A"/>
    <w:rsid w:val="004B0FC2"/>
    <w:rsid w:val="004B115F"/>
    <w:rsid w:val="004B1986"/>
    <w:rsid w:val="004B1BC3"/>
    <w:rsid w:val="004B36EB"/>
    <w:rsid w:val="004B3732"/>
    <w:rsid w:val="004B3CED"/>
    <w:rsid w:val="004B3F03"/>
    <w:rsid w:val="004B3F1F"/>
    <w:rsid w:val="004B4287"/>
    <w:rsid w:val="004B45E4"/>
    <w:rsid w:val="004B4FA9"/>
    <w:rsid w:val="004B5E8B"/>
    <w:rsid w:val="004B68D3"/>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C23"/>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41A"/>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041"/>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258"/>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505"/>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417"/>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23B"/>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9BD"/>
    <w:rsid w:val="00591A2D"/>
    <w:rsid w:val="00594584"/>
    <w:rsid w:val="00594F7E"/>
    <w:rsid w:val="00594FDC"/>
    <w:rsid w:val="0059514B"/>
    <w:rsid w:val="00595487"/>
    <w:rsid w:val="005955FF"/>
    <w:rsid w:val="00596A3B"/>
    <w:rsid w:val="00596DB4"/>
    <w:rsid w:val="0059791D"/>
    <w:rsid w:val="005979AE"/>
    <w:rsid w:val="005A0B75"/>
    <w:rsid w:val="005A1C8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EC5"/>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C7E6F"/>
    <w:rsid w:val="005D125C"/>
    <w:rsid w:val="005D135A"/>
    <w:rsid w:val="005D1911"/>
    <w:rsid w:val="005D1E61"/>
    <w:rsid w:val="005D1F60"/>
    <w:rsid w:val="005D2FDF"/>
    <w:rsid w:val="005D3338"/>
    <w:rsid w:val="005D3A35"/>
    <w:rsid w:val="005D3B4D"/>
    <w:rsid w:val="005D44B4"/>
    <w:rsid w:val="005D4E7F"/>
    <w:rsid w:val="005D510B"/>
    <w:rsid w:val="005D5193"/>
    <w:rsid w:val="005D51D7"/>
    <w:rsid w:val="005D5370"/>
    <w:rsid w:val="005D54B9"/>
    <w:rsid w:val="005D5959"/>
    <w:rsid w:val="005D5A1C"/>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24"/>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65D"/>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5A6"/>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2C81"/>
    <w:rsid w:val="0065325F"/>
    <w:rsid w:val="006532D1"/>
    <w:rsid w:val="00653C27"/>
    <w:rsid w:val="00653C29"/>
    <w:rsid w:val="006542CC"/>
    <w:rsid w:val="006546C4"/>
    <w:rsid w:val="00654D0B"/>
    <w:rsid w:val="00654DB6"/>
    <w:rsid w:val="006557DB"/>
    <w:rsid w:val="00655E18"/>
    <w:rsid w:val="006564CB"/>
    <w:rsid w:val="00656C10"/>
    <w:rsid w:val="00656D5A"/>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821"/>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9E7"/>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A7B"/>
    <w:rsid w:val="006D2092"/>
    <w:rsid w:val="006D23C0"/>
    <w:rsid w:val="006D2877"/>
    <w:rsid w:val="006D30B9"/>
    <w:rsid w:val="006D366C"/>
    <w:rsid w:val="006D3E24"/>
    <w:rsid w:val="006D44CA"/>
    <w:rsid w:val="006D4937"/>
    <w:rsid w:val="006D508F"/>
    <w:rsid w:val="006D50CE"/>
    <w:rsid w:val="006D5474"/>
    <w:rsid w:val="006D557E"/>
    <w:rsid w:val="006D5C87"/>
    <w:rsid w:val="006D6594"/>
    <w:rsid w:val="006D748A"/>
    <w:rsid w:val="006D76E6"/>
    <w:rsid w:val="006D7AF8"/>
    <w:rsid w:val="006D7BA2"/>
    <w:rsid w:val="006E08F6"/>
    <w:rsid w:val="006E09B0"/>
    <w:rsid w:val="006E0B6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C47"/>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126B"/>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459"/>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581"/>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DA3"/>
    <w:rsid w:val="007B3A5B"/>
    <w:rsid w:val="007B43C4"/>
    <w:rsid w:val="007B4AC7"/>
    <w:rsid w:val="007B534D"/>
    <w:rsid w:val="007B5BC5"/>
    <w:rsid w:val="007B5CAC"/>
    <w:rsid w:val="007B5DF3"/>
    <w:rsid w:val="007B6BF8"/>
    <w:rsid w:val="007B7A69"/>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974"/>
    <w:rsid w:val="007F1C10"/>
    <w:rsid w:val="007F1FB4"/>
    <w:rsid w:val="007F1FE8"/>
    <w:rsid w:val="007F2388"/>
    <w:rsid w:val="007F478C"/>
    <w:rsid w:val="007F4DCC"/>
    <w:rsid w:val="007F55A0"/>
    <w:rsid w:val="007F6224"/>
    <w:rsid w:val="007F64FC"/>
    <w:rsid w:val="007F687A"/>
    <w:rsid w:val="007F6D57"/>
    <w:rsid w:val="007F7051"/>
    <w:rsid w:val="007F71EB"/>
    <w:rsid w:val="007F748A"/>
    <w:rsid w:val="007F7D49"/>
    <w:rsid w:val="0080025A"/>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1AE"/>
    <w:rsid w:val="008075EB"/>
    <w:rsid w:val="00807BA9"/>
    <w:rsid w:val="0081161B"/>
    <w:rsid w:val="008119F0"/>
    <w:rsid w:val="00811A3A"/>
    <w:rsid w:val="00811CD1"/>
    <w:rsid w:val="00812556"/>
    <w:rsid w:val="0081322E"/>
    <w:rsid w:val="00813552"/>
    <w:rsid w:val="00814BCC"/>
    <w:rsid w:val="0081546B"/>
    <w:rsid w:val="008154F0"/>
    <w:rsid w:val="00815EF9"/>
    <w:rsid w:val="00816048"/>
    <w:rsid w:val="008163C1"/>
    <w:rsid w:val="00816781"/>
    <w:rsid w:val="008200A3"/>
    <w:rsid w:val="00820AFB"/>
    <w:rsid w:val="00820CA3"/>
    <w:rsid w:val="008216F7"/>
    <w:rsid w:val="00821A12"/>
    <w:rsid w:val="0082221D"/>
    <w:rsid w:val="00822D3B"/>
    <w:rsid w:val="00823DDB"/>
    <w:rsid w:val="00823F51"/>
    <w:rsid w:val="008259FB"/>
    <w:rsid w:val="00825E20"/>
    <w:rsid w:val="00826128"/>
    <w:rsid w:val="00826267"/>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89E"/>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1E8"/>
    <w:rsid w:val="0086177C"/>
    <w:rsid w:val="00862643"/>
    <w:rsid w:val="008634F9"/>
    <w:rsid w:val="00863716"/>
    <w:rsid w:val="00863926"/>
    <w:rsid w:val="00864595"/>
    <w:rsid w:val="00864B50"/>
    <w:rsid w:val="00865235"/>
    <w:rsid w:val="00865709"/>
    <w:rsid w:val="00865BF9"/>
    <w:rsid w:val="00866190"/>
    <w:rsid w:val="00866E35"/>
    <w:rsid w:val="008670E6"/>
    <w:rsid w:val="008672A9"/>
    <w:rsid w:val="00867924"/>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6EDC"/>
    <w:rsid w:val="008F73B5"/>
    <w:rsid w:val="008F7558"/>
    <w:rsid w:val="008F7F4F"/>
    <w:rsid w:val="00900191"/>
    <w:rsid w:val="00901693"/>
    <w:rsid w:val="00901702"/>
    <w:rsid w:val="00901D27"/>
    <w:rsid w:val="0090228D"/>
    <w:rsid w:val="00902866"/>
    <w:rsid w:val="00902964"/>
    <w:rsid w:val="009033C4"/>
    <w:rsid w:val="00903865"/>
    <w:rsid w:val="009039C6"/>
    <w:rsid w:val="00903D0B"/>
    <w:rsid w:val="0090483B"/>
    <w:rsid w:val="00904FF5"/>
    <w:rsid w:val="00905295"/>
    <w:rsid w:val="0090570E"/>
    <w:rsid w:val="009068F1"/>
    <w:rsid w:val="00906BF2"/>
    <w:rsid w:val="00907DBD"/>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1BED"/>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217"/>
    <w:rsid w:val="00960C2F"/>
    <w:rsid w:val="00961693"/>
    <w:rsid w:val="009619F8"/>
    <w:rsid w:val="009620CD"/>
    <w:rsid w:val="00962282"/>
    <w:rsid w:val="00962CE4"/>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42A"/>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B9E"/>
    <w:rsid w:val="00983E7A"/>
    <w:rsid w:val="009842B2"/>
    <w:rsid w:val="00984682"/>
    <w:rsid w:val="00984EE4"/>
    <w:rsid w:val="00985516"/>
    <w:rsid w:val="00985B93"/>
    <w:rsid w:val="00985C7E"/>
    <w:rsid w:val="00985DF2"/>
    <w:rsid w:val="00986516"/>
    <w:rsid w:val="009865D0"/>
    <w:rsid w:val="0098667E"/>
    <w:rsid w:val="00986799"/>
    <w:rsid w:val="00987CEF"/>
    <w:rsid w:val="0099045D"/>
    <w:rsid w:val="0099058A"/>
    <w:rsid w:val="00990666"/>
    <w:rsid w:val="00991E87"/>
    <w:rsid w:val="00992012"/>
    <w:rsid w:val="00992104"/>
    <w:rsid w:val="00992468"/>
    <w:rsid w:val="00992EF5"/>
    <w:rsid w:val="00992F8C"/>
    <w:rsid w:val="009943CD"/>
    <w:rsid w:val="00994C90"/>
    <w:rsid w:val="00994FFA"/>
    <w:rsid w:val="009954B9"/>
    <w:rsid w:val="009954DF"/>
    <w:rsid w:val="009955C6"/>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0BFD"/>
    <w:rsid w:val="009D13FF"/>
    <w:rsid w:val="009D1ACD"/>
    <w:rsid w:val="009D1B83"/>
    <w:rsid w:val="009D25B1"/>
    <w:rsid w:val="009D261B"/>
    <w:rsid w:val="009D2EE9"/>
    <w:rsid w:val="009D3077"/>
    <w:rsid w:val="009D366A"/>
    <w:rsid w:val="009D37DE"/>
    <w:rsid w:val="009D5A25"/>
    <w:rsid w:val="009D5CFB"/>
    <w:rsid w:val="009D6634"/>
    <w:rsid w:val="009D6CEA"/>
    <w:rsid w:val="009D6E82"/>
    <w:rsid w:val="009E0652"/>
    <w:rsid w:val="009E0807"/>
    <w:rsid w:val="009E0C05"/>
    <w:rsid w:val="009E0CA9"/>
    <w:rsid w:val="009E1812"/>
    <w:rsid w:val="009E1F62"/>
    <w:rsid w:val="009E218E"/>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CB9"/>
    <w:rsid w:val="009F1ECF"/>
    <w:rsid w:val="009F23B2"/>
    <w:rsid w:val="009F2902"/>
    <w:rsid w:val="009F42D3"/>
    <w:rsid w:val="009F4B3C"/>
    <w:rsid w:val="009F4D7D"/>
    <w:rsid w:val="009F53B7"/>
    <w:rsid w:val="009F53DD"/>
    <w:rsid w:val="009F5BEA"/>
    <w:rsid w:val="009F6457"/>
    <w:rsid w:val="009F6B77"/>
    <w:rsid w:val="009F6F83"/>
    <w:rsid w:val="009F7377"/>
    <w:rsid w:val="009F74FC"/>
    <w:rsid w:val="009F78EE"/>
    <w:rsid w:val="009F7BAC"/>
    <w:rsid w:val="00A001AE"/>
    <w:rsid w:val="00A008D7"/>
    <w:rsid w:val="00A00E1D"/>
    <w:rsid w:val="00A01100"/>
    <w:rsid w:val="00A01492"/>
    <w:rsid w:val="00A015FA"/>
    <w:rsid w:val="00A01E43"/>
    <w:rsid w:val="00A022B2"/>
    <w:rsid w:val="00A027C2"/>
    <w:rsid w:val="00A02AE5"/>
    <w:rsid w:val="00A02C6F"/>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3E72"/>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0B9"/>
    <w:rsid w:val="00A426B4"/>
    <w:rsid w:val="00A42BA3"/>
    <w:rsid w:val="00A42EE4"/>
    <w:rsid w:val="00A43EF0"/>
    <w:rsid w:val="00A44328"/>
    <w:rsid w:val="00A445E9"/>
    <w:rsid w:val="00A44B2A"/>
    <w:rsid w:val="00A44D8E"/>
    <w:rsid w:val="00A44E3C"/>
    <w:rsid w:val="00A459D4"/>
    <w:rsid w:val="00A45FD3"/>
    <w:rsid w:val="00A46497"/>
    <w:rsid w:val="00A46828"/>
    <w:rsid w:val="00A46AB3"/>
    <w:rsid w:val="00A479C0"/>
    <w:rsid w:val="00A50109"/>
    <w:rsid w:val="00A50667"/>
    <w:rsid w:val="00A50B34"/>
    <w:rsid w:val="00A51F23"/>
    <w:rsid w:val="00A5340F"/>
    <w:rsid w:val="00A53426"/>
    <w:rsid w:val="00A5356E"/>
    <w:rsid w:val="00A545DC"/>
    <w:rsid w:val="00A5623D"/>
    <w:rsid w:val="00A56FFA"/>
    <w:rsid w:val="00A5710B"/>
    <w:rsid w:val="00A57670"/>
    <w:rsid w:val="00A57E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2DBC"/>
    <w:rsid w:val="00A8399B"/>
    <w:rsid w:val="00A83C51"/>
    <w:rsid w:val="00A84222"/>
    <w:rsid w:val="00A847A8"/>
    <w:rsid w:val="00A847E6"/>
    <w:rsid w:val="00A8601B"/>
    <w:rsid w:val="00A86448"/>
    <w:rsid w:val="00A86ACC"/>
    <w:rsid w:val="00A86D9B"/>
    <w:rsid w:val="00A87737"/>
    <w:rsid w:val="00A90334"/>
    <w:rsid w:val="00A913FC"/>
    <w:rsid w:val="00A91AC6"/>
    <w:rsid w:val="00A91BAB"/>
    <w:rsid w:val="00A91CA9"/>
    <w:rsid w:val="00A92AB1"/>
    <w:rsid w:val="00A934BC"/>
    <w:rsid w:val="00A93951"/>
    <w:rsid w:val="00A93CD3"/>
    <w:rsid w:val="00A95191"/>
    <w:rsid w:val="00A955B1"/>
    <w:rsid w:val="00A95CC6"/>
    <w:rsid w:val="00A965B1"/>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5C8"/>
    <w:rsid w:val="00AD0A3A"/>
    <w:rsid w:val="00AD0FC0"/>
    <w:rsid w:val="00AD1B1E"/>
    <w:rsid w:val="00AD1B6C"/>
    <w:rsid w:val="00AD3B51"/>
    <w:rsid w:val="00AD3D09"/>
    <w:rsid w:val="00AD5139"/>
    <w:rsid w:val="00AD5147"/>
    <w:rsid w:val="00AD5463"/>
    <w:rsid w:val="00AD554C"/>
    <w:rsid w:val="00AD5D34"/>
    <w:rsid w:val="00AD6598"/>
    <w:rsid w:val="00AD705D"/>
    <w:rsid w:val="00AD71F5"/>
    <w:rsid w:val="00AD7767"/>
    <w:rsid w:val="00AD7A69"/>
    <w:rsid w:val="00AE05F7"/>
    <w:rsid w:val="00AE07BC"/>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4E9"/>
    <w:rsid w:val="00B00555"/>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09F"/>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99"/>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00A"/>
    <w:rsid w:val="00B5411C"/>
    <w:rsid w:val="00B541AC"/>
    <w:rsid w:val="00B5463A"/>
    <w:rsid w:val="00B54819"/>
    <w:rsid w:val="00B54AC7"/>
    <w:rsid w:val="00B54BCA"/>
    <w:rsid w:val="00B54C6B"/>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AA2"/>
    <w:rsid w:val="00B77C71"/>
    <w:rsid w:val="00B77CD2"/>
    <w:rsid w:val="00B80992"/>
    <w:rsid w:val="00B80FF5"/>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1CC0"/>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356C"/>
    <w:rsid w:val="00BB4040"/>
    <w:rsid w:val="00BB43B1"/>
    <w:rsid w:val="00BB4676"/>
    <w:rsid w:val="00BB52AC"/>
    <w:rsid w:val="00BB5611"/>
    <w:rsid w:val="00BB569F"/>
    <w:rsid w:val="00BB5BCF"/>
    <w:rsid w:val="00BB61C0"/>
    <w:rsid w:val="00BB64A6"/>
    <w:rsid w:val="00BB676A"/>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053"/>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257"/>
    <w:rsid w:val="00C15358"/>
    <w:rsid w:val="00C15C92"/>
    <w:rsid w:val="00C15D67"/>
    <w:rsid w:val="00C1730D"/>
    <w:rsid w:val="00C17D60"/>
    <w:rsid w:val="00C17FA2"/>
    <w:rsid w:val="00C21F22"/>
    <w:rsid w:val="00C222AF"/>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396"/>
    <w:rsid w:val="00C37681"/>
    <w:rsid w:val="00C378ED"/>
    <w:rsid w:val="00C37E2A"/>
    <w:rsid w:val="00C40C0B"/>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45"/>
    <w:rsid w:val="00C538EC"/>
    <w:rsid w:val="00C53ACD"/>
    <w:rsid w:val="00C53EB4"/>
    <w:rsid w:val="00C544F1"/>
    <w:rsid w:val="00C547E0"/>
    <w:rsid w:val="00C54C88"/>
    <w:rsid w:val="00C54DD1"/>
    <w:rsid w:val="00C56710"/>
    <w:rsid w:val="00C576F9"/>
    <w:rsid w:val="00C600AE"/>
    <w:rsid w:val="00C600C1"/>
    <w:rsid w:val="00C610ED"/>
    <w:rsid w:val="00C612C6"/>
    <w:rsid w:val="00C61529"/>
    <w:rsid w:val="00C619F9"/>
    <w:rsid w:val="00C629F3"/>
    <w:rsid w:val="00C62B03"/>
    <w:rsid w:val="00C62BFF"/>
    <w:rsid w:val="00C62FC5"/>
    <w:rsid w:val="00C6321D"/>
    <w:rsid w:val="00C641FE"/>
    <w:rsid w:val="00C642EC"/>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C08"/>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601"/>
    <w:rsid w:val="00CA17C2"/>
    <w:rsid w:val="00CA25E4"/>
    <w:rsid w:val="00CA27F5"/>
    <w:rsid w:val="00CA2CA4"/>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4F7"/>
    <w:rsid w:val="00CC378E"/>
    <w:rsid w:val="00CC418F"/>
    <w:rsid w:val="00CC4351"/>
    <w:rsid w:val="00CC435D"/>
    <w:rsid w:val="00CC4BE1"/>
    <w:rsid w:val="00CC4D01"/>
    <w:rsid w:val="00CC4EEA"/>
    <w:rsid w:val="00CC50E5"/>
    <w:rsid w:val="00CC51AE"/>
    <w:rsid w:val="00CC560F"/>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6A5"/>
    <w:rsid w:val="00CD1E14"/>
    <w:rsid w:val="00CD264A"/>
    <w:rsid w:val="00CD2869"/>
    <w:rsid w:val="00CD3604"/>
    <w:rsid w:val="00CD38D3"/>
    <w:rsid w:val="00CD3C05"/>
    <w:rsid w:val="00CD3D69"/>
    <w:rsid w:val="00CD3EF7"/>
    <w:rsid w:val="00CD54D9"/>
    <w:rsid w:val="00CD569F"/>
    <w:rsid w:val="00CD6423"/>
    <w:rsid w:val="00CD71AA"/>
    <w:rsid w:val="00CD79DB"/>
    <w:rsid w:val="00CE0777"/>
    <w:rsid w:val="00CE0811"/>
    <w:rsid w:val="00CE0821"/>
    <w:rsid w:val="00CE1507"/>
    <w:rsid w:val="00CE389E"/>
    <w:rsid w:val="00CE3B23"/>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19E"/>
    <w:rsid w:val="00D026C3"/>
    <w:rsid w:val="00D02D21"/>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70BC"/>
    <w:rsid w:val="00D20534"/>
    <w:rsid w:val="00D205CC"/>
    <w:rsid w:val="00D20D94"/>
    <w:rsid w:val="00D217D6"/>
    <w:rsid w:val="00D21875"/>
    <w:rsid w:val="00D2194E"/>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046C"/>
    <w:rsid w:val="00D31025"/>
    <w:rsid w:val="00D311F2"/>
    <w:rsid w:val="00D31463"/>
    <w:rsid w:val="00D32190"/>
    <w:rsid w:val="00D322BB"/>
    <w:rsid w:val="00D325D8"/>
    <w:rsid w:val="00D33C09"/>
    <w:rsid w:val="00D33E7B"/>
    <w:rsid w:val="00D34C8C"/>
    <w:rsid w:val="00D3531C"/>
    <w:rsid w:val="00D36AA9"/>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4E1"/>
    <w:rsid w:val="00D61CBA"/>
    <w:rsid w:val="00D61D58"/>
    <w:rsid w:val="00D623A3"/>
    <w:rsid w:val="00D62E59"/>
    <w:rsid w:val="00D6333D"/>
    <w:rsid w:val="00D63C40"/>
    <w:rsid w:val="00D6524E"/>
    <w:rsid w:val="00D65A53"/>
    <w:rsid w:val="00D65D95"/>
    <w:rsid w:val="00D66276"/>
    <w:rsid w:val="00D67665"/>
    <w:rsid w:val="00D67902"/>
    <w:rsid w:val="00D67B7B"/>
    <w:rsid w:val="00D7070D"/>
    <w:rsid w:val="00D7080B"/>
    <w:rsid w:val="00D70A1B"/>
    <w:rsid w:val="00D722A1"/>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619"/>
    <w:rsid w:val="00D809D6"/>
    <w:rsid w:val="00D80A32"/>
    <w:rsid w:val="00D80A90"/>
    <w:rsid w:val="00D814EB"/>
    <w:rsid w:val="00D815A9"/>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24D9"/>
    <w:rsid w:val="00D93740"/>
    <w:rsid w:val="00D93E26"/>
    <w:rsid w:val="00D94140"/>
    <w:rsid w:val="00D941E8"/>
    <w:rsid w:val="00D94343"/>
    <w:rsid w:val="00D94DBA"/>
    <w:rsid w:val="00D954F1"/>
    <w:rsid w:val="00D95A09"/>
    <w:rsid w:val="00D96216"/>
    <w:rsid w:val="00D9642C"/>
    <w:rsid w:val="00D96BD3"/>
    <w:rsid w:val="00D97026"/>
    <w:rsid w:val="00D97759"/>
    <w:rsid w:val="00D97BF7"/>
    <w:rsid w:val="00D97DB9"/>
    <w:rsid w:val="00DA0076"/>
    <w:rsid w:val="00DA0A98"/>
    <w:rsid w:val="00DA1514"/>
    <w:rsid w:val="00DA1893"/>
    <w:rsid w:val="00DA22FB"/>
    <w:rsid w:val="00DA37F5"/>
    <w:rsid w:val="00DA3DFC"/>
    <w:rsid w:val="00DA4AEC"/>
    <w:rsid w:val="00DA59FF"/>
    <w:rsid w:val="00DA5B56"/>
    <w:rsid w:val="00DA63EE"/>
    <w:rsid w:val="00DA6B15"/>
    <w:rsid w:val="00DA6FAB"/>
    <w:rsid w:val="00DA7AF6"/>
    <w:rsid w:val="00DB02C2"/>
    <w:rsid w:val="00DB0584"/>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46A5"/>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4871"/>
    <w:rsid w:val="00DE51A8"/>
    <w:rsid w:val="00DE6847"/>
    <w:rsid w:val="00DE68FE"/>
    <w:rsid w:val="00DE7EFF"/>
    <w:rsid w:val="00DF29E9"/>
    <w:rsid w:val="00DF3218"/>
    <w:rsid w:val="00DF352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A64"/>
    <w:rsid w:val="00E01E3C"/>
    <w:rsid w:val="00E020CA"/>
    <w:rsid w:val="00E02570"/>
    <w:rsid w:val="00E02F52"/>
    <w:rsid w:val="00E0320D"/>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02C"/>
    <w:rsid w:val="00E31580"/>
    <w:rsid w:val="00E31941"/>
    <w:rsid w:val="00E3198D"/>
    <w:rsid w:val="00E3211E"/>
    <w:rsid w:val="00E324FA"/>
    <w:rsid w:val="00E331DA"/>
    <w:rsid w:val="00E336C6"/>
    <w:rsid w:val="00E33D4F"/>
    <w:rsid w:val="00E34172"/>
    <w:rsid w:val="00E34C34"/>
    <w:rsid w:val="00E358DA"/>
    <w:rsid w:val="00E35EFD"/>
    <w:rsid w:val="00E367AB"/>
    <w:rsid w:val="00E37063"/>
    <w:rsid w:val="00E370B2"/>
    <w:rsid w:val="00E37B30"/>
    <w:rsid w:val="00E40824"/>
    <w:rsid w:val="00E4119C"/>
    <w:rsid w:val="00E41237"/>
    <w:rsid w:val="00E41614"/>
    <w:rsid w:val="00E418E0"/>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69DA"/>
    <w:rsid w:val="00E6739C"/>
    <w:rsid w:val="00E67583"/>
    <w:rsid w:val="00E67640"/>
    <w:rsid w:val="00E67AE1"/>
    <w:rsid w:val="00E67F45"/>
    <w:rsid w:val="00E706C8"/>
    <w:rsid w:val="00E714B2"/>
    <w:rsid w:val="00E73692"/>
    <w:rsid w:val="00E736B7"/>
    <w:rsid w:val="00E73803"/>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87460"/>
    <w:rsid w:val="00E90196"/>
    <w:rsid w:val="00E90224"/>
    <w:rsid w:val="00E908E3"/>
    <w:rsid w:val="00E90FB5"/>
    <w:rsid w:val="00E913D2"/>
    <w:rsid w:val="00E91982"/>
    <w:rsid w:val="00E91B88"/>
    <w:rsid w:val="00E91D0E"/>
    <w:rsid w:val="00E92497"/>
    <w:rsid w:val="00E92878"/>
    <w:rsid w:val="00E933C6"/>
    <w:rsid w:val="00E935D8"/>
    <w:rsid w:val="00E93A31"/>
    <w:rsid w:val="00E9500B"/>
    <w:rsid w:val="00E95510"/>
    <w:rsid w:val="00E9595E"/>
    <w:rsid w:val="00E96C37"/>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360"/>
    <w:rsid w:val="00EB04B0"/>
    <w:rsid w:val="00EB10C7"/>
    <w:rsid w:val="00EB1579"/>
    <w:rsid w:val="00EB1DC2"/>
    <w:rsid w:val="00EB2529"/>
    <w:rsid w:val="00EB2EF8"/>
    <w:rsid w:val="00EB3D45"/>
    <w:rsid w:val="00EB3F66"/>
    <w:rsid w:val="00EB448D"/>
    <w:rsid w:val="00EB46DC"/>
    <w:rsid w:val="00EB4C2C"/>
    <w:rsid w:val="00EB5036"/>
    <w:rsid w:val="00EB6A69"/>
    <w:rsid w:val="00EB7932"/>
    <w:rsid w:val="00EC01BC"/>
    <w:rsid w:val="00EC0288"/>
    <w:rsid w:val="00EC0F6E"/>
    <w:rsid w:val="00EC155F"/>
    <w:rsid w:val="00EC16BA"/>
    <w:rsid w:val="00EC1835"/>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E93"/>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B83"/>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C49"/>
    <w:rsid w:val="00F05E6E"/>
    <w:rsid w:val="00F06DA2"/>
    <w:rsid w:val="00F072DE"/>
    <w:rsid w:val="00F0768D"/>
    <w:rsid w:val="00F102DE"/>
    <w:rsid w:val="00F10677"/>
    <w:rsid w:val="00F107C5"/>
    <w:rsid w:val="00F10C9D"/>
    <w:rsid w:val="00F10D25"/>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417"/>
    <w:rsid w:val="00F27DCF"/>
    <w:rsid w:val="00F3020D"/>
    <w:rsid w:val="00F30ADE"/>
    <w:rsid w:val="00F30E3D"/>
    <w:rsid w:val="00F316B0"/>
    <w:rsid w:val="00F330CE"/>
    <w:rsid w:val="00F332B5"/>
    <w:rsid w:val="00F336C8"/>
    <w:rsid w:val="00F33A29"/>
    <w:rsid w:val="00F348E7"/>
    <w:rsid w:val="00F34CA4"/>
    <w:rsid w:val="00F350A7"/>
    <w:rsid w:val="00F36008"/>
    <w:rsid w:val="00F373C4"/>
    <w:rsid w:val="00F374EE"/>
    <w:rsid w:val="00F40064"/>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34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51B"/>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5C3"/>
    <w:rsid w:val="00FA59D4"/>
    <w:rsid w:val="00FA6651"/>
    <w:rsid w:val="00FA66E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585"/>
    <w:rsid w:val="00FB5E7E"/>
    <w:rsid w:val="00FB602A"/>
    <w:rsid w:val="00FB6998"/>
    <w:rsid w:val="00FB6CFE"/>
    <w:rsid w:val="00FB74F8"/>
    <w:rsid w:val="00FC06A3"/>
    <w:rsid w:val="00FC3205"/>
    <w:rsid w:val="00FC4973"/>
    <w:rsid w:val="00FC4AA8"/>
    <w:rsid w:val="00FC5379"/>
    <w:rsid w:val="00FC566E"/>
    <w:rsid w:val="00FC5F6F"/>
    <w:rsid w:val="00FC6860"/>
    <w:rsid w:val="00FC73DF"/>
    <w:rsid w:val="00FC7BCB"/>
    <w:rsid w:val="00FC7CD8"/>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464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9289385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9298-7C25-40E0-8C2E-E992CC5D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2582</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12</cp:revision>
  <cp:lastPrinted>2016-04-28T19:10:00Z</cp:lastPrinted>
  <dcterms:created xsi:type="dcterms:W3CDTF">2016-04-27T13:10:00Z</dcterms:created>
  <dcterms:modified xsi:type="dcterms:W3CDTF">2016-09-22T19:35:00Z</dcterms:modified>
</cp:coreProperties>
</file>