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F839CE">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3F0119">
        <w:rPr>
          <w:rFonts w:ascii="Arial" w:hAnsi="Arial"/>
          <w:sz w:val="22"/>
          <w:szCs w:val="22"/>
        </w:rPr>
        <w:t xml:space="preserve">Luz Dary Valencia Puerta </w:t>
      </w:r>
    </w:p>
    <w:p w:rsidR="00BC7EAB" w:rsidRDefault="00E06AE8" w:rsidP="00E06AE8">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002306D2">
        <w:rPr>
          <w:rFonts w:ascii="Arial" w:hAnsi="Arial"/>
          <w:sz w:val="22"/>
          <w:szCs w:val="22"/>
        </w:rPr>
        <w:t xml:space="preserve"> (es)</w:t>
      </w:r>
      <w:r w:rsidRPr="00F86DCE">
        <w:rPr>
          <w:rFonts w:ascii="Arial" w:hAnsi="Arial"/>
          <w:sz w:val="22"/>
          <w:szCs w:val="22"/>
        </w:rPr>
        <w:tab/>
        <w:t>:</w:t>
      </w:r>
      <w:r w:rsidR="002306D2">
        <w:rPr>
          <w:rFonts w:ascii="Arial" w:hAnsi="Arial"/>
          <w:sz w:val="22"/>
          <w:szCs w:val="22"/>
        </w:rPr>
        <w:t xml:space="preserve"> </w:t>
      </w:r>
      <w:r w:rsidR="00BC7EAB">
        <w:rPr>
          <w:rFonts w:ascii="Arial" w:hAnsi="Arial"/>
          <w:sz w:val="22"/>
          <w:szCs w:val="22"/>
        </w:rPr>
        <w:t>Colpensiones</w:t>
      </w:r>
    </w:p>
    <w:p w:rsidR="00E06AE8" w:rsidRDefault="00BC7EAB" w:rsidP="00E06AE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2306D2">
        <w:rPr>
          <w:rFonts w:ascii="Arial" w:hAnsi="Arial"/>
          <w:sz w:val="22"/>
          <w:szCs w:val="22"/>
        </w:rPr>
        <w:t>Gerente Nacional de Reconocimiento de Colpensiones y otro</w:t>
      </w:r>
    </w:p>
    <w:p w:rsidR="003913E3" w:rsidRDefault="003913E3" w:rsidP="00F839CE">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3F0119">
        <w:rPr>
          <w:rFonts w:ascii="Arial" w:hAnsi="Arial"/>
          <w:sz w:val="22"/>
        </w:rPr>
        <w:t>2016-00199-01</w:t>
      </w:r>
    </w:p>
    <w:p w:rsidR="00435CCB" w:rsidRDefault="003913E3" w:rsidP="00DB2859">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DB2859">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2306D2">
        <w:rPr>
          <w:rFonts w:ascii="Arial" w:hAnsi="Arial"/>
          <w:sz w:val="22"/>
          <w:szCs w:val="22"/>
        </w:rPr>
        <w:t xml:space="preserve">Segundo </w:t>
      </w:r>
      <w:r w:rsidR="00021178">
        <w:rPr>
          <w:rFonts w:ascii="Arial" w:hAnsi="Arial"/>
          <w:sz w:val="22"/>
          <w:szCs w:val="22"/>
        </w:rPr>
        <w:t xml:space="preserve">Civil del Circuito </w:t>
      </w:r>
      <w:r w:rsidR="00E06AE8">
        <w:rPr>
          <w:rFonts w:ascii="Arial" w:hAnsi="Arial"/>
          <w:sz w:val="22"/>
          <w:szCs w:val="22"/>
        </w:rPr>
        <w:t>de Pereira</w:t>
      </w:r>
      <w:r w:rsidR="00C65627">
        <w:rPr>
          <w:rFonts w:ascii="Arial" w:hAnsi="Arial"/>
          <w:sz w:val="22"/>
          <w:szCs w:val="22"/>
        </w:rPr>
        <w:t xml:space="preserve">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FC3EE3">
        <w:rPr>
          <w:rFonts w:ascii="Arial" w:hAnsi="Arial"/>
          <w:sz w:val="22"/>
          <w:szCs w:val="22"/>
        </w:rPr>
        <w:t>307 de 29-06-2016</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5069CE" w:rsidRDefault="003913E3" w:rsidP="00F839CE">
      <w:pPr>
        <w:spacing w:line="360" w:lineRule="auto"/>
        <w:jc w:val="center"/>
        <w:rPr>
          <w:rFonts w:ascii="Arial" w:hAnsi="Arial" w:cs="Arial"/>
          <w:b/>
          <w:bCs/>
          <w:szCs w:val="22"/>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FC3EE3">
        <w:rPr>
          <w:rFonts w:ascii="Arial" w:hAnsi="Arial" w:cs="Arial"/>
          <w:iCs/>
          <w:smallCaps/>
          <w:sz w:val="28"/>
          <w:lang w:val="es-CO"/>
        </w:rPr>
        <w:t>veintinueve</w:t>
      </w:r>
      <w:r w:rsidR="003F0119">
        <w:rPr>
          <w:rFonts w:ascii="Arial" w:hAnsi="Arial" w:cs="Arial"/>
          <w:iCs/>
          <w:smallCaps/>
          <w:sz w:val="28"/>
          <w:lang w:val="es-CO"/>
        </w:rPr>
        <w:t xml:space="preserve"> </w:t>
      </w:r>
      <w:r w:rsidR="003913E3" w:rsidRPr="003F672F">
        <w:rPr>
          <w:rFonts w:ascii="Arial" w:hAnsi="Arial" w:cs="Arial"/>
          <w:iCs/>
          <w:smallCaps/>
          <w:sz w:val="28"/>
          <w:lang w:val="es-CO"/>
        </w:rPr>
        <w:t>(</w:t>
      </w:r>
      <w:r w:rsidR="00FC3EE3">
        <w:rPr>
          <w:rFonts w:ascii="Arial" w:hAnsi="Arial" w:cs="Arial"/>
          <w:iCs/>
          <w:smallCaps/>
          <w:sz w:val="28"/>
          <w:lang w:val="es-CO"/>
        </w:rPr>
        <w:t>29</w:t>
      </w:r>
      <w:r w:rsidR="003913E3" w:rsidRPr="003F672F">
        <w:rPr>
          <w:rFonts w:ascii="Arial" w:hAnsi="Arial" w:cs="Arial"/>
          <w:iCs/>
          <w:smallCaps/>
          <w:sz w:val="28"/>
          <w:lang w:val="es-CO"/>
        </w:rPr>
        <w:t xml:space="preserve">) de </w:t>
      </w:r>
      <w:r w:rsidR="002306D2">
        <w:rPr>
          <w:rFonts w:ascii="Arial" w:hAnsi="Arial" w:cs="Arial"/>
          <w:iCs/>
          <w:smallCaps/>
          <w:sz w:val="28"/>
          <w:lang w:val="es-CO"/>
        </w:rPr>
        <w:t xml:space="preserve">junio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lang w:val="es-CO"/>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3F0119">
        <w:rPr>
          <w:rFonts w:ascii="Arial" w:hAnsi="Arial" w:cs="Arial"/>
          <w:sz w:val="24"/>
          <w:szCs w:val="24"/>
        </w:rPr>
        <w:t xml:space="preserve">el día 20-03-2016, el departamento de medicina laboral de Colpensiones, calificó la pérdida de capacidad laboral de </w:t>
      </w:r>
      <w:r w:rsidR="00021178">
        <w:rPr>
          <w:rFonts w:ascii="Arial" w:hAnsi="Arial" w:cs="Arial"/>
          <w:sz w:val="24"/>
          <w:szCs w:val="24"/>
        </w:rPr>
        <w:t>la parte actora</w:t>
      </w:r>
      <w:r w:rsidR="003F0119">
        <w:rPr>
          <w:rFonts w:ascii="Arial" w:hAnsi="Arial" w:cs="Arial"/>
          <w:sz w:val="24"/>
          <w:szCs w:val="24"/>
        </w:rPr>
        <w:t>; inconforme con la decisión</w:t>
      </w:r>
      <w:r w:rsidR="00B20A39">
        <w:rPr>
          <w:rFonts w:ascii="Arial" w:hAnsi="Arial" w:cs="Arial"/>
          <w:sz w:val="24"/>
          <w:szCs w:val="24"/>
        </w:rPr>
        <w:t>,</w:t>
      </w:r>
      <w:r w:rsidR="003F0119">
        <w:rPr>
          <w:rFonts w:ascii="Arial" w:hAnsi="Arial" w:cs="Arial"/>
          <w:sz w:val="24"/>
          <w:szCs w:val="24"/>
        </w:rPr>
        <w:t xml:space="preserve"> el </w:t>
      </w:r>
      <w:r w:rsidR="00B20A39">
        <w:rPr>
          <w:rFonts w:ascii="Arial" w:hAnsi="Arial" w:cs="Arial"/>
          <w:sz w:val="24"/>
          <w:szCs w:val="24"/>
        </w:rPr>
        <w:t xml:space="preserve">día </w:t>
      </w:r>
      <w:r w:rsidR="003F0119">
        <w:rPr>
          <w:rFonts w:ascii="Arial" w:hAnsi="Arial" w:cs="Arial"/>
          <w:sz w:val="24"/>
          <w:szCs w:val="24"/>
        </w:rPr>
        <w:t xml:space="preserve">30-03-2016, la recurrió en apelación, </w:t>
      </w:r>
      <w:r w:rsidR="00B20A39">
        <w:rPr>
          <w:rFonts w:ascii="Arial" w:hAnsi="Arial" w:cs="Arial"/>
          <w:sz w:val="24"/>
          <w:szCs w:val="24"/>
        </w:rPr>
        <w:t xml:space="preserve">pero a la fecha de instaurada esta acción no se había </w:t>
      </w:r>
      <w:r w:rsidR="003F0119">
        <w:rPr>
          <w:rFonts w:ascii="Arial" w:hAnsi="Arial" w:cs="Arial"/>
          <w:sz w:val="24"/>
          <w:szCs w:val="24"/>
        </w:rPr>
        <w:t xml:space="preserve">remitido la documentación </w:t>
      </w:r>
      <w:r w:rsidR="003F0119">
        <w:rPr>
          <w:rFonts w:ascii="Arial" w:hAnsi="Arial" w:cs="Arial"/>
          <w:sz w:val="24"/>
          <w:szCs w:val="24"/>
          <w:lang w:val="es-CO"/>
        </w:rPr>
        <w:t xml:space="preserve">a la Junta de Calificación de Invalidez de Risaralda, encargada de desatar el recurso </w:t>
      </w:r>
      <w:r w:rsidR="003913E3" w:rsidRPr="00311FCA">
        <w:rPr>
          <w:rFonts w:ascii="Arial" w:hAnsi="Arial" w:cs="Arial"/>
          <w:color w:val="000000"/>
          <w:sz w:val="24"/>
          <w:szCs w:val="24"/>
          <w:lang w:val="es-CO"/>
        </w:rPr>
        <w:t>(Folio</w:t>
      </w:r>
      <w:r w:rsidR="00B20A39">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2306D2">
        <w:rPr>
          <w:rFonts w:ascii="Arial" w:hAnsi="Arial" w:cs="Arial"/>
          <w:color w:val="000000"/>
          <w:sz w:val="24"/>
          <w:szCs w:val="24"/>
          <w:lang w:val="es-CO"/>
        </w:rPr>
        <w:t>1</w:t>
      </w:r>
      <w:r w:rsidR="00B20A39">
        <w:rPr>
          <w:rFonts w:ascii="Arial" w:hAnsi="Arial" w:cs="Arial"/>
          <w:color w:val="000000"/>
          <w:sz w:val="24"/>
          <w:szCs w:val="24"/>
          <w:lang w:val="es-CO"/>
        </w:rPr>
        <w:t xml:space="preserve"> y 2</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Default="00996E1D" w:rsidP="00386A25">
      <w:pPr>
        <w:pStyle w:val="Textoindependiente"/>
        <w:spacing w:line="360" w:lineRule="auto"/>
        <w:rPr>
          <w:rFonts w:ascii="Arial" w:hAnsi="Arial" w:cs="Arial"/>
          <w:color w:val="000000"/>
          <w:sz w:val="24"/>
          <w:szCs w:val="24"/>
          <w:lang w:val="es-CO"/>
        </w:rPr>
      </w:pP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FB469C">
        <w:rPr>
          <w:rFonts w:ascii="Arial" w:hAnsi="Arial"/>
          <w:sz w:val="24"/>
          <w:szCs w:val="24"/>
        </w:rPr>
        <w:t>LOS DERECHOS PRESUNTAMENTE VULNERADOS</w:t>
      </w:r>
    </w:p>
    <w:p w:rsidR="00D13C1E" w:rsidRPr="00FB469C" w:rsidRDefault="00D13C1E" w:rsidP="00D13C1E">
      <w:pPr>
        <w:pStyle w:val="Textoindependiente"/>
        <w:spacing w:line="360" w:lineRule="auto"/>
        <w:ind w:left="360"/>
        <w:rPr>
          <w:rFonts w:ascii="Arial" w:hAnsi="Arial"/>
          <w:sz w:val="24"/>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sidR="00EE707E">
        <w:rPr>
          <w:rFonts w:ascii="Arial" w:hAnsi="Arial"/>
          <w:sz w:val="24"/>
          <w:szCs w:val="24"/>
        </w:rPr>
        <w:t>n</w:t>
      </w:r>
      <w:r w:rsidRPr="00386A25">
        <w:rPr>
          <w:rFonts w:ascii="Arial" w:hAnsi="Arial"/>
          <w:sz w:val="24"/>
          <w:szCs w:val="24"/>
        </w:rPr>
        <w:t xml:space="preserve"> en el escrito petitorio </w:t>
      </w:r>
      <w:r w:rsidR="00EE707E">
        <w:rPr>
          <w:rFonts w:ascii="Arial" w:hAnsi="Arial"/>
          <w:sz w:val="24"/>
          <w:szCs w:val="24"/>
        </w:rPr>
        <w:t xml:space="preserve">los </w:t>
      </w:r>
      <w:r>
        <w:rPr>
          <w:rFonts w:ascii="Arial" w:hAnsi="Arial"/>
          <w:sz w:val="24"/>
          <w:szCs w:val="24"/>
        </w:rPr>
        <w:t>derecho</w:t>
      </w:r>
      <w:r w:rsidR="00EE707E">
        <w:rPr>
          <w:rFonts w:ascii="Arial" w:hAnsi="Arial"/>
          <w:sz w:val="24"/>
          <w:szCs w:val="24"/>
        </w:rPr>
        <w:t>s</w:t>
      </w:r>
      <w:r w:rsidR="00F13AC7">
        <w:rPr>
          <w:rFonts w:ascii="Arial" w:hAnsi="Arial"/>
          <w:sz w:val="24"/>
          <w:szCs w:val="24"/>
        </w:rPr>
        <w:t xml:space="preserve"> fundamental</w:t>
      </w:r>
      <w:r w:rsidR="00EE707E">
        <w:rPr>
          <w:rFonts w:ascii="Arial" w:hAnsi="Arial"/>
          <w:sz w:val="24"/>
          <w:szCs w:val="24"/>
        </w:rPr>
        <w:t>es</w:t>
      </w:r>
      <w:r w:rsidR="004008EF">
        <w:rPr>
          <w:rFonts w:ascii="Arial" w:hAnsi="Arial"/>
          <w:sz w:val="24"/>
          <w:szCs w:val="24"/>
        </w:rPr>
        <w:t xml:space="preserve"> </w:t>
      </w:r>
      <w:r w:rsidR="00EE707E">
        <w:rPr>
          <w:rFonts w:ascii="Arial" w:hAnsi="Arial"/>
          <w:sz w:val="24"/>
          <w:szCs w:val="24"/>
        </w:rPr>
        <w:t>a la seguridad social</w:t>
      </w:r>
      <w:r w:rsidR="00B20A39">
        <w:rPr>
          <w:rFonts w:ascii="Arial" w:hAnsi="Arial"/>
          <w:sz w:val="24"/>
          <w:szCs w:val="24"/>
        </w:rPr>
        <w:t xml:space="preserve"> y al </w:t>
      </w:r>
      <w:r w:rsidR="00B20A39">
        <w:rPr>
          <w:rFonts w:ascii="Arial" w:hAnsi="Arial"/>
          <w:sz w:val="24"/>
          <w:szCs w:val="24"/>
        </w:rPr>
        <w:lastRenderedPageBreak/>
        <w:t xml:space="preserve">debido proceso </w:t>
      </w:r>
      <w:r w:rsidRPr="00386A25">
        <w:rPr>
          <w:rFonts w:ascii="Arial" w:hAnsi="Arial"/>
          <w:sz w:val="24"/>
          <w:szCs w:val="24"/>
        </w:rPr>
        <w:t>(Folio</w:t>
      </w:r>
      <w:r w:rsidR="00F13AC7">
        <w:rPr>
          <w:rFonts w:ascii="Arial" w:hAnsi="Arial"/>
          <w:sz w:val="24"/>
          <w:szCs w:val="24"/>
        </w:rPr>
        <w:t xml:space="preserve"> </w:t>
      </w:r>
      <w:r w:rsidR="00B20A39">
        <w:rPr>
          <w:rFonts w:ascii="Arial" w:hAnsi="Arial"/>
          <w:sz w:val="24"/>
          <w:szCs w:val="24"/>
        </w:rPr>
        <w:t>3</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Default="00B20A39" w:rsidP="00386A25">
      <w:pPr>
        <w:pStyle w:val="Textoindependiente"/>
        <w:widowControl w:val="0"/>
        <w:spacing w:line="360" w:lineRule="auto"/>
        <w:rPr>
          <w:rFonts w:ascii="Arial" w:hAnsi="Arial"/>
          <w:sz w:val="24"/>
          <w:szCs w:val="24"/>
        </w:rPr>
      </w:pPr>
    </w:p>
    <w:p w:rsidR="00B20A39" w:rsidRDefault="00B20A39" w:rsidP="00386A25">
      <w:pPr>
        <w:pStyle w:val="Textoindependiente"/>
        <w:widowControl w:val="0"/>
        <w:spacing w:line="360" w:lineRule="auto"/>
        <w:rPr>
          <w:rFonts w:ascii="Arial" w:hAnsi="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LA </w:t>
      </w:r>
      <w:r w:rsidR="00FC3EE3">
        <w:rPr>
          <w:rFonts w:ascii="Arial" w:hAnsi="Arial" w:cs="Arial"/>
          <w:sz w:val="24"/>
          <w:szCs w:val="24"/>
        </w:rPr>
        <w:t xml:space="preserve">SINOPSIS </w:t>
      </w:r>
      <w:r w:rsidRPr="00311FCA">
        <w:rPr>
          <w:rFonts w:ascii="Arial" w:hAnsi="Arial" w:cs="Arial"/>
          <w:sz w:val="24"/>
          <w:szCs w:val="24"/>
        </w:rPr>
        <w:t>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EE707E">
        <w:rPr>
          <w:rFonts w:ascii="Arial" w:hAnsi="Arial"/>
          <w:sz w:val="24"/>
        </w:rPr>
        <w:t xml:space="preserve">Segundo </w:t>
      </w:r>
      <w:r w:rsidR="00F13AC7">
        <w:rPr>
          <w:rFonts w:ascii="Arial" w:hAnsi="Arial"/>
          <w:sz w:val="24"/>
        </w:rPr>
        <w:t xml:space="preserve">Civil del Circuito </w:t>
      </w:r>
      <w:r>
        <w:rPr>
          <w:rFonts w:ascii="Arial" w:hAnsi="Arial"/>
          <w:sz w:val="24"/>
        </w:rPr>
        <w:t>de esta ciudad</w:t>
      </w:r>
      <w:r w:rsidR="00E23D2E" w:rsidRPr="00E23D2E">
        <w:rPr>
          <w:rFonts w:ascii="Arial" w:hAnsi="Arial"/>
          <w:sz w:val="24"/>
        </w:rPr>
        <w:t xml:space="preserve">, que con providencia del </w:t>
      </w:r>
      <w:r w:rsidR="00814381">
        <w:rPr>
          <w:rFonts w:ascii="Arial" w:hAnsi="Arial"/>
          <w:sz w:val="24"/>
        </w:rPr>
        <w:t xml:space="preserve">05-05-2016 </w:t>
      </w:r>
      <w:r w:rsidR="00E23D2E" w:rsidRPr="00E23D2E">
        <w:rPr>
          <w:rFonts w:ascii="Arial" w:hAnsi="Arial"/>
          <w:sz w:val="24"/>
        </w:rPr>
        <w:t>la admitió</w:t>
      </w:r>
      <w:r w:rsidR="003A5C0C">
        <w:rPr>
          <w:rFonts w:ascii="Arial" w:hAnsi="Arial"/>
          <w:sz w:val="24"/>
        </w:rPr>
        <w:t xml:space="preserve">, vinculó a quienes estimó </w:t>
      </w:r>
      <w:r w:rsidR="003A5C0C">
        <w:rPr>
          <w:rFonts w:ascii="Arial" w:hAnsi="Arial"/>
          <w:sz w:val="24"/>
          <w:lang w:val="es-CO"/>
        </w:rPr>
        <w:t xml:space="preserve">pertinente </w:t>
      </w:r>
      <w:r w:rsidR="00E23D2E" w:rsidRPr="00E23D2E">
        <w:rPr>
          <w:rFonts w:ascii="Arial" w:hAnsi="Arial"/>
          <w:sz w:val="24"/>
        </w:rPr>
        <w:t>y ordenó notificar a las partes (Folio</w:t>
      </w:r>
      <w:r w:rsidR="00FB469C">
        <w:rPr>
          <w:rFonts w:ascii="Arial" w:hAnsi="Arial"/>
          <w:sz w:val="24"/>
        </w:rPr>
        <w:t xml:space="preserve"> </w:t>
      </w:r>
      <w:r w:rsidR="00814381">
        <w:rPr>
          <w:rFonts w:ascii="Arial" w:hAnsi="Arial"/>
          <w:sz w:val="24"/>
        </w:rPr>
        <w:t>14</w:t>
      </w:r>
      <w:r w:rsidR="00E23D2E" w:rsidRPr="00E23D2E">
        <w:rPr>
          <w:rFonts w:ascii="Arial" w:hAnsi="Arial"/>
          <w:sz w:val="24"/>
        </w:rPr>
        <w:t xml:space="preserve">, </w:t>
      </w:r>
      <w:r w:rsidR="00E23D2E" w:rsidRPr="00E23D2E">
        <w:rPr>
          <w:rFonts w:ascii="Arial" w:hAnsi="Arial" w:cs="Arial"/>
          <w:color w:val="000000"/>
          <w:sz w:val="24"/>
          <w:lang w:val="es-CO"/>
        </w:rPr>
        <w:t>del cuaderno No.1</w:t>
      </w:r>
      <w:r w:rsidR="00E23D2E" w:rsidRPr="00E23D2E">
        <w:rPr>
          <w:rFonts w:ascii="Arial" w:hAnsi="Arial"/>
          <w:sz w:val="24"/>
        </w:rPr>
        <w:t>)</w:t>
      </w:r>
      <w:r w:rsidR="00490305">
        <w:rPr>
          <w:rFonts w:ascii="Arial" w:hAnsi="Arial"/>
          <w:sz w:val="24"/>
        </w:rPr>
        <w:t xml:space="preserve">. </w:t>
      </w:r>
      <w:r w:rsidR="00814381">
        <w:rPr>
          <w:rFonts w:ascii="Arial" w:hAnsi="Arial"/>
          <w:sz w:val="24"/>
        </w:rPr>
        <w:t xml:space="preserve">Contestó la Junta de Calificación de Invalidez de Risaralda (Folio 18, ibídem). </w:t>
      </w:r>
      <w:r w:rsidR="004008EF">
        <w:rPr>
          <w:rFonts w:ascii="Arial" w:hAnsi="Arial"/>
          <w:sz w:val="24"/>
        </w:rPr>
        <w:t>E</w:t>
      </w:r>
      <w:r w:rsidR="004A5B43">
        <w:rPr>
          <w:rFonts w:ascii="Arial" w:hAnsi="Arial"/>
          <w:sz w:val="24"/>
        </w:rPr>
        <w:t xml:space="preserve">l </w:t>
      </w:r>
      <w:r w:rsidR="004008EF">
        <w:rPr>
          <w:rFonts w:ascii="Arial" w:hAnsi="Arial"/>
          <w:sz w:val="24"/>
        </w:rPr>
        <w:t xml:space="preserve">día </w:t>
      </w:r>
      <w:r w:rsidR="00866FC7">
        <w:rPr>
          <w:rFonts w:ascii="Arial" w:hAnsi="Arial"/>
          <w:sz w:val="24"/>
        </w:rPr>
        <w:t>18-</w:t>
      </w:r>
      <w:r w:rsidR="00814381">
        <w:rPr>
          <w:rFonts w:ascii="Arial" w:hAnsi="Arial"/>
          <w:sz w:val="24"/>
        </w:rPr>
        <w:t>05</w:t>
      </w:r>
      <w:r w:rsidR="00F13AC7">
        <w:rPr>
          <w:rFonts w:ascii="Arial" w:hAnsi="Arial"/>
          <w:sz w:val="24"/>
        </w:rPr>
        <w:t>-2016</w:t>
      </w:r>
      <w:r w:rsidR="004008EF">
        <w:rPr>
          <w:rFonts w:ascii="Arial" w:hAnsi="Arial"/>
          <w:sz w:val="24"/>
        </w:rPr>
        <w:t xml:space="preserve"> </w:t>
      </w:r>
      <w:r w:rsidR="00E23D2E" w:rsidRPr="00E23D2E">
        <w:rPr>
          <w:rFonts w:ascii="Arial" w:hAnsi="Arial"/>
          <w:sz w:val="24"/>
        </w:rPr>
        <w:t xml:space="preserve">se profirió sentencia (Folios </w:t>
      </w:r>
      <w:r w:rsidR="00814381">
        <w:rPr>
          <w:rFonts w:ascii="Arial" w:hAnsi="Arial"/>
          <w:sz w:val="24"/>
        </w:rPr>
        <w:t>20 a 22</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4A5B43">
        <w:rPr>
          <w:rFonts w:ascii="Arial" w:hAnsi="Arial"/>
          <w:sz w:val="24"/>
        </w:rPr>
        <w:t xml:space="preserve">Luego </w:t>
      </w:r>
      <w:r w:rsidR="00E23D2E" w:rsidRPr="00E23D2E">
        <w:rPr>
          <w:rFonts w:ascii="Arial" w:hAnsi="Arial"/>
          <w:sz w:val="24"/>
        </w:rPr>
        <w:t xml:space="preserve">con proveído del </w:t>
      </w:r>
      <w:r w:rsidR="00814381">
        <w:rPr>
          <w:rFonts w:ascii="Arial" w:hAnsi="Arial"/>
          <w:sz w:val="24"/>
        </w:rPr>
        <w:t>27-05</w:t>
      </w:r>
      <w:r w:rsidR="00866FC7">
        <w:rPr>
          <w:rFonts w:ascii="Arial" w:hAnsi="Arial"/>
          <w:sz w:val="24"/>
        </w:rPr>
        <w:t xml:space="preserve">-2016 </w:t>
      </w:r>
      <w:r w:rsidR="00E23D2E" w:rsidRPr="00E23D2E">
        <w:rPr>
          <w:rFonts w:ascii="Arial" w:hAnsi="Arial"/>
          <w:sz w:val="24"/>
        </w:rPr>
        <w:t xml:space="preserve">se 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814381">
        <w:rPr>
          <w:rFonts w:ascii="Arial" w:hAnsi="Arial"/>
          <w:sz w:val="24"/>
        </w:rPr>
        <w:t>33</w:t>
      </w:r>
      <w:r w:rsidR="00866FC7">
        <w:rPr>
          <w:rFonts w:ascii="Arial" w:hAnsi="Arial"/>
          <w:sz w:val="24"/>
        </w:rPr>
        <w:t>, ibídem</w:t>
      </w:r>
      <w:r w:rsidR="00E23D2E" w:rsidRPr="00E23D2E">
        <w:rPr>
          <w:rFonts w:ascii="Arial" w:hAnsi="Arial"/>
          <w:sz w:val="24"/>
        </w:rPr>
        <w:t xml:space="preserve">). </w:t>
      </w:r>
    </w:p>
    <w:p w:rsidR="00996E1D" w:rsidRDefault="00996E1D" w:rsidP="00E23D2E">
      <w:pPr>
        <w:pStyle w:val="Textoindependiente"/>
        <w:widowControl w:val="0"/>
        <w:spacing w:line="360" w:lineRule="auto"/>
        <w:rPr>
          <w:rFonts w:ascii="Arial" w:hAnsi="Arial"/>
          <w:sz w:val="24"/>
        </w:rPr>
      </w:pPr>
    </w:p>
    <w:p w:rsidR="003913E3" w:rsidRPr="00311FCA" w:rsidRDefault="003913E3" w:rsidP="00B942B6">
      <w:pPr>
        <w:pStyle w:val="Textoindependiente"/>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 xml:space="preserve">EL RESUMEN DE </w:t>
      </w:r>
      <w:smartTag w:uri="urn:schemas-microsoft-com:office:smarttags" w:element="PersonName">
        <w:smartTagPr>
          <w:attr w:name="ProductID" w:val="LA SENTENCIA IMPUGNADA"/>
        </w:smartTagPr>
        <w:r w:rsidRPr="00311FCA">
          <w:rPr>
            <w:rFonts w:ascii="Arial" w:hAnsi="Arial" w:cs="Arial"/>
            <w:sz w:val="24"/>
            <w:szCs w:val="24"/>
          </w:rPr>
          <w:t>LA SENTENCIA IMPUGNADA</w:t>
        </w:r>
      </w:smartTag>
    </w:p>
    <w:p w:rsidR="003913E3" w:rsidRPr="00311FCA" w:rsidRDefault="003913E3" w:rsidP="00B942B6">
      <w:pPr>
        <w:pStyle w:val="Textoindependiente"/>
        <w:spacing w:line="360" w:lineRule="auto"/>
        <w:rPr>
          <w:rFonts w:ascii="Arial" w:hAnsi="Arial" w:cs="Arial"/>
          <w:sz w:val="24"/>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Concedió el amparo a</w:t>
      </w:r>
      <w:r w:rsidR="00866FC7">
        <w:rPr>
          <w:rFonts w:ascii="Arial" w:hAnsi="Arial" w:cs="Arial"/>
          <w:sz w:val="24"/>
          <w:szCs w:val="24"/>
        </w:rPr>
        <w:t xml:space="preserve"> </w:t>
      </w:r>
      <w:r>
        <w:rPr>
          <w:rFonts w:ascii="Arial" w:hAnsi="Arial" w:cs="Arial"/>
          <w:sz w:val="24"/>
          <w:szCs w:val="24"/>
        </w:rPr>
        <w:t>l</w:t>
      </w:r>
      <w:r w:rsidR="00866FC7">
        <w:rPr>
          <w:rFonts w:ascii="Arial" w:hAnsi="Arial" w:cs="Arial"/>
          <w:sz w:val="24"/>
          <w:szCs w:val="24"/>
        </w:rPr>
        <w:t>os</w:t>
      </w:r>
      <w:r>
        <w:rPr>
          <w:rFonts w:ascii="Arial" w:hAnsi="Arial" w:cs="Arial"/>
          <w:sz w:val="24"/>
          <w:szCs w:val="24"/>
        </w:rPr>
        <w:t xml:space="preserve"> derecho</w:t>
      </w:r>
      <w:r w:rsidR="00866FC7">
        <w:rPr>
          <w:rFonts w:ascii="Arial" w:hAnsi="Arial" w:cs="Arial"/>
          <w:sz w:val="24"/>
          <w:szCs w:val="24"/>
        </w:rPr>
        <w:t>s</w:t>
      </w:r>
      <w:r>
        <w:rPr>
          <w:rFonts w:ascii="Arial" w:hAnsi="Arial" w:cs="Arial"/>
          <w:sz w:val="24"/>
          <w:szCs w:val="24"/>
        </w:rPr>
        <w:t xml:space="preserve"> fundamental</w:t>
      </w:r>
      <w:r w:rsidR="00866FC7">
        <w:rPr>
          <w:rFonts w:ascii="Arial" w:hAnsi="Arial" w:cs="Arial"/>
          <w:sz w:val="24"/>
          <w:szCs w:val="24"/>
        </w:rPr>
        <w:t xml:space="preserve">es </w:t>
      </w:r>
      <w:r w:rsidR="00FC3EE3">
        <w:rPr>
          <w:rFonts w:ascii="Arial" w:hAnsi="Arial" w:cs="Arial"/>
          <w:sz w:val="24"/>
          <w:szCs w:val="24"/>
        </w:rPr>
        <w:t xml:space="preserve">debido a que </w:t>
      </w:r>
      <w:r>
        <w:rPr>
          <w:rFonts w:ascii="Arial" w:hAnsi="Arial" w:cs="Arial"/>
          <w:sz w:val="24"/>
          <w:szCs w:val="24"/>
        </w:rPr>
        <w:t xml:space="preserve">la parte accionada </w:t>
      </w:r>
      <w:r w:rsidR="00ED5205">
        <w:rPr>
          <w:rFonts w:ascii="Arial" w:hAnsi="Arial" w:cs="Arial"/>
          <w:sz w:val="24"/>
          <w:szCs w:val="24"/>
        </w:rPr>
        <w:t xml:space="preserve">no </w:t>
      </w:r>
      <w:r w:rsidR="00866FC7">
        <w:rPr>
          <w:rFonts w:ascii="Arial" w:hAnsi="Arial" w:cs="Arial"/>
          <w:sz w:val="24"/>
          <w:szCs w:val="24"/>
        </w:rPr>
        <w:t xml:space="preserve">ha </w:t>
      </w:r>
      <w:r w:rsidR="00814381">
        <w:rPr>
          <w:rFonts w:ascii="Arial" w:hAnsi="Arial" w:cs="Arial"/>
          <w:sz w:val="24"/>
          <w:szCs w:val="24"/>
        </w:rPr>
        <w:t>pagado los honorarios para el envío del expediente a la junta de calificación de invalidez</w:t>
      </w:r>
      <w:r w:rsidR="00866FC7">
        <w:rPr>
          <w:rFonts w:ascii="Arial" w:hAnsi="Arial" w:cs="Arial"/>
          <w:sz w:val="24"/>
          <w:szCs w:val="24"/>
        </w:rPr>
        <w:t xml:space="preserve"> y ya está superado el término legal de que disponía para ello</w:t>
      </w:r>
      <w:r w:rsidR="00814381">
        <w:rPr>
          <w:rFonts w:ascii="Arial" w:hAnsi="Arial" w:cs="Arial"/>
          <w:sz w:val="24"/>
          <w:szCs w:val="24"/>
        </w:rPr>
        <w:t xml:space="preserve">; asimismo, consideró que la vinculada </w:t>
      </w:r>
      <w:r w:rsidR="00866FC7">
        <w:rPr>
          <w:rFonts w:ascii="Arial" w:hAnsi="Arial" w:cs="Arial"/>
          <w:sz w:val="24"/>
          <w:szCs w:val="24"/>
        </w:rPr>
        <w:t xml:space="preserve"> </w:t>
      </w:r>
      <w:r w:rsidR="00814381">
        <w:rPr>
          <w:rFonts w:ascii="Arial" w:hAnsi="Arial" w:cs="Arial"/>
          <w:sz w:val="24"/>
          <w:szCs w:val="24"/>
        </w:rPr>
        <w:t xml:space="preserve">también vulneró los derechos invocados, porque no </w:t>
      </w:r>
      <w:r w:rsidR="00B54973">
        <w:rPr>
          <w:rFonts w:ascii="Arial" w:hAnsi="Arial" w:cs="Arial"/>
          <w:sz w:val="24"/>
          <w:szCs w:val="24"/>
        </w:rPr>
        <w:t>se puede someter</w:t>
      </w:r>
      <w:r w:rsidR="00814381">
        <w:rPr>
          <w:rFonts w:ascii="Arial" w:hAnsi="Arial" w:cs="Arial"/>
          <w:sz w:val="24"/>
          <w:szCs w:val="24"/>
        </w:rPr>
        <w:t xml:space="preserve"> a la actora a inconvenientes administrativos entre las entidades </w:t>
      </w:r>
      <w:r w:rsidR="003913E3" w:rsidRPr="00B3071D">
        <w:rPr>
          <w:rFonts w:ascii="Arial" w:hAnsi="Arial" w:cs="Arial"/>
          <w:sz w:val="24"/>
          <w:szCs w:val="24"/>
        </w:rPr>
        <w:t>(Folios</w:t>
      </w:r>
      <w:r w:rsidR="004A5B43">
        <w:rPr>
          <w:rFonts w:ascii="Arial" w:hAnsi="Arial" w:cs="Arial"/>
          <w:sz w:val="24"/>
          <w:szCs w:val="24"/>
        </w:rPr>
        <w:t xml:space="preserve"> </w:t>
      </w:r>
      <w:r w:rsidR="00814381">
        <w:rPr>
          <w:rFonts w:ascii="Arial" w:hAnsi="Arial" w:cs="Arial"/>
          <w:sz w:val="24"/>
          <w:szCs w:val="24"/>
        </w:rPr>
        <w:t>20 a 22</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bookmarkStart w:id="0" w:name="_GoBack"/>
      <w:bookmarkEnd w:id="0"/>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smartTag w:uri="urn:schemas-microsoft-com:office:smarttags" w:element="PersonName">
        <w:smartTagPr>
          <w:attr w:name="ProductID" w:val="LA SÍNTESIS DE"/>
        </w:smartTagPr>
        <w:r w:rsidRPr="00311FCA">
          <w:rPr>
            <w:rFonts w:ascii="Arial" w:hAnsi="Arial" w:cs="Arial"/>
            <w:sz w:val="24"/>
            <w:szCs w:val="24"/>
          </w:rPr>
          <w:t>LA SÍNTESIS DE</w:t>
        </w:r>
      </w:smartTag>
      <w:r w:rsidRPr="00311FCA">
        <w:rPr>
          <w:rFonts w:ascii="Arial" w:hAnsi="Arial" w:cs="Arial"/>
          <w:sz w:val="24"/>
          <w:szCs w:val="24"/>
        </w:rPr>
        <w:t xml:space="preserve"> </w:t>
      </w:r>
      <w:smartTag w:uri="urn:schemas-microsoft-com:office:smarttags" w:element="PersonName">
        <w:smartTagPr>
          <w:attr w:name="ProductID" w:val="LA IMPUGNACIÓN"/>
        </w:smartTagPr>
        <w:r w:rsidRPr="00311FCA">
          <w:rPr>
            <w:rFonts w:ascii="Arial" w:hAnsi="Arial" w:cs="Arial"/>
            <w:sz w:val="24"/>
            <w:szCs w:val="24"/>
          </w:rPr>
          <w:t>LA IMPUGNACIÓN</w:t>
        </w:r>
      </w:smartTag>
    </w:p>
    <w:p w:rsidR="003913E3" w:rsidRPr="00311FCA" w:rsidRDefault="003913E3" w:rsidP="00B942B6">
      <w:pPr>
        <w:pStyle w:val="Textoindependiente"/>
        <w:spacing w:line="360" w:lineRule="auto"/>
        <w:rPr>
          <w:rFonts w:ascii="Arial" w:hAnsi="Arial" w:cs="Arial"/>
          <w:sz w:val="24"/>
          <w:szCs w:val="24"/>
        </w:rPr>
      </w:pPr>
    </w:p>
    <w:p w:rsidR="00ED5205" w:rsidRPr="00311FCA" w:rsidRDefault="00ED5205" w:rsidP="00ED5205">
      <w:pPr>
        <w:pStyle w:val="Textoindependiente"/>
        <w:widowControl w:val="0"/>
        <w:spacing w:line="360" w:lineRule="auto"/>
        <w:rPr>
          <w:rFonts w:ascii="Arial" w:hAnsi="Arial" w:cs="Arial"/>
          <w:sz w:val="24"/>
          <w:szCs w:val="24"/>
        </w:rPr>
      </w:pPr>
      <w:r>
        <w:rPr>
          <w:rFonts w:ascii="Arial" w:hAnsi="Arial" w:cs="Arial"/>
          <w:sz w:val="24"/>
          <w:szCs w:val="24"/>
        </w:rPr>
        <w:t xml:space="preserve">La accionada recurrió manifestando que ya satisfizo el derecho fundamental amparado, pues emitió la respuesta </w:t>
      </w:r>
      <w:r w:rsidR="00BC7EAB">
        <w:rPr>
          <w:rFonts w:ascii="Arial" w:hAnsi="Arial" w:cs="Arial"/>
          <w:sz w:val="24"/>
          <w:szCs w:val="24"/>
        </w:rPr>
        <w:t xml:space="preserve">requerida mediante </w:t>
      </w:r>
      <w:r w:rsidR="00B54973">
        <w:rPr>
          <w:rFonts w:ascii="Arial" w:hAnsi="Arial" w:cs="Arial"/>
          <w:sz w:val="24"/>
          <w:szCs w:val="24"/>
        </w:rPr>
        <w:t>el oficio No.Bz2016_4698454 del 20-05-2016</w:t>
      </w:r>
      <w:r>
        <w:rPr>
          <w:rFonts w:ascii="Arial" w:hAnsi="Arial" w:cs="Arial"/>
          <w:sz w:val="24"/>
          <w:szCs w:val="24"/>
        </w:rPr>
        <w:t>,</w:t>
      </w:r>
      <w:r w:rsidR="00B54973">
        <w:rPr>
          <w:rFonts w:ascii="Arial" w:hAnsi="Arial" w:cs="Arial"/>
          <w:sz w:val="24"/>
          <w:szCs w:val="24"/>
        </w:rPr>
        <w:t xml:space="preserve"> </w:t>
      </w:r>
      <w:r>
        <w:rPr>
          <w:rFonts w:ascii="Arial" w:hAnsi="Arial" w:cs="Arial"/>
          <w:sz w:val="24"/>
          <w:szCs w:val="24"/>
        </w:rPr>
        <w:t xml:space="preserve">por lo que solicitó </w:t>
      </w:r>
      <w:r w:rsidR="00DC0810">
        <w:rPr>
          <w:rFonts w:ascii="Arial" w:hAnsi="Arial" w:cs="Arial"/>
          <w:sz w:val="24"/>
          <w:szCs w:val="24"/>
        </w:rPr>
        <w:t>declarar</w:t>
      </w:r>
      <w:r w:rsidR="00BC7EAB">
        <w:rPr>
          <w:rFonts w:ascii="Arial" w:hAnsi="Arial" w:cs="Arial"/>
          <w:sz w:val="24"/>
          <w:szCs w:val="24"/>
        </w:rPr>
        <w:t xml:space="preserve"> la carencia actual de objeto </w:t>
      </w:r>
      <w:r w:rsidRPr="00D93FEB">
        <w:rPr>
          <w:rFonts w:ascii="Arial" w:hAnsi="Arial" w:cs="Arial"/>
          <w:sz w:val="24"/>
          <w:szCs w:val="24"/>
        </w:rPr>
        <w:t>(Folio</w:t>
      </w:r>
      <w:r>
        <w:rPr>
          <w:rFonts w:ascii="Arial" w:hAnsi="Arial" w:cs="Arial"/>
          <w:sz w:val="24"/>
          <w:szCs w:val="24"/>
        </w:rPr>
        <w:t xml:space="preserve">s </w:t>
      </w:r>
      <w:r w:rsidR="00DC0810">
        <w:rPr>
          <w:rFonts w:ascii="Arial" w:hAnsi="Arial" w:cs="Arial"/>
          <w:sz w:val="24"/>
          <w:szCs w:val="24"/>
        </w:rPr>
        <w:t>34 a 36</w:t>
      </w:r>
      <w:r w:rsidRPr="00D93FEB">
        <w:rPr>
          <w:rFonts w:ascii="Arial" w:hAnsi="Arial" w:cs="Arial"/>
          <w:sz w:val="24"/>
          <w:szCs w:val="24"/>
        </w:rPr>
        <w:t>, ib.).</w:t>
      </w:r>
      <w:r w:rsidR="00BC7EAB">
        <w:rPr>
          <w:rFonts w:ascii="Arial" w:hAnsi="Arial" w:cs="Arial"/>
          <w:sz w:val="24"/>
          <w:szCs w:val="24"/>
        </w:rPr>
        <w:t xml:space="preserve"> Arrimó con su escrito copia del </w:t>
      </w:r>
      <w:r w:rsidR="00DC0810">
        <w:rPr>
          <w:rFonts w:ascii="Arial" w:hAnsi="Arial" w:cs="Arial"/>
          <w:sz w:val="24"/>
          <w:szCs w:val="24"/>
        </w:rPr>
        <w:t xml:space="preserve">oficio y de la resolución No.00316 del 20-04-2016 </w:t>
      </w:r>
      <w:r w:rsidR="00BC7EAB">
        <w:rPr>
          <w:rFonts w:ascii="Arial" w:hAnsi="Arial" w:cs="Arial"/>
          <w:sz w:val="24"/>
          <w:szCs w:val="24"/>
        </w:rPr>
        <w:t xml:space="preserve">(Folios </w:t>
      </w:r>
      <w:r w:rsidR="00DC0810">
        <w:rPr>
          <w:rFonts w:ascii="Arial" w:hAnsi="Arial" w:cs="Arial"/>
          <w:sz w:val="24"/>
          <w:szCs w:val="24"/>
        </w:rPr>
        <w:t>37 a 48</w:t>
      </w:r>
      <w:r w:rsidR="00BC7EAB">
        <w:rPr>
          <w:rFonts w:ascii="Arial" w:hAnsi="Arial" w:cs="Arial"/>
          <w:sz w:val="24"/>
          <w:szCs w:val="24"/>
        </w:rPr>
        <w:t>, ib.)</w:t>
      </w:r>
      <w:r w:rsidR="00DC0810">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311FCA" w:rsidRDefault="003913E3" w:rsidP="00B942B6">
      <w:pPr>
        <w:pStyle w:val="Textoindependiente"/>
        <w:spacing w:line="360" w:lineRule="auto"/>
        <w:rPr>
          <w:rFonts w:ascii="Arial" w:hAnsi="Arial" w:cs="Arial"/>
          <w:sz w:val="24"/>
          <w:szCs w:val="24"/>
        </w:rPr>
      </w:pPr>
    </w:p>
    <w:p w:rsidR="003913E3" w:rsidRDefault="003913E3" w:rsidP="006C1FB5">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smartTag w:uri="urn:schemas-microsoft-com:office:smarttags" w:element="PersonName">
        <w:smartTagPr>
          <w:attr w:name="ProductID" w:val="LA FUNDAMENTACIÓN JURÍDICA"/>
        </w:smartTagPr>
        <w:r w:rsidRPr="00311FCA">
          <w:rPr>
            <w:rFonts w:ascii="Arial" w:hAnsi="Arial" w:cs="Arial"/>
            <w:sz w:val="24"/>
            <w:szCs w:val="24"/>
          </w:rPr>
          <w:t>LA FUNDAMENTACIÓN JURÍDICA</w:t>
        </w:r>
      </w:smartTag>
      <w:r w:rsidRPr="00311FCA">
        <w:rPr>
          <w:rFonts w:ascii="Arial" w:hAnsi="Arial" w:cs="Arial"/>
          <w:sz w:val="24"/>
          <w:szCs w:val="24"/>
        </w:rPr>
        <w:t xml:space="preserve"> PARA RESOLVER</w:t>
      </w:r>
    </w:p>
    <w:p w:rsidR="00912A38" w:rsidRDefault="00912A38" w:rsidP="00912A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z w:val="24"/>
          <w:szCs w:val="24"/>
        </w:rPr>
      </w:pPr>
    </w:p>
    <w:p w:rsidR="003913E3" w:rsidRDefault="003913E3" w:rsidP="00F839CE">
      <w:pPr>
        <w:pStyle w:val="Textoindependiente"/>
        <w:spacing w:line="360" w:lineRule="auto"/>
        <w:rPr>
          <w:rFonts w:ascii="Arial" w:hAnsi="Arial" w:cs="Arial"/>
          <w:sz w:val="24"/>
          <w:szCs w:val="24"/>
        </w:rPr>
      </w:pPr>
      <w:r w:rsidRPr="00311FCA">
        <w:rPr>
          <w:rFonts w:ascii="Arial" w:hAnsi="Arial" w:cs="Arial"/>
          <w:sz w:val="24"/>
          <w:szCs w:val="24"/>
        </w:rPr>
        <w:t>7.1. La competencia funcional</w:t>
      </w:r>
    </w:p>
    <w:p w:rsidR="00290D6E" w:rsidRPr="00311FCA" w:rsidRDefault="00290D6E" w:rsidP="00F839CE">
      <w:pPr>
        <w:pStyle w:val="Textoindependiente"/>
        <w:spacing w:line="360" w:lineRule="auto"/>
        <w:rPr>
          <w:rFonts w:ascii="Arial" w:hAnsi="Arial" w:cs="Arial"/>
          <w:sz w:val="24"/>
          <w:szCs w:val="24"/>
        </w:rPr>
      </w:pPr>
    </w:p>
    <w:p w:rsidR="0017096D" w:rsidRDefault="0017096D" w:rsidP="0017096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Default="003913E3"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cs="Arial"/>
          <w:sz w:val="24"/>
          <w:szCs w:val="24"/>
        </w:rPr>
      </w:pPr>
      <w:r w:rsidRPr="00311FCA">
        <w:rPr>
          <w:rFonts w:ascii="Arial" w:hAnsi="Arial" w:cs="Arial"/>
          <w:sz w:val="24"/>
          <w:szCs w:val="24"/>
        </w:rPr>
        <w:lastRenderedPageBreak/>
        <w:t>La legitimación en la causa</w:t>
      </w:r>
    </w:p>
    <w:p w:rsidR="003D1506" w:rsidRPr="00311FCA" w:rsidRDefault="003D1506" w:rsidP="003D1506">
      <w:pPr>
        <w:pStyle w:val="Textoindependiente"/>
        <w:tabs>
          <w:tab w:val="clear" w:pos="0"/>
          <w:tab w:val="clear" w:pos="708"/>
          <w:tab w:val="clear" w:pos="1416"/>
          <w:tab w:val="left" w:pos="567"/>
        </w:tabs>
        <w:spacing w:line="360" w:lineRule="auto"/>
        <w:ind w:left="567"/>
        <w:rPr>
          <w:rFonts w:ascii="Arial" w:hAnsi="Arial" w:cs="Arial"/>
          <w:sz w:val="24"/>
          <w:szCs w:val="24"/>
        </w:rPr>
      </w:pPr>
    </w:p>
    <w:p w:rsidR="008D4074" w:rsidRDefault="003913E3" w:rsidP="008D4074">
      <w:pPr>
        <w:pStyle w:val="Textoindependiente"/>
        <w:spacing w:line="360" w:lineRule="auto"/>
        <w:rPr>
          <w:rFonts w:ascii="Arial" w:hAnsi="Arial" w:cs="Arial"/>
          <w:sz w:val="24"/>
          <w:szCs w:val="24"/>
          <w:lang w:val="es-CO"/>
        </w:rPr>
      </w:pPr>
      <w:r w:rsidRPr="00311FCA">
        <w:rPr>
          <w:rFonts w:ascii="Arial" w:hAnsi="Arial" w:cs="Arial"/>
          <w:sz w:val="24"/>
          <w:szCs w:val="24"/>
        </w:rPr>
        <w:t xml:space="preserve">Se cumple la legitimación por activa porque </w:t>
      </w:r>
      <w:r w:rsidR="00DC0810">
        <w:rPr>
          <w:rFonts w:ascii="Arial" w:hAnsi="Arial" w:cs="Arial"/>
          <w:sz w:val="24"/>
          <w:szCs w:val="24"/>
        </w:rPr>
        <w:t>la señora Luz Dary Valencia Puerta</w:t>
      </w:r>
      <w:r w:rsidR="00BC7EAB">
        <w:rPr>
          <w:rFonts w:ascii="Arial" w:hAnsi="Arial" w:cs="Arial"/>
          <w:sz w:val="24"/>
          <w:szCs w:val="24"/>
        </w:rPr>
        <w:t xml:space="preserve"> fue quien </w:t>
      </w:r>
      <w:r w:rsidR="00DC0810">
        <w:rPr>
          <w:rFonts w:ascii="Arial" w:hAnsi="Arial" w:cs="Arial"/>
          <w:sz w:val="24"/>
          <w:szCs w:val="24"/>
        </w:rPr>
        <w:t>presentó el recurso de apelación (Folio 12, ib.)</w:t>
      </w:r>
      <w:r w:rsidRPr="00D60BD1">
        <w:rPr>
          <w:rFonts w:ascii="Arial" w:hAnsi="Arial" w:cs="Arial"/>
          <w:sz w:val="24"/>
          <w:szCs w:val="24"/>
        </w:rPr>
        <w:t xml:space="preserve">. </w:t>
      </w:r>
      <w:r w:rsidR="008D4074" w:rsidRPr="00D60BD1">
        <w:rPr>
          <w:rFonts w:ascii="Arial" w:hAnsi="Arial" w:cs="Arial"/>
          <w:sz w:val="24"/>
          <w:szCs w:val="24"/>
        </w:rPr>
        <w:t>En el extremo pasivo,</w:t>
      </w:r>
      <w:r w:rsidR="00D60BD1">
        <w:rPr>
          <w:rFonts w:ascii="Arial" w:hAnsi="Arial" w:cs="Arial"/>
          <w:sz w:val="24"/>
          <w:szCs w:val="24"/>
        </w:rPr>
        <w:t xml:space="preserve"> </w:t>
      </w:r>
      <w:r w:rsidR="00BC7EAB">
        <w:rPr>
          <w:rFonts w:ascii="Arial" w:hAnsi="Arial" w:cs="Arial"/>
          <w:sz w:val="24"/>
          <w:szCs w:val="24"/>
        </w:rPr>
        <w:t xml:space="preserve">Colpensiones, </w:t>
      </w:r>
      <w:r w:rsidR="00BC7EAB" w:rsidRPr="00D60BD1">
        <w:rPr>
          <w:rFonts w:ascii="Arial" w:hAnsi="Arial" w:cs="Arial"/>
          <w:sz w:val="24"/>
          <w:szCs w:val="24"/>
          <w:lang w:val="es-CO"/>
        </w:rPr>
        <w:t>pue</w:t>
      </w:r>
      <w:r w:rsidR="00BC7EAB">
        <w:rPr>
          <w:rFonts w:ascii="Arial" w:hAnsi="Arial" w:cs="Arial"/>
          <w:sz w:val="24"/>
          <w:szCs w:val="24"/>
          <w:lang w:val="es-CO"/>
        </w:rPr>
        <w:t>s</w:t>
      </w:r>
      <w:r w:rsidR="00BC7EAB" w:rsidRPr="00D60BD1">
        <w:rPr>
          <w:rFonts w:ascii="Arial" w:hAnsi="Arial" w:cs="Arial"/>
          <w:sz w:val="24"/>
          <w:szCs w:val="24"/>
          <w:lang w:val="es-CO"/>
        </w:rPr>
        <w:t xml:space="preserve"> </w:t>
      </w:r>
      <w:r w:rsidR="00BC7EAB">
        <w:rPr>
          <w:rFonts w:ascii="Arial" w:hAnsi="Arial" w:cs="Arial"/>
          <w:sz w:val="24"/>
          <w:szCs w:val="24"/>
          <w:lang w:val="es-CO"/>
        </w:rPr>
        <w:t xml:space="preserve">ante esa entidad se </w:t>
      </w:r>
      <w:r w:rsidR="00DC0810">
        <w:rPr>
          <w:rFonts w:ascii="Arial" w:hAnsi="Arial" w:cs="Arial"/>
          <w:sz w:val="24"/>
          <w:szCs w:val="24"/>
          <w:lang w:val="es-CO"/>
        </w:rPr>
        <w:t>radicó el recurso</w:t>
      </w:r>
      <w:r w:rsidR="00BC7EAB">
        <w:rPr>
          <w:rFonts w:ascii="Arial" w:hAnsi="Arial" w:cs="Arial"/>
          <w:sz w:val="24"/>
          <w:szCs w:val="24"/>
          <w:lang w:val="es-CO"/>
        </w:rPr>
        <w:t xml:space="preserve"> y</w:t>
      </w:r>
      <w:r w:rsidR="00DC0810">
        <w:rPr>
          <w:rFonts w:ascii="Arial" w:hAnsi="Arial" w:cs="Arial"/>
          <w:sz w:val="24"/>
          <w:szCs w:val="24"/>
        </w:rPr>
        <w:t xml:space="preserve"> la Gerencia Nacional</w:t>
      </w:r>
      <w:r w:rsidR="00BC7EAB">
        <w:rPr>
          <w:rFonts w:ascii="Arial" w:hAnsi="Arial" w:cs="Arial"/>
          <w:sz w:val="24"/>
          <w:szCs w:val="24"/>
        </w:rPr>
        <w:t xml:space="preserve"> de Reconocimiento, porque </w:t>
      </w:r>
      <w:r w:rsidR="00DC0810">
        <w:rPr>
          <w:rFonts w:ascii="Arial" w:hAnsi="Arial" w:cs="Arial"/>
          <w:sz w:val="24"/>
          <w:szCs w:val="24"/>
        </w:rPr>
        <w:t>es la encargada</w:t>
      </w:r>
      <w:r w:rsidR="00BC7EAB">
        <w:rPr>
          <w:rFonts w:ascii="Arial" w:hAnsi="Arial" w:cs="Arial"/>
          <w:sz w:val="24"/>
          <w:szCs w:val="24"/>
        </w:rPr>
        <w:t xml:space="preserve"> de </w:t>
      </w:r>
      <w:r w:rsidR="007C134C">
        <w:rPr>
          <w:rFonts w:ascii="Arial" w:hAnsi="Arial" w:cs="Arial"/>
          <w:sz w:val="24"/>
          <w:szCs w:val="24"/>
        </w:rPr>
        <w:t>pagar los honorarios a las juntas de calificación de invalidez (Artículos 17, Ley 1562 y en consonancia con el 2º, Resolución No.076 de 2012)</w:t>
      </w:r>
      <w:r w:rsidR="009963C1">
        <w:rPr>
          <w:rFonts w:ascii="Arial" w:hAnsi="Arial" w:cs="Arial"/>
          <w:sz w:val="24"/>
          <w:szCs w:val="24"/>
          <w:lang w:val="es-CO"/>
        </w:rPr>
        <w:t>.</w:t>
      </w:r>
    </w:p>
    <w:p w:rsidR="007C134C" w:rsidRDefault="007C134C" w:rsidP="008D4074">
      <w:pPr>
        <w:pStyle w:val="Textoindependiente"/>
        <w:spacing w:line="360" w:lineRule="auto"/>
        <w:rPr>
          <w:rFonts w:ascii="Arial" w:hAnsi="Arial" w:cs="Arial"/>
          <w:sz w:val="24"/>
          <w:szCs w:val="24"/>
          <w:lang w:val="es-CO"/>
        </w:rPr>
      </w:pPr>
    </w:p>
    <w:p w:rsidR="007C134C" w:rsidRDefault="007C134C" w:rsidP="008D4074">
      <w:pPr>
        <w:pStyle w:val="Textoindependiente"/>
        <w:spacing w:line="360" w:lineRule="auto"/>
        <w:rPr>
          <w:rFonts w:ascii="Arial" w:hAnsi="Arial" w:cs="Arial"/>
          <w:sz w:val="24"/>
          <w:szCs w:val="24"/>
        </w:rPr>
      </w:pPr>
      <w:r>
        <w:rPr>
          <w:rFonts w:ascii="Arial" w:hAnsi="Arial" w:cs="Arial"/>
          <w:sz w:val="24"/>
          <w:szCs w:val="24"/>
        </w:rPr>
        <w:t xml:space="preserve">No sucede lo mismo frente a la Coordinación del Grupo Interno de Trabajo </w:t>
      </w:r>
      <w:r w:rsidR="001878F8">
        <w:rPr>
          <w:rFonts w:ascii="Arial" w:hAnsi="Arial" w:cs="Arial"/>
          <w:sz w:val="24"/>
          <w:szCs w:val="24"/>
        </w:rPr>
        <w:t xml:space="preserve">de </w:t>
      </w:r>
      <w:r>
        <w:rPr>
          <w:rFonts w:ascii="Arial" w:hAnsi="Arial" w:cs="Arial"/>
          <w:sz w:val="24"/>
          <w:szCs w:val="24"/>
        </w:rPr>
        <w:t>Medicina Laboral de la referida gerencia</w:t>
      </w:r>
      <w:r w:rsidR="006E58B7">
        <w:rPr>
          <w:rFonts w:ascii="Arial" w:hAnsi="Arial" w:cs="Arial"/>
          <w:sz w:val="24"/>
          <w:szCs w:val="24"/>
        </w:rPr>
        <w:t xml:space="preserve"> y </w:t>
      </w:r>
      <w:r w:rsidR="001878F8">
        <w:rPr>
          <w:rFonts w:ascii="Arial" w:hAnsi="Arial" w:cs="Arial"/>
          <w:sz w:val="24"/>
          <w:szCs w:val="24"/>
        </w:rPr>
        <w:t xml:space="preserve">a </w:t>
      </w:r>
      <w:r w:rsidR="006E58B7">
        <w:rPr>
          <w:rFonts w:ascii="Arial" w:hAnsi="Arial" w:cs="Arial"/>
          <w:sz w:val="24"/>
          <w:szCs w:val="24"/>
        </w:rPr>
        <w:t>la Junta de Calificación de Invalidez de Risaralda</w:t>
      </w:r>
      <w:r>
        <w:rPr>
          <w:rFonts w:ascii="Arial" w:hAnsi="Arial" w:cs="Arial"/>
          <w:sz w:val="24"/>
          <w:szCs w:val="24"/>
        </w:rPr>
        <w:t xml:space="preserve">, </w:t>
      </w:r>
      <w:r w:rsidR="006E58B7">
        <w:rPr>
          <w:rFonts w:ascii="Arial" w:hAnsi="Arial" w:cs="Arial"/>
          <w:sz w:val="24"/>
          <w:szCs w:val="24"/>
        </w:rPr>
        <w:t>la primera</w:t>
      </w:r>
      <w:r w:rsidR="001878F8">
        <w:rPr>
          <w:rFonts w:ascii="Arial" w:hAnsi="Arial" w:cs="Arial"/>
          <w:sz w:val="24"/>
          <w:szCs w:val="24"/>
        </w:rPr>
        <w:t>,</w:t>
      </w:r>
      <w:r w:rsidR="006E58B7">
        <w:rPr>
          <w:rFonts w:ascii="Arial" w:hAnsi="Arial" w:cs="Arial"/>
          <w:sz w:val="24"/>
          <w:szCs w:val="24"/>
        </w:rPr>
        <w:t xml:space="preserve"> porque carece </w:t>
      </w:r>
      <w:r>
        <w:rPr>
          <w:rFonts w:ascii="Arial" w:hAnsi="Arial" w:cs="Arial"/>
          <w:sz w:val="24"/>
          <w:szCs w:val="24"/>
        </w:rPr>
        <w:t xml:space="preserve">de competencia para atender </w:t>
      </w:r>
      <w:r w:rsidR="006E58B7">
        <w:rPr>
          <w:rFonts w:ascii="Arial" w:hAnsi="Arial" w:cs="Arial"/>
          <w:sz w:val="24"/>
          <w:szCs w:val="24"/>
        </w:rPr>
        <w:t>este tipo de peticiones</w:t>
      </w:r>
      <w:r w:rsidR="00C107B6">
        <w:rPr>
          <w:rFonts w:ascii="Arial" w:hAnsi="Arial" w:cs="Arial"/>
          <w:sz w:val="24"/>
          <w:szCs w:val="24"/>
        </w:rPr>
        <w:t>, además</w:t>
      </w:r>
      <w:r w:rsidR="003276F4">
        <w:rPr>
          <w:rFonts w:ascii="Arial" w:hAnsi="Arial" w:cs="Arial"/>
          <w:sz w:val="24"/>
          <w:szCs w:val="24"/>
        </w:rPr>
        <w:t>,</w:t>
      </w:r>
      <w:r w:rsidR="00C107B6">
        <w:rPr>
          <w:rFonts w:ascii="Arial" w:hAnsi="Arial" w:cs="Arial"/>
          <w:sz w:val="24"/>
          <w:szCs w:val="24"/>
        </w:rPr>
        <w:t xml:space="preserve"> no fue vinculada a este trámite</w:t>
      </w:r>
      <w:r w:rsidR="006E58B7">
        <w:rPr>
          <w:rFonts w:ascii="Arial" w:hAnsi="Arial" w:cs="Arial"/>
          <w:sz w:val="24"/>
          <w:szCs w:val="24"/>
        </w:rPr>
        <w:t>,</w:t>
      </w:r>
      <w:r w:rsidR="001878F8">
        <w:rPr>
          <w:rFonts w:ascii="Arial" w:hAnsi="Arial" w:cs="Arial"/>
          <w:sz w:val="24"/>
          <w:szCs w:val="24"/>
        </w:rPr>
        <w:t xml:space="preserve"> y </w:t>
      </w:r>
      <w:r w:rsidR="006E58B7">
        <w:rPr>
          <w:rFonts w:ascii="Arial" w:hAnsi="Arial" w:cs="Arial"/>
          <w:sz w:val="24"/>
          <w:szCs w:val="24"/>
        </w:rPr>
        <w:t>la última, porque su intervención depende exclusivamente de la recepción del expediente,</w:t>
      </w:r>
      <w:r w:rsidR="001878F8">
        <w:rPr>
          <w:rFonts w:ascii="Arial" w:hAnsi="Arial" w:cs="Arial"/>
          <w:sz w:val="24"/>
          <w:szCs w:val="24"/>
        </w:rPr>
        <w:t xml:space="preserve"> momento a partir del cual inicia el término de ley para resolver </w:t>
      </w:r>
      <w:r w:rsidR="003276F4">
        <w:rPr>
          <w:rFonts w:ascii="Arial" w:hAnsi="Arial" w:cs="Arial"/>
          <w:sz w:val="24"/>
          <w:szCs w:val="24"/>
        </w:rPr>
        <w:t>la controversia</w:t>
      </w:r>
      <w:r w:rsidR="006E58B7">
        <w:rPr>
          <w:rFonts w:ascii="Arial" w:hAnsi="Arial" w:cs="Arial"/>
          <w:sz w:val="24"/>
          <w:szCs w:val="24"/>
        </w:rPr>
        <w:t>,</w:t>
      </w:r>
      <w:r w:rsidR="001878F8">
        <w:rPr>
          <w:rFonts w:ascii="Arial" w:hAnsi="Arial" w:cs="Arial"/>
          <w:sz w:val="24"/>
          <w:szCs w:val="24"/>
        </w:rPr>
        <w:t xml:space="preserve"> de manera que,</w:t>
      </w:r>
      <w:r w:rsidR="006E58B7">
        <w:rPr>
          <w:rFonts w:ascii="Arial" w:hAnsi="Arial" w:cs="Arial"/>
          <w:sz w:val="24"/>
          <w:szCs w:val="24"/>
        </w:rPr>
        <w:t xml:space="preserve"> es inexistente la vulneración o amenaza de los derechos invocados y se negará la </w:t>
      </w:r>
      <w:r w:rsidR="001878F8">
        <w:rPr>
          <w:rFonts w:ascii="Arial" w:hAnsi="Arial" w:cs="Arial"/>
          <w:sz w:val="24"/>
          <w:szCs w:val="24"/>
        </w:rPr>
        <w:t xml:space="preserve">tutela </w:t>
      </w:r>
      <w:r w:rsidR="006E58B7">
        <w:rPr>
          <w:rFonts w:ascii="Arial" w:hAnsi="Arial" w:cs="Arial"/>
          <w:sz w:val="24"/>
          <w:szCs w:val="24"/>
        </w:rPr>
        <w:t>en su contra.</w:t>
      </w:r>
    </w:p>
    <w:p w:rsidR="003913E3" w:rsidRPr="008C4B67" w:rsidRDefault="003913E3" w:rsidP="00F839CE">
      <w:pPr>
        <w:pStyle w:val="Textoindependiente"/>
        <w:spacing w:line="360" w:lineRule="auto"/>
        <w:rPr>
          <w:rFonts w:ascii="Arial" w:hAnsi="Arial" w:cs="Arial"/>
          <w:sz w:val="24"/>
          <w:szCs w:val="24"/>
        </w:rPr>
      </w:pPr>
    </w:p>
    <w:p w:rsidR="003913E3" w:rsidRDefault="003913E3" w:rsidP="00F839CE">
      <w:pPr>
        <w:pStyle w:val="Textoindependiente"/>
        <w:numPr>
          <w:ilvl w:val="1"/>
          <w:numId w:val="18"/>
        </w:numPr>
        <w:tabs>
          <w:tab w:val="clear" w:pos="708"/>
          <w:tab w:val="left" w:pos="567"/>
        </w:tabs>
        <w:spacing w:line="360" w:lineRule="auto"/>
        <w:rPr>
          <w:rFonts w:ascii="Arial" w:hAnsi="Arial" w:cs="Arial"/>
          <w:sz w:val="24"/>
          <w:szCs w:val="24"/>
        </w:rPr>
      </w:pPr>
      <w:r w:rsidRPr="00311FCA">
        <w:rPr>
          <w:rFonts w:ascii="Arial" w:hAnsi="Arial" w:cs="Arial"/>
          <w:sz w:val="24"/>
          <w:szCs w:val="24"/>
        </w:rPr>
        <w:t>El problema jurídico a resolver</w:t>
      </w:r>
    </w:p>
    <w:p w:rsidR="003A5C0C" w:rsidRPr="00311FCA" w:rsidRDefault="003A5C0C" w:rsidP="003A5C0C">
      <w:pPr>
        <w:pStyle w:val="Textoindependiente"/>
        <w:tabs>
          <w:tab w:val="clear" w:pos="708"/>
          <w:tab w:val="left" w:pos="567"/>
        </w:tabs>
        <w:spacing w:line="360" w:lineRule="auto"/>
        <w:ind w:left="720"/>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3A5C0C">
        <w:rPr>
          <w:rFonts w:ascii="Arial" w:hAnsi="Arial"/>
          <w:sz w:val="24"/>
        </w:rPr>
        <w:t xml:space="preserve">Segundo </w:t>
      </w:r>
      <w:r w:rsidR="00254312">
        <w:rPr>
          <w:rFonts w:ascii="Arial" w:hAnsi="Arial"/>
          <w:sz w:val="24"/>
        </w:rPr>
        <w:t xml:space="preserve">Civil del Circuito </w:t>
      </w:r>
      <w:r w:rsidR="00D60BD1">
        <w:rPr>
          <w:rFonts w:ascii="Arial" w:hAnsi="Arial"/>
          <w:sz w:val="24"/>
        </w:rPr>
        <w:t>de Pereira</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 xml:space="preserve">parte </w:t>
      </w:r>
      <w:r w:rsidR="001878F8">
        <w:rPr>
          <w:rFonts w:ascii="Arial" w:hAnsi="Arial" w:cs="Arial"/>
          <w:sz w:val="24"/>
          <w:szCs w:val="24"/>
        </w:rPr>
        <w:t>accionada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1"/>
          <w:numId w:val="18"/>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Pr="00F33A95" w:rsidRDefault="00F90AB3" w:rsidP="00F90AB3">
      <w:pPr>
        <w:pStyle w:val="Textoindependiente"/>
        <w:spacing w:line="360" w:lineRule="auto"/>
        <w:rPr>
          <w:rFonts w:ascii="Arial" w:hAnsi="Arial" w:cs="Arial"/>
          <w:sz w:val="24"/>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Pr="00F33A95" w:rsidRDefault="00F33A95" w:rsidP="00F33A95">
      <w:pPr>
        <w:pStyle w:val="Textoindependiente"/>
        <w:numPr>
          <w:ilvl w:val="2"/>
          <w:numId w:val="32"/>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F33A95" w:rsidRPr="00F33A95" w:rsidRDefault="00F33A95" w:rsidP="00F33A95">
      <w:pPr>
        <w:pStyle w:val="Textoindependien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Pr="00F33A95">
        <w:rPr>
          <w:rStyle w:val="Refdenotaalpie"/>
          <w:rFonts w:ascii="Arial" w:hAnsi="Arial"/>
          <w:noProof/>
        </w:rPr>
        <w:footnoteReference w:id="1"/>
      </w:r>
      <w:r w:rsidRPr="00F33A95">
        <w:rPr>
          <w:rFonts w:ascii="Arial" w:hAnsi="Arial" w:cs="Arial"/>
          <w:noProof/>
        </w:rPr>
        <w:t xml:space="preserve">; nótese que </w:t>
      </w:r>
      <w:r w:rsidR="00254312">
        <w:rPr>
          <w:rFonts w:ascii="Arial" w:hAnsi="Arial" w:cs="Arial"/>
          <w:noProof/>
        </w:rPr>
        <w:t xml:space="preserve">el </w:t>
      </w:r>
      <w:r w:rsidR="001878F8">
        <w:rPr>
          <w:rFonts w:ascii="Arial" w:hAnsi="Arial" w:cs="Arial"/>
          <w:noProof/>
        </w:rPr>
        <w:t xml:space="preserve">recurso </w:t>
      </w:r>
      <w:r w:rsidR="00254312">
        <w:rPr>
          <w:rFonts w:ascii="Arial" w:hAnsi="Arial" w:cs="Arial"/>
          <w:noProof/>
        </w:rPr>
        <w:t xml:space="preserve">se formuló </w:t>
      </w:r>
      <w:r>
        <w:rPr>
          <w:rFonts w:ascii="Arial" w:hAnsi="Arial" w:cs="Arial"/>
          <w:noProof/>
        </w:rPr>
        <w:t xml:space="preserve">el día </w:t>
      </w:r>
      <w:r w:rsidR="001878F8">
        <w:rPr>
          <w:rFonts w:ascii="Arial" w:hAnsi="Arial" w:cs="Arial"/>
          <w:noProof/>
        </w:rPr>
        <w:t xml:space="preserve">30-03-2016 </w:t>
      </w:r>
      <w:r w:rsidRPr="00F33A95">
        <w:rPr>
          <w:rFonts w:ascii="Arial" w:hAnsi="Arial" w:cs="Arial"/>
          <w:noProof/>
        </w:rPr>
        <w:t>(Folio</w:t>
      </w:r>
      <w:r w:rsidR="003A5C0C">
        <w:rPr>
          <w:rFonts w:ascii="Arial" w:hAnsi="Arial" w:cs="Arial"/>
          <w:noProof/>
        </w:rPr>
        <w:t xml:space="preserve">s </w:t>
      </w:r>
      <w:r w:rsidR="001878F8">
        <w:rPr>
          <w:rFonts w:ascii="Arial" w:hAnsi="Arial" w:cs="Arial"/>
          <w:noProof/>
        </w:rPr>
        <w:t>12</w:t>
      </w:r>
      <w:r w:rsidRPr="00F33A95">
        <w:rPr>
          <w:rFonts w:ascii="Arial" w:hAnsi="Arial" w:cs="Arial"/>
          <w:noProof/>
        </w:rPr>
        <w:t xml:space="preserve">, del cuaderno No.1) y la tutela se presentó el </w:t>
      </w:r>
      <w:r w:rsidR="001878F8">
        <w:rPr>
          <w:rFonts w:ascii="Arial" w:hAnsi="Arial" w:cs="Arial"/>
          <w:noProof/>
        </w:rPr>
        <w:t xml:space="preserve">05-05-2016 </w:t>
      </w:r>
      <w:r w:rsidRPr="00F33A95">
        <w:rPr>
          <w:rFonts w:ascii="Arial" w:hAnsi="Arial" w:cs="Arial"/>
          <w:noProof/>
        </w:rPr>
        <w:t xml:space="preserve">(Folio </w:t>
      </w:r>
      <w:r w:rsidR="001878F8">
        <w:rPr>
          <w:rFonts w:ascii="Arial" w:hAnsi="Arial" w:cs="Arial"/>
          <w:noProof/>
        </w:rPr>
        <w:t>13</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F33A95">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F33A95">
        <w:rPr>
          <w:rFonts w:ascii="Arial" w:hAnsi="Arial" w:cs="Arial"/>
          <w:vertAlign w:val="superscript"/>
        </w:rPr>
        <w:footnoteReference w:id="2"/>
      </w:r>
      <w:r w:rsidRPr="00F33A95">
        <w:rPr>
          <w:rFonts w:ascii="Arial" w:hAnsi="Arial" w:cs="Arial"/>
        </w:rPr>
        <w:t xml:space="preserve">.  Esta regla tiene dos (2) excepciones que </w:t>
      </w:r>
      <w:r w:rsidRPr="00F33A95">
        <w:rPr>
          <w:rFonts w:ascii="Arial" w:hAnsi="Arial" w:cs="Arial"/>
        </w:rPr>
        <w:lastRenderedPageBreak/>
        <w:t>guardan en común la existencia del medio judicial ordinario</w:t>
      </w:r>
      <w:r w:rsidRPr="00F33A95">
        <w:rPr>
          <w:rStyle w:val="Refdenotaalpie"/>
          <w:rFonts w:ascii="Arial" w:hAnsi="Arial" w:cs="Arial"/>
        </w:rPr>
        <w:footnoteReference w:id="3"/>
      </w:r>
      <w:r w:rsidRPr="00F33A95">
        <w:rPr>
          <w:rFonts w:ascii="Arial" w:hAnsi="Arial" w:cs="Arial"/>
        </w:rPr>
        <w:t xml:space="preserve">: (i) la tutela transitoria para evitar un perjuicio irremediable; y (ii) La ineficacia de la acción ordinaria para salvaguardar los derechos fundamentales del accionante.  </w:t>
      </w:r>
      <w:r w:rsidRPr="00F33A95">
        <w:rPr>
          <w:rFonts w:ascii="Arial" w:hAnsi="Arial"/>
        </w:rPr>
        <w:t xml:space="preserve">En el </w:t>
      </w:r>
      <w:r w:rsidRPr="00F33A95">
        <w:rPr>
          <w:rFonts w:ascii="Arial" w:hAnsi="Arial"/>
          <w:i/>
        </w:rPr>
        <w:t>sub examine</w:t>
      </w:r>
      <w:r w:rsidRPr="00F33A95">
        <w:rPr>
          <w:rFonts w:ascii="Arial" w:hAnsi="Arial"/>
        </w:rPr>
        <w:t xml:space="preserve">, </w:t>
      </w:r>
      <w:r w:rsidR="00DD1EC0">
        <w:rPr>
          <w:rFonts w:ascii="Arial" w:hAnsi="Arial"/>
        </w:rPr>
        <w:t>el</w:t>
      </w:r>
      <w:r w:rsidRPr="00F33A95">
        <w:rPr>
          <w:rFonts w:ascii="Arial" w:hAnsi="Arial"/>
        </w:rPr>
        <w:t xml:space="preserve"> accionante no cuenta con otro mecanismo diferente a esta acción para procurar la defensa de los derechos invocados en su petición</w:t>
      </w:r>
      <w:r w:rsidRPr="00F33A95">
        <w:rPr>
          <w:rFonts w:ascii="Arial" w:hAnsi="Arial" w:cs="Arial"/>
        </w:rPr>
        <w:t xml:space="preserve">. Por consiguiente, como este asunto supera el test de procedencia, puede examinarse de fondo.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numPr>
          <w:ilvl w:val="2"/>
          <w:numId w:val="32"/>
        </w:numPr>
        <w:spacing w:line="360" w:lineRule="auto"/>
        <w:textAlignment w:val="auto"/>
        <w:rPr>
          <w:rFonts w:ascii="Arial" w:hAnsi="Arial" w:cs="Arial"/>
          <w:sz w:val="24"/>
          <w:szCs w:val="24"/>
        </w:rPr>
      </w:pPr>
      <w:r w:rsidRPr="00F33A95">
        <w:rPr>
          <w:rFonts w:ascii="Arial" w:hAnsi="Arial" w:cs="Arial"/>
          <w:sz w:val="24"/>
          <w:szCs w:val="24"/>
        </w:rPr>
        <w:t>La carencia actual de objeto</w:t>
      </w:r>
    </w:p>
    <w:p w:rsidR="00F33A95" w:rsidRPr="003A5C0C" w:rsidRDefault="00F33A95" w:rsidP="00F33A95">
      <w:pPr>
        <w:pStyle w:val="Textoindependiente"/>
        <w:spacing w:line="360" w:lineRule="auto"/>
        <w:rPr>
          <w:rFonts w:ascii="Arial" w:hAnsi="Arial" w:cs="Arial"/>
          <w:sz w:val="24"/>
          <w:szCs w:val="24"/>
          <w:lang w:val="es-CO"/>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4"/>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F33A95">
        <w:rPr>
          <w:rStyle w:val="Refdenotaalpie"/>
          <w:rFonts w:ascii="Arial" w:hAnsi="Arial"/>
          <w:i/>
          <w:sz w:val="24"/>
          <w:szCs w:val="24"/>
        </w:rPr>
        <w:footnoteReference w:id="5"/>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Refdenotaalpie"/>
          <w:rFonts w:ascii="Arial" w:hAnsi="Arial"/>
          <w:sz w:val="24"/>
          <w:szCs w:val="24"/>
        </w:rPr>
        <w:footnoteReference w:id="6"/>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7"/>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Textoindependien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8"/>
      </w:r>
      <w:r w:rsidRPr="00F33A95">
        <w:rPr>
          <w:rFonts w:ascii="Arial" w:hAnsi="Arial" w:cs="Arial"/>
        </w:rPr>
        <w:t xml:space="preserve">: (i) Debe comprobarse que con anterioridad a la </w:t>
      </w:r>
      <w:r w:rsidRPr="00F33A95">
        <w:rPr>
          <w:rFonts w:ascii="Arial" w:hAnsi="Arial" w:cs="Arial"/>
        </w:rPr>
        <w:lastRenderedPageBreak/>
        <w:t xml:space="preserve">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F33A95" w:rsidRPr="00F33A95" w:rsidRDefault="00F33A95" w:rsidP="00F33A95">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9"/>
      </w:r>
      <w:r w:rsidRPr="00F33A95">
        <w:rPr>
          <w:rFonts w:ascii="Arial" w:hAnsi="Arial" w:cs="Arial"/>
          <w:i/>
          <w:lang w:val="es-CO"/>
        </w:rPr>
        <w:t>.</w:t>
      </w:r>
    </w:p>
    <w:p w:rsidR="00F33A95" w:rsidRPr="00F33A95" w:rsidRDefault="00F33A95" w:rsidP="00F33A95">
      <w:pPr>
        <w:pStyle w:val="Textoindependiente"/>
        <w:spacing w:line="360" w:lineRule="auto"/>
        <w:rPr>
          <w:rFonts w:ascii="Arial" w:hAnsi="Arial" w:cs="Arial"/>
          <w:sz w:val="24"/>
          <w:szCs w:val="24"/>
        </w:rPr>
      </w:pPr>
    </w:p>
    <w:p w:rsidR="00F33A95" w:rsidRPr="00DD1EC0" w:rsidRDefault="00F33A95" w:rsidP="00F33A95">
      <w:pPr>
        <w:pStyle w:val="Textoindependiente"/>
        <w:spacing w:line="360" w:lineRule="auto"/>
        <w:rPr>
          <w:rFonts w:ascii="Arial" w:hAnsi="Arial" w:cs="Arial"/>
          <w:sz w:val="22"/>
          <w:szCs w:val="24"/>
          <w:lang w:val="es-CO"/>
        </w:rPr>
      </w:pPr>
      <w:r w:rsidRPr="00F33A95">
        <w:rPr>
          <w:rFonts w:ascii="Arial" w:hAnsi="Arial" w:cs="Arial"/>
          <w:sz w:val="24"/>
          <w:szCs w:val="24"/>
        </w:rPr>
        <w:t xml:space="preserve">Respecto de la segunda hipótesis, esto es, la carencia actual de objeto por daño consumado, ha dicho </w:t>
      </w:r>
      <w:r w:rsidRPr="00F33A95">
        <w:rPr>
          <w:rFonts w:ascii="Arial" w:hAnsi="Arial" w:cs="Arial"/>
          <w:sz w:val="24"/>
          <w:szCs w:val="24"/>
          <w:lang w:val="es-CO"/>
        </w:rPr>
        <w:t>la Corte Constitucional</w:t>
      </w:r>
      <w:r w:rsidRPr="00F33A95">
        <w:rPr>
          <w:rStyle w:val="Refdenotaalpie"/>
          <w:rFonts w:ascii="Arial" w:hAnsi="Arial" w:cs="Arial"/>
          <w:sz w:val="24"/>
          <w:szCs w:val="24"/>
        </w:rPr>
        <w:footnoteReference w:id="10"/>
      </w:r>
      <w:r w:rsidRPr="00F33A95">
        <w:rPr>
          <w:rFonts w:ascii="Arial" w:hAnsi="Arial" w:cs="Arial"/>
          <w:sz w:val="24"/>
          <w:szCs w:val="24"/>
        </w:rPr>
        <w:t xml:space="preserve"> </w:t>
      </w:r>
      <w:r w:rsidRPr="00F33A95">
        <w:rPr>
          <w:rFonts w:ascii="Arial" w:hAnsi="Arial" w:cs="Arial"/>
          <w:sz w:val="24"/>
          <w:szCs w:val="24"/>
          <w:lang w:val="es-CO"/>
        </w:rPr>
        <w:t xml:space="preserve">que se manifiesta </w:t>
      </w:r>
      <w:r w:rsidRPr="00DD1EC0">
        <w:rPr>
          <w:rFonts w:ascii="Arial" w:hAnsi="Arial" w:cs="Arial"/>
          <w:i/>
          <w:sz w:val="22"/>
          <w:szCs w:val="24"/>
          <w:lang w:val="es-CO"/>
        </w:rPr>
        <w:t xml:space="preserve">“(…) </w:t>
      </w:r>
      <w:r w:rsidRPr="00DD1EC0">
        <w:rPr>
          <w:rFonts w:ascii="Arial" w:hAnsi="Arial" w:cs="Arial"/>
          <w:i/>
          <w:iCs/>
          <w:sz w:val="22"/>
          <w:szCs w:val="24"/>
          <w:bdr w:val="none" w:sz="0" w:space="0" w:color="auto" w:frame="1"/>
          <w:shd w:val="clear" w:color="auto" w:fill="FFFFFF"/>
          <w:lang w:val="es-ES"/>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r w:rsidRPr="00DD1EC0">
        <w:rPr>
          <w:rFonts w:ascii="Arial" w:hAnsi="Arial" w:cs="Arial"/>
          <w:i/>
          <w:iCs/>
          <w:sz w:val="22"/>
          <w:szCs w:val="24"/>
          <w:bdr w:val="none" w:sz="0" w:space="0" w:color="auto" w:frame="1"/>
          <w:shd w:val="clear" w:color="auto" w:fill="FFFFFF"/>
        </w:rPr>
        <w:t>.”</w:t>
      </w:r>
    </w:p>
    <w:p w:rsidR="00BD4739" w:rsidRDefault="00BD4739" w:rsidP="00F33A95">
      <w:pPr>
        <w:pStyle w:val="Textoindependiente"/>
        <w:spacing w:line="360" w:lineRule="auto"/>
        <w:rPr>
          <w:rFonts w:ascii="Arial" w:hAnsi="Arial" w:cs="Arial"/>
          <w:color w:val="000000"/>
          <w:sz w:val="24"/>
          <w:szCs w:val="24"/>
          <w:shd w:val="clear" w:color="auto" w:fill="FFFFFF"/>
        </w:rPr>
      </w:pPr>
    </w:p>
    <w:p w:rsidR="00F33A95" w:rsidRPr="000145F0" w:rsidRDefault="00F33A95" w:rsidP="00F33A95">
      <w:pPr>
        <w:pStyle w:val="Textoindependiente"/>
        <w:spacing w:line="360" w:lineRule="auto"/>
        <w:rPr>
          <w:rFonts w:ascii="Arial" w:hAnsi="Arial" w:cs="Arial"/>
          <w:i/>
          <w:iCs/>
          <w:color w:val="000000"/>
          <w:sz w:val="24"/>
          <w:szCs w:val="24"/>
          <w:bdr w:val="none" w:sz="0" w:space="0" w:color="auto" w:frame="1"/>
          <w:shd w:val="clear" w:color="auto" w:fill="FFFFFF"/>
        </w:rPr>
      </w:pPr>
      <w:r w:rsidRPr="00F33A95">
        <w:rPr>
          <w:rFonts w:ascii="Arial" w:hAnsi="Arial" w:cs="Arial"/>
          <w:color w:val="000000"/>
          <w:sz w:val="24"/>
          <w:szCs w:val="24"/>
          <w:shd w:val="clear" w:color="auto" w:fill="FFFFFF"/>
        </w:rPr>
        <w:t>No obstante, es preciso reseñar que existen otras formas de materializar la carencia actual de objeto, entre ellas, la sustracción de materia, que según lo refiere la Corte</w:t>
      </w:r>
      <w:r w:rsidRPr="00F33A95">
        <w:rPr>
          <w:rStyle w:val="Refdenotaalpie"/>
          <w:rFonts w:ascii="Arial" w:hAnsi="Arial"/>
          <w:color w:val="000000"/>
          <w:sz w:val="24"/>
          <w:szCs w:val="24"/>
          <w:shd w:val="clear" w:color="auto" w:fill="FFFFFF"/>
        </w:rPr>
        <w:footnoteReference w:id="11"/>
      </w:r>
      <w:r w:rsidRPr="00F33A95">
        <w:rPr>
          <w:rFonts w:ascii="Arial" w:hAnsi="Arial" w:cs="Arial"/>
          <w:color w:val="000000"/>
          <w:sz w:val="24"/>
          <w:szCs w:val="24"/>
          <w:shd w:val="clear" w:color="auto" w:fill="FFFFFF"/>
        </w:rPr>
        <w:t xml:space="preserve">, se presenta cuando acaece un hecho, que no guarda relación alguna con el objeto de la acción, pero </w:t>
      </w:r>
      <w:r w:rsidRPr="000145F0">
        <w:rPr>
          <w:rFonts w:ascii="Arial" w:hAnsi="Arial" w:cs="Arial"/>
          <w:color w:val="000000"/>
          <w:sz w:val="24"/>
          <w:szCs w:val="24"/>
          <w:shd w:val="clear" w:color="auto" w:fill="FFFFFF"/>
        </w:rPr>
        <w:t xml:space="preserve">impide que lo pretendido pueda ser satisfecho, de tal suerte, que las órdenes que llegaren a impartirse serían </w:t>
      </w:r>
      <w:r w:rsidR="00F81BD6" w:rsidRPr="000145F0">
        <w:rPr>
          <w:rFonts w:ascii="Arial" w:hAnsi="Arial" w:cs="Arial"/>
          <w:color w:val="000000"/>
          <w:sz w:val="24"/>
          <w:szCs w:val="24"/>
          <w:shd w:val="clear" w:color="auto" w:fill="FFFFFF"/>
        </w:rPr>
        <w:t>inútiles</w:t>
      </w:r>
      <w:r w:rsidRPr="000145F0">
        <w:rPr>
          <w:rFonts w:ascii="Arial" w:hAnsi="Arial" w:cs="Arial"/>
          <w:i/>
          <w:iCs/>
          <w:color w:val="000000"/>
          <w:sz w:val="24"/>
          <w:szCs w:val="24"/>
          <w:bdr w:val="none" w:sz="0" w:space="0" w:color="auto" w:frame="1"/>
          <w:shd w:val="clear" w:color="auto" w:fill="FFFFFF"/>
        </w:rPr>
        <w:t>.</w:t>
      </w:r>
    </w:p>
    <w:p w:rsidR="007E1963" w:rsidRPr="005D64FE" w:rsidRDefault="007E1963" w:rsidP="001042EB">
      <w:pPr>
        <w:pStyle w:val="Textoindependiente"/>
        <w:spacing w:line="360" w:lineRule="auto"/>
        <w:ind w:left="567" w:right="567"/>
        <w:rPr>
          <w:rFonts w:ascii="Arial" w:hAnsi="Arial" w:cs="Arial"/>
          <w:szCs w:val="24"/>
        </w:rPr>
      </w:pPr>
    </w:p>
    <w:p w:rsidR="009565CF" w:rsidRPr="005D64FE" w:rsidRDefault="009565CF" w:rsidP="001042EB">
      <w:pPr>
        <w:pStyle w:val="Textoindependiente"/>
        <w:spacing w:line="360" w:lineRule="auto"/>
        <w:rPr>
          <w:rFonts w:ascii="Arial" w:hAnsi="Arial" w:cs="Arial"/>
          <w:szCs w:val="24"/>
        </w:rPr>
      </w:pPr>
    </w:p>
    <w:p w:rsidR="002F2011" w:rsidRPr="000145F0" w:rsidRDefault="002F2011" w:rsidP="002F2011">
      <w:pPr>
        <w:pStyle w:val="Prrafodelista"/>
        <w:numPr>
          <w:ilvl w:val="0"/>
          <w:numId w:val="18"/>
        </w:numPr>
        <w:spacing w:line="360" w:lineRule="auto"/>
        <w:jc w:val="both"/>
        <w:rPr>
          <w:rFonts w:ascii="Arial" w:hAnsi="Arial" w:cs="Arial"/>
          <w:sz w:val="24"/>
          <w:szCs w:val="24"/>
        </w:rPr>
      </w:pPr>
      <w:r w:rsidRPr="000145F0">
        <w:rPr>
          <w:rFonts w:ascii="Arial" w:hAnsi="Arial" w:cs="Arial"/>
          <w:sz w:val="24"/>
          <w:szCs w:val="24"/>
        </w:rPr>
        <w:t xml:space="preserve">EL CASO CONCRETO </w:t>
      </w:r>
    </w:p>
    <w:p w:rsidR="002F2011" w:rsidRPr="005D64FE" w:rsidRDefault="002F2011" w:rsidP="002F2011">
      <w:pPr>
        <w:pStyle w:val="Prrafodelista"/>
        <w:spacing w:after="0" w:line="360" w:lineRule="auto"/>
        <w:ind w:left="390"/>
        <w:jc w:val="both"/>
        <w:rPr>
          <w:rFonts w:ascii="Arial" w:hAnsi="Arial" w:cs="Arial"/>
          <w:sz w:val="20"/>
          <w:szCs w:val="24"/>
        </w:rPr>
      </w:pPr>
    </w:p>
    <w:p w:rsidR="00514705" w:rsidRPr="000145F0" w:rsidRDefault="00514705" w:rsidP="00514705">
      <w:pPr>
        <w:pStyle w:val="Textoindependiente"/>
        <w:spacing w:line="360" w:lineRule="auto"/>
        <w:rPr>
          <w:rFonts w:ascii="Arial" w:hAnsi="Arial"/>
          <w:sz w:val="24"/>
          <w:szCs w:val="24"/>
        </w:rPr>
      </w:pPr>
      <w:r w:rsidRPr="000145F0">
        <w:rPr>
          <w:rFonts w:ascii="Arial" w:hAnsi="Arial"/>
          <w:sz w:val="24"/>
          <w:szCs w:val="24"/>
        </w:rPr>
        <w:t xml:space="preserve">Se pretendía con la acción se ordenara </w:t>
      </w:r>
      <w:r w:rsidR="001878F8">
        <w:rPr>
          <w:rFonts w:ascii="Arial" w:hAnsi="Arial"/>
          <w:sz w:val="24"/>
          <w:szCs w:val="24"/>
        </w:rPr>
        <w:t>remitir el expediente del trámite de calificación de pérdida de capacidad labora</w:t>
      </w:r>
      <w:r w:rsidR="0048202A">
        <w:rPr>
          <w:rFonts w:ascii="Arial" w:hAnsi="Arial"/>
          <w:sz w:val="24"/>
          <w:szCs w:val="24"/>
        </w:rPr>
        <w:t>l de la accionante, a la Junta Regional de Calificación de Invalidez de Risaralda, para que resolviera el “recurso” presentado el día 30-03</w:t>
      </w:r>
      <w:r w:rsidR="00251042" w:rsidRPr="000145F0">
        <w:rPr>
          <w:rFonts w:ascii="Arial" w:hAnsi="Arial"/>
          <w:sz w:val="24"/>
          <w:szCs w:val="24"/>
        </w:rPr>
        <w:t>-2016</w:t>
      </w:r>
      <w:r w:rsidRPr="000145F0">
        <w:rPr>
          <w:rFonts w:ascii="Arial" w:hAnsi="Arial" w:cs="Arial"/>
          <w:sz w:val="24"/>
          <w:szCs w:val="24"/>
        </w:rPr>
        <w:t xml:space="preserve">, </w:t>
      </w:r>
      <w:r w:rsidR="003A5C0C">
        <w:rPr>
          <w:rFonts w:ascii="Arial" w:hAnsi="Arial" w:cs="Arial"/>
          <w:sz w:val="24"/>
          <w:szCs w:val="24"/>
        </w:rPr>
        <w:t xml:space="preserve">y </w:t>
      </w:r>
      <w:r w:rsidRPr="000145F0">
        <w:rPr>
          <w:rFonts w:ascii="Arial" w:hAnsi="Arial" w:cs="Arial"/>
          <w:sz w:val="24"/>
          <w:szCs w:val="24"/>
          <w:lang w:val="es-CO" w:eastAsia="es-CO"/>
        </w:rPr>
        <w:t xml:space="preserve">según lo informa el accionado, </w:t>
      </w:r>
      <w:r w:rsidR="00FB13FA">
        <w:rPr>
          <w:rFonts w:ascii="Arial" w:hAnsi="Arial" w:cs="Arial"/>
          <w:sz w:val="24"/>
          <w:szCs w:val="24"/>
          <w:lang w:val="es-CO" w:eastAsia="es-CO"/>
        </w:rPr>
        <w:t xml:space="preserve">el día 19-05-2016 entregó el asunto a la referida junta (Folio 55, este cuaderno), además, </w:t>
      </w:r>
      <w:r w:rsidR="0048202A">
        <w:rPr>
          <w:rFonts w:ascii="Arial" w:hAnsi="Arial" w:cs="Arial"/>
          <w:sz w:val="24"/>
          <w:szCs w:val="24"/>
          <w:lang w:val="es-CO" w:eastAsia="es-CO"/>
        </w:rPr>
        <w:t xml:space="preserve">con </w:t>
      </w:r>
      <w:r w:rsidR="00FB13FA">
        <w:rPr>
          <w:rFonts w:ascii="Arial" w:hAnsi="Arial" w:cs="Arial"/>
          <w:sz w:val="24"/>
          <w:szCs w:val="24"/>
          <w:lang w:val="es-CO" w:eastAsia="es-CO"/>
        </w:rPr>
        <w:t xml:space="preserve">la </w:t>
      </w:r>
      <w:r w:rsidR="0048202A">
        <w:rPr>
          <w:rFonts w:ascii="Arial" w:hAnsi="Arial" w:cs="Arial"/>
          <w:sz w:val="24"/>
          <w:szCs w:val="24"/>
          <w:lang w:val="es-CO" w:eastAsia="es-CO"/>
        </w:rPr>
        <w:t xml:space="preserve">resolución No.00316 de 20-06-2016 ordenó el pago de los dineros para </w:t>
      </w:r>
      <w:r w:rsidR="00FB13FA">
        <w:rPr>
          <w:rFonts w:ascii="Arial" w:hAnsi="Arial" w:cs="Arial"/>
          <w:sz w:val="24"/>
          <w:szCs w:val="24"/>
          <w:lang w:val="es-CO" w:eastAsia="es-CO"/>
        </w:rPr>
        <w:t xml:space="preserve">que se realice </w:t>
      </w:r>
      <w:r w:rsidR="0048202A">
        <w:rPr>
          <w:rFonts w:ascii="Arial" w:hAnsi="Arial" w:cs="Arial"/>
          <w:sz w:val="24"/>
          <w:szCs w:val="24"/>
          <w:lang w:val="es-CO" w:eastAsia="es-CO"/>
        </w:rPr>
        <w:t xml:space="preserve">la calificación </w:t>
      </w:r>
      <w:r w:rsidR="00FB13FA">
        <w:rPr>
          <w:rFonts w:ascii="Arial" w:hAnsi="Arial" w:cs="Arial"/>
          <w:sz w:val="24"/>
          <w:szCs w:val="24"/>
          <w:lang w:val="es-CO" w:eastAsia="es-CO"/>
        </w:rPr>
        <w:t>(Folios 40 a 48, ibídem).</w:t>
      </w:r>
      <w:r w:rsidRPr="000145F0">
        <w:rPr>
          <w:rFonts w:ascii="Arial" w:hAnsi="Arial"/>
          <w:sz w:val="24"/>
          <w:szCs w:val="24"/>
        </w:rPr>
        <w:t xml:space="preserve"> </w:t>
      </w:r>
    </w:p>
    <w:p w:rsidR="00514705" w:rsidRPr="005D64FE" w:rsidRDefault="00514705" w:rsidP="00514705">
      <w:pPr>
        <w:pStyle w:val="Textoindependiente"/>
        <w:spacing w:line="360" w:lineRule="auto"/>
        <w:rPr>
          <w:rFonts w:ascii="Arial" w:hAnsi="Arial"/>
          <w:szCs w:val="24"/>
        </w:rPr>
      </w:pPr>
    </w:p>
    <w:p w:rsidR="00514705" w:rsidRPr="000145F0" w:rsidRDefault="00514705" w:rsidP="00514705">
      <w:pPr>
        <w:pStyle w:val="Textoindependiente"/>
        <w:spacing w:line="360" w:lineRule="auto"/>
        <w:rPr>
          <w:rFonts w:ascii="Arial" w:hAnsi="Arial" w:cs="Arial"/>
          <w:sz w:val="24"/>
          <w:szCs w:val="24"/>
        </w:rPr>
      </w:pPr>
      <w:r w:rsidRPr="000145F0">
        <w:rPr>
          <w:rFonts w:ascii="Arial" w:hAnsi="Arial" w:cs="Arial"/>
          <w:sz w:val="24"/>
          <w:szCs w:val="24"/>
          <w:lang w:val="es-CO" w:eastAsia="es-CO"/>
        </w:rPr>
        <w:t xml:space="preserve">Por lo tanto, si hubo vulneración o amenaza </w:t>
      </w:r>
      <w:r w:rsidR="00FB13FA">
        <w:rPr>
          <w:rFonts w:ascii="Arial" w:hAnsi="Arial" w:cs="Arial"/>
          <w:sz w:val="24"/>
          <w:szCs w:val="24"/>
          <w:lang w:val="es-CO" w:eastAsia="es-CO"/>
        </w:rPr>
        <w:t>al derecho</w:t>
      </w:r>
      <w:r w:rsidR="00EE1611">
        <w:rPr>
          <w:rFonts w:ascii="Arial" w:hAnsi="Arial" w:cs="Arial"/>
          <w:sz w:val="24"/>
          <w:szCs w:val="24"/>
          <w:lang w:val="es-CO" w:eastAsia="es-CO"/>
        </w:rPr>
        <w:t xml:space="preserve"> </w:t>
      </w:r>
      <w:r w:rsidR="00FB13FA">
        <w:rPr>
          <w:rFonts w:ascii="Arial" w:hAnsi="Arial" w:cs="Arial"/>
          <w:sz w:val="24"/>
          <w:szCs w:val="24"/>
          <w:lang w:val="es-CO" w:eastAsia="es-CO"/>
        </w:rPr>
        <w:t>al debido proceso</w:t>
      </w:r>
      <w:r w:rsidRPr="000145F0">
        <w:rPr>
          <w:rFonts w:ascii="Arial" w:hAnsi="Arial" w:cs="Arial"/>
          <w:sz w:val="24"/>
          <w:szCs w:val="24"/>
          <w:lang w:val="es-CO" w:eastAsia="es-CO"/>
        </w:rPr>
        <w:t xml:space="preserve">, cesó; en consecuencia </w:t>
      </w:r>
      <w:r w:rsidRPr="000145F0">
        <w:rPr>
          <w:rFonts w:ascii="Arial" w:hAnsi="Arial" w:cs="Arial"/>
          <w:sz w:val="24"/>
          <w:szCs w:val="24"/>
        </w:rPr>
        <w:t xml:space="preserve">no hay objeto jurídico sobre el cual fallar y la decisión que se adopte resultará </w:t>
      </w:r>
      <w:r w:rsidR="00FB4B9E" w:rsidRPr="000145F0">
        <w:rPr>
          <w:rFonts w:ascii="Arial" w:hAnsi="Arial" w:cs="Arial"/>
          <w:sz w:val="24"/>
          <w:szCs w:val="24"/>
        </w:rPr>
        <w:t>inútil</w:t>
      </w:r>
      <w:r w:rsidRPr="000145F0">
        <w:rPr>
          <w:rFonts w:ascii="Arial" w:hAnsi="Arial" w:cs="Arial"/>
          <w:sz w:val="24"/>
          <w:szCs w:val="24"/>
        </w:rPr>
        <w:t xml:space="preserve">. De esta manera, se configura el hecho superado, pues la pretensión se encuentra satisfecha y </w:t>
      </w:r>
      <w:r w:rsidR="00FB13FA">
        <w:rPr>
          <w:rFonts w:ascii="Arial" w:hAnsi="Arial" w:cs="Arial"/>
          <w:sz w:val="24"/>
          <w:szCs w:val="24"/>
        </w:rPr>
        <w:t>el derecho</w:t>
      </w:r>
      <w:r w:rsidRPr="000145F0">
        <w:rPr>
          <w:rFonts w:ascii="Arial" w:hAnsi="Arial" w:cs="Arial"/>
          <w:sz w:val="24"/>
          <w:szCs w:val="24"/>
        </w:rPr>
        <w:t xml:space="preserve"> a salvo. </w:t>
      </w:r>
    </w:p>
    <w:p w:rsidR="00DD1EC0" w:rsidRPr="005D64FE" w:rsidRDefault="00DD1EC0" w:rsidP="00DD1EC0">
      <w:pPr>
        <w:pStyle w:val="Textoindependiente"/>
        <w:spacing w:line="360" w:lineRule="auto"/>
        <w:rPr>
          <w:rFonts w:ascii="Arial" w:hAnsi="Arial" w:cs="Arial"/>
          <w:szCs w:val="24"/>
        </w:rPr>
      </w:pPr>
    </w:p>
    <w:p w:rsidR="00DD1EC0" w:rsidRPr="000145F0" w:rsidRDefault="00DD1EC0" w:rsidP="00DD1EC0">
      <w:pPr>
        <w:pStyle w:val="Textoindependiente"/>
        <w:spacing w:line="360" w:lineRule="auto"/>
        <w:rPr>
          <w:rFonts w:ascii="Arial" w:hAnsi="Arial" w:cs="Arial"/>
          <w:sz w:val="24"/>
          <w:szCs w:val="24"/>
        </w:rPr>
      </w:pPr>
      <w:r w:rsidRPr="000145F0">
        <w:rPr>
          <w:rFonts w:ascii="Arial" w:hAnsi="Arial" w:cs="Arial"/>
          <w:sz w:val="24"/>
          <w:szCs w:val="24"/>
        </w:rPr>
        <w:t xml:space="preserve">En ese orden de ideas, considera la Sala fundados los argumentos expuestos en la impugnación, por lo que </w:t>
      </w:r>
      <w:r w:rsidR="00F14049">
        <w:rPr>
          <w:rFonts w:ascii="Arial" w:hAnsi="Arial" w:cs="Arial"/>
          <w:sz w:val="24"/>
          <w:szCs w:val="24"/>
        </w:rPr>
        <w:t xml:space="preserve">se declarará </w:t>
      </w:r>
      <w:r w:rsidRPr="000145F0">
        <w:rPr>
          <w:rFonts w:ascii="Arial" w:hAnsi="Arial" w:cs="Arial"/>
          <w:sz w:val="24"/>
          <w:szCs w:val="24"/>
        </w:rPr>
        <w:t>la carencia actual de objeto por el hecho superado.</w:t>
      </w:r>
      <w:r w:rsidR="00FB13FA">
        <w:rPr>
          <w:rFonts w:ascii="Arial" w:hAnsi="Arial" w:cs="Arial"/>
          <w:sz w:val="24"/>
          <w:szCs w:val="24"/>
        </w:rPr>
        <w:t xml:space="preserve"> </w:t>
      </w:r>
    </w:p>
    <w:p w:rsidR="00CE32AE" w:rsidRPr="000145F0" w:rsidRDefault="00CE32AE" w:rsidP="00CE32AE">
      <w:pPr>
        <w:pStyle w:val="Textoindependiente"/>
        <w:numPr>
          <w:ilvl w:val="0"/>
          <w:numId w:val="20"/>
        </w:numPr>
        <w:spacing w:line="360" w:lineRule="auto"/>
        <w:ind w:left="851" w:right="567" w:hanging="851"/>
        <w:rPr>
          <w:rFonts w:ascii="Arial" w:hAnsi="Arial" w:cs="Arial"/>
          <w:sz w:val="24"/>
          <w:szCs w:val="24"/>
          <w:lang w:val="es-CO"/>
        </w:rPr>
      </w:pPr>
      <w:r w:rsidRPr="000145F0">
        <w:rPr>
          <w:rFonts w:ascii="Arial" w:hAnsi="Arial" w:cs="Arial"/>
          <w:sz w:val="24"/>
          <w:szCs w:val="24"/>
          <w:lang w:val="es-CO"/>
        </w:rPr>
        <w:lastRenderedPageBreak/>
        <w:t xml:space="preserve">LAS CONCLUSIONES </w:t>
      </w:r>
    </w:p>
    <w:p w:rsidR="00CE32AE" w:rsidRPr="00330FD7" w:rsidRDefault="00CE32AE" w:rsidP="00CE32AE">
      <w:pPr>
        <w:spacing w:line="360" w:lineRule="auto"/>
        <w:jc w:val="both"/>
        <w:rPr>
          <w:rFonts w:ascii="Arial" w:hAnsi="Arial" w:cs="Arial"/>
          <w:sz w:val="18"/>
          <w:lang w:val="es-CO"/>
        </w:rPr>
      </w:pPr>
    </w:p>
    <w:p w:rsidR="00DD1EC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1A3195">
        <w:rPr>
          <w:rFonts w:ascii="Arial" w:hAnsi="Arial"/>
        </w:rPr>
        <w:t xml:space="preserve">confirmará </w:t>
      </w:r>
      <w:r w:rsidR="00330FD7">
        <w:rPr>
          <w:rFonts w:ascii="Arial" w:hAnsi="Arial"/>
        </w:rPr>
        <w:t xml:space="preserve">parcialmente </w:t>
      </w:r>
      <w:r w:rsidR="00F81BD6" w:rsidRPr="000145F0">
        <w:rPr>
          <w:rFonts w:ascii="Arial" w:hAnsi="Arial"/>
        </w:rPr>
        <w:t>la</w:t>
      </w:r>
      <w:r w:rsidR="001A3195">
        <w:rPr>
          <w:rFonts w:ascii="Arial" w:hAnsi="Arial"/>
        </w:rPr>
        <w:t xml:space="preserve"> sentencia de primera instancia</w:t>
      </w:r>
      <w:r w:rsidRPr="000145F0">
        <w:rPr>
          <w:rFonts w:ascii="Arial" w:hAnsi="Arial"/>
        </w:rPr>
        <w:t xml:space="preserve">; </w:t>
      </w:r>
      <w:r w:rsidR="00330FD7">
        <w:rPr>
          <w:rFonts w:ascii="Arial" w:hAnsi="Arial"/>
        </w:rPr>
        <w:t>(ii) Se modificará el numeral 2º para excluir a la Coordinación Grupo Interno de Trabajo de Medicina Laboral de la Gerencia Nacional de Reconocimiento, por inexistencia de vulneración o amenaza; (iii) Se revocará el 3º, y en su lugar, se negará la tutela contra la Junta Regional de Calificación de Invalidez de Risaralda; y,</w:t>
      </w:r>
      <w:r w:rsidRPr="000145F0">
        <w:rPr>
          <w:rFonts w:ascii="Arial" w:hAnsi="Arial"/>
        </w:rPr>
        <w:t xml:space="preserve"> (i</w:t>
      </w:r>
      <w:r w:rsidR="00330FD7">
        <w:rPr>
          <w:rFonts w:ascii="Arial" w:hAnsi="Arial"/>
        </w:rPr>
        <w:t>v</w:t>
      </w:r>
      <w:r w:rsidRPr="000145F0">
        <w:rPr>
          <w:rFonts w:ascii="Arial" w:hAnsi="Arial"/>
        </w:rPr>
        <w:t>)</w:t>
      </w:r>
      <w:r w:rsidR="00F81BD6" w:rsidRPr="000145F0">
        <w:rPr>
          <w:rFonts w:ascii="Arial" w:hAnsi="Arial"/>
        </w:rPr>
        <w:t xml:space="preserve"> Se </w:t>
      </w:r>
      <w:r w:rsidR="001A3195" w:rsidRPr="000145F0">
        <w:rPr>
          <w:rFonts w:ascii="Arial" w:hAnsi="Arial"/>
        </w:rPr>
        <w:t>declarar</w:t>
      </w:r>
      <w:r w:rsidR="001A3195">
        <w:rPr>
          <w:rFonts w:ascii="Arial" w:hAnsi="Arial"/>
        </w:rPr>
        <w:t>á</w:t>
      </w:r>
      <w:r w:rsidR="001A3195" w:rsidRPr="000145F0">
        <w:rPr>
          <w:rFonts w:ascii="Arial" w:hAnsi="Arial"/>
        </w:rPr>
        <w:t xml:space="preserve"> la carencia actual de objeto por el hecho superado</w:t>
      </w:r>
      <w:r w:rsidRPr="000145F0">
        <w:rPr>
          <w:rFonts w:ascii="Arial" w:hAnsi="Arial"/>
        </w:rPr>
        <w:t>.</w:t>
      </w:r>
    </w:p>
    <w:p w:rsidR="00F14049" w:rsidRPr="00330FD7" w:rsidRDefault="00F14049" w:rsidP="00DD1EC0">
      <w:pPr>
        <w:spacing w:line="360" w:lineRule="auto"/>
        <w:ind w:right="51"/>
        <w:jc w:val="both"/>
        <w:rPr>
          <w:rFonts w:ascii="Arial" w:hAnsi="Arial"/>
          <w:sz w:val="18"/>
        </w:rPr>
      </w:pPr>
    </w:p>
    <w:p w:rsidR="00DD1EC0" w:rsidRPr="000145F0" w:rsidRDefault="00DD1EC0" w:rsidP="00DD1EC0">
      <w:pPr>
        <w:tabs>
          <w:tab w:val="left" w:pos="-720"/>
        </w:tabs>
        <w:suppressAutoHyphens/>
        <w:spacing w:line="360" w:lineRule="auto"/>
        <w:jc w:val="both"/>
        <w:rPr>
          <w:rFonts w:ascii="Arial" w:hAnsi="Arial" w:cs="Arial"/>
        </w:rPr>
      </w:pPr>
      <w:r w:rsidRPr="000145F0">
        <w:rPr>
          <w:rFonts w:ascii="Arial" w:hAnsi="Arial" w:cs="Arial"/>
        </w:rPr>
        <w:t xml:space="preserve">En mérito de los razonamientos jurídicos hechos, el </w:t>
      </w:r>
      <w:r w:rsidRPr="000145F0">
        <w:rPr>
          <w:rFonts w:ascii="Arial" w:hAnsi="Arial" w:cs="Arial"/>
          <w:bCs/>
          <w:smallCaps/>
        </w:rPr>
        <w:t>Tribunal Superior del Distrito Judicial de Pereira, en Sala decisión Civil - Familia</w:t>
      </w:r>
      <w:r w:rsidRPr="000145F0">
        <w:rPr>
          <w:rFonts w:ascii="Arial" w:hAnsi="Arial" w:cs="Arial"/>
        </w:rPr>
        <w:t>, administrando Justicia, en nombre de la República y por autoridad de la Ley,</w:t>
      </w:r>
    </w:p>
    <w:p w:rsidR="00DD1EC0" w:rsidRPr="000145F0" w:rsidRDefault="00DD1EC0" w:rsidP="00DD1EC0">
      <w:pPr>
        <w:pStyle w:val="Textoindependiente"/>
        <w:spacing w:line="360" w:lineRule="auto"/>
        <w:jc w:val="center"/>
        <w:rPr>
          <w:rFonts w:ascii="Arial" w:hAnsi="Arial" w:cs="Arial"/>
          <w:bCs/>
          <w:smallCaps/>
          <w:sz w:val="24"/>
          <w:szCs w:val="24"/>
        </w:rPr>
      </w:pPr>
      <w:r w:rsidRPr="000145F0">
        <w:rPr>
          <w:rFonts w:ascii="Arial" w:hAnsi="Arial" w:cs="Arial"/>
          <w:bCs/>
          <w:smallCaps/>
          <w:sz w:val="24"/>
          <w:szCs w:val="24"/>
        </w:rPr>
        <w:t xml:space="preserve">F a l </w:t>
      </w:r>
      <w:proofErr w:type="spellStart"/>
      <w:r w:rsidRPr="000145F0">
        <w:rPr>
          <w:rFonts w:ascii="Arial" w:hAnsi="Arial" w:cs="Arial"/>
          <w:bCs/>
          <w:smallCaps/>
          <w:sz w:val="24"/>
          <w:szCs w:val="24"/>
        </w:rPr>
        <w:t>l</w:t>
      </w:r>
      <w:proofErr w:type="spellEnd"/>
      <w:r w:rsidRPr="000145F0">
        <w:rPr>
          <w:rFonts w:ascii="Arial" w:hAnsi="Arial" w:cs="Arial"/>
          <w:bCs/>
          <w:smallCaps/>
          <w:sz w:val="24"/>
          <w:szCs w:val="24"/>
        </w:rPr>
        <w:t xml:space="preserve"> a:</w:t>
      </w:r>
    </w:p>
    <w:p w:rsidR="00F81BD6" w:rsidRPr="00330FD7" w:rsidRDefault="00F81BD6" w:rsidP="00F81BD6">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DD1EC0" w:rsidRPr="001A3195" w:rsidRDefault="00DD1EC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sidRPr="00DD1EC0">
        <w:rPr>
          <w:rFonts w:ascii="Arial" w:hAnsi="Arial"/>
          <w:spacing w:val="-3"/>
          <w:sz w:val="24"/>
          <w:szCs w:val="24"/>
          <w:lang w:val="es-ES_tradnl"/>
        </w:rPr>
        <w:t xml:space="preserve">CONFIRMAR </w:t>
      </w:r>
      <w:r w:rsidR="00330FD7">
        <w:rPr>
          <w:rFonts w:ascii="Arial" w:hAnsi="Arial"/>
          <w:sz w:val="24"/>
          <w:szCs w:val="24"/>
        </w:rPr>
        <w:t xml:space="preserve">parcialmente </w:t>
      </w:r>
      <w:r w:rsidR="001A3195" w:rsidRPr="00DD1EC0">
        <w:rPr>
          <w:rFonts w:ascii="Arial" w:hAnsi="Arial"/>
          <w:sz w:val="24"/>
          <w:szCs w:val="24"/>
        </w:rPr>
        <w:t xml:space="preserve">la sentencia del día </w:t>
      </w:r>
      <w:r w:rsidR="00330FD7">
        <w:rPr>
          <w:rFonts w:ascii="Arial" w:hAnsi="Arial"/>
          <w:sz w:val="24"/>
          <w:szCs w:val="24"/>
        </w:rPr>
        <w:t xml:space="preserve">18-05-2016 </w:t>
      </w:r>
      <w:r w:rsidR="001A3195" w:rsidRPr="00DD1EC0">
        <w:rPr>
          <w:rFonts w:ascii="Arial" w:hAnsi="Arial"/>
          <w:sz w:val="24"/>
          <w:szCs w:val="24"/>
        </w:rPr>
        <w:t xml:space="preserve">proferida por el Juzgado </w:t>
      </w:r>
      <w:r w:rsidR="001A3195">
        <w:rPr>
          <w:rFonts w:ascii="Arial" w:hAnsi="Arial"/>
          <w:sz w:val="24"/>
          <w:szCs w:val="24"/>
        </w:rPr>
        <w:t xml:space="preserve">Segundo Civil del Circuito de </w:t>
      </w:r>
      <w:r w:rsidR="001A3195" w:rsidRPr="00DD1EC0">
        <w:rPr>
          <w:rFonts w:ascii="Arial" w:hAnsi="Arial"/>
          <w:sz w:val="24"/>
          <w:szCs w:val="24"/>
        </w:rPr>
        <w:t>esta ciudad</w:t>
      </w:r>
      <w:r w:rsidRPr="00DD1EC0">
        <w:rPr>
          <w:rFonts w:ascii="Arial" w:hAnsi="Arial"/>
          <w:sz w:val="24"/>
          <w:szCs w:val="24"/>
        </w:rPr>
        <w:t>.</w:t>
      </w:r>
    </w:p>
    <w:p w:rsidR="001A3195" w:rsidRPr="00330FD7" w:rsidRDefault="001A3195" w:rsidP="001A3195">
      <w:pPr>
        <w:tabs>
          <w:tab w:val="left" w:pos="0"/>
          <w:tab w:val="left" w:pos="142"/>
          <w:tab w:val="num" w:pos="360"/>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spacing w:val="-3"/>
          <w:sz w:val="18"/>
          <w:lang w:val="es-ES_tradnl"/>
        </w:rPr>
      </w:pPr>
    </w:p>
    <w:p w:rsidR="00330FD7" w:rsidRPr="00330FD7" w:rsidRDefault="00330FD7"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t xml:space="preserve">MODIFICAR el numeral 2º para </w:t>
      </w:r>
      <w:r w:rsidRPr="00330FD7">
        <w:rPr>
          <w:rFonts w:ascii="Arial" w:hAnsi="Arial"/>
          <w:sz w:val="24"/>
          <w:szCs w:val="24"/>
          <w:lang w:val="es-ES"/>
        </w:rPr>
        <w:t>excluir a la Coordinación Grupo Interno de Trabajo de Medicina Laboral de la Gerencia Nacional de Reconocimiento, por inexistencia de vulneración o amenaza</w:t>
      </w:r>
      <w:r>
        <w:rPr>
          <w:rFonts w:ascii="Arial" w:hAnsi="Arial"/>
          <w:sz w:val="24"/>
          <w:szCs w:val="24"/>
          <w:lang w:val="es-ES"/>
        </w:rPr>
        <w:t xml:space="preserve">. </w:t>
      </w:r>
    </w:p>
    <w:p w:rsidR="00330FD7" w:rsidRPr="00330FD7" w:rsidRDefault="00330FD7" w:rsidP="00330FD7">
      <w:pPr>
        <w:pStyle w:val="Prrafodelista"/>
        <w:rPr>
          <w:rFonts w:ascii="Arial" w:hAnsi="Arial"/>
          <w:sz w:val="18"/>
          <w:szCs w:val="24"/>
        </w:rPr>
      </w:pPr>
    </w:p>
    <w:p w:rsidR="00330FD7" w:rsidRDefault="00330FD7"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Pr>
          <w:rFonts w:ascii="Arial" w:hAnsi="Arial"/>
          <w:sz w:val="24"/>
          <w:szCs w:val="24"/>
        </w:rPr>
        <w:t xml:space="preserve">REVOCAR el numeral 3º, y en su lugar, NEGAR la tutela frente a la </w:t>
      </w:r>
      <w:r w:rsidRPr="00330FD7">
        <w:rPr>
          <w:rFonts w:ascii="Arial" w:hAnsi="Arial"/>
          <w:sz w:val="24"/>
          <w:szCs w:val="24"/>
          <w:lang w:val="es-ES"/>
        </w:rPr>
        <w:t>Junta Regional de Calificación de Invalidez de Risaralda</w:t>
      </w:r>
      <w:r>
        <w:rPr>
          <w:rFonts w:ascii="Arial" w:hAnsi="Arial"/>
          <w:sz w:val="24"/>
          <w:szCs w:val="24"/>
          <w:lang w:val="es-ES"/>
        </w:rPr>
        <w:t>.</w:t>
      </w:r>
    </w:p>
    <w:p w:rsidR="00330FD7" w:rsidRPr="00330FD7" w:rsidRDefault="00330FD7" w:rsidP="00330FD7">
      <w:pPr>
        <w:pStyle w:val="Prrafodelista"/>
        <w:rPr>
          <w:rFonts w:ascii="Arial" w:hAnsi="Arial"/>
          <w:sz w:val="18"/>
          <w:szCs w:val="24"/>
        </w:rPr>
      </w:pPr>
    </w:p>
    <w:p w:rsidR="001A3195" w:rsidRPr="00F81BD6" w:rsidRDefault="001A3195"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DD1EC0" w:rsidRPr="00330FD7" w:rsidRDefault="00DD1EC0" w:rsidP="00DD1EC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18"/>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330FD7" w:rsidRDefault="00DD1EC0" w:rsidP="00DD1EC0">
      <w:pPr>
        <w:pStyle w:val="Prrafodelista"/>
        <w:spacing w:after="0" w:line="360" w:lineRule="auto"/>
        <w:ind w:left="360" w:right="51"/>
        <w:jc w:val="both"/>
        <w:rPr>
          <w:rFonts w:ascii="Arial" w:hAnsi="Arial"/>
          <w:sz w:val="18"/>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REMITIR este expediente, a la Corte Constitucional para su eventual revisión.</w:t>
      </w:r>
    </w:p>
    <w:p w:rsidR="003F672F" w:rsidRPr="005D64FE" w:rsidRDefault="003F672F" w:rsidP="003F672F">
      <w:pPr>
        <w:pStyle w:val="Textoindependiente"/>
        <w:tabs>
          <w:tab w:val="clear" w:pos="708"/>
        </w:tabs>
        <w:spacing w:line="360" w:lineRule="auto"/>
        <w:rPr>
          <w:rFonts w:ascii="Arial" w:hAnsi="Arial" w:cs="Arial"/>
          <w:sz w:val="8"/>
          <w:szCs w:val="24"/>
        </w:rPr>
      </w:pPr>
    </w:p>
    <w:p w:rsidR="003F672F" w:rsidRPr="003F672F" w:rsidRDefault="003F672F" w:rsidP="003F672F">
      <w:pPr>
        <w:pStyle w:val="Textoindependiente"/>
        <w:tabs>
          <w:tab w:val="clear" w:pos="708"/>
        </w:tabs>
        <w:spacing w:line="360" w:lineRule="auto"/>
        <w:jc w:val="center"/>
        <w:rPr>
          <w:rFonts w:ascii="Arial" w:hAnsi="Arial" w:cs="Arial"/>
          <w:szCs w:val="24"/>
        </w:rPr>
      </w:pPr>
      <w:r w:rsidRPr="003F672F">
        <w:rPr>
          <w:rFonts w:ascii="Arial" w:hAnsi="Arial"/>
          <w:smallCaps/>
          <w:sz w:val="24"/>
          <w:szCs w:val="24"/>
        </w:rPr>
        <w:t>Notifíquese,</w:t>
      </w:r>
    </w:p>
    <w:p w:rsidR="00C2274B" w:rsidRPr="005D64FE"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4736F9" w:rsidRPr="005D64FE"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0"/>
          <w:lang w:val="en-GB"/>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DD1EC0">
        <w:rPr>
          <w:rFonts w:ascii="Arial" w:hAnsi="Arial" w:cs="Arial"/>
          <w:spacing w:val="-3"/>
          <w:w w:val="150"/>
          <w:sz w:val="28"/>
          <w:lang w:val="es-CO"/>
        </w:rPr>
        <w:t>D</w:t>
      </w:r>
      <w:r w:rsidRPr="00DD1EC0">
        <w:rPr>
          <w:rFonts w:ascii="Arial" w:hAnsi="Arial" w:cs="Arial"/>
          <w:spacing w:val="-3"/>
          <w:w w:val="150"/>
          <w:sz w:val="18"/>
          <w:lang w:val="es-CO"/>
        </w:rPr>
        <w:t>UBERNEY</w:t>
      </w:r>
      <w:r w:rsidRPr="00DD1EC0">
        <w:rPr>
          <w:rFonts w:ascii="Arial" w:hAnsi="Arial" w:cs="Arial"/>
          <w:spacing w:val="-3"/>
          <w:w w:val="150"/>
          <w:lang w:val="es-CO"/>
        </w:rPr>
        <w:t xml:space="preserve"> </w:t>
      </w:r>
      <w:r w:rsidRPr="00DD1EC0">
        <w:rPr>
          <w:rFonts w:ascii="Arial" w:hAnsi="Arial" w:cs="Arial"/>
          <w:spacing w:val="-3"/>
          <w:w w:val="150"/>
          <w:sz w:val="28"/>
          <w:lang w:val="es-CO"/>
        </w:rPr>
        <w:t>G</w:t>
      </w:r>
      <w:r w:rsidRPr="00DD1EC0">
        <w:rPr>
          <w:rFonts w:ascii="Arial" w:hAnsi="Arial" w:cs="Arial"/>
          <w:spacing w:val="-3"/>
          <w:w w:val="150"/>
          <w:sz w:val="18"/>
          <w:lang w:val="es-CO"/>
        </w:rPr>
        <w:t>RISALES</w:t>
      </w:r>
      <w:r>
        <w:rPr>
          <w:rFonts w:ascii="Arial" w:hAnsi="Arial" w:cs="Arial"/>
          <w:spacing w:val="-3"/>
          <w:w w:val="150"/>
          <w:sz w:val="18"/>
          <w:szCs w:val="18"/>
          <w:lang w:val="es-CO"/>
        </w:rPr>
        <w:t xml:space="preserve"> </w:t>
      </w:r>
      <w:r>
        <w:rPr>
          <w:rFonts w:ascii="Arial" w:hAnsi="Arial" w:cs="Arial"/>
          <w:spacing w:val="-3"/>
          <w:w w:val="150"/>
          <w:sz w:val="28"/>
          <w:szCs w:val="18"/>
          <w:lang w:val="es-CO"/>
        </w:rPr>
        <w:t>H</w:t>
      </w:r>
      <w:r w:rsidRPr="00DD1EC0">
        <w:rPr>
          <w:rFonts w:ascii="Arial" w:hAnsi="Arial" w:cs="Arial"/>
          <w:spacing w:val="-3"/>
          <w:w w:val="150"/>
          <w:sz w:val="18"/>
          <w:szCs w:val="18"/>
          <w:lang w:val="es-CO"/>
        </w:rPr>
        <w:t>ERRERA</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6"/>
          <w:szCs w:val="20"/>
          <w:lang w:val="es-CO"/>
        </w:rPr>
      </w:pPr>
      <w:r>
        <w:rPr>
          <w:rFonts w:ascii="Arial" w:hAnsi="Arial" w:cs="Arial"/>
          <w:spacing w:val="-3"/>
          <w:w w:val="150"/>
          <w:sz w:val="32"/>
          <w:lang w:val="es-CO"/>
        </w:rPr>
        <w:t>M</w:t>
      </w:r>
      <w:r>
        <w:rPr>
          <w:rFonts w:ascii="Arial" w:hAnsi="Arial" w:cs="Arial"/>
          <w:spacing w:val="-3"/>
          <w:w w:val="150"/>
          <w:sz w:val="16"/>
          <w:lang w:val="es-CO"/>
        </w:rPr>
        <w:t xml:space="preserve"> </w:t>
      </w:r>
      <w:r>
        <w:rPr>
          <w:rFonts w:ascii="Arial" w:hAnsi="Arial" w:cs="Arial"/>
          <w:spacing w:val="-3"/>
          <w:w w:val="150"/>
          <w:sz w:val="18"/>
          <w:szCs w:val="20"/>
          <w:lang w:val="es-CO"/>
        </w:rPr>
        <w:t>A G I S T R A D O</w:t>
      </w: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18"/>
          <w:lang w:val="es-ES_tradnl"/>
        </w:rPr>
      </w:pPr>
    </w:p>
    <w:p w:rsidR="0017096D" w:rsidRPr="005D64F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0"/>
          <w:szCs w:val="18"/>
          <w:lang w:val="es-ES_tradnl"/>
        </w:rPr>
      </w:pPr>
    </w:p>
    <w:p w:rsidR="0017096D" w:rsidRPr="005D64FE"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6"/>
          <w:szCs w:val="18"/>
          <w:lang w:val="es-ES_tradnl"/>
        </w:rPr>
      </w:pPr>
    </w:p>
    <w:p w:rsidR="0017096D"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proofErr w:type="spellStart"/>
      <w:r>
        <w:rPr>
          <w:rFonts w:ascii="Arial" w:hAnsi="Arial"/>
          <w:w w:val="150"/>
          <w:sz w:val="28"/>
          <w:szCs w:val="18"/>
          <w:lang w:val="es-ES_tradnl"/>
        </w:rPr>
        <w:t>E</w:t>
      </w:r>
      <w:r>
        <w:rPr>
          <w:rFonts w:ascii="Arial" w:hAnsi="Arial"/>
          <w:w w:val="150"/>
          <w:sz w:val="18"/>
          <w:szCs w:val="18"/>
          <w:lang w:val="es-ES_tradnl"/>
        </w:rPr>
        <w:t>DDER</w:t>
      </w:r>
      <w:proofErr w:type="spellEnd"/>
      <w:r>
        <w:rPr>
          <w:rFonts w:ascii="Arial" w:hAnsi="Arial"/>
          <w:w w:val="150"/>
          <w:sz w:val="18"/>
          <w:lang w:val="es-ES_tradnl"/>
        </w:rPr>
        <w:t xml:space="preserve"> </w:t>
      </w:r>
      <w:r>
        <w:rPr>
          <w:rFonts w:ascii="Arial" w:hAnsi="Arial"/>
          <w:w w:val="150"/>
          <w:sz w:val="28"/>
          <w:lang w:val="es-ES_tradnl"/>
        </w:rPr>
        <w:t>J</w:t>
      </w:r>
      <w:r>
        <w:rPr>
          <w:rFonts w:ascii="Arial" w:hAnsi="Arial"/>
          <w:w w:val="150"/>
          <w:sz w:val="18"/>
          <w:szCs w:val="18"/>
          <w:lang w:val="es-ES_tradnl"/>
        </w:rPr>
        <w:t xml:space="preserve">IMMY </w:t>
      </w:r>
      <w:r>
        <w:rPr>
          <w:rFonts w:ascii="Arial" w:hAnsi="Arial"/>
          <w:w w:val="150"/>
          <w:sz w:val="28"/>
          <w:lang w:val="es-ES_tradnl"/>
        </w:rPr>
        <w:t>S</w:t>
      </w:r>
      <w:r>
        <w:rPr>
          <w:rFonts w:ascii="Arial" w:hAnsi="Arial"/>
          <w:w w:val="150"/>
          <w:sz w:val="18"/>
          <w:szCs w:val="18"/>
          <w:lang w:val="es-ES_tradnl"/>
        </w:rPr>
        <w:t xml:space="preserve">ÁNCHEZ </w:t>
      </w:r>
      <w:r>
        <w:rPr>
          <w:rFonts w:ascii="Arial" w:hAnsi="Arial"/>
          <w:w w:val="150"/>
          <w:sz w:val="28"/>
          <w:szCs w:val="18"/>
          <w:lang w:val="es-ES_tradnl"/>
        </w:rPr>
        <w:t>C.</w:t>
      </w:r>
      <w:r>
        <w:rPr>
          <w:rFonts w:ascii="Arial" w:hAnsi="Arial"/>
          <w:w w:val="150"/>
          <w:sz w:val="28"/>
          <w:szCs w:val="18"/>
          <w:lang w:val="es-ES_tradnl"/>
        </w:rPr>
        <w:tab/>
      </w:r>
      <w:r>
        <w:rPr>
          <w:rFonts w:ascii="Arial" w:hAnsi="Arial"/>
          <w:w w:val="150"/>
          <w:sz w:val="28"/>
          <w:szCs w:val="18"/>
          <w:lang w:val="es-ES_tradnl"/>
        </w:rPr>
        <w:tab/>
      </w:r>
      <w:r>
        <w:rPr>
          <w:rFonts w:ascii="Arial" w:hAnsi="Arial" w:cs="Arial"/>
          <w:spacing w:val="-3"/>
          <w:w w:val="150"/>
          <w:sz w:val="28"/>
          <w:szCs w:val="18"/>
        </w:rPr>
        <w:t>J</w:t>
      </w:r>
      <w:r>
        <w:rPr>
          <w:rFonts w:ascii="Arial" w:hAnsi="Arial" w:cs="Arial"/>
          <w:spacing w:val="-3"/>
          <w:w w:val="150"/>
          <w:sz w:val="18"/>
          <w:szCs w:val="18"/>
        </w:rPr>
        <w:t xml:space="preserve">AIME </w:t>
      </w:r>
      <w:r>
        <w:rPr>
          <w:rFonts w:ascii="Arial" w:hAnsi="Arial" w:cs="Arial"/>
          <w:spacing w:val="-3"/>
          <w:w w:val="150"/>
          <w:sz w:val="28"/>
          <w:szCs w:val="18"/>
        </w:rPr>
        <w:t>A</w:t>
      </w:r>
      <w:r>
        <w:rPr>
          <w:rFonts w:ascii="Arial" w:hAnsi="Arial"/>
          <w:w w:val="150"/>
          <w:sz w:val="18"/>
          <w:szCs w:val="18"/>
        </w:rPr>
        <w:t xml:space="preserve">LBERTO </w:t>
      </w:r>
      <w:r>
        <w:rPr>
          <w:rFonts w:ascii="Arial" w:hAnsi="Arial" w:cs="Arial"/>
          <w:spacing w:val="-3"/>
          <w:w w:val="150"/>
          <w:sz w:val="28"/>
          <w:szCs w:val="18"/>
        </w:rPr>
        <w:t>S</w:t>
      </w:r>
      <w:r>
        <w:rPr>
          <w:rFonts w:ascii="Arial" w:hAnsi="Arial" w:cs="Arial"/>
          <w:spacing w:val="-3"/>
          <w:w w:val="150"/>
          <w:sz w:val="18"/>
          <w:szCs w:val="16"/>
        </w:rPr>
        <w:t xml:space="preserve">ARAZA </w:t>
      </w:r>
      <w:r>
        <w:rPr>
          <w:rFonts w:ascii="Arial" w:hAnsi="Arial" w:cs="Arial"/>
          <w:spacing w:val="-3"/>
          <w:w w:val="150"/>
          <w:sz w:val="28"/>
          <w:szCs w:val="18"/>
        </w:rPr>
        <w:t>N.</w:t>
      </w:r>
    </w:p>
    <w:p w:rsidR="00350057" w:rsidRPr="005D64FE" w:rsidRDefault="0017096D" w:rsidP="005D64F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Pr>
          <w:rFonts w:ascii="Arial" w:hAnsi="Arial" w:cs="Arial"/>
          <w:w w:val="150"/>
          <w:sz w:val="28"/>
          <w:lang w:val="es-ES_tradnl"/>
        </w:rPr>
        <w:tab/>
      </w:r>
      <w:r>
        <w:rPr>
          <w:rFonts w:ascii="Arial" w:hAnsi="Arial" w:cs="Arial"/>
          <w:w w:val="150"/>
          <w:sz w:val="28"/>
          <w:lang w:val="en-GB"/>
        </w:rPr>
        <w:t>M</w:t>
      </w:r>
      <w:r>
        <w:rPr>
          <w:rFonts w:ascii="Arial" w:hAnsi="Arial" w:cs="Arial"/>
          <w:w w:val="150"/>
          <w:sz w:val="18"/>
          <w:lang w:val="en-GB"/>
        </w:rPr>
        <w:t xml:space="preserve"> A G I S T R A D O </w:t>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28"/>
          <w:lang w:val="en-GB"/>
        </w:rPr>
        <w:t>M</w:t>
      </w:r>
      <w:r>
        <w:rPr>
          <w:rFonts w:ascii="Arial" w:hAnsi="Arial" w:cs="Arial"/>
          <w:w w:val="150"/>
          <w:sz w:val="18"/>
          <w:lang w:val="en-GB"/>
        </w:rPr>
        <w:t xml:space="preserve"> A G I S T R A D O</w:t>
      </w:r>
    </w:p>
    <w:sectPr w:rsidR="00350057" w:rsidRPr="005D64FE" w:rsidSect="00FC3EE3">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7F" w:rsidRDefault="006B757F" w:rsidP="002F20AB">
      <w:r>
        <w:separator/>
      </w:r>
    </w:p>
  </w:endnote>
  <w:endnote w:type="continuationSeparator" w:id="0">
    <w:p w:rsidR="006B757F" w:rsidRDefault="006B757F"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proofErr w:type="spellStart"/>
    <w:r w:rsidRPr="00C53999">
      <w:rPr>
        <w:rFonts w:ascii="Arial" w:hAnsi="Arial" w:cs="Arial"/>
        <w:spacing w:val="20"/>
        <w:w w:val="200"/>
        <w:sz w:val="10"/>
        <w:szCs w:val="10"/>
        <w:lang w:val="es-ES"/>
      </w:rPr>
      <w:t>MP</w:t>
    </w:r>
    <w:proofErr w:type="spellEnd"/>
    <w:r w:rsidRPr="00C53999">
      <w:rPr>
        <w:rFonts w:ascii="Arial" w:hAnsi="Arial" w:cs="Arial"/>
        <w:spacing w:val="20"/>
        <w:w w:val="200"/>
        <w:sz w:val="10"/>
        <w:szCs w:val="10"/>
        <w:lang w:val="es-ES"/>
      </w:rPr>
      <w:t xml:space="preserve">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w:t>
    </w:r>
    <w:proofErr w:type="spellStart"/>
    <w:r w:rsidRPr="00213147">
      <w:rPr>
        <w:rFonts w:ascii="Calibri" w:hAnsi="Calibri" w:cs="Calibri"/>
        <w:smallCaps/>
        <w:spacing w:val="20"/>
        <w:w w:val="200"/>
        <w:position w:val="6"/>
        <w:sz w:val="8"/>
        <w:szCs w:val="8"/>
      </w:rPr>
      <w:t>GRISALES</w:t>
    </w:r>
    <w:proofErr w:type="spellEnd"/>
    <w:r w:rsidRPr="00213147">
      <w:rPr>
        <w:rFonts w:ascii="Calibri" w:hAnsi="Calibri" w:cs="Calibri"/>
        <w:smallCaps/>
        <w:spacing w:val="20"/>
        <w:w w:val="200"/>
        <w:position w:val="6"/>
        <w:sz w:val="8"/>
        <w:szCs w:val="8"/>
      </w:rPr>
      <w:t xml:space="preserve">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7F" w:rsidRDefault="006B757F" w:rsidP="002F20AB">
      <w:r>
        <w:separator/>
      </w:r>
    </w:p>
  </w:footnote>
  <w:footnote w:type="continuationSeparator" w:id="0">
    <w:p w:rsidR="006B757F" w:rsidRDefault="006B757F" w:rsidP="002F20AB">
      <w:r>
        <w:continuationSeparator/>
      </w:r>
    </w:p>
  </w:footnote>
  <w:footnote w:id="1">
    <w:p w:rsidR="00F33A95" w:rsidRPr="00DD1EC0" w:rsidRDefault="00F33A95" w:rsidP="00F33A95">
      <w:pPr>
        <w:pStyle w:val="Textonotapie"/>
        <w:rPr>
          <w:rFonts w:asciiTheme="minorHAnsi" w:hAnsiTheme="minorHAnsi"/>
          <w:lang w:val="es-AR"/>
        </w:rPr>
      </w:pPr>
      <w:r w:rsidRPr="00A5015D">
        <w:rPr>
          <w:rStyle w:val="Refdenotaalpie"/>
          <w:rFonts w:asciiTheme="minorHAnsi" w:hAnsiTheme="minorHAnsi"/>
        </w:rPr>
        <w:footnoteRef/>
      </w:r>
      <w:r w:rsidRPr="00A5015D">
        <w:rPr>
          <w:rFonts w:asciiTheme="minorHAnsi" w:hAnsiTheme="minorHAnsi"/>
        </w:rPr>
        <w:t xml:space="preserve"> </w:t>
      </w:r>
      <w:r w:rsidRPr="00DD1EC0">
        <w:rPr>
          <w:rFonts w:asciiTheme="minorHAnsi" w:hAnsiTheme="minorHAnsi" w:cs="Courier New"/>
          <w:lang w:val="es-AR"/>
        </w:rPr>
        <w:t>CORTE CONSTITUCIONAL. Sentencia T-079 de 2010.</w:t>
      </w:r>
    </w:p>
  </w:footnote>
  <w:footnote w:id="2">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 xml:space="preserve">CORTE CONSTITUCIONAL. Sentencias </w:t>
      </w:r>
      <w:r w:rsidRPr="00DD1EC0">
        <w:rPr>
          <w:rFonts w:asciiTheme="minorHAnsi" w:hAnsiTheme="minorHAnsi"/>
          <w:lang w:val="es-AR"/>
        </w:rPr>
        <w:t xml:space="preserve">T-162 de 2010, T-034 de 2010 y T-099 de 2008. </w:t>
      </w:r>
    </w:p>
  </w:footnote>
  <w:footnote w:id="3">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ourier New"/>
          <w:lang w:val="es-AR"/>
        </w:rPr>
        <w:t>CORTE CONSTITUCIONAL. Sentencias</w:t>
      </w:r>
      <w:r w:rsidRPr="00DD1EC0">
        <w:rPr>
          <w:rFonts w:asciiTheme="minorHAnsi" w:hAnsiTheme="minorHAnsi"/>
          <w:lang w:val="es-AR"/>
        </w:rPr>
        <w:t xml:space="preserve"> T-623 de 2011, T-498 de 2011, T-162 de 2010, T-034 de 2010, T-180 de 2009, T-989 de 2008, T-972 de 2005, T-822 de 2002, T-626 de 2000 y T-315 de 2000.</w:t>
      </w:r>
    </w:p>
  </w:footnote>
  <w:footnote w:id="4">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T-970 de 2014.</w:t>
      </w:r>
    </w:p>
  </w:footnote>
  <w:footnote w:id="5">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w:t>
      </w:r>
      <w:r w:rsidRPr="00DD1EC0">
        <w:rPr>
          <w:rFonts w:asciiTheme="minorHAnsi" w:hAnsiTheme="minorHAnsi"/>
          <w:bCs/>
          <w:lang w:val="es-AR"/>
        </w:rPr>
        <w:t>Sentencia T-011 de 2016.</w:t>
      </w:r>
    </w:p>
  </w:footnote>
  <w:footnote w:id="6">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 SU-540 de 2007.</w:t>
      </w:r>
    </w:p>
  </w:footnote>
  <w:footnote w:id="7">
    <w:p w:rsidR="00F33A95" w:rsidRPr="00DD1EC0" w:rsidRDefault="00F33A95" w:rsidP="00F33A95">
      <w:pPr>
        <w:pStyle w:val="Textonotapie"/>
        <w:jc w:val="both"/>
        <w:rPr>
          <w:rFonts w:asciiTheme="minorHAnsi" w:hAnsiTheme="minorHAns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 Sentencias T-414 de 2005, T-1038 de 2005, T-539 de 2003, entre otras, reiteradas en la sentencia </w:t>
      </w:r>
      <w:r w:rsidRPr="00DD1EC0">
        <w:rPr>
          <w:rFonts w:asciiTheme="minorHAnsi" w:hAnsiTheme="minorHAnsi"/>
          <w:bCs/>
          <w:lang w:val="es-AR"/>
        </w:rPr>
        <w:t>T-011 de 2016.</w:t>
      </w:r>
    </w:p>
  </w:footnote>
  <w:footnote w:id="8">
    <w:p w:rsidR="00F33A95" w:rsidRPr="00DD1EC0" w:rsidRDefault="00F33A95" w:rsidP="00F33A95">
      <w:pPr>
        <w:pStyle w:val="Textonotapie"/>
        <w:jc w:val="both"/>
        <w:rPr>
          <w:rFonts w:asciiTheme="minorHAnsi" w:hAnsiTheme="minorHAnsi"/>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w:t>
      </w:r>
      <w:r w:rsidRPr="00DD1EC0">
        <w:rPr>
          <w:rStyle w:val="apple-converted-space"/>
          <w:rFonts w:asciiTheme="minorHAnsi" w:hAnsiTheme="minorHAnsi"/>
          <w:color w:val="000000"/>
          <w:bdr w:val="none" w:sz="0" w:space="0" w:color="auto" w:frame="1"/>
          <w:lang w:val="es-AR"/>
        </w:rPr>
        <w:t xml:space="preserve"> </w:t>
      </w:r>
      <w:r w:rsidRPr="00DD1EC0">
        <w:rPr>
          <w:rFonts w:asciiTheme="minorHAnsi" w:hAnsiTheme="minorHAnsi"/>
          <w:color w:val="000000"/>
          <w:bdr w:val="none" w:sz="0" w:space="0" w:color="auto" w:frame="1"/>
          <w:lang w:val="es-AR"/>
        </w:rPr>
        <w:t>T-045 de 2008 reiterada en la sentencia T-059 de 2016.</w:t>
      </w:r>
    </w:p>
  </w:footnote>
  <w:footnote w:id="9">
    <w:p w:rsidR="00F33A95" w:rsidRPr="00DD1EC0" w:rsidRDefault="00F33A95" w:rsidP="00F33A95">
      <w:pPr>
        <w:pStyle w:val="Textonotapie"/>
        <w:jc w:val="both"/>
        <w:rPr>
          <w:rFonts w:asciiTheme="minorHAnsi" w:hAnsiTheme="minorHAnsi"/>
          <w:b/>
          <w:color w:val="000000"/>
          <w:bdr w:val="none" w:sz="0" w:space="0" w:color="auto" w:frame="1"/>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CORTE CONSTITUCIONAL</w:t>
      </w:r>
      <w:r w:rsidRPr="00DD1EC0">
        <w:rPr>
          <w:rFonts w:asciiTheme="minorHAnsi" w:hAnsiTheme="minorHAnsi"/>
          <w:color w:val="000000"/>
          <w:bdr w:val="none" w:sz="0" w:space="0" w:color="auto" w:frame="1"/>
          <w:lang w:val="es-AR"/>
        </w:rPr>
        <w:t>. Sentencia T-041 de 2016.</w:t>
      </w:r>
    </w:p>
  </w:footnote>
  <w:footnote w:id="10">
    <w:p w:rsidR="00F33A95" w:rsidRPr="00DD1EC0" w:rsidRDefault="00F33A95" w:rsidP="00F33A95">
      <w:pPr>
        <w:pStyle w:val="Textonotapie"/>
        <w:jc w:val="both"/>
        <w:rPr>
          <w:rFonts w:asciiTheme="minorHAnsi" w:hAnsiTheme="minorHAnsi" w:cs="Calibri"/>
          <w:lang w:val="es-AR"/>
        </w:rPr>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 xml:space="preserve">CORTE CONSTITUCIONAL. Sentencia T-728 de 2014. </w:t>
      </w:r>
    </w:p>
  </w:footnote>
  <w:footnote w:id="11">
    <w:p w:rsidR="00F33A95" w:rsidRDefault="00F33A95" w:rsidP="00F33A95">
      <w:pPr>
        <w:pStyle w:val="Textonotapie"/>
      </w:pPr>
      <w:r w:rsidRPr="00DD1EC0">
        <w:rPr>
          <w:rStyle w:val="Refdenotaalpie"/>
          <w:rFonts w:asciiTheme="minorHAnsi" w:hAnsiTheme="minorHAnsi"/>
          <w:lang w:val="es-AR"/>
        </w:rPr>
        <w:footnoteRef/>
      </w:r>
      <w:r w:rsidRPr="00DD1EC0">
        <w:rPr>
          <w:rFonts w:asciiTheme="minorHAnsi" w:hAnsiTheme="minorHAnsi"/>
          <w:lang w:val="es-AR"/>
        </w:rPr>
        <w:t xml:space="preserve"> </w:t>
      </w:r>
      <w:r w:rsidRPr="00DD1EC0">
        <w:rPr>
          <w:rFonts w:asciiTheme="minorHAnsi" w:hAnsiTheme="minorHAnsi" w:cs="Calibri"/>
          <w:lang w:val="es-AR"/>
        </w:rPr>
        <w:t>CORTE CONSTITUCIONAL.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B047CD">
      <w:rPr>
        <w:rFonts w:ascii="Calibri" w:hAnsi="Calibri"/>
        <w:noProof/>
        <w:sz w:val="22"/>
        <w:lang w:val="es-CO"/>
      </w:rPr>
      <w:t>6</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0776B7">
      <w:rPr>
        <w:rFonts w:ascii="Calibri" w:hAnsi="Calibri" w:cs="Calibri"/>
        <w:i/>
        <w:sz w:val="20"/>
        <w:szCs w:val="20"/>
        <w:lang w:val="es-CO"/>
      </w:rPr>
      <w:t>2016-</w:t>
    </w:r>
    <w:r w:rsidR="003F0119">
      <w:rPr>
        <w:rFonts w:ascii="Calibri" w:hAnsi="Calibri" w:cs="Calibri"/>
        <w:i/>
        <w:sz w:val="20"/>
        <w:szCs w:val="20"/>
        <w:lang w:val="es-CO"/>
      </w:rPr>
      <w:t>00199</w:t>
    </w:r>
    <w:r w:rsidR="000776B7">
      <w:rPr>
        <w:rFonts w:ascii="Calibri" w:hAnsi="Calibri" w:cs="Calibri"/>
        <w:i/>
        <w:sz w:val="20"/>
        <w:szCs w:val="20"/>
        <w:lang w:val="es-CO"/>
      </w:rPr>
      <w:t>-01</w:t>
    </w:r>
    <w:r w:rsidRPr="00AA6B28">
      <w:rPr>
        <w:rFonts w:ascii="Calibri" w:hAnsi="Calibri" w:cs="Calibri"/>
        <w:i/>
        <w:sz w:val="20"/>
        <w:szCs w:val="20"/>
        <w:lang w:val="es-CO"/>
      </w:rPr>
      <w:t xml:space="preserve"> </w:t>
    </w:r>
    <w:proofErr w:type="spellStart"/>
    <w:r w:rsidRPr="00AA6B28">
      <w:rPr>
        <w:rFonts w:ascii="Calibri" w:hAnsi="Calibri" w:cs="Calibri"/>
        <w:i/>
        <w:sz w:val="20"/>
        <w:szCs w:val="20"/>
        <w:lang w:val="es-CO"/>
      </w:rPr>
      <w:t>LLRR</w:t>
    </w:r>
    <w:proofErr w:type="spellEnd"/>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proofErr w:type="spellStart"/>
    <w:r w:rsidRPr="0020383C">
      <w:rPr>
        <w:rFonts w:ascii="Calibri" w:hAnsi="Calibri"/>
        <w:i/>
      </w:rPr>
      <w:t>E</w:t>
    </w:r>
    <w:r>
      <w:rPr>
        <w:rFonts w:ascii="Calibri" w:hAnsi="Calibri"/>
        <w:i/>
        <w:sz w:val="18"/>
      </w:rPr>
      <w:t>XPEDIENTE</w:t>
    </w:r>
    <w:proofErr w:type="spellEnd"/>
    <w:r>
      <w:rPr>
        <w:rFonts w:ascii="Calibri" w:hAnsi="Calibri"/>
        <w:i/>
        <w:sz w:val="18"/>
      </w:rPr>
      <w:t xml:space="preserv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7">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9">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3">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4">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7">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8">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9">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4"/>
  </w:num>
  <w:num w:numId="5">
    <w:abstractNumId w:val="23"/>
  </w:num>
  <w:num w:numId="6">
    <w:abstractNumId w:val="15"/>
  </w:num>
  <w:num w:numId="7">
    <w:abstractNumId w:val="3"/>
  </w:num>
  <w:num w:numId="8">
    <w:abstractNumId w:val="10"/>
  </w:num>
  <w:num w:numId="9">
    <w:abstractNumId w:val="11"/>
  </w:num>
  <w:num w:numId="10">
    <w:abstractNumId w:val="2"/>
  </w:num>
  <w:num w:numId="11">
    <w:abstractNumId w:val="20"/>
  </w:num>
  <w:num w:numId="12">
    <w:abstractNumId w:val="7"/>
  </w:num>
  <w:num w:numId="13">
    <w:abstractNumId w:val="13"/>
  </w:num>
  <w:num w:numId="14">
    <w:abstractNumId w:val="26"/>
  </w:num>
  <w:num w:numId="15">
    <w:abstractNumId w:val="18"/>
  </w:num>
  <w:num w:numId="16">
    <w:abstractNumId w:val="1"/>
  </w:num>
  <w:num w:numId="17">
    <w:abstractNumId w:val="28"/>
  </w:num>
  <w:num w:numId="18">
    <w:abstractNumId w:val="19"/>
  </w:num>
  <w:num w:numId="19">
    <w:abstractNumId w:val="25"/>
  </w:num>
  <w:num w:numId="20">
    <w:abstractNumId w:val="24"/>
  </w:num>
  <w:num w:numId="21">
    <w:abstractNumId w:val="5"/>
  </w:num>
  <w:num w:numId="22">
    <w:abstractNumId w:val="0"/>
  </w:num>
  <w:num w:numId="23">
    <w:abstractNumId w:val="29"/>
  </w:num>
  <w:num w:numId="24">
    <w:abstractNumId w:val="17"/>
  </w:num>
  <w:num w:numId="25">
    <w:abstractNumId w:val="9"/>
  </w:num>
  <w:num w:numId="26">
    <w:abstractNumId w:val="12"/>
  </w:num>
  <w:num w:numId="27">
    <w:abstractNumId w:val="4"/>
  </w:num>
  <w:num w:numId="28">
    <w:abstractNumId w:val="22"/>
  </w:num>
  <w:num w:numId="29">
    <w:abstractNumId w:val="8"/>
  </w:num>
  <w:num w:numId="30">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63F2"/>
    <w:rsid w:val="003F672F"/>
    <w:rsid w:val="0040074A"/>
    <w:rsid w:val="004008EF"/>
    <w:rsid w:val="004017E5"/>
    <w:rsid w:val="004046B5"/>
    <w:rsid w:val="00404829"/>
    <w:rsid w:val="0041105C"/>
    <w:rsid w:val="004121F7"/>
    <w:rsid w:val="004134D8"/>
    <w:rsid w:val="0041414C"/>
    <w:rsid w:val="0041757E"/>
    <w:rsid w:val="00417661"/>
    <w:rsid w:val="00417DA3"/>
    <w:rsid w:val="00421D69"/>
    <w:rsid w:val="0042362D"/>
    <w:rsid w:val="004259A6"/>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78C"/>
    <w:rsid w:val="004D69AB"/>
    <w:rsid w:val="004D7EC1"/>
    <w:rsid w:val="004E0205"/>
    <w:rsid w:val="004E2B78"/>
    <w:rsid w:val="004E4AC4"/>
    <w:rsid w:val="004E6287"/>
    <w:rsid w:val="004E702E"/>
    <w:rsid w:val="004F1BDB"/>
    <w:rsid w:val="004F31F1"/>
    <w:rsid w:val="004F448C"/>
    <w:rsid w:val="004F5D30"/>
    <w:rsid w:val="004F6583"/>
    <w:rsid w:val="004F6D6A"/>
    <w:rsid w:val="004F7A80"/>
    <w:rsid w:val="004F7AA5"/>
    <w:rsid w:val="00502776"/>
    <w:rsid w:val="00503BF5"/>
    <w:rsid w:val="00505776"/>
    <w:rsid w:val="005069CE"/>
    <w:rsid w:val="00506B03"/>
    <w:rsid w:val="0050752F"/>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78FC"/>
    <w:rsid w:val="00667F0F"/>
    <w:rsid w:val="00671D69"/>
    <w:rsid w:val="00672F20"/>
    <w:rsid w:val="00676C54"/>
    <w:rsid w:val="00684673"/>
    <w:rsid w:val="0068471D"/>
    <w:rsid w:val="0068549C"/>
    <w:rsid w:val="006862CD"/>
    <w:rsid w:val="006904E2"/>
    <w:rsid w:val="00690E0F"/>
    <w:rsid w:val="00692159"/>
    <w:rsid w:val="00692569"/>
    <w:rsid w:val="006938F5"/>
    <w:rsid w:val="00694281"/>
    <w:rsid w:val="006950A1"/>
    <w:rsid w:val="00695FDF"/>
    <w:rsid w:val="0069656E"/>
    <w:rsid w:val="006975BD"/>
    <w:rsid w:val="006A04FE"/>
    <w:rsid w:val="006A3A1D"/>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57F"/>
    <w:rsid w:val="006B77CB"/>
    <w:rsid w:val="006C0A90"/>
    <w:rsid w:val="006C11A5"/>
    <w:rsid w:val="006C1FB5"/>
    <w:rsid w:val="006C2AFC"/>
    <w:rsid w:val="006C325C"/>
    <w:rsid w:val="006C509C"/>
    <w:rsid w:val="006C5C89"/>
    <w:rsid w:val="006D1947"/>
    <w:rsid w:val="006D1972"/>
    <w:rsid w:val="006D1B00"/>
    <w:rsid w:val="006D3B8F"/>
    <w:rsid w:val="006D5236"/>
    <w:rsid w:val="006D5F62"/>
    <w:rsid w:val="006D6BA1"/>
    <w:rsid w:val="006D7214"/>
    <w:rsid w:val="006E1629"/>
    <w:rsid w:val="006E1832"/>
    <w:rsid w:val="006E3DA0"/>
    <w:rsid w:val="006E5690"/>
    <w:rsid w:val="006E58B7"/>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1EE2"/>
    <w:rsid w:val="007535D5"/>
    <w:rsid w:val="00753EFD"/>
    <w:rsid w:val="007552B7"/>
    <w:rsid w:val="00755DA9"/>
    <w:rsid w:val="00757533"/>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6F7F"/>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212C"/>
    <w:rsid w:val="00882F38"/>
    <w:rsid w:val="008847CB"/>
    <w:rsid w:val="0088683E"/>
    <w:rsid w:val="00893FCA"/>
    <w:rsid w:val="008961CD"/>
    <w:rsid w:val="00896588"/>
    <w:rsid w:val="00896FA9"/>
    <w:rsid w:val="008A1328"/>
    <w:rsid w:val="008A14FC"/>
    <w:rsid w:val="008A2B57"/>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FE3"/>
    <w:rsid w:val="009429E1"/>
    <w:rsid w:val="00942D80"/>
    <w:rsid w:val="00943BD1"/>
    <w:rsid w:val="0095183F"/>
    <w:rsid w:val="009520FD"/>
    <w:rsid w:val="0095291D"/>
    <w:rsid w:val="009551E8"/>
    <w:rsid w:val="009565CF"/>
    <w:rsid w:val="00956621"/>
    <w:rsid w:val="00956A70"/>
    <w:rsid w:val="00957870"/>
    <w:rsid w:val="00963416"/>
    <w:rsid w:val="00963C4C"/>
    <w:rsid w:val="0096734B"/>
    <w:rsid w:val="0096755F"/>
    <w:rsid w:val="00970BE6"/>
    <w:rsid w:val="00971C3A"/>
    <w:rsid w:val="00972E5F"/>
    <w:rsid w:val="00974030"/>
    <w:rsid w:val="00974EE1"/>
    <w:rsid w:val="00975546"/>
    <w:rsid w:val="009758F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67A7"/>
    <w:rsid w:val="00A8787C"/>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EAB"/>
    <w:rsid w:val="00BD166F"/>
    <w:rsid w:val="00BD4739"/>
    <w:rsid w:val="00BD491A"/>
    <w:rsid w:val="00BD7D7B"/>
    <w:rsid w:val="00BE0BEF"/>
    <w:rsid w:val="00BE210F"/>
    <w:rsid w:val="00BE2865"/>
    <w:rsid w:val="00BF0265"/>
    <w:rsid w:val="00BF0BA5"/>
    <w:rsid w:val="00BF257E"/>
    <w:rsid w:val="00BF2953"/>
    <w:rsid w:val="00BF2D53"/>
    <w:rsid w:val="00BF3CE6"/>
    <w:rsid w:val="00BF4B32"/>
    <w:rsid w:val="00C01000"/>
    <w:rsid w:val="00C015A5"/>
    <w:rsid w:val="00C045A0"/>
    <w:rsid w:val="00C054CD"/>
    <w:rsid w:val="00C07092"/>
    <w:rsid w:val="00C0768E"/>
    <w:rsid w:val="00C107B6"/>
    <w:rsid w:val="00C1156E"/>
    <w:rsid w:val="00C12A96"/>
    <w:rsid w:val="00C1385E"/>
    <w:rsid w:val="00C144F5"/>
    <w:rsid w:val="00C15706"/>
    <w:rsid w:val="00C21AB2"/>
    <w:rsid w:val="00C2274B"/>
    <w:rsid w:val="00C248C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A0F"/>
    <w:rsid w:val="00C662C1"/>
    <w:rsid w:val="00C67CA2"/>
    <w:rsid w:val="00C70F24"/>
    <w:rsid w:val="00C7546E"/>
    <w:rsid w:val="00C76997"/>
    <w:rsid w:val="00C8203C"/>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2375"/>
    <w:rsid w:val="00FE2934"/>
    <w:rsid w:val="00FE5669"/>
    <w:rsid w:val="00FE5C14"/>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57CC850D-50F3-4420-9B48-356ED6E9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4A56-AA08-4C2C-9D5A-93E44BB1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1773</Words>
  <Characters>9754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 Gaviria Ocampo</cp:lastModifiedBy>
  <cp:revision>7</cp:revision>
  <cp:lastPrinted>2016-06-29T19:11:00Z</cp:lastPrinted>
  <dcterms:created xsi:type="dcterms:W3CDTF">2016-06-28T18:22:00Z</dcterms:created>
  <dcterms:modified xsi:type="dcterms:W3CDTF">2016-06-29T19:17:00Z</dcterms:modified>
</cp:coreProperties>
</file>