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864458">
        <w:rPr>
          <w:rFonts w:ascii="Arial" w:hAnsi="Arial"/>
          <w:sz w:val="22"/>
          <w:szCs w:val="22"/>
        </w:rPr>
        <w:t>Jorge Enrique Gutiérrez Duarte</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864458">
        <w:rPr>
          <w:rFonts w:ascii="Arial" w:hAnsi="Arial"/>
          <w:sz w:val="22"/>
          <w:szCs w:val="22"/>
          <w:lang w:val="es-CO"/>
        </w:rPr>
        <w:t xml:space="preserve">Tercero </w:t>
      </w:r>
      <w:r w:rsidR="00F908F9">
        <w:rPr>
          <w:rFonts w:ascii="Arial" w:hAnsi="Arial"/>
          <w:sz w:val="22"/>
          <w:szCs w:val="22"/>
          <w:lang w:val="es-CO"/>
        </w:rPr>
        <w:t xml:space="preserve">Civil </w:t>
      </w:r>
      <w:r w:rsidR="00FC0A07">
        <w:rPr>
          <w:rFonts w:ascii="Arial" w:hAnsi="Arial"/>
          <w:sz w:val="22"/>
          <w:szCs w:val="22"/>
          <w:lang w:val="es-CO"/>
        </w:rPr>
        <w:t xml:space="preserve">Municipal </w:t>
      </w:r>
      <w:r w:rsidR="00080BAB">
        <w:rPr>
          <w:rFonts w:ascii="Arial" w:hAnsi="Arial"/>
          <w:sz w:val="22"/>
          <w:szCs w:val="22"/>
          <w:lang w:val="es-CO"/>
        </w:rPr>
        <w:t>de Pereira</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080BAB">
        <w:rPr>
          <w:rFonts w:ascii="Arial" w:hAnsi="Arial"/>
          <w:sz w:val="22"/>
        </w:rPr>
        <w:t>2016-</w:t>
      </w:r>
      <w:r w:rsidR="00864458">
        <w:rPr>
          <w:rFonts w:ascii="Arial" w:hAnsi="Arial"/>
          <w:sz w:val="22"/>
        </w:rPr>
        <w:t>00071</w:t>
      </w:r>
      <w:r w:rsidR="00080BAB">
        <w:rPr>
          <w:rFonts w:ascii="Arial" w:hAnsi="Arial"/>
          <w:sz w:val="22"/>
        </w:rPr>
        <w:t>-01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80BAB">
        <w:rPr>
          <w:rFonts w:ascii="Arial" w:hAnsi="Arial"/>
          <w:sz w:val="22"/>
          <w:szCs w:val="22"/>
        </w:rPr>
        <w:t xml:space="preserve">Subreglas </w:t>
      </w:r>
      <w:r w:rsidR="009C22A8">
        <w:rPr>
          <w:rFonts w:ascii="Arial" w:hAnsi="Arial"/>
          <w:sz w:val="22"/>
          <w:szCs w:val="22"/>
        </w:rPr>
        <w:t>-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864458">
        <w:rPr>
          <w:rFonts w:ascii="Arial" w:hAnsi="Arial"/>
          <w:sz w:val="22"/>
          <w:szCs w:val="22"/>
        </w:rPr>
        <w:t>Quinto</w:t>
      </w:r>
      <w:r w:rsidR="00080BAB">
        <w:rPr>
          <w:rFonts w:ascii="Arial" w:hAnsi="Arial"/>
          <w:sz w:val="22"/>
          <w:szCs w:val="22"/>
        </w:rPr>
        <w:t xml:space="preserve"> </w:t>
      </w:r>
      <w:r w:rsidR="00FC0A07">
        <w:rPr>
          <w:rFonts w:ascii="Arial" w:hAnsi="Arial"/>
          <w:sz w:val="22"/>
          <w:szCs w:val="22"/>
        </w:rPr>
        <w:t xml:space="preserve">Civil </w:t>
      </w:r>
      <w:r w:rsidR="00E87A47">
        <w:rPr>
          <w:rFonts w:ascii="Arial" w:hAnsi="Arial"/>
          <w:sz w:val="22"/>
          <w:szCs w:val="22"/>
        </w:rPr>
        <w:t xml:space="preserve">del Circuito </w:t>
      </w:r>
      <w:r w:rsidR="00080BAB">
        <w:rPr>
          <w:rFonts w:ascii="Arial" w:hAnsi="Arial"/>
          <w:sz w:val="22"/>
          <w:szCs w:val="22"/>
        </w:rPr>
        <w:t>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E861F9">
        <w:rPr>
          <w:rFonts w:ascii="Arial" w:hAnsi="Arial"/>
          <w:sz w:val="22"/>
          <w:szCs w:val="22"/>
        </w:rPr>
        <w:t>345 de 22-07-2016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864458" w:rsidRDefault="003913E3" w:rsidP="00F839CE">
      <w:pPr>
        <w:spacing w:line="360" w:lineRule="auto"/>
        <w:jc w:val="center"/>
        <w:rPr>
          <w:rFonts w:ascii="Arial" w:hAnsi="Arial" w:cs="Arial"/>
          <w:iCs/>
          <w:lang w:val="es-CO"/>
        </w:rPr>
      </w:pPr>
      <w:r w:rsidRPr="00864458">
        <w:rPr>
          <w:rFonts w:ascii="Arial" w:hAnsi="Arial" w:cs="Arial"/>
          <w:iCs/>
          <w:smallCaps/>
          <w:sz w:val="28"/>
          <w:lang w:val="es-CO"/>
        </w:rPr>
        <w:t xml:space="preserve">Pereira, </w:t>
      </w:r>
      <w:r w:rsidR="00E87A47" w:rsidRPr="00864458">
        <w:rPr>
          <w:rFonts w:ascii="Arial" w:hAnsi="Arial" w:cs="Arial"/>
          <w:iCs/>
          <w:smallCaps/>
          <w:sz w:val="28"/>
          <w:lang w:val="es-CO"/>
        </w:rPr>
        <w:t>R.</w:t>
      </w:r>
      <w:r w:rsidRPr="00864458">
        <w:rPr>
          <w:rFonts w:ascii="Arial" w:hAnsi="Arial" w:cs="Arial"/>
          <w:iCs/>
          <w:smallCaps/>
          <w:sz w:val="28"/>
          <w:lang w:val="es-CO"/>
        </w:rPr>
        <w:t xml:space="preserve">, </w:t>
      </w:r>
      <w:r w:rsidR="00E861F9">
        <w:rPr>
          <w:rFonts w:ascii="Arial" w:hAnsi="Arial" w:cs="Arial"/>
          <w:iCs/>
          <w:smallCaps/>
          <w:sz w:val="28"/>
          <w:lang w:val="es-CO"/>
        </w:rPr>
        <w:t>veintidós</w:t>
      </w:r>
      <w:r w:rsidR="00A54D0E" w:rsidRPr="00864458">
        <w:rPr>
          <w:rFonts w:ascii="Arial" w:hAnsi="Arial" w:cs="Arial"/>
          <w:iCs/>
          <w:smallCaps/>
          <w:sz w:val="28"/>
          <w:lang w:val="es-CO"/>
        </w:rPr>
        <w:t xml:space="preserve"> </w:t>
      </w:r>
      <w:r w:rsidRPr="00864458">
        <w:rPr>
          <w:rFonts w:ascii="Arial" w:hAnsi="Arial" w:cs="Arial"/>
          <w:iCs/>
          <w:smallCaps/>
          <w:sz w:val="28"/>
          <w:lang w:val="es-CO"/>
        </w:rPr>
        <w:t>(</w:t>
      </w:r>
      <w:r w:rsidR="00E861F9">
        <w:rPr>
          <w:rFonts w:ascii="Arial" w:hAnsi="Arial" w:cs="Arial"/>
          <w:iCs/>
          <w:smallCaps/>
          <w:sz w:val="28"/>
          <w:lang w:val="es-CO"/>
        </w:rPr>
        <w:t>22</w:t>
      </w:r>
      <w:r w:rsidRPr="00864458">
        <w:rPr>
          <w:rFonts w:ascii="Arial" w:hAnsi="Arial" w:cs="Arial"/>
          <w:iCs/>
          <w:smallCaps/>
          <w:sz w:val="28"/>
          <w:lang w:val="es-CO"/>
        </w:rPr>
        <w:t xml:space="preserve">) de </w:t>
      </w:r>
      <w:r w:rsidR="00864458" w:rsidRPr="00864458">
        <w:rPr>
          <w:rFonts w:ascii="Arial" w:hAnsi="Arial" w:cs="Arial"/>
          <w:iCs/>
          <w:smallCaps/>
          <w:sz w:val="28"/>
          <w:lang w:val="es-CO"/>
        </w:rPr>
        <w:t>julio</w:t>
      </w:r>
      <w:r w:rsidR="00080BAB" w:rsidRPr="00864458">
        <w:rPr>
          <w:rFonts w:ascii="Arial" w:hAnsi="Arial" w:cs="Arial"/>
          <w:iCs/>
          <w:smallCaps/>
          <w:sz w:val="28"/>
          <w:lang w:val="es-CO"/>
        </w:rPr>
        <w:t xml:space="preserve"> </w:t>
      </w:r>
      <w:r w:rsidRPr="00864458">
        <w:rPr>
          <w:rFonts w:ascii="Arial" w:hAnsi="Arial" w:cs="Arial"/>
          <w:iCs/>
          <w:smallCaps/>
          <w:sz w:val="28"/>
          <w:lang w:val="es-CO"/>
        </w:rPr>
        <w:t xml:space="preserve">de dos mil </w:t>
      </w:r>
      <w:r w:rsidR="00E87A47" w:rsidRPr="00864458">
        <w:rPr>
          <w:rFonts w:ascii="Arial" w:hAnsi="Arial" w:cs="Arial"/>
          <w:iCs/>
          <w:smallCaps/>
          <w:sz w:val="28"/>
          <w:lang w:val="es-CO"/>
        </w:rPr>
        <w:t xml:space="preserve">dieciséis </w:t>
      </w:r>
      <w:r w:rsidRPr="00864458">
        <w:rPr>
          <w:rFonts w:ascii="Arial" w:hAnsi="Arial" w:cs="Arial"/>
          <w:iCs/>
          <w:smallCaps/>
          <w:sz w:val="28"/>
          <w:lang w:val="es-CO"/>
        </w:rPr>
        <w:t>(</w:t>
      </w:r>
      <w:r w:rsidR="00E87A47" w:rsidRPr="00864458">
        <w:rPr>
          <w:rFonts w:ascii="Arial" w:hAnsi="Arial" w:cs="Arial"/>
          <w:iCs/>
          <w:smallCaps/>
          <w:sz w:val="28"/>
          <w:lang w:val="es-CO"/>
        </w:rPr>
        <w:t>2016</w:t>
      </w:r>
      <w:r w:rsidRPr="00864458">
        <w:rPr>
          <w:rFonts w:ascii="Arial" w:hAnsi="Arial" w:cs="Arial"/>
          <w:iCs/>
          <w:smallCaps/>
          <w:sz w:val="28"/>
          <w:lang w:val="es-CO"/>
        </w:rPr>
        <w:t>)</w:t>
      </w:r>
      <w:r w:rsidRPr="00864458">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Pr="00182CAF" w:rsidRDefault="003361D8" w:rsidP="003361D8">
      <w:pPr>
        <w:spacing w:line="360" w:lineRule="auto"/>
        <w:jc w:val="both"/>
        <w:rPr>
          <w:rFonts w:ascii="Arial" w:hAnsi="Arial" w:cs="Arial"/>
          <w:lang w:val="es-ES_tradnl"/>
        </w:rPr>
      </w:pPr>
      <w:r>
        <w:rPr>
          <w:rFonts w:ascii="Arial" w:hAnsi="Arial" w:cs="Arial"/>
        </w:rPr>
        <w:t xml:space="preserve">Informó </w:t>
      </w:r>
      <w:r w:rsidR="00864458">
        <w:rPr>
          <w:rFonts w:ascii="Arial" w:hAnsi="Arial" w:cs="Arial"/>
        </w:rPr>
        <w:t xml:space="preserve">el actor que se </w:t>
      </w:r>
      <w:r>
        <w:rPr>
          <w:rFonts w:ascii="Arial" w:hAnsi="Arial" w:cs="Arial"/>
        </w:rPr>
        <w:t xml:space="preserve">adelanta en el Juzgado accionado proceso </w:t>
      </w:r>
      <w:r w:rsidR="00041CA8">
        <w:rPr>
          <w:rFonts w:ascii="Arial" w:hAnsi="Arial" w:cs="Arial"/>
        </w:rPr>
        <w:t>reivindicatorio sobre la finca “L</w:t>
      </w:r>
      <w:r w:rsidR="00864458">
        <w:rPr>
          <w:rFonts w:ascii="Arial" w:hAnsi="Arial" w:cs="Arial"/>
        </w:rPr>
        <w:t>a Estrella</w:t>
      </w:r>
      <w:r w:rsidR="00041CA8">
        <w:rPr>
          <w:rFonts w:ascii="Arial" w:hAnsi="Arial" w:cs="Arial"/>
        </w:rPr>
        <w:t>”</w:t>
      </w:r>
      <w:r w:rsidR="00864458">
        <w:rPr>
          <w:rFonts w:ascii="Arial" w:hAnsi="Arial" w:cs="Arial"/>
        </w:rPr>
        <w:t xml:space="preserve">, que era de propiedad de su familia, pero que uno </w:t>
      </w:r>
      <w:r w:rsidR="00CD4ED2">
        <w:rPr>
          <w:rFonts w:ascii="Arial" w:hAnsi="Arial" w:cs="Arial"/>
        </w:rPr>
        <w:t>de sus hermanos se apoderó</w:t>
      </w:r>
      <w:r w:rsidR="00864458">
        <w:rPr>
          <w:rFonts w:ascii="Arial" w:hAnsi="Arial" w:cs="Arial"/>
        </w:rPr>
        <w:t xml:space="preserve"> de ella; dice que no participó en el asunto</w:t>
      </w:r>
      <w:r w:rsidR="00041CA8">
        <w:rPr>
          <w:rFonts w:ascii="Arial" w:hAnsi="Arial" w:cs="Arial"/>
        </w:rPr>
        <w:t>,</w:t>
      </w:r>
      <w:r w:rsidR="00864458">
        <w:rPr>
          <w:rFonts w:ascii="Arial" w:hAnsi="Arial" w:cs="Arial"/>
        </w:rPr>
        <w:t xml:space="preserve"> salvo en una audiencia en la que se ordenó desocupar el inmueble. Se queja de la celeridad </w:t>
      </w:r>
      <w:r w:rsidR="00693B84">
        <w:rPr>
          <w:rFonts w:ascii="Arial" w:hAnsi="Arial" w:cs="Arial"/>
        </w:rPr>
        <w:t>del proceso</w:t>
      </w:r>
      <w:r w:rsidR="00864458">
        <w:rPr>
          <w:rFonts w:ascii="Arial" w:hAnsi="Arial" w:cs="Arial"/>
        </w:rPr>
        <w:t xml:space="preserve">, del  poco tiempo </w:t>
      </w:r>
      <w:r w:rsidR="00693B84">
        <w:rPr>
          <w:rFonts w:ascii="Arial" w:hAnsi="Arial" w:cs="Arial"/>
        </w:rPr>
        <w:t>que se concedió para cumplir la orden y de que no se le escuchara (Folio 2, cuaderno No.1</w:t>
      </w:r>
      <w:r w:rsidR="00864458">
        <w:rPr>
          <w:rFonts w:ascii="Arial" w:hAnsi="Arial" w:cs="Arial"/>
        </w:rPr>
        <w:t>)</w:t>
      </w:r>
      <w:r w:rsidR="003913E3" w:rsidRPr="00311FCA">
        <w:rPr>
          <w:rFonts w:ascii="Arial" w:hAnsi="Arial" w:cs="Arial"/>
          <w:color w:val="000000"/>
          <w:lang w:val="es-CO"/>
        </w:rPr>
        <w:t>.</w:t>
      </w: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3361D8" w:rsidRDefault="003361D8" w:rsidP="003361D8">
      <w:pPr>
        <w:pStyle w:val="Textoindependiente"/>
        <w:spacing w:line="360" w:lineRule="auto"/>
        <w:ind w:left="360"/>
        <w:rPr>
          <w:rFonts w:ascii="Arial" w:hAnsi="Arial"/>
          <w:sz w:val="24"/>
          <w:szCs w:val="24"/>
        </w:rPr>
      </w:pPr>
    </w:p>
    <w:p w:rsidR="00386A25" w:rsidRPr="00386A25" w:rsidRDefault="00693B84" w:rsidP="00386A25">
      <w:pPr>
        <w:pStyle w:val="Textoindependiente"/>
        <w:widowControl w:val="0"/>
        <w:spacing w:line="360" w:lineRule="auto"/>
        <w:rPr>
          <w:rFonts w:ascii="Arial" w:hAnsi="Arial"/>
          <w:sz w:val="24"/>
          <w:szCs w:val="24"/>
        </w:rPr>
      </w:pPr>
      <w:r>
        <w:rPr>
          <w:rFonts w:ascii="Arial" w:hAnsi="Arial"/>
          <w:sz w:val="24"/>
          <w:szCs w:val="24"/>
        </w:rPr>
        <w:t>No precisa cuáles son los derechos fundamentales amenazados o vulnerados, por</w:t>
      </w:r>
      <w:r w:rsidR="00C62932">
        <w:rPr>
          <w:rFonts w:ascii="Arial" w:hAnsi="Arial"/>
          <w:sz w:val="24"/>
          <w:szCs w:val="24"/>
        </w:rPr>
        <w:t xml:space="preserve"> lo</w:t>
      </w:r>
      <w:r>
        <w:rPr>
          <w:rFonts w:ascii="Arial" w:hAnsi="Arial"/>
          <w:sz w:val="24"/>
          <w:szCs w:val="24"/>
        </w:rPr>
        <w:t xml:space="preserve"> tanto como se trata de actuaciones surtidas al interior de un proceso judicial, se considera que se busca la protección del derecho </w:t>
      </w:r>
      <w:r w:rsidR="00041CA8">
        <w:rPr>
          <w:rFonts w:ascii="Arial" w:hAnsi="Arial"/>
          <w:sz w:val="24"/>
          <w:szCs w:val="24"/>
        </w:rPr>
        <w:t xml:space="preserve">de defensa y el </w:t>
      </w:r>
      <w:r>
        <w:rPr>
          <w:rFonts w:ascii="Arial" w:hAnsi="Arial"/>
          <w:sz w:val="24"/>
          <w:szCs w:val="24"/>
        </w:rPr>
        <w:t>debido proceso</w:t>
      </w:r>
      <w:r w:rsidR="00386A25"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 CRÓNICA PROCESAL</w:t>
      </w:r>
    </w:p>
    <w:p w:rsidR="00B26FA3" w:rsidRPr="00311FCA" w:rsidRDefault="00B26FA3" w:rsidP="00B26FA3">
      <w:pPr>
        <w:pStyle w:val="Textoindependiente"/>
        <w:widowControl w:val="0"/>
        <w:spacing w:line="360" w:lineRule="auto"/>
        <w:ind w:left="360"/>
        <w:rPr>
          <w:rFonts w:ascii="Arial" w:hAnsi="Arial" w:cs="Arial"/>
          <w:sz w:val="24"/>
          <w:szCs w:val="24"/>
        </w:rPr>
      </w:pPr>
    </w:p>
    <w:p w:rsidR="00E23D2E" w:rsidRPr="00693B84" w:rsidRDefault="006E78FF" w:rsidP="00E23D2E">
      <w:pPr>
        <w:pStyle w:val="Textoindependiente"/>
        <w:widowControl w:val="0"/>
        <w:spacing w:line="360" w:lineRule="auto"/>
        <w:rPr>
          <w:rFonts w:ascii="Arial" w:hAnsi="Arial"/>
          <w:sz w:val="24"/>
          <w:lang w:val="es-CO"/>
        </w:rPr>
      </w:pPr>
      <w:r w:rsidRPr="00E23D2E">
        <w:rPr>
          <w:rFonts w:ascii="Arial" w:hAnsi="Arial"/>
          <w:sz w:val="24"/>
        </w:rPr>
        <w:t xml:space="preserve">Correspondió </w:t>
      </w:r>
      <w:r w:rsidR="00E23D2E" w:rsidRPr="00E23D2E">
        <w:rPr>
          <w:rFonts w:ascii="Arial" w:hAnsi="Arial"/>
          <w:sz w:val="24"/>
        </w:rPr>
        <w:t xml:space="preserve">al Juzgado </w:t>
      </w:r>
      <w:r w:rsidR="00693B84">
        <w:rPr>
          <w:rFonts w:ascii="Arial" w:hAnsi="Arial"/>
          <w:sz w:val="24"/>
          <w:lang w:val="es-CO"/>
        </w:rPr>
        <w:t xml:space="preserve">Quinto </w:t>
      </w:r>
      <w:r w:rsidR="00B26FA3">
        <w:rPr>
          <w:rFonts w:ascii="Arial" w:hAnsi="Arial"/>
          <w:sz w:val="24"/>
        </w:rPr>
        <w:t xml:space="preserve">Civil del </w:t>
      </w:r>
      <w:r w:rsidR="00E87A47">
        <w:rPr>
          <w:rFonts w:ascii="Arial" w:hAnsi="Arial"/>
          <w:sz w:val="24"/>
        </w:rPr>
        <w:t xml:space="preserve">Circuito de </w:t>
      </w:r>
      <w:r w:rsidR="00182CAF">
        <w:rPr>
          <w:rFonts w:ascii="Arial" w:hAnsi="Arial"/>
          <w:sz w:val="24"/>
        </w:rPr>
        <w:t>Pereira</w:t>
      </w:r>
      <w:r w:rsidR="00E87A47">
        <w:rPr>
          <w:rFonts w:ascii="Arial" w:hAnsi="Arial"/>
          <w:sz w:val="24"/>
        </w:rPr>
        <w:t xml:space="preserve">, </w:t>
      </w:r>
      <w:r w:rsidR="00E23D2E" w:rsidRPr="00E23D2E">
        <w:rPr>
          <w:rFonts w:ascii="Arial" w:hAnsi="Arial"/>
          <w:sz w:val="24"/>
        </w:rPr>
        <w:t xml:space="preserve">que con providencia del </w:t>
      </w:r>
      <w:r w:rsidR="00693B84">
        <w:rPr>
          <w:rFonts w:ascii="Arial" w:hAnsi="Arial"/>
          <w:sz w:val="24"/>
        </w:rPr>
        <w:t>26-05</w:t>
      </w:r>
      <w:r w:rsidR="00083963">
        <w:rPr>
          <w:rFonts w:ascii="Arial" w:hAnsi="Arial"/>
          <w:sz w:val="24"/>
        </w:rPr>
        <w:t xml:space="preserve">-2016 </w:t>
      </w:r>
      <w:r w:rsidR="00E23D2E" w:rsidRPr="00E23D2E">
        <w:rPr>
          <w:rFonts w:ascii="Arial" w:hAnsi="Arial"/>
          <w:sz w:val="24"/>
        </w:rPr>
        <w:t>la admitió</w:t>
      </w:r>
      <w:r w:rsidR="00693B84">
        <w:rPr>
          <w:rFonts w:ascii="Arial" w:hAnsi="Arial"/>
          <w:sz w:val="24"/>
        </w:rPr>
        <w:t xml:space="preserve">, vinculó a quienes estimó conveniente </w:t>
      </w:r>
      <w:r w:rsidR="00083963">
        <w:rPr>
          <w:rFonts w:ascii="Arial" w:hAnsi="Arial"/>
          <w:sz w:val="24"/>
        </w:rPr>
        <w:t>y</w:t>
      </w:r>
      <w:r w:rsidR="00E23D2E" w:rsidRPr="00E23D2E">
        <w:rPr>
          <w:rFonts w:ascii="Arial" w:hAnsi="Arial"/>
          <w:sz w:val="24"/>
        </w:rPr>
        <w:t xml:space="preserve"> </w:t>
      </w:r>
      <w:r w:rsidR="00083963">
        <w:rPr>
          <w:rFonts w:ascii="Arial" w:hAnsi="Arial"/>
          <w:sz w:val="24"/>
        </w:rPr>
        <w:t xml:space="preserve">dispuso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693B84">
        <w:rPr>
          <w:rFonts w:ascii="Arial" w:hAnsi="Arial"/>
          <w:sz w:val="24"/>
        </w:rPr>
        <w:t>17</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Contest</w:t>
      </w:r>
      <w:r w:rsidR="004A5B43">
        <w:rPr>
          <w:rFonts w:ascii="Arial" w:hAnsi="Arial"/>
          <w:sz w:val="24"/>
        </w:rPr>
        <w:t xml:space="preserve">ó </w:t>
      </w:r>
      <w:r w:rsidR="00B26FA3">
        <w:rPr>
          <w:rFonts w:ascii="Arial" w:hAnsi="Arial"/>
          <w:sz w:val="24"/>
        </w:rPr>
        <w:t xml:space="preserve">el </w:t>
      </w:r>
      <w:r w:rsidR="00D46031">
        <w:rPr>
          <w:rFonts w:ascii="Arial" w:hAnsi="Arial"/>
          <w:sz w:val="24"/>
        </w:rPr>
        <w:t xml:space="preserve">Juzgado accionado (Folios </w:t>
      </w:r>
      <w:r w:rsidR="00693B84">
        <w:rPr>
          <w:rFonts w:ascii="Arial" w:hAnsi="Arial"/>
          <w:sz w:val="24"/>
        </w:rPr>
        <w:t>23 a 25</w:t>
      </w:r>
      <w:r w:rsidR="00E23D2E" w:rsidRPr="00E23D2E">
        <w:rPr>
          <w:rFonts w:ascii="Arial" w:hAnsi="Arial"/>
          <w:sz w:val="24"/>
        </w:rPr>
        <w:t>, ibídem)</w:t>
      </w:r>
      <w:r w:rsidR="00693B84">
        <w:rPr>
          <w:rFonts w:ascii="Arial" w:hAnsi="Arial"/>
          <w:sz w:val="24"/>
        </w:rPr>
        <w:t>, los señores Alejandro Gutiérrez Cardona y Yolanda María Santamaría (Folios 38 a 41, ibídem)</w:t>
      </w:r>
      <w:r w:rsidR="00A22A2E">
        <w:rPr>
          <w:rFonts w:ascii="Arial" w:hAnsi="Arial"/>
          <w:sz w:val="24"/>
        </w:rPr>
        <w:t xml:space="preserve">; </w:t>
      </w:r>
      <w:r w:rsidR="00693B84">
        <w:rPr>
          <w:rFonts w:ascii="Arial" w:hAnsi="Arial"/>
          <w:sz w:val="24"/>
        </w:rPr>
        <w:t>se practicó inspección judicial el 03-06-2016 (Folios 48 y 49, ibídem)</w:t>
      </w:r>
      <w:r w:rsidR="002A4C76">
        <w:rPr>
          <w:rFonts w:ascii="Arial" w:hAnsi="Arial"/>
          <w:sz w:val="24"/>
        </w:rPr>
        <w:t>;</w:t>
      </w:r>
      <w:r w:rsidR="00693B84">
        <w:rPr>
          <w:rFonts w:ascii="Arial" w:hAnsi="Arial"/>
          <w:sz w:val="24"/>
        </w:rPr>
        <w:t xml:space="preserve"> </w:t>
      </w:r>
      <w:r w:rsidR="00A22A2E">
        <w:rPr>
          <w:rFonts w:ascii="Arial" w:hAnsi="Arial"/>
          <w:sz w:val="24"/>
        </w:rPr>
        <w:t xml:space="preserve">luego, se profirió sentencia el día </w:t>
      </w:r>
      <w:r w:rsidR="002A4C76">
        <w:rPr>
          <w:rFonts w:ascii="Arial" w:hAnsi="Arial"/>
          <w:sz w:val="24"/>
        </w:rPr>
        <w:t xml:space="preserve">13-06-2016 </w:t>
      </w:r>
      <w:r w:rsidR="00A22A2E">
        <w:rPr>
          <w:rFonts w:ascii="Arial" w:hAnsi="Arial"/>
          <w:sz w:val="24"/>
        </w:rPr>
        <w:t>(Folio</w:t>
      </w:r>
      <w:r w:rsidR="00D46031">
        <w:rPr>
          <w:rFonts w:ascii="Arial" w:hAnsi="Arial"/>
          <w:sz w:val="24"/>
        </w:rPr>
        <w:t>s</w:t>
      </w:r>
      <w:r w:rsidR="00E23D2E" w:rsidRPr="00E23D2E">
        <w:rPr>
          <w:rFonts w:ascii="Arial" w:hAnsi="Arial"/>
          <w:sz w:val="24"/>
        </w:rPr>
        <w:t xml:space="preserve"> </w:t>
      </w:r>
      <w:r w:rsidR="002A4C76">
        <w:rPr>
          <w:rFonts w:ascii="Arial" w:hAnsi="Arial"/>
          <w:sz w:val="24"/>
        </w:rPr>
        <w:t>79 a 87</w:t>
      </w:r>
      <w:r w:rsidR="00E23D2E" w:rsidRPr="00E23D2E">
        <w:rPr>
          <w:rFonts w:ascii="Arial" w:hAnsi="Arial"/>
          <w:sz w:val="24"/>
        </w:rPr>
        <w:t xml:space="preserve">, </w:t>
      </w:r>
      <w:r w:rsidR="004A5B43" w:rsidRPr="00E23D2E">
        <w:rPr>
          <w:rFonts w:ascii="Arial" w:hAnsi="Arial"/>
          <w:sz w:val="24"/>
        </w:rPr>
        <w:t>ib</w:t>
      </w:r>
      <w:r w:rsidR="002A4C76">
        <w:rPr>
          <w:rFonts w:ascii="Arial" w:hAnsi="Arial"/>
          <w:sz w:val="24"/>
        </w:rPr>
        <w:t>.</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2A4C76">
        <w:rPr>
          <w:rFonts w:ascii="Arial" w:hAnsi="Arial"/>
          <w:sz w:val="24"/>
        </w:rPr>
        <w:t>21-06-</w:t>
      </w:r>
      <w:r w:rsidR="00D46031">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w:t>
      </w:r>
      <w:r w:rsidR="002A4C76">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2A4C76">
        <w:rPr>
          <w:rFonts w:ascii="Arial" w:hAnsi="Arial"/>
          <w:sz w:val="24"/>
        </w:rPr>
        <w:t>107</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984AD0"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Negó por </w:t>
      </w:r>
      <w:r w:rsidR="00C345F6">
        <w:rPr>
          <w:rFonts w:ascii="Arial" w:hAnsi="Arial" w:cs="Arial"/>
          <w:sz w:val="24"/>
          <w:szCs w:val="24"/>
        </w:rPr>
        <w:t xml:space="preserve">improcedente </w:t>
      </w:r>
      <w:r w:rsidR="003361D8">
        <w:rPr>
          <w:rFonts w:ascii="Arial" w:hAnsi="Arial" w:cs="Arial"/>
          <w:sz w:val="24"/>
          <w:szCs w:val="24"/>
        </w:rPr>
        <w:t xml:space="preserve">(Sic) </w:t>
      </w:r>
      <w:r w:rsidR="004807E3">
        <w:rPr>
          <w:rFonts w:ascii="Arial" w:hAnsi="Arial" w:cs="Arial"/>
          <w:sz w:val="24"/>
          <w:szCs w:val="24"/>
        </w:rPr>
        <w:t xml:space="preserve">el amparo </w:t>
      </w:r>
      <w:r>
        <w:rPr>
          <w:rFonts w:ascii="Arial" w:hAnsi="Arial" w:cs="Arial"/>
          <w:sz w:val="24"/>
          <w:szCs w:val="24"/>
        </w:rPr>
        <w:t xml:space="preserve">por faltar el presupuesto de subsidiariedad dado que </w:t>
      </w:r>
      <w:r w:rsidR="00C62932">
        <w:rPr>
          <w:rFonts w:ascii="Arial" w:hAnsi="Arial" w:cs="Arial"/>
          <w:sz w:val="24"/>
          <w:szCs w:val="24"/>
        </w:rPr>
        <w:t>el</w:t>
      </w:r>
      <w:r>
        <w:rPr>
          <w:rFonts w:ascii="Arial" w:hAnsi="Arial" w:cs="Arial"/>
          <w:sz w:val="24"/>
          <w:szCs w:val="24"/>
        </w:rPr>
        <w:t xml:space="preserve"> accionante no </w:t>
      </w:r>
      <w:r w:rsidR="002A4C76">
        <w:rPr>
          <w:rFonts w:ascii="Arial" w:hAnsi="Arial" w:cs="Arial"/>
          <w:sz w:val="24"/>
          <w:szCs w:val="24"/>
        </w:rPr>
        <w:t xml:space="preserve">presentó petición para que se practicara la prueba que echa de menos ni </w:t>
      </w:r>
      <w:r>
        <w:rPr>
          <w:rFonts w:ascii="Arial" w:hAnsi="Arial" w:cs="Arial"/>
          <w:sz w:val="24"/>
          <w:szCs w:val="24"/>
        </w:rPr>
        <w:t xml:space="preserve">agotó </w:t>
      </w:r>
      <w:r w:rsidR="00C62932">
        <w:rPr>
          <w:rFonts w:ascii="Arial" w:hAnsi="Arial" w:cs="Arial"/>
          <w:sz w:val="24"/>
          <w:szCs w:val="24"/>
        </w:rPr>
        <w:t>los</w:t>
      </w:r>
      <w:r>
        <w:rPr>
          <w:rFonts w:ascii="Arial" w:hAnsi="Arial" w:cs="Arial"/>
          <w:sz w:val="24"/>
          <w:szCs w:val="24"/>
        </w:rPr>
        <w:t xml:space="preserve"> recurso</w:t>
      </w:r>
      <w:r w:rsidR="002A4C76">
        <w:rPr>
          <w:rFonts w:ascii="Arial" w:hAnsi="Arial" w:cs="Arial"/>
          <w:sz w:val="24"/>
          <w:szCs w:val="24"/>
        </w:rPr>
        <w:t>s</w:t>
      </w:r>
      <w:r>
        <w:rPr>
          <w:rFonts w:ascii="Arial" w:hAnsi="Arial" w:cs="Arial"/>
          <w:sz w:val="24"/>
          <w:szCs w:val="24"/>
        </w:rPr>
        <w:t xml:space="preserve"> </w:t>
      </w:r>
      <w:r w:rsidR="002A4C76">
        <w:rPr>
          <w:rFonts w:ascii="Arial" w:hAnsi="Arial" w:cs="Arial"/>
          <w:sz w:val="24"/>
          <w:szCs w:val="24"/>
        </w:rPr>
        <w:t xml:space="preserve">que estaban a su alcance </w:t>
      </w:r>
      <w:r w:rsidR="003913E3" w:rsidRPr="00B3071D">
        <w:rPr>
          <w:rFonts w:ascii="Arial" w:hAnsi="Arial" w:cs="Arial"/>
          <w:sz w:val="24"/>
          <w:szCs w:val="24"/>
        </w:rPr>
        <w:t>(Folios</w:t>
      </w:r>
      <w:r w:rsidR="004A5B43">
        <w:rPr>
          <w:rFonts w:ascii="Arial" w:hAnsi="Arial" w:cs="Arial"/>
          <w:sz w:val="24"/>
          <w:szCs w:val="24"/>
        </w:rPr>
        <w:t xml:space="preserve"> </w:t>
      </w:r>
      <w:r w:rsidR="002A4C76">
        <w:rPr>
          <w:rFonts w:ascii="Arial" w:hAnsi="Arial"/>
          <w:sz w:val="24"/>
        </w:rPr>
        <w:t>79 a 87</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w:t>
      </w:r>
      <w:r w:rsidR="00794DCB">
        <w:rPr>
          <w:rFonts w:ascii="Arial" w:hAnsi="Arial" w:cs="Arial"/>
          <w:sz w:val="24"/>
          <w:szCs w:val="24"/>
        </w:rPr>
        <w:t xml:space="preserve">se queja </w:t>
      </w:r>
      <w:r w:rsidR="00C62932">
        <w:rPr>
          <w:rFonts w:ascii="Arial" w:hAnsi="Arial" w:cs="Arial"/>
          <w:sz w:val="24"/>
          <w:szCs w:val="24"/>
        </w:rPr>
        <w:t xml:space="preserve">porque en la </w:t>
      </w:r>
      <w:r w:rsidR="00794DCB">
        <w:rPr>
          <w:rFonts w:ascii="Arial" w:hAnsi="Arial" w:cs="Arial"/>
          <w:sz w:val="24"/>
          <w:szCs w:val="24"/>
        </w:rPr>
        <w:t xml:space="preserve">sentencia de </w:t>
      </w:r>
      <w:r w:rsidR="00BF3CDD">
        <w:rPr>
          <w:rFonts w:ascii="Arial" w:hAnsi="Arial" w:cs="Arial"/>
          <w:sz w:val="24"/>
          <w:szCs w:val="24"/>
        </w:rPr>
        <w:t xml:space="preserve">primera instancia </w:t>
      </w:r>
      <w:r w:rsidR="00794DCB">
        <w:rPr>
          <w:rFonts w:ascii="Arial" w:hAnsi="Arial" w:cs="Arial"/>
          <w:sz w:val="24"/>
          <w:szCs w:val="24"/>
        </w:rPr>
        <w:t>no se analizó el curso acelerado que dio el juzgado accionado al proceso reivindicatorio</w:t>
      </w:r>
      <w:r w:rsidR="00C62932">
        <w:rPr>
          <w:rFonts w:ascii="Arial" w:hAnsi="Arial" w:cs="Arial"/>
          <w:sz w:val="24"/>
          <w:szCs w:val="24"/>
        </w:rPr>
        <w:t>;</w:t>
      </w:r>
      <w:r w:rsidR="00794DCB">
        <w:rPr>
          <w:rFonts w:ascii="Arial" w:hAnsi="Arial" w:cs="Arial"/>
          <w:sz w:val="24"/>
          <w:szCs w:val="24"/>
        </w:rPr>
        <w:t xml:space="preserve"> y agrega que su vinculación se realizó para evitar nulidades puesto que sus descargos no fueron tenidos en cuenta al momento de dictar sentencia </w:t>
      </w:r>
      <w:r w:rsidR="003B677E" w:rsidRPr="00D93FEB">
        <w:rPr>
          <w:rFonts w:ascii="Arial" w:hAnsi="Arial" w:cs="Arial"/>
          <w:sz w:val="24"/>
          <w:szCs w:val="24"/>
        </w:rPr>
        <w:t>(Folio</w:t>
      </w:r>
      <w:r w:rsidR="00075865">
        <w:rPr>
          <w:rFonts w:ascii="Arial" w:hAnsi="Arial" w:cs="Arial"/>
          <w:sz w:val="24"/>
          <w:szCs w:val="24"/>
        </w:rPr>
        <w:t>s</w:t>
      </w:r>
      <w:r w:rsidR="003D1506">
        <w:rPr>
          <w:rFonts w:ascii="Arial" w:hAnsi="Arial" w:cs="Arial"/>
          <w:sz w:val="24"/>
          <w:szCs w:val="24"/>
        </w:rPr>
        <w:t xml:space="preserve"> </w:t>
      </w:r>
      <w:r w:rsidR="00794DCB">
        <w:rPr>
          <w:rFonts w:ascii="Arial" w:hAnsi="Arial" w:cs="Arial"/>
          <w:sz w:val="24"/>
          <w:szCs w:val="24"/>
        </w:rPr>
        <w:t>98 a 104</w:t>
      </w:r>
      <w:r w:rsidR="003B677E" w:rsidRPr="00D93FEB">
        <w:rPr>
          <w:rFonts w:ascii="Arial" w:hAnsi="Arial" w:cs="Arial"/>
          <w:sz w:val="24"/>
          <w:szCs w:val="24"/>
        </w:rPr>
        <w:t>, ib.)</w:t>
      </w:r>
      <w:r w:rsidR="00E5080E" w:rsidRPr="00D93FEB">
        <w:rPr>
          <w:rFonts w:ascii="Arial" w:hAnsi="Arial" w:cs="Arial"/>
          <w:sz w:val="24"/>
          <w:szCs w:val="24"/>
        </w:rPr>
        <w:t>.</w:t>
      </w:r>
    </w:p>
    <w:p w:rsidR="00075865" w:rsidRPr="00311FCA" w:rsidRDefault="00075865" w:rsidP="00F839CE">
      <w:pPr>
        <w:pStyle w:val="Textoindependiente"/>
        <w:widowControl w:val="0"/>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1A3C41" w:rsidRPr="001A3C41" w:rsidRDefault="001A3C41" w:rsidP="0017096D">
      <w:pPr>
        <w:spacing w:line="360" w:lineRule="auto"/>
        <w:jc w:val="both"/>
        <w:rPr>
          <w:rFonts w:ascii="Arial" w:hAnsi="Arial" w:cs="Arial"/>
          <w:lang w:val="es-CO"/>
        </w:rPr>
      </w:pPr>
    </w:p>
    <w:p w:rsidR="003913E3" w:rsidRPr="00311FCA" w:rsidRDefault="003913E3" w:rsidP="00B72868">
      <w:pPr>
        <w:pStyle w:val="Textoindependiente"/>
        <w:numPr>
          <w:ilvl w:val="1"/>
          <w:numId w:val="35"/>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041CA8">
        <w:rPr>
          <w:rFonts w:ascii="Arial" w:hAnsi="Arial"/>
          <w:sz w:val="24"/>
        </w:rPr>
        <w:t>Quinto</w:t>
      </w:r>
      <w:r w:rsidR="00794DCB">
        <w:rPr>
          <w:rFonts w:ascii="Arial" w:hAnsi="Arial"/>
          <w:sz w:val="24"/>
        </w:rPr>
        <w:t xml:space="preserve"> </w:t>
      </w:r>
      <w:r w:rsidR="006736FA">
        <w:rPr>
          <w:rFonts w:ascii="Arial" w:hAnsi="Arial"/>
          <w:sz w:val="24"/>
        </w:rPr>
        <w:t xml:space="preserve">Civil del </w:t>
      </w:r>
      <w:r w:rsidR="00680DC6">
        <w:rPr>
          <w:rFonts w:ascii="Arial" w:hAnsi="Arial"/>
          <w:sz w:val="24"/>
        </w:rPr>
        <w:t xml:space="preserve">Circuito </w:t>
      </w:r>
      <w:r w:rsidR="00075865">
        <w:rPr>
          <w:rFonts w:ascii="Arial" w:hAnsi="Arial"/>
          <w:sz w:val="24"/>
        </w:rPr>
        <w:t>de Pereira</w:t>
      </w:r>
      <w:r w:rsidR="006736FA">
        <w:rPr>
          <w:rFonts w:ascii="Arial" w:hAnsi="Arial"/>
          <w:sz w:val="24"/>
        </w:rPr>
        <w:t xml:space="preserve">,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Textoindependiente"/>
        <w:spacing w:line="360" w:lineRule="auto"/>
        <w:rPr>
          <w:rFonts w:ascii="Arial" w:hAnsi="Arial" w:cs="Arial"/>
          <w:sz w:val="24"/>
          <w:szCs w:val="24"/>
        </w:rPr>
      </w:pPr>
    </w:p>
    <w:p w:rsidR="003913E3" w:rsidRDefault="003913E3" w:rsidP="00B72868">
      <w:pPr>
        <w:pStyle w:val="Textoindependiente"/>
        <w:numPr>
          <w:ilvl w:val="1"/>
          <w:numId w:val="35"/>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8D2CD7" w:rsidRPr="001270BF" w:rsidRDefault="008D2CD7" w:rsidP="00B72868">
      <w:pPr>
        <w:pStyle w:val="Prrafodelista"/>
        <w:numPr>
          <w:ilvl w:val="2"/>
          <w:numId w:val="35"/>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lastRenderedPageBreak/>
        <w:t>Las sub-reglas de análisis en la procedibilidad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270BF">
        <w:rPr>
          <w:rFonts w:ascii="Arial" w:hAnsi="Arial" w:cs="Arial"/>
          <w:spacing w:val="-3"/>
          <w:lang w:val="es-ES_tradnl"/>
        </w:rPr>
        <w:t>A partir de la sentencia C-543 de 1992, mediante la cual se examinaron en sede de</w:t>
      </w:r>
      <w:r w:rsidRPr="008D2CD7">
        <w:rPr>
          <w:rFonts w:ascii="Arial" w:hAnsi="Arial" w:cs="Arial"/>
          <w:spacing w:val="-3"/>
          <w:lang w:val="es-ES_tradnl"/>
        </w:rPr>
        <w:t xml:space="preserv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8D2CD7">
        <w:rPr>
          <w:rFonts w:ascii="Arial" w:hAnsi="Arial" w:cs="Arial"/>
          <w:spacing w:val="-3"/>
          <w:vertAlign w:val="superscript"/>
          <w:lang w:val="es-ES_tradnl"/>
        </w:rPr>
        <w:footnoteReference w:id="1"/>
      </w:r>
      <w:r w:rsidRPr="008D2CD7">
        <w:rPr>
          <w:rFonts w:ascii="Arial" w:hAnsi="Arial" w:cs="Arial"/>
          <w:spacing w:val="-3"/>
          <w:lang w:val="es-ES_tradnl"/>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Ahora, en frente del examen que se reclama en sede constitucional, resulta de mayúscula trascendencia, precisar que </w:t>
      </w:r>
      <w:r w:rsidRPr="008D2CD7">
        <w:rPr>
          <w:rFonts w:ascii="Arial" w:hAnsi="Arial" w:cs="Arial"/>
          <w:spacing w:val="-3"/>
          <w:u w:val="single"/>
          <w:lang w:val="es-ES_tradnl"/>
        </w:rPr>
        <w:t>se trata de un juicio de validez y no de corrección</w:t>
      </w:r>
      <w:r w:rsidRPr="008D2CD7">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8D2CD7">
          <w:rPr>
            <w:rFonts w:ascii="Arial" w:hAnsi="Arial" w:cs="Arial"/>
            <w:spacing w:val="-3"/>
            <w:lang w:val="es-ES_tradnl"/>
          </w:rPr>
          <w:t>la Colegiatura</w:t>
        </w:r>
      </w:smartTag>
      <w:r w:rsidRPr="008D2CD7">
        <w:rPr>
          <w:rFonts w:ascii="Arial" w:hAnsi="Arial" w:cs="Arial"/>
          <w:spacing w:val="-3"/>
          <w:lang w:val="es-ES_tradnl"/>
        </w:rPr>
        <w:t xml:space="preserve"> constitucional</w:t>
      </w:r>
      <w:r w:rsidRPr="008D2CD7">
        <w:rPr>
          <w:rFonts w:ascii="Arial" w:hAnsi="Arial" w:cs="Arial"/>
          <w:spacing w:val="-3"/>
          <w:vertAlign w:val="superscript"/>
          <w:lang w:val="es-ES_tradnl"/>
        </w:rPr>
        <w:footnoteReference w:id="2"/>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Los requisitos generales de procedibilidad, explicados en amplitud en la sentencia C-590 de 2005</w:t>
      </w:r>
      <w:r w:rsidRPr="008D2CD7">
        <w:rPr>
          <w:rFonts w:ascii="Arial" w:hAnsi="Arial" w:cs="Arial"/>
          <w:spacing w:val="-3"/>
          <w:vertAlign w:val="superscript"/>
          <w:lang w:val="es-ES_tradnl"/>
        </w:rPr>
        <w:footnoteReference w:id="3"/>
      </w:r>
      <w:r w:rsidRPr="008D2CD7">
        <w:rPr>
          <w:rFonts w:ascii="Arial" w:hAnsi="Arial" w:cs="Arial"/>
          <w:spacing w:val="-3"/>
          <w:lang w:val="es-ES_tradnl"/>
        </w:rPr>
        <w:t xml:space="preserve"> y reiterados en la consolidada línea jurisprudencial de la Corte Constitucional</w:t>
      </w:r>
      <w:r w:rsidRPr="008D2CD7">
        <w:rPr>
          <w:rFonts w:ascii="Arial" w:hAnsi="Arial" w:cs="Arial"/>
          <w:spacing w:val="-3"/>
          <w:vertAlign w:val="superscript"/>
          <w:lang w:val="es-ES_tradnl"/>
        </w:rPr>
        <w:footnoteReference w:id="4"/>
      </w:r>
      <w:r w:rsidRPr="008D2CD7">
        <w:rPr>
          <w:rFonts w:ascii="Arial" w:hAnsi="Arial" w:cs="Arial"/>
          <w:spacing w:val="-3"/>
          <w:lang w:val="es-ES_tradnl"/>
        </w:rPr>
        <w:t xml:space="preserve"> (</w:t>
      </w:r>
      <w:r w:rsidR="006958F8">
        <w:rPr>
          <w:rFonts w:ascii="Arial" w:hAnsi="Arial" w:cs="Arial"/>
          <w:spacing w:val="-3"/>
          <w:lang w:val="es-ES_tradnl"/>
        </w:rPr>
        <w:t>2016</w:t>
      </w:r>
      <w:r w:rsidRPr="008D2CD7">
        <w:rPr>
          <w:rFonts w:ascii="Arial" w:hAnsi="Arial" w:cs="Arial"/>
          <w:spacing w:val="-3"/>
          <w:lang w:val="es-ES_tradnl"/>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D2CD7">
        <w:rPr>
          <w:rFonts w:ascii="Arial" w:hAnsi="Arial" w:cs="Times New Roman"/>
          <w:spacing w:val="-3"/>
          <w:vertAlign w:val="superscript"/>
          <w:lang w:val="es-ES_tradnl"/>
        </w:rPr>
        <w:footnoteReference w:id="5"/>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8D2CD7">
        <w:rPr>
          <w:rFonts w:ascii="Arial" w:hAnsi="Arial" w:cs="Arial"/>
          <w:spacing w:val="-3"/>
          <w:lang w:val="es-ES_tradnl"/>
        </w:rPr>
        <w:lastRenderedPageBreak/>
        <w:t>sistemático recuento puede leerse en la obra de los doctores Catalina Botero Marino</w:t>
      </w:r>
      <w:r w:rsidRPr="008D2CD7">
        <w:rPr>
          <w:rFonts w:ascii="Arial" w:hAnsi="Arial" w:cs="Arial"/>
          <w:spacing w:val="-3"/>
          <w:vertAlign w:val="superscript"/>
          <w:lang w:val="es-ES_tradnl"/>
        </w:rPr>
        <w:footnoteReference w:id="6"/>
      </w:r>
      <w:r w:rsidRPr="008D2CD7">
        <w:rPr>
          <w:rFonts w:ascii="Arial" w:hAnsi="Arial" w:cs="Arial"/>
          <w:spacing w:val="-3"/>
          <w:lang w:val="es-ES_tradnl"/>
        </w:rPr>
        <w:t xml:space="preserve"> y Quinche Ramírez</w:t>
      </w:r>
      <w:r w:rsidRPr="008D2CD7">
        <w:rPr>
          <w:rFonts w:ascii="Arial" w:hAnsi="Arial" w:cs="Arial"/>
          <w:spacing w:val="-3"/>
          <w:vertAlign w:val="superscript"/>
          <w:lang w:val="es-ES_tradnl"/>
        </w:rPr>
        <w:footnoteReference w:id="7"/>
      </w:r>
      <w:r w:rsidRPr="008D2CD7">
        <w:rPr>
          <w:rFonts w:ascii="Arial" w:hAnsi="Arial" w:cs="Arial"/>
          <w:spacing w:val="-3"/>
          <w:lang w:val="es-ES_tradnl"/>
        </w:rPr>
        <w:t>.</w:t>
      </w:r>
    </w:p>
    <w:p w:rsidR="00117D2E" w:rsidRPr="006449F5" w:rsidRDefault="00117D2E" w:rsidP="00117D2E">
      <w:pPr>
        <w:spacing w:line="360" w:lineRule="auto"/>
        <w:jc w:val="both"/>
        <w:rPr>
          <w:rFonts w:ascii="Arial" w:hAnsi="Arial" w:cs="Arial"/>
        </w:rPr>
      </w:pPr>
    </w:p>
    <w:p w:rsidR="00471BA7" w:rsidRPr="00471BA7" w:rsidRDefault="00471BA7" w:rsidP="006449F5">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71BA7">
        <w:rPr>
          <w:rFonts w:ascii="Arial" w:hAnsi="Arial" w:cs="Arial"/>
          <w:sz w:val="24"/>
          <w:szCs w:val="24"/>
        </w:rPr>
        <w:t>El carácter subsidiario de la acción de tutela</w:t>
      </w:r>
      <w:r w:rsidRPr="00471BA7">
        <w:rPr>
          <w:rFonts w:ascii="Arial" w:hAnsi="Arial" w:cs="Arial"/>
          <w:sz w:val="24"/>
          <w:szCs w:val="24"/>
        </w:rPr>
        <w:tab/>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2"/>
          <w:szCs w:val="24"/>
          <w:u w:val="single"/>
        </w:rPr>
      </w:pPr>
      <w:r w:rsidRPr="00471BA7">
        <w:rPr>
          <w:rFonts w:ascii="Arial" w:hAnsi="Arial" w:cs="Arial"/>
          <w:sz w:val="24"/>
          <w:szCs w:val="24"/>
        </w:rPr>
        <w:t xml:space="preserve">La acción de tutela, se halla prescrita en el artículo 86 de la Constitución Nacional, definiendo la regla general sobre la procedencia de la acción, al consagrar en el inciso 3° que  </w:t>
      </w:r>
      <w:r w:rsidRPr="00471BA7">
        <w:rPr>
          <w:rFonts w:ascii="Arial" w:hAnsi="Arial" w:cs="Arial"/>
          <w:sz w:val="22"/>
          <w:szCs w:val="24"/>
        </w:rPr>
        <w:t>“</w:t>
      </w:r>
      <w:r w:rsidRPr="00471BA7">
        <w:rPr>
          <w:rFonts w:ascii="Arial" w:hAnsi="Arial" w:cs="Arial"/>
          <w:i/>
          <w:sz w:val="22"/>
          <w:szCs w:val="24"/>
        </w:rPr>
        <w:t xml:space="preserve">Esta acción solo procederá </w:t>
      </w:r>
      <w:r w:rsidRPr="00471BA7">
        <w:rPr>
          <w:rFonts w:ascii="Arial" w:hAnsi="Arial" w:cs="Arial"/>
          <w:i/>
          <w:sz w:val="22"/>
          <w:szCs w:val="24"/>
          <w:u w:val="single"/>
        </w:rPr>
        <w:t>cuando el afectado no disponga de otro medio de defensa judicial, salvo que aquella se utilice como mecanismo transitorio para evitar un perjuicio irremediable</w:t>
      </w:r>
      <w:r w:rsidRPr="00471BA7">
        <w:rPr>
          <w:rFonts w:ascii="Arial" w:hAnsi="Arial" w:cs="Arial"/>
          <w:sz w:val="22"/>
          <w:szCs w:val="24"/>
          <w:u w:val="single"/>
        </w:rPr>
        <w:t xml:space="preserve">”. </w:t>
      </w:r>
    </w:p>
    <w:p w:rsidR="00471BA7" w:rsidRPr="00471BA7" w:rsidRDefault="00471BA7" w:rsidP="00471BA7">
      <w:pPr>
        <w:pStyle w:val="Textoindependiente"/>
        <w:tabs>
          <w:tab w:val="clear" w:pos="0"/>
        </w:tabs>
        <w:spacing w:line="360" w:lineRule="auto"/>
        <w:rPr>
          <w:rFonts w:ascii="Arial" w:hAnsi="Arial" w:cs="Arial"/>
          <w:sz w:val="24"/>
          <w:szCs w:val="24"/>
          <w:u w:val="single"/>
        </w:rPr>
      </w:pPr>
    </w:p>
    <w:p w:rsidR="00471BA7" w:rsidRPr="00471BA7" w:rsidRDefault="00471BA7" w:rsidP="00471BA7">
      <w:pPr>
        <w:pStyle w:val="Textoindependiente"/>
        <w:tabs>
          <w:tab w:val="clear" w:pos="0"/>
        </w:tabs>
        <w:spacing w:line="360" w:lineRule="auto"/>
        <w:rPr>
          <w:rFonts w:ascii="Arial" w:hAnsi="Arial" w:cs="Arial"/>
          <w:i/>
          <w:sz w:val="22"/>
          <w:szCs w:val="24"/>
        </w:rPr>
      </w:pPr>
      <w:r w:rsidRPr="00471BA7">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471BA7">
        <w:rPr>
          <w:rFonts w:ascii="Arial" w:hAnsi="Arial" w:cs="Arial"/>
          <w:i/>
          <w:sz w:val="24"/>
          <w:szCs w:val="24"/>
        </w:rPr>
        <w:t xml:space="preserve">: </w:t>
      </w:r>
      <w:r w:rsidRPr="00471BA7">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71BA7">
        <w:rPr>
          <w:rStyle w:val="Refdenotaalpie"/>
          <w:rFonts w:ascii="Arial" w:hAnsi="Arial" w:cs="Arial"/>
          <w:i/>
          <w:sz w:val="22"/>
          <w:szCs w:val="24"/>
        </w:rPr>
        <w:footnoteReference w:id="8"/>
      </w:r>
      <w:r w:rsidRPr="00471BA7">
        <w:rPr>
          <w:rFonts w:ascii="Arial" w:hAnsi="Arial" w:cs="Arial"/>
          <w:i/>
          <w:sz w:val="22"/>
          <w:szCs w:val="24"/>
        </w:rPr>
        <w:t>.</w:t>
      </w:r>
    </w:p>
    <w:p w:rsidR="00471BA7" w:rsidRPr="00471BA7" w:rsidRDefault="00471BA7" w:rsidP="00471BA7">
      <w:pPr>
        <w:widowControl/>
        <w:autoSpaceDE/>
        <w:autoSpaceDN/>
        <w:adjustRightInd/>
        <w:spacing w:line="360" w:lineRule="auto"/>
        <w:jc w:val="both"/>
        <w:rPr>
          <w:rFonts w:ascii="Arial" w:hAnsi="Arial" w:cs="Arial"/>
          <w:lang w:val="es-ES_tradnl"/>
        </w:rPr>
      </w:pPr>
    </w:p>
    <w:p w:rsidR="00471BA7" w:rsidRPr="00471BA7" w:rsidRDefault="00471BA7" w:rsidP="00471BA7">
      <w:pPr>
        <w:widowControl/>
        <w:autoSpaceDE/>
        <w:autoSpaceDN/>
        <w:adjustRightInd/>
        <w:spacing w:line="360" w:lineRule="auto"/>
        <w:jc w:val="both"/>
        <w:rPr>
          <w:rFonts w:ascii="Arial" w:hAnsi="Arial" w:cs="Arial"/>
          <w:lang w:val="es-ES_tradnl"/>
        </w:rPr>
      </w:pPr>
      <w:r w:rsidRPr="00471BA7">
        <w:rPr>
          <w:rFonts w:ascii="Arial" w:hAnsi="Arial" w:cs="Arial"/>
          <w:lang w:val="es-ES_tradnl"/>
        </w:rPr>
        <w:t>La Corte Constitucional</w:t>
      </w:r>
      <w:r w:rsidRPr="00471BA7">
        <w:rPr>
          <w:rStyle w:val="Refdenotaalpie"/>
          <w:rFonts w:ascii="Arial" w:hAnsi="Arial"/>
          <w:color w:val="000000"/>
          <w:shd w:val="clear" w:color="auto" w:fill="FFFFFF"/>
        </w:rPr>
        <w:footnoteReference w:id="9"/>
      </w:r>
      <w:r w:rsidRPr="00471BA7">
        <w:rPr>
          <w:rFonts w:ascii="Arial" w:hAnsi="Arial" w:cs="Arial"/>
          <w:lang w:val="es-ES_tradnl"/>
        </w:rPr>
        <w:t xml:space="preserve"> en su jurisprudencia ha destacado la importancia de preservar el principio de subsidiariedad en el amparo constitucional:</w:t>
      </w:r>
    </w:p>
    <w:p w:rsidR="00471BA7" w:rsidRPr="00471BA7" w:rsidRDefault="00471BA7" w:rsidP="00471BA7">
      <w:pPr>
        <w:widowControl/>
        <w:overflowPunct w:val="0"/>
        <w:spacing w:line="360" w:lineRule="auto"/>
        <w:ind w:left="540" w:right="560"/>
        <w:jc w:val="both"/>
        <w:textAlignment w:val="baseline"/>
        <w:rPr>
          <w:rFonts w:ascii="Arial" w:hAnsi="Arial" w:cs="Arial"/>
          <w:i/>
          <w:iCs/>
          <w:lang w:val="es-ES_tradnl"/>
        </w:rPr>
      </w:pPr>
    </w:p>
    <w:p w:rsidR="00471BA7" w:rsidRPr="00471BA7" w:rsidRDefault="00471BA7" w:rsidP="00471BA7">
      <w:pPr>
        <w:pStyle w:val="Textoindependiente"/>
        <w:tabs>
          <w:tab w:val="clear" w:pos="0"/>
        </w:tabs>
        <w:spacing w:line="240" w:lineRule="auto"/>
        <w:ind w:left="567" w:right="567"/>
        <w:rPr>
          <w:rFonts w:ascii="Arial" w:hAnsi="Arial" w:cs="Arial"/>
          <w:color w:val="000000"/>
          <w:sz w:val="24"/>
          <w:szCs w:val="24"/>
          <w:shd w:val="clear" w:color="auto" w:fill="FFFFFF"/>
        </w:rPr>
      </w:pPr>
      <w:r w:rsidRPr="00471BA7">
        <w:rPr>
          <w:rFonts w:ascii="Arial" w:hAnsi="Arial" w:cs="Arial"/>
          <w:color w:val="000000"/>
          <w:sz w:val="24"/>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4"/>
          <w:szCs w:val="24"/>
        </w:rPr>
      </w:pPr>
      <w:r w:rsidRPr="00471BA7">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71BA7">
        <w:rPr>
          <w:rFonts w:ascii="Arial" w:hAnsi="Arial" w:cs="Arial"/>
          <w:i/>
          <w:sz w:val="22"/>
          <w:szCs w:val="24"/>
        </w:rPr>
        <w:t xml:space="preserve">“(…) la Corte ha sostenido, de manera reiterada, que la acción de tutela es improcedente cuando con ella se pretenden sustituir mecanismos ordinarios de defensa </w:t>
      </w:r>
      <w:r w:rsidRPr="00471BA7">
        <w:rPr>
          <w:rFonts w:ascii="Arial" w:hAnsi="Arial" w:cs="Arial"/>
          <w:i/>
          <w:sz w:val="22"/>
          <w:szCs w:val="24"/>
        </w:rPr>
        <w:lastRenderedPageBreak/>
        <w:t>que, por negligencia, descuido o incuria de quien solicita el amparo constitucional, no fueron utilizados a su debido tiempo”</w:t>
      </w:r>
      <w:r w:rsidRPr="00471BA7">
        <w:rPr>
          <w:rStyle w:val="Refdenotaalpie"/>
          <w:rFonts w:ascii="Arial" w:hAnsi="Arial" w:cs="Arial"/>
          <w:sz w:val="22"/>
          <w:szCs w:val="24"/>
        </w:rPr>
        <w:footnoteReference w:id="10"/>
      </w:r>
      <w:r w:rsidRPr="00471BA7">
        <w:rPr>
          <w:rFonts w:ascii="Arial" w:hAnsi="Arial" w:cs="Arial"/>
          <w:sz w:val="22"/>
          <w:szCs w:val="24"/>
        </w:rPr>
        <w:t>.</w:t>
      </w:r>
      <w:r w:rsidRPr="00471BA7">
        <w:rPr>
          <w:rFonts w:ascii="Arial" w:hAnsi="Arial" w:cs="Arial"/>
          <w:sz w:val="24"/>
          <w:szCs w:val="24"/>
        </w:rPr>
        <w:t xml:space="preserve"> Además, la Corte ha sido reiterativa en su criterio</w:t>
      </w:r>
      <w:r w:rsidRPr="00471BA7">
        <w:rPr>
          <w:rStyle w:val="Refdenotaalpie"/>
          <w:rFonts w:ascii="Arial" w:hAnsi="Arial"/>
          <w:sz w:val="24"/>
          <w:szCs w:val="24"/>
        </w:rPr>
        <w:footnoteReference w:id="11"/>
      </w:r>
      <w:r w:rsidRPr="00471BA7">
        <w:rPr>
          <w:rFonts w:ascii="Arial" w:hAnsi="Arial" w:cs="Arial"/>
          <w:sz w:val="24"/>
          <w:szCs w:val="24"/>
        </w:rPr>
        <w:t>(2016)</w:t>
      </w:r>
      <w:r w:rsidRPr="00471BA7">
        <w:rPr>
          <w:rStyle w:val="Refdenotaalpie"/>
          <w:rFonts w:ascii="Arial" w:hAnsi="Arial"/>
          <w:sz w:val="24"/>
          <w:szCs w:val="24"/>
        </w:rPr>
        <w:footnoteReference w:id="12"/>
      </w:r>
      <w:r w:rsidRPr="00471BA7">
        <w:rPr>
          <w:rFonts w:ascii="Arial" w:hAnsi="Arial" w:cs="Arial"/>
          <w:sz w:val="24"/>
          <w:szCs w:val="24"/>
        </w:rPr>
        <w:t>.</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spacing w:line="360" w:lineRule="auto"/>
        <w:jc w:val="both"/>
        <w:rPr>
          <w:rFonts w:ascii="Arial" w:hAnsi="Arial" w:cs="Arial"/>
          <w:lang w:val="es-ES_tradnl"/>
        </w:rPr>
      </w:pPr>
      <w:r w:rsidRPr="00471BA7">
        <w:rPr>
          <w:rFonts w:ascii="Arial" w:hAnsi="Arial" w:cs="Arial"/>
          <w:lang w:val="es-ES_tradnl"/>
        </w:rPr>
        <w:t xml:space="preserve">También la </w:t>
      </w:r>
      <w:r w:rsidR="00AC18BD">
        <w:rPr>
          <w:rFonts w:ascii="Arial" w:hAnsi="Arial" w:cs="Arial"/>
          <w:lang w:val="es-ES_tradnl"/>
        </w:rPr>
        <w:t>CSJ</w:t>
      </w:r>
      <w:r w:rsidRPr="00471BA7">
        <w:rPr>
          <w:rFonts w:ascii="Arial" w:hAnsi="Arial" w:cs="Arial"/>
          <w:lang w:val="es-ES_tradnl"/>
        </w:rPr>
        <w:t xml:space="preserve"> se ha referido al tema</w:t>
      </w:r>
      <w:r w:rsidRPr="00471BA7">
        <w:rPr>
          <w:rStyle w:val="Refdenotaalpie"/>
          <w:rFonts w:ascii="Arial" w:hAnsi="Arial" w:cs="Arial"/>
          <w:lang w:val="es-ES_tradnl"/>
        </w:rPr>
        <w:footnoteReference w:id="13"/>
      </w:r>
      <w:r w:rsidRPr="00471BA7">
        <w:rPr>
          <w:rFonts w:ascii="Arial" w:hAnsi="Arial" w:cs="Arial"/>
          <w:vertAlign w:val="superscript"/>
          <w:lang w:val="es-ES_tradnl"/>
        </w:rPr>
        <w:t>-</w:t>
      </w:r>
      <w:r w:rsidRPr="00471BA7">
        <w:rPr>
          <w:rStyle w:val="Refdenotaalpie"/>
          <w:rFonts w:ascii="Arial" w:hAnsi="Arial"/>
          <w:lang w:val="es-ES_tradnl"/>
        </w:rPr>
        <w:footnoteReference w:id="14"/>
      </w:r>
      <w:r w:rsidRPr="00471BA7">
        <w:rPr>
          <w:rFonts w:ascii="Arial" w:hAnsi="Arial" w:cs="Arial"/>
          <w:lang w:val="es-ES_tradnl"/>
        </w:rPr>
        <w:t xml:space="preserve"> (2016)</w:t>
      </w:r>
      <w:r w:rsidRPr="00471BA7">
        <w:rPr>
          <w:rStyle w:val="Refdenotaalpie"/>
          <w:rFonts w:ascii="Arial" w:hAnsi="Arial"/>
          <w:lang w:val="es-ES_tradnl"/>
        </w:rPr>
        <w:footnoteReference w:id="15"/>
      </w:r>
      <w:r w:rsidRPr="00471BA7">
        <w:rPr>
          <w:rFonts w:ascii="Arial" w:hAnsi="Arial" w:cs="Arial"/>
          <w:lang w:val="es-ES_tradnl"/>
        </w:rPr>
        <w:t>, prohija la improcedencia de la tutela por aplicación del principio de subsidiariedad.</w:t>
      </w:r>
    </w:p>
    <w:p w:rsidR="009565CF" w:rsidRPr="00AC7177" w:rsidRDefault="009565CF" w:rsidP="002F2011">
      <w:pPr>
        <w:pStyle w:val="Textoindependiente"/>
        <w:spacing w:line="360" w:lineRule="auto"/>
        <w:rPr>
          <w:rFonts w:ascii="Arial" w:hAnsi="Arial" w:cs="Arial"/>
          <w:color w:val="000000" w:themeColor="text1"/>
          <w:sz w:val="22"/>
          <w:szCs w:val="24"/>
        </w:rPr>
      </w:pPr>
    </w:p>
    <w:p w:rsidR="002F2011" w:rsidRPr="006449F5" w:rsidRDefault="002F2011" w:rsidP="006449F5">
      <w:pPr>
        <w:pStyle w:val="Prrafodelista"/>
        <w:numPr>
          <w:ilvl w:val="0"/>
          <w:numId w:val="35"/>
        </w:numPr>
        <w:spacing w:line="360" w:lineRule="auto"/>
        <w:jc w:val="both"/>
        <w:rPr>
          <w:rFonts w:ascii="Arial" w:hAnsi="Arial" w:cs="Arial"/>
        </w:rPr>
      </w:pPr>
      <w:r w:rsidRPr="006449F5">
        <w:rPr>
          <w:rFonts w:ascii="Arial" w:hAnsi="Arial" w:cs="Arial"/>
        </w:rPr>
        <w:t xml:space="preserve">EL CASO CONCRETO </w:t>
      </w:r>
    </w:p>
    <w:p w:rsidR="002F2011" w:rsidRDefault="002F2011" w:rsidP="002F2011">
      <w:pPr>
        <w:pStyle w:val="Prrafodelista"/>
        <w:spacing w:after="0" w:line="360" w:lineRule="auto"/>
        <w:ind w:left="390"/>
        <w:jc w:val="both"/>
        <w:rPr>
          <w:rFonts w:ascii="Arial" w:hAnsi="Arial" w:cs="Arial"/>
          <w:sz w:val="24"/>
          <w:szCs w:val="24"/>
        </w:rPr>
      </w:pPr>
    </w:p>
    <w:p w:rsidR="00E20670" w:rsidRDefault="00E20670" w:rsidP="00E20670">
      <w:pPr>
        <w:spacing w:line="360" w:lineRule="auto"/>
        <w:ind w:right="51"/>
        <w:jc w:val="both"/>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 en efecto, como </w:t>
      </w:r>
      <w:r>
        <w:rPr>
          <w:rFonts w:ascii="Arial" w:hAnsi="Arial" w:cs="Arial"/>
          <w:lang w:val="es-ES_tradnl"/>
        </w:rPr>
        <w:t>los requisitos generales de procedibilidad son concurrentes, esto es, incumplido uno, se torna inane el examen de los demás, menos podrían revisarse los supuestos especiales</w:t>
      </w:r>
      <w:r w:rsidR="00AC18BD">
        <w:rPr>
          <w:rFonts w:ascii="Arial" w:hAnsi="Arial" w:cs="Arial"/>
          <w:lang w:val="es-ES_tradnl"/>
        </w:rPr>
        <w:t xml:space="preserve"> (Defectos)</w:t>
      </w:r>
      <w:r>
        <w:rPr>
          <w:rFonts w:ascii="Arial" w:hAnsi="Arial"/>
          <w:lang w:val="es-CO"/>
        </w:rPr>
        <w:t>.</w:t>
      </w:r>
    </w:p>
    <w:p w:rsidR="00067C0F" w:rsidRDefault="00067C0F" w:rsidP="008F679C">
      <w:pPr>
        <w:spacing w:line="360" w:lineRule="auto"/>
        <w:ind w:right="51"/>
        <w:jc w:val="both"/>
        <w:rPr>
          <w:rFonts w:ascii="Arial" w:hAnsi="Arial"/>
          <w:lang w:val="es-CO"/>
        </w:rPr>
      </w:pPr>
    </w:p>
    <w:p w:rsidR="00041CA8" w:rsidRDefault="00041CA8" w:rsidP="00735F72">
      <w:pPr>
        <w:spacing w:line="360" w:lineRule="auto"/>
        <w:jc w:val="both"/>
        <w:rPr>
          <w:rFonts w:ascii="Arial" w:hAnsi="Arial"/>
        </w:rPr>
      </w:pPr>
      <w:r>
        <w:rPr>
          <w:rFonts w:ascii="Arial" w:hAnsi="Arial"/>
        </w:rPr>
        <w:t xml:space="preserve">Conforme se indicara párrafos atrás, interpreta la Sala que el accionante se queja de la vulneración de sus derechos de defensa y debido proceso, con ocasión de la celeridad que el despacho judicial accionado le imprimió al proceso reivindicatorio, </w:t>
      </w:r>
      <w:r w:rsidR="0034291E">
        <w:rPr>
          <w:rFonts w:ascii="Arial" w:hAnsi="Arial"/>
        </w:rPr>
        <w:t>pues</w:t>
      </w:r>
      <w:r>
        <w:rPr>
          <w:rFonts w:ascii="Arial" w:hAnsi="Arial"/>
        </w:rPr>
        <w:t xml:space="preserve"> luego de admitir su vinculación tardó pocos días para proferir sentencia. </w:t>
      </w:r>
    </w:p>
    <w:p w:rsidR="00041CA8" w:rsidRDefault="00041CA8" w:rsidP="00735F72">
      <w:pPr>
        <w:spacing w:line="360" w:lineRule="auto"/>
        <w:jc w:val="both"/>
        <w:rPr>
          <w:rFonts w:ascii="Arial" w:hAnsi="Arial"/>
        </w:rPr>
      </w:pPr>
    </w:p>
    <w:p w:rsidR="00910D0C" w:rsidRDefault="00041CA8" w:rsidP="00041CA8">
      <w:pPr>
        <w:spacing w:line="360" w:lineRule="auto"/>
        <w:jc w:val="both"/>
        <w:rPr>
          <w:rFonts w:ascii="Arial" w:hAnsi="Arial"/>
        </w:rPr>
      </w:pPr>
      <w:r>
        <w:rPr>
          <w:rFonts w:ascii="Arial" w:hAnsi="Arial"/>
        </w:rPr>
        <w:t xml:space="preserve">Revisado el acervo probatorio se tiene que el </w:t>
      </w:r>
      <w:r w:rsidRPr="00041CA8">
        <w:rPr>
          <w:rFonts w:ascii="Arial" w:hAnsi="Arial"/>
          <w:i/>
        </w:rPr>
        <w:t>a quo</w:t>
      </w:r>
      <w:r>
        <w:rPr>
          <w:rFonts w:ascii="Arial" w:hAnsi="Arial"/>
        </w:rPr>
        <w:t xml:space="preserve"> accionado con proveído del 10-05-2016</w:t>
      </w:r>
      <w:r w:rsidR="00640ED3">
        <w:rPr>
          <w:rFonts w:ascii="Arial" w:hAnsi="Arial"/>
        </w:rPr>
        <w:t>,</w:t>
      </w:r>
      <w:r>
        <w:rPr>
          <w:rFonts w:ascii="Arial" w:hAnsi="Arial"/>
        </w:rPr>
        <w:t xml:space="preserve"> </w:t>
      </w:r>
      <w:r w:rsidR="0034291E">
        <w:rPr>
          <w:rFonts w:ascii="Arial" w:hAnsi="Arial"/>
        </w:rPr>
        <w:t xml:space="preserve">admitió </w:t>
      </w:r>
      <w:r>
        <w:rPr>
          <w:rFonts w:ascii="Arial" w:hAnsi="Arial"/>
        </w:rPr>
        <w:t>al accionante como litisconsorte de la parte pasiva</w:t>
      </w:r>
      <w:r w:rsidR="0034291E">
        <w:rPr>
          <w:rFonts w:ascii="Arial" w:hAnsi="Arial"/>
        </w:rPr>
        <w:t>, dispuso tomar su declaración</w:t>
      </w:r>
      <w:r>
        <w:rPr>
          <w:rFonts w:ascii="Arial" w:hAnsi="Arial"/>
        </w:rPr>
        <w:t xml:space="preserve"> y </w:t>
      </w:r>
      <w:r w:rsidR="0034291E">
        <w:rPr>
          <w:rFonts w:ascii="Arial" w:hAnsi="Arial"/>
        </w:rPr>
        <w:t>precisó que recibiría el proceso en el estado en que se encontraba</w:t>
      </w:r>
      <w:r w:rsidR="00640ED3">
        <w:rPr>
          <w:rFonts w:ascii="Arial" w:hAnsi="Arial"/>
        </w:rPr>
        <w:t xml:space="preserve"> (Folios 50 a 52, cuaderno No.1)</w:t>
      </w:r>
      <w:r w:rsidR="0034291E">
        <w:rPr>
          <w:rFonts w:ascii="Arial" w:hAnsi="Arial"/>
        </w:rPr>
        <w:t xml:space="preserve">, </w:t>
      </w:r>
      <w:r w:rsidR="00640ED3">
        <w:rPr>
          <w:rFonts w:ascii="Arial" w:hAnsi="Arial"/>
        </w:rPr>
        <w:t xml:space="preserve">es decir, </w:t>
      </w:r>
      <w:r w:rsidR="0034291E">
        <w:rPr>
          <w:rFonts w:ascii="Arial" w:hAnsi="Arial"/>
        </w:rPr>
        <w:t xml:space="preserve">ad portas de </w:t>
      </w:r>
      <w:r w:rsidR="00640ED3">
        <w:rPr>
          <w:rFonts w:ascii="Arial" w:hAnsi="Arial"/>
        </w:rPr>
        <w:t>que se dictara sentencia</w:t>
      </w:r>
      <w:r w:rsidR="0034291E">
        <w:rPr>
          <w:rFonts w:ascii="Arial" w:hAnsi="Arial"/>
        </w:rPr>
        <w:t>. No obstante aquella limitación</w:t>
      </w:r>
      <w:r w:rsidR="00587764">
        <w:rPr>
          <w:rFonts w:ascii="Arial" w:hAnsi="Arial"/>
        </w:rPr>
        <w:t>, el actor nunca solicitó al despacho judicial que practicara la inspección judicial</w:t>
      </w:r>
      <w:r w:rsidR="00910D0C">
        <w:rPr>
          <w:rFonts w:ascii="Arial" w:hAnsi="Arial"/>
        </w:rPr>
        <w:t xml:space="preserve"> </w:t>
      </w:r>
      <w:r w:rsidR="00D673D3">
        <w:rPr>
          <w:rFonts w:ascii="Arial" w:hAnsi="Arial"/>
        </w:rPr>
        <w:t xml:space="preserve">que </w:t>
      </w:r>
      <w:r w:rsidR="00910D0C">
        <w:rPr>
          <w:rFonts w:ascii="Arial" w:hAnsi="Arial"/>
        </w:rPr>
        <w:t>pretende con este amparo</w:t>
      </w:r>
      <w:r w:rsidR="00587764">
        <w:rPr>
          <w:rFonts w:ascii="Arial" w:hAnsi="Arial"/>
        </w:rPr>
        <w:t>, pese a que tuvo la oportunidad para hacerlo</w:t>
      </w:r>
      <w:r w:rsidR="00640ED3">
        <w:rPr>
          <w:rFonts w:ascii="Arial" w:hAnsi="Arial"/>
        </w:rPr>
        <w:t xml:space="preserve">, </w:t>
      </w:r>
      <w:r w:rsidR="00E61CFA">
        <w:rPr>
          <w:rFonts w:ascii="Arial" w:hAnsi="Arial"/>
        </w:rPr>
        <w:t xml:space="preserve">pues contaba con </w:t>
      </w:r>
      <w:r w:rsidR="00640ED3">
        <w:rPr>
          <w:rFonts w:ascii="Arial" w:hAnsi="Arial"/>
        </w:rPr>
        <w:t>los días comprendidos entre el 12-05-2016 (Día de notificación por estado, folio 52, ibídem) y el 19-05-2016 (Día de la audiencia)</w:t>
      </w:r>
      <w:r w:rsidR="00587764">
        <w:rPr>
          <w:rFonts w:ascii="Arial" w:hAnsi="Arial"/>
        </w:rPr>
        <w:t xml:space="preserve">, </w:t>
      </w:r>
      <w:r w:rsidR="00910D0C">
        <w:rPr>
          <w:rFonts w:ascii="Arial" w:hAnsi="Arial"/>
        </w:rPr>
        <w:t xml:space="preserve">por lo tanto, </w:t>
      </w:r>
      <w:r w:rsidR="00640ED3">
        <w:rPr>
          <w:rFonts w:ascii="Arial" w:hAnsi="Arial"/>
        </w:rPr>
        <w:t xml:space="preserve">es inexistente </w:t>
      </w:r>
      <w:r w:rsidR="00910D0C">
        <w:rPr>
          <w:rFonts w:ascii="Arial" w:hAnsi="Arial"/>
        </w:rPr>
        <w:t xml:space="preserve">actuación alguna </w:t>
      </w:r>
      <w:r w:rsidR="00640ED3">
        <w:rPr>
          <w:rFonts w:ascii="Arial" w:hAnsi="Arial"/>
        </w:rPr>
        <w:t xml:space="preserve">del accionado </w:t>
      </w:r>
      <w:r w:rsidR="00910D0C">
        <w:rPr>
          <w:rFonts w:ascii="Arial" w:hAnsi="Arial"/>
        </w:rPr>
        <w:t xml:space="preserve">que demande </w:t>
      </w:r>
      <w:r w:rsidR="00640ED3">
        <w:rPr>
          <w:rFonts w:ascii="Arial" w:hAnsi="Arial"/>
        </w:rPr>
        <w:t xml:space="preserve">el </w:t>
      </w:r>
      <w:r w:rsidR="00910D0C">
        <w:rPr>
          <w:rFonts w:ascii="Arial" w:hAnsi="Arial"/>
        </w:rPr>
        <w:t>análisis en sede de tutela.</w:t>
      </w:r>
    </w:p>
    <w:p w:rsidR="00910D0C" w:rsidRDefault="00910D0C" w:rsidP="00041CA8">
      <w:pPr>
        <w:spacing w:line="360" w:lineRule="auto"/>
        <w:jc w:val="both"/>
        <w:rPr>
          <w:rFonts w:ascii="Arial" w:hAnsi="Arial"/>
        </w:rPr>
      </w:pPr>
    </w:p>
    <w:p w:rsidR="0034291E" w:rsidRDefault="00910D0C" w:rsidP="00D673D3">
      <w:pPr>
        <w:spacing w:line="360" w:lineRule="auto"/>
        <w:jc w:val="both"/>
        <w:rPr>
          <w:rFonts w:ascii="Arial" w:hAnsi="Arial"/>
        </w:rPr>
      </w:pPr>
      <w:r>
        <w:rPr>
          <w:rFonts w:ascii="Arial" w:hAnsi="Arial"/>
        </w:rPr>
        <w:t xml:space="preserve">Ahora, no obstante que se carezca de solicitud de pruebas, también se advierte que </w:t>
      </w:r>
      <w:r w:rsidR="00D673D3">
        <w:rPr>
          <w:rFonts w:ascii="Arial" w:hAnsi="Arial"/>
        </w:rPr>
        <w:t xml:space="preserve">frente al </w:t>
      </w:r>
      <w:r>
        <w:rPr>
          <w:rFonts w:ascii="Arial" w:hAnsi="Arial"/>
        </w:rPr>
        <w:t>proveído del día 10-05-2016</w:t>
      </w:r>
      <w:r w:rsidR="002B0630">
        <w:rPr>
          <w:rFonts w:ascii="Arial" w:hAnsi="Arial"/>
        </w:rPr>
        <w:t>,</w:t>
      </w:r>
      <w:r>
        <w:rPr>
          <w:rFonts w:ascii="Arial" w:hAnsi="Arial"/>
        </w:rPr>
        <w:t xml:space="preserve"> que </w:t>
      </w:r>
      <w:r w:rsidR="002B0630">
        <w:rPr>
          <w:rFonts w:ascii="Arial" w:hAnsi="Arial"/>
        </w:rPr>
        <w:t>limitó</w:t>
      </w:r>
      <w:r>
        <w:rPr>
          <w:rFonts w:ascii="Arial" w:hAnsi="Arial"/>
        </w:rPr>
        <w:t xml:space="preserve"> </w:t>
      </w:r>
      <w:r w:rsidR="002B0630">
        <w:rPr>
          <w:rFonts w:ascii="Arial" w:hAnsi="Arial"/>
        </w:rPr>
        <w:t xml:space="preserve">su </w:t>
      </w:r>
      <w:r>
        <w:rPr>
          <w:rFonts w:ascii="Arial" w:hAnsi="Arial"/>
        </w:rPr>
        <w:t>participación</w:t>
      </w:r>
      <w:r w:rsidR="00D673D3">
        <w:rPr>
          <w:rFonts w:ascii="Arial" w:hAnsi="Arial"/>
        </w:rPr>
        <w:t xml:space="preserve"> al estado actual del proceso, </w:t>
      </w:r>
      <w:r w:rsidR="00D673D3">
        <w:rPr>
          <w:rFonts w:ascii="Arial" w:hAnsi="Arial" w:cs="Arial"/>
        </w:rPr>
        <w:t xml:space="preserve">no presentó recurso alguno, pese a su viabilidad, actitud totalmente opuesta a la de quien alega la vulneración del derecho de defensa, máxime cuando </w:t>
      </w:r>
      <w:r w:rsidR="00640ED3">
        <w:rPr>
          <w:rFonts w:ascii="Arial" w:hAnsi="Arial" w:cs="Arial"/>
        </w:rPr>
        <w:t xml:space="preserve">la </w:t>
      </w:r>
      <w:r w:rsidR="00D673D3">
        <w:rPr>
          <w:rFonts w:ascii="Arial" w:hAnsi="Arial" w:cs="Arial"/>
        </w:rPr>
        <w:t xml:space="preserve">pretensión subsidiaria de este amparo </w:t>
      </w:r>
      <w:r w:rsidR="00640ED3">
        <w:rPr>
          <w:rFonts w:ascii="Arial" w:hAnsi="Arial" w:cs="Arial"/>
        </w:rPr>
        <w:t xml:space="preserve">es que se </w:t>
      </w:r>
      <w:r w:rsidR="00640ED3">
        <w:rPr>
          <w:rFonts w:ascii="Arial" w:hAnsi="Arial"/>
        </w:rPr>
        <w:t xml:space="preserve">retrotraiga </w:t>
      </w:r>
      <w:r w:rsidR="00D673D3">
        <w:rPr>
          <w:rFonts w:ascii="Arial" w:hAnsi="Arial"/>
        </w:rPr>
        <w:t>el proceso a una etapa anterior</w:t>
      </w:r>
      <w:r w:rsidR="00640ED3">
        <w:rPr>
          <w:rFonts w:ascii="Arial" w:hAnsi="Arial"/>
        </w:rPr>
        <w:t>.</w:t>
      </w:r>
      <w:r w:rsidR="00D673D3">
        <w:rPr>
          <w:rFonts w:ascii="Arial" w:hAnsi="Arial"/>
        </w:rPr>
        <w:t xml:space="preserve"> </w:t>
      </w:r>
    </w:p>
    <w:p w:rsidR="008A67E8" w:rsidRDefault="004F087D" w:rsidP="008A67E8">
      <w:pPr>
        <w:spacing w:line="360" w:lineRule="auto"/>
        <w:ind w:right="51"/>
        <w:jc w:val="both"/>
        <w:rPr>
          <w:rFonts w:ascii="Arial" w:hAnsi="Arial"/>
        </w:rPr>
      </w:pPr>
      <w:r>
        <w:rPr>
          <w:rFonts w:ascii="Arial" w:hAnsi="Arial" w:cs="Arial"/>
          <w:lang w:val="es-ES_tradnl"/>
        </w:rPr>
        <w:lastRenderedPageBreak/>
        <w:t>E</w:t>
      </w:r>
      <w:r w:rsidR="008A67E8">
        <w:rPr>
          <w:rFonts w:ascii="Arial" w:hAnsi="Arial" w:cs="Arial"/>
          <w:lang w:val="es-ES_tradnl"/>
        </w:rPr>
        <w:t>vidente</w:t>
      </w:r>
      <w:r w:rsidR="008A67E8" w:rsidRPr="00483001">
        <w:rPr>
          <w:rFonts w:ascii="Arial" w:hAnsi="Arial" w:cs="Arial"/>
          <w:lang w:val="es-ES_tradnl"/>
        </w:rPr>
        <w:t xml:space="preserve">, </w:t>
      </w:r>
      <w:r w:rsidR="008A67E8" w:rsidRPr="00AF14C3">
        <w:rPr>
          <w:rFonts w:ascii="Arial" w:hAnsi="Arial" w:cs="Arial"/>
          <w:lang w:val="es-ES_tradnl"/>
        </w:rPr>
        <w:t xml:space="preserve">entonces, </w:t>
      </w:r>
      <w:r w:rsidR="008A67E8">
        <w:rPr>
          <w:rFonts w:ascii="Arial" w:hAnsi="Arial" w:cs="Arial"/>
          <w:lang w:val="es-ES_tradnl"/>
        </w:rPr>
        <w:t xml:space="preserve">es la </w:t>
      </w:r>
      <w:r w:rsidR="008A67E8" w:rsidRPr="00AF14C3">
        <w:rPr>
          <w:rFonts w:ascii="Arial" w:hAnsi="Arial" w:cs="Arial"/>
          <w:lang w:val="es-ES_tradnl"/>
        </w:rPr>
        <w:t xml:space="preserve">falta </w:t>
      </w:r>
      <w:r w:rsidR="008A67E8">
        <w:rPr>
          <w:rFonts w:ascii="Arial" w:hAnsi="Arial" w:cs="Arial"/>
          <w:lang w:val="es-ES_tradnl"/>
        </w:rPr>
        <w:t xml:space="preserve">del supuesto de </w:t>
      </w:r>
      <w:r w:rsidR="008A67E8" w:rsidRPr="00AF14C3">
        <w:rPr>
          <w:rFonts w:ascii="Arial" w:hAnsi="Arial" w:cs="Arial"/>
          <w:lang w:val="es-ES_tradnl"/>
        </w:rPr>
        <w:t>subsidiari</w:t>
      </w:r>
      <w:r w:rsidR="008A67E8">
        <w:rPr>
          <w:rFonts w:ascii="Arial" w:hAnsi="Arial" w:cs="Arial"/>
          <w:lang w:val="es-ES_tradnl"/>
        </w:rPr>
        <w:t>e</w:t>
      </w:r>
      <w:r w:rsidR="008A67E8" w:rsidRPr="00AF14C3">
        <w:rPr>
          <w:rFonts w:ascii="Arial" w:hAnsi="Arial" w:cs="Arial"/>
          <w:lang w:val="es-ES_tradnl"/>
        </w:rPr>
        <w:t>dad</w:t>
      </w:r>
      <w:r w:rsidR="008A67E8">
        <w:rPr>
          <w:rFonts w:ascii="Arial" w:hAnsi="Arial" w:cs="Arial"/>
          <w:lang w:val="es-ES_tradnl"/>
        </w:rPr>
        <w:t xml:space="preserve">, como ha explicado </w:t>
      </w:r>
      <w:r w:rsidR="008A67E8">
        <w:rPr>
          <w:rFonts w:ascii="Arial" w:hAnsi="Arial"/>
        </w:rPr>
        <w:t xml:space="preserve">la Corte Constitucional, que reiteradamente ha referido que la acción de tutela no puede implementarse como medio para sustituir los mecanismos ordinarios de defensa, cuando por negligencia, descuido o incuria </w:t>
      </w:r>
      <w:r w:rsidR="00050B8C">
        <w:rPr>
          <w:rFonts w:ascii="Arial" w:hAnsi="Arial"/>
        </w:rPr>
        <w:t xml:space="preserve">dejó de utilizarlos </w:t>
      </w:r>
      <w:r w:rsidR="008A67E8">
        <w:rPr>
          <w:rFonts w:ascii="Arial" w:hAnsi="Arial"/>
        </w:rPr>
        <w:t>a su debido tiempo</w:t>
      </w:r>
      <w:r w:rsidR="008A67E8" w:rsidRPr="00FF4929">
        <w:rPr>
          <w:rStyle w:val="Refdenotaalpie"/>
          <w:rFonts w:ascii="Arial" w:hAnsi="Arial" w:cs="Arial"/>
          <w:sz w:val="22"/>
          <w:szCs w:val="22"/>
        </w:rPr>
        <w:footnoteReference w:id="16"/>
      </w:r>
      <w:r w:rsidR="008A67E8" w:rsidRPr="00FF4929">
        <w:rPr>
          <w:rFonts w:ascii="Arial" w:hAnsi="Arial" w:cs="Arial"/>
          <w:sz w:val="22"/>
          <w:szCs w:val="22"/>
        </w:rPr>
        <w:t>.</w:t>
      </w:r>
      <w:r w:rsidR="008A67E8" w:rsidRPr="008A67E8">
        <w:rPr>
          <w:rFonts w:ascii="Arial" w:hAnsi="Arial"/>
        </w:rPr>
        <w:t xml:space="preserve"> </w:t>
      </w:r>
      <w:r w:rsidR="008A67E8">
        <w:rPr>
          <w:rFonts w:ascii="Arial" w:hAnsi="Arial"/>
        </w:rPr>
        <w:t xml:space="preserve">Cabe </w:t>
      </w:r>
      <w:r w:rsidR="008A67E8" w:rsidRPr="008B43C6">
        <w:rPr>
          <w:rFonts w:ascii="Arial" w:hAnsi="Arial"/>
        </w:rPr>
        <w:t xml:space="preserve">acotar </w:t>
      </w:r>
      <w:r w:rsidR="008A67E8">
        <w:rPr>
          <w:rFonts w:ascii="Arial" w:hAnsi="Arial"/>
        </w:rPr>
        <w:t xml:space="preserve">además que </w:t>
      </w:r>
      <w:r w:rsidR="00925A96">
        <w:rPr>
          <w:rFonts w:ascii="Arial" w:hAnsi="Arial"/>
        </w:rPr>
        <w:t xml:space="preserve">nada </w:t>
      </w:r>
      <w:r w:rsidR="008A67E8" w:rsidRPr="008B43C6">
        <w:rPr>
          <w:rFonts w:ascii="Arial" w:hAnsi="Arial"/>
        </w:rPr>
        <w:t xml:space="preserve">arguyó y menos acreditó </w:t>
      </w:r>
      <w:r w:rsidR="008A67E8" w:rsidRPr="008B43C6">
        <w:rPr>
          <w:rFonts w:ascii="Arial" w:hAnsi="Arial" w:cs="Arial"/>
          <w:bCs/>
          <w:szCs w:val="22"/>
          <w:lang w:val="es-CO"/>
        </w:rPr>
        <w:t xml:space="preserve">que estaba en una situación de imposibilidad para recurrir </w:t>
      </w:r>
      <w:r w:rsidR="008A67E8">
        <w:rPr>
          <w:rFonts w:ascii="Arial" w:hAnsi="Arial" w:cs="Arial"/>
          <w:bCs/>
          <w:szCs w:val="22"/>
          <w:lang w:val="es-CO"/>
        </w:rPr>
        <w:t xml:space="preserve">el mencionado </w:t>
      </w:r>
      <w:r w:rsidR="008A67E8" w:rsidRPr="008B43C6">
        <w:rPr>
          <w:rFonts w:ascii="Arial" w:hAnsi="Arial" w:cs="Arial"/>
          <w:bCs/>
          <w:szCs w:val="22"/>
          <w:lang w:val="es-CO"/>
        </w:rPr>
        <w:t>auto</w:t>
      </w:r>
      <w:r w:rsidR="008A67E8" w:rsidRPr="008B43C6">
        <w:rPr>
          <w:rStyle w:val="Refdenotaalpie"/>
          <w:rFonts w:ascii="Arial" w:hAnsi="Arial"/>
          <w:bCs/>
          <w:szCs w:val="22"/>
          <w:lang w:val="es-CO"/>
        </w:rPr>
        <w:footnoteReference w:id="17"/>
      </w:r>
      <w:r w:rsidR="008A67E8" w:rsidRPr="008B43C6">
        <w:rPr>
          <w:rFonts w:ascii="Arial" w:hAnsi="Arial" w:cs="Arial"/>
          <w:bCs/>
          <w:szCs w:val="22"/>
          <w:lang w:val="es-CO"/>
        </w:rPr>
        <w:t>, de tal modo que amerite un análisis flexible del requisito de procedibilidad echado de menos</w:t>
      </w:r>
      <w:r w:rsidR="008A67E8">
        <w:rPr>
          <w:rFonts w:ascii="Arial" w:hAnsi="Arial" w:cs="Arial"/>
          <w:bCs/>
          <w:szCs w:val="22"/>
          <w:lang w:val="es-CO"/>
        </w:rPr>
        <w:t xml:space="preserve">, además de </w:t>
      </w:r>
      <w:r>
        <w:rPr>
          <w:rFonts w:ascii="Arial" w:hAnsi="Arial" w:cs="Arial"/>
          <w:bCs/>
          <w:szCs w:val="22"/>
          <w:lang w:val="es-CO"/>
        </w:rPr>
        <w:t>que fue asistido</w:t>
      </w:r>
      <w:r w:rsidR="008A67E8">
        <w:rPr>
          <w:rFonts w:ascii="Arial" w:hAnsi="Arial" w:cs="Arial"/>
          <w:bCs/>
          <w:szCs w:val="22"/>
          <w:lang w:val="es-CO"/>
        </w:rPr>
        <w:t xml:space="preserve"> por apoderado judicial en el proceso </w:t>
      </w:r>
      <w:r>
        <w:rPr>
          <w:rFonts w:ascii="Arial" w:hAnsi="Arial" w:cs="Arial"/>
          <w:bCs/>
          <w:szCs w:val="22"/>
          <w:lang w:val="es-CO"/>
        </w:rPr>
        <w:t>reivindicatorio</w:t>
      </w:r>
      <w:r w:rsidR="008A67E8">
        <w:rPr>
          <w:rFonts w:ascii="Arial" w:hAnsi="Arial" w:cs="Arial"/>
          <w:bCs/>
          <w:szCs w:val="22"/>
          <w:lang w:val="es-CO"/>
        </w:rPr>
        <w:t xml:space="preserve">, </w:t>
      </w:r>
      <w:r w:rsidR="008A67E8">
        <w:rPr>
          <w:rFonts w:ascii="Arial" w:hAnsi="Arial"/>
        </w:rPr>
        <w:t>por ende solo a la parte le es imputable tal descuido.</w:t>
      </w:r>
    </w:p>
    <w:p w:rsidR="00A63AD0" w:rsidRDefault="00A63AD0" w:rsidP="004107F0">
      <w:pPr>
        <w:spacing w:line="360" w:lineRule="auto"/>
        <w:jc w:val="both"/>
        <w:rPr>
          <w:rFonts w:ascii="Arial" w:hAnsi="Arial" w:cs="Arial"/>
          <w:sz w:val="22"/>
        </w:rPr>
      </w:pPr>
    </w:p>
    <w:p w:rsidR="00B667D7" w:rsidRDefault="00B667D7" w:rsidP="001032DB">
      <w:pPr>
        <w:spacing w:line="360" w:lineRule="auto"/>
        <w:jc w:val="both"/>
        <w:rPr>
          <w:rFonts w:ascii="Arial" w:hAnsi="Arial" w:cs="Arial"/>
          <w:sz w:val="22"/>
        </w:rPr>
      </w:pPr>
      <w:r w:rsidRPr="008E723C">
        <w:rPr>
          <w:rFonts w:ascii="Arial" w:hAnsi="Arial" w:cs="Arial"/>
        </w:rPr>
        <w:t xml:space="preserve">Ahora, </w:t>
      </w:r>
      <w:r w:rsidR="00925A96">
        <w:rPr>
          <w:rFonts w:ascii="Arial" w:hAnsi="Arial" w:cs="Arial"/>
        </w:rPr>
        <w:t xml:space="preserve">reconoce </w:t>
      </w:r>
      <w:r w:rsidRPr="008E723C">
        <w:rPr>
          <w:rFonts w:ascii="Arial" w:hAnsi="Arial" w:cs="Arial"/>
        </w:rPr>
        <w:t>la Sala que la acción de tutela es pro</w:t>
      </w:r>
      <w:bookmarkStart w:id="0" w:name="_GoBack"/>
      <w:bookmarkEnd w:id="0"/>
      <w:r w:rsidRPr="008E723C">
        <w:rPr>
          <w:rFonts w:ascii="Arial" w:hAnsi="Arial" w:cs="Arial"/>
        </w:rPr>
        <w:t xml:space="preserve">cedente </w:t>
      </w:r>
      <w:r w:rsidR="001032DB" w:rsidRPr="008E723C">
        <w:rPr>
          <w:rFonts w:ascii="Arial" w:hAnsi="Arial" w:cs="Arial"/>
        </w:rPr>
        <w:t xml:space="preserve">cuando se utilice </w:t>
      </w:r>
      <w:r w:rsidRPr="008E723C">
        <w:rPr>
          <w:rFonts w:ascii="Arial" w:hAnsi="Arial" w:cs="Arial"/>
        </w:rPr>
        <w:t xml:space="preserve">como mecanismo transitorio </w:t>
      </w:r>
      <w:r w:rsidR="001032DB" w:rsidRPr="008E723C">
        <w:rPr>
          <w:rFonts w:ascii="Arial" w:hAnsi="Arial" w:cs="Arial"/>
        </w:rPr>
        <w:t xml:space="preserve">para precaver la ocurrencia de un </w:t>
      </w:r>
      <w:r w:rsidRPr="008E723C">
        <w:rPr>
          <w:rFonts w:ascii="Arial" w:hAnsi="Arial" w:cs="Arial"/>
        </w:rPr>
        <w:t>perjuicio irremediable, tal cual lo refiere la actora en su impugnaci</w:t>
      </w:r>
      <w:r w:rsidR="001032DB" w:rsidRPr="008E723C">
        <w:rPr>
          <w:rFonts w:ascii="Arial" w:hAnsi="Arial" w:cs="Arial"/>
        </w:rPr>
        <w:t xml:space="preserve">ón, sin embargo, hay que decir que no alegó esta circunstancia ni mucho menos </w:t>
      </w:r>
      <w:r w:rsidR="008E723C" w:rsidRPr="008E723C">
        <w:rPr>
          <w:rFonts w:ascii="Arial" w:hAnsi="Arial" w:cs="Arial"/>
        </w:rPr>
        <w:t xml:space="preserve">la </w:t>
      </w:r>
      <w:r w:rsidR="001032DB" w:rsidRPr="008E723C">
        <w:rPr>
          <w:rFonts w:ascii="Arial" w:hAnsi="Arial" w:cs="Arial"/>
        </w:rPr>
        <w:t>demostró</w:t>
      </w:r>
      <w:r w:rsidR="008E723C" w:rsidRPr="008E723C">
        <w:rPr>
          <w:rFonts w:ascii="Arial" w:hAnsi="Arial" w:cs="Arial"/>
        </w:rPr>
        <w:t>,</w:t>
      </w:r>
      <w:r w:rsidR="008E723C">
        <w:rPr>
          <w:rFonts w:ascii="Arial" w:hAnsi="Arial" w:cs="Arial"/>
        </w:rPr>
        <w:t xml:space="preserve"> </w:t>
      </w:r>
      <w:r w:rsidR="001032DB" w:rsidRPr="008E723C">
        <w:rPr>
          <w:rFonts w:ascii="Arial" w:hAnsi="Arial" w:cs="Arial"/>
        </w:rPr>
        <w:t xml:space="preserve">además </w:t>
      </w:r>
      <w:r w:rsidR="008E723C" w:rsidRPr="008E723C">
        <w:rPr>
          <w:rFonts w:ascii="Arial" w:hAnsi="Arial" w:cs="Arial"/>
        </w:rPr>
        <w:t xml:space="preserve">si se analiza </w:t>
      </w:r>
      <w:r w:rsidR="001032DB" w:rsidRPr="008E723C">
        <w:rPr>
          <w:rFonts w:ascii="Arial" w:hAnsi="Arial" w:cs="Arial"/>
        </w:rPr>
        <w:t xml:space="preserve">el caso concreto </w:t>
      </w:r>
      <w:r w:rsidR="00925A96">
        <w:rPr>
          <w:rFonts w:ascii="Arial" w:hAnsi="Arial" w:cs="Arial"/>
        </w:rPr>
        <w:t xml:space="preserve">es inexistente </w:t>
      </w:r>
      <w:r w:rsidR="001032DB" w:rsidRPr="008E723C">
        <w:rPr>
          <w:rFonts w:ascii="Arial" w:hAnsi="Arial" w:cs="Arial"/>
        </w:rPr>
        <w:t>la concurrencia de los presupuestos para su configuración como lo son la inminencia, la urgencia, la gravedad y la impostergabilidad de la acción</w:t>
      </w:r>
      <w:r w:rsidR="001032DB">
        <w:rPr>
          <w:rStyle w:val="Refdenotaalpie"/>
          <w:rFonts w:ascii="Arial" w:hAnsi="Arial"/>
          <w:sz w:val="22"/>
        </w:rPr>
        <w:footnoteReference w:id="18"/>
      </w:r>
      <w:r w:rsidR="00331783">
        <w:rPr>
          <w:rFonts w:ascii="Arial" w:hAnsi="Arial" w:cs="Arial"/>
        </w:rPr>
        <w:t>.</w:t>
      </w:r>
      <w:r w:rsidR="00CE441B">
        <w:rPr>
          <w:rFonts w:ascii="Arial" w:hAnsi="Arial" w:cs="Arial"/>
        </w:rPr>
        <w:t xml:space="preserve"> </w:t>
      </w:r>
      <w:r w:rsidR="006B7871">
        <w:rPr>
          <w:rFonts w:ascii="Arial" w:hAnsi="Arial" w:cs="Arial"/>
        </w:rPr>
        <w:t>Así</w:t>
      </w:r>
      <w:r w:rsidR="00331783">
        <w:rPr>
          <w:rFonts w:ascii="Arial" w:hAnsi="Arial" w:cs="Arial"/>
        </w:rPr>
        <w:t xml:space="preserve"> </w:t>
      </w:r>
      <w:r w:rsidR="006B7871">
        <w:rPr>
          <w:rFonts w:ascii="Arial" w:hAnsi="Arial" w:cs="Arial"/>
        </w:rPr>
        <w:t>también</w:t>
      </w:r>
      <w:r w:rsidR="00331783">
        <w:rPr>
          <w:rFonts w:ascii="Arial" w:hAnsi="Arial" w:cs="Arial"/>
        </w:rPr>
        <w:t xml:space="preserve"> lo ha dispuesto la CSJ en reiterada jurisprudencia</w:t>
      </w:r>
      <w:r w:rsidR="00331783">
        <w:rPr>
          <w:rStyle w:val="Refdenotaalpie"/>
          <w:rFonts w:ascii="Arial" w:hAnsi="Arial"/>
        </w:rPr>
        <w:footnoteReference w:id="19"/>
      </w:r>
      <w:r w:rsidR="00331783">
        <w:rPr>
          <w:rFonts w:ascii="Arial" w:hAnsi="Arial" w:cs="Arial"/>
        </w:rPr>
        <w:t xml:space="preserve">. </w:t>
      </w:r>
    </w:p>
    <w:p w:rsidR="001032DB" w:rsidRPr="00131F12" w:rsidRDefault="001032DB" w:rsidP="001032DB">
      <w:pPr>
        <w:spacing w:line="360" w:lineRule="auto"/>
        <w:jc w:val="both"/>
        <w:rPr>
          <w:rFonts w:ascii="Arial" w:hAnsi="Arial" w:cs="Arial"/>
          <w:sz w:val="22"/>
        </w:rPr>
      </w:pPr>
    </w:p>
    <w:p w:rsidR="00925A96" w:rsidRDefault="00E504F6" w:rsidP="008360C6">
      <w:pPr>
        <w:pStyle w:val="Textoindependiente"/>
        <w:tabs>
          <w:tab w:val="clear" w:pos="708"/>
          <w:tab w:val="clear" w:pos="1416"/>
          <w:tab w:val="left" w:pos="709"/>
          <w:tab w:val="left" w:pos="1418"/>
        </w:tabs>
        <w:spacing w:line="360" w:lineRule="auto"/>
        <w:rPr>
          <w:rFonts w:ascii="Arial" w:hAnsi="Arial"/>
          <w:sz w:val="24"/>
          <w:szCs w:val="24"/>
        </w:rPr>
      </w:pPr>
      <w:r w:rsidRPr="008360C6">
        <w:rPr>
          <w:rFonts w:ascii="Arial" w:hAnsi="Arial" w:cs="Arial"/>
          <w:sz w:val="24"/>
          <w:szCs w:val="24"/>
        </w:rPr>
        <w:t xml:space="preserve">Acorde con lo expuesto, esta </w:t>
      </w:r>
      <w:r w:rsidRPr="008360C6">
        <w:rPr>
          <w:rFonts w:ascii="Arial" w:hAnsi="Arial"/>
          <w:sz w:val="24"/>
          <w:szCs w:val="24"/>
        </w:rPr>
        <w:t xml:space="preserve">acción de tutela es improcedente </w:t>
      </w:r>
      <w:r w:rsidR="00131F12" w:rsidRPr="008360C6">
        <w:rPr>
          <w:rFonts w:ascii="Arial" w:hAnsi="Arial"/>
          <w:sz w:val="24"/>
          <w:szCs w:val="24"/>
        </w:rPr>
        <w:t xml:space="preserve">porque </w:t>
      </w:r>
      <w:r w:rsidR="008360C6" w:rsidRPr="008360C6">
        <w:rPr>
          <w:rFonts w:ascii="Arial" w:hAnsi="Arial"/>
          <w:sz w:val="24"/>
          <w:szCs w:val="24"/>
        </w:rPr>
        <w:t xml:space="preserve">se </w:t>
      </w:r>
      <w:r w:rsidR="00131F12" w:rsidRPr="008360C6">
        <w:rPr>
          <w:rFonts w:ascii="Arial" w:hAnsi="Arial"/>
          <w:sz w:val="24"/>
          <w:szCs w:val="24"/>
        </w:rPr>
        <w:t xml:space="preserve">incumple </w:t>
      </w:r>
      <w:r w:rsidR="008360C6" w:rsidRPr="008360C6">
        <w:rPr>
          <w:rFonts w:ascii="Arial" w:hAnsi="Arial"/>
          <w:sz w:val="24"/>
          <w:szCs w:val="24"/>
        </w:rPr>
        <w:t xml:space="preserve">uno </w:t>
      </w:r>
      <w:r w:rsidRPr="008360C6">
        <w:rPr>
          <w:rFonts w:ascii="Arial" w:hAnsi="Arial"/>
          <w:sz w:val="24"/>
          <w:szCs w:val="24"/>
        </w:rPr>
        <w:t>de los siete (7) requisitos generales de procedibilidad</w:t>
      </w:r>
      <w:r w:rsidR="00131F12" w:rsidRPr="008360C6">
        <w:rPr>
          <w:rFonts w:ascii="Arial" w:hAnsi="Arial"/>
          <w:sz w:val="24"/>
          <w:szCs w:val="24"/>
        </w:rPr>
        <w:t xml:space="preserve"> frente a decisiones judiciales</w:t>
      </w:r>
      <w:r w:rsidRPr="008360C6">
        <w:rPr>
          <w:rFonts w:ascii="Arial" w:hAnsi="Arial"/>
          <w:sz w:val="24"/>
          <w:szCs w:val="24"/>
        </w:rPr>
        <w:t xml:space="preserve">, como lo </w:t>
      </w:r>
      <w:r w:rsidR="008360C6" w:rsidRPr="008360C6">
        <w:rPr>
          <w:rFonts w:ascii="Arial" w:hAnsi="Arial"/>
          <w:sz w:val="24"/>
          <w:szCs w:val="24"/>
        </w:rPr>
        <w:t xml:space="preserve">es en de la </w:t>
      </w:r>
      <w:r w:rsidRPr="008360C6">
        <w:rPr>
          <w:rFonts w:ascii="Arial" w:hAnsi="Arial"/>
          <w:sz w:val="24"/>
          <w:szCs w:val="24"/>
        </w:rPr>
        <w:t xml:space="preserve">subsidiariedad, </w:t>
      </w:r>
      <w:r w:rsidR="008360C6" w:rsidRPr="008360C6">
        <w:rPr>
          <w:rFonts w:ascii="Arial" w:hAnsi="Arial"/>
          <w:sz w:val="24"/>
          <w:szCs w:val="24"/>
        </w:rPr>
        <w:t>pretermitió agotar los mecanismos ordinarios</w:t>
      </w:r>
      <w:r w:rsidRPr="008360C6">
        <w:rPr>
          <w:rFonts w:ascii="Arial" w:hAnsi="Arial"/>
          <w:sz w:val="24"/>
          <w:szCs w:val="24"/>
        </w:rPr>
        <w:t xml:space="preserve">. </w:t>
      </w:r>
    </w:p>
    <w:p w:rsidR="00925A96" w:rsidRDefault="00925A96" w:rsidP="008360C6">
      <w:pPr>
        <w:pStyle w:val="Textoindependiente"/>
        <w:tabs>
          <w:tab w:val="clear" w:pos="708"/>
          <w:tab w:val="clear" w:pos="1416"/>
          <w:tab w:val="left" w:pos="709"/>
          <w:tab w:val="left" w:pos="1418"/>
        </w:tabs>
        <w:spacing w:line="360" w:lineRule="auto"/>
        <w:rPr>
          <w:rFonts w:ascii="Arial" w:hAnsi="Arial"/>
          <w:sz w:val="24"/>
          <w:szCs w:val="24"/>
        </w:rPr>
      </w:pPr>
    </w:p>
    <w:p w:rsidR="008360C6" w:rsidRPr="00954CAE" w:rsidRDefault="00E504F6" w:rsidP="008360C6">
      <w:pPr>
        <w:pStyle w:val="Textoindependiente"/>
        <w:tabs>
          <w:tab w:val="clear" w:pos="708"/>
          <w:tab w:val="clear" w:pos="1416"/>
          <w:tab w:val="left" w:pos="709"/>
          <w:tab w:val="left" w:pos="1418"/>
        </w:tabs>
        <w:spacing w:line="360" w:lineRule="auto"/>
        <w:rPr>
          <w:rFonts w:ascii="Arial" w:hAnsi="Arial" w:cs="Arial"/>
          <w:sz w:val="24"/>
          <w:szCs w:val="24"/>
          <w:lang w:val="es-CO"/>
        </w:rPr>
      </w:pPr>
      <w:r w:rsidRPr="008360C6">
        <w:rPr>
          <w:rFonts w:ascii="Arial" w:hAnsi="Arial" w:cs="Arial"/>
          <w:sz w:val="24"/>
          <w:szCs w:val="24"/>
        </w:rPr>
        <w:t>Por lo tanto</w:t>
      </w:r>
      <w:r w:rsidRPr="008360C6">
        <w:rPr>
          <w:rFonts w:ascii="Arial" w:hAnsi="Arial" w:cs="Arial"/>
          <w:sz w:val="24"/>
          <w:szCs w:val="24"/>
          <w:lang w:val="es-CO"/>
        </w:rPr>
        <w:t>, se confirmará el fallo opugnado</w:t>
      </w:r>
      <w:r w:rsidR="008360C6" w:rsidRPr="008360C6">
        <w:rPr>
          <w:rFonts w:ascii="Arial" w:hAnsi="Arial" w:cs="Arial"/>
          <w:sz w:val="24"/>
          <w:szCs w:val="24"/>
          <w:lang w:val="es-CO"/>
        </w:rPr>
        <w:t xml:space="preserve">, pero </w:t>
      </w:r>
      <w:r w:rsidR="008360C6" w:rsidRPr="008360C6">
        <w:rPr>
          <w:rFonts w:ascii="Arial" w:hAnsi="Arial"/>
          <w:sz w:val="24"/>
          <w:szCs w:val="24"/>
        </w:rPr>
        <w:t xml:space="preserve">estima esta judicatura </w:t>
      </w:r>
      <w:r w:rsidR="008360C6" w:rsidRPr="008360C6">
        <w:rPr>
          <w:rFonts w:ascii="Arial" w:hAnsi="Arial" w:cs="Arial"/>
          <w:sz w:val="24"/>
          <w:szCs w:val="24"/>
          <w:lang w:val="es-CO"/>
        </w:rPr>
        <w:t xml:space="preserve">necesario hacer una aclaración metodológica sobre la parte resolutiva en cuanto si el asunto era improcedente </w:t>
      </w:r>
      <w:r w:rsidR="008360C6" w:rsidRPr="008360C6">
        <w:rPr>
          <w:rFonts w:ascii="Arial" w:hAnsi="Arial"/>
          <w:sz w:val="24"/>
          <w:szCs w:val="24"/>
          <w:lang w:val="es-CO"/>
        </w:rPr>
        <w:t xml:space="preserve">por incumplirse el citado presupuesto (Como se argumentó con juicio en la motivación), es decir, </w:t>
      </w:r>
      <w:r w:rsidR="008360C6" w:rsidRPr="008360C6">
        <w:rPr>
          <w:rFonts w:ascii="Arial" w:hAnsi="Arial" w:cs="Arial"/>
          <w:sz w:val="24"/>
          <w:szCs w:val="24"/>
          <w:lang w:val="es-CO"/>
        </w:rPr>
        <w:t>que los supuestos de procedibilidad no se superaron, se imponía declararla improcedente y no negarla. Así lo ha dicho la jurisprudencia del Alto Tribunal Constitucional</w:t>
      </w:r>
      <w:r w:rsidR="008360C6" w:rsidRPr="00954CAE">
        <w:rPr>
          <w:rStyle w:val="Refdenotaalpie"/>
          <w:rFonts w:ascii="Arial" w:hAnsi="Arial"/>
          <w:sz w:val="24"/>
          <w:szCs w:val="24"/>
          <w:lang w:val="es-CO"/>
        </w:rPr>
        <w:footnoteReference w:id="20"/>
      </w:r>
      <w:r w:rsidR="008360C6" w:rsidRPr="00954CAE">
        <w:rPr>
          <w:rFonts w:ascii="Arial" w:hAnsi="Arial" w:cs="Arial"/>
          <w:sz w:val="24"/>
          <w:szCs w:val="24"/>
          <w:lang w:val="es-CO"/>
        </w:rPr>
        <w:t>:</w:t>
      </w:r>
    </w:p>
    <w:p w:rsidR="008360C6" w:rsidRPr="008360C6" w:rsidRDefault="008360C6" w:rsidP="008360C6">
      <w:pPr>
        <w:pStyle w:val="Textoindependiente"/>
        <w:tabs>
          <w:tab w:val="clear" w:pos="708"/>
          <w:tab w:val="clear" w:pos="1416"/>
          <w:tab w:val="left" w:pos="709"/>
          <w:tab w:val="left" w:pos="1418"/>
        </w:tabs>
        <w:spacing w:line="360" w:lineRule="auto"/>
        <w:rPr>
          <w:rFonts w:ascii="Arial" w:hAnsi="Arial" w:cs="Arial"/>
          <w:sz w:val="18"/>
          <w:szCs w:val="24"/>
          <w:lang w:val="es-CO"/>
        </w:rPr>
      </w:pPr>
    </w:p>
    <w:p w:rsidR="008360C6" w:rsidRPr="00954CAE" w:rsidRDefault="008360C6" w:rsidP="008360C6">
      <w:pPr>
        <w:pStyle w:val="Textoindependiente"/>
        <w:tabs>
          <w:tab w:val="clear" w:pos="708"/>
          <w:tab w:val="clear" w:pos="1416"/>
          <w:tab w:val="left" w:pos="709"/>
          <w:tab w:val="left" w:pos="1418"/>
        </w:tabs>
        <w:spacing w:line="240" w:lineRule="auto"/>
        <w:ind w:left="567" w:right="567"/>
        <w:rPr>
          <w:rFonts w:ascii="Arial" w:hAnsi="Arial" w:cs="Arial"/>
          <w:sz w:val="24"/>
          <w:szCs w:val="24"/>
          <w:lang w:val="es-CO"/>
        </w:rPr>
      </w:pPr>
      <w:r w:rsidRPr="00954CAE">
        <w:rPr>
          <w:rFonts w:ascii="Arial" w:hAnsi="Arial" w:cs="Arial"/>
          <w:color w:val="000000"/>
          <w:sz w:val="24"/>
          <w:szCs w:val="24"/>
          <w:shd w:val="clear" w:color="auto" w:fill="FFFFFF"/>
        </w:rPr>
        <w:t>…en cuanto la decisión es declarar la improcedencia de la acción impetrada, más no negar</w:t>
      </w:r>
      <w:r w:rsidRPr="00954CAE">
        <w:rPr>
          <w:rStyle w:val="apple-converted-space"/>
          <w:rFonts w:ascii="Arial" w:hAnsi="Arial" w:cs="Arial"/>
          <w:i/>
          <w:iCs/>
          <w:color w:val="000000"/>
          <w:sz w:val="24"/>
          <w:szCs w:val="24"/>
          <w:shd w:val="clear" w:color="auto" w:fill="FFFFFF"/>
        </w:rPr>
        <w:t> </w:t>
      </w:r>
      <w:r w:rsidRPr="00954CAE">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8360C6" w:rsidRPr="008360C6" w:rsidRDefault="008360C6" w:rsidP="008360C6">
      <w:pPr>
        <w:pStyle w:val="Textoindependiente"/>
        <w:tabs>
          <w:tab w:val="clear" w:pos="708"/>
          <w:tab w:val="clear" w:pos="1416"/>
          <w:tab w:val="left" w:pos="709"/>
          <w:tab w:val="left" w:pos="1418"/>
        </w:tabs>
        <w:spacing w:line="360" w:lineRule="auto"/>
        <w:ind w:right="56"/>
        <w:rPr>
          <w:rFonts w:ascii="Arial" w:hAnsi="Arial" w:cs="Arial"/>
          <w:sz w:val="22"/>
          <w:szCs w:val="24"/>
          <w:lang w:val="es-CO"/>
        </w:rPr>
      </w:pPr>
    </w:p>
    <w:p w:rsidR="008360C6" w:rsidRPr="00322B43" w:rsidRDefault="008360C6" w:rsidP="008360C6">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r w:rsidRPr="00954CAE">
        <w:rPr>
          <w:rFonts w:ascii="Arial" w:hAnsi="Arial" w:cs="Arial"/>
          <w:sz w:val="24"/>
          <w:szCs w:val="24"/>
          <w:lang w:val="es-CO"/>
        </w:rPr>
        <w:lastRenderedPageBreak/>
        <w:t>Conforme a lo expuesto, diferencia hay entre negar la acción y declararla improcedente, porque la primera hipótesis, impone</w:t>
      </w:r>
      <w:r>
        <w:rPr>
          <w:rFonts w:ascii="Arial" w:hAnsi="Arial" w:cs="Arial"/>
          <w:sz w:val="24"/>
          <w:szCs w:val="24"/>
          <w:lang w:val="es-CO"/>
        </w:rPr>
        <w:t xml:space="preserve"> analizar el fondo de la cuestión, mientras que la segunda es un estadio previo que impide tal estudio.</w:t>
      </w:r>
    </w:p>
    <w:p w:rsidR="00AC7177" w:rsidRDefault="00AC7177" w:rsidP="00AC7177">
      <w:pPr>
        <w:spacing w:line="360" w:lineRule="auto"/>
        <w:jc w:val="both"/>
        <w:rPr>
          <w:rFonts w:ascii="Arial" w:hAnsi="Arial" w:cs="Arial"/>
          <w:sz w:val="22"/>
          <w:lang w:val="es-CO"/>
        </w:rPr>
      </w:pPr>
    </w:p>
    <w:p w:rsidR="00AC7177"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925A96" w:rsidRPr="008A1328" w:rsidRDefault="00925A96" w:rsidP="00925A96">
      <w:pPr>
        <w:pStyle w:val="Textoindependiente"/>
        <w:spacing w:line="360" w:lineRule="auto"/>
        <w:ind w:left="851" w:right="567"/>
        <w:rPr>
          <w:rFonts w:ascii="Arial" w:hAnsi="Arial" w:cs="Arial"/>
          <w:sz w:val="24"/>
          <w:szCs w:val="24"/>
          <w:lang w:val="es-CO"/>
        </w:rPr>
      </w:pPr>
    </w:p>
    <w:p w:rsidR="00AC7177" w:rsidRDefault="00AC7177" w:rsidP="00AC7177">
      <w:pPr>
        <w:spacing w:line="360" w:lineRule="auto"/>
        <w:jc w:val="both"/>
        <w:rPr>
          <w:rFonts w:ascii="Arial" w:hAnsi="Arial"/>
          <w:lang w:val="es-CO"/>
        </w:rPr>
      </w:pPr>
      <w:r>
        <w:rPr>
          <w:rFonts w:ascii="Arial" w:hAnsi="Arial"/>
          <w:lang w:val="es-CO"/>
        </w:rPr>
        <w:t>En armonía con lo discurrido se confirmará el fallo venido en impugnación</w:t>
      </w:r>
      <w:r w:rsidR="008360C6">
        <w:rPr>
          <w:rFonts w:ascii="Arial" w:hAnsi="Arial"/>
          <w:lang w:val="es-CO"/>
        </w:rPr>
        <w:t>, con la aclaración ya aludida</w:t>
      </w:r>
      <w:r>
        <w:rPr>
          <w:rFonts w:ascii="Arial" w:hAnsi="Arial"/>
          <w:lang w:val="es-CO"/>
        </w:rPr>
        <w:t>.</w:t>
      </w:r>
    </w:p>
    <w:p w:rsidR="00AC7177" w:rsidRPr="00AC7177" w:rsidRDefault="00AC7177" w:rsidP="00AC7177">
      <w:pPr>
        <w:spacing w:line="360" w:lineRule="auto"/>
        <w:jc w:val="both"/>
        <w:rPr>
          <w:rFonts w:ascii="Arial" w:hAnsi="Arial" w:cs="Arial"/>
          <w:sz w:val="22"/>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AC7177" w:rsidRPr="008A132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8360C6" w:rsidRDefault="008360C6" w:rsidP="008360C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sidR="007E3FB2">
        <w:rPr>
          <w:rFonts w:ascii="Arial" w:hAnsi="Arial" w:cs="Arial"/>
          <w:lang w:val="es-CO"/>
        </w:rPr>
        <w:t xml:space="preserve">los numerales 2º, </w:t>
      </w:r>
      <w:r>
        <w:rPr>
          <w:rFonts w:ascii="Arial" w:hAnsi="Arial" w:cs="Arial"/>
          <w:lang w:val="es-CO"/>
        </w:rPr>
        <w:t>3º</w:t>
      </w:r>
      <w:r w:rsidR="007E3FB2">
        <w:rPr>
          <w:rFonts w:ascii="Arial" w:hAnsi="Arial" w:cs="Arial"/>
          <w:lang w:val="es-CO"/>
        </w:rPr>
        <w:t>, 4º, 5º y 6º</w:t>
      </w:r>
      <w:r w:rsidRPr="00FB7AC6">
        <w:rPr>
          <w:rFonts w:ascii="Arial" w:hAnsi="Arial"/>
          <w:spacing w:val="-3"/>
          <w:lang w:val="es-ES_tradnl"/>
        </w:rPr>
        <w:t xml:space="preserve"> 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Pr>
          <w:rFonts w:ascii="Arial" w:hAnsi="Arial" w:cs="Arial"/>
        </w:rPr>
        <w:t>13-05-2016</w:t>
      </w:r>
      <w:r w:rsidRPr="008A1328">
        <w:rPr>
          <w:rFonts w:ascii="Arial" w:hAnsi="Arial" w:cs="Arial"/>
        </w:rPr>
        <w:t xml:space="preserve">, </w:t>
      </w:r>
      <w:r w:rsidRPr="008A1328">
        <w:rPr>
          <w:rFonts w:ascii="Arial" w:hAnsi="Arial" w:cs="Arial"/>
          <w:lang w:val="es-CO"/>
        </w:rPr>
        <w:t xml:space="preserve">del Juzgado </w:t>
      </w:r>
      <w:r w:rsidR="007E3FB2">
        <w:rPr>
          <w:rFonts w:ascii="Arial" w:hAnsi="Arial" w:cs="Arial"/>
          <w:lang w:val="es-CO"/>
        </w:rPr>
        <w:t xml:space="preserve">Quinto </w:t>
      </w:r>
      <w:r>
        <w:rPr>
          <w:rFonts w:ascii="Arial" w:hAnsi="Arial" w:cs="Arial"/>
          <w:lang w:val="es-CO"/>
        </w:rPr>
        <w:t>Civil del Circuito de Pereira.</w:t>
      </w:r>
    </w:p>
    <w:p w:rsidR="008360C6" w:rsidRPr="002724B1" w:rsidRDefault="008360C6" w:rsidP="008360C6">
      <w:pPr>
        <w:widowControl/>
        <w:autoSpaceDE/>
        <w:autoSpaceDN/>
        <w:adjustRightInd/>
        <w:spacing w:line="360" w:lineRule="auto"/>
        <w:ind w:left="360"/>
        <w:jc w:val="both"/>
        <w:rPr>
          <w:rFonts w:ascii="Arial" w:hAnsi="Arial" w:cs="Arial"/>
          <w:sz w:val="18"/>
          <w:lang w:val="es-CO"/>
        </w:rPr>
      </w:pPr>
    </w:p>
    <w:p w:rsidR="007E3FB2" w:rsidRDefault="008360C6" w:rsidP="007E3FB2">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el numeral 1° del</w:t>
      </w:r>
      <w:r>
        <w:rPr>
          <w:rFonts w:ascii="Arial" w:hAnsi="Arial" w:cs="Arial"/>
          <w:spacing w:val="-3"/>
          <w:lang w:val="es-ES_tradnl"/>
        </w:rPr>
        <w:t xml:space="preserve"> precitado fallo, para DECLARAR improcedente la acción </w:t>
      </w:r>
      <w:r w:rsidRPr="00A30437">
        <w:rPr>
          <w:rFonts w:ascii="Arial" w:hAnsi="Arial" w:cs="Arial"/>
        </w:rPr>
        <w:t>por haberse incumplido el requisito de subsidiariedad</w:t>
      </w:r>
      <w:r>
        <w:rPr>
          <w:rFonts w:ascii="Arial" w:hAnsi="Arial" w:cs="Arial"/>
          <w:lang w:val="es-CO"/>
        </w:rPr>
        <w:t>.</w:t>
      </w:r>
    </w:p>
    <w:p w:rsidR="007E3FB2" w:rsidRDefault="007E3FB2" w:rsidP="007E3FB2">
      <w:pPr>
        <w:pStyle w:val="Prrafodelista"/>
        <w:rPr>
          <w:rFonts w:ascii="Arial" w:hAnsi="Arial" w:cs="Arial"/>
          <w:lang w:val="es-ES_tradnl"/>
        </w:rPr>
      </w:pPr>
    </w:p>
    <w:p w:rsidR="007E3FB2" w:rsidRPr="007E3FB2" w:rsidRDefault="007E3FB2" w:rsidP="007E3FB2">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7E3FB2">
        <w:rPr>
          <w:rFonts w:ascii="Arial" w:hAnsi="Arial" w:cs="Arial"/>
          <w:lang w:val="es-ES_tradnl"/>
        </w:rPr>
        <w:t xml:space="preserve">LEVANTAR la medida provisional decretada, sobre la suspensión de la ejecución de la sentencia dictada el </w:t>
      </w:r>
      <w:r w:rsidR="005C3C4E">
        <w:rPr>
          <w:rFonts w:ascii="Arial" w:hAnsi="Arial" w:cs="Arial"/>
          <w:lang w:val="es-ES_tradnl"/>
        </w:rPr>
        <w:t xml:space="preserve">19-05-2016 </w:t>
      </w:r>
      <w:r w:rsidRPr="007E3FB2">
        <w:rPr>
          <w:rFonts w:ascii="Arial" w:hAnsi="Arial" w:cs="Arial"/>
          <w:lang w:val="es-ES_tradnl"/>
        </w:rPr>
        <w:t>en el proceso No.</w:t>
      </w:r>
      <w:r w:rsidR="005C3C4E">
        <w:rPr>
          <w:rFonts w:ascii="Arial" w:hAnsi="Arial" w:cs="Arial"/>
          <w:lang w:val="es-ES_tradnl"/>
        </w:rPr>
        <w:t>2015-00860-00.</w:t>
      </w:r>
    </w:p>
    <w:p w:rsidR="008360C6" w:rsidRPr="002724B1" w:rsidRDefault="008360C6" w:rsidP="008360C6">
      <w:pPr>
        <w:pStyle w:val="Textoindependiente"/>
        <w:tabs>
          <w:tab w:val="clear" w:pos="708"/>
          <w:tab w:val="clear" w:pos="1416"/>
          <w:tab w:val="left" w:pos="426"/>
        </w:tabs>
        <w:spacing w:line="360" w:lineRule="auto"/>
        <w:ind w:left="360"/>
        <w:rPr>
          <w:rFonts w:ascii="Arial" w:hAnsi="Arial" w:cs="Arial"/>
          <w:sz w:val="18"/>
          <w:szCs w:val="24"/>
        </w:rPr>
      </w:pPr>
    </w:p>
    <w:p w:rsidR="008360C6" w:rsidRPr="008A1328" w:rsidRDefault="008360C6" w:rsidP="008360C6">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8360C6" w:rsidRPr="002724B1" w:rsidRDefault="008360C6" w:rsidP="008360C6">
      <w:pPr>
        <w:pStyle w:val="Prrafodelista"/>
        <w:spacing w:after="0" w:line="360" w:lineRule="auto"/>
        <w:ind w:left="360"/>
        <w:rPr>
          <w:rFonts w:ascii="Arial" w:hAnsi="Arial" w:cs="Arial"/>
          <w:sz w:val="18"/>
          <w:szCs w:val="24"/>
        </w:rPr>
      </w:pPr>
    </w:p>
    <w:p w:rsidR="008360C6" w:rsidRDefault="008360C6" w:rsidP="008360C6">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FC4508" w:rsidRPr="00CE32AE" w:rsidRDefault="00FC4508" w:rsidP="00FC4508">
      <w:pPr>
        <w:pStyle w:val="Textoindependiente"/>
        <w:tabs>
          <w:tab w:val="clear" w:pos="708"/>
          <w:tab w:val="clear" w:pos="1416"/>
          <w:tab w:val="left" w:pos="426"/>
        </w:tabs>
        <w:spacing w:line="360" w:lineRule="auto"/>
        <w:rPr>
          <w:rFonts w:ascii="Arial" w:hAnsi="Arial" w:cs="Arial"/>
          <w:sz w:val="24"/>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rPr>
      </w:pPr>
    </w:p>
    <w:p w:rsidR="00B667D7" w:rsidRPr="00984F39" w:rsidRDefault="00B667D7"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rPr>
      </w:pPr>
    </w:p>
    <w:p w:rsidR="004736F9" w:rsidRPr="00131F12"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31F12" w:rsidRDefault="00131F12"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B667D7" w:rsidRDefault="00B667D7"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350057" w:rsidRDefault="00640ED3" w:rsidP="00640ED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r>
        <w:rPr>
          <w:rFonts w:ascii="Arial" w:hAnsi="Arial" w:cs="Arial"/>
          <w:w w:val="150"/>
          <w:sz w:val="28"/>
          <w:lang w:val="en-GB"/>
        </w:rPr>
        <w:t xml:space="preserve">    </w:t>
      </w:r>
      <w:r w:rsidR="0017096D">
        <w:rPr>
          <w:rFonts w:ascii="Arial" w:hAnsi="Arial" w:cs="Arial"/>
          <w:w w:val="150"/>
          <w:sz w:val="28"/>
          <w:lang w:val="en-GB"/>
        </w:rPr>
        <w:t>M</w:t>
      </w:r>
      <w:r w:rsidR="0017096D">
        <w:rPr>
          <w:rFonts w:ascii="Arial" w:hAnsi="Arial" w:cs="Arial"/>
          <w:w w:val="150"/>
          <w:sz w:val="18"/>
          <w:lang w:val="en-GB"/>
        </w:rPr>
        <w:t xml:space="preserve"> A G I S T R A D O </w:t>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28"/>
          <w:lang w:val="en-GB"/>
        </w:rPr>
        <w:t>M</w:t>
      </w:r>
      <w:r w:rsidR="0017096D">
        <w:rPr>
          <w:rFonts w:ascii="Arial" w:hAnsi="Arial" w:cs="Arial"/>
          <w:w w:val="150"/>
          <w:sz w:val="18"/>
          <w:lang w:val="en-GB"/>
        </w:rPr>
        <w:t xml:space="preserve"> A G I S T R A D O</w:t>
      </w:r>
      <w:r w:rsidR="00BD5831">
        <w:rPr>
          <w:rFonts w:ascii="Arial" w:hAnsi="Arial" w:cs="Arial"/>
          <w:w w:val="150"/>
          <w:sz w:val="18"/>
          <w:lang w:val="en-GB"/>
        </w:rPr>
        <w:t xml:space="preserve">  </w:t>
      </w:r>
      <w:r w:rsidR="00AC7177">
        <w:rPr>
          <w:rFonts w:ascii="Arial" w:hAnsi="Arial" w:cs="Arial"/>
          <w:i/>
          <w:w w:val="150"/>
          <w:sz w:val="16"/>
        </w:rPr>
        <w:tab/>
      </w:r>
      <w:r w:rsidR="00AC7177">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AC7177">
        <w:rPr>
          <w:rFonts w:ascii="Arial" w:hAnsi="Arial" w:cs="Arial"/>
          <w:i/>
          <w:w w:val="150"/>
          <w:sz w:val="16"/>
        </w:rPr>
        <w:tab/>
      </w:r>
      <w:r w:rsidR="00BD5831">
        <w:rPr>
          <w:rFonts w:ascii="Arial" w:hAnsi="Arial" w:cs="Times New Roman"/>
          <w:i/>
          <w:smallCaps/>
          <w:spacing w:val="-3"/>
          <w:sz w:val="8"/>
          <w:szCs w:val="16"/>
          <w:lang w:val="en-US"/>
        </w:rPr>
        <w:t>DGH / ODCD / 2016</w:t>
      </w:r>
    </w:p>
    <w:sectPr w:rsidR="00350057" w:rsidSect="00E861F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AC" w:rsidRDefault="006A29AC" w:rsidP="002F20AB">
      <w:r>
        <w:separator/>
      </w:r>
    </w:p>
  </w:endnote>
  <w:endnote w:type="continuationSeparator" w:id="0">
    <w:p w:rsidR="006A29AC" w:rsidRDefault="006A29A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AC" w:rsidRDefault="006A29AC" w:rsidP="002F20AB">
      <w:r>
        <w:separator/>
      </w:r>
    </w:p>
  </w:footnote>
  <w:footnote w:type="continuationSeparator" w:id="0">
    <w:p w:rsidR="006A29AC" w:rsidRDefault="006A29AC" w:rsidP="002F20AB">
      <w:r>
        <w:continuationSeparator/>
      </w:r>
    </w:p>
  </w:footnote>
  <w:footnote w:id="1">
    <w:p w:rsidR="008D2CD7" w:rsidRPr="00E27425" w:rsidRDefault="008D2CD7" w:rsidP="008D2CD7">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QUINCHE RAMÍREZ, Manuel Fernando. Vías de hecho, acción de tutela contra providencias, Editorial Temis SA, Bogotá, 2013, p.103.</w:t>
      </w:r>
    </w:p>
  </w:footnote>
  <w:footnote w:id="2">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T-917 de 2011.</w:t>
      </w:r>
    </w:p>
  </w:footnote>
  <w:footnote w:id="3">
    <w:p w:rsidR="008D2CD7" w:rsidRPr="006958F8"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C-590 de 2005.</w:t>
      </w:r>
    </w:p>
  </w:footnote>
  <w:footnote w:id="4">
    <w:p w:rsidR="008D2CD7" w:rsidRPr="00E27425" w:rsidRDefault="008D2CD7" w:rsidP="008D2CD7">
      <w:pPr>
        <w:pStyle w:val="Textonotapie"/>
        <w:jc w:val="both"/>
        <w:rPr>
          <w:rFonts w:ascii="Calibri" w:hAnsi="Calibri"/>
          <w:lang w:val="es-CO"/>
        </w:rPr>
      </w:pPr>
      <w:r w:rsidRPr="006958F8">
        <w:rPr>
          <w:rStyle w:val="Refdenotaalpie"/>
          <w:rFonts w:ascii="Calibri" w:hAnsi="Calibri" w:cs="Calibri"/>
          <w:lang w:val="es-CO"/>
        </w:rPr>
        <w:footnoteRef/>
      </w:r>
      <w:r w:rsidRPr="006958F8">
        <w:rPr>
          <w:rFonts w:ascii="Calibri" w:hAnsi="Calibri" w:cs="Calibri"/>
          <w:lang w:val="es-CO"/>
        </w:rPr>
        <w:t xml:space="preserve"> CORTE CONSTITUCIONAL. Sentencia </w:t>
      </w:r>
      <w:r w:rsidR="006958F8" w:rsidRPr="006958F8">
        <w:rPr>
          <w:rFonts w:ascii="Calibri" w:hAnsi="Calibri" w:cs="Calibri"/>
          <w:bCs/>
          <w:lang w:val="es-ES_tradnl"/>
        </w:rPr>
        <w:t>Sentencia SU-288 de 2016</w:t>
      </w:r>
      <w:r w:rsidRPr="006958F8">
        <w:rPr>
          <w:rFonts w:ascii="Calibri" w:hAnsi="Calibri" w:cs="Calibri"/>
          <w:lang w:val="es-CO"/>
        </w:rPr>
        <w:t>.</w:t>
      </w:r>
    </w:p>
  </w:footnote>
  <w:footnote w:id="5">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w:t>
      </w:r>
      <w:r w:rsidRPr="00E27425">
        <w:rPr>
          <w:rFonts w:asciiTheme="minorHAnsi" w:hAnsiTheme="minorHAnsi" w:cs="Calibri"/>
          <w:lang w:val="es-CO"/>
        </w:rPr>
        <w:t>CORTE CONSTITUCIONAL. Sentencia T-307 de 2015</w:t>
      </w:r>
      <w:r w:rsidR="00925A96">
        <w:rPr>
          <w:rFonts w:asciiTheme="minorHAnsi" w:hAnsiTheme="minorHAnsi" w:cs="Calibri"/>
          <w:lang w:val="es-CO"/>
        </w:rPr>
        <w:t>, T-0001 de 2016 y T-0107 de 2016.</w:t>
      </w:r>
    </w:p>
  </w:footnote>
  <w:footnote w:id="6">
    <w:p w:rsidR="008D2CD7" w:rsidRPr="00E27425" w:rsidRDefault="008D2CD7" w:rsidP="00E27425">
      <w:pPr>
        <w:pStyle w:val="Textonotapie"/>
        <w:jc w:val="both"/>
        <w:rPr>
          <w:rFonts w:asciiTheme="minorHAnsi" w:hAnsiTheme="minorHAnsi"/>
          <w:lang w:val="es-CO"/>
        </w:rPr>
      </w:pPr>
      <w:r w:rsidRPr="00E27425">
        <w:rPr>
          <w:rFonts w:asciiTheme="minorHAnsi" w:hAnsiTheme="minorHAnsi" w:cs="Calibri"/>
          <w:vertAlign w:val="superscript"/>
          <w:lang w:val="es-CO"/>
        </w:rPr>
        <w:footnoteRef/>
      </w:r>
      <w:r w:rsidRPr="00E27425">
        <w:rPr>
          <w:rFonts w:asciiTheme="minorHAnsi" w:hAnsiTheme="minorHAnsi" w:cs="Calibri"/>
          <w:lang w:val="es-CO"/>
        </w:rPr>
        <w:t xml:space="preserve"> ESCUELA JUDICIAL RODRIGO LARA BONILLA. La acción de tutela en el ordenamiento constitucional colombiano, Universidad Nacional de Colombia, Catalina Botero Marino, Ediprime Ltda., 2006, p.61-75.</w:t>
      </w:r>
    </w:p>
  </w:footnote>
  <w:footnote w:id="7">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Bogotá DC, 2011, p.233-285.</w:t>
      </w:r>
    </w:p>
  </w:footnote>
  <w:footnote w:id="8">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71BA7" w:rsidRPr="00D73B3B" w:rsidRDefault="00471BA7" w:rsidP="00471BA7">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471BA7" w:rsidRDefault="00471BA7" w:rsidP="00471BA7">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471BA7" w:rsidRPr="005648CB" w:rsidRDefault="00471BA7" w:rsidP="00471BA7">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471BA7" w:rsidRDefault="00471BA7" w:rsidP="00471BA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471BA7" w:rsidRPr="00EE61B2" w:rsidRDefault="00471BA7" w:rsidP="00471B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471BA7" w:rsidRPr="00EE61B2" w:rsidRDefault="00471BA7" w:rsidP="00471BA7">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8A67E8" w:rsidRDefault="008A67E8" w:rsidP="008A67E8">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8A67E8" w:rsidRPr="008B43C6" w:rsidRDefault="008A67E8" w:rsidP="008A67E8">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18">
    <w:p w:rsidR="001032DB" w:rsidRPr="001032DB" w:rsidRDefault="001032DB" w:rsidP="001032DB">
      <w:pPr>
        <w:pStyle w:val="Textonotapie"/>
        <w:jc w:val="both"/>
        <w:rPr>
          <w:lang w:val="es-CO"/>
        </w:rPr>
      </w:pPr>
      <w:r>
        <w:rPr>
          <w:rStyle w:val="Refdenotaalpie"/>
        </w:rPr>
        <w:footnoteRef/>
      </w:r>
      <w:r>
        <w:t xml:space="preserve"> </w:t>
      </w:r>
      <w:r>
        <w:rPr>
          <w:b/>
          <w:bCs/>
          <w:lang w:val="es-ES"/>
        </w:rPr>
        <w:t> </w:t>
      </w:r>
      <w:r w:rsidRPr="001032DB">
        <w:rPr>
          <w:rFonts w:asciiTheme="minorHAnsi" w:hAnsiTheme="minorHAnsi"/>
          <w:bCs/>
          <w:lang w:val="es-ES"/>
        </w:rPr>
        <w:t>CORTE CONSTITUCIONAL. Sentencia</w:t>
      </w:r>
      <w:r w:rsidR="006B7871">
        <w:rPr>
          <w:rFonts w:asciiTheme="minorHAnsi" w:hAnsiTheme="minorHAnsi"/>
          <w:bCs/>
          <w:lang w:val="es-ES"/>
        </w:rPr>
        <w:t>s</w:t>
      </w:r>
      <w:r w:rsidRPr="001032DB">
        <w:rPr>
          <w:rFonts w:asciiTheme="minorHAnsi" w:hAnsiTheme="minorHAnsi"/>
          <w:bCs/>
          <w:lang w:val="es-ES"/>
        </w:rPr>
        <w:t xml:space="preserve"> T-103 de 2014</w:t>
      </w:r>
      <w:r w:rsidR="006B7871">
        <w:rPr>
          <w:rFonts w:asciiTheme="minorHAnsi" w:hAnsiTheme="minorHAnsi"/>
          <w:bCs/>
          <w:lang w:val="es-ES"/>
        </w:rPr>
        <w:t xml:space="preserve"> y T-127 de 2014</w:t>
      </w:r>
      <w:r w:rsidRPr="001032DB">
        <w:rPr>
          <w:rFonts w:asciiTheme="minorHAnsi" w:hAnsiTheme="minorHAnsi"/>
          <w:bCs/>
          <w:lang w:val="es-ES"/>
        </w:rPr>
        <w:t>.</w:t>
      </w:r>
    </w:p>
  </w:footnote>
  <w:footnote w:id="19">
    <w:p w:rsidR="00331783" w:rsidRPr="00331783" w:rsidRDefault="00331783" w:rsidP="00331783">
      <w:pPr>
        <w:pStyle w:val="Textonotapie"/>
        <w:rPr>
          <w:rFonts w:asciiTheme="minorHAnsi" w:hAnsiTheme="minorHAnsi"/>
          <w:b/>
          <w:iCs/>
          <w:lang w:val="es-CO"/>
        </w:rPr>
      </w:pPr>
      <w:r>
        <w:rPr>
          <w:rStyle w:val="Refdenotaalpie"/>
        </w:rPr>
        <w:footnoteRef/>
      </w:r>
      <w:r>
        <w:t xml:space="preserve"> </w:t>
      </w:r>
      <w:r w:rsidRPr="00331783">
        <w:rPr>
          <w:rFonts w:asciiTheme="minorHAnsi" w:hAnsiTheme="minorHAnsi"/>
          <w:lang w:val="es-CO"/>
        </w:rPr>
        <w:t xml:space="preserve">CORTE SUPREMA DE JUSTICIA, Sala de Casación Civil. Sentencias </w:t>
      </w:r>
      <w:r w:rsidRPr="00331783">
        <w:rPr>
          <w:rFonts w:asciiTheme="minorHAnsi" w:hAnsiTheme="minorHAnsi"/>
          <w:iCs/>
          <w:lang w:val="es-CO"/>
        </w:rPr>
        <w:t>STC3848-2016 y STC3364-2016, entre otras.</w:t>
      </w:r>
    </w:p>
  </w:footnote>
  <w:footnote w:id="20">
    <w:p w:rsidR="008360C6" w:rsidRPr="00377F8E" w:rsidRDefault="008360C6" w:rsidP="008360C6">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lang w:val="es-CO"/>
        </w:rPr>
        <w:t xml:space="preserve">CORTE CONSTITUCIONAL. Sentencia </w:t>
      </w:r>
      <w:r w:rsidR="00925A96">
        <w:rPr>
          <w:rFonts w:asciiTheme="minorHAnsi" w:hAnsiTheme="minorHAnsi" w:cs="Calibri"/>
        </w:rPr>
        <w:t>T-002 de</w:t>
      </w:r>
      <w:r w:rsidRPr="00377F8E">
        <w:rPr>
          <w:rFonts w:asciiTheme="minorHAnsi" w:hAnsiTheme="minorHAnsi" w:cs="Calibri"/>
        </w:rPr>
        <w:t xml:space="preserve"> 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050B8C">
      <w:rPr>
        <w:rFonts w:ascii="Calibri" w:hAnsi="Calibri"/>
        <w:noProof/>
        <w:sz w:val="22"/>
        <w:lang w:val="es-CO"/>
      </w:rPr>
      <w:t>7</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864458">
      <w:rPr>
        <w:rFonts w:ascii="Calibri" w:hAnsi="Calibri" w:cs="Calibri"/>
        <w:i/>
        <w:sz w:val="20"/>
        <w:szCs w:val="20"/>
        <w:lang w:val="es-CO"/>
      </w:rPr>
      <w:t>00071</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60"/>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1CA8"/>
    <w:rsid w:val="0004382E"/>
    <w:rsid w:val="00043EC5"/>
    <w:rsid w:val="00047896"/>
    <w:rsid w:val="000505E7"/>
    <w:rsid w:val="00050B8C"/>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865"/>
    <w:rsid w:val="00075C73"/>
    <w:rsid w:val="00076139"/>
    <w:rsid w:val="00076772"/>
    <w:rsid w:val="00076D55"/>
    <w:rsid w:val="00076F62"/>
    <w:rsid w:val="0007768D"/>
    <w:rsid w:val="0008009F"/>
    <w:rsid w:val="00080BAB"/>
    <w:rsid w:val="000818FB"/>
    <w:rsid w:val="000820F0"/>
    <w:rsid w:val="00083963"/>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6E84"/>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2DB"/>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7F4"/>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2CAF"/>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07DA4"/>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4C76"/>
    <w:rsid w:val="002A5547"/>
    <w:rsid w:val="002B0529"/>
    <w:rsid w:val="002B0630"/>
    <w:rsid w:val="002B2E94"/>
    <w:rsid w:val="002B4459"/>
    <w:rsid w:val="002B44A9"/>
    <w:rsid w:val="002B4504"/>
    <w:rsid w:val="002B503F"/>
    <w:rsid w:val="002B6043"/>
    <w:rsid w:val="002B7A49"/>
    <w:rsid w:val="002B7B47"/>
    <w:rsid w:val="002C0DE9"/>
    <w:rsid w:val="002C4CF9"/>
    <w:rsid w:val="002C6CE4"/>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83A"/>
    <w:rsid w:val="003169D9"/>
    <w:rsid w:val="00317A3A"/>
    <w:rsid w:val="00320A40"/>
    <w:rsid w:val="0032385F"/>
    <w:rsid w:val="003278B1"/>
    <w:rsid w:val="00331783"/>
    <w:rsid w:val="00332FAA"/>
    <w:rsid w:val="00333EFB"/>
    <w:rsid w:val="0033413E"/>
    <w:rsid w:val="003361D8"/>
    <w:rsid w:val="003377CA"/>
    <w:rsid w:val="00340212"/>
    <w:rsid w:val="0034291E"/>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347"/>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63F2"/>
    <w:rsid w:val="0040074A"/>
    <w:rsid w:val="004017E5"/>
    <w:rsid w:val="004046B5"/>
    <w:rsid w:val="00404829"/>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087D"/>
    <w:rsid w:val="004F1BDB"/>
    <w:rsid w:val="004F1FC5"/>
    <w:rsid w:val="004F31F1"/>
    <w:rsid w:val="004F448C"/>
    <w:rsid w:val="004F5D30"/>
    <w:rsid w:val="004F6583"/>
    <w:rsid w:val="004F6D6A"/>
    <w:rsid w:val="004F7A80"/>
    <w:rsid w:val="004F7AA5"/>
    <w:rsid w:val="00502776"/>
    <w:rsid w:val="00503BF5"/>
    <w:rsid w:val="00505776"/>
    <w:rsid w:val="005069CE"/>
    <w:rsid w:val="00506B03"/>
    <w:rsid w:val="0050752F"/>
    <w:rsid w:val="005079E6"/>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87764"/>
    <w:rsid w:val="005902CE"/>
    <w:rsid w:val="00590CB5"/>
    <w:rsid w:val="0059311A"/>
    <w:rsid w:val="0059342A"/>
    <w:rsid w:val="00596C0B"/>
    <w:rsid w:val="00597CED"/>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87F"/>
    <w:rsid w:val="005B3BD2"/>
    <w:rsid w:val="005B4464"/>
    <w:rsid w:val="005B606C"/>
    <w:rsid w:val="005B66D3"/>
    <w:rsid w:val="005C05A6"/>
    <w:rsid w:val="005C085F"/>
    <w:rsid w:val="005C19D8"/>
    <w:rsid w:val="005C1C5A"/>
    <w:rsid w:val="005C2225"/>
    <w:rsid w:val="005C31C9"/>
    <w:rsid w:val="005C3B96"/>
    <w:rsid w:val="005C3C4E"/>
    <w:rsid w:val="005C458F"/>
    <w:rsid w:val="005C661D"/>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0ED3"/>
    <w:rsid w:val="00641308"/>
    <w:rsid w:val="0064234D"/>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BE"/>
    <w:rsid w:val="006938F5"/>
    <w:rsid w:val="00693B84"/>
    <w:rsid w:val="00694281"/>
    <w:rsid w:val="006950A1"/>
    <w:rsid w:val="006958F8"/>
    <w:rsid w:val="00695FDF"/>
    <w:rsid w:val="0069656E"/>
    <w:rsid w:val="006975BD"/>
    <w:rsid w:val="006A04FE"/>
    <w:rsid w:val="006A29AC"/>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B7871"/>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35F7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B5F"/>
    <w:rsid w:val="00791A42"/>
    <w:rsid w:val="007937B6"/>
    <w:rsid w:val="00794635"/>
    <w:rsid w:val="00794DCB"/>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3FB2"/>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0C6"/>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458"/>
    <w:rsid w:val="00864D0F"/>
    <w:rsid w:val="0086594C"/>
    <w:rsid w:val="0086606D"/>
    <w:rsid w:val="00866292"/>
    <w:rsid w:val="00866D83"/>
    <w:rsid w:val="00872389"/>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7E8"/>
    <w:rsid w:val="008A6C90"/>
    <w:rsid w:val="008B0BC9"/>
    <w:rsid w:val="008B0D88"/>
    <w:rsid w:val="008B2D04"/>
    <w:rsid w:val="008B3C3E"/>
    <w:rsid w:val="008B615C"/>
    <w:rsid w:val="008B72AE"/>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2799"/>
    <w:rsid w:val="008E33BF"/>
    <w:rsid w:val="008E4DA9"/>
    <w:rsid w:val="008E50EF"/>
    <w:rsid w:val="008E5C6D"/>
    <w:rsid w:val="008E6FC1"/>
    <w:rsid w:val="008E723C"/>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0D0C"/>
    <w:rsid w:val="00912A38"/>
    <w:rsid w:val="00913716"/>
    <w:rsid w:val="00913B35"/>
    <w:rsid w:val="009147B3"/>
    <w:rsid w:val="00916708"/>
    <w:rsid w:val="00916BD5"/>
    <w:rsid w:val="0091769E"/>
    <w:rsid w:val="00917999"/>
    <w:rsid w:val="00917BF8"/>
    <w:rsid w:val="009205FA"/>
    <w:rsid w:val="0092089F"/>
    <w:rsid w:val="00922E55"/>
    <w:rsid w:val="0092352E"/>
    <w:rsid w:val="00925A96"/>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221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4AD0"/>
    <w:rsid w:val="00984F3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5BF2"/>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7D7"/>
    <w:rsid w:val="00B66B8E"/>
    <w:rsid w:val="00B6731F"/>
    <w:rsid w:val="00B676CC"/>
    <w:rsid w:val="00B677AB"/>
    <w:rsid w:val="00B67935"/>
    <w:rsid w:val="00B67AF7"/>
    <w:rsid w:val="00B70072"/>
    <w:rsid w:val="00B72130"/>
    <w:rsid w:val="00B72868"/>
    <w:rsid w:val="00B74916"/>
    <w:rsid w:val="00B755A0"/>
    <w:rsid w:val="00B7667E"/>
    <w:rsid w:val="00B772B6"/>
    <w:rsid w:val="00B77DFA"/>
    <w:rsid w:val="00B81D1E"/>
    <w:rsid w:val="00B82C68"/>
    <w:rsid w:val="00B8402B"/>
    <w:rsid w:val="00B8587B"/>
    <w:rsid w:val="00B87F44"/>
    <w:rsid w:val="00B902FF"/>
    <w:rsid w:val="00B90B52"/>
    <w:rsid w:val="00B931CB"/>
    <w:rsid w:val="00B942B6"/>
    <w:rsid w:val="00B94A37"/>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210F"/>
    <w:rsid w:val="00BE2865"/>
    <w:rsid w:val="00BF0265"/>
    <w:rsid w:val="00BF0BA5"/>
    <w:rsid w:val="00BF257E"/>
    <w:rsid w:val="00BF2953"/>
    <w:rsid w:val="00BF2D53"/>
    <w:rsid w:val="00BF3CDD"/>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2932"/>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5D2D"/>
    <w:rsid w:val="00C961BD"/>
    <w:rsid w:val="00C96B2D"/>
    <w:rsid w:val="00C96DA5"/>
    <w:rsid w:val="00C97DFA"/>
    <w:rsid w:val="00CA0962"/>
    <w:rsid w:val="00CA5F8D"/>
    <w:rsid w:val="00CA67C7"/>
    <w:rsid w:val="00CA7384"/>
    <w:rsid w:val="00CB1751"/>
    <w:rsid w:val="00CB3A58"/>
    <w:rsid w:val="00CB7701"/>
    <w:rsid w:val="00CC1998"/>
    <w:rsid w:val="00CC1C22"/>
    <w:rsid w:val="00CC39CD"/>
    <w:rsid w:val="00CC3BCB"/>
    <w:rsid w:val="00CC7DFC"/>
    <w:rsid w:val="00CD09F7"/>
    <w:rsid w:val="00CD0DCC"/>
    <w:rsid w:val="00CD1C29"/>
    <w:rsid w:val="00CD2CB0"/>
    <w:rsid w:val="00CD354D"/>
    <w:rsid w:val="00CD3E8C"/>
    <w:rsid w:val="00CD43FC"/>
    <w:rsid w:val="00CD461C"/>
    <w:rsid w:val="00CD4C65"/>
    <w:rsid w:val="00CD4ED2"/>
    <w:rsid w:val="00CD57FB"/>
    <w:rsid w:val="00CD5AB8"/>
    <w:rsid w:val="00CD5D7B"/>
    <w:rsid w:val="00CE1D1C"/>
    <w:rsid w:val="00CE2B49"/>
    <w:rsid w:val="00CE32AE"/>
    <w:rsid w:val="00CE3C23"/>
    <w:rsid w:val="00CE3CD5"/>
    <w:rsid w:val="00CE3DD8"/>
    <w:rsid w:val="00CE441B"/>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7861"/>
    <w:rsid w:val="00D50671"/>
    <w:rsid w:val="00D5296C"/>
    <w:rsid w:val="00D54BF8"/>
    <w:rsid w:val="00D55820"/>
    <w:rsid w:val="00D60BD1"/>
    <w:rsid w:val="00D6104D"/>
    <w:rsid w:val="00D648BB"/>
    <w:rsid w:val="00D65C77"/>
    <w:rsid w:val="00D66C88"/>
    <w:rsid w:val="00D673D3"/>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0670"/>
    <w:rsid w:val="00E21F2B"/>
    <w:rsid w:val="00E22306"/>
    <w:rsid w:val="00E22A58"/>
    <w:rsid w:val="00E23D2E"/>
    <w:rsid w:val="00E24161"/>
    <w:rsid w:val="00E24C10"/>
    <w:rsid w:val="00E26A5B"/>
    <w:rsid w:val="00E27425"/>
    <w:rsid w:val="00E32841"/>
    <w:rsid w:val="00E34A00"/>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1CFA"/>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4A5E"/>
    <w:rsid w:val="00E85616"/>
    <w:rsid w:val="00E861F9"/>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671"/>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08"/>
    <w:rsid w:val="00FC457A"/>
    <w:rsid w:val="00FC48F9"/>
    <w:rsid w:val="00FC5101"/>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374160475">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7343700">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6956220">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1124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D5CF-8279-4F44-8F01-7B3F5B34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2165</Words>
  <Characters>11909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9</cp:revision>
  <cp:lastPrinted>2016-07-22T18:05:00Z</cp:lastPrinted>
  <dcterms:created xsi:type="dcterms:W3CDTF">2016-07-21T14:48:00Z</dcterms:created>
  <dcterms:modified xsi:type="dcterms:W3CDTF">2016-07-22T18:09:00Z</dcterms:modified>
</cp:coreProperties>
</file>