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B4" w:rsidRPr="00055048" w:rsidRDefault="00AC23B4" w:rsidP="00AC23B4">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9776" behindDoc="0" locked="0" layoutInCell="1" allowOverlap="1" wp14:anchorId="2F0A4ABD" wp14:editId="38E20F40">
            <wp:simplePos x="0" y="0"/>
            <wp:positionH relativeFrom="column">
              <wp:posOffset>2806700</wp:posOffset>
            </wp:positionH>
            <wp:positionV relativeFrom="paragraph">
              <wp:posOffset>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w w:val="140"/>
        </w:rPr>
        <w:br w:type="textWrapping" w:clear="all"/>
      </w:r>
      <w:r w:rsidRPr="00055048">
        <w:rPr>
          <w:rFonts w:ascii="Arial" w:hAnsi="Arial" w:cs="Arial"/>
          <w:w w:val="140"/>
          <w:sz w:val="14"/>
        </w:rPr>
        <w:t>REPUBLICA DE COLOMBIA</w:t>
      </w:r>
    </w:p>
    <w:p w:rsidR="00AC23B4" w:rsidRPr="00055048" w:rsidRDefault="00AC23B4" w:rsidP="00AC23B4">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AC23B4" w:rsidRPr="00055048" w:rsidRDefault="00AC23B4" w:rsidP="00AC23B4">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AC23B4" w:rsidRDefault="00AC23B4" w:rsidP="00AC23B4">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AC23B4" w:rsidRPr="007860C0" w:rsidRDefault="00AC23B4" w:rsidP="00AC23B4">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AC23B4" w:rsidRPr="006414F7" w:rsidRDefault="00AC23B4" w:rsidP="00AC23B4">
      <w:pPr>
        <w:spacing w:line="360" w:lineRule="auto"/>
        <w:jc w:val="center"/>
        <w:rPr>
          <w:rFonts w:ascii="Arial" w:hAnsi="Arial" w:cs="Arial"/>
          <w:w w:val="140"/>
          <w:szCs w:val="18"/>
        </w:rPr>
      </w:pPr>
    </w:p>
    <w:p w:rsidR="00AC23B4" w:rsidRPr="002060F5" w:rsidRDefault="00AC23B4" w:rsidP="00AC23B4">
      <w:pPr>
        <w:pStyle w:val="Textoindependiente"/>
        <w:spacing w:line="360" w:lineRule="auto"/>
        <w:rPr>
          <w:rFonts w:ascii="Arial" w:hAnsi="Arial" w:cs="Arial"/>
          <w:sz w:val="22"/>
          <w:szCs w:val="22"/>
        </w:rPr>
      </w:pPr>
      <w:r>
        <w:rPr>
          <w:rFonts w:ascii="Arial" w:hAnsi="Arial" w:cs="Arial"/>
          <w:sz w:val="22"/>
        </w:rPr>
        <w:tab/>
      </w:r>
      <w:r>
        <w:rPr>
          <w:rFonts w:ascii="Arial" w:hAnsi="Arial" w:cs="Arial"/>
          <w:sz w:val="22"/>
        </w:rPr>
        <w:tab/>
      </w:r>
      <w:r w:rsidRPr="002060F5">
        <w:rPr>
          <w:rFonts w:ascii="Arial" w:hAnsi="Arial" w:cs="Arial"/>
          <w:sz w:val="22"/>
          <w:szCs w:val="22"/>
        </w:rPr>
        <w:t>Asunto</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 Sentencia de tutela en primera instancia</w:t>
      </w:r>
    </w:p>
    <w:p w:rsidR="00AC23B4" w:rsidRPr="00F139D0" w:rsidRDefault="00AC23B4" w:rsidP="00AC23B4">
      <w:pPr>
        <w:pStyle w:val="Textoindependiente"/>
        <w:spacing w:line="360" w:lineRule="auto"/>
        <w:ind w:left="1416"/>
        <w:rPr>
          <w:rFonts w:ascii="Arial" w:hAnsi="Arial" w:cs="Arial"/>
          <w:sz w:val="22"/>
        </w:rPr>
      </w:pPr>
      <w:r w:rsidRPr="00F139D0">
        <w:rPr>
          <w:rFonts w:ascii="Arial" w:hAnsi="Arial" w:cs="Arial"/>
          <w:sz w:val="22"/>
        </w:rPr>
        <w:t>Accionante</w:t>
      </w:r>
      <w:r w:rsidRPr="00F139D0">
        <w:rPr>
          <w:rFonts w:ascii="Arial" w:hAnsi="Arial" w:cs="Arial"/>
          <w:sz w:val="22"/>
        </w:rPr>
        <w:tab/>
      </w:r>
      <w:r w:rsidRPr="00F139D0">
        <w:rPr>
          <w:rFonts w:ascii="Arial" w:hAnsi="Arial" w:cs="Arial"/>
          <w:sz w:val="22"/>
        </w:rPr>
        <w:tab/>
        <w:t xml:space="preserve">: </w:t>
      </w:r>
      <w:r w:rsidR="002C4DE8">
        <w:rPr>
          <w:rFonts w:ascii="Arial" w:hAnsi="Arial" w:cs="Arial"/>
          <w:sz w:val="22"/>
        </w:rPr>
        <w:t xml:space="preserve">Adriana </w:t>
      </w:r>
      <w:proofErr w:type="spellStart"/>
      <w:r w:rsidR="002C4DE8">
        <w:rPr>
          <w:rFonts w:ascii="Arial" w:hAnsi="Arial" w:cs="Arial"/>
          <w:sz w:val="22"/>
        </w:rPr>
        <w:t>Sulay</w:t>
      </w:r>
      <w:proofErr w:type="spellEnd"/>
      <w:r w:rsidR="002C4DE8">
        <w:rPr>
          <w:rFonts w:ascii="Arial" w:hAnsi="Arial" w:cs="Arial"/>
          <w:sz w:val="22"/>
        </w:rPr>
        <w:t xml:space="preserve"> Betancur Gómez</w:t>
      </w:r>
    </w:p>
    <w:p w:rsidR="00AC23B4" w:rsidRPr="00F139D0" w:rsidRDefault="00AC23B4" w:rsidP="00AC23B4">
      <w:pPr>
        <w:pStyle w:val="Textoindependiente"/>
        <w:spacing w:line="360" w:lineRule="auto"/>
        <w:ind w:left="1416"/>
        <w:rPr>
          <w:rFonts w:ascii="Arial" w:hAnsi="Arial" w:cs="Arial"/>
          <w:sz w:val="22"/>
        </w:rPr>
      </w:pPr>
      <w:r>
        <w:rPr>
          <w:rFonts w:ascii="Arial" w:hAnsi="Arial" w:cs="Arial"/>
          <w:sz w:val="22"/>
        </w:rPr>
        <w:t xml:space="preserve">Accionado </w:t>
      </w:r>
      <w:r w:rsidRPr="00F139D0">
        <w:rPr>
          <w:rFonts w:ascii="Arial" w:hAnsi="Arial" w:cs="Arial"/>
          <w:sz w:val="22"/>
        </w:rPr>
        <w:tab/>
      </w:r>
      <w:r w:rsidRPr="00F139D0">
        <w:rPr>
          <w:rFonts w:ascii="Arial" w:hAnsi="Arial" w:cs="Arial"/>
          <w:sz w:val="22"/>
        </w:rPr>
        <w:tab/>
        <w:t>: Juzgado</w:t>
      </w:r>
      <w:r>
        <w:rPr>
          <w:rFonts w:ascii="Arial" w:hAnsi="Arial" w:cs="Arial"/>
          <w:sz w:val="22"/>
        </w:rPr>
        <w:t xml:space="preserve"> </w:t>
      </w:r>
      <w:r w:rsidR="002C4DE8">
        <w:rPr>
          <w:rFonts w:ascii="Arial" w:hAnsi="Arial" w:cs="Arial"/>
          <w:sz w:val="22"/>
        </w:rPr>
        <w:t xml:space="preserve">Cuarto de Familia </w:t>
      </w:r>
      <w:r w:rsidRPr="00F139D0">
        <w:rPr>
          <w:rFonts w:ascii="Arial" w:hAnsi="Arial" w:cs="Arial"/>
          <w:sz w:val="22"/>
        </w:rPr>
        <w:t>de Pereira</w:t>
      </w:r>
    </w:p>
    <w:p w:rsidR="00AC23B4" w:rsidRPr="00F139D0" w:rsidRDefault="00AC23B4" w:rsidP="00AC23B4">
      <w:pPr>
        <w:pStyle w:val="Textoindependiente"/>
        <w:spacing w:line="360" w:lineRule="auto"/>
        <w:ind w:left="1416"/>
        <w:rPr>
          <w:rFonts w:ascii="Arial" w:hAnsi="Arial" w:cs="Arial"/>
          <w:sz w:val="22"/>
        </w:rPr>
      </w:pPr>
      <w:r w:rsidRPr="00F139D0">
        <w:rPr>
          <w:rFonts w:ascii="Arial" w:hAnsi="Arial" w:cs="Arial"/>
          <w:sz w:val="22"/>
        </w:rPr>
        <w:t>Radicación</w:t>
      </w:r>
      <w:r w:rsidRPr="00F139D0">
        <w:rPr>
          <w:rFonts w:ascii="Arial" w:hAnsi="Arial" w:cs="Arial"/>
          <w:sz w:val="22"/>
        </w:rPr>
        <w:tab/>
      </w:r>
      <w:r w:rsidRPr="00F139D0">
        <w:rPr>
          <w:rFonts w:ascii="Arial" w:hAnsi="Arial" w:cs="Arial"/>
          <w:sz w:val="22"/>
        </w:rPr>
        <w:tab/>
        <w:t xml:space="preserve">: </w:t>
      </w:r>
      <w:r>
        <w:rPr>
          <w:rFonts w:ascii="Arial" w:hAnsi="Arial" w:cs="Arial"/>
          <w:sz w:val="22"/>
        </w:rPr>
        <w:t>2016-00</w:t>
      </w:r>
      <w:r w:rsidR="002C4DE8">
        <w:rPr>
          <w:rFonts w:ascii="Arial" w:hAnsi="Arial" w:cs="Arial"/>
          <w:sz w:val="22"/>
        </w:rPr>
        <w:t>672</w:t>
      </w:r>
      <w:r w:rsidRPr="00F139D0">
        <w:rPr>
          <w:rFonts w:ascii="Arial" w:hAnsi="Arial" w:cs="Arial"/>
          <w:sz w:val="22"/>
        </w:rPr>
        <w:t>-00 (Interno No.</w:t>
      </w:r>
      <w:r w:rsidR="002C4DE8">
        <w:rPr>
          <w:rFonts w:ascii="Arial" w:hAnsi="Arial" w:cs="Arial"/>
          <w:sz w:val="22"/>
        </w:rPr>
        <w:t>672</w:t>
      </w:r>
      <w:r w:rsidRPr="00F139D0">
        <w:rPr>
          <w:rFonts w:ascii="Arial" w:hAnsi="Arial" w:cs="Arial"/>
          <w:sz w:val="22"/>
        </w:rPr>
        <w:t>)</w:t>
      </w:r>
    </w:p>
    <w:p w:rsidR="00AC23B4" w:rsidRDefault="00AC23B4" w:rsidP="00A1362B">
      <w:pPr>
        <w:pStyle w:val="Textoindependiente"/>
        <w:spacing w:line="360" w:lineRule="auto"/>
        <w:ind w:left="1416" w:hanging="1416"/>
        <w:rPr>
          <w:rFonts w:ascii="Arial" w:hAnsi="Arial"/>
          <w:sz w:val="22"/>
          <w:szCs w:val="22"/>
        </w:rPr>
      </w:pPr>
      <w:r w:rsidRPr="002060F5">
        <w:rPr>
          <w:rFonts w:ascii="Arial" w:hAnsi="Arial" w:cs="Arial"/>
          <w:sz w:val="22"/>
          <w:szCs w:val="22"/>
        </w:rPr>
        <w:tab/>
      </w:r>
      <w:r w:rsidRPr="002060F5">
        <w:rPr>
          <w:rFonts w:ascii="Arial" w:hAnsi="Arial" w:cs="Arial"/>
          <w:sz w:val="22"/>
          <w:szCs w:val="22"/>
        </w:rPr>
        <w:tab/>
      </w:r>
      <w:r w:rsidRPr="00647549">
        <w:rPr>
          <w:rFonts w:ascii="Arial" w:hAnsi="Arial" w:cs="Arial"/>
          <w:sz w:val="22"/>
          <w:szCs w:val="22"/>
        </w:rPr>
        <w:t>Temas</w:t>
      </w:r>
      <w:r w:rsidRPr="00647549">
        <w:rPr>
          <w:rFonts w:ascii="Arial" w:hAnsi="Arial" w:cs="Arial"/>
          <w:sz w:val="22"/>
          <w:szCs w:val="22"/>
        </w:rPr>
        <w:tab/>
      </w:r>
      <w:r w:rsidRPr="00647549">
        <w:rPr>
          <w:rFonts w:ascii="Arial" w:hAnsi="Arial" w:cs="Arial"/>
          <w:sz w:val="22"/>
          <w:szCs w:val="22"/>
        </w:rPr>
        <w:tab/>
      </w:r>
      <w:r w:rsidRPr="00647549">
        <w:rPr>
          <w:rFonts w:ascii="Arial" w:hAnsi="Arial" w:cs="Arial"/>
          <w:sz w:val="22"/>
          <w:szCs w:val="22"/>
        </w:rPr>
        <w:tab/>
        <w:t>:</w:t>
      </w:r>
      <w:r w:rsidRPr="00647549">
        <w:rPr>
          <w:rFonts w:ascii="Arial" w:hAnsi="Arial" w:cs="Arial"/>
          <w:sz w:val="20"/>
          <w:szCs w:val="22"/>
        </w:rPr>
        <w:t xml:space="preserve"> </w:t>
      </w:r>
      <w:r w:rsidR="00A1362B">
        <w:rPr>
          <w:rFonts w:ascii="Arial" w:hAnsi="Arial" w:cs="Arial"/>
          <w:sz w:val="20"/>
          <w:szCs w:val="22"/>
        </w:rPr>
        <w:t xml:space="preserve">Derecho de petición ante autoridades judiciales </w:t>
      </w:r>
    </w:p>
    <w:p w:rsidR="00AC23B4" w:rsidRPr="002060F5" w:rsidRDefault="00AC23B4" w:rsidP="00AC23B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2C3291" w:rsidRPr="002060F5" w:rsidRDefault="00AC23B4" w:rsidP="002C329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C3291">
        <w:rPr>
          <w:rFonts w:ascii="Arial" w:hAnsi="Arial"/>
          <w:sz w:val="22"/>
          <w:szCs w:val="22"/>
        </w:rPr>
        <w:t>345 de 22-07-2016</w:t>
      </w:r>
    </w:p>
    <w:p w:rsidR="002C3291" w:rsidRDefault="002C3291" w:rsidP="002C3291">
      <w:pPr>
        <w:pBdr>
          <w:bottom w:val="double" w:sz="6" w:space="1" w:color="auto"/>
        </w:pBdr>
        <w:spacing w:line="360" w:lineRule="auto"/>
        <w:jc w:val="center"/>
        <w:rPr>
          <w:rFonts w:ascii="Arial" w:hAnsi="Arial" w:cs="Arial"/>
          <w:b/>
          <w:bCs/>
          <w:sz w:val="22"/>
          <w:szCs w:val="22"/>
        </w:rPr>
      </w:pPr>
    </w:p>
    <w:p w:rsidR="002C3291" w:rsidRDefault="002C3291" w:rsidP="002C3291">
      <w:pPr>
        <w:spacing w:line="360" w:lineRule="auto"/>
        <w:jc w:val="center"/>
        <w:rPr>
          <w:rFonts w:ascii="Arial" w:hAnsi="Arial" w:cs="Arial"/>
          <w:b/>
          <w:bCs/>
          <w:sz w:val="22"/>
          <w:szCs w:val="22"/>
        </w:rPr>
      </w:pPr>
    </w:p>
    <w:p w:rsidR="002C3291" w:rsidRPr="00D06248" w:rsidRDefault="002C3291" w:rsidP="002C3291">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 xml:space="preserve">Pereira, R., </w:t>
      </w:r>
      <w:r>
        <w:rPr>
          <w:rFonts w:ascii="Arial" w:hAnsi="Arial" w:cs="Arial"/>
          <w:iCs/>
          <w:smallCaps/>
          <w:sz w:val="28"/>
          <w:szCs w:val="28"/>
          <w:lang w:val="es-CO"/>
        </w:rPr>
        <w:t xml:space="preserve">veintidós </w:t>
      </w:r>
      <w:r w:rsidRPr="00D06248">
        <w:rPr>
          <w:rFonts w:ascii="Arial" w:hAnsi="Arial" w:cs="Arial"/>
          <w:iCs/>
          <w:smallCaps/>
          <w:sz w:val="28"/>
          <w:szCs w:val="28"/>
          <w:lang w:val="es-CO"/>
        </w:rPr>
        <w:t>(</w:t>
      </w:r>
      <w:r>
        <w:rPr>
          <w:rFonts w:ascii="Arial" w:hAnsi="Arial" w:cs="Arial"/>
          <w:iCs/>
          <w:smallCaps/>
          <w:sz w:val="28"/>
          <w:szCs w:val="28"/>
          <w:lang w:val="es-CO"/>
        </w:rPr>
        <w:t>22</w:t>
      </w:r>
      <w:r w:rsidRPr="00D06248">
        <w:rPr>
          <w:rFonts w:ascii="Arial" w:hAnsi="Arial" w:cs="Arial"/>
          <w:iCs/>
          <w:smallCaps/>
          <w:sz w:val="28"/>
          <w:szCs w:val="28"/>
          <w:lang w:val="es-CO"/>
        </w:rPr>
        <w:t>) de julio de dos mil dieciséis (2016)</w:t>
      </w:r>
      <w:r w:rsidRPr="00D06248">
        <w:rPr>
          <w:rFonts w:ascii="Arial" w:hAnsi="Arial" w:cs="Arial"/>
          <w:iCs/>
          <w:sz w:val="28"/>
          <w:szCs w:val="28"/>
          <w:lang w:val="es-CO"/>
        </w:rPr>
        <w:t>.</w:t>
      </w:r>
    </w:p>
    <w:p w:rsidR="00AC23B4" w:rsidRDefault="00AC23B4" w:rsidP="002C3291">
      <w:pPr>
        <w:spacing w:line="360" w:lineRule="auto"/>
        <w:ind w:left="708" w:firstLine="708"/>
        <w:rPr>
          <w:rFonts w:ascii="Arial" w:hAnsi="Arial" w:cs="Arial"/>
          <w:b/>
          <w:bCs/>
          <w:lang w:val="es-CO"/>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AC23B4" w:rsidRPr="00F9418E" w:rsidRDefault="00AC23B4" w:rsidP="00AC23B4">
      <w:pPr>
        <w:pStyle w:val="Textoindependiente"/>
        <w:spacing w:line="360" w:lineRule="auto"/>
        <w:rPr>
          <w:rFonts w:ascii="Arial" w:hAnsi="Arial"/>
          <w:szCs w:val="24"/>
        </w:rPr>
      </w:pPr>
    </w:p>
    <w:p w:rsidR="00AC23B4" w:rsidRPr="00F9418E" w:rsidRDefault="00AC23B4" w:rsidP="00AC23B4">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AC23B4" w:rsidRDefault="00AC23B4" w:rsidP="00AC23B4">
      <w:pPr>
        <w:pStyle w:val="Textoindependiente"/>
        <w:spacing w:line="360" w:lineRule="auto"/>
        <w:rPr>
          <w:rFonts w:ascii="Arial" w:hAnsi="Arial"/>
          <w:szCs w:val="24"/>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AC23B4" w:rsidRDefault="00AC23B4" w:rsidP="00AC23B4">
      <w:pPr>
        <w:pStyle w:val="Textoindependiente"/>
        <w:spacing w:line="360" w:lineRule="auto"/>
        <w:rPr>
          <w:rFonts w:ascii="Arial" w:hAnsi="Arial" w:cs="Arial"/>
          <w:szCs w:val="24"/>
        </w:rPr>
      </w:pPr>
    </w:p>
    <w:p w:rsidR="00AC23B4" w:rsidRDefault="00AC23B4" w:rsidP="00AC23B4">
      <w:pPr>
        <w:spacing w:line="360" w:lineRule="auto"/>
        <w:jc w:val="both"/>
        <w:rPr>
          <w:rFonts w:ascii="Arial" w:hAnsi="Arial" w:cs="Arial"/>
        </w:rPr>
      </w:pPr>
      <w:r>
        <w:rPr>
          <w:rFonts w:ascii="Arial" w:hAnsi="Arial" w:cs="Arial"/>
        </w:rPr>
        <w:t xml:space="preserve">Informó la accionante </w:t>
      </w:r>
      <w:r w:rsidRPr="00AF753A">
        <w:rPr>
          <w:rFonts w:ascii="Arial" w:hAnsi="Arial" w:cs="Arial"/>
        </w:rPr>
        <w:t>que</w:t>
      </w:r>
      <w:r>
        <w:rPr>
          <w:rFonts w:ascii="Arial" w:hAnsi="Arial" w:cs="Arial"/>
        </w:rPr>
        <w:t xml:space="preserve"> </w:t>
      </w:r>
      <w:r w:rsidR="008A46AE">
        <w:rPr>
          <w:rFonts w:ascii="Arial" w:hAnsi="Arial" w:cs="Arial"/>
        </w:rPr>
        <w:t xml:space="preserve">sigue un proceso ejecutivo por alimentos </w:t>
      </w:r>
      <w:r>
        <w:rPr>
          <w:rFonts w:ascii="Arial" w:hAnsi="Arial" w:cs="Arial"/>
        </w:rPr>
        <w:t>a</w:t>
      </w:r>
      <w:r w:rsidR="008A46AE">
        <w:rPr>
          <w:rFonts w:ascii="Arial" w:hAnsi="Arial" w:cs="Arial"/>
        </w:rPr>
        <w:t>nte e</w:t>
      </w:r>
      <w:r>
        <w:rPr>
          <w:rFonts w:ascii="Arial" w:hAnsi="Arial" w:cs="Arial"/>
        </w:rPr>
        <w:t xml:space="preserve">l accionado </w:t>
      </w:r>
      <w:r w:rsidR="00112F6F">
        <w:rPr>
          <w:rFonts w:ascii="Arial" w:hAnsi="Arial" w:cs="Arial"/>
        </w:rPr>
        <w:t>y presentó una petición el 05-04-</w:t>
      </w:r>
      <w:r>
        <w:rPr>
          <w:rFonts w:ascii="Arial" w:hAnsi="Arial" w:cs="Arial"/>
        </w:rPr>
        <w:t>2016</w:t>
      </w:r>
      <w:r w:rsidR="00112F6F">
        <w:rPr>
          <w:rFonts w:ascii="Arial" w:hAnsi="Arial" w:cs="Arial"/>
        </w:rPr>
        <w:t xml:space="preserve">, la que a la </w:t>
      </w:r>
      <w:r>
        <w:rPr>
          <w:rFonts w:ascii="Arial" w:hAnsi="Arial" w:cs="Arial"/>
        </w:rPr>
        <w:t>fecha de instaurada la acción no ha sido resuelt</w:t>
      </w:r>
      <w:r w:rsidR="00112F6F">
        <w:rPr>
          <w:rFonts w:ascii="Arial" w:hAnsi="Arial" w:cs="Arial"/>
        </w:rPr>
        <w:t xml:space="preserve">a. </w:t>
      </w:r>
      <w:r w:rsidR="00112F6F" w:rsidRPr="00E2771E">
        <w:rPr>
          <w:rFonts w:ascii="Arial" w:hAnsi="Arial" w:cs="Arial"/>
        </w:rPr>
        <w:t>Indicó que le han sugerido que consiga abogado para que la asista y así comprenda el trámite que se ha dado a la petición</w:t>
      </w:r>
      <w:r>
        <w:rPr>
          <w:rFonts w:ascii="Arial" w:hAnsi="Arial" w:cs="Arial"/>
        </w:rPr>
        <w:t xml:space="preserve"> </w:t>
      </w:r>
      <w:r w:rsidRPr="00AF753A">
        <w:rPr>
          <w:rFonts w:ascii="Arial" w:hAnsi="Arial" w:cs="Arial"/>
        </w:rPr>
        <w:t>(Folio</w:t>
      </w:r>
      <w:r w:rsidR="00112F6F">
        <w:rPr>
          <w:rFonts w:ascii="Arial" w:hAnsi="Arial" w:cs="Arial"/>
        </w:rPr>
        <w:t xml:space="preserve"> </w:t>
      </w:r>
      <w:r>
        <w:rPr>
          <w:rFonts w:ascii="Arial" w:hAnsi="Arial" w:cs="Arial"/>
        </w:rPr>
        <w:t>1</w:t>
      </w:r>
      <w:r w:rsidRPr="00AF753A">
        <w:rPr>
          <w:rFonts w:ascii="Arial" w:hAnsi="Arial" w:cs="Arial"/>
        </w:rPr>
        <w:t xml:space="preserve">, </w:t>
      </w:r>
      <w:r>
        <w:rPr>
          <w:rFonts w:ascii="Arial" w:hAnsi="Arial" w:cs="Arial"/>
        </w:rPr>
        <w:t>cuaderno No.1)</w:t>
      </w:r>
      <w:r w:rsidRPr="00AF753A">
        <w:rPr>
          <w:rFonts w:ascii="Arial" w:hAnsi="Arial" w:cs="Arial"/>
        </w:rPr>
        <w:t xml:space="preserve">. </w:t>
      </w:r>
    </w:p>
    <w:p w:rsidR="00AC23B4" w:rsidRPr="000C134E" w:rsidRDefault="00AC23B4" w:rsidP="00AC23B4">
      <w:pPr>
        <w:pStyle w:val="Textoindependiente"/>
        <w:spacing w:line="360" w:lineRule="auto"/>
        <w:rPr>
          <w:rFonts w:ascii="Arial" w:hAnsi="Arial"/>
          <w:szCs w:val="24"/>
          <w:lang w:val="es-ES"/>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 xml:space="preserve">LOS DERECHOS </w:t>
      </w:r>
      <w:r>
        <w:rPr>
          <w:rFonts w:ascii="Arial" w:hAnsi="Arial"/>
          <w:szCs w:val="24"/>
        </w:rPr>
        <w:t>INVOCADOS</w:t>
      </w: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Considera la parte actora que se le vulnera el derecho de petición</w:t>
      </w:r>
      <w:r w:rsidR="00112F6F">
        <w:rPr>
          <w:rFonts w:ascii="Arial" w:hAnsi="Arial" w:cs="Arial"/>
          <w:spacing w:val="-3"/>
          <w:lang w:val="es-ES_tradnl"/>
        </w:rPr>
        <w:t xml:space="preserve"> y el debido proceso</w:t>
      </w:r>
      <w:r>
        <w:rPr>
          <w:rFonts w:ascii="Arial" w:hAnsi="Arial" w:cs="Arial"/>
          <w:spacing w:val="-3"/>
          <w:lang w:val="es-ES_tradnl"/>
        </w:rPr>
        <w:t xml:space="preserve"> </w:t>
      </w:r>
      <w:r>
        <w:rPr>
          <w:rFonts w:ascii="Arial" w:hAnsi="Arial" w:cs="Arial"/>
        </w:rPr>
        <w:t xml:space="preserve">(Folio </w:t>
      </w:r>
      <w:r w:rsidR="00112F6F">
        <w:rPr>
          <w:rFonts w:ascii="Arial" w:hAnsi="Arial" w:cs="Arial"/>
        </w:rPr>
        <w:t>1</w:t>
      </w:r>
      <w:r>
        <w:rPr>
          <w:rFonts w:ascii="Arial" w:hAnsi="Arial" w:cs="Arial"/>
        </w:rPr>
        <w:t xml:space="preserve">, </w:t>
      </w:r>
      <w:r w:rsidR="00252844">
        <w:rPr>
          <w:rFonts w:ascii="Arial" w:hAnsi="Arial" w:cs="Arial"/>
        </w:rPr>
        <w:t xml:space="preserve">vuelto, </w:t>
      </w:r>
      <w:r>
        <w:rPr>
          <w:rFonts w:ascii="Arial" w:hAnsi="Arial" w:cs="Arial"/>
        </w:rPr>
        <w:t>cuaderno No.1)</w:t>
      </w:r>
      <w:r>
        <w:rPr>
          <w:rFonts w:ascii="Arial" w:hAnsi="Arial" w:cs="Arial"/>
          <w:spacing w:val="-3"/>
          <w:lang w:val="es-ES_tradnl"/>
        </w:rPr>
        <w:t xml:space="preserve">. </w:t>
      </w:r>
    </w:p>
    <w:p w:rsidR="00AC23B4" w:rsidRPr="00112F6F"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ES_tradnl"/>
        </w:rPr>
      </w:pPr>
    </w:p>
    <w:p w:rsidR="00AC23B4" w:rsidRDefault="00AC23B4" w:rsidP="00AC23B4">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AC23B4" w:rsidRPr="00C37681" w:rsidRDefault="00AC23B4" w:rsidP="00AC23B4">
      <w:pPr>
        <w:pStyle w:val="Textoindependiente"/>
        <w:spacing w:line="360" w:lineRule="auto"/>
        <w:ind w:left="360"/>
        <w:rPr>
          <w:rFonts w:ascii="Arial" w:hAnsi="Arial"/>
          <w:szCs w:val="24"/>
        </w:rPr>
      </w:pPr>
    </w:p>
    <w:p w:rsidR="00AC23B4" w:rsidRDefault="00AC23B4" w:rsidP="00AC23B4">
      <w:pPr>
        <w:pStyle w:val="Sinespaciado"/>
        <w:spacing w:line="360" w:lineRule="auto"/>
        <w:jc w:val="both"/>
        <w:rPr>
          <w:rFonts w:ascii="Arial" w:hAnsi="Arial" w:cs="Arial"/>
          <w:szCs w:val="24"/>
        </w:rPr>
      </w:pPr>
      <w:r>
        <w:rPr>
          <w:rFonts w:ascii="Arial" w:hAnsi="Arial" w:cs="Arial"/>
          <w:szCs w:val="24"/>
        </w:rPr>
        <w:t>Solicitó</w:t>
      </w:r>
      <w:r w:rsidR="00252844">
        <w:rPr>
          <w:rFonts w:ascii="Arial" w:hAnsi="Arial" w:cs="Arial"/>
          <w:szCs w:val="24"/>
        </w:rPr>
        <w:t xml:space="preserve"> que se</w:t>
      </w:r>
      <w:r>
        <w:rPr>
          <w:rFonts w:ascii="Arial" w:hAnsi="Arial" w:cs="Arial"/>
          <w:szCs w:val="24"/>
        </w:rPr>
        <w:t xml:space="preserve"> le ordene al accionado dar respuesta a</w:t>
      </w:r>
      <w:r w:rsidR="00252844">
        <w:rPr>
          <w:rFonts w:ascii="Arial" w:hAnsi="Arial" w:cs="Arial"/>
          <w:szCs w:val="24"/>
        </w:rPr>
        <w:t xml:space="preserve"> </w:t>
      </w:r>
      <w:r>
        <w:rPr>
          <w:rFonts w:ascii="Arial" w:hAnsi="Arial" w:cs="Arial"/>
          <w:szCs w:val="24"/>
        </w:rPr>
        <w:t>l</w:t>
      </w:r>
      <w:r w:rsidR="00252844">
        <w:rPr>
          <w:rFonts w:ascii="Arial" w:hAnsi="Arial" w:cs="Arial"/>
          <w:szCs w:val="24"/>
        </w:rPr>
        <w:t>a</w:t>
      </w:r>
      <w:r>
        <w:rPr>
          <w:rFonts w:ascii="Arial" w:hAnsi="Arial" w:cs="Arial"/>
          <w:szCs w:val="24"/>
        </w:rPr>
        <w:t xml:space="preserve"> petición (Folio </w:t>
      </w:r>
      <w:r w:rsidR="00252844">
        <w:rPr>
          <w:rFonts w:ascii="Arial" w:hAnsi="Arial" w:cs="Arial"/>
          <w:szCs w:val="24"/>
        </w:rPr>
        <w:t>1</w:t>
      </w:r>
      <w:r>
        <w:rPr>
          <w:rFonts w:ascii="Arial" w:hAnsi="Arial" w:cs="Arial"/>
          <w:szCs w:val="24"/>
        </w:rPr>
        <w:t>,</w:t>
      </w:r>
      <w:r w:rsidR="00252844">
        <w:rPr>
          <w:rFonts w:ascii="Arial" w:hAnsi="Arial" w:cs="Arial"/>
          <w:szCs w:val="24"/>
        </w:rPr>
        <w:t xml:space="preserve"> vuelto,</w:t>
      </w:r>
      <w:r>
        <w:rPr>
          <w:rFonts w:ascii="Arial" w:hAnsi="Arial" w:cs="Arial"/>
          <w:szCs w:val="24"/>
        </w:rPr>
        <w:t xml:space="preserve"> </w:t>
      </w:r>
      <w:r>
        <w:rPr>
          <w:rFonts w:ascii="Arial" w:hAnsi="Arial" w:cs="Arial"/>
        </w:rPr>
        <w:t>cuaderno No.1</w:t>
      </w:r>
      <w:r>
        <w:rPr>
          <w:rFonts w:ascii="Arial" w:hAnsi="Arial" w:cs="Arial"/>
          <w:szCs w:val="24"/>
        </w:rPr>
        <w:t>).</w:t>
      </w:r>
    </w:p>
    <w:p w:rsidR="00AC23B4" w:rsidRDefault="00AC23B4" w:rsidP="00AC23B4">
      <w:pPr>
        <w:pStyle w:val="Sinespaciado"/>
        <w:spacing w:line="360" w:lineRule="auto"/>
        <w:jc w:val="both"/>
        <w:rPr>
          <w:rFonts w:ascii="Arial" w:hAnsi="Arial" w:cs="Arial"/>
          <w:szCs w:val="24"/>
        </w:rPr>
      </w:pPr>
    </w:p>
    <w:p w:rsidR="00AC23B4" w:rsidRPr="00704D44" w:rsidRDefault="00AC23B4" w:rsidP="00252844">
      <w:pPr>
        <w:pStyle w:val="Textoindependiente"/>
        <w:numPr>
          <w:ilvl w:val="0"/>
          <w:numId w:val="1"/>
        </w:numPr>
        <w:spacing w:line="360" w:lineRule="auto"/>
        <w:rPr>
          <w:rFonts w:ascii="Arial" w:hAnsi="Arial"/>
          <w:szCs w:val="24"/>
        </w:rPr>
      </w:pPr>
      <w:r w:rsidRPr="00252844">
        <w:rPr>
          <w:rFonts w:ascii="Arial" w:hAnsi="Arial"/>
          <w:szCs w:val="24"/>
        </w:rPr>
        <w:lastRenderedPageBreak/>
        <w:t xml:space="preserve"> </w:t>
      </w:r>
      <w:r w:rsidRPr="00704D44">
        <w:rPr>
          <w:rFonts w:ascii="Arial" w:hAnsi="Arial"/>
          <w:szCs w:val="24"/>
        </w:rPr>
        <w:t>LA SÍNTESIS DE LA CRÓNICA PROCESAL</w:t>
      </w:r>
    </w:p>
    <w:p w:rsidR="00AC23B4" w:rsidRPr="00704D44" w:rsidRDefault="00AC23B4" w:rsidP="00AC23B4">
      <w:pPr>
        <w:pStyle w:val="Sinespaciado"/>
        <w:tabs>
          <w:tab w:val="left" w:pos="1200"/>
        </w:tabs>
        <w:spacing w:line="360" w:lineRule="auto"/>
        <w:jc w:val="both"/>
        <w:rPr>
          <w:rFonts w:ascii="Arial" w:hAnsi="Arial"/>
          <w:szCs w:val="24"/>
        </w:rPr>
      </w:pPr>
    </w:p>
    <w:p w:rsidR="00AC23B4" w:rsidRDefault="00AC23B4" w:rsidP="00AC23B4">
      <w:pPr>
        <w:spacing w:line="360" w:lineRule="auto"/>
        <w:jc w:val="both"/>
        <w:rPr>
          <w:rFonts w:ascii="Arial" w:hAnsi="Arial"/>
        </w:rPr>
      </w:pPr>
      <w:r w:rsidRPr="008E5A62">
        <w:rPr>
          <w:rFonts w:ascii="Arial" w:hAnsi="Arial"/>
        </w:rPr>
        <w:t xml:space="preserve">En reparto ordinario del día </w:t>
      </w:r>
      <w:r w:rsidR="00252844">
        <w:rPr>
          <w:rFonts w:ascii="Arial" w:hAnsi="Arial"/>
        </w:rPr>
        <w:t>07-07</w:t>
      </w:r>
      <w:r>
        <w:rPr>
          <w:rFonts w:ascii="Arial" w:hAnsi="Arial"/>
        </w:rPr>
        <w:t xml:space="preserve">-2016 </w:t>
      </w:r>
      <w:r w:rsidRPr="008E5A62">
        <w:rPr>
          <w:rFonts w:ascii="Arial" w:hAnsi="Arial"/>
        </w:rPr>
        <w:t xml:space="preserve">correspondió a este Despacho, con providencia </w:t>
      </w:r>
      <w:r w:rsidR="00252844">
        <w:rPr>
          <w:rFonts w:ascii="Arial" w:hAnsi="Arial"/>
        </w:rPr>
        <w:t xml:space="preserve">del 08-07-2016 </w:t>
      </w:r>
      <w:r w:rsidRPr="008E5A62">
        <w:rPr>
          <w:rFonts w:ascii="Arial" w:hAnsi="Arial"/>
        </w:rPr>
        <w:t>se admitió</w:t>
      </w:r>
      <w:r w:rsidR="00D963BD">
        <w:rPr>
          <w:rFonts w:ascii="Arial" w:hAnsi="Arial"/>
        </w:rPr>
        <w:t xml:space="preserve">, se ordenó la vinculación de quienes se estimó pertinente </w:t>
      </w:r>
      <w:r w:rsidRPr="008E5A62">
        <w:rPr>
          <w:rFonts w:ascii="Arial" w:hAnsi="Arial"/>
        </w:rPr>
        <w:t>y se dispuso notificar a la partes, entre otros ordenamientos (Folio</w:t>
      </w:r>
      <w:r w:rsidR="00252844">
        <w:rPr>
          <w:rFonts w:ascii="Arial" w:hAnsi="Arial"/>
        </w:rPr>
        <w:t xml:space="preserve"> 7</w:t>
      </w:r>
      <w:r w:rsidRPr="008E5A62">
        <w:rPr>
          <w:rFonts w:ascii="Arial" w:hAnsi="Arial"/>
        </w:rPr>
        <w:t xml:space="preserve">, </w:t>
      </w:r>
      <w:r w:rsidR="00252844">
        <w:rPr>
          <w:rFonts w:ascii="Arial" w:hAnsi="Arial"/>
        </w:rPr>
        <w:t>ibídem</w:t>
      </w:r>
      <w:r w:rsidRPr="008E5A62">
        <w:rPr>
          <w:rFonts w:ascii="Arial" w:hAnsi="Arial"/>
        </w:rPr>
        <w:t xml:space="preserve">). Fueron debidamente </w:t>
      </w:r>
      <w:r>
        <w:rPr>
          <w:rFonts w:ascii="Arial" w:hAnsi="Arial"/>
        </w:rPr>
        <w:t xml:space="preserve">enterados </w:t>
      </w:r>
      <w:r w:rsidRPr="008E5A62">
        <w:rPr>
          <w:rFonts w:ascii="Arial" w:hAnsi="Arial"/>
        </w:rPr>
        <w:t>lo</w:t>
      </w:r>
      <w:r w:rsidR="00252844">
        <w:rPr>
          <w:rFonts w:ascii="Arial" w:hAnsi="Arial"/>
        </w:rPr>
        <w:t>s extremos de la acción (Folios 8 a 10</w:t>
      </w:r>
      <w:r>
        <w:rPr>
          <w:rFonts w:ascii="Arial" w:hAnsi="Arial"/>
        </w:rPr>
        <w:t>,</w:t>
      </w:r>
      <w:r w:rsidRPr="008E5A62">
        <w:rPr>
          <w:rFonts w:ascii="Arial" w:hAnsi="Arial"/>
        </w:rPr>
        <w:t xml:space="preserve"> </w:t>
      </w:r>
      <w:r w:rsidR="00252844">
        <w:rPr>
          <w:rFonts w:ascii="Arial" w:hAnsi="Arial"/>
        </w:rPr>
        <w:t>ibídem</w:t>
      </w:r>
      <w:r w:rsidRPr="008E5A62">
        <w:rPr>
          <w:rFonts w:ascii="Arial" w:hAnsi="Arial"/>
        </w:rPr>
        <w:t xml:space="preserve">). </w:t>
      </w:r>
      <w:r w:rsidRPr="00301231">
        <w:rPr>
          <w:rFonts w:ascii="Arial" w:hAnsi="Arial"/>
        </w:rPr>
        <w:t>Contest</w:t>
      </w:r>
      <w:r>
        <w:rPr>
          <w:rFonts w:ascii="Arial" w:hAnsi="Arial"/>
        </w:rPr>
        <w:t>ó el accionado</w:t>
      </w:r>
      <w:r w:rsidRPr="003B6DD2">
        <w:rPr>
          <w:rFonts w:ascii="Arial" w:hAnsi="Arial"/>
        </w:rPr>
        <w:t xml:space="preserve"> (Folio </w:t>
      </w:r>
      <w:r w:rsidR="00252844">
        <w:rPr>
          <w:rFonts w:ascii="Arial" w:hAnsi="Arial"/>
        </w:rPr>
        <w:t>11 a 23</w:t>
      </w:r>
      <w:r>
        <w:rPr>
          <w:rFonts w:ascii="Arial" w:hAnsi="Arial"/>
        </w:rPr>
        <w:t>,</w:t>
      </w:r>
      <w:r w:rsidRPr="003B6DD2">
        <w:rPr>
          <w:rFonts w:ascii="Arial" w:hAnsi="Arial"/>
        </w:rPr>
        <w:t xml:space="preserve"> </w:t>
      </w:r>
      <w:r w:rsidR="00252844">
        <w:rPr>
          <w:rFonts w:ascii="Arial" w:hAnsi="Arial"/>
        </w:rPr>
        <w:t>ibídem</w:t>
      </w:r>
      <w:r w:rsidRPr="003B6DD2">
        <w:rPr>
          <w:rFonts w:ascii="Arial" w:hAnsi="Arial"/>
        </w:rPr>
        <w:t>)</w:t>
      </w:r>
      <w:r>
        <w:rPr>
          <w:rFonts w:ascii="Arial" w:hAnsi="Arial"/>
        </w:rPr>
        <w:t>.</w:t>
      </w:r>
    </w:p>
    <w:p w:rsidR="00AC23B4" w:rsidRDefault="00AC23B4" w:rsidP="00AC23B4">
      <w:pPr>
        <w:spacing w:line="360" w:lineRule="auto"/>
        <w:jc w:val="both"/>
        <w:rPr>
          <w:rFonts w:ascii="Arial" w:hAnsi="Arial"/>
        </w:rPr>
      </w:pPr>
    </w:p>
    <w:p w:rsidR="00AC23B4" w:rsidRDefault="00AC23B4" w:rsidP="00AC23B4">
      <w:pPr>
        <w:numPr>
          <w:ilvl w:val="0"/>
          <w:numId w:val="18"/>
        </w:numPr>
        <w:spacing w:line="360" w:lineRule="auto"/>
        <w:jc w:val="both"/>
        <w:rPr>
          <w:rFonts w:ascii="Arial" w:hAnsi="Arial"/>
        </w:rPr>
      </w:pPr>
      <w:r>
        <w:rPr>
          <w:rFonts w:ascii="Arial" w:hAnsi="Arial"/>
        </w:rPr>
        <w:t>LA SINOPSIS DE LA RESPUESTA</w:t>
      </w:r>
    </w:p>
    <w:p w:rsidR="00AC23B4" w:rsidRDefault="00AC23B4" w:rsidP="00AC23B4">
      <w:pPr>
        <w:spacing w:line="360" w:lineRule="auto"/>
        <w:jc w:val="both"/>
        <w:rPr>
          <w:rFonts w:ascii="Arial" w:hAnsi="Arial"/>
        </w:rPr>
      </w:pPr>
    </w:p>
    <w:p w:rsidR="00997AAF" w:rsidRDefault="00AC23B4" w:rsidP="00AC23B4">
      <w:pPr>
        <w:spacing w:line="360" w:lineRule="auto"/>
        <w:jc w:val="both"/>
        <w:rPr>
          <w:rFonts w:ascii="Arial" w:hAnsi="Arial"/>
        </w:rPr>
      </w:pPr>
      <w:r>
        <w:rPr>
          <w:rFonts w:ascii="Arial" w:hAnsi="Arial"/>
        </w:rPr>
        <w:t xml:space="preserve">Informó que con </w:t>
      </w:r>
      <w:r w:rsidR="00252844">
        <w:rPr>
          <w:rFonts w:ascii="Arial" w:hAnsi="Arial"/>
        </w:rPr>
        <w:t>proveído del 27-05-2016 resolvió la petición presentada por la actora el 05-04-2016, se dispuso requerir al pagador del ejecutado para que informará sobre el cumplimiento de la orden de embargo</w:t>
      </w:r>
      <w:r w:rsidR="00997AAF">
        <w:rPr>
          <w:rFonts w:ascii="Arial" w:hAnsi="Arial"/>
        </w:rPr>
        <w:t xml:space="preserve"> y este respondió con oficio allegado el 24-06-2016. </w:t>
      </w:r>
    </w:p>
    <w:p w:rsidR="00997AAF" w:rsidRDefault="00997AAF" w:rsidP="00AC23B4">
      <w:pPr>
        <w:spacing w:line="360" w:lineRule="auto"/>
        <w:jc w:val="both"/>
        <w:rPr>
          <w:rFonts w:ascii="Arial" w:hAnsi="Arial"/>
        </w:rPr>
      </w:pPr>
    </w:p>
    <w:p w:rsidR="00AC23B4" w:rsidRDefault="00997AAF" w:rsidP="00AC23B4">
      <w:pPr>
        <w:spacing w:line="360" w:lineRule="auto"/>
        <w:jc w:val="both"/>
        <w:rPr>
          <w:rFonts w:ascii="Arial" w:hAnsi="Arial"/>
        </w:rPr>
      </w:pPr>
      <w:r>
        <w:rPr>
          <w:rFonts w:ascii="Arial" w:hAnsi="Arial"/>
        </w:rPr>
        <w:t>Comentó que la actora presentó otras dos solicitudes (25-11-2015 y 15-01-2015) que fueron resueltas con auto del 26-01-2016 y que como consecuencia de ellas, los dineros descontados al ejecutado son consignados en cuenta a nombre de</w:t>
      </w:r>
      <w:r w:rsidR="00AD1386">
        <w:rPr>
          <w:rFonts w:ascii="Arial" w:hAnsi="Arial"/>
        </w:rPr>
        <w:t xml:space="preserve"> </w:t>
      </w:r>
      <w:r>
        <w:rPr>
          <w:rFonts w:ascii="Arial" w:hAnsi="Arial"/>
        </w:rPr>
        <w:t>l</w:t>
      </w:r>
      <w:r w:rsidR="00AD1386">
        <w:rPr>
          <w:rFonts w:ascii="Arial" w:hAnsi="Arial"/>
        </w:rPr>
        <w:t>a</w:t>
      </w:r>
      <w:r>
        <w:rPr>
          <w:rFonts w:ascii="Arial" w:hAnsi="Arial"/>
        </w:rPr>
        <w:t xml:space="preserve"> accionante, según informó el pagador. Finalmente indi</w:t>
      </w:r>
      <w:r w:rsidR="00AD1386">
        <w:rPr>
          <w:rFonts w:ascii="Arial" w:hAnsi="Arial"/>
        </w:rPr>
        <w:t xml:space="preserve">có que la señora Adriana </w:t>
      </w:r>
      <w:proofErr w:type="spellStart"/>
      <w:r w:rsidR="00AD1386">
        <w:rPr>
          <w:rFonts w:ascii="Arial" w:hAnsi="Arial"/>
        </w:rPr>
        <w:t>Sulay</w:t>
      </w:r>
      <w:proofErr w:type="spellEnd"/>
      <w:r w:rsidR="00AD1386">
        <w:rPr>
          <w:rFonts w:ascii="Arial" w:hAnsi="Arial"/>
        </w:rPr>
        <w:t xml:space="preserve"> e</w:t>
      </w:r>
      <w:r>
        <w:rPr>
          <w:rFonts w:ascii="Arial" w:hAnsi="Arial"/>
        </w:rPr>
        <w:t>st</w:t>
      </w:r>
      <w:r w:rsidR="00AD1386">
        <w:rPr>
          <w:rFonts w:ascii="Arial" w:hAnsi="Arial"/>
        </w:rPr>
        <w:t>á</w:t>
      </w:r>
      <w:r>
        <w:rPr>
          <w:rFonts w:ascii="Arial" w:hAnsi="Arial"/>
        </w:rPr>
        <w:t xml:space="preserve"> asistida </w:t>
      </w:r>
      <w:r w:rsidR="00AD1386">
        <w:rPr>
          <w:rFonts w:ascii="Arial" w:hAnsi="Arial"/>
        </w:rPr>
        <w:t xml:space="preserve">por </w:t>
      </w:r>
      <w:r>
        <w:rPr>
          <w:rFonts w:ascii="Arial" w:hAnsi="Arial"/>
        </w:rPr>
        <w:t xml:space="preserve">abogado en el proceso ejecutivo </w:t>
      </w:r>
      <w:r w:rsidR="00AC23B4">
        <w:rPr>
          <w:rFonts w:ascii="Arial" w:hAnsi="Arial"/>
        </w:rPr>
        <w:t xml:space="preserve">(Folio </w:t>
      </w:r>
      <w:r>
        <w:rPr>
          <w:rFonts w:ascii="Arial" w:hAnsi="Arial"/>
        </w:rPr>
        <w:t>11</w:t>
      </w:r>
      <w:r w:rsidR="00AC23B4">
        <w:rPr>
          <w:rFonts w:ascii="Arial" w:hAnsi="Arial"/>
        </w:rPr>
        <w:t>, ib</w:t>
      </w:r>
      <w:r w:rsidR="00DB3F41">
        <w:rPr>
          <w:rFonts w:ascii="Arial" w:hAnsi="Arial"/>
        </w:rPr>
        <w:t>.)</w:t>
      </w:r>
      <w:r w:rsidR="00AC23B4">
        <w:rPr>
          <w:rFonts w:ascii="Arial" w:hAnsi="Arial"/>
        </w:rPr>
        <w:t>.</w:t>
      </w:r>
    </w:p>
    <w:p w:rsidR="00AC23B4" w:rsidRDefault="00AC23B4" w:rsidP="00AC23B4">
      <w:pPr>
        <w:spacing w:line="360" w:lineRule="auto"/>
        <w:jc w:val="both"/>
        <w:rPr>
          <w:rFonts w:ascii="Arial" w:hAnsi="Arial"/>
        </w:rPr>
      </w:pPr>
    </w:p>
    <w:p w:rsidR="00AC23B4" w:rsidRDefault="00AC23B4" w:rsidP="00AC23B4">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23B4" w:rsidRPr="006F4450" w:rsidRDefault="00AC23B4" w:rsidP="00AC23B4">
      <w:pPr>
        <w:pStyle w:val="Textoindependiente"/>
        <w:spacing w:line="360" w:lineRule="auto"/>
        <w:ind w:left="400"/>
        <w:rPr>
          <w:rFonts w:ascii="Arial" w:hAnsi="Arial"/>
          <w:szCs w:val="24"/>
        </w:rPr>
      </w:pPr>
    </w:p>
    <w:p w:rsidR="00AC23B4" w:rsidRDefault="00AC23B4" w:rsidP="00AC23B4">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C23B4" w:rsidRDefault="00AC23B4" w:rsidP="00AC23B4">
      <w:pPr>
        <w:pStyle w:val="Textoindependiente"/>
        <w:tabs>
          <w:tab w:val="clear" w:pos="708"/>
          <w:tab w:val="left" w:pos="709"/>
        </w:tabs>
        <w:spacing w:line="360" w:lineRule="auto"/>
        <w:ind w:left="720"/>
        <w:rPr>
          <w:rFonts w:ascii="Arial" w:hAnsi="Arial"/>
          <w:szCs w:val="24"/>
        </w:rPr>
      </w:pPr>
    </w:p>
    <w:p w:rsidR="00AC23B4" w:rsidRDefault="00AC23B4" w:rsidP="00AC23B4">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DB3F41">
        <w:rPr>
          <w:rFonts w:ascii="Arial" w:hAnsi="Arial" w:cs="Arial"/>
          <w:sz w:val="24"/>
          <w:szCs w:val="24"/>
        </w:rPr>
        <w:t xml:space="preserve">Cuarto de Familia </w:t>
      </w:r>
      <w:r>
        <w:rPr>
          <w:rFonts w:ascii="Arial" w:hAnsi="Arial" w:cs="Arial"/>
          <w:sz w:val="24"/>
          <w:szCs w:val="24"/>
        </w:rPr>
        <w:t xml:space="preserve">de Pereira </w:t>
      </w:r>
      <w:r w:rsidRPr="004A1A69">
        <w:rPr>
          <w:rFonts w:ascii="Arial" w:hAnsi="Arial" w:cs="Arial"/>
          <w:sz w:val="24"/>
          <w:szCs w:val="24"/>
        </w:rPr>
        <w:t>(Artículos 86 de la CP</w:t>
      </w:r>
      <w:r>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AC23B4" w:rsidRDefault="00AC23B4" w:rsidP="00AC23B4">
      <w:pPr>
        <w:pStyle w:val="Sangra2detindependiente"/>
        <w:spacing w:after="0" w:line="360" w:lineRule="auto"/>
        <w:ind w:left="0"/>
        <w:jc w:val="both"/>
        <w:rPr>
          <w:rFonts w:ascii="Arial" w:hAnsi="Arial" w:cs="Arial"/>
          <w:sz w:val="24"/>
          <w:szCs w:val="24"/>
        </w:rPr>
      </w:pPr>
    </w:p>
    <w:p w:rsidR="00AC23B4" w:rsidRPr="00DF74B6" w:rsidRDefault="00AC23B4" w:rsidP="00AC23B4">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AC23B4" w:rsidRDefault="00AC23B4" w:rsidP="00AC23B4">
      <w:pPr>
        <w:pStyle w:val="Textoindependiente"/>
        <w:spacing w:line="360" w:lineRule="auto"/>
        <w:rPr>
          <w:rFonts w:ascii="Arial" w:hAnsi="Arial" w:cs="Arial"/>
          <w:szCs w:val="24"/>
        </w:rPr>
      </w:pPr>
    </w:p>
    <w:p w:rsidR="00AC23B4" w:rsidRDefault="00AC23B4" w:rsidP="00AC23B4">
      <w:pPr>
        <w:pStyle w:val="Textoindependiente"/>
        <w:spacing w:line="360" w:lineRule="auto"/>
        <w:rPr>
          <w:rFonts w:ascii="Arial" w:hAnsi="Arial" w:cs="Arial"/>
          <w:szCs w:val="24"/>
        </w:rPr>
      </w:pPr>
      <w:r w:rsidRPr="00021E04">
        <w:rPr>
          <w:rFonts w:ascii="Arial" w:hAnsi="Arial" w:cs="Arial"/>
          <w:szCs w:val="24"/>
        </w:rPr>
        <w:t xml:space="preserve">Por activa se cumple en consideración </w:t>
      </w:r>
      <w:r>
        <w:rPr>
          <w:rFonts w:ascii="Arial" w:hAnsi="Arial" w:cs="Arial"/>
          <w:szCs w:val="24"/>
        </w:rPr>
        <w:t xml:space="preserve">a que </w:t>
      </w:r>
      <w:r w:rsidR="00DB3F41">
        <w:rPr>
          <w:rFonts w:ascii="Arial" w:hAnsi="Arial" w:cs="Arial"/>
          <w:szCs w:val="24"/>
        </w:rPr>
        <w:t xml:space="preserve">la accionante es la actora en el proceso y </w:t>
      </w:r>
      <w:r>
        <w:rPr>
          <w:rFonts w:ascii="Arial" w:hAnsi="Arial" w:cs="Arial"/>
          <w:szCs w:val="24"/>
        </w:rPr>
        <w:t xml:space="preserve">suscribió el derecho de petición </w:t>
      </w:r>
      <w:r w:rsidRPr="00021E04">
        <w:rPr>
          <w:rFonts w:ascii="Arial" w:hAnsi="Arial" w:cs="Arial"/>
          <w:szCs w:val="24"/>
        </w:rPr>
        <w:t>(Artículo 86</w:t>
      </w:r>
      <w:r>
        <w:rPr>
          <w:rFonts w:ascii="Arial" w:hAnsi="Arial" w:cs="Arial"/>
          <w:szCs w:val="24"/>
        </w:rPr>
        <w:t xml:space="preserve">, </w:t>
      </w:r>
      <w:r w:rsidRPr="00021E04">
        <w:rPr>
          <w:rFonts w:ascii="Arial" w:hAnsi="Arial" w:cs="Arial"/>
          <w:szCs w:val="24"/>
        </w:rPr>
        <w:t>CP, y 1</w:t>
      </w:r>
      <w:r>
        <w:rPr>
          <w:rFonts w:ascii="Arial" w:hAnsi="Arial" w:cs="Arial"/>
          <w:szCs w:val="24"/>
        </w:rPr>
        <w:t>0</w:t>
      </w:r>
      <w:r w:rsidRPr="00021E04">
        <w:rPr>
          <w:rFonts w:ascii="Arial" w:hAnsi="Arial" w:cs="Arial"/>
          <w:szCs w:val="24"/>
        </w:rPr>
        <w:t>º</w:t>
      </w:r>
      <w:r>
        <w:rPr>
          <w:rFonts w:ascii="Arial" w:hAnsi="Arial" w:cs="Arial"/>
          <w:szCs w:val="24"/>
        </w:rPr>
        <w:t xml:space="preserve">, </w:t>
      </w:r>
      <w:r w:rsidRPr="00021E04">
        <w:rPr>
          <w:rFonts w:ascii="Arial" w:hAnsi="Arial" w:cs="Arial"/>
          <w:szCs w:val="24"/>
        </w:rPr>
        <w:t>Decreto 2591 de 1991).</w:t>
      </w:r>
      <w:r>
        <w:rPr>
          <w:rFonts w:ascii="Arial" w:hAnsi="Arial" w:cs="Arial"/>
          <w:szCs w:val="24"/>
        </w:rPr>
        <w:t xml:space="preserve"> </w:t>
      </w:r>
      <w:r w:rsidRPr="003D33C9">
        <w:rPr>
          <w:rFonts w:ascii="Arial" w:hAnsi="Arial" w:cs="Arial"/>
          <w:szCs w:val="24"/>
        </w:rPr>
        <w:t xml:space="preserve">Por pasiva, </w:t>
      </w:r>
      <w:r w:rsidRPr="004A1A69">
        <w:rPr>
          <w:rFonts w:ascii="Arial" w:hAnsi="Arial" w:cs="Arial"/>
          <w:szCs w:val="24"/>
        </w:rPr>
        <w:t xml:space="preserve">el Juzgado </w:t>
      </w:r>
      <w:r w:rsidR="00DB3F41">
        <w:rPr>
          <w:rFonts w:ascii="Arial" w:hAnsi="Arial" w:cs="Arial"/>
          <w:szCs w:val="24"/>
        </w:rPr>
        <w:t>Cuarto de Familia de</w:t>
      </w:r>
      <w:r>
        <w:rPr>
          <w:rFonts w:ascii="Arial" w:hAnsi="Arial" w:cs="Arial"/>
          <w:szCs w:val="24"/>
        </w:rPr>
        <w:t xml:space="preserve"> Pereira</w:t>
      </w:r>
      <w:r w:rsidR="00DB3F41">
        <w:rPr>
          <w:rFonts w:ascii="Arial" w:hAnsi="Arial" w:cs="Arial"/>
        </w:rPr>
        <w:t>, porque es la autoridad que conoce del proceso y ante quien se radicó la solicitud</w:t>
      </w:r>
      <w:r>
        <w:rPr>
          <w:rFonts w:ascii="Arial" w:hAnsi="Arial" w:cs="Arial"/>
        </w:rPr>
        <w:t xml:space="preserve"> (Folio</w:t>
      </w:r>
      <w:r w:rsidR="00DB3F41">
        <w:rPr>
          <w:rFonts w:ascii="Arial" w:hAnsi="Arial" w:cs="Arial"/>
        </w:rPr>
        <w:t>s</w:t>
      </w:r>
      <w:r>
        <w:rPr>
          <w:rFonts w:ascii="Arial" w:hAnsi="Arial" w:cs="Arial"/>
        </w:rPr>
        <w:t xml:space="preserve"> 2</w:t>
      </w:r>
      <w:r w:rsidR="00DB3F41">
        <w:rPr>
          <w:rFonts w:ascii="Arial" w:hAnsi="Arial" w:cs="Arial"/>
        </w:rPr>
        <w:t xml:space="preserve"> y 3</w:t>
      </w:r>
      <w:r>
        <w:rPr>
          <w:rFonts w:ascii="Arial" w:hAnsi="Arial" w:cs="Arial"/>
        </w:rPr>
        <w:t xml:space="preserve">, </w:t>
      </w:r>
      <w:r w:rsidR="00DB3F41">
        <w:rPr>
          <w:rFonts w:ascii="Arial" w:hAnsi="Arial"/>
        </w:rPr>
        <w:t>ib.)</w:t>
      </w:r>
      <w:r>
        <w:rPr>
          <w:rFonts w:ascii="Arial" w:hAnsi="Arial" w:cs="Arial"/>
          <w:szCs w:val="24"/>
        </w:rPr>
        <w:t>.</w:t>
      </w:r>
    </w:p>
    <w:p w:rsidR="00AC23B4" w:rsidRDefault="00AC23B4" w:rsidP="00AC23B4">
      <w:pPr>
        <w:pStyle w:val="Textoindependiente"/>
        <w:spacing w:line="360" w:lineRule="auto"/>
        <w:rPr>
          <w:rFonts w:ascii="Arial" w:hAnsi="Arial" w:cs="Arial"/>
          <w:szCs w:val="24"/>
        </w:rPr>
      </w:pPr>
    </w:p>
    <w:p w:rsidR="00D963BD" w:rsidRDefault="00D963BD" w:rsidP="00D963BD">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AC23B4" w:rsidRDefault="00AC23B4" w:rsidP="00AC23B4">
      <w:pPr>
        <w:pStyle w:val="Textoindependiente"/>
        <w:numPr>
          <w:ilvl w:val="1"/>
          <w:numId w:val="18"/>
        </w:numPr>
        <w:spacing w:line="360" w:lineRule="auto"/>
        <w:rPr>
          <w:rFonts w:ascii="Arial" w:hAnsi="Arial"/>
          <w:szCs w:val="24"/>
        </w:rPr>
      </w:pPr>
      <w:r w:rsidRPr="007975AC">
        <w:rPr>
          <w:rFonts w:ascii="Arial" w:hAnsi="Arial"/>
          <w:szCs w:val="24"/>
        </w:rPr>
        <w:lastRenderedPageBreak/>
        <w:t>El problema jurídico a resolver</w:t>
      </w:r>
    </w:p>
    <w:p w:rsidR="00AC23B4" w:rsidRPr="007975AC" w:rsidRDefault="00AC23B4" w:rsidP="00AC23B4">
      <w:pPr>
        <w:pStyle w:val="Textoindependiente"/>
        <w:spacing w:line="360" w:lineRule="auto"/>
        <w:ind w:left="720"/>
        <w:rPr>
          <w:rFonts w:ascii="Arial" w:hAnsi="Arial"/>
          <w:szCs w:val="24"/>
        </w:rPr>
      </w:pPr>
    </w:p>
    <w:p w:rsidR="00AC23B4" w:rsidRDefault="00AC23B4" w:rsidP="00AC23B4">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Pr>
          <w:rFonts w:ascii="Arial" w:hAnsi="Arial" w:cs="Arial"/>
        </w:rPr>
        <w:t xml:space="preserve">El Juzgado </w:t>
      </w:r>
      <w:r w:rsidR="00DB3F41">
        <w:rPr>
          <w:rFonts w:ascii="Arial" w:hAnsi="Arial" w:cs="Arial"/>
          <w:szCs w:val="24"/>
        </w:rPr>
        <w:t>Cuarto de Familia de Pereira</w:t>
      </w:r>
      <w:r w:rsidRPr="0050145C">
        <w:rPr>
          <w:rFonts w:ascii="Arial" w:hAnsi="Arial"/>
          <w:szCs w:val="24"/>
        </w:rPr>
        <w:t>, viola o amena</w:t>
      </w:r>
      <w:r>
        <w:rPr>
          <w:rFonts w:ascii="Arial" w:hAnsi="Arial"/>
          <w:szCs w:val="24"/>
        </w:rPr>
        <w:t>za</w:t>
      </w:r>
      <w:r w:rsidRPr="0050145C">
        <w:rPr>
          <w:rFonts w:ascii="Arial" w:hAnsi="Arial"/>
          <w:szCs w:val="24"/>
        </w:rPr>
        <w:t xml:space="preserve"> </w:t>
      </w:r>
      <w:r>
        <w:rPr>
          <w:rFonts w:ascii="Arial" w:hAnsi="Arial"/>
          <w:szCs w:val="24"/>
        </w:rPr>
        <w:t>e</w:t>
      </w:r>
      <w:r w:rsidRPr="0050145C">
        <w:rPr>
          <w:rFonts w:ascii="Arial" w:hAnsi="Arial"/>
          <w:szCs w:val="24"/>
        </w:rPr>
        <w:t>l derecho fundamental alegado por la parte accionante, según los hechos expuestos en la petición de tutela</w:t>
      </w:r>
      <w:r w:rsidRPr="0050145C">
        <w:rPr>
          <w:rFonts w:ascii="Arial" w:hAnsi="Arial" w:cs="Arial"/>
          <w:szCs w:val="24"/>
        </w:rPr>
        <w:t>?</w:t>
      </w:r>
    </w:p>
    <w:p w:rsidR="003F420F" w:rsidRDefault="003F420F" w:rsidP="00AC23B4">
      <w:pPr>
        <w:pStyle w:val="Textoindependiente"/>
        <w:tabs>
          <w:tab w:val="clear" w:pos="708"/>
          <w:tab w:val="clear" w:pos="1416"/>
          <w:tab w:val="left" w:pos="709"/>
          <w:tab w:val="left" w:pos="1418"/>
        </w:tabs>
        <w:spacing w:line="360" w:lineRule="auto"/>
        <w:rPr>
          <w:rFonts w:ascii="Arial" w:hAnsi="Arial" w:cs="Arial"/>
          <w:szCs w:val="24"/>
        </w:rPr>
      </w:pPr>
    </w:p>
    <w:p w:rsidR="00AC23B4" w:rsidRDefault="00AC23B4" w:rsidP="00AC23B4">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7.4.</w:t>
      </w:r>
      <w:r>
        <w:rPr>
          <w:rFonts w:ascii="Arial" w:hAnsi="Arial"/>
          <w:szCs w:val="24"/>
        </w:rPr>
        <w:tab/>
      </w:r>
      <w:r w:rsidRPr="00673A42">
        <w:rPr>
          <w:rFonts w:ascii="Arial" w:hAnsi="Arial"/>
          <w:szCs w:val="24"/>
        </w:rPr>
        <w:t>La resolución del problema jurídico</w:t>
      </w:r>
    </w:p>
    <w:p w:rsidR="00AC23B4" w:rsidRDefault="00AC23B4" w:rsidP="00AC23B4">
      <w:pPr>
        <w:pStyle w:val="Textoindependiente"/>
        <w:tabs>
          <w:tab w:val="clear" w:pos="708"/>
          <w:tab w:val="clear" w:pos="1416"/>
          <w:tab w:val="left" w:pos="709"/>
          <w:tab w:val="left" w:pos="1418"/>
        </w:tabs>
        <w:spacing w:line="360" w:lineRule="auto"/>
        <w:rPr>
          <w:rFonts w:ascii="Arial" w:hAnsi="Arial"/>
          <w:szCs w:val="24"/>
        </w:rPr>
      </w:pPr>
    </w:p>
    <w:p w:rsidR="008D71BB" w:rsidRDefault="008D71BB" w:rsidP="008D71BB">
      <w:pPr>
        <w:pStyle w:val="Textoindependiente"/>
        <w:numPr>
          <w:ilvl w:val="2"/>
          <w:numId w:val="26"/>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8D71BB" w:rsidRPr="00C3390C" w:rsidRDefault="008D71BB" w:rsidP="008D71BB">
      <w:pPr>
        <w:pStyle w:val="Sinespaciado"/>
        <w:spacing w:line="360" w:lineRule="auto"/>
        <w:jc w:val="both"/>
        <w:rPr>
          <w:rFonts w:ascii="Arial" w:hAnsi="Arial" w:cs="Arial"/>
          <w:szCs w:val="24"/>
        </w:rPr>
      </w:pPr>
    </w:p>
    <w:p w:rsidR="008D71BB" w:rsidRPr="00C3390C" w:rsidRDefault="008D71BB" w:rsidP="008D71BB">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8D71BB" w:rsidRDefault="008D71BB" w:rsidP="008D71BB">
      <w:pPr>
        <w:pStyle w:val="Sinespaciado"/>
        <w:spacing w:line="360" w:lineRule="auto"/>
        <w:jc w:val="both"/>
        <w:rPr>
          <w:rFonts w:ascii="Arial" w:hAnsi="Arial" w:cs="Arial"/>
          <w:noProof/>
          <w:szCs w:val="24"/>
        </w:rPr>
      </w:pPr>
    </w:p>
    <w:p w:rsidR="008D71BB" w:rsidRPr="00C3390C" w:rsidRDefault="008D71BB" w:rsidP="008D71BB">
      <w:pPr>
        <w:pStyle w:val="Sinespaciado"/>
        <w:spacing w:line="360" w:lineRule="auto"/>
        <w:jc w:val="both"/>
        <w:rPr>
          <w:rFonts w:ascii="Arial" w:hAnsi="Arial" w:cs="Arial"/>
          <w:i/>
          <w:szCs w:val="24"/>
          <w:lang w:val="es-CO"/>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p>
    <w:p w:rsidR="008D71BB" w:rsidRPr="00C3390C" w:rsidRDefault="008D71BB" w:rsidP="008D71BB">
      <w:pPr>
        <w:tabs>
          <w:tab w:val="left" w:pos="1979"/>
        </w:tabs>
        <w:spacing w:line="360" w:lineRule="auto"/>
        <w:jc w:val="both"/>
        <w:rPr>
          <w:rFonts w:ascii="Arial" w:hAnsi="Arial" w:cs="Arial"/>
          <w:lang w:val="es-ES_tradnl"/>
        </w:rPr>
      </w:pPr>
    </w:p>
    <w:p w:rsidR="008D71BB" w:rsidRDefault="00CF48A7" w:rsidP="008D71BB">
      <w:pPr>
        <w:spacing w:line="360" w:lineRule="auto"/>
        <w:jc w:val="both"/>
        <w:rPr>
          <w:rFonts w:ascii="Arial" w:hAnsi="Arial"/>
          <w:szCs w:val="22"/>
          <w:lang w:val="es-ES_tradnl"/>
        </w:rPr>
      </w:pPr>
      <w:r w:rsidRPr="00CF48A7">
        <w:rPr>
          <w:rFonts w:ascii="Arial" w:hAnsi="Arial" w:cs="Arial"/>
        </w:rPr>
        <w:t>En este caso</w:t>
      </w:r>
      <w:r w:rsidR="008D71BB" w:rsidRPr="00CF48A7">
        <w:rPr>
          <w:rFonts w:ascii="Arial" w:hAnsi="Arial" w:cs="Arial"/>
        </w:rPr>
        <w:t xml:space="preserve"> se cumple con el primero de los presupuestos porque el accionante no tiene</w:t>
      </w:r>
      <w:r w:rsidR="008D71BB" w:rsidRPr="00C3390C">
        <w:rPr>
          <w:rFonts w:ascii="Arial" w:hAnsi="Arial" w:cs="Arial"/>
        </w:rPr>
        <w:t xml:space="preserve"> otro mecanismo diferente a esta acción para procurar la defensa del derecho</w:t>
      </w:r>
      <w:r w:rsidR="00807885">
        <w:rPr>
          <w:rFonts w:ascii="Arial" w:hAnsi="Arial" w:cs="Arial"/>
        </w:rPr>
        <w:t xml:space="preserve"> de petición </w:t>
      </w:r>
      <w:r w:rsidR="008D71BB" w:rsidRPr="00C3390C">
        <w:rPr>
          <w:rFonts w:ascii="Arial" w:hAnsi="Arial" w:cs="Arial"/>
        </w:rPr>
        <w:t>invocado</w:t>
      </w:r>
      <w:r w:rsidR="008D71BB">
        <w:rPr>
          <w:rFonts w:ascii="Arial" w:hAnsi="Arial" w:cs="Arial"/>
        </w:rPr>
        <w:t xml:space="preserve">. Por su parte la inmediatez, </w:t>
      </w:r>
      <w:r w:rsidR="008D71BB">
        <w:rPr>
          <w:rFonts w:ascii="Arial" w:hAnsi="Arial" w:cs="Arial"/>
          <w:noProof/>
          <w:szCs w:val="22"/>
        </w:rPr>
        <w:t xml:space="preserve">no merece reparo, pues la acción se formuló </w:t>
      </w:r>
      <w:r w:rsidR="00807885">
        <w:rPr>
          <w:rFonts w:ascii="Arial" w:hAnsi="Arial" w:cs="Arial"/>
          <w:noProof/>
          <w:szCs w:val="22"/>
        </w:rPr>
        <w:t xml:space="preserve">poco despues de tres (3) </w:t>
      </w:r>
      <w:r w:rsidR="008D71BB">
        <w:rPr>
          <w:rFonts w:ascii="Arial" w:hAnsi="Arial" w:cs="Arial"/>
          <w:noProof/>
          <w:szCs w:val="22"/>
        </w:rPr>
        <w:t>mes</w:t>
      </w:r>
      <w:r w:rsidR="00807885">
        <w:rPr>
          <w:rFonts w:ascii="Arial" w:hAnsi="Arial" w:cs="Arial"/>
          <w:noProof/>
          <w:szCs w:val="22"/>
        </w:rPr>
        <w:t>es</w:t>
      </w:r>
      <w:r w:rsidR="008D71BB">
        <w:rPr>
          <w:rFonts w:ascii="Arial" w:hAnsi="Arial" w:cs="Arial"/>
          <w:noProof/>
          <w:szCs w:val="22"/>
        </w:rPr>
        <w:t xml:space="preserve"> despu</w:t>
      </w:r>
      <w:r w:rsidR="0004229A">
        <w:rPr>
          <w:rFonts w:ascii="Arial" w:hAnsi="Arial" w:cs="Arial"/>
          <w:noProof/>
          <w:szCs w:val="22"/>
        </w:rPr>
        <w:t xml:space="preserve">és </w:t>
      </w:r>
      <w:r w:rsidR="008D71BB">
        <w:rPr>
          <w:rFonts w:ascii="Arial" w:hAnsi="Arial" w:cs="Arial"/>
          <w:noProof/>
          <w:szCs w:val="22"/>
        </w:rPr>
        <w:t xml:space="preserve">de que se presentara </w:t>
      </w:r>
      <w:r w:rsidR="005F6631">
        <w:rPr>
          <w:rFonts w:ascii="Arial" w:hAnsi="Arial" w:cs="Arial"/>
          <w:noProof/>
          <w:szCs w:val="22"/>
        </w:rPr>
        <w:t xml:space="preserve">el </w:t>
      </w:r>
      <w:r w:rsidR="008D71BB">
        <w:rPr>
          <w:rFonts w:ascii="Arial" w:hAnsi="Arial" w:cs="Arial"/>
          <w:noProof/>
          <w:szCs w:val="22"/>
        </w:rPr>
        <w:t xml:space="preserve">derecho de petición (Folios </w:t>
      </w:r>
      <w:r w:rsidR="005F6631">
        <w:rPr>
          <w:rFonts w:ascii="Arial" w:hAnsi="Arial" w:cs="Arial"/>
          <w:noProof/>
          <w:szCs w:val="22"/>
        </w:rPr>
        <w:t>2</w:t>
      </w:r>
      <w:r w:rsidR="00807885">
        <w:rPr>
          <w:rFonts w:ascii="Arial" w:hAnsi="Arial" w:cs="Arial"/>
          <w:noProof/>
          <w:szCs w:val="22"/>
        </w:rPr>
        <w:t xml:space="preserve"> y 3</w:t>
      </w:r>
      <w:r w:rsidR="005F6631">
        <w:rPr>
          <w:rFonts w:ascii="Arial" w:hAnsi="Arial" w:cs="Arial"/>
          <w:noProof/>
          <w:szCs w:val="22"/>
        </w:rPr>
        <w:t xml:space="preserve">, </w:t>
      </w:r>
      <w:r w:rsidR="00807885">
        <w:rPr>
          <w:rFonts w:ascii="Arial" w:hAnsi="Arial" w:cs="Arial"/>
          <w:noProof/>
          <w:szCs w:val="22"/>
        </w:rPr>
        <w:t>ib.</w:t>
      </w:r>
      <w:r w:rsidR="005F6631">
        <w:rPr>
          <w:rFonts w:ascii="Arial" w:hAnsi="Arial" w:cs="Arial"/>
          <w:noProof/>
          <w:szCs w:val="22"/>
        </w:rPr>
        <w:t>)</w:t>
      </w:r>
      <w:r w:rsidR="008D71BB">
        <w:rPr>
          <w:rFonts w:ascii="Arial" w:hAnsi="Arial" w:cs="Arial"/>
          <w:noProof/>
          <w:szCs w:val="22"/>
        </w:rPr>
        <w:t>.</w:t>
      </w:r>
      <w:r w:rsidR="00807885">
        <w:rPr>
          <w:rFonts w:ascii="Arial" w:hAnsi="Arial" w:cs="Arial"/>
          <w:noProof/>
          <w:szCs w:val="22"/>
        </w:rPr>
        <w:t xml:space="preserve"> </w:t>
      </w:r>
      <w:r w:rsidR="008D71BB">
        <w:rPr>
          <w:rFonts w:ascii="Arial" w:hAnsi="Arial" w:cs="Arial"/>
        </w:rPr>
        <w:t xml:space="preserve">Por consiguiente, como este asunto supera el test de procedencia, puede examinarse de fondo. </w:t>
      </w:r>
    </w:p>
    <w:p w:rsidR="008D71BB" w:rsidRDefault="008D71BB" w:rsidP="008D71BB">
      <w:pPr>
        <w:pStyle w:val="Prrafodelista"/>
        <w:widowControl/>
        <w:autoSpaceDE/>
        <w:autoSpaceDN/>
        <w:adjustRightInd/>
        <w:spacing w:line="360" w:lineRule="auto"/>
        <w:ind w:left="720"/>
        <w:contextualSpacing/>
        <w:jc w:val="both"/>
        <w:rPr>
          <w:rFonts w:ascii="Arial" w:hAnsi="Arial"/>
        </w:rPr>
      </w:pPr>
    </w:p>
    <w:p w:rsidR="008D71BB" w:rsidRPr="00E2771E" w:rsidRDefault="008D71BB" w:rsidP="008D71BB">
      <w:pPr>
        <w:pStyle w:val="Prrafodelista"/>
        <w:widowControl/>
        <w:numPr>
          <w:ilvl w:val="2"/>
          <w:numId w:val="26"/>
        </w:numPr>
        <w:autoSpaceDE/>
        <w:autoSpaceDN/>
        <w:adjustRightInd/>
        <w:spacing w:line="360" w:lineRule="auto"/>
        <w:contextualSpacing/>
        <w:jc w:val="both"/>
        <w:rPr>
          <w:rFonts w:ascii="Arial" w:hAnsi="Arial"/>
        </w:rPr>
      </w:pPr>
      <w:r w:rsidRPr="00E2771E">
        <w:rPr>
          <w:rFonts w:ascii="Arial" w:hAnsi="Arial"/>
        </w:rPr>
        <w:t>El derecho fundamental de petición</w:t>
      </w:r>
    </w:p>
    <w:p w:rsidR="008D71BB" w:rsidRPr="008D71BB" w:rsidRDefault="008D71BB" w:rsidP="008D71BB">
      <w:pPr>
        <w:pStyle w:val="Prrafodelista"/>
        <w:widowControl/>
        <w:autoSpaceDE/>
        <w:autoSpaceDN/>
        <w:adjustRightInd/>
        <w:spacing w:line="360" w:lineRule="auto"/>
        <w:ind w:left="720"/>
        <w:contextualSpacing/>
        <w:jc w:val="both"/>
        <w:rPr>
          <w:rFonts w:ascii="Arial" w:hAnsi="Arial"/>
        </w:rPr>
      </w:pPr>
    </w:p>
    <w:p w:rsidR="008D71BB" w:rsidRDefault="008D71BB" w:rsidP="008D71BB">
      <w:pPr>
        <w:spacing w:line="360" w:lineRule="auto"/>
        <w:jc w:val="both"/>
        <w:rPr>
          <w:rFonts w:ascii="Arial" w:hAnsi="Arial" w:cs="Arial"/>
          <w:i/>
          <w:color w:val="2D2D2D"/>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2"/>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Pr>
          <w:rFonts w:ascii="Arial" w:hAnsi="Arial" w:cs="Arial"/>
          <w:spacing w:val="-3"/>
        </w:rPr>
        <w:t xml:space="preserve">cumplirá </w:t>
      </w:r>
      <w:r w:rsidRPr="008D77CB">
        <w:rPr>
          <w:rFonts w:ascii="Arial" w:hAnsi="Arial" w:cs="Arial"/>
          <w:i/>
          <w:spacing w:val="-3"/>
          <w:sz w:val="22"/>
          <w:szCs w:val="22"/>
        </w:rPr>
        <w:t>“</w:t>
      </w:r>
      <w:r w:rsidRPr="008D77CB">
        <w:rPr>
          <w:rFonts w:ascii="Arial" w:hAnsi="Arial" w:cs="Arial"/>
          <w:i/>
          <w:iCs/>
          <w:spacing w:val="-3"/>
          <w:sz w:val="22"/>
          <w:szCs w:val="22"/>
        </w:rPr>
        <w:t>con</w:t>
      </w:r>
      <w:r w:rsidRPr="00925416">
        <w:rPr>
          <w:rFonts w:ascii="Arial" w:hAnsi="Arial" w:cs="Arial"/>
          <w:i/>
          <w:color w:val="2D2D2D"/>
          <w:sz w:val="22"/>
          <w:szCs w:val="22"/>
          <w:shd w:val="clear" w:color="auto" w:fill="FFFFFF"/>
        </w:rPr>
        <w:t xml:space="preserve"> ciertas condiciones: (i) oportunidad</w:t>
      </w:r>
      <w:bookmarkStart w:id="0" w:name="_ftnref16"/>
      <w:r>
        <w:rPr>
          <w:rStyle w:val="Refdenotaalpie"/>
          <w:rFonts w:ascii="Arial" w:hAnsi="Arial"/>
          <w:i/>
          <w:color w:val="2D2D2D"/>
          <w:sz w:val="22"/>
          <w:szCs w:val="22"/>
          <w:shd w:val="clear" w:color="auto" w:fill="FFFFFF"/>
        </w:rPr>
        <w:footnoteReference w:id="3"/>
      </w:r>
      <w:bookmarkEnd w:id="0"/>
      <w:r w:rsidRPr="00925416">
        <w:rPr>
          <w:rFonts w:ascii="Arial" w:hAnsi="Arial" w:cs="Arial"/>
          <w:i/>
          <w:color w:val="2D2D2D"/>
          <w:sz w:val="22"/>
          <w:szCs w:val="22"/>
          <w:shd w:val="clear" w:color="auto" w:fill="FFFFFF"/>
        </w:rPr>
        <w:t xml:space="preserve">; (ii) debe resolverse </w:t>
      </w:r>
      <w:r w:rsidRPr="00925416">
        <w:rPr>
          <w:rFonts w:ascii="Arial" w:hAnsi="Arial" w:cs="Arial"/>
          <w:i/>
          <w:color w:val="2D2D2D"/>
          <w:sz w:val="22"/>
          <w:szCs w:val="22"/>
          <w:shd w:val="clear" w:color="auto" w:fill="FFFFFF"/>
        </w:rPr>
        <w:lastRenderedPageBreak/>
        <w:t>de fondo, de manera clara, precisa y congruente con lo solicitado</w:t>
      </w:r>
      <w:bookmarkStart w:id="1" w:name="_ftnref17"/>
      <w:r>
        <w:rPr>
          <w:rStyle w:val="Refdenotaalpie"/>
          <w:rFonts w:ascii="Arial" w:hAnsi="Arial"/>
          <w:i/>
          <w:color w:val="2D2D2D"/>
          <w:sz w:val="22"/>
          <w:szCs w:val="22"/>
          <w:shd w:val="clear" w:color="auto" w:fill="FFFFFF"/>
        </w:rPr>
        <w:footnoteReference w:id="4"/>
      </w:r>
      <w:bookmarkEnd w:id="1"/>
      <w:r w:rsidRPr="00925416">
        <w:rPr>
          <w:rFonts w:ascii="Arial" w:hAnsi="Arial" w:cs="Arial"/>
          <w:i/>
          <w:color w:val="2D2D2D"/>
          <w:sz w:val="22"/>
          <w:szCs w:val="22"/>
          <w:shd w:val="clear" w:color="auto" w:fill="FFFFFF"/>
        </w:rPr>
        <w:t>; y (iii) ser puesta en conocimiento del peticionario</w:t>
      </w:r>
      <w:r>
        <w:rPr>
          <w:rStyle w:val="Refdenotaalpie"/>
          <w:rFonts w:ascii="Arial" w:hAnsi="Arial"/>
          <w:i/>
          <w:color w:val="2D2D2D"/>
          <w:sz w:val="22"/>
          <w:szCs w:val="22"/>
          <w:shd w:val="clear" w:color="auto" w:fill="FFFFFF"/>
        </w:rPr>
        <w:footnoteReference w:id="5"/>
      </w:r>
      <w:r w:rsidRPr="00925416">
        <w:rPr>
          <w:rFonts w:ascii="Arial" w:hAnsi="Arial" w:cs="Arial"/>
          <w:i/>
          <w:color w:val="2D2D2D"/>
          <w:sz w:val="22"/>
          <w:szCs w:val="22"/>
          <w:shd w:val="clear" w:color="auto" w:fill="FFFFFF"/>
        </w:rPr>
        <w:t>, so pena de incurrir en la violación de este derecho fundamental</w:t>
      </w:r>
      <w:r>
        <w:rPr>
          <w:rFonts w:ascii="Arial" w:hAnsi="Arial" w:cs="Arial"/>
          <w:i/>
          <w:color w:val="2D2D2D"/>
          <w:sz w:val="22"/>
          <w:szCs w:val="22"/>
          <w:shd w:val="clear" w:color="auto" w:fill="FFFFFF"/>
        </w:rPr>
        <w:t>”</w:t>
      </w:r>
      <w:r>
        <w:rPr>
          <w:rStyle w:val="Refdenotaalpie"/>
          <w:rFonts w:ascii="Arial" w:hAnsi="Arial"/>
          <w:i/>
          <w:color w:val="2D2D2D"/>
          <w:sz w:val="22"/>
          <w:szCs w:val="22"/>
          <w:shd w:val="clear" w:color="auto" w:fill="FFFFFF"/>
        </w:rPr>
        <w:footnoteReference w:id="6"/>
      </w:r>
      <w:r w:rsidRPr="00925416">
        <w:rPr>
          <w:rFonts w:ascii="Arial" w:hAnsi="Arial" w:cs="Arial"/>
          <w:i/>
          <w:color w:val="2D2D2D"/>
          <w:sz w:val="22"/>
          <w:szCs w:val="22"/>
          <w:shd w:val="clear" w:color="auto" w:fill="FFFFFF"/>
        </w:rPr>
        <w:t>.</w:t>
      </w:r>
    </w:p>
    <w:p w:rsidR="008D71BB" w:rsidRPr="009C4841" w:rsidRDefault="008D71BB" w:rsidP="008D71BB">
      <w:pPr>
        <w:spacing w:line="360" w:lineRule="auto"/>
        <w:jc w:val="both"/>
        <w:rPr>
          <w:rFonts w:ascii="Arial" w:hAnsi="Arial" w:cs="Arial"/>
          <w:i/>
          <w:iCs/>
          <w:spacing w:val="-3"/>
        </w:rPr>
      </w:pPr>
    </w:p>
    <w:p w:rsidR="008D71BB" w:rsidRDefault="008D71BB" w:rsidP="008D71BB">
      <w:pPr>
        <w:pStyle w:val="Textoindependiente"/>
        <w:spacing w:line="360" w:lineRule="auto"/>
        <w:rPr>
          <w:rFonts w:ascii="Arial" w:hAnsi="Arial" w:cs="Arial"/>
          <w:szCs w:val="24"/>
        </w:rPr>
      </w:pPr>
      <w:r>
        <w:rPr>
          <w:rFonts w:ascii="Arial" w:hAnsi="Arial" w:cs="Arial"/>
          <w:szCs w:val="24"/>
        </w:rPr>
        <w:t xml:space="preserve">De ahí que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7"/>
      </w:r>
      <w:r w:rsidRPr="00563DAB">
        <w:rPr>
          <w:rFonts w:ascii="Arial" w:hAnsi="Arial" w:cs="Arial"/>
          <w:szCs w:val="24"/>
        </w:rPr>
        <w:t>.</w:t>
      </w:r>
    </w:p>
    <w:p w:rsidR="008D71BB" w:rsidRPr="00E34B3C" w:rsidRDefault="008D71BB" w:rsidP="008D71BB">
      <w:pPr>
        <w:pStyle w:val="Textoindependiente"/>
        <w:spacing w:line="360" w:lineRule="auto"/>
        <w:rPr>
          <w:rFonts w:ascii="Arial" w:hAnsi="Arial"/>
          <w:szCs w:val="24"/>
        </w:rPr>
      </w:pPr>
    </w:p>
    <w:p w:rsidR="008D71BB" w:rsidRPr="006820CE" w:rsidRDefault="008D71BB" w:rsidP="008D71BB">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8"/>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9"/>
      </w:r>
      <w:r>
        <w:rPr>
          <w:rFonts w:ascii="Arial" w:hAnsi="Arial" w:cs="Arial"/>
          <w:szCs w:val="24"/>
          <w:vertAlign w:val="superscript"/>
        </w:rPr>
        <w:t>-</w:t>
      </w:r>
      <w:r>
        <w:rPr>
          <w:rStyle w:val="Refdenotaalpie"/>
          <w:rFonts w:ascii="Arial" w:hAnsi="Arial"/>
          <w:szCs w:val="24"/>
        </w:rPr>
        <w:footnoteReference w:id="10"/>
      </w:r>
      <w:r>
        <w:rPr>
          <w:rFonts w:ascii="Arial" w:hAnsi="Arial" w:cs="Arial"/>
          <w:szCs w:val="24"/>
        </w:rPr>
        <w:t>, de manera reciente (2015</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1"/>
      </w:r>
      <w:r w:rsidRPr="00563DAB">
        <w:rPr>
          <w:rFonts w:ascii="Arial" w:hAnsi="Arial" w:cs="Arial"/>
          <w:szCs w:val="24"/>
        </w:rPr>
        <w:t>.</w:t>
      </w:r>
    </w:p>
    <w:p w:rsidR="008D71BB" w:rsidRDefault="008D71BB" w:rsidP="008D71BB">
      <w:pPr>
        <w:spacing w:line="360" w:lineRule="auto"/>
        <w:jc w:val="both"/>
        <w:rPr>
          <w:rFonts w:ascii="Arial" w:hAnsi="Arial" w:cs="Arial"/>
          <w:b/>
        </w:rPr>
      </w:pPr>
    </w:p>
    <w:p w:rsidR="008D71BB" w:rsidRDefault="008D71BB" w:rsidP="008D71BB">
      <w:pPr>
        <w:pStyle w:val="Textoindependiente"/>
        <w:spacing w:line="360" w:lineRule="auto"/>
        <w:rPr>
          <w:rFonts w:ascii="Arial" w:hAnsi="Arial" w:cs="Arial"/>
          <w:szCs w:val="24"/>
        </w:rPr>
      </w:pPr>
      <w:r>
        <w:rPr>
          <w:rFonts w:ascii="Arial" w:hAnsi="Arial" w:cs="Arial"/>
          <w:szCs w:val="24"/>
        </w:rPr>
        <w:t>En tratándose de derechos de petición formulados ante autoridades judiciales, la jurisprudencia de esa Corporación</w:t>
      </w:r>
      <w:r>
        <w:rPr>
          <w:rStyle w:val="Refdenotaalpie"/>
          <w:rFonts w:ascii="Arial" w:hAnsi="Arial"/>
          <w:szCs w:val="24"/>
        </w:rPr>
        <w:footnoteReference w:id="12"/>
      </w:r>
      <w:r>
        <w:rPr>
          <w:rFonts w:ascii="Arial" w:hAnsi="Arial" w:cs="Arial"/>
          <w:szCs w:val="24"/>
        </w:rPr>
        <w:t xml:space="preserve"> ha expuesto: </w:t>
      </w:r>
    </w:p>
    <w:p w:rsidR="008D71BB" w:rsidRDefault="008D71BB" w:rsidP="008D71BB">
      <w:pPr>
        <w:pStyle w:val="Textoindependiente"/>
        <w:spacing w:line="360" w:lineRule="auto"/>
        <w:rPr>
          <w:rFonts w:ascii="Arial" w:hAnsi="Arial" w:cs="Arial"/>
          <w:szCs w:val="24"/>
        </w:rPr>
      </w:pPr>
    </w:p>
    <w:p w:rsidR="008D71BB" w:rsidRPr="00653BAF" w:rsidRDefault="008D71BB" w:rsidP="008D71BB">
      <w:pPr>
        <w:ind w:left="567" w:right="567"/>
        <w:jc w:val="both"/>
        <w:rPr>
          <w:rFonts w:ascii="Arial" w:hAnsi="Arial" w:cs="Arial"/>
        </w:rPr>
      </w:pPr>
      <w:r>
        <w:rPr>
          <w:rFonts w:ascii="Arial" w:hAnsi="Arial" w:cs="Arial"/>
          <w:szCs w:val="28"/>
        </w:rPr>
        <w:t>…</w:t>
      </w:r>
      <w:r w:rsidRPr="00653BAF">
        <w:rPr>
          <w:rFonts w:ascii="Arial" w:hAnsi="Arial" w:cs="Arial"/>
          <w:szCs w:val="28"/>
        </w:rPr>
        <w:t>la Corte ha precisado</w:t>
      </w:r>
      <w:r w:rsidRPr="00653BAF">
        <w:rPr>
          <w:rFonts w:ascii="Arial" w:hAnsi="Arial" w:cs="Arial"/>
          <w:b/>
          <w:szCs w:val="28"/>
          <w:vertAlign w:val="superscript"/>
        </w:rPr>
        <w:footnoteReference w:id="13"/>
      </w:r>
      <w:r w:rsidRPr="00653BAF">
        <w:rPr>
          <w:rFonts w:ascii="Arial" w:hAnsi="Arial" w:cs="Arial"/>
          <w:szCs w:val="28"/>
        </w:rPr>
        <w:t xml:space="preserve"> sus alcances al manifestar que si bien es cierto que el derecho de petición puede ejercerse ante los jueces y en consecuencia éstos se encuentran en la obligación de tramitar y responder las solicitudes que se les presenten, también lo es</w:t>
      </w:r>
      <w:r w:rsidRPr="00653BAF">
        <w:rPr>
          <w:rFonts w:ascii="Arial" w:hAnsi="Arial" w:cs="Arial"/>
        </w:rPr>
        <w:t xml:space="preserve"> </w:t>
      </w:r>
      <w:r w:rsidRPr="00653BAF">
        <w:rPr>
          <w:rFonts w:ascii="Arial" w:hAnsi="Arial" w:cs="Arial"/>
          <w:szCs w:val="28"/>
        </w:rPr>
        <w:t xml:space="preserve">que </w:t>
      </w:r>
      <w:r w:rsidRPr="00653BAF">
        <w:rPr>
          <w:rFonts w:ascii="Arial" w:hAnsi="Arial" w:cs="Arial"/>
          <w:i/>
        </w:rPr>
        <w:t xml:space="preserve">“el juez o magistrado que conduce un proceso judicial está sometido -como también las partes y los intervinientes- a las reglas del mismo, fijadas por la ley, lo que significa que las disposiciones legales contempladas para las actuaciones administrativas no son necesariamente las mismas que debe observar el juez cuando le son presentadas peticiones relativas a puntos que habrán de ser resueltos en su oportunidad procesal y con arreglo a las normas propias de cada juicio (artículo </w:t>
      </w:r>
      <w:smartTag w:uri="urn:schemas-microsoft-com:office:smarttags" w:element="metricconverter">
        <w:smartTagPr>
          <w:attr w:name="ProductID" w:val="29 C"/>
        </w:smartTagPr>
        <w:r w:rsidRPr="00653BAF">
          <w:rPr>
            <w:rFonts w:ascii="Arial" w:hAnsi="Arial" w:cs="Arial"/>
            <w:i/>
          </w:rPr>
          <w:lastRenderedPageBreak/>
          <w:t>29 C</w:t>
        </w:r>
      </w:smartTag>
      <w:r w:rsidRPr="00653BAF">
        <w:rPr>
          <w:rFonts w:ascii="Arial" w:hAnsi="Arial" w:cs="Arial"/>
          <w:i/>
        </w:rPr>
        <w:t>.P.).”</w:t>
      </w:r>
      <w:r w:rsidRPr="00653BAF">
        <w:rPr>
          <w:rFonts w:ascii="Arial" w:hAnsi="Arial" w:cs="Arial"/>
          <w:vertAlign w:val="superscript"/>
        </w:rPr>
        <w:footnoteReference w:id="14"/>
      </w:r>
    </w:p>
    <w:p w:rsidR="008D71BB" w:rsidRPr="002C3291" w:rsidRDefault="008D71BB" w:rsidP="008D71BB">
      <w:pPr>
        <w:ind w:left="567" w:right="567"/>
        <w:jc w:val="both"/>
        <w:rPr>
          <w:rFonts w:ascii="Arial" w:hAnsi="Arial" w:cs="Arial"/>
          <w:sz w:val="28"/>
        </w:rPr>
      </w:pPr>
    </w:p>
    <w:p w:rsidR="008D71BB" w:rsidRPr="00653BAF" w:rsidRDefault="008D71BB" w:rsidP="008D71BB">
      <w:pPr>
        <w:ind w:left="567" w:right="567"/>
        <w:jc w:val="both"/>
        <w:rPr>
          <w:rFonts w:ascii="Arial" w:hAnsi="Arial" w:cs="Arial"/>
        </w:rPr>
      </w:pPr>
      <w:r w:rsidRPr="00653BAF">
        <w:rPr>
          <w:rFonts w:ascii="Arial" w:hAnsi="Arial" w:cs="Arial"/>
          <w:szCs w:val="28"/>
        </w:rPr>
        <w:t xml:space="preserve">En este sentido, </w:t>
      </w:r>
      <w:smartTag w:uri="urn:schemas-microsoft-com:office:smarttags" w:element="PersonName">
        <w:smartTagPr>
          <w:attr w:name="ProductID" w:val="La Corte"/>
        </w:smartTagPr>
        <w:r w:rsidRPr="00653BAF">
          <w:rPr>
            <w:rFonts w:ascii="Arial" w:hAnsi="Arial" w:cs="Arial"/>
            <w:szCs w:val="28"/>
          </w:rPr>
          <w:t>la Corte</w:t>
        </w:r>
      </w:smartTag>
      <w:r w:rsidRPr="00653BAF">
        <w:rPr>
          <w:rFonts w:ascii="Arial" w:hAnsi="Arial" w:cs="Arial"/>
          <w:szCs w:val="28"/>
        </w:rPr>
        <w:t xml:space="preserve"> señaló que debe hacerse una distinción entre los actos de carácter jurisdiccional y los administrativos, para lo que expresó</w:t>
      </w:r>
      <w:r w:rsidRPr="00653BAF">
        <w:rPr>
          <w:rFonts w:ascii="Arial" w:hAnsi="Arial" w:cs="Arial"/>
        </w:rPr>
        <w:t xml:space="preserve">: </w:t>
      </w:r>
      <w:r w:rsidRPr="00653BAF">
        <w:rPr>
          <w:rFonts w:ascii="Arial" w:hAnsi="Arial" w:cs="Arial"/>
          <w:i/>
        </w:rPr>
        <w:t>“debe distinguirse con claridad entre aquellos actos de carácter estrictamente judicial y los administrativos que pueda tener a su cargo el juez. Respecto de estos últimos son aplicables las normas que rigen la actividad de la administración pública, es decir, en la materia bajo análisis, las establecidas en el Código Contencioso Administrativo (Decreto 01 de 1984).”</w:t>
      </w:r>
      <w:r w:rsidRPr="00653BAF">
        <w:rPr>
          <w:rFonts w:ascii="Arial" w:hAnsi="Arial" w:cs="Arial"/>
          <w:b/>
          <w:szCs w:val="20"/>
          <w:vertAlign w:val="superscript"/>
        </w:rPr>
        <w:footnoteReference w:id="15"/>
      </w:r>
    </w:p>
    <w:p w:rsidR="008D71BB" w:rsidRPr="002C3291" w:rsidRDefault="008D71BB" w:rsidP="008D71BB">
      <w:pPr>
        <w:ind w:left="567" w:right="567"/>
        <w:jc w:val="both"/>
        <w:rPr>
          <w:rFonts w:ascii="Arial" w:hAnsi="Arial" w:cs="Arial"/>
          <w:sz w:val="28"/>
        </w:rPr>
      </w:pPr>
    </w:p>
    <w:p w:rsidR="008D71BB" w:rsidRPr="0038336B" w:rsidRDefault="008D71BB" w:rsidP="008D71BB">
      <w:pPr>
        <w:ind w:left="567" w:right="567"/>
        <w:jc w:val="both"/>
        <w:rPr>
          <w:sz w:val="28"/>
          <w:szCs w:val="28"/>
        </w:rPr>
      </w:pPr>
      <w:r w:rsidRPr="00653BAF">
        <w:rPr>
          <w:rFonts w:ascii="Arial" w:hAnsi="Arial" w:cs="Arial"/>
          <w:szCs w:val="28"/>
        </w:rPr>
        <w:t>En ese orden de ideas, la Corporación ha establecido que el trámite de las peticiones ante las autoridades judiciales son de dos tipos, las de asuntos administrativos cuyo trámite debe darse en los términos del derecho de petición consagrado en el artículo 23 de la Constitución y el Código Contencioso Administrativo, dentro de las cuales se pueden mencionar la solicitud de copias; y las de carácter judicial o jurisdiccional, que deben tramitarse de conformidad con los procedimientos propios de cada juicio, por lo que la omisión del funcionario judicial en resolver las peticiones formuladas en relación con los asuntos administrativos constituirán una vulneración al derecho de petición, en tanto que la omisión de atender las solicitudes propias de la actividad jurisdiccional, configuran una violación del debido proceso</w:t>
      </w:r>
      <w:r w:rsidRPr="00653BAF">
        <w:rPr>
          <w:rFonts w:ascii="Arial" w:hAnsi="Arial" w:cs="Arial"/>
          <w:b/>
          <w:szCs w:val="20"/>
          <w:vertAlign w:val="superscript"/>
        </w:rPr>
        <w:footnoteReference w:id="16"/>
      </w:r>
      <w:r w:rsidRPr="00653BAF">
        <w:rPr>
          <w:rFonts w:ascii="Arial" w:hAnsi="Arial" w:cs="Arial"/>
          <w:szCs w:val="28"/>
        </w:rPr>
        <w:t xml:space="preserve"> y del derecho al acceso de la administración de justicia,</w:t>
      </w:r>
      <w:r w:rsidRPr="00653BAF">
        <w:rPr>
          <w:rFonts w:ascii="Arial" w:hAnsi="Arial" w:cs="Arial"/>
          <w:b/>
          <w:szCs w:val="20"/>
          <w:vertAlign w:val="superscript"/>
        </w:rPr>
        <w:footnoteReference w:id="17"/>
      </w:r>
      <w:r w:rsidRPr="00653BAF">
        <w:rPr>
          <w:rFonts w:ascii="Arial" w:hAnsi="Arial" w:cs="Arial"/>
          <w:szCs w:val="28"/>
        </w:rPr>
        <w:t xml:space="preserve"> en la medida en que dicha conducta, al desconocer los términos de ley sin motivo probado y razonable, implica una dilación injustificada</w:t>
      </w:r>
      <w:r w:rsidRPr="00653BAF">
        <w:rPr>
          <w:rFonts w:ascii="Arial" w:hAnsi="Arial" w:cs="Arial"/>
          <w:b/>
          <w:szCs w:val="20"/>
          <w:vertAlign w:val="superscript"/>
        </w:rPr>
        <w:footnoteReference w:id="18"/>
      </w:r>
      <w:r w:rsidRPr="00653BAF">
        <w:rPr>
          <w:rFonts w:ascii="Arial" w:hAnsi="Arial" w:cs="Arial"/>
          <w:szCs w:val="28"/>
        </w:rPr>
        <w:t xml:space="preserve"> dentro del proceso judicial, la cual está proscrita por el ordenamiento constitucional (C.P., Arts. 29 y 229).</w:t>
      </w:r>
    </w:p>
    <w:p w:rsidR="008D71BB" w:rsidRPr="002C3291" w:rsidRDefault="008D71BB" w:rsidP="008D71BB">
      <w:pPr>
        <w:pStyle w:val="Textoindependiente"/>
        <w:spacing w:line="360" w:lineRule="auto"/>
        <w:rPr>
          <w:rFonts w:ascii="Arial" w:hAnsi="Arial" w:cs="Arial"/>
          <w:sz w:val="28"/>
          <w:szCs w:val="24"/>
          <w:lang w:val="es-CO"/>
        </w:rPr>
      </w:pPr>
    </w:p>
    <w:p w:rsidR="008D71BB" w:rsidRPr="000A038F" w:rsidRDefault="008D71BB" w:rsidP="008D71BB">
      <w:pPr>
        <w:spacing w:line="360" w:lineRule="auto"/>
        <w:ind w:right="51"/>
        <w:jc w:val="both"/>
        <w:rPr>
          <w:rFonts w:ascii="Arial" w:hAnsi="Arial" w:cs="Arial"/>
        </w:rPr>
      </w:pPr>
      <w:r>
        <w:rPr>
          <w:rFonts w:ascii="Arial" w:hAnsi="Arial" w:cs="Arial"/>
        </w:rPr>
        <w:t xml:space="preserve">Finalmente, hay que </w:t>
      </w:r>
      <w:r w:rsidRPr="00CE0D45">
        <w:rPr>
          <w:rFonts w:ascii="Arial" w:hAnsi="Arial" w:cs="Arial"/>
        </w:rPr>
        <w:t xml:space="preserve">acotar que el derecho de petición fue reglado por el legislador a </w:t>
      </w:r>
      <w:r w:rsidRPr="000A038F">
        <w:rPr>
          <w:rFonts w:ascii="Arial" w:hAnsi="Arial" w:cs="Arial"/>
        </w:rPr>
        <w:t xml:space="preserve">través de la Ley 1755 del 30-06-2015, con efectos a partir de esa fecha, valga decir, la de su promulgación. </w:t>
      </w:r>
    </w:p>
    <w:p w:rsidR="008D71BB" w:rsidRDefault="008D71BB" w:rsidP="00AC23B4">
      <w:pPr>
        <w:pStyle w:val="Textoindependiente"/>
        <w:tabs>
          <w:tab w:val="clear" w:pos="708"/>
          <w:tab w:val="clear" w:pos="1416"/>
          <w:tab w:val="left" w:pos="709"/>
          <w:tab w:val="left" w:pos="1418"/>
        </w:tabs>
        <w:spacing w:line="360" w:lineRule="auto"/>
        <w:rPr>
          <w:rFonts w:ascii="Arial" w:hAnsi="Arial"/>
          <w:szCs w:val="24"/>
        </w:rPr>
      </w:pPr>
    </w:p>
    <w:p w:rsidR="00AC23B4" w:rsidRPr="00C30537" w:rsidRDefault="00AC23B4" w:rsidP="008D71BB">
      <w:pPr>
        <w:pStyle w:val="Prrafodelista"/>
        <w:numPr>
          <w:ilvl w:val="2"/>
          <w:numId w:val="26"/>
        </w:numPr>
        <w:spacing w:line="360" w:lineRule="auto"/>
        <w:jc w:val="both"/>
        <w:rPr>
          <w:rFonts w:ascii="Arial" w:hAnsi="Arial"/>
          <w:lang w:val="es-ES_tradnl"/>
        </w:rPr>
      </w:pPr>
      <w:r w:rsidRPr="00C30537">
        <w:rPr>
          <w:rFonts w:ascii="Arial" w:hAnsi="Arial"/>
        </w:rPr>
        <w:t>El</w:t>
      </w:r>
      <w:r w:rsidRPr="00C30537">
        <w:rPr>
          <w:rFonts w:ascii="Arial" w:hAnsi="Arial"/>
          <w:lang w:val="es-ES_tradnl"/>
        </w:rPr>
        <w:t xml:space="preserve"> análisis del caso en concreto</w:t>
      </w:r>
    </w:p>
    <w:p w:rsidR="00AC23B4" w:rsidRPr="000A038F" w:rsidRDefault="00AC23B4" w:rsidP="00AC23B4">
      <w:pPr>
        <w:pStyle w:val="Prrafodelista"/>
        <w:spacing w:line="360" w:lineRule="auto"/>
        <w:ind w:left="720"/>
        <w:jc w:val="both"/>
        <w:rPr>
          <w:rFonts w:ascii="Arial" w:hAnsi="Arial"/>
          <w:lang w:val="es-ES_tradnl"/>
        </w:rPr>
      </w:pPr>
    </w:p>
    <w:p w:rsidR="00C30537" w:rsidRDefault="00E34B3C" w:rsidP="00AC23B4">
      <w:pPr>
        <w:pStyle w:val="Textoindependiente"/>
        <w:spacing w:line="360" w:lineRule="auto"/>
        <w:rPr>
          <w:rFonts w:ascii="Arial" w:hAnsi="Arial"/>
          <w:szCs w:val="24"/>
        </w:rPr>
      </w:pPr>
      <w:r>
        <w:rPr>
          <w:rFonts w:ascii="Arial" w:hAnsi="Arial"/>
          <w:szCs w:val="24"/>
        </w:rPr>
        <w:t>Pretende la accionante que se resuelva</w:t>
      </w:r>
      <w:r w:rsidR="00C30537">
        <w:rPr>
          <w:rFonts w:ascii="Arial" w:hAnsi="Arial"/>
          <w:szCs w:val="24"/>
        </w:rPr>
        <w:t xml:space="preserve"> sobre la petición formulada el día 05-04-2016, referente a que se revisará lo ocurrido con los pagos que debía recibir, de los cuales informa que el último tenía registro del 27-01-2016 (Folios 2 y 3, este cuaderno). </w:t>
      </w:r>
    </w:p>
    <w:p w:rsidR="00A1362B" w:rsidRDefault="00A1362B" w:rsidP="00AC23B4">
      <w:pPr>
        <w:pStyle w:val="Textoindependiente"/>
        <w:spacing w:line="360" w:lineRule="auto"/>
        <w:rPr>
          <w:rFonts w:ascii="Arial" w:hAnsi="Arial"/>
          <w:szCs w:val="24"/>
        </w:rPr>
      </w:pPr>
    </w:p>
    <w:p w:rsidR="00C30537" w:rsidRDefault="00C30537" w:rsidP="00AC23B4">
      <w:pPr>
        <w:pStyle w:val="Textoindependiente"/>
        <w:spacing w:line="360" w:lineRule="auto"/>
        <w:rPr>
          <w:rFonts w:ascii="Arial" w:hAnsi="Arial"/>
          <w:szCs w:val="24"/>
        </w:rPr>
      </w:pPr>
      <w:r>
        <w:rPr>
          <w:rFonts w:ascii="Arial" w:hAnsi="Arial"/>
          <w:szCs w:val="24"/>
        </w:rPr>
        <w:t>Según lo informado por el accionado, a través de auto del 27-05-2016</w:t>
      </w:r>
      <w:r w:rsidR="00E34B3C">
        <w:rPr>
          <w:rFonts w:ascii="Arial" w:hAnsi="Arial"/>
          <w:szCs w:val="24"/>
        </w:rPr>
        <w:t>, notificado por estado del día 31-05-2016</w:t>
      </w:r>
      <w:r w:rsidR="00DA0A88">
        <w:rPr>
          <w:rFonts w:ascii="Arial" w:hAnsi="Arial"/>
          <w:szCs w:val="24"/>
        </w:rPr>
        <w:t xml:space="preserve"> (Folio 13, ib.)</w:t>
      </w:r>
      <w:r w:rsidR="00E34B3C">
        <w:rPr>
          <w:rFonts w:ascii="Arial" w:hAnsi="Arial"/>
          <w:szCs w:val="24"/>
        </w:rPr>
        <w:t xml:space="preserve">, </w:t>
      </w:r>
      <w:r>
        <w:rPr>
          <w:rFonts w:ascii="Arial" w:hAnsi="Arial"/>
          <w:szCs w:val="24"/>
        </w:rPr>
        <w:t>se resolvió la petición y ello daría lugar a declarar la inexistencia de la vulneración</w:t>
      </w:r>
      <w:r w:rsidR="00E34B3C">
        <w:rPr>
          <w:rFonts w:ascii="Arial" w:hAnsi="Arial"/>
          <w:szCs w:val="24"/>
        </w:rPr>
        <w:t xml:space="preserve"> de los derechos fundamentales</w:t>
      </w:r>
      <w:r>
        <w:rPr>
          <w:rFonts w:ascii="Arial" w:hAnsi="Arial"/>
          <w:szCs w:val="24"/>
        </w:rPr>
        <w:t xml:space="preserve">, no obstante  advierte esta Sala que, la resolución fue parcial, pues solo se dispuso requerir al pagador </w:t>
      </w:r>
      <w:r w:rsidR="00DA0A88">
        <w:rPr>
          <w:rFonts w:ascii="Arial" w:hAnsi="Arial"/>
          <w:szCs w:val="24"/>
        </w:rPr>
        <w:t xml:space="preserve">del Consorcio </w:t>
      </w:r>
      <w:proofErr w:type="spellStart"/>
      <w:r w:rsidR="00DA0A88" w:rsidRPr="00DA0A88">
        <w:rPr>
          <w:rFonts w:ascii="Arial" w:hAnsi="Arial"/>
          <w:sz w:val="22"/>
          <w:szCs w:val="24"/>
        </w:rPr>
        <w:t>FOPEP</w:t>
      </w:r>
      <w:proofErr w:type="spellEnd"/>
      <w:r>
        <w:rPr>
          <w:rFonts w:ascii="Arial" w:hAnsi="Arial"/>
          <w:szCs w:val="24"/>
        </w:rPr>
        <w:t xml:space="preserve">, quien respondió que había efectuado los descuentos (Folio 15, ib.), pero el auto nada dijo sobre la Secretaría de Educación de Dosquebradas, quien también debe hacerle </w:t>
      </w:r>
      <w:r>
        <w:rPr>
          <w:rFonts w:ascii="Arial" w:hAnsi="Arial"/>
          <w:szCs w:val="24"/>
        </w:rPr>
        <w:lastRenderedPageBreak/>
        <w:t>descuentos al señor Luis Octavio Ceballos Sánchez, según se desprende del proveído de 26-01-2016</w:t>
      </w:r>
      <w:r w:rsidR="00DA0A88">
        <w:rPr>
          <w:rFonts w:ascii="Arial" w:hAnsi="Arial"/>
          <w:szCs w:val="24"/>
        </w:rPr>
        <w:t xml:space="preserve"> (Folio 22, ib.)</w:t>
      </w:r>
      <w:r w:rsidR="00821318">
        <w:rPr>
          <w:rFonts w:ascii="Arial" w:hAnsi="Arial"/>
          <w:szCs w:val="24"/>
        </w:rPr>
        <w:t>,</w:t>
      </w:r>
      <w:r>
        <w:rPr>
          <w:rFonts w:ascii="Arial" w:hAnsi="Arial"/>
          <w:szCs w:val="24"/>
        </w:rPr>
        <w:t xml:space="preserve"> </w:t>
      </w:r>
      <w:r w:rsidR="008C7E45">
        <w:rPr>
          <w:rFonts w:ascii="Arial" w:hAnsi="Arial"/>
          <w:szCs w:val="24"/>
        </w:rPr>
        <w:t xml:space="preserve">mediante el cual </w:t>
      </w:r>
      <w:r w:rsidR="00B6232F">
        <w:rPr>
          <w:rFonts w:ascii="Arial" w:hAnsi="Arial"/>
          <w:szCs w:val="24"/>
        </w:rPr>
        <w:t xml:space="preserve">se </w:t>
      </w:r>
      <w:r w:rsidR="00DA0A88">
        <w:rPr>
          <w:rFonts w:ascii="Arial" w:hAnsi="Arial"/>
          <w:szCs w:val="24"/>
        </w:rPr>
        <w:t xml:space="preserve">requirió </w:t>
      </w:r>
      <w:r w:rsidR="00B6232F">
        <w:rPr>
          <w:rFonts w:ascii="Arial" w:hAnsi="Arial"/>
          <w:szCs w:val="24"/>
        </w:rPr>
        <w:t xml:space="preserve">a ambas entidades </w:t>
      </w:r>
      <w:r w:rsidR="00DA0A88">
        <w:rPr>
          <w:rFonts w:ascii="Arial" w:hAnsi="Arial"/>
          <w:szCs w:val="24"/>
        </w:rPr>
        <w:t>para que consignen en la cuenta de la accionante los dineros retenidos al señor Ceballos Sánchez</w:t>
      </w:r>
      <w:r w:rsidR="008C7E45">
        <w:rPr>
          <w:rFonts w:ascii="Arial" w:hAnsi="Arial"/>
          <w:szCs w:val="24"/>
        </w:rPr>
        <w:t>.</w:t>
      </w:r>
      <w:r w:rsidR="00DA0A88">
        <w:rPr>
          <w:rFonts w:ascii="Arial" w:hAnsi="Arial"/>
          <w:szCs w:val="24"/>
        </w:rPr>
        <w:t xml:space="preserve"> </w:t>
      </w:r>
    </w:p>
    <w:p w:rsidR="00C30537" w:rsidRDefault="00C30537" w:rsidP="00AC23B4">
      <w:pPr>
        <w:pStyle w:val="Textoindependiente"/>
        <w:spacing w:line="360" w:lineRule="auto"/>
        <w:rPr>
          <w:rFonts w:ascii="Arial" w:hAnsi="Arial"/>
          <w:szCs w:val="24"/>
        </w:rPr>
      </w:pPr>
    </w:p>
    <w:p w:rsidR="007C714B" w:rsidRPr="000A038F" w:rsidRDefault="00B6232F" w:rsidP="00AC23B4">
      <w:pPr>
        <w:pStyle w:val="Textoindependiente"/>
        <w:spacing w:line="360" w:lineRule="auto"/>
        <w:rPr>
          <w:rFonts w:ascii="Arial" w:hAnsi="Arial" w:cs="Arial"/>
        </w:rPr>
      </w:pPr>
      <w:r>
        <w:rPr>
          <w:rFonts w:ascii="Arial" w:hAnsi="Arial" w:cs="Arial"/>
          <w:szCs w:val="28"/>
        </w:rPr>
        <w:t xml:space="preserve">Claramente el despacho judicial accionado vulneró los derechos fundamentales al debido proceso y acceso a la administración de justicia de la accionante, pues resolvió parcialmente su petición, pese a conocer de antemano que las retenciones se hacían por dos pagadores diferentes y no únicamente por el </w:t>
      </w:r>
      <w:proofErr w:type="spellStart"/>
      <w:r w:rsidRPr="00B6232F">
        <w:rPr>
          <w:rFonts w:ascii="Arial" w:hAnsi="Arial" w:cs="Arial"/>
          <w:sz w:val="22"/>
          <w:szCs w:val="28"/>
        </w:rPr>
        <w:t>FOPEP</w:t>
      </w:r>
      <w:proofErr w:type="spellEnd"/>
      <w:r w:rsidR="00BF4829" w:rsidRPr="000A038F">
        <w:rPr>
          <w:rFonts w:ascii="Arial" w:hAnsi="Arial" w:cs="Arial"/>
        </w:rPr>
        <w:t>,</w:t>
      </w:r>
      <w:r w:rsidR="007C714B" w:rsidRPr="000A038F">
        <w:rPr>
          <w:rFonts w:ascii="Arial" w:hAnsi="Arial" w:cs="Arial"/>
        </w:rPr>
        <w:t xml:space="preserve"> por </w:t>
      </w:r>
      <w:r w:rsidR="00F10295">
        <w:rPr>
          <w:rFonts w:ascii="Arial" w:hAnsi="Arial" w:cs="Arial"/>
        </w:rPr>
        <w:t xml:space="preserve">lo </w:t>
      </w:r>
      <w:r w:rsidR="007C714B" w:rsidRPr="000A038F">
        <w:rPr>
          <w:rFonts w:ascii="Arial" w:hAnsi="Arial" w:cs="Arial"/>
        </w:rPr>
        <w:t>tanto</w:t>
      </w:r>
      <w:r w:rsidR="00BF4829" w:rsidRPr="000A038F">
        <w:rPr>
          <w:rFonts w:ascii="Arial" w:hAnsi="Arial" w:cs="Arial"/>
        </w:rPr>
        <w:t>,</w:t>
      </w:r>
      <w:r w:rsidR="007C714B" w:rsidRPr="000A038F">
        <w:rPr>
          <w:rFonts w:ascii="Arial" w:hAnsi="Arial" w:cs="Arial"/>
        </w:rPr>
        <w:t xml:space="preserve"> surge la obligación de </w:t>
      </w:r>
      <w:r>
        <w:rPr>
          <w:rFonts w:ascii="Arial" w:hAnsi="Arial" w:cs="Arial"/>
        </w:rPr>
        <w:t xml:space="preserve">emitir una respuesta </w:t>
      </w:r>
      <w:r>
        <w:rPr>
          <w:rFonts w:ascii="Arial" w:hAnsi="Arial" w:cs="Arial"/>
          <w:lang w:val="es-CO"/>
        </w:rPr>
        <w:t>plena y congruente con lo pedido, y así se ordenará</w:t>
      </w:r>
      <w:r w:rsidR="007C714B" w:rsidRPr="000A038F">
        <w:rPr>
          <w:rFonts w:ascii="Arial" w:hAnsi="Arial" w:cs="Arial"/>
        </w:rPr>
        <w:t xml:space="preserve">. </w:t>
      </w:r>
    </w:p>
    <w:p w:rsidR="007C714B" w:rsidRDefault="007C714B" w:rsidP="00AC23B4">
      <w:pPr>
        <w:pStyle w:val="Textoindependiente"/>
        <w:spacing w:line="360" w:lineRule="auto"/>
        <w:rPr>
          <w:rFonts w:ascii="Arial" w:hAnsi="Arial" w:cs="Arial"/>
        </w:rPr>
      </w:pPr>
    </w:p>
    <w:p w:rsidR="00AC23B4" w:rsidRDefault="00AC23B4" w:rsidP="008D71BB">
      <w:pPr>
        <w:pStyle w:val="Textoindependiente"/>
        <w:numPr>
          <w:ilvl w:val="0"/>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AC23B4" w:rsidRPr="00BB12E8" w:rsidRDefault="00AC23B4" w:rsidP="00AC23B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85"/>
        <w:textAlignment w:val="auto"/>
        <w:rPr>
          <w:rFonts w:ascii="Arial" w:hAnsi="Arial" w:cs="Arial"/>
          <w:szCs w:val="24"/>
        </w:rPr>
      </w:pPr>
    </w:p>
    <w:p w:rsidR="000A038F" w:rsidRPr="00951700" w:rsidRDefault="000A038F" w:rsidP="000A038F">
      <w:pPr>
        <w:spacing w:line="360" w:lineRule="auto"/>
        <w:ind w:right="51"/>
        <w:jc w:val="both"/>
        <w:rPr>
          <w:rFonts w:ascii="Arial" w:hAnsi="Arial"/>
        </w:rPr>
      </w:pPr>
      <w:r w:rsidRPr="007B7A69">
        <w:rPr>
          <w:rFonts w:ascii="Arial" w:hAnsi="Arial"/>
        </w:rPr>
        <w:t xml:space="preserve">En armonía con las premisas expuestas en los acápites anteriores: (i) Se declarará próspera la pretensión tutelar, para amparar el derecho </w:t>
      </w:r>
      <w:r w:rsidR="00A47EF3">
        <w:rPr>
          <w:rFonts w:ascii="Arial" w:hAnsi="Arial"/>
        </w:rPr>
        <w:t>al debido proceso y al acceso a la administración de justicia</w:t>
      </w:r>
      <w:r w:rsidRPr="007B7A69">
        <w:rPr>
          <w:rFonts w:ascii="Arial" w:hAnsi="Arial"/>
        </w:rPr>
        <w:t>; y (ii) Se expedirán las órdenes necesarias para su protección.</w:t>
      </w:r>
      <w:r>
        <w:rPr>
          <w:rFonts w:ascii="Arial" w:hAnsi="Arial"/>
        </w:rPr>
        <w:t xml:space="preserve">  </w:t>
      </w:r>
    </w:p>
    <w:p w:rsidR="000A038F" w:rsidRDefault="000A038F" w:rsidP="000A038F">
      <w:pPr>
        <w:tabs>
          <w:tab w:val="left" w:pos="-720"/>
        </w:tabs>
        <w:suppressAutoHyphens/>
        <w:spacing w:line="360" w:lineRule="auto"/>
        <w:jc w:val="both"/>
        <w:rPr>
          <w:rFonts w:ascii="Arial" w:hAnsi="Arial" w:cs="Arial"/>
        </w:rPr>
      </w:pPr>
    </w:p>
    <w:p w:rsidR="000A038F" w:rsidRDefault="000A038F" w:rsidP="000A038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AC23B4" w:rsidRPr="00F10295" w:rsidRDefault="00AC23B4" w:rsidP="00AC23B4">
      <w:pPr>
        <w:pStyle w:val="Textoindependiente"/>
        <w:spacing w:line="360" w:lineRule="auto"/>
        <w:jc w:val="center"/>
        <w:rPr>
          <w:rFonts w:ascii="Arial" w:hAnsi="Arial" w:cs="Arial"/>
          <w:bCs/>
          <w:smallCaps/>
          <w:sz w:val="2"/>
          <w:szCs w:val="24"/>
        </w:rPr>
      </w:pPr>
    </w:p>
    <w:p w:rsidR="00AC23B4" w:rsidRPr="006E3281" w:rsidRDefault="00AC23B4" w:rsidP="00AC23B4">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AC23B4" w:rsidRPr="00F10295" w:rsidRDefault="00AC23B4" w:rsidP="00AC23B4">
      <w:pPr>
        <w:pStyle w:val="Textoindependiente"/>
        <w:spacing w:line="360" w:lineRule="auto"/>
        <w:jc w:val="center"/>
        <w:rPr>
          <w:rFonts w:ascii="Arial" w:hAnsi="Arial" w:cs="Arial"/>
          <w:bCs/>
          <w:smallCaps/>
          <w:sz w:val="18"/>
          <w:szCs w:val="24"/>
        </w:rPr>
      </w:pPr>
    </w:p>
    <w:p w:rsidR="000A038F"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TUTELAR </w:t>
      </w:r>
      <w:r w:rsidR="00A47EF3">
        <w:rPr>
          <w:rFonts w:ascii="Arial" w:hAnsi="Arial"/>
          <w:szCs w:val="24"/>
        </w:rPr>
        <w:t xml:space="preserve">los </w:t>
      </w:r>
      <w:r w:rsidRPr="00B77970">
        <w:rPr>
          <w:rFonts w:ascii="Arial" w:hAnsi="Arial"/>
          <w:szCs w:val="24"/>
        </w:rPr>
        <w:t>derecho</w:t>
      </w:r>
      <w:r w:rsidR="00A47EF3">
        <w:rPr>
          <w:rFonts w:ascii="Arial" w:hAnsi="Arial"/>
          <w:szCs w:val="24"/>
        </w:rPr>
        <w:t>s</w:t>
      </w:r>
      <w:r w:rsidRPr="00B77970">
        <w:rPr>
          <w:rFonts w:ascii="Arial" w:hAnsi="Arial"/>
          <w:szCs w:val="24"/>
        </w:rPr>
        <w:t xml:space="preserve"> </w:t>
      </w:r>
      <w:r w:rsidR="00A47EF3">
        <w:rPr>
          <w:rFonts w:ascii="Arial" w:hAnsi="Arial"/>
          <w:szCs w:val="24"/>
        </w:rPr>
        <w:t xml:space="preserve">al debido proceso y al acceso a la administración de justicia </w:t>
      </w:r>
      <w:r>
        <w:rPr>
          <w:rFonts w:ascii="Arial" w:hAnsi="Arial"/>
          <w:szCs w:val="24"/>
        </w:rPr>
        <w:t xml:space="preserve">de la </w:t>
      </w:r>
      <w:r w:rsidR="00A47EF3">
        <w:rPr>
          <w:rFonts w:ascii="Arial" w:hAnsi="Arial"/>
          <w:szCs w:val="24"/>
        </w:rPr>
        <w:t xml:space="preserve">señora Adriana </w:t>
      </w:r>
      <w:proofErr w:type="spellStart"/>
      <w:r w:rsidR="00A47EF3">
        <w:rPr>
          <w:rFonts w:ascii="Arial" w:hAnsi="Arial"/>
          <w:szCs w:val="24"/>
        </w:rPr>
        <w:t>Sulay</w:t>
      </w:r>
      <w:proofErr w:type="spellEnd"/>
      <w:r w:rsidR="00A47EF3">
        <w:rPr>
          <w:rFonts w:ascii="Arial" w:hAnsi="Arial"/>
          <w:szCs w:val="24"/>
        </w:rPr>
        <w:t xml:space="preserve"> Betancur Gómez </w:t>
      </w:r>
      <w:r>
        <w:rPr>
          <w:rFonts w:ascii="Arial" w:hAnsi="Arial"/>
        </w:rPr>
        <w:t xml:space="preserve">ante el Juzgado </w:t>
      </w:r>
      <w:r w:rsidR="00A47EF3">
        <w:rPr>
          <w:rFonts w:ascii="Arial" w:hAnsi="Arial"/>
        </w:rPr>
        <w:t>Cuarto de Familia de Pereira</w:t>
      </w:r>
      <w:r w:rsidRPr="00B77970">
        <w:rPr>
          <w:rFonts w:ascii="Arial" w:hAnsi="Arial"/>
          <w:szCs w:val="24"/>
        </w:rPr>
        <w:t xml:space="preserve"> según lo discurrido en esta sentencia.</w:t>
      </w:r>
    </w:p>
    <w:p w:rsidR="000A038F" w:rsidRPr="002C3291" w:rsidRDefault="000A038F" w:rsidP="000A038F">
      <w:pPr>
        <w:pStyle w:val="Textoindependiente"/>
        <w:tabs>
          <w:tab w:val="clear" w:pos="708"/>
        </w:tabs>
        <w:spacing w:line="360" w:lineRule="auto"/>
        <w:ind w:left="360"/>
        <w:rPr>
          <w:rFonts w:ascii="Arial" w:hAnsi="Arial"/>
          <w:sz w:val="20"/>
          <w:szCs w:val="24"/>
        </w:rPr>
      </w:pPr>
      <w:bookmarkStart w:id="2" w:name="_GoBack"/>
      <w:bookmarkEnd w:id="2"/>
    </w:p>
    <w:p w:rsidR="000A038F" w:rsidRPr="0010068C"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10068C">
        <w:rPr>
          <w:rFonts w:ascii="Arial" w:hAnsi="Arial"/>
          <w:szCs w:val="24"/>
        </w:rPr>
        <w:t xml:space="preserve">ORDENAR, en consecuencia, </w:t>
      </w:r>
      <w:r w:rsidR="00A47EF3">
        <w:rPr>
          <w:rFonts w:ascii="Arial" w:hAnsi="Arial"/>
        </w:rPr>
        <w:t xml:space="preserve">al Juez </w:t>
      </w:r>
      <w:r w:rsidR="00A47EF3">
        <w:rPr>
          <w:rFonts w:ascii="Arial" w:hAnsi="Arial"/>
          <w:lang w:val="es-CO"/>
        </w:rPr>
        <w:t>Cuarto de Familia local</w:t>
      </w:r>
      <w:r>
        <w:rPr>
          <w:rFonts w:ascii="Arial" w:hAnsi="Arial"/>
        </w:rPr>
        <w:t>,</w:t>
      </w:r>
      <w:r w:rsidRPr="0010068C">
        <w:rPr>
          <w:rFonts w:ascii="Arial" w:hAnsi="Arial" w:cs="Arial"/>
        </w:rPr>
        <w:t xml:space="preserve"> que</w:t>
      </w:r>
      <w:r w:rsidRPr="0010068C">
        <w:rPr>
          <w:rFonts w:ascii="Arial" w:hAnsi="Arial"/>
        </w:rPr>
        <w:t xml:space="preserve"> en el perentorio término de </w:t>
      </w:r>
      <w:r w:rsidR="00A47EF3">
        <w:rPr>
          <w:rFonts w:ascii="Arial" w:hAnsi="Arial"/>
        </w:rPr>
        <w:t xml:space="preserve">veinticuatro </w:t>
      </w:r>
      <w:r w:rsidRPr="0010068C">
        <w:rPr>
          <w:rFonts w:ascii="Arial" w:hAnsi="Arial"/>
        </w:rPr>
        <w:t>(</w:t>
      </w:r>
      <w:r w:rsidR="00A47EF3">
        <w:rPr>
          <w:rFonts w:ascii="Arial" w:hAnsi="Arial"/>
        </w:rPr>
        <w:t>24</w:t>
      </w:r>
      <w:r w:rsidRPr="0010068C">
        <w:rPr>
          <w:rFonts w:ascii="Arial" w:hAnsi="Arial"/>
        </w:rPr>
        <w:t>) horas</w:t>
      </w:r>
      <w:r>
        <w:rPr>
          <w:rFonts w:ascii="Arial" w:hAnsi="Arial"/>
        </w:rPr>
        <w:t>,</w:t>
      </w:r>
      <w:r w:rsidRPr="0010068C">
        <w:rPr>
          <w:rFonts w:ascii="Arial" w:hAnsi="Arial"/>
        </w:rPr>
        <w:t xml:space="preserve"> siguientes a la notificación de esta sentencia, </w:t>
      </w:r>
      <w:r w:rsidR="00A47EF3">
        <w:rPr>
          <w:rFonts w:ascii="Arial" w:hAnsi="Arial"/>
        </w:rPr>
        <w:t>provea en forma integral respecto de la petición presentada el día 05-04-2016</w:t>
      </w:r>
      <w:r w:rsidRPr="0010068C">
        <w:rPr>
          <w:rFonts w:ascii="Arial" w:hAnsi="Arial"/>
        </w:rPr>
        <w:t>.</w:t>
      </w:r>
    </w:p>
    <w:p w:rsidR="000A038F" w:rsidRPr="002C3291" w:rsidRDefault="000A038F" w:rsidP="000A038F">
      <w:pPr>
        <w:pStyle w:val="Textoindependiente"/>
        <w:tabs>
          <w:tab w:val="clear" w:pos="708"/>
        </w:tabs>
        <w:spacing w:line="360" w:lineRule="auto"/>
        <w:rPr>
          <w:rFonts w:ascii="Arial" w:hAnsi="Arial"/>
          <w:sz w:val="20"/>
          <w:szCs w:val="24"/>
        </w:rPr>
      </w:pPr>
    </w:p>
    <w:p w:rsidR="000A038F"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A47EF3">
        <w:rPr>
          <w:rFonts w:ascii="Arial" w:hAnsi="Arial"/>
        </w:rPr>
        <w:t xml:space="preserve">al Juez </w:t>
      </w:r>
      <w:r w:rsidR="00A47EF3">
        <w:rPr>
          <w:rFonts w:ascii="Arial" w:hAnsi="Arial"/>
          <w:lang w:val="es-CO"/>
        </w:rPr>
        <w:t>Cuarto de Familia local</w:t>
      </w:r>
      <w:r>
        <w:rPr>
          <w:rFonts w:ascii="Arial" w:hAnsi="Arial"/>
          <w:szCs w:val="24"/>
        </w:rPr>
        <w:t xml:space="preserve">, que el incumplimiento a la orden impartida en esta decisión, se sanciona con arresto y multa, previo incidente ante esta Sala. </w:t>
      </w:r>
    </w:p>
    <w:p w:rsidR="00A47EF3" w:rsidRPr="002C3291" w:rsidRDefault="00A47EF3" w:rsidP="00A47EF3">
      <w:pPr>
        <w:pStyle w:val="Textoindependiente"/>
        <w:tabs>
          <w:tab w:val="clear" w:pos="708"/>
        </w:tabs>
        <w:spacing w:line="360" w:lineRule="auto"/>
        <w:rPr>
          <w:rFonts w:ascii="Arial" w:hAnsi="Arial"/>
          <w:sz w:val="20"/>
          <w:szCs w:val="24"/>
        </w:rPr>
      </w:pPr>
    </w:p>
    <w:p w:rsidR="000A038F" w:rsidRPr="00B77970"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0A038F" w:rsidRPr="00F10295" w:rsidRDefault="000A038F" w:rsidP="000A038F">
      <w:pPr>
        <w:pStyle w:val="Textoindependiente"/>
        <w:tabs>
          <w:tab w:val="clear" w:pos="708"/>
        </w:tabs>
        <w:spacing w:line="360" w:lineRule="auto"/>
        <w:ind w:left="360"/>
        <w:rPr>
          <w:rFonts w:ascii="Arial" w:hAnsi="Arial"/>
          <w:sz w:val="18"/>
          <w:szCs w:val="24"/>
        </w:rPr>
      </w:pPr>
    </w:p>
    <w:p w:rsidR="000A038F" w:rsidRPr="00B77970"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0A038F" w:rsidRPr="00F10295" w:rsidRDefault="000A038F" w:rsidP="000A038F">
      <w:pPr>
        <w:pStyle w:val="Textoindependiente"/>
        <w:tabs>
          <w:tab w:val="clear" w:pos="708"/>
        </w:tabs>
        <w:spacing w:line="360" w:lineRule="auto"/>
        <w:rPr>
          <w:rFonts w:ascii="Arial" w:hAnsi="Arial"/>
          <w:sz w:val="18"/>
          <w:szCs w:val="24"/>
        </w:rPr>
      </w:pPr>
    </w:p>
    <w:p w:rsidR="000A038F" w:rsidRDefault="000A038F" w:rsidP="000A038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lastRenderedPageBreak/>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AC23B4" w:rsidRPr="00F10295" w:rsidRDefault="00AC23B4" w:rsidP="00AC23B4">
      <w:pPr>
        <w:pStyle w:val="Prrafodelista"/>
        <w:rPr>
          <w:rFonts w:ascii="Arial" w:hAnsi="Arial" w:cs="Arial"/>
          <w:spacing w:val="-3"/>
          <w:sz w:val="18"/>
        </w:rPr>
      </w:pPr>
    </w:p>
    <w:p w:rsidR="00AC23B4" w:rsidRPr="002C4DE8" w:rsidRDefault="00AC23B4" w:rsidP="00AC23B4">
      <w:pPr>
        <w:pStyle w:val="Textoindependiente"/>
        <w:spacing w:line="360" w:lineRule="auto"/>
        <w:jc w:val="center"/>
        <w:rPr>
          <w:rFonts w:ascii="Arial" w:hAnsi="Arial"/>
          <w:smallCaps/>
          <w:szCs w:val="24"/>
          <w:lang w:val="en-US"/>
        </w:rPr>
      </w:pPr>
      <w:proofErr w:type="spellStart"/>
      <w:r w:rsidRPr="002C4DE8">
        <w:rPr>
          <w:rFonts w:ascii="Arial" w:hAnsi="Arial"/>
          <w:smallCaps/>
          <w:szCs w:val="24"/>
          <w:lang w:val="en-US"/>
        </w:rPr>
        <w:t>Notifíquese</w:t>
      </w:r>
      <w:proofErr w:type="spellEnd"/>
      <w:r w:rsidRPr="002C4DE8">
        <w:rPr>
          <w:rFonts w:ascii="Arial" w:hAnsi="Arial"/>
          <w:smallCaps/>
          <w:szCs w:val="24"/>
          <w:lang w:val="en-US"/>
        </w:rPr>
        <w:t>,</w:t>
      </w:r>
    </w:p>
    <w:p w:rsidR="00AC23B4" w:rsidRPr="002C4DE8" w:rsidRDefault="00AC23B4" w:rsidP="00AC23B4">
      <w:pPr>
        <w:pStyle w:val="Textoindependiente"/>
        <w:spacing w:line="360" w:lineRule="auto"/>
        <w:jc w:val="right"/>
        <w:rPr>
          <w:rFonts w:ascii="Arial" w:hAnsi="Arial"/>
          <w:szCs w:val="24"/>
          <w:lang w:val="en-US"/>
        </w:rPr>
      </w:pPr>
      <w:r w:rsidRPr="00FB14AC">
        <w:rPr>
          <w:rFonts w:ascii="Arial" w:hAnsi="Arial"/>
          <w:w w:val="150"/>
          <w:szCs w:val="24"/>
          <w:lang w:val="en-GB"/>
        </w:rPr>
        <w:tab/>
      </w:r>
    </w:p>
    <w:p w:rsidR="00AC23B4" w:rsidRPr="002C4DE8" w:rsidRDefault="00AC23B4" w:rsidP="00AC23B4">
      <w:pPr>
        <w:pStyle w:val="Textoindependiente"/>
        <w:spacing w:line="360" w:lineRule="auto"/>
        <w:jc w:val="center"/>
        <w:rPr>
          <w:rFonts w:ascii="Arial" w:hAnsi="Arial"/>
          <w:sz w:val="14"/>
          <w:szCs w:val="24"/>
          <w:lang w:val="en-US"/>
        </w:rPr>
      </w:pPr>
    </w:p>
    <w:p w:rsidR="00AC23B4" w:rsidRPr="002C4DE8" w:rsidRDefault="00AC23B4" w:rsidP="00AC23B4">
      <w:pPr>
        <w:pStyle w:val="Textoindependiente"/>
        <w:spacing w:line="360" w:lineRule="auto"/>
        <w:jc w:val="center"/>
        <w:rPr>
          <w:rFonts w:ascii="Arial" w:hAnsi="Arial"/>
          <w:szCs w:val="24"/>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C4DE8">
        <w:rPr>
          <w:rFonts w:ascii="Arial" w:hAnsi="Arial" w:cs="Arial"/>
          <w:i/>
          <w:spacing w:val="-3"/>
          <w:w w:val="150"/>
          <w:sz w:val="28"/>
          <w:lang w:val="en-US"/>
        </w:rPr>
        <w:t>D</w:t>
      </w:r>
      <w:r w:rsidRPr="002C4DE8">
        <w:rPr>
          <w:rFonts w:ascii="Arial" w:hAnsi="Arial" w:cs="Arial"/>
          <w:i/>
          <w:spacing w:val="-3"/>
          <w:w w:val="150"/>
          <w:sz w:val="18"/>
          <w:szCs w:val="16"/>
          <w:lang w:val="en-US"/>
        </w:rPr>
        <w:t xml:space="preserve">UBERNEY </w:t>
      </w:r>
      <w:r w:rsidRPr="002C4DE8">
        <w:rPr>
          <w:rFonts w:ascii="Arial" w:hAnsi="Arial" w:cs="Arial"/>
          <w:i/>
          <w:spacing w:val="-3"/>
          <w:w w:val="150"/>
          <w:sz w:val="28"/>
          <w:lang w:val="en-US"/>
        </w:rPr>
        <w:t>G</w:t>
      </w:r>
      <w:r w:rsidRPr="002C4DE8">
        <w:rPr>
          <w:rFonts w:ascii="Arial" w:hAnsi="Arial" w:cs="Arial"/>
          <w:i/>
          <w:spacing w:val="-3"/>
          <w:w w:val="150"/>
          <w:sz w:val="18"/>
          <w:szCs w:val="16"/>
          <w:lang w:val="en-US"/>
        </w:rPr>
        <w:t xml:space="preserve">RISALES </w:t>
      </w:r>
      <w:r w:rsidRPr="002C4DE8">
        <w:rPr>
          <w:rFonts w:ascii="Arial" w:hAnsi="Arial" w:cs="Arial"/>
          <w:i/>
          <w:spacing w:val="-3"/>
          <w:w w:val="150"/>
          <w:sz w:val="28"/>
          <w:lang w:val="en-US"/>
        </w:rPr>
        <w:t>H</w:t>
      </w:r>
      <w:r w:rsidRPr="002C4DE8">
        <w:rPr>
          <w:rFonts w:ascii="Arial" w:hAnsi="Arial" w:cs="Arial"/>
          <w:i/>
          <w:spacing w:val="-3"/>
          <w:w w:val="150"/>
          <w:sz w:val="18"/>
          <w:szCs w:val="16"/>
          <w:lang w:val="en-US"/>
        </w:rPr>
        <w:t>ERRERA</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C4DE8">
        <w:rPr>
          <w:rFonts w:ascii="Arial" w:hAnsi="Arial" w:cs="Arial"/>
          <w:i/>
          <w:spacing w:val="-3"/>
          <w:w w:val="150"/>
          <w:sz w:val="28"/>
          <w:lang w:val="en-US"/>
        </w:rPr>
        <w:t>M</w:t>
      </w:r>
      <w:r w:rsidRPr="002C4DE8">
        <w:rPr>
          <w:rFonts w:ascii="Arial" w:hAnsi="Arial" w:cs="Arial"/>
          <w:i/>
          <w:spacing w:val="-3"/>
          <w:w w:val="150"/>
          <w:lang w:val="en-US"/>
        </w:rPr>
        <w:t xml:space="preserve"> </w:t>
      </w:r>
      <w:r w:rsidRPr="002C4DE8">
        <w:rPr>
          <w:rFonts w:ascii="Arial" w:hAnsi="Arial" w:cs="Arial"/>
          <w:i/>
          <w:spacing w:val="-3"/>
          <w:w w:val="150"/>
          <w:sz w:val="18"/>
          <w:szCs w:val="20"/>
          <w:lang w:val="en-US"/>
        </w:rPr>
        <w:t>A G I S T R A D O</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C4DE8">
        <w:rPr>
          <w:rFonts w:ascii="Arial" w:hAnsi="Arial"/>
          <w:i/>
          <w:w w:val="150"/>
          <w:sz w:val="28"/>
          <w:szCs w:val="18"/>
          <w:lang w:val="en-US"/>
        </w:rPr>
        <w:t>E</w:t>
      </w:r>
      <w:r w:rsidRPr="002C4DE8">
        <w:rPr>
          <w:rFonts w:ascii="Arial" w:hAnsi="Arial"/>
          <w:i/>
          <w:w w:val="150"/>
          <w:sz w:val="18"/>
          <w:szCs w:val="18"/>
          <w:lang w:val="en-US"/>
        </w:rPr>
        <w:t>DDER</w:t>
      </w:r>
      <w:r w:rsidRPr="002C4DE8">
        <w:rPr>
          <w:rFonts w:ascii="Arial" w:hAnsi="Arial"/>
          <w:i/>
          <w:w w:val="150"/>
          <w:sz w:val="18"/>
          <w:lang w:val="en-US"/>
        </w:rPr>
        <w:t xml:space="preserve"> </w:t>
      </w:r>
      <w:r w:rsidRPr="002C4DE8">
        <w:rPr>
          <w:rFonts w:ascii="Arial" w:hAnsi="Arial"/>
          <w:i/>
          <w:w w:val="150"/>
          <w:sz w:val="28"/>
          <w:lang w:val="en-US"/>
        </w:rPr>
        <w:t>J</w:t>
      </w:r>
      <w:r w:rsidRPr="002C4DE8">
        <w:rPr>
          <w:rFonts w:ascii="Arial" w:hAnsi="Arial"/>
          <w:i/>
          <w:w w:val="150"/>
          <w:sz w:val="18"/>
          <w:szCs w:val="18"/>
          <w:lang w:val="en-US"/>
        </w:rPr>
        <w:t xml:space="preserve">IMMY </w:t>
      </w:r>
      <w:r w:rsidRPr="002C4DE8">
        <w:rPr>
          <w:rFonts w:ascii="Arial" w:hAnsi="Arial"/>
          <w:i/>
          <w:w w:val="150"/>
          <w:sz w:val="28"/>
          <w:lang w:val="en-US"/>
        </w:rPr>
        <w:t>S</w:t>
      </w:r>
      <w:r w:rsidRPr="002C4DE8">
        <w:rPr>
          <w:rFonts w:ascii="Arial" w:hAnsi="Arial"/>
          <w:i/>
          <w:w w:val="150"/>
          <w:sz w:val="18"/>
          <w:szCs w:val="18"/>
          <w:lang w:val="en-US"/>
        </w:rPr>
        <w:t xml:space="preserve">ÁNCHEZ </w:t>
      </w:r>
      <w:r w:rsidRPr="002C4DE8">
        <w:rPr>
          <w:rFonts w:ascii="Arial" w:hAnsi="Arial"/>
          <w:i/>
          <w:w w:val="150"/>
          <w:sz w:val="28"/>
          <w:szCs w:val="18"/>
          <w:lang w:val="en-US"/>
        </w:rPr>
        <w:t>C.</w:t>
      </w:r>
      <w:r w:rsidRPr="002C4DE8">
        <w:rPr>
          <w:rFonts w:ascii="Arial" w:hAnsi="Arial"/>
          <w:i/>
          <w:w w:val="150"/>
          <w:sz w:val="28"/>
          <w:szCs w:val="18"/>
          <w:lang w:val="en-US"/>
        </w:rPr>
        <w:tab/>
      </w:r>
      <w:r w:rsidRPr="002C4DE8">
        <w:rPr>
          <w:rFonts w:ascii="Arial" w:hAnsi="Arial"/>
          <w:i/>
          <w:w w:val="150"/>
          <w:sz w:val="28"/>
          <w:szCs w:val="18"/>
          <w:lang w:val="en-US"/>
        </w:rPr>
        <w:tab/>
      </w:r>
      <w:r w:rsidRPr="002C4DE8">
        <w:rPr>
          <w:rFonts w:ascii="Arial" w:hAnsi="Arial" w:cs="Arial"/>
          <w:i/>
          <w:spacing w:val="-3"/>
          <w:w w:val="150"/>
          <w:sz w:val="28"/>
          <w:szCs w:val="18"/>
          <w:lang w:val="en-US"/>
        </w:rPr>
        <w:t>J</w:t>
      </w:r>
      <w:r w:rsidRPr="002C4DE8">
        <w:rPr>
          <w:rFonts w:ascii="Arial" w:hAnsi="Arial" w:cs="Arial"/>
          <w:i/>
          <w:spacing w:val="-3"/>
          <w:w w:val="150"/>
          <w:sz w:val="18"/>
          <w:szCs w:val="18"/>
          <w:lang w:val="en-US"/>
        </w:rPr>
        <w:t xml:space="preserve">AIME </w:t>
      </w:r>
      <w:r w:rsidRPr="002C4DE8">
        <w:rPr>
          <w:rFonts w:ascii="Arial" w:hAnsi="Arial" w:cs="Arial"/>
          <w:i/>
          <w:spacing w:val="-3"/>
          <w:w w:val="150"/>
          <w:sz w:val="28"/>
          <w:szCs w:val="18"/>
          <w:lang w:val="en-US"/>
        </w:rPr>
        <w:t>A</w:t>
      </w:r>
      <w:r w:rsidRPr="002C4DE8">
        <w:rPr>
          <w:rFonts w:ascii="Arial" w:hAnsi="Arial"/>
          <w:i/>
          <w:w w:val="150"/>
          <w:sz w:val="18"/>
          <w:szCs w:val="18"/>
          <w:lang w:val="en-US"/>
        </w:rPr>
        <w:t xml:space="preserve">LBERTO </w:t>
      </w:r>
      <w:r w:rsidRPr="002C4DE8">
        <w:rPr>
          <w:rFonts w:ascii="Arial" w:hAnsi="Arial" w:cs="Arial"/>
          <w:i/>
          <w:spacing w:val="-3"/>
          <w:w w:val="150"/>
          <w:sz w:val="28"/>
          <w:szCs w:val="18"/>
          <w:lang w:val="en-US"/>
        </w:rPr>
        <w:t>S</w:t>
      </w:r>
      <w:r w:rsidRPr="002C4DE8">
        <w:rPr>
          <w:rFonts w:ascii="Arial" w:hAnsi="Arial" w:cs="Arial"/>
          <w:i/>
          <w:spacing w:val="-3"/>
          <w:w w:val="150"/>
          <w:sz w:val="18"/>
          <w:szCs w:val="16"/>
          <w:lang w:val="en-US"/>
        </w:rPr>
        <w:t xml:space="preserve">ARAZA </w:t>
      </w:r>
      <w:r w:rsidRPr="002C4DE8">
        <w:rPr>
          <w:rFonts w:ascii="Arial" w:hAnsi="Arial" w:cs="Arial"/>
          <w:i/>
          <w:spacing w:val="-3"/>
          <w:w w:val="150"/>
          <w:sz w:val="28"/>
          <w:szCs w:val="18"/>
          <w:lang w:val="en-US"/>
        </w:rPr>
        <w:t>N.</w:t>
      </w:r>
    </w:p>
    <w:p w:rsidR="00AC23B4"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2C4DE8">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r>
        <w:rPr>
          <w:rFonts w:ascii="Arial" w:hAnsi="Arial"/>
          <w:w w:val="150"/>
          <w:sz w:val="16"/>
          <w:lang w:val="en-US"/>
        </w:rPr>
        <w:tab/>
      </w:r>
      <w:r>
        <w:rPr>
          <w:rFonts w:ascii="Arial" w:hAnsi="Arial"/>
          <w:w w:val="150"/>
          <w:sz w:val="16"/>
          <w:lang w:val="en-US"/>
        </w:rPr>
        <w:tab/>
      </w:r>
      <w:r w:rsidRPr="002C4DE8">
        <w:rPr>
          <w:rFonts w:ascii="Arial" w:hAnsi="Arial"/>
          <w:w w:val="150"/>
          <w:sz w:val="10"/>
          <w:szCs w:val="10"/>
          <w:lang w:val="es-CO"/>
        </w:rPr>
        <w:t>DGH/</w:t>
      </w:r>
      <w:r w:rsidR="00993967" w:rsidRPr="002C4DE8">
        <w:rPr>
          <w:rFonts w:ascii="Arial" w:hAnsi="Arial"/>
          <w:w w:val="150"/>
          <w:sz w:val="10"/>
          <w:szCs w:val="10"/>
          <w:lang w:val="es-CO"/>
        </w:rPr>
        <w:t>ODCD</w:t>
      </w:r>
      <w:r w:rsidRPr="002C4DE8">
        <w:rPr>
          <w:rFonts w:ascii="Arial" w:hAnsi="Arial"/>
          <w:w w:val="150"/>
          <w:sz w:val="10"/>
          <w:szCs w:val="10"/>
          <w:lang w:val="es-CO"/>
        </w:rPr>
        <w:t>/</w:t>
      </w:r>
      <w:r w:rsidR="00993967" w:rsidRPr="002C4DE8">
        <w:rPr>
          <w:rFonts w:ascii="Arial" w:hAnsi="Arial"/>
          <w:w w:val="150"/>
          <w:sz w:val="10"/>
          <w:szCs w:val="10"/>
          <w:lang w:val="es-CO"/>
        </w:rPr>
        <w:t>2016</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sectPr w:rsidR="00AC23B4" w:rsidRPr="002C4DE8"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92" w:rsidRDefault="006F3492" w:rsidP="0099045D">
      <w:r>
        <w:separator/>
      </w:r>
    </w:p>
  </w:endnote>
  <w:endnote w:type="continuationSeparator" w:id="0">
    <w:p w:rsidR="006F3492" w:rsidRDefault="006F349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41" w:rsidRDefault="00DB3F41"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DB3F41" w:rsidRDefault="00DB3F41" w:rsidP="0013771A">
    <w:pPr>
      <w:pStyle w:val="Piedepgina"/>
      <w:spacing w:line="360" w:lineRule="auto"/>
      <w:jc w:val="right"/>
      <w:rPr>
        <w:rFonts w:ascii="Arial" w:hAnsi="Arial" w:cs="Arial"/>
        <w:spacing w:val="20"/>
        <w:w w:val="200"/>
        <w:sz w:val="14"/>
        <w:szCs w:val="10"/>
        <w:lang w:val="es-CO"/>
      </w:rPr>
    </w:pPr>
  </w:p>
  <w:p w:rsidR="00DB3F41" w:rsidRPr="003E18D8" w:rsidRDefault="00DB3F41"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DB3F41" w:rsidRPr="007F7D49" w:rsidRDefault="00DB3F41"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92" w:rsidRDefault="006F3492" w:rsidP="0099045D">
      <w:r>
        <w:separator/>
      </w:r>
    </w:p>
  </w:footnote>
  <w:footnote w:type="continuationSeparator" w:id="0">
    <w:p w:rsidR="006F3492" w:rsidRDefault="006F3492" w:rsidP="0099045D">
      <w:r>
        <w:continuationSeparator/>
      </w:r>
    </w:p>
  </w:footnote>
  <w:footnote w:id="1">
    <w:p w:rsidR="00DB3F41" w:rsidRPr="00671FA7" w:rsidRDefault="00DB3F41" w:rsidP="008D71BB">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CONSTITUCIONAL. Sentencia T-324 del 12-08-1993.</w:t>
      </w:r>
    </w:p>
  </w:footnote>
  <w:footnote w:id="2">
    <w:p w:rsidR="00DB3F41" w:rsidRPr="009C4841" w:rsidRDefault="00DB3F41" w:rsidP="008D71BB">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del 06-08-2012</w:t>
      </w:r>
      <w:r w:rsidRPr="009C4841">
        <w:rPr>
          <w:rFonts w:asciiTheme="minorHAnsi" w:hAnsiTheme="minorHAnsi" w:cs="Arial"/>
        </w:rPr>
        <w:t>.</w:t>
      </w:r>
    </w:p>
  </w:footnote>
  <w:footnote w:id="3">
    <w:p w:rsidR="00DB3F41" w:rsidRPr="009C4841" w:rsidRDefault="00DB3F41"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4">
    <w:p w:rsidR="00DB3F41" w:rsidRPr="009C4841" w:rsidRDefault="00DB3F41"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5">
    <w:p w:rsidR="00DB3F41" w:rsidRPr="009C4841" w:rsidRDefault="00DB3F41"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6">
    <w:p w:rsidR="00DB3F41" w:rsidRPr="009C4841" w:rsidRDefault="00DB3F41"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7">
    <w:p w:rsidR="00DB3F41" w:rsidRPr="00925416" w:rsidRDefault="00DB3F41" w:rsidP="008D71BB">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8">
    <w:p w:rsidR="00DB3F41" w:rsidRPr="00925416" w:rsidRDefault="00DB3F41" w:rsidP="008D71BB">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del 06-08-2003. </w:t>
      </w:r>
    </w:p>
  </w:footnote>
  <w:footnote w:id="9">
    <w:p w:rsidR="00DB3F41" w:rsidRPr="00925416" w:rsidRDefault="00DB3F41" w:rsidP="008D71BB">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del 01-04</w:t>
      </w:r>
      <w:r>
        <w:rPr>
          <w:rFonts w:asciiTheme="minorHAnsi" w:hAnsiTheme="minorHAnsi" w:cs="Calibri"/>
        </w:rPr>
        <w:t>-</w:t>
      </w:r>
      <w:r w:rsidRPr="00925416">
        <w:rPr>
          <w:rFonts w:asciiTheme="minorHAnsi" w:hAnsiTheme="minorHAnsi" w:cs="Calibri"/>
        </w:rPr>
        <w:t>2013.</w:t>
      </w:r>
    </w:p>
  </w:footnote>
  <w:footnote w:id="10">
    <w:p w:rsidR="00DB3F41" w:rsidRPr="00925416" w:rsidRDefault="00DB3F41" w:rsidP="008D71BB">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del 24-02-2014</w:t>
      </w:r>
      <w:r w:rsidRPr="00925416">
        <w:rPr>
          <w:rFonts w:asciiTheme="minorHAnsi" w:hAnsiTheme="minorHAnsi" w:cs="Arial"/>
        </w:rPr>
        <w:t>.</w:t>
      </w:r>
    </w:p>
  </w:footnote>
  <w:footnote w:id="11">
    <w:p w:rsidR="00DB3F41" w:rsidRPr="009C4841" w:rsidRDefault="00DB3F41"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12">
    <w:p w:rsidR="00DB3F41" w:rsidRPr="00653BAF" w:rsidRDefault="00DB3F41" w:rsidP="008D71BB">
      <w:pPr>
        <w:pStyle w:val="Textonotapie"/>
        <w:rPr>
          <w:rFonts w:asciiTheme="minorHAnsi" w:hAnsiTheme="minorHAnsi"/>
          <w:lang w:val="es-CO"/>
        </w:rPr>
      </w:pPr>
      <w:r w:rsidRPr="00653BAF">
        <w:rPr>
          <w:rStyle w:val="Refdenotaalpie"/>
          <w:rFonts w:asciiTheme="minorHAnsi" w:hAnsiTheme="minorHAnsi"/>
        </w:rPr>
        <w:footnoteRef/>
      </w:r>
      <w:r w:rsidRPr="00653BAF">
        <w:rPr>
          <w:rFonts w:asciiTheme="minorHAnsi" w:hAnsiTheme="minorHAnsi"/>
        </w:rPr>
        <w:t xml:space="preserve"> </w:t>
      </w:r>
      <w:r w:rsidRPr="00653BAF">
        <w:rPr>
          <w:rFonts w:asciiTheme="minorHAnsi" w:hAnsiTheme="minorHAnsi" w:cs="Calibri"/>
        </w:rPr>
        <w:t>CORTE CONSTITUCIONAL. Sentencia T-</w:t>
      </w:r>
      <w:r>
        <w:rPr>
          <w:rFonts w:asciiTheme="minorHAnsi" w:hAnsiTheme="minorHAnsi" w:cs="Calibri"/>
        </w:rPr>
        <w:t>215A</w:t>
      </w:r>
      <w:r w:rsidRPr="00653BAF">
        <w:rPr>
          <w:rFonts w:asciiTheme="minorHAnsi" w:hAnsiTheme="minorHAnsi" w:cs="Calibri"/>
        </w:rPr>
        <w:t xml:space="preserve"> del </w:t>
      </w:r>
      <w:r>
        <w:rPr>
          <w:rFonts w:asciiTheme="minorHAnsi" w:hAnsiTheme="minorHAnsi" w:cs="Calibri"/>
        </w:rPr>
        <w:t>28-03-2011</w:t>
      </w:r>
      <w:r w:rsidRPr="00653BAF">
        <w:rPr>
          <w:rFonts w:asciiTheme="minorHAnsi" w:hAnsiTheme="minorHAnsi" w:cs="Arial"/>
        </w:rPr>
        <w:t>.</w:t>
      </w:r>
    </w:p>
  </w:footnote>
  <w:footnote w:id="13">
    <w:p w:rsidR="00DB3F41" w:rsidRPr="00653BAF" w:rsidRDefault="00DB3F41" w:rsidP="008D71BB">
      <w:pPr>
        <w:pStyle w:val="Textonotapie"/>
        <w:ind w:right="-516"/>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w:t>
      </w:r>
      <w:r w:rsidRPr="00653BAF">
        <w:rPr>
          <w:rFonts w:asciiTheme="minorHAnsi" w:hAnsiTheme="minorHAnsi" w:cs="Calibri"/>
        </w:rPr>
        <w:t>CORTE CONSTITUCIONAL. Sentencia</w:t>
      </w:r>
      <w:r w:rsidRPr="00653BAF">
        <w:rPr>
          <w:rFonts w:asciiTheme="minorHAnsi" w:hAnsiTheme="minorHAnsi"/>
        </w:rPr>
        <w:t xml:space="preserve"> T-334 de 1995.</w:t>
      </w:r>
    </w:p>
  </w:footnote>
  <w:footnote w:id="14">
    <w:p w:rsidR="00DB3F41" w:rsidRPr="00653BAF" w:rsidRDefault="00DB3F41" w:rsidP="008D71BB">
      <w:pPr>
        <w:pStyle w:val="Textonotapie"/>
        <w:ind w:right="-98"/>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Ídem. </w:t>
      </w:r>
    </w:p>
  </w:footnote>
  <w:footnote w:id="15">
    <w:p w:rsidR="00DB3F41" w:rsidRPr="00653BAF" w:rsidRDefault="00DB3F41" w:rsidP="008D71BB">
      <w:pPr>
        <w:pStyle w:val="Textonotapie"/>
        <w:ind w:right="-98"/>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Ídem.</w:t>
      </w:r>
    </w:p>
  </w:footnote>
  <w:footnote w:id="16">
    <w:p w:rsidR="00DB3F41" w:rsidRPr="00653BAF" w:rsidRDefault="00DB3F41" w:rsidP="008D71BB">
      <w:pPr>
        <w:pStyle w:val="Textonotapie"/>
        <w:ind w:right="-98"/>
        <w:rPr>
          <w:rFonts w:asciiTheme="minorHAnsi" w:hAnsiTheme="minorHAnsi"/>
        </w:rPr>
      </w:pPr>
      <w:r w:rsidRPr="00653BAF">
        <w:rPr>
          <w:rFonts w:asciiTheme="minorHAnsi" w:hAnsiTheme="minorHAnsi"/>
          <w:vertAlign w:val="superscript"/>
        </w:rPr>
        <w:footnoteRef/>
      </w:r>
      <w:r>
        <w:rPr>
          <w:rFonts w:asciiTheme="minorHAnsi" w:hAnsiTheme="minorHAnsi"/>
        </w:rPr>
        <w:t xml:space="preserve"> </w:t>
      </w:r>
      <w:r w:rsidRPr="00653BAF">
        <w:rPr>
          <w:rFonts w:asciiTheme="minorHAnsi" w:hAnsiTheme="minorHAnsi" w:cs="Calibri"/>
        </w:rPr>
        <w:t xml:space="preserve">CORTE CONSTITUCIONAL. </w:t>
      </w:r>
      <w:r w:rsidRPr="00653BAF">
        <w:rPr>
          <w:rFonts w:asciiTheme="minorHAnsi" w:hAnsiTheme="minorHAnsi"/>
        </w:rPr>
        <w:t>Sentencias T-377 de 2000; T-178 de 2000; T-007 de 1999, T-604 de 1995.</w:t>
      </w:r>
    </w:p>
  </w:footnote>
  <w:footnote w:id="17">
    <w:p w:rsidR="00DB3F41" w:rsidRPr="00653BAF" w:rsidRDefault="00DB3F41" w:rsidP="008D71BB">
      <w:pPr>
        <w:pStyle w:val="Textonotapie"/>
        <w:ind w:right="-98"/>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w:t>
      </w:r>
      <w:r w:rsidRPr="00653BAF">
        <w:rPr>
          <w:rFonts w:asciiTheme="minorHAnsi" w:hAnsiTheme="minorHAnsi" w:cs="Calibri"/>
        </w:rPr>
        <w:t xml:space="preserve">CORTE CONSTITUCIONAL. </w:t>
      </w:r>
      <w:r>
        <w:rPr>
          <w:rFonts w:asciiTheme="minorHAnsi" w:hAnsiTheme="minorHAnsi" w:cs="Calibri"/>
        </w:rPr>
        <w:t xml:space="preserve"> </w:t>
      </w:r>
      <w:r w:rsidRPr="00653BAF">
        <w:rPr>
          <w:rFonts w:asciiTheme="minorHAnsi" w:hAnsiTheme="minorHAnsi"/>
        </w:rPr>
        <w:t>Sentencia T-006 de 1992; T-173 de 1993; C-416 de 1994 y T-268 de 1996.</w:t>
      </w:r>
    </w:p>
  </w:footnote>
  <w:footnote w:id="18">
    <w:p w:rsidR="00DB3F41" w:rsidRPr="00653BAF" w:rsidRDefault="00DB3F41" w:rsidP="008D71BB">
      <w:pPr>
        <w:pStyle w:val="Textonotapie"/>
        <w:ind w:right="-516"/>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w:t>
      </w:r>
      <w:r w:rsidRPr="00653BAF">
        <w:rPr>
          <w:rFonts w:asciiTheme="minorHAnsi" w:hAnsiTheme="minorHAnsi" w:cs="Calibri"/>
        </w:rPr>
        <w:t xml:space="preserve">CORTE CONSTITUCIONAL. </w:t>
      </w:r>
      <w:r>
        <w:rPr>
          <w:rFonts w:asciiTheme="minorHAnsi" w:hAnsiTheme="minorHAnsi" w:cs="Calibri"/>
        </w:rPr>
        <w:t xml:space="preserve"> </w:t>
      </w:r>
      <w:r w:rsidRPr="00653BAF">
        <w:rPr>
          <w:rFonts w:asciiTheme="minorHAnsi" w:hAnsiTheme="minorHAnsi"/>
        </w:rPr>
        <w:t>Sentencia T-368</w:t>
      </w:r>
      <w:r w:rsidR="00CF48A7">
        <w:rPr>
          <w:rFonts w:asciiTheme="minorHAnsi" w:hAnsiTheme="minorHAnsi"/>
        </w:rPr>
        <w:t xml:space="preserve"> de 1995</w:t>
      </w:r>
      <w:r w:rsidRPr="00653BAF">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41" w:rsidRPr="006414F7" w:rsidRDefault="00DB3F41">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C3291">
      <w:rPr>
        <w:rFonts w:ascii="Calibri" w:hAnsi="Calibri" w:cs="Calibri"/>
        <w:i/>
        <w:noProof/>
        <w:sz w:val="20"/>
      </w:rPr>
      <w:t>7</w:t>
    </w:r>
    <w:r w:rsidRPr="006414F7">
      <w:rPr>
        <w:rFonts w:ascii="Calibri" w:hAnsi="Calibri" w:cs="Calibri"/>
        <w:i/>
        <w:sz w:val="20"/>
      </w:rPr>
      <w:fldChar w:fldCharType="end"/>
    </w:r>
  </w:p>
  <w:p w:rsidR="00DB3F41" w:rsidRPr="006414F7" w:rsidRDefault="00DB3F41"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2016-00672-00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A096330"/>
    <w:multiLevelType w:val="multilevel"/>
    <w:tmpl w:val="EB20D02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DA3FFC"/>
    <w:multiLevelType w:val="multilevel"/>
    <w:tmpl w:val="CF72C9F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2"/>
  </w:num>
  <w:num w:numId="13">
    <w:abstractNumId w:val="7"/>
  </w:num>
  <w:num w:numId="14">
    <w:abstractNumId w:val="9"/>
  </w:num>
  <w:num w:numId="15">
    <w:abstractNumId w:val="14"/>
  </w:num>
  <w:num w:numId="16">
    <w:abstractNumId w:val="3"/>
  </w:num>
  <w:num w:numId="17">
    <w:abstractNumId w:val="15"/>
  </w:num>
  <w:num w:numId="18">
    <w:abstractNumId w:val="5"/>
  </w:num>
  <w:num w:numId="19">
    <w:abstractNumId w:val="4"/>
  </w:num>
  <w:num w:numId="20">
    <w:abstractNumId w:val="10"/>
  </w:num>
  <w:num w:numId="21">
    <w:abstractNumId w:val="17"/>
  </w:num>
  <w:num w:numId="22">
    <w:abstractNumId w:val="21"/>
  </w:num>
  <w:num w:numId="23">
    <w:abstractNumId w:val="11"/>
  </w:num>
  <w:num w:numId="24">
    <w:abstractNumId w:val="20"/>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29A"/>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351"/>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82"/>
    <w:rsid w:val="000970D6"/>
    <w:rsid w:val="0009797E"/>
    <w:rsid w:val="00097C7C"/>
    <w:rsid w:val="000A038F"/>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4C5"/>
    <w:rsid w:val="000D152C"/>
    <w:rsid w:val="000D1769"/>
    <w:rsid w:val="000D2B3D"/>
    <w:rsid w:val="000D2D98"/>
    <w:rsid w:val="000D31B6"/>
    <w:rsid w:val="000D364C"/>
    <w:rsid w:val="000D3948"/>
    <w:rsid w:val="000D3F22"/>
    <w:rsid w:val="000D41CB"/>
    <w:rsid w:val="000D6276"/>
    <w:rsid w:val="000D763A"/>
    <w:rsid w:val="000D78F8"/>
    <w:rsid w:val="000D7A85"/>
    <w:rsid w:val="000D7DD7"/>
    <w:rsid w:val="000D7EFB"/>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2F6F"/>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8C"/>
    <w:rsid w:val="00136FE1"/>
    <w:rsid w:val="0013721C"/>
    <w:rsid w:val="0013771A"/>
    <w:rsid w:val="00137E97"/>
    <w:rsid w:val="00141287"/>
    <w:rsid w:val="00141D52"/>
    <w:rsid w:val="00142676"/>
    <w:rsid w:val="0014281B"/>
    <w:rsid w:val="001429EF"/>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07A"/>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07D76"/>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844"/>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DD3"/>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291"/>
    <w:rsid w:val="002C3B48"/>
    <w:rsid w:val="002C3E10"/>
    <w:rsid w:val="002C4684"/>
    <w:rsid w:val="002C4983"/>
    <w:rsid w:val="002C4AC0"/>
    <w:rsid w:val="002C4C30"/>
    <w:rsid w:val="002C4DE8"/>
    <w:rsid w:val="002C50BB"/>
    <w:rsid w:val="002C5523"/>
    <w:rsid w:val="002C5B41"/>
    <w:rsid w:val="002C710C"/>
    <w:rsid w:val="002C771C"/>
    <w:rsid w:val="002C79F1"/>
    <w:rsid w:val="002D061F"/>
    <w:rsid w:val="002D08EB"/>
    <w:rsid w:val="002D1B84"/>
    <w:rsid w:val="002D31B2"/>
    <w:rsid w:val="002D37CB"/>
    <w:rsid w:val="002D4132"/>
    <w:rsid w:val="002D4A2E"/>
    <w:rsid w:val="002D5B84"/>
    <w:rsid w:val="002D62CE"/>
    <w:rsid w:val="002D77A5"/>
    <w:rsid w:val="002D786F"/>
    <w:rsid w:val="002D7F39"/>
    <w:rsid w:val="002E000E"/>
    <w:rsid w:val="002E03F1"/>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0F3"/>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0C8"/>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924"/>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1418"/>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AF9"/>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20F"/>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2B9"/>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E69"/>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C06"/>
    <w:rsid w:val="00491288"/>
    <w:rsid w:val="00491333"/>
    <w:rsid w:val="00491B8B"/>
    <w:rsid w:val="00491D39"/>
    <w:rsid w:val="004927CF"/>
    <w:rsid w:val="004935DB"/>
    <w:rsid w:val="00493D0E"/>
    <w:rsid w:val="004940D6"/>
    <w:rsid w:val="004940DE"/>
    <w:rsid w:val="00494F4B"/>
    <w:rsid w:val="00495FB0"/>
    <w:rsid w:val="00496625"/>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88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DA8"/>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17"/>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84"/>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6631"/>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492"/>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961"/>
    <w:rsid w:val="007161AC"/>
    <w:rsid w:val="00717574"/>
    <w:rsid w:val="00720F6E"/>
    <w:rsid w:val="007219B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1B19"/>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54B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14B"/>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885"/>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318"/>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E14"/>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1C9"/>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6AE"/>
    <w:rsid w:val="008A4F3D"/>
    <w:rsid w:val="008A533C"/>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A24"/>
    <w:rsid w:val="008B5E17"/>
    <w:rsid w:val="008B5FAE"/>
    <w:rsid w:val="008B6600"/>
    <w:rsid w:val="008B6837"/>
    <w:rsid w:val="008B6E6C"/>
    <w:rsid w:val="008B7434"/>
    <w:rsid w:val="008B7596"/>
    <w:rsid w:val="008B77FC"/>
    <w:rsid w:val="008C049F"/>
    <w:rsid w:val="008C192F"/>
    <w:rsid w:val="008C197B"/>
    <w:rsid w:val="008C25A0"/>
    <w:rsid w:val="008C2602"/>
    <w:rsid w:val="008C2FCA"/>
    <w:rsid w:val="008C334B"/>
    <w:rsid w:val="008C3547"/>
    <w:rsid w:val="008C3CB1"/>
    <w:rsid w:val="008C40D5"/>
    <w:rsid w:val="008C42B4"/>
    <w:rsid w:val="008C4C86"/>
    <w:rsid w:val="008C5895"/>
    <w:rsid w:val="008C5A78"/>
    <w:rsid w:val="008C66BD"/>
    <w:rsid w:val="008C6F1D"/>
    <w:rsid w:val="008C70B4"/>
    <w:rsid w:val="008C7644"/>
    <w:rsid w:val="008C7B37"/>
    <w:rsid w:val="008C7E45"/>
    <w:rsid w:val="008D0254"/>
    <w:rsid w:val="008D17C2"/>
    <w:rsid w:val="008D1CC2"/>
    <w:rsid w:val="008D232F"/>
    <w:rsid w:val="008D24B6"/>
    <w:rsid w:val="008D2DD4"/>
    <w:rsid w:val="008D2E0B"/>
    <w:rsid w:val="008D381D"/>
    <w:rsid w:val="008D3FE5"/>
    <w:rsid w:val="008D43B4"/>
    <w:rsid w:val="008D49E9"/>
    <w:rsid w:val="008D53F1"/>
    <w:rsid w:val="008D71BB"/>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C53"/>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225"/>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7D1"/>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A0E"/>
    <w:rsid w:val="00975D9D"/>
    <w:rsid w:val="00975FA1"/>
    <w:rsid w:val="0097600A"/>
    <w:rsid w:val="00976010"/>
    <w:rsid w:val="009763D6"/>
    <w:rsid w:val="00976E97"/>
    <w:rsid w:val="00980A11"/>
    <w:rsid w:val="00980AC5"/>
    <w:rsid w:val="0098136D"/>
    <w:rsid w:val="00982323"/>
    <w:rsid w:val="00982332"/>
    <w:rsid w:val="009824FF"/>
    <w:rsid w:val="0098258C"/>
    <w:rsid w:val="00982616"/>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967"/>
    <w:rsid w:val="009943CD"/>
    <w:rsid w:val="00994846"/>
    <w:rsid w:val="00994C90"/>
    <w:rsid w:val="00994FFA"/>
    <w:rsid w:val="009954DF"/>
    <w:rsid w:val="00995955"/>
    <w:rsid w:val="0099691C"/>
    <w:rsid w:val="00996AA9"/>
    <w:rsid w:val="00997AAF"/>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5DB"/>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62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415"/>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47EF3"/>
    <w:rsid w:val="00A50109"/>
    <w:rsid w:val="00A50667"/>
    <w:rsid w:val="00A50B34"/>
    <w:rsid w:val="00A51F23"/>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3B4"/>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386"/>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AF"/>
    <w:rsid w:val="00B06C2C"/>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47F"/>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32F"/>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97D16"/>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6F3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16E"/>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29"/>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EAA"/>
    <w:rsid w:val="00C15191"/>
    <w:rsid w:val="00C15358"/>
    <w:rsid w:val="00C15C92"/>
    <w:rsid w:val="00C15D67"/>
    <w:rsid w:val="00C171D4"/>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53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015"/>
    <w:rsid w:val="00C87118"/>
    <w:rsid w:val="00C901FD"/>
    <w:rsid w:val="00C91451"/>
    <w:rsid w:val="00C914BD"/>
    <w:rsid w:val="00C92A0F"/>
    <w:rsid w:val="00C932B1"/>
    <w:rsid w:val="00C94F63"/>
    <w:rsid w:val="00C958A3"/>
    <w:rsid w:val="00C958C1"/>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128"/>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8A7"/>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94E"/>
    <w:rsid w:val="00D05AB2"/>
    <w:rsid w:val="00D065AB"/>
    <w:rsid w:val="00D07152"/>
    <w:rsid w:val="00D0751B"/>
    <w:rsid w:val="00D07692"/>
    <w:rsid w:val="00D07877"/>
    <w:rsid w:val="00D10388"/>
    <w:rsid w:val="00D1070A"/>
    <w:rsid w:val="00D1161F"/>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D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3BD"/>
    <w:rsid w:val="00D9642C"/>
    <w:rsid w:val="00D97026"/>
    <w:rsid w:val="00D97759"/>
    <w:rsid w:val="00D97BF7"/>
    <w:rsid w:val="00D97DB9"/>
    <w:rsid w:val="00DA0076"/>
    <w:rsid w:val="00DA0A88"/>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F41"/>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35F"/>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71E"/>
    <w:rsid w:val="00E27D33"/>
    <w:rsid w:val="00E309D8"/>
    <w:rsid w:val="00E30AFF"/>
    <w:rsid w:val="00E30C38"/>
    <w:rsid w:val="00E31580"/>
    <w:rsid w:val="00E31941"/>
    <w:rsid w:val="00E3198D"/>
    <w:rsid w:val="00E324FA"/>
    <w:rsid w:val="00E331DA"/>
    <w:rsid w:val="00E33D4F"/>
    <w:rsid w:val="00E34172"/>
    <w:rsid w:val="00E34B3C"/>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1E6"/>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74E"/>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A97"/>
    <w:rsid w:val="00F0165D"/>
    <w:rsid w:val="00F01E42"/>
    <w:rsid w:val="00F01EF9"/>
    <w:rsid w:val="00F021CB"/>
    <w:rsid w:val="00F025F5"/>
    <w:rsid w:val="00F029B2"/>
    <w:rsid w:val="00F02B99"/>
    <w:rsid w:val="00F03880"/>
    <w:rsid w:val="00F03C45"/>
    <w:rsid w:val="00F03CFB"/>
    <w:rsid w:val="00F03E18"/>
    <w:rsid w:val="00F040F0"/>
    <w:rsid w:val="00F04202"/>
    <w:rsid w:val="00F047FB"/>
    <w:rsid w:val="00F04C91"/>
    <w:rsid w:val="00F04E5F"/>
    <w:rsid w:val="00F055DE"/>
    <w:rsid w:val="00F057FE"/>
    <w:rsid w:val="00F05E6E"/>
    <w:rsid w:val="00F06DA2"/>
    <w:rsid w:val="00F072DE"/>
    <w:rsid w:val="00F0768D"/>
    <w:rsid w:val="00F10295"/>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A29"/>
    <w:rsid w:val="00F348E7"/>
    <w:rsid w:val="00F34CA4"/>
    <w:rsid w:val="00F34ECB"/>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49BF"/>
    <w:rsid w:val="00F650F6"/>
    <w:rsid w:val="00F655AD"/>
    <w:rsid w:val="00F65E77"/>
    <w:rsid w:val="00F65FD9"/>
    <w:rsid w:val="00F6614C"/>
    <w:rsid w:val="00F66EF7"/>
    <w:rsid w:val="00F6746D"/>
    <w:rsid w:val="00F6760D"/>
    <w:rsid w:val="00F676B1"/>
    <w:rsid w:val="00F707B9"/>
    <w:rsid w:val="00F70AC0"/>
    <w:rsid w:val="00F70EFD"/>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5FA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01B8"/>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8E2"/>
    <w:rsid w:val="00FA59D4"/>
    <w:rsid w:val="00FA6651"/>
    <w:rsid w:val="00FA67CA"/>
    <w:rsid w:val="00FA6C8A"/>
    <w:rsid w:val="00FA6D29"/>
    <w:rsid w:val="00FA7F1F"/>
    <w:rsid w:val="00FB0496"/>
    <w:rsid w:val="00FB0DBA"/>
    <w:rsid w:val="00FB0E63"/>
    <w:rsid w:val="00FB1171"/>
    <w:rsid w:val="00FB1492"/>
    <w:rsid w:val="00FB14AC"/>
    <w:rsid w:val="00FB18B1"/>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D7948"/>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25F5-C880-4403-B7AD-3CFD66A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2016-07-22T12:39:00Z</cp:lastPrinted>
  <dcterms:created xsi:type="dcterms:W3CDTF">2016-07-21T14:53:00Z</dcterms:created>
  <dcterms:modified xsi:type="dcterms:W3CDTF">2016-07-25T16:36:00Z</dcterms:modified>
</cp:coreProperties>
</file>