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E4" w:rsidRPr="001564D9" w:rsidRDefault="00946DE4" w:rsidP="001564D9">
      <w:pPr>
        <w:pStyle w:val="Textoindependiente"/>
        <w:spacing w:line="240" w:lineRule="auto"/>
        <w:rPr>
          <w:rFonts w:ascii="Arial" w:hAnsi="Arial"/>
          <w:sz w:val="18"/>
          <w:szCs w:val="18"/>
        </w:rPr>
      </w:pPr>
      <w:r w:rsidRPr="001564D9">
        <w:rPr>
          <w:rFonts w:ascii="Arial" w:hAnsi="Arial" w:cs="Arial"/>
          <w:bCs/>
          <w:spacing w:val="-6"/>
          <w:sz w:val="18"/>
          <w:szCs w:val="18"/>
        </w:rPr>
        <w:t xml:space="preserve">PRINCIPIO DE INMEDIATEZ/ Improcedencia de la tutela por la superación del término razonable para presentarla  </w:t>
      </w:r>
    </w:p>
    <w:p w:rsidR="00946DE4" w:rsidRPr="001564D9" w:rsidRDefault="00946DE4" w:rsidP="001564D9">
      <w:pPr>
        <w:ind w:right="51"/>
        <w:jc w:val="both"/>
        <w:rPr>
          <w:rFonts w:ascii="Arial" w:hAnsi="Arial" w:cs="Arial"/>
          <w:bCs/>
          <w:spacing w:val="-6"/>
          <w:sz w:val="18"/>
          <w:szCs w:val="18"/>
        </w:rPr>
      </w:pPr>
      <w:r w:rsidRPr="001564D9">
        <w:rPr>
          <w:rFonts w:ascii="Arial" w:hAnsi="Arial" w:cs="Arial"/>
          <w:bCs/>
          <w:spacing w:val="-6"/>
          <w:sz w:val="18"/>
          <w:szCs w:val="18"/>
        </w:rPr>
        <w:t xml:space="preserve">  </w:t>
      </w:r>
    </w:p>
    <w:p w:rsidR="00590938" w:rsidRPr="001564D9" w:rsidRDefault="00946DE4" w:rsidP="001564D9">
      <w:pPr>
        <w:ind w:right="51"/>
        <w:jc w:val="both"/>
        <w:rPr>
          <w:rFonts w:ascii="Arial" w:hAnsi="Arial" w:cs="Arial"/>
          <w:bCs/>
          <w:spacing w:val="-6"/>
          <w:sz w:val="18"/>
          <w:szCs w:val="18"/>
        </w:rPr>
      </w:pPr>
      <w:r w:rsidRPr="001564D9">
        <w:rPr>
          <w:rFonts w:ascii="Arial" w:hAnsi="Arial" w:cs="Arial"/>
          <w:bCs/>
          <w:spacing w:val="-6"/>
          <w:sz w:val="18"/>
          <w:szCs w:val="18"/>
        </w:rPr>
        <w:t>“</w:t>
      </w:r>
      <w:r w:rsidR="00590938" w:rsidRPr="001564D9">
        <w:rPr>
          <w:rFonts w:ascii="Arial" w:hAnsi="Arial" w:cs="Arial"/>
          <w:bCs/>
          <w:spacing w:val="-6"/>
          <w:sz w:val="18"/>
          <w:szCs w:val="18"/>
        </w:rPr>
        <w:t>(…)</w:t>
      </w:r>
      <w:r w:rsidR="00590938" w:rsidRPr="001564D9">
        <w:rPr>
          <w:rFonts w:ascii="Arial" w:hAnsi="Arial" w:cs="Arial"/>
          <w:bCs/>
          <w:spacing w:val="-6"/>
          <w:sz w:val="18"/>
          <w:szCs w:val="18"/>
        </w:rPr>
        <w:t xml:space="preserve"> el accionado mediante sendos proveídos del 19-08-2015, rechazó las acciones populares y ordenó remitirlas por competencia a los juzgados civiles del circuito de Bogotá DC, y, el día 14-09-2015, la secretaría las envió, por lo que es evidente que los presentes amparos carecen de inmediatez, pues su interposición (29-07-2016) desborda el plazo de los seis (6) meses fijado por la jurisprudencia tanto constituci</w:t>
      </w:r>
      <w:r w:rsidR="001564D9">
        <w:rPr>
          <w:rFonts w:ascii="Arial" w:hAnsi="Arial" w:cs="Arial"/>
          <w:bCs/>
          <w:spacing w:val="-6"/>
          <w:sz w:val="18"/>
          <w:szCs w:val="18"/>
        </w:rPr>
        <w:t>onal como ordinaria</w:t>
      </w:r>
      <w:r w:rsidR="00590938" w:rsidRPr="001564D9">
        <w:rPr>
          <w:rFonts w:ascii="Arial" w:hAnsi="Arial" w:cs="Arial"/>
          <w:bCs/>
          <w:spacing w:val="-6"/>
          <w:sz w:val="18"/>
          <w:szCs w:val="18"/>
        </w:rPr>
        <w:t>; como tiempo razonable, ya que han transcurrido aproximadamente diez (10) meses desde que los autos fueron proferidos.</w:t>
      </w:r>
    </w:p>
    <w:p w:rsidR="00590938" w:rsidRPr="001564D9" w:rsidRDefault="00590938" w:rsidP="001564D9">
      <w:pPr>
        <w:ind w:right="51"/>
        <w:jc w:val="both"/>
        <w:rPr>
          <w:rFonts w:ascii="Arial" w:hAnsi="Arial" w:cs="Arial"/>
          <w:bCs/>
          <w:spacing w:val="-6"/>
          <w:sz w:val="18"/>
          <w:szCs w:val="18"/>
        </w:rPr>
      </w:pPr>
    </w:p>
    <w:p w:rsidR="00946DE4" w:rsidRPr="001564D9" w:rsidRDefault="00590938" w:rsidP="001564D9">
      <w:pPr>
        <w:ind w:right="51"/>
        <w:jc w:val="both"/>
        <w:rPr>
          <w:rFonts w:ascii="Arial" w:hAnsi="Arial" w:cs="Arial"/>
          <w:bCs/>
          <w:spacing w:val="-6"/>
          <w:sz w:val="18"/>
          <w:szCs w:val="18"/>
        </w:rPr>
      </w:pPr>
      <w:r w:rsidRPr="001564D9">
        <w:rPr>
          <w:rFonts w:ascii="Arial" w:hAnsi="Arial" w:cs="Arial"/>
          <w:bCs/>
          <w:spacing w:val="-6"/>
          <w:sz w:val="18"/>
          <w:szCs w:val="18"/>
        </w:rPr>
        <w:t>Ahora bien, es cierto que conforme a la doctrina, el juez de la causa debe tener flexibilidad en la aplicación de este principio, pero a ese tenor, se debe probar o alegar, que medió causa alguna de fuerza mayor o caso fortuito que impidiera al actor gestionar, su defensa a través de esta acción con mayor celerid</w:t>
      </w:r>
      <w:r w:rsidRPr="001564D9">
        <w:rPr>
          <w:rFonts w:ascii="Arial" w:hAnsi="Arial" w:cs="Arial"/>
          <w:bCs/>
          <w:spacing w:val="-6"/>
          <w:sz w:val="18"/>
          <w:szCs w:val="18"/>
        </w:rPr>
        <w:t>ad sin desconocer la inmediatez</w:t>
      </w:r>
      <w:r w:rsidRPr="001564D9">
        <w:rPr>
          <w:rFonts w:ascii="Arial" w:hAnsi="Arial" w:cs="Arial"/>
          <w:bCs/>
          <w:spacing w:val="-6"/>
          <w:sz w:val="18"/>
          <w:szCs w:val="18"/>
        </w:rPr>
        <w:t>; circunstancias que no fueron expuestas ni probadas en el trámite.</w:t>
      </w:r>
    </w:p>
    <w:p w:rsidR="00590938" w:rsidRPr="001564D9" w:rsidRDefault="00590938" w:rsidP="001564D9">
      <w:pPr>
        <w:ind w:right="51"/>
        <w:jc w:val="both"/>
        <w:rPr>
          <w:rFonts w:ascii="Arial" w:hAnsi="Arial" w:cs="Arial"/>
          <w:bCs/>
          <w:spacing w:val="-6"/>
          <w:sz w:val="18"/>
          <w:szCs w:val="18"/>
        </w:rPr>
      </w:pPr>
    </w:p>
    <w:p w:rsidR="00590938" w:rsidRPr="001564D9" w:rsidRDefault="00590938" w:rsidP="001564D9">
      <w:pPr>
        <w:jc w:val="both"/>
        <w:rPr>
          <w:rFonts w:ascii="Arial" w:hAnsi="Arial" w:cs="Arial"/>
          <w:spacing w:val="-6"/>
          <w:sz w:val="18"/>
          <w:szCs w:val="18"/>
        </w:rPr>
      </w:pPr>
      <w:r w:rsidRPr="001564D9">
        <w:rPr>
          <w:rFonts w:ascii="Arial" w:hAnsi="Arial" w:cs="Arial"/>
          <w:spacing w:val="-6"/>
          <w:sz w:val="18"/>
          <w:szCs w:val="18"/>
        </w:rPr>
        <w:t xml:space="preserve">COSA JUZGADA/ </w:t>
      </w:r>
      <w:proofErr w:type="spellStart"/>
      <w:r w:rsidRPr="001564D9">
        <w:rPr>
          <w:rFonts w:ascii="Arial" w:hAnsi="Arial" w:cs="Arial"/>
          <w:spacing w:val="-6"/>
          <w:sz w:val="18"/>
          <w:szCs w:val="18"/>
        </w:rPr>
        <w:t>Improsperidad</w:t>
      </w:r>
      <w:proofErr w:type="spellEnd"/>
      <w:r w:rsidRPr="001564D9">
        <w:rPr>
          <w:rFonts w:ascii="Arial" w:hAnsi="Arial" w:cs="Arial"/>
          <w:spacing w:val="-6"/>
          <w:sz w:val="18"/>
          <w:szCs w:val="18"/>
        </w:rPr>
        <w:t xml:space="preserve"> de la acción de tutela que tiene identidad de partes, pretensiones y hechos con una anterior/ Buena fe como causal </w:t>
      </w:r>
      <w:proofErr w:type="spellStart"/>
      <w:r w:rsidRPr="001564D9">
        <w:rPr>
          <w:rFonts w:ascii="Arial" w:hAnsi="Arial" w:cs="Arial"/>
          <w:spacing w:val="-6"/>
          <w:sz w:val="18"/>
          <w:szCs w:val="18"/>
        </w:rPr>
        <w:t>exonerativa</w:t>
      </w:r>
      <w:proofErr w:type="spellEnd"/>
      <w:r w:rsidRPr="001564D9">
        <w:rPr>
          <w:rFonts w:ascii="Arial" w:hAnsi="Arial" w:cs="Arial"/>
          <w:spacing w:val="-6"/>
          <w:sz w:val="18"/>
          <w:szCs w:val="18"/>
        </w:rPr>
        <w:t xml:space="preserve"> de temeridad </w:t>
      </w:r>
    </w:p>
    <w:p w:rsidR="00590938" w:rsidRPr="001564D9" w:rsidRDefault="00590938" w:rsidP="001564D9">
      <w:pPr>
        <w:jc w:val="both"/>
        <w:rPr>
          <w:rFonts w:ascii="Arial" w:hAnsi="Arial" w:cs="Arial"/>
          <w:spacing w:val="-6"/>
          <w:sz w:val="18"/>
          <w:szCs w:val="18"/>
        </w:rPr>
      </w:pPr>
    </w:p>
    <w:p w:rsidR="00590938" w:rsidRDefault="00590938" w:rsidP="001564D9">
      <w:pPr>
        <w:pStyle w:val="Textoindependiente"/>
        <w:spacing w:line="240" w:lineRule="auto"/>
        <w:rPr>
          <w:rFonts w:ascii="Arial" w:hAnsi="Arial"/>
          <w:iCs/>
          <w:sz w:val="18"/>
          <w:szCs w:val="18"/>
        </w:rPr>
      </w:pPr>
      <w:r w:rsidRPr="001564D9">
        <w:rPr>
          <w:rFonts w:ascii="Arial" w:hAnsi="Arial" w:cs="Arial"/>
          <w:spacing w:val="-6"/>
          <w:sz w:val="18"/>
          <w:szCs w:val="18"/>
        </w:rPr>
        <w:t>“</w:t>
      </w:r>
      <w:r w:rsidR="0062322C" w:rsidRPr="001564D9">
        <w:rPr>
          <w:rFonts w:ascii="Arial" w:hAnsi="Arial"/>
          <w:sz w:val="18"/>
          <w:szCs w:val="18"/>
        </w:rPr>
        <w:t>Confrontados e</w:t>
      </w:r>
      <w:r w:rsidR="0062322C" w:rsidRPr="001564D9">
        <w:rPr>
          <w:rFonts w:ascii="Arial" w:hAnsi="Arial"/>
          <w:sz w:val="18"/>
          <w:szCs w:val="18"/>
        </w:rPr>
        <w:t>l escrito petitorio (..</w:t>
      </w:r>
      <w:r w:rsidR="0062322C" w:rsidRPr="001564D9">
        <w:rPr>
          <w:rFonts w:ascii="Arial" w:hAnsi="Arial"/>
          <w:sz w:val="18"/>
          <w:szCs w:val="18"/>
        </w:rPr>
        <w:t xml:space="preserve">.) y las referidas providencias, mediante las cuales se negó el amparo porque </w:t>
      </w:r>
      <w:r w:rsidR="0062322C" w:rsidRPr="001564D9">
        <w:rPr>
          <w:rFonts w:ascii="Arial" w:hAnsi="Arial"/>
          <w:i/>
          <w:sz w:val="18"/>
          <w:szCs w:val="18"/>
        </w:rPr>
        <w:t>`</w:t>
      </w:r>
      <w:r w:rsidR="0062322C" w:rsidRPr="001564D9">
        <w:rPr>
          <w:rFonts w:ascii="Arial" w:hAnsi="Arial"/>
          <w:i/>
          <w:sz w:val="18"/>
          <w:szCs w:val="18"/>
        </w:rPr>
        <w:t xml:space="preserve">(…) </w:t>
      </w:r>
      <w:r w:rsidR="0062322C" w:rsidRPr="001564D9">
        <w:rPr>
          <w:rFonts w:ascii="Arial" w:hAnsi="Arial" w:cs="Arial"/>
          <w:i/>
          <w:iCs/>
          <w:color w:val="000000"/>
          <w:sz w:val="18"/>
          <w:szCs w:val="18"/>
          <w:lang w:eastAsia="es-CO"/>
        </w:rPr>
        <w:t xml:space="preserve">se carece de prueba sobre la renuencia para formular acciones </w:t>
      </w:r>
      <w:r w:rsidR="0062322C" w:rsidRPr="001564D9">
        <w:rPr>
          <w:rFonts w:ascii="Arial" w:hAnsi="Arial" w:cs="Arial"/>
          <w:i/>
          <w:iCs/>
          <w:color w:val="000000"/>
          <w:sz w:val="18"/>
          <w:szCs w:val="18"/>
          <w:lang w:eastAsia="es-CO"/>
        </w:rPr>
        <w:t>de tutela a favor del actor (…)´</w:t>
      </w:r>
      <w:r w:rsidR="0062322C" w:rsidRPr="001564D9">
        <w:rPr>
          <w:rFonts w:ascii="Arial" w:hAnsi="Arial"/>
          <w:sz w:val="18"/>
          <w:szCs w:val="18"/>
        </w:rPr>
        <w:t xml:space="preserve">, se advierte que ya había procurado la declaratoria de la vulneración de sus derechos fundamentales con base en que la Defensoría accionada </w:t>
      </w:r>
      <w:r w:rsidR="0062322C" w:rsidRPr="001564D9">
        <w:rPr>
          <w:rFonts w:ascii="Arial" w:hAnsi="Arial"/>
          <w:iCs/>
          <w:sz w:val="18"/>
          <w:szCs w:val="18"/>
        </w:rPr>
        <w:t>se negó a formular demandas constitucionales, situación que no ha variado pues, tal cual se advirtió en aquellas providencias, en el presente caso se desconoce si hizo alguna petición, lo que modificaría las causas de la tutela.</w:t>
      </w:r>
      <w:r w:rsidR="001564D9">
        <w:rPr>
          <w:rFonts w:ascii="Arial" w:hAnsi="Arial"/>
          <w:iCs/>
          <w:sz w:val="18"/>
          <w:szCs w:val="18"/>
        </w:rPr>
        <w:t>”</w:t>
      </w:r>
    </w:p>
    <w:p w:rsidR="001564D9" w:rsidRDefault="001564D9" w:rsidP="001564D9">
      <w:pPr>
        <w:pStyle w:val="Textoindependiente"/>
        <w:spacing w:line="240" w:lineRule="auto"/>
        <w:rPr>
          <w:rFonts w:ascii="Arial" w:hAnsi="Arial"/>
          <w:iCs/>
          <w:sz w:val="18"/>
          <w:szCs w:val="18"/>
        </w:rPr>
      </w:pPr>
    </w:p>
    <w:p w:rsidR="001564D9" w:rsidRPr="001564D9" w:rsidRDefault="001564D9" w:rsidP="001564D9">
      <w:pPr>
        <w:pStyle w:val="Textoindependiente"/>
        <w:spacing w:line="240" w:lineRule="auto"/>
        <w:rPr>
          <w:rFonts w:ascii="Arial" w:hAnsi="Arial"/>
          <w:iCs/>
          <w:sz w:val="18"/>
          <w:szCs w:val="18"/>
        </w:rPr>
      </w:pPr>
      <w:r>
        <w:rPr>
          <w:rFonts w:ascii="Arial" w:hAnsi="Arial"/>
          <w:iCs/>
          <w:sz w:val="18"/>
          <w:szCs w:val="18"/>
        </w:rPr>
        <w:t xml:space="preserve">“(…) </w:t>
      </w:r>
      <w:r w:rsidRPr="001564D9">
        <w:rPr>
          <w:rFonts w:ascii="Arial" w:hAnsi="Arial"/>
          <w:iCs/>
          <w:sz w:val="18"/>
          <w:szCs w:val="18"/>
        </w:rPr>
        <w:t>no se aprecia la concurrencia de alguna de las circunstancias transcritas, y más bien se nota una falta de conocimiento, por ende habrá de declararse la improcedencia de la acción, pero sin la imposición de las sanciones dinerarias referidas por el artícul</w:t>
      </w:r>
      <w:r>
        <w:rPr>
          <w:rFonts w:ascii="Arial" w:hAnsi="Arial"/>
          <w:iCs/>
          <w:sz w:val="18"/>
          <w:szCs w:val="18"/>
        </w:rPr>
        <w:t>o 38 del Decreto 2591 de 1991.”</w:t>
      </w:r>
    </w:p>
    <w:p w:rsidR="00590938" w:rsidRDefault="00590938" w:rsidP="00590938">
      <w:pPr>
        <w:ind w:right="51"/>
        <w:jc w:val="both"/>
        <w:rPr>
          <w:rFonts w:ascii="Arial" w:hAnsi="Arial"/>
          <w:spacing w:val="-6"/>
          <w:sz w:val="17"/>
          <w:szCs w:val="17"/>
        </w:rPr>
      </w:pPr>
    </w:p>
    <w:p w:rsidR="00946DE4" w:rsidRPr="00A81180" w:rsidRDefault="00590938" w:rsidP="00A81180">
      <w:pPr>
        <w:ind w:right="51"/>
        <w:jc w:val="both"/>
        <w:rPr>
          <w:rFonts w:ascii="Arial" w:hAnsi="Arial" w:cs="Arial"/>
          <w:w w:val="140"/>
          <w:sz w:val="16"/>
          <w:szCs w:val="16"/>
        </w:rPr>
      </w:pPr>
      <w:r w:rsidRPr="0062322C">
        <w:rPr>
          <w:rFonts w:ascii="Arial" w:hAnsi="Arial" w:cs="Arial"/>
          <w:spacing w:val="-6"/>
          <w:sz w:val="16"/>
          <w:szCs w:val="16"/>
        </w:rPr>
        <w:t>Citas: Corte Constitucional, sentencias</w:t>
      </w:r>
      <w:r w:rsidR="0062322C" w:rsidRPr="0062322C">
        <w:rPr>
          <w:rFonts w:ascii="Arial" w:hAnsi="Arial" w:cs="Arial"/>
          <w:spacing w:val="-6"/>
          <w:sz w:val="16"/>
          <w:szCs w:val="16"/>
        </w:rPr>
        <w:t xml:space="preserve"> T-001 de 1997,</w:t>
      </w:r>
      <w:r w:rsidRPr="0062322C">
        <w:rPr>
          <w:rFonts w:ascii="Arial" w:hAnsi="Arial" w:cs="Arial"/>
          <w:spacing w:val="-6"/>
          <w:sz w:val="16"/>
          <w:szCs w:val="16"/>
        </w:rPr>
        <w:t xml:space="preserve"> T-184 de 2005, T-193 de 2008, T-103 de 2014, T-095</w:t>
      </w:r>
      <w:r w:rsidR="0062322C" w:rsidRPr="0062322C">
        <w:rPr>
          <w:rFonts w:ascii="Arial" w:hAnsi="Arial" w:cs="Arial"/>
          <w:spacing w:val="-6"/>
          <w:sz w:val="16"/>
          <w:szCs w:val="16"/>
        </w:rPr>
        <w:t xml:space="preserve"> y</w:t>
      </w:r>
      <w:r w:rsidRPr="0062322C">
        <w:rPr>
          <w:rFonts w:ascii="Arial" w:hAnsi="Arial" w:cs="Arial"/>
          <w:spacing w:val="-6"/>
          <w:sz w:val="16"/>
          <w:szCs w:val="16"/>
        </w:rPr>
        <w:t xml:space="preserve"> </w:t>
      </w:r>
      <w:r w:rsidR="0062322C" w:rsidRPr="0062322C">
        <w:rPr>
          <w:rFonts w:ascii="Arial" w:hAnsi="Arial" w:cs="Arial"/>
          <w:spacing w:val="-6"/>
          <w:sz w:val="16"/>
          <w:szCs w:val="16"/>
        </w:rPr>
        <w:t xml:space="preserve">T-207 </w:t>
      </w:r>
      <w:r w:rsidRPr="0062322C">
        <w:rPr>
          <w:rFonts w:ascii="Arial" w:hAnsi="Arial" w:cs="Arial"/>
          <w:spacing w:val="-6"/>
          <w:sz w:val="16"/>
          <w:szCs w:val="16"/>
        </w:rPr>
        <w:t>de 2015 y T-001 de 2016.</w:t>
      </w:r>
      <w:r w:rsidRPr="0062322C">
        <w:rPr>
          <w:rFonts w:ascii="Arial" w:hAnsi="Arial" w:cs="Arial"/>
          <w:sz w:val="16"/>
          <w:szCs w:val="16"/>
        </w:rPr>
        <w:t xml:space="preserve"> </w:t>
      </w:r>
      <w:r w:rsidR="0062322C" w:rsidRPr="0062322C">
        <w:rPr>
          <w:rFonts w:ascii="Arial" w:hAnsi="Arial" w:cs="Arial"/>
          <w:sz w:val="16"/>
          <w:szCs w:val="16"/>
        </w:rPr>
        <w:t>Corte Suprema de Justicia, Sala Civil, sentencia de 29 d</w:t>
      </w:r>
      <w:r w:rsidR="001564D9">
        <w:rPr>
          <w:rFonts w:ascii="Arial" w:hAnsi="Arial" w:cs="Arial"/>
          <w:sz w:val="16"/>
          <w:szCs w:val="16"/>
        </w:rPr>
        <w:t>e abril de 2009 -rad. 00624-00-;</w:t>
      </w:r>
      <w:r w:rsidR="0062322C" w:rsidRPr="0062322C">
        <w:rPr>
          <w:rFonts w:ascii="Arial" w:hAnsi="Arial" w:cs="Arial"/>
          <w:sz w:val="16"/>
          <w:szCs w:val="16"/>
        </w:rPr>
        <w:t xml:space="preserve"> </w:t>
      </w:r>
      <w:r w:rsidR="001564D9">
        <w:rPr>
          <w:rFonts w:ascii="Arial" w:hAnsi="Arial" w:cs="Arial"/>
          <w:sz w:val="16"/>
          <w:szCs w:val="16"/>
        </w:rPr>
        <w:t>Corte Suprema d</w:t>
      </w:r>
      <w:r w:rsidR="001564D9" w:rsidRPr="0062322C">
        <w:rPr>
          <w:rFonts w:ascii="Arial" w:hAnsi="Arial" w:cs="Arial"/>
          <w:sz w:val="16"/>
          <w:szCs w:val="16"/>
        </w:rPr>
        <w:t>e Justicia</w:t>
      </w:r>
      <w:r w:rsidR="001564D9">
        <w:rPr>
          <w:rFonts w:ascii="Arial" w:hAnsi="Arial" w:cs="Arial"/>
          <w:sz w:val="16"/>
          <w:szCs w:val="16"/>
        </w:rPr>
        <w:t>, Sala Civil, sentencia STC4837-2015;</w:t>
      </w:r>
      <w:r w:rsidRPr="0062322C">
        <w:rPr>
          <w:rFonts w:ascii="Arial" w:hAnsi="Arial" w:cs="Arial"/>
          <w:spacing w:val="-6"/>
          <w:sz w:val="16"/>
          <w:szCs w:val="16"/>
        </w:rPr>
        <w:t>Tribunal Superior de Pereira, Sala Civil-Familia, sentencia de 28 de mar</w:t>
      </w:r>
      <w:r w:rsidR="0062322C">
        <w:rPr>
          <w:rFonts w:ascii="Arial" w:hAnsi="Arial" w:cs="Arial"/>
          <w:spacing w:val="-6"/>
          <w:sz w:val="16"/>
          <w:szCs w:val="16"/>
        </w:rPr>
        <w:t>zo de 2016 -rad. 2016-00289-00-.</w:t>
      </w:r>
      <w:r w:rsidR="001564D9">
        <w:rPr>
          <w:rFonts w:ascii="Arial" w:hAnsi="Arial" w:cs="Arial"/>
          <w:spacing w:val="-6"/>
          <w:sz w:val="16"/>
          <w:szCs w:val="16"/>
        </w:rPr>
        <w:t xml:space="preserve"> Doctrina:</w:t>
      </w:r>
      <w:r w:rsidR="0062322C">
        <w:rPr>
          <w:rFonts w:ascii="Arial" w:hAnsi="Arial" w:cs="Arial"/>
          <w:spacing w:val="-6"/>
          <w:sz w:val="16"/>
          <w:szCs w:val="16"/>
        </w:rPr>
        <w:t xml:space="preserve"> </w:t>
      </w:r>
      <w:r w:rsidR="001564D9" w:rsidRPr="001564D9">
        <w:rPr>
          <w:rFonts w:ascii="Arial" w:hAnsi="Arial" w:cs="Arial"/>
          <w:spacing w:val="-6"/>
          <w:sz w:val="16"/>
          <w:szCs w:val="16"/>
        </w:rPr>
        <w:t xml:space="preserve">BOTERO MARINO, Catalina. </w:t>
      </w:r>
      <w:r w:rsidR="001564D9">
        <w:rPr>
          <w:rFonts w:ascii="Arial" w:hAnsi="Arial" w:cs="Arial"/>
          <w:spacing w:val="-6"/>
          <w:sz w:val="16"/>
          <w:szCs w:val="16"/>
        </w:rPr>
        <w:t>“</w:t>
      </w:r>
      <w:r w:rsidR="001564D9" w:rsidRPr="001564D9">
        <w:rPr>
          <w:rFonts w:ascii="Arial" w:hAnsi="Arial" w:cs="Arial"/>
          <w:spacing w:val="-6"/>
          <w:sz w:val="16"/>
          <w:szCs w:val="16"/>
        </w:rPr>
        <w:t>La acción de tutela en el ordenam</w:t>
      </w:r>
      <w:r w:rsidR="001564D9">
        <w:rPr>
          <w:rFonts w:ascii="Arial" w:hAnsi="Arial" w:cs="Arial"/>
          <w:spacing w:val="-6"/>
          <w:sz w:val="16"/>
          <w:szCs w:val="16"/>
        </w:rPr>
        <w:t>iento constitucional colombiano”</w:t>
      </w:r>
      <w:r w:rsidR="001564D9" w:rsidRPr="001564D9">
        <w:rPr>
          <w:rFonts w:ascii="Arial" w:hAnsi="Arial" w:cs="Arial"/>
          <w:spacing w:val="-6"/>
          <w:sz w:val="16"/>
          <w:szCs w:val="16"/>
        </w:rPr>
        <w:t xml:space="preserve"> </w:t>
      </w:r>
      <w:proofErr w:type="spellStart"/>
      <w:r w:rsidR="001564D9" w:rsidRPr="001564D9">
        <w:rPr>
          <w:rFonts w:ascii="Arial" w:hAnsi="Arial" w:cs="Arial"/>
          <w:spacing w:val="-6"/>
          <w:sz w:val="16"/>
          <w:szCs w:val="16"/>
        </w:rPr>
        <w:t>Ediprime</w:t>
      </w:r>
      <w:proofErr w:type="spellEnd"/>
      <w:r w:rsidR="001564D9" w:rsidRPr="001564D9">
        <w:rPr>
          <w:rFonts w:ascii="Arial" w:hAnsi="Arial" w:cs="Arial"/>
          <w:spacing w:val="-6"/>
          <w:sz w:val="16"/>
          <w:szCs w:val="16"/>
        </w:rPr>
        <w:t xml:space="preserve"> </w:t>
      </w:r>
      <w:proofErr w:type="spellStart"/>
      <w:r w:rsidR="001564D9" w:rsidRPr="001564D9">
        <w:rPr>
          <w:rFonts w:ascii="Arial" w:hAnsi="Arial" w:cs="Arial"/>
          <w:spacing w:val="-6"/>
          <w:sz w:val="16"/>
          <w:szCs w:val="16"/>
        </w:rPr>
        <w:t>Ltda</w:t>
      </w:r>
      <w:proofErr w:type="spellEnd"/>
      <w:r w:rsidR="001564D9" w:rsidRPr="001564D9">
        <w:rPr>
          <w:rFonts w:ascii="Arial" w:hAnsi="Arial" w:cs="Arial"/>
          <w:spacing w:val="-6"/>
          <w:sz w:val="16"/>
          <w:szCs w:val="16"/>
        </w:rPr>
        <w:t>, Bogotá, 2006</w:t>
      </w:r>
      <w:r w:rsidR="001564D9">
        <w:rPr>
          <w:rFonts w:ascii="Arial" w:hAnsi="Arial" w:cs="Arial"/>
          <w:spacing w:val="-6"/>
          <w:sz w:val="16"/>
          <w:szCs w:val="16"/>
        </w:rPr>
        <w:t>.</w:t>
      </w:r>
    </w:p>
    <w:p w:rsidR="00946DE4" w:rsidRDefault="00946DE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405B9B">
        <w:rPr>
          <w:rFonts w:ascii="Arial" w:hAnsi="Arial" w:cs="Arial"/>
          <w:sz w:val="22"/>
        </w:rPr>
        <w:t xml:space="preserve">Javier Elías Arias </w:t>
      </w:r>
      <w:proofErr w:type="spellStart"/>
      <w:r w:rsidR="00405B9B">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05B9B">
        <w:rPr>
          <w:rFonts w:ascii="Arial" w:hAnsi="Arial" w:cs="Arial"/>
          <w:sz w:val="22"/>
        </w:rPr>
        <w:t>Juzgado Cuarto Civil del Circuito de Pereira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843DB">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05B9B">
        <w:rPr>
          <w:rFonts w:ascii="Arial" w:hAnsi="Arial" w:cs="Arial"/>
          <w:sz w:val="22"/>
        </w:rPr>
        <w:t>2016-00745-00, 2016-00746-00 y 2016-00751-00</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84B52">
        <w:rPr>
          <w:rFonts w:ascii="Arial" w:hAnsi="Arial"/>
          <w:sz w:val="22"/>
          <w:szCs w:val="22"/>
        </w:rPr>
        <w:t>382 de 11-08-2016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184B52">
        <w:rPr>
          <w:rFonts w:ascii="Arial" w:hAnsi="Arial" w:cs="Arial"/>
          <w:iCs/>
          <w:smallCaps/>
          <w:sz w:val="28"/>
          <w:szCs w:val="28"/>
          <w:lang w:val="es-CO"/>
        </w:rPr>
        <w:t>once</w:t>
      </w:r>
      <w:r w:rsidR="00455E2D" w:rsidRPr="00BC082A">
        <w:rPr>
          <w:rFonts w:ascii="Arial" w:hAnsi="Arial" w:cs="Arial"/>
          <w:iCs/>
          <w:smallCaps/>
          <w:sz w:val="28"/>
          <w:szCs w:val="28"/>
          <w:lang w:val="es-CO"/>
        </w:rPr>
        <w:t xml:space="preserve"> </w:t>
      </w:r>
      <w:r w:rsidRPr="00BC082A">
        <w:rPr>
          <w:rFonts w:ascii="Arial" w:hAnsi="Arial" w:cs="Arial"/>
          <w:iCs/>
          <w:smallCaps/>
          <w:sz w:val="28"/>
          <w:szCs w:val="28"/>
          <w:lang w:val="es-CO"/>
        </w:rPr>
        <w:t>(</w:t>
      </w:r>
      <w:r w:rsidR="00184B52">
        <w:rPr>
          <w:rFonts w:ascii="Arial" w:hAnsi="Arial" w:cs="Arial"/>
          <w:iCs/>
          <w:smallCaps/>
          <w:sz w:val="28"/>
          <w:szCs w:val="28"/>
          <w:lang w:val="es-CO"/>
        </w:rPr>
        <w:t>11</w:t>
      </w:r>
      <w:r w:rsidRPr="00BC082A">
        <w:rPr>
          <w:rFonts w:ascii="Arial" w:hAnsi="Arial" w:cs="Arial"/>
          <w:iCs/>
          <w:smallCaps/>
          <w:sz w:val="28"/>
          <w:szCs w:val="28"/>
          <w:lang w:val="es-CO"/>
        </w:rPr>
        <w:t xml:space="preserve">) de </w:t>
      </w:r>
      <w:r w:rsidR="00405B9B">
        <w:rPr>
          <w:rFonts w:ascii="Arial" w:hAnsi="Arial" w:cs="Arial"/>
          <w:iCs/>
          <w:smallCaps/>
          <w:sz w:val="28"/>
          <w:szCs w:val="28"/>
          <w:lang w:val="es-CO"/>
        </w:rPr>
        <w:t xml:space="preserve">agosto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7251E6" w:rsidRDefault="0023398A" w:rsidP="00102D82">
      <w:pPr>
        <w:spacing w:line="360" w:lineRule="auto"/>
        <w:ind w:left="708" w:firstLine="708"/>
        <w:rPr>
          <w:rFonts w:ascii="Arial" w:hAnsi="Arial" w:cs="Arial"/>
          <w:b/>
          <w:bCs/>
          <w:sz w:val="20"/>
          <w:lang w:val="es-CO"/>
        </w:rPr>
      </w:pPr>
    </w:p>
    <w:p w:rsidR="000147A2" w:rsidRPr="00455E2D" w:rsidRDefault="000147A2" w:rsidP="0099045D">
      <w:pPr>
        <w:spacing w:line="360" w:lineRule="auto"/>
        <w:jc w:val="center"/>
        <w:rPr>
          <w:rFonts w:ascii="Arial" w:hAnsi="Arial" w:cs="Arial"/>
          <w:b/>
          <w:bCs/>
          <w:sz w:val="8"/>
          <w:lang w:val="es-CO"/>
        </w:rPr>
      </w:pPr>
    </w:p>
    <w:p w:rsidR="00405B9B" w:rsidRPr="00F9418E" w:rsidRDefault="00405B9B" w:rsidP="00405B9B">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405B9B" w:rsidRPr="00F9418E" w:rsidRDefault="00405B9B" w:rsidP="00405B9B">
      <w:pPr>
        <w:pStyle w:val="Textoindependiente"/>
        <w:spacing w:line="360" w:lineRule="auto"/>
        <w:rPr>
          <w:rFonts w:ascii="Arial" w:hAnsi="Arial"/>
          <w:szCs w:val="24"/>
        </w:rPr>
      </w:pPr>
    </w:p>
    <w:p w:rsidR="00405B9B" w:rsidRDefault="00405B9B" w:rsidP="00405B9B">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 xml:space="preserve">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405B9B" w:rsidRPr="00BA69B4" w:rsidRDefault="00405B9B" w:rsidP="00405B9B">
      <w:pPr>
        <w:pStyle w:val="Textoindependiente"/>
        <w:spacing w:line="360" w:lineRule="auto"/>
        <w:rPr>
          <w:rFonts w:ascii="Arial" w:hAnsi="Arial"/>
          <w:szCs w:val="24"/>
          <w:lang w:val="es-CO"/>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7251E6" w:rsidRDefault="0099045D" w:rsidP="0099045D">
      <w:pPr>
        <w:pStyle w:val="Textoindependiente"/>
        <w:spacing w:line="360" w:lineRule="auto"/>
        <w:rPr>
          <w:rFonts w:ascii="Arial" w:hAnsi="Arial" w:cs="Arial"/>
          <w:sz w:val="20"/>
          <w:szCs w:val="24"/>
        </w:rPr>
      </w:pPr>
    </w:p>
    <w:p w:rsidR="003843DB" w:rsidRPr="00FD594D" w:rsidRDefault="00405B9B" w:rsidP="003843DB">
      <w:pPr>
        <w:spacing w:line="360" w:lineRule="auto"/>
        <w:jc w:val="both"/>
        <w:rPr>
          <w:rFonts w:ascii="Arial" w:hAnsi="Arial" w:cs="Arial"/>
        </w:rPr>
      </w:pPr>
      <w:r>
        <w:rPr>
          <w:rFonts w:ascii="Arial" w:hAnsi="Arial" w:cs="Arial"/>
        </w:rPr>
        <w:t xml:space="preserve">Indicó el actor que presentó ante el accionado, las acciones populares radicadas a los Nos.2015-00608-00, 2015-00607-00 y 2015-00515-00, </w:t>
      </w:r>
      <w:r w:rsidR="003843DB">
        <w:rPr>
          <w:rFonts w:ascii="Arial" w:hAnsi="Arial" w:cs="Arial"/>
        </w:rPr>
        <w:t xml:space="preserve">que </w:t>
      </w:r>
      <w:r w:rsidR="00455E2D">
        <w:rPr>
          <w:rFonts w:ascii="Arial" w:hAnsi="Arial" w:cs="Arial"/>
        </w:rPr>
        <w:t>fue</w:t>
      </w:r>
      <w:r>
        <w:rPr>
          <w:rFonts w:ascii="Arial" w:hAnsi="Arial" w:cs="Arial"/>
        </w:rPr>
        <w:t>ron</w:t>
      </w:r>
      <w:r w:rsidR="00455E2D">
        <w:rPr>
          <w:rFonts w:ascii="Arial" w:hAnsi="Arial" w:cs="Arial"/>
        </w:rPr>
        <w:t xml:space="preserve"> </w:t>
      </w:r>
      <w:r w:rsidR="003843DB">
        <w:rPr>
          <w:rFonts w:ascii="Arial" w:hAnsi="Arial" w:cs="Arial"/>
        </w:rPr>
        <w:t>rechazada</w:t>
      </w:r>
      <w:r>
        <w:rPr>
          <w:rFonts w:ascii="Arial" w:hAnsi="Arial" w:cs="Arial"/>
        </w:rPr>
        <w:t>s</w:t>
      </w:r>
      <w:r w:rsidR="003843DB" w:rsidRPr="00FD594D">
        <w:rPr>
          <w:rFonts w:ascii="Arial" w:hAnsi="Arial" w:cs="Arial"/>
        </w:rPr>
        <w:t xml:space="preserve"> </w:t>
      </w:r>
      <w:r>
        <w:rPr>
          <w:rFonts w:ascii="Arial" w:hAnsi="Arial" w:cs="Arial"/>
        </w:rPr>
        <w:t xml:space="preserve">y enviadas a otro despacho judicial </w:t>
      </w:r>
      <w:r w:rsidR="003843DB" w:rsidRPr="00FD594D">
        <w:rPr>
          <w:rFonts w:ascii="Arial" w:hAnsi="Arial" w:cs="Arial"/>
        </w:rPr>
        <w:t xml:space="preserve">por razones que no comparte; consideró </w:t>
      </w:r>
      <w:r w:rsidR="003843DB">
        <w:rPr>
          <w:rFonts w:ascii="Arial" w:hAnsi="Arial" w:cs="Arial"/>
        </w:rPr>
        <w:t>que esa conducta contraviene el artículo</w:t>
      </w:r>
      <w:r w:rsidR="003843DB" w:rsidRPr="00FD594D">
        <w:rPr>
          <w:rFonts w:ascii="Arial" w:hAnsi="Arial" w:cs="Arial"/>
        </w:rPr>
        <w:t xml:space="preserve"> 16</w:t>
      </w:r>
      <w:r w:rsidR="006C1192">
        <w:rPr>
          <w:rFonts w:ascii="Arial" w:hAnsi="Arial" w:cs="Arial"/>
        </w:rPr>
        <w:t xml:space="preserve"> </w:t>
      </w:r>
      <w:r w:rsidR="00455E2D">
        <w:rPr>
          <w:rFonts w:ascii="Arial" w:hAnsi="Arial" w:cs="Arial"/>
        </w:rPr>
        <w:t>de la Ley 472 (Folio</w:t>
      </w:r>
      <w:r>
        <w:rPr>
          <w:rFonts w:ascii="Arial" w:hAnsi="Arial" w:cs="Arial"/>
        </w:rPr>
        <w:t>s</w:t>
      </w:r>
      <w:r w:rsidR="00455E2D">
        <w:rPr>
          <w:rFonts w:ascii="Arial" w:hAnsi="Arial" w:cs="Arial"/>
        </w:rPr>
        <w:t xml:space="preserve"> 1</w:t>
      </w:r>
      <w:r>
        <w:rPr>
          <w:rFonts w:ascii="Arial" w:hAnsi="Arial" w:cs="Arial"/>
        </w:rPr>
        <w:t xml:space="preserve">, 3, </w:t>
      </w:r>
      <w:r w:rsidR="009526A5">
        <w:rPr>
          <w:rFonts w:ascii="Arial" w:hAnsi="Arial" w:cs="Arial"/>
        </w:rPr>
        <w:t>y 5</w:t>
      </w:r>
      <w:r w:rsidR="003843DB" w:rsidRPr="00FD594D">
        <w:rPr>
          <w:rFonts w:ascii="Arial" w:hAnsi="Arial" w:cs="Arial"/>
        </w:rPr>
        <w:t xml:space="preserve">, este cuaderno). </w:t>
      </w:r>
    </w:p>
    <w:p w:rsidR="007A12E1" w:rsidRPr="00455E2D" w:rsidRDefault="007A12E1" w:rsidP="00AC2785">
      <w:pPr>
        <w:spacing w:line="360" w:lineRule="auto"/>
        <w:jc w:val="both"/>
        <w:rPr>
          <w:rFonts w:ascii="Arial" w:hAnsi="Arial" w:cs="Arial"/>
          <w:color w:val="000000"/>
          <w:sz w:val="22"/>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9526A5">
        <w:rPr>
          <w:rFonts w:ascii="Arial" w:hAnsi="Arial" w:cs="Arial"/>
        </w:rPr>
        <w:t>(Folios 1, 3, y 5</w:t>
      </w:r>
      <w:r w:rsidR="009526A5" w:rsidRPr="00FD594D">
        <w:rPr>
          <w:rFonts w:ascii="Arial" w:hAnsi="Arial" w:cs="Arial"/>
        </w:rPr>
        <w:t>, este cuaderno).</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41916" w:rsidRPr="007251E6" w:rsidRDefault="00341916" w:rsidP="00341916">
      <w:pPr>
        <w:pStyle w:val="Textoindependiente"/>
        <w:spacing w:line="360" w:lineRule="auto"/>
        <w:ind w:left="360"/>
        <w:rPr>
          <w:rFonts w:ascii="Arial" w:hAnsi="Arial"/>
          <w:sz w:val="20"/>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w:t>
      </w:r>
      <w:r w:rsidR="009526A5">
        <w:rPr>
          <w:rFonts w:ascii="Arial" w:hAnsi="Arial" w:cs="Arial"/>
        </w:rPr>
        <w:t>al accionado declarar la nulidad de los autos que dispusieron la remisión</w:t>
      </w:r>
      <w:r w:rsidR="001A1223">
        <w:rPr>
          <w:rFonts w:ascii="Arial" w:hAnsi="Arial" w:cs="Arial"/>
        </w:rPr>
        <w:t xml:space="preserve">, </w:t>
      </w:r>
      <w:r w:rsidR="009526A5">
        <w:rPr>
          <w:rFonts w:ascii="Arial" w:hAnsi="Arial" w:cs="Arial"/>
        </w:rPr>
        <w:t xml:space="preserve">y en su lugar, </w:t>
      </w:r>
      <w:r w:rsidR="001A1223">
        <w:rPr>
          <w:rFonts w:ascii="Arial" w:hAnsi="Arial" w:cs="Arial"/>
        </w:rPr>
        <w:t xml:space="preserve">admitir y tramitar </w:t>
      </w:r>
      <w:r w:rsidR="009526A5">
        <w:rPr>
          <w:rFonts w:ascii="Arial" w:hAnsi="Arial" w:cs="Arial"/>
        </w:rPr>
        <w:t xml:space="preserve">las acciones </w:t>
      </w:r>
      <w:r w:rsidR="00455E2D">
        <w:rPr>
          <w:rFonts w:ascii="Arial" w:hAnsi="Arial" w:cs="Arial"/>
        </w:rPr>
        <w:t>popular</w:t>
      </w:r>
      <w:r w:rsidR="009526A5">
        <w:rPr>
          <w:rFonts w:ascii="Arial" w:hAnsi="Arial" w:cs="Arial"/>
        </w:rPr>
        <w:t>es</w:t>
      </w:r>
      <w:r w:rsidRPr="00FD594D">
        <w:rPr>
          <w:rFonts w:ascii="Arial" w:hAnsi="Arial" w:cs="Arial"/>
        </w:rPr>
        <w:t>; (iii) Se envíe copia escaneada de esta</w:t>
      </w:r>
      <w:r>
        <w:rPr>
          <w:rFonts w:ascii="Arial" w:hAnsi="Arial" w:cs="Arial"/>
        </w:rPr>
        <w:t xml:space="preserve"> acción a su correo electrónico</w:t>
      </w:r>
      <w:r w:rsidR="001A1223">
        <w:rPr>
          <w:rFonts w:ascii="Arial" w:hAnsi="Arial" w:cs="Arial"/>
        </w:rPr>
        <w:t xml:space="preserve">; y, (iv) Se tramite tutela simultáneamente contra la Defensoría del Pueblo, Regional Caldas </w:t>
      </w:r>
      <w:r w:rsidR="009526A5">
        <w:rPr>
          <w:rFonts w:ascii="Arial" w:hAnsi="Arial" w:cs="Arial"/>
        </w:rPr>
        <w:t>(Folios 1, 3, y 5</w:t>
      </w:r>
      <w:r w:rsidR="009526A5" w:rsidRPr="00FD594D">
        <w:rPr>
          <w:rFonts w:ascii="Arial" w:hAnsi="Arial" w:cs="Arial"/>
        </w:rPr>
        <w:t>, este cuaderno).</w:t>
      </w:r>
    </w:p>
    <w:p w:rsidR="00CE71D8" w:rsidRPr="00455E2D"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inespaciado"/>
        <w:tabs>
          <w:tab w:val="left" w:pos="1200"/>
        </w:tabs>
        <w:spacing w:line="360" w:lineRule="auto"/>
        <w:jc w:val="both"/>
        <w:rPr>
          <w:rFonts w:ascii="Arial" w:hAnsi="Arial"/>
          <w:sz w:val="22"/>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1A1223">
        <w:rPr>
          <w:rFonts w:ascii="Arial" w:hAnsi="Arial"/>
        </w:rPr>
        <w:t>29</w:t>
      </w:r>
      <w:r w:rsidR="00455E2D">
        <w:rPr>
          <w:rFonts w:ascii="Arial" w:hAnsi="Arial"/>
        </w:rPr>
        <w:t>-07</w:t>
      </w:r>
      <w:r w:rsidR="00B374AE">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día </w:t>
      </w:r>
      <w:r w:rsidR="001A1223">
        <w:rPr>
          <w:rFonts w:ascii="Arial" w:hAnsi="Arial" w:cs="Arial"/>
          <w:color w:val="000000"/>
        </w:rPr>
        <w:t xml:space="preserve">hábil </w:t>
      </w:r>
      <w:r w:rsidR="001A1223">
        <w:rPr>
          <w:rFonts w:ascii="Arial" w:hAnsi="Arial" w:cs="Arial"/>
          <w:color w:val="000000"/>
          <w:lang w:val="es-CO"/>
        </w:rPr>
        <w:t xml:space="preserve">siguiente </w:t>
      </w:r>
      <w:r w:rsidR="00455E2D">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1A1223">
        <w:rPr>
          <w:rFonts w:ascii="Arial" w:hAnsi="Arial" w:cs="Arial"/>
          <w:color w:val="000000"/>
        </w:rPr>
        <w:t>s</w:t>
      </w:r>
      <w:r w:rsidR="00455E2D" w:rsidRPr="00FD594D">
        <w:rPr>
          <w:rFonts w:ascii="Arial" w:hAnsi="Arial" w:cs="Arial"/>
          <w:color w:val="000000"/>
        </w:rPr>
        <w:t xml:space="preserve"> </w:t>
      </w:r>
      <w:r w:rsidR="001A1223">
        <w:rPr>
          <w:rFonts w:ascii="Arial" w:hAnsi="Arial" w:cs="Arial"/>
          <w:color w:val="000000"/>
        </w:rPr>
        <w:t>8 y 9</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1A1223">
        <w:rPr>
          <w:rFonts w:ascii="Arial" w:hAnsi="Arial"/>
        </w:rPr>
        <w:t>s</w:t>
      </w:r>
      <w:r w:rsidR="008E50E4">
        <w:rPr>
          <w:rFonts w:ascii="Arial" w:hAnsi="Arial"/>
        </w:rPr>
        <w:t xml:space="preserve"> </w:t>
      </w:r>
      <w:r w:rsidR="001A1223">
        <w:rPr>
          <w:rFonts w:ascii="Arial" w:hAnsi="Arial"/>
        </w:rPr>
        <w:t>10 y 11</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Contest</w:t>
      </w:r>
      <w:r w:rsidR="001A1223">
        <w:rPr>
          <w:rFonts w:ascii="Arial" w:hAnsi="Arial"/>
        </w:rPr>
        <w:t>aron</w:t>
      </w:r>
      <w:r w:rsidR="00DB6819">
        <w:rPr>
          <w:rFonts w:ascii="Arial" w:hAnsi="Arial"/>
        </w:rPr>
        <w:t xml:space="preserve"> la </w:t>
      </w:r>
      <w:r w:rsidR="00645B05">
        <w:rPr>
          <w:rFonts w:ascii="Arial" w:hAnsi="Arial"/>
        </w:rPr>
        <w:t xml:space="preserve">Procuraduría </w:t>
      </w:r>
      <w:r w:rsidR="006F01EC">
        <w:rPr>
          <w:rFonts w:ascii="Arial" w:hAnsi="Arial"/>
        </w:rPr>
        <w:t xml:space="preserve">General de la Nación, </w:t>
      </w:r>
      <w:r w:rsidR="00645B05">
        <w:rPr>
          <w:rFonts w:ascii="Arial" w:hAnsi="Arial"/>
        </w:rPr>
        <w:t xml:space="preserve">Regional Risaralda </w:t>
      </w:r>
      <w:r w:rsidR="00645B05">
        <w:rPr>
          <w:rFonts w:ascii="Arial" w:hAnsi="Arial"/>
          <w:lang w:val="es-CO"/>
        </w:rPr>
        <w:t xml:space="preserve">(Folio </w:t>
      </w:r>
      <w:r w:rsidR="001A1223">
        <w:rPr>
          <w:rFonts w:ascii="Arial" w:hAnsi="Arial"/>
          <w:lang w:val="es-CO"/>
        </w:rPr>
        <w:t>15</w:t>
      </w:r>
      <w:r w:rsidR="00645B05">
        <w:rPr>
          <w:rFonts w:ascii="Arial" w:hAnsi="Arial"/>
          <w:lang w:val="es-CO"/>
        </w:rPr>
        <w:t xml:space="preserve">, ibídem), </w:t>
      </w:r>
      <w:r w:rsidR="001A1223">
        <w:rPr>
          <w:rFonts w:ascii="Arial" w:hAnsi="Arial"/>
          <w:lang w:val="es-CO"/>
        </w:rPr>
        <w:t>la Personería de Pereira</w:t>
      </w:r>
      <w:r w:rsidR="00DB6819">
        <w:rPr>
          <w:rFonts w:ascii="Arial" w:hAnsi="Arial"/>
        </w:rPr>
        <w:t xml:space="preserve"> (Folios </w:t>
      </w:r>
      <w:r w:rsidR="001A1223">
        <w:rPr>
          <w:rFonts w:ascii="Arial" w:hAnsi="Arial"/>
        </w:rPr>
        <w:t>18 a 20 y 22 a 24</w:t>
      </w:r>
      <w:r w:rsidR="00645B05">
        <w:rPr>
          <w:rFonts w:ascii="Arial" w:hAnsi="Arial"/>
        </w:rPr>
        <w:t>, ib.)</w:t>
      </w:r>
      <w:r w:rsidR="00DB6819">
        <w:rPr>
          <w:rFonts w:ascii="Arial" w:hAnsi="Arial"/>
        </w:rPr>
        <w:t xml:space="preserve"> y </w:t>
      </w:r>
      <w:r w:rsidR="001A1223">
        <w:rPr>
          <w:rFonts w:ascii="Arial" w:hAnsi="Arial"/>
        </w:rPr>
        <w:t xml:space="preserve">la Alcaldía de Pereira (Folios 26 a 28, ib.); </w:t>
      </w:r>
      <w:r w:rsidR="00263769">
        <w:rPr>
          <w:rFonts w:ascii="Arial" w:hAnsi="Arial" w:cs="Arial"/>
          <w:spacing w:val="3"/>
        </w:rPr>
        <w:t xml:space="preserve">el </w:t>
      </w:r>
      <w:r w:rsidR="001A1223">
        <w:rPr>
          <w:rFonts w:ascii="Arial" w:hAnsi="Arial" w:cs="Arial"/>
          <w:spacing w:val="3"/>
        </w:rPr>
        <w:t xml:space="preserve">secretario del </w:t>
      </w:r>
      <w:r w:rsidR="00263769">
        <w:rPr>
          <w:rFonts w:ascii="Arial" w:hAnsi="Arial" w:cs="Arial"/>
          <w:spacing w:val="3"/>
        </w:rPr>
        <w:t xml:space="preserve">Juzgado </w:t>
      </w:r>
      <w:r w:rsidR="00C85A0F">
        <w:rPr>
          <w:rFonts w:ascii="Arial" w:hAnsi="Arial" w:cs="Arial"/>
          <w:spacing w:val="3"/>
        </w:rPr>
        <w:t xml:space="preserve">accionado </w:t>
      </w:r>
      <w:r w:rsidR="001A1223">
        <w:rPr>
          <w:rFonts w:ascii="Arial" w:hAnsi="Arial" w:cs="Arial"/>
          <w:spacing w:val="3"/>
        </w:rPr>
        <w:t xml:space="preserve">informó sobre el trámite dado a las acciones populares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1A1223">
        <w:rPr>
          <w:rFonts w:ascii="Arial" w:hAnsi="Arial" w:cs="Arial"/>
          <w:spacing w:val="3"/>
        </w:rPr>
        <w:t xml:space="preserve">12 </w:t>
      </w:r>
      <w:r w:rsidR="00455E2D">
        <w:rPr>
          <w:rFonts w:ascii="Arial" w:hAnsi="Arial" w:cs="Arial"/>
          <w:spacing w:val="3"/>
        </w:rPr>
        <w:t xml:space="preserve">a </w:t>
      </w:r>
      <w:r w:rsidR="001A1223">
        <w:rPr>
          <w:rFonts w:ascii="Arial" w:hAnsi="Arial" w:cs="Arial"/>
          <w:spacing w:val="3"/>
        </w:rPr>
        <w:t>14</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7251E6" w:rsidRDefault="00310F89" w:rsidP="004774FB">
      <w:pPr>
        <w:spacing w:line="360" w:lineRule="auto"/>
        <w:jc w:val="both"/>
        <w:rPr>
          <w:rFonts w:ascii="Arial" w:hAnsi="Arial"/>
          <w:sz w:val="20"/>
        </w:rPr>
      </w:pPr>
    </w:p>
    <w:p w:rsidR="00C85A0F" w:rsidRPr="00FD594D" w:rsidRDefault="00C85A0F" w:rsidP="00C85A0F">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 xml:space="preserve">Procuraduría General de la Nación </w:t>
      </w:r>
      <w:r w:rsidR="006F01EC">
        <w:rPr>
          <w:rFonts w:ascii="Arial" w:hAnsi="Arial" w:cs="Arial"/>
        </w:rPr>
        <w:t xml:space="preserve">- </w:t>
      </w:r>
      <w:r w:rsidRPr="00FD594D">
        <w:rPr>
          <w:rFonts w:ascii="Arial" w:hAnsi="Arial" w:cs="Arial"/>
        </w:rPr>
        <w:t>Regional Risaralda</w:t>
      </w:r>
    </w:p>
    <w:p w:rsidR="00C85A0F" w:rsidRPr="007251E6" w:rsidRDefault="00C85A0F" w:rsidP="00C85A0F">
      <w:pPr>
        <w:spacing w:line="360" w:lineRule="auto"/>
        <w:jc w:val="both"/>
        <w:rPr>
          <w:rFonts w:ascii="Arial" w:hAnsi="Arial"/>
          <w:sz w:val="20"/>
        </w:rPr>
      </w:pPr>
    </w:p>
    <w:p w:rsidR="00C85A0F" w:rsidRPr="00FD594D" w:rsidRDefault="001A1223" w:rsidP="00C85A0F">
      <w:pPr>
        <w:spacing w:line="360" w:lineRule="auto"/>
        <w:jc w:val="both"/>
        <w:rPr>
          <w:rFonts w:ascii="Arial" w:hAnsi="Arial"/>
        </w:rPr>
      </w:pPr>
      <w:r>
        <w:rPr>
          <w:rFonts w:ascii="Arial" w:hAnsi="Arial"/>
        </w:rPr>
        <w:t xml:space="preserve">Recordó </w:t>
      </w:r>
      <w:r w:rsidR="00C85A0F" w:rsidRPr="00FD594D">
        <w:rPr>
          <w:rFonts w:ascii="Arial" w:hAnsi="Arial"/>
        </w:rPr>
        <w:t xml:space="preserve">su papel en las acciones populares, </w:t>
      </w:r>
      <w:r w:rsidR="00A0329C">
        <w:rPr>
          <w:rFonts w:ascii="Arial" w:hAnsi="Arial"/>
        </w:rPr>
        <w:t>adujo que no la</w:t>
      </w:r>
      <w:r w:rsidR="00C85A0F">
        <w:rPr>
          <w:rFonts w:ascii="Arial" w:hAnsi="Arial"/>
        </w:rPr>
        <w:t xml:space="preserve"> promovió, y </w:t>
      </w:r>
      <w:r>
        <w:rPr>
          <w:rFonts w:ascii="Arial" w:hAnsi="Arial"/>
        </w:rPr>
        <w:t>estimó</w:t>
      </w:r>
      <w:r w:rsidR="00C85A0F" w:rsidRPr="00FD594D">
        <w:rPr>
          <w:rFonts w:ascii="Arial" w:hAnsi="Arial"/>
        </w:rPr>
        <w:t xml:space="preserve"> que la situación alegada, es ajena a su</w:t>
      </w:r>
      <w:r>
        <w:rPr>
          <w:rFonts w:ascii="Arial" w:hAnsi="Arial"/>
        </w:rPr>
        <w:t>s funciones</w:t>
      </w:r>
      <w:r w:rsidR="00C85A0F" w:rsidRPr="00FD594D">
        <w:rPr>
          <w:rFonts w:ascii="Arial" w:hAnsi="Arial"/>
        </w:rPr>
        <w:t xml:space="preserve">, de allí que solicitó su desvinculación (Folio </w:t>
      </w:r>
      <w:r>
        <w:rPr>
          <w:rFonts w:ascii="Arial" w:hAnsi="Arial"/>
        </w:rPr>
        <w:t>15</w:t>
      </w:r>
      <w:r w:rsidR="00C85A0F">
        <w:rPr>
          <w:rFonts w:ascii="Arial" w:hAnsi="Arial"/>
        </w:rPr>
        <w:t xml:space="preserve">, </w:t>
      </w:r>
      <w:r w:rsidR="00C85A0F" w:rsidRPr="00FD594D">
        <w:rPr>
          <w:rFonts w:ascii="Arial" w:hAnsi="Arial"/>
        </w:rPr>
        <w:t xml:space="preserve">ib.). </w:t>
      </w:r>
    </w:p>
    <w:p w:rsidR="00C85A0F" w:rsidRDefault="00C85A0F" w:rsidP="004774FB">
      <w:pPr>
        <w:spacing w:line="360" w:lineRule="auto"/>
        <w:jc w:val="both"/>
        <w:rPr>
          <w:rFonts w:ascii="Arial" w:hAnsi="Arial"/>
          <w:sz w:val="20"/>
        </w:rPr>
      </w:pPr>
    </w:p>
    <w:p w:rsidR="00CF265B" w:rsidRPr="0064341B" w:rsidRDefault="00CF265B" w:rsidP="00CF265B">
      <w:pPr>
        <w:pStyle w:val="Prrafodelista"/>
        <w:numPr>
          <w:ilvl w:val="1"/>
          <w:numId w:val="18"/>
        </w:numPr>
        <w:spacing w:line="360" w:lineRule="auto"/>
        <w:jc w:val="both"/>
        <w:rPr>
          <w:rFonts w:ascii="Arial" w:hAnsi="Arial"/>
        </w:rPr>
      </w:pPr>
      <w:r>
        <w:rPr>
          <w:rFonts w:ascii="Arial" w:hAnsi="Arial"/>
        </w:rPr>
        <w:lastRenderedPageBreak/>
        <w:t>La Personería Municipal de Pereira</w:t>
      </w:r>
    </w:p>
    <w:p w:rsidR="00CF265B" w:rsidRPr="001971C0" w:rsidRDefault="00CF265B" w:rsidP="00CF265B">
      <w:pPr>
        <w:pStyle w:val="Prrafodelista"/>
        <w:spacing w:line="360" w:lineRule="auto"/>
        <w:ind w:left="720"/>
        <w:jc w:val="both"/>
        <w:rPr>
          <w:rFonts w:ascii="Arial" w:hAnsi="Arial"/>
          <w:sz w:val="20"/>
        </w:rPr>
      </w:pPr>
    </w:p>
    <w:p w:rsidR="00CF265B" w:rsidRDefault="00CF265B" w:rsidP="00CF265B">
      <w:pPr>
        <w:spacing w:line="360" w:lineRule="auto"/>
        <w:jc w:val="both"/>
        <w:rPr>
          <w:rFonts w:ascii="Arial" w:hAnsi="Arial"/>
        </w:rPr>
      </w:pPr>
      <w:r>
        <w:rPr>
          <w:rFonts w:ascii="Arial" w:hAnsi="Arial"/>
        </w:rPr>
        <w:t>Refirió sus funciones y adujo que no está al tanto de las acciones populares. Citó las normas que regulan ese tipo de trámites y concluyó que no ha vulnerado o amenazado los derechos fundamentales del accionante (Folios 18 a 20 y 22 a 24, ib.).</w:t>
      </w:r>
    </w:p>
    <w:p w:rsidR="00CF265B" w:rsidRPr="007251E6" w:rsidRDefault="00CF265B" w:rsidP="004774FB">
      <w:pPr>
        <w:spacing w:line="360" w:lineRule="auto"/>
        <w:jc w:val="both"/>
        <w:rPr>
          <w:rFonts w:ascii="Arial" w:hAnsi="Arial"/>
          <w:sz w:val="20"/>
        </w:rPr>
      </w:pPr>
    </w:p>
    <w:p w:rsidR="00CF265B" w:rsidRDefault="00CF265B" w:rsidP="00CF265B">
      <w:pPr>
        <w:pStyle w:val="Prrafodelista"/>
        <w:numPr>
          <w:ilvl w:val="1"/>
          <w:numId w:val="18"/>
        </w:numPr>
        <w:spacing w:line="360" w:lineRule="auto"/>
        <w:jc w:val="both"/>
        <w:rPr>
          <w:rFonts w:ascii="Arial" w:hAnsi="Arial"/>
        </w:rPr>
      </w:pPr>
      <w:r>
        <w:rPr>
          <w:rFonts w:ascii="Arial" w:hAnsi="Arial"/>
        </w:rPr>
        <w:t>La Alcaldía de Pereira</w:t>
      </w:r>
    </w:p>
    <w:p w:rsidR="00CF265B" w:rsidRPr="001971C0" w:rsidRDefault="00CF265B" w:rsidP="00CF265B">
      <w:pPr>
        <w:pStyle w:val="Prrafodelista"/>
        <w:spacing w:line="360" w:lineRule="auto"/>
        <w:ind w:left="720"/>
        <w:jc w:val="both"/>
        <w:rPr>
          <w:rFonts w:ascii="Arial" w:hAnsi="Arial"/>
          <w:sz w:val="20"/>
        </w:rPr>
      </w:pPr>
    </w:p>
    <w:p w:rsidR="00CF265B" w:rsidRDefault="00CF265B" w:rsidP="00CF265B">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 (Folios 26 a 28, ib.).</w:t>
      </w:r>
    </w:p>
    <w:p w:rsidR="00CF265B" w:rsidRPr="001971C0" w:rsidRDefault="00CF265B" w:rsidP="00CF265B">
      <w:pPr>
        <w:pStyle w:val="Textoindependiente"/>
        <w:spacing w:line="360" w:lineRule="auto"/>
        <w:rPr>
          <w:rFonts w:ascii="Arial" w:hAnsi="Arial"/>
          <w:sz w:val="20"/>
          <w:szCs w:val="24"/>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405B9B">
        <w:rPr>
          <w:rFonts w:ascii="Arial" w:hAnsi="Arial" w:cs="Arial"/>
          <w:color w:val="000000"/>
          <w:sz w:val="24"/>
          <w:szCs w:val="24"/>
        </w:rPr>
        <w:t>Juzgado Cuarto Civil del Circuito de Pereira</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405B9B">
        <w:rPr>
          <w:rFonts w:ascii="Arial" w:hAnsi="Arial" w:cs="Arial"/>
          <w:color w:val="000000"/>
        </w:rPr>
        <w:t>Juzgado Cuarto Civil del Circuito de Pereira</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la</w:t>
      </w:r>
      <w:r w:rsidR="00CF265B">
        <w:rPr>
          <w:rFonts w:ascii="Arial" w:hAnsi="Arial" w:cs="Arial"/>
          <w:spacing w:val="-3"/>
          <w:lang w:val="es-ES_tradnl"/>
        </w:rPr>
        <w:t>s</w:t>
      </w:r>
      <w:r w:rsidR="00071B86">
        <w:rPr>
          <w:rFonts w:ascii="Arial" w:hAnsi="Arial" w:cs="Arial"/>
          <w:spacing w:val="-3"/>
          <w:lang w:val="es-ES_tradnl"/>
        </w:rPr>
        <w:t xml:space="preserve"> </w:t>
      </w:r>
      <w:r w:rsidR="00CF265B">
        <w:rPr>
          <w:rFonts w:ascii="Arial" w:hAnsi="Arial" w:cs="Arial"/>
          <w:spacing w:val="-3"/>
          <w:lang w:val="es-ES_tradnl"/>
        </w:rPr>
        <w:t xml:space="preserve">acciones </w:t>
      </w:r>
      <w:r w:rsidR="00AC1EFF">
        <w:rPr>
          <w:rFonts w:ascii="Arial" w:hAnsi="Arial" w:cs="Arial"/>
          <w:spacing w:val="-3"/>
          <w:lang w:val="es-ES_tradnl"/>
        </w:rPr>
        <w:t>popular</w:t>
      </w:r>
      <w:r w:rsidR="00CF265B">
        <w:rPr>
          <w:rFonts w:ascii="Arial" w:hAnsi="Arial" w:cs="Arial"/>
          <w:spacing w:val="-3"/>
          <w:lang w:val="es-ES_tradnl"/>
        </w:rPr>
        <w:t>es</w:t>
      </w:r>
      <w:r w:rsidR="00CB0B9E">
        <w:rPr>
          <w:rFonts w:ascii="Arial" w:hAnsi="Arial" w:cs="Arial"/>
          <w:spacing w:val="-3"/>
          <w:lang w:val="es-ES_tradnl"/>
        </w:rPr>
        <w:t xml:space="preserve">, según lo expuesto en </w:t>
      </w:r>
      <w:r w:rsidR="00CF265B">
        <w:rPr>
          <w:rFonts w:ascii="Arial" w:hAnsi="Arial" w:cs="Arial"/>
          <w:spacing w:val="-3"/>
          <w:lang w:val="es-ES_tradnl"/>
        </w:rPr>
        <w:t xml:space="preserve">los </w:t>
      </w:r>
      <w:r w:rsidR="003D2915">
        <w:rPr>
          <w:rFonts w:ascii="Arial" w:hAnsi="Arial" w:cs="Arial"/>
          <w:spacing w:val="-3"/>
          <w:lang w:val="es-ES_tradnl"/>
        </w:rPr>
        <w:t>escrito</w:t>
      </w:r>
      <w:r w:rsidR="00CF265B">
        <w:rPr>
          <w:rFonts w:ascii="Arial" w:hAnsi="Arial" w:cs="Arial"/>
          <w:spacing w:val="-3"/>
          <w:lang w:val="es-ES_tradnl"/>
        </w:rPr>
        <w:t>s</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Pr="00184B52"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184B52">
        <w:rPr>
          <w:rFonts w:ascii="Arial" w:hAnsi="Arial"/>
          <w:szCs w:val="24"/>
        </w:rPr>
        <w:t>La resolución del problema jurídico</w:t>
      </w:r>
    </w:p>
    <w:p w:rsidR="008F34B8"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184B52" w:rsidRPr="00DF74B6" w:rsidRDefault="00184B52" w:rsidP="00184B52">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184B52" w:rsidRPr="007251E6" w:rsidRDefault="00184B52" w:rsidP="00184B52">
      <w:pPr>
        <w:pStyle w:val="Textoindependiente"/>
        <w:spacing w:line="360" w:lineRule="auto"/>
        <w:rPr>
          <w:rFonts w:ascii="Arial" w:hAnsi="Arial" w:cs="Arial"/>
          <w:sz w:val="20"/>
          <w:szCs w:val="24"/>
        </w:rPr>
      </w:pPr>
    </w:p>
    <w:p w:rsidR="00184B52" w:rsidRDefault="00184B52" w:rsidP="00184B52">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w:t>
      </w:r>
      <w:r>
        <w:rPr>
          <w:rFonts w:ascii="Arial" w:hAnsi="Arial" w:cs="Arial"/>
          <w:szCs w:val="24"/>
        </w:rPr>
        <w:t xml:space="preserve">parte activa en las acciones populares en las </w:t>
      </w:r>
      <w:r w:rsidRPr="00FD594D">
        <w:rPr>
          <w:rFonts w:ascii="Arial" w:hAnsi="Arial" w:cs="Arial"/>
          <w:szCs w:val="24"/>
        </w:rPr>
        <w:t>que se reprocha la falta al debido proceso.</w:t>
      </w:r>
      <w:r>
        <w:rPr>
          <w:rFonts w:ascii="Arial" w:hAnsi="Arial" w:cs="Arial"/>
          <w:szCs w:val="24"/>
        </w:rPr>
        <w:t xml:space="preserve"> Y por pasiva, lo es el Juzgado Cuarto Civil del Circuito de Pereira, R.</w:t>
      </w:r>
      <w:r w:rsidRPr="00FD594D">
        <w:rPr>
          <w:rFonts w:ascii="Arial" w:hAnsi="Arial" w:cs="Arial"/>
          <w:szCs w:val="24"/>
        </w:rPr>
        <w:t xml:space="preserve">, al ser la autoridad judicial que conoce </w:t>
      </w:r>
      <w:r>
        <w:rPr>
          <w:rFonts w:ascii="Arial" w:hAnsi="Arial" w:cs="Arial"/>
          <w:szCs w:val="24"/>
        </w:rPr>
        <w:t>los asuntos</w:t>
      </w:r>
      <w:r w:rsidRPr="00FD594D">
        <w:rPr>
          <w:rFonts w:ascii="Arial" w:hAnsi="Arial" w:cs="Arial"/>
          <w:szCs w:val="24"/>
        </w:rPr>
        <w:t>.</w:t>
      </w:r>
    </w:p>
    <w:p w:rsidR="00184B52" w:rsidRPr="007251E6" w:rsidRDefault="00184B52" w:rsidP="00184B52">
      <w:pPr>
        <w:pStyle w:val="Textoindependiente"/>
        <w:spacing w:line="360" w:lineRule="auto"/>
        <w:rPr>
          <w:rFonts w:ascii="Arial" w:hAnsi="Arial" w:cs="Arial"/>
          <w:sz w:val="20"/>
          <w:szCs w:val="24"/>
        </w:rPr>
      </w:pPr>
    </w:p>
    <w:p w:rsidR="00184B52" w:rsidRDefault="00184B52" w:rsidP="00184B5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p>
    <w:p w:rsidR="00184B52" w:rsidRPr="007251E6" w:rsidRDefault="00184B52"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lastRenderedPageBreak/>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sidR="00FF68BE">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949CB" w:rsidRPr="00F96F8C" w:rsidRDefault="00F949CB" w:rsidP="00F949CB">
      <w:pPr>
        <w:pStyle w:val="Prrafodelista"/>
        <w:numPr>
          <w:ilvl w:val="2"/>
          <w:numId w:val="18"/>
        </w:numPr>
        <w:spacing w:line="360" w:lineRule="auto"/>
        <w:jc w:val="both"/>
        <w:rPr>
          <w:rFonts w:ascii="Arial" w:hAnsi="Arial" w:cs="Arial"/>
        </w:rPr>
      </w:pPr>
      <w:r w:rsidRPr="00F96F8C">
        <w:rPr>
          <w:rFonts w:ascii="Arial" w:hAnsi="Arial" w:cs="Arial"/>
        </w:rPr>
        <w:lastRenderedPageBreak/>
        <w:t>La inmediatez</w:t>
      </w:r>
    </w:p>
    <w:p w:rsidR="00F949CB" w:rsidRPr="0007257C" w:rsidRDefault="00F949CB" w:rsidP="00F949CB">
      <w:pPr>
        <w:pStyle w:val="Prrafodelista"/>
        <w:spacing w:line="360" w:lineRule="auto"/>
        <w:ind w:left="720"/>
        <w:jc w:val="both"/>
        <w:rPr>
          <w:rFonts w:ascii="Arial" w:hAnsi="Arial" w:cs="Arial"/>
          <w:sz w:val="22"/>
        </w:rPr>
      </w:pPr>
    </w:p>
    <w:p w:rsidR="00F949CB" w:rsidRDefault="00F949CB" w:rsidP="00F949CB">
      <w:pPr>
        <w:spacing w:line="360" w:lineRule="auto"/>
        <w:jc w:val="both"/>
        <w:rPr>
          <w:rFonts w:ascii="Arial" w:hAnsi="Arial" w:cs="Arial"/>
          <w:u w:val="single"/>
        </w:rPr>
      </w:pPr>
      <w:r>
        <w:rPr>
          <w:rFonts w:ascii="Arial" w:hAnsi="Arial" w:cs="Arial"/>
        </w:rPr>
        <w:t>Según constante jurisprudencia de nuestro máximo Tribunal Constitucional</w:t>
      </w:r>
      <w:r>
        <w:rPr>
          <w:rStyle w:val="Refdenotaalpie"/>
        </w:rPr>
        <w:footnoteReference w:id="8"/>
      </w:r>
      <w:r>
        <w:rPr>
          <w:rFonts w:ascii="Arial" w:hAnsi="Arial" w:cs="Arial"/>
        </w:rPr>
        <w:t>, y también de la Corte Suprema de Justicia</w:t>
      </w:r>
      <w:r>
        <w:rPr>
          <w:rStyle w:val="Refdenotaalpie"/>
          <w:rFonts w:ascii="Calibri" w:hAnsi="Calibri" w:cs="Calibri"/>
        </w:rPr>
        <w:footnoteReference w:id="9"/>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F949CB" w:rsidRPr="0007257C" w:rsidRDefault="00F949CB" w:rsidP="00F949CB">
      <w:pPr>
        <w:spacing w:line="360" w:lineRule="auto"/>
        <w:jc w:val="both"/>
        <w:rPr>
          <w:rFonts w:ascii="Arial" w:hAnsi="Arial" w:cs="Arial"/>
          <w:sz w:val="22"/>
          <w:u w:val="single"/>
        </w:rPr>
      </w:pPr>
    </w:p>
    <w:p w:rsidR="00F949CB" w:rsidRDefault="00F949CB" w:rsidP="00F949CB">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0"/>
      </w:r>
      <w:r>
        <w:rPr>
          <w:rFonts w:ascii="Arial" w:hAnsi="Arial" w:cs="Arial"/>
        </w:rPr>
        <w:t>. Así mismo lo ha señalado la Corte Suprema de Justicia Sala de Casación Civil</w:t>
      </w:r>
      <w:r>
        <w:rPr>
          <w:rStyle w:val="Refdenotaalpie"/>
          <w:rFonts w:ascii="Arial" w:hAnsi="Arial" w:cs="Arial"/>
        </w:rPr>
        <w:footnoteReference w:id="11"/>
      </w:r>
      <w:r>
        <w:rPr>
          <w:rFonts w:ascii="Arial" w:hAnsi="Arial" w:cs="Arial"/>
        </w:rPr>
        <w:t xml:space="preserve"> que en reciente (2016) providencia reiteró: </w:t>
      </w:r>
    </w:p>
    <w:p w:rsidR="00F949CB" w:rsidRPr="00BE7936" w:rsidRDefault="00F949CB" w:rsidP="00F949CB">
      <w:pPr>
        <w:spacing w:line="360" w:lineRule="auto"/>
        <w:ind w:right="22"/>
        <w:jc w:val="both"/>
        <w:rPr>
          <w:rFonts w:ascii="Arial" w:hAnsi="Arial" w:cs="Arial"/>
          <w:sz w:val="16"/>
        </w:rPr>
      </w:pPr>
    </w:p>
    <w:p w:rsidR="00F949CB" w:rsidRDefault="00F949CB" w:rsidP="00F949CB">
      <w:pPr>
        <w:ind w:left="72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F949CB" w:rsidRPr="0007257C" w:rsidRDefault="00F949CB" w:rsidP="00F949CB">
      <w:pPr>
        <w:spacing w:line="360" w:lineRule="auto"/>
        <w:ind w:right="22"/>
        <w:jc w:val="both"/>
        <w:rPr>
          <w:rFonts w:ascii="Arial" w:hAnsi="Arial" w:cs="Arial"/>
          <w:sz w:val="20"/>
        </w:rPr>
      </w:pPr>
    </w:p>
    <w:p w:rsidR="00F949CB" w:rsidRDefault="00F949CB" w:rsidP="00F949CB">
      <w:pPr>
        <w:spacing w:line="360" w:lineRule="auto"/>
        <w:ind w:right="22"/>
        <w:jc w:val="both"/>
        <w:rPr>
          <w:rFonts w:ascii="Arial" w:hAnsi="Arial" w:cs="Arial"/>
        </w:rPr>
      </w:pPr>
      <w:r>
        <w:rPr>
          <w:rFonts w:ascii="Arial" w:hAnsi="Arial" w:cs="Arial"/>
        </w:rPr>
        <w:t xml:space="preserve">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w:t>
      </w:r>
      <w:r>
        <w:rPr>
          <w:rFonts w:ascii="Arial" w:hAnsi="Arial" w:cs="Arial"/>
        </w:rPr>
        <w:lastRenderedPageBreak/>
        <w:t>vulneración de los derechos de los interesados.</w:t>
      </w:r>
    </w:p>
    <w:p w:rsidR="00F949CB" w:rsidRPr="0007257C" w:rsidRDefault="00F949CB" w:rsidP="00F949CB">
      <w:pPr>
        <w:spacing w:line="360" w:lineRule="auto"/>
        <w:ind w:right="22"/>
        <w:jc w:val="both"/>
        <w:rPr>
          <w:rFonts w:ascii="Arial" w:hAnsi="Arial" w:cs="Arial"/>
          <w:sz w:val="20"/>
        </w:rPr>
      </w:pPr>
    </w:p>
    <w:p w:rsidR="00F949CB" w:rsidRDefault="00F949CB" w:rsidP="00F949CB">
      <w:pPr>
        <w:spacing w:line="360" w:lineRule="auto"/>
        <w:ind w:right="22"/>
        <w:jc w:val="both"/>
        <w:rPr>
          <w:rFonts w:ascii="Arial" w:hAnsi="Arial" w:cs="Arial"/>
        </w:rPr>
      </w:pPr>
      <w:r>
        <w:rPr>
          <w:rFonts w:ascii="Arial" w:hAnsi="Arial" w:cs="Arial"/>
        </w:rPr>
        <w:t>Los aspectos acabados de reseñar, fueron precisados en una decisión del 2006 de la Corte Constitucional</w:t>
      </w:r>
      <w:r>
        <w:rPr>
          <w:rStyle w:val="Refdenotaalpie"/>
          <w:rFonts w:ascii="Arial" w:hAnsi="Arial" w:cs="Arial"/>
        </w:rPr>
        <w:footnoteReference w:id="12"/>
      </w:r>
      <w:r>
        <w:rPr>
          <w:rFonts w:ascii="Arial" w:hAnsi="Arial" w:cs="Arial"/>
        </w:rPr>
        <w:t>, con apoyo en un precedente anterior de 2003</w:t>
      </w:r>
      <w:r>
        <w:rPr>
          <w:rStyle w:val="Refdenotaalpie"/>
          <w:rFonts w:ascii="Arial" w:hAnsi="Arial" w:cs="Arial"/>
        </w:rPr>
        <w:footnoteReference w:id="13"/>
      </w:r>
      <w:r>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Pr>
          <w:rStyle w:val="Refdenotaalpie"/>
          <w:rFonts w:ascii="Arial" w:hAnsi="Arial" w:cs="Arial"/>
        </w:rPr>
        <w:footnoteReference w:id="14"/>
      </w:r>
      <w:r>
        <w:rPr>
          <w:rFonts w:ascii="Arial" w:hAnsi="Arial" w:cs="Arial"/>
        </w:rPr>
        <w:t>.</w:t>
      </w:r>
    </w:p>
    <w:p w:rsidR="00F949CB" w:rsidRPr="0007257C" w:rsidRDefault="00F949CB" w:rsidP="00F949CB">
      <w:pPr>
        <w:spacing w:line="360" w:lineRule="auto"/>
        <w:ind w:right="22"/>
        <w:jc w:val="both"/>
        <w:rPr>
          <w:rFonts w:ascii="Arial" w:hAnsi="Arial" w:cs="Arial"/>
          <w:sz w:val="22"/>
        </w:rPr>
      </w:pPr>
    </w:p>
    <w:p w:rsidR="00F949CB" w:rsidRDefault="00F949CB" w:rsidP="00F949CB">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5"/>
      </w:r>
      <w:r>
        <w:rPr>
          <w:rFonts w:ascii="Arial" w:hAnsi="Arial" w:cs="Arial"/>
          <w:lang w:val="es-ES_tradnl"/>
        </w:rPr>
        <w:t xml:space="preserve">, ratificó el pensamiento traído en su larga línea jurisprudencial, y resaltó las razones que fundamenta el factor “inmediatez” como presupuesto de </w:t>
      </w:r>
      <w:proofErr w:type="spellStart"/>
      <w:r>
        <w:rPr>
          <w:rFonts w:ascii="Arial" w:hAnsi="Arial" w:cs="Arial"/>
          <w:lang w:val="es-ES_tradnl"/>
        </w:rPr>
        <w:t>procedibilidad</w:t>
      </w:r>
      <w:proofErr w:type="spellEnd"/>
      <w:r>
        <w:rPr>
          <w:rFonts w:ascii="Arial" w:hAnsi="Arial" w:cs="Arial"/>
          <w:lang w:val="es-ES_tradnl"/>
        </w:rPr>
        <w:t xml:space="preserve"> </w:t>
      </w:r>
      <w:r w:rsidRPr="001754A5">
        <w:rPr>
          <w:rFonts w:ascii="Arial" w:hAnsi="Arial" w:cs="Arial"/>
        </w:rPr>
        <w:t>en asuntos en los que el objeto de debate constitucional es una decisión judicial en firme</w:t>
      </w:r>
      <w:r>
        <w:rPr>
          <w:rFonts w:ascii="Arial" w:hAnsi="Arial" w:cs="Arial"/>
          <w:lang w:val="es-ES_tradnl"/>
        </w:rPr>
        <w:t>, así acotó:</w:t>
      </w:r>
    </w:p>
    <w:p w:rsidR="00F949CB" w:rsidRPr="0007257C" w:rsidRDefault="00F949CB" w:rsidP="00F949CB">
      <w:pPr>
        <w:ind w:left="567"/>
        <w:jc w:val="both"/>
        <w:rPr>
          <w:rFonts w:ascii="Arial" w:hAnsi="Arial" w:cs="Arial"/>
          <w:sz w:val="22"/>
          <w:lang w:val="es-ES_tradnl"/>
        </w:rPr>
      </w:pPr>
    </w:p>
    <w:p w:rsidR="00F949CB" w:rsidRDefault="00F949CB" w:rsidP="00F949CB">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 la Corte reiteró que la </w:t>
      </w:r>
      <w:r>
        <w:rPr>
          <w:rFonts w:ascii="Arial" w:hAnsi="Arial" w:cs="Arial"/>
          <w:szCs w:val="28"/>
          <w:u w:val="single"/>
          <w:shd w:val="clear" w:color="auto" w:fill="FFFFFF"/>
        </w:rPr>
        <w:t>exigencia de presentar la acción de tutela en un término razonable, se debe a la necesidad de</w:t>
      </w:r>
      <w:r>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Pr>
          <w:rFonts w:ascii="Arial" w:hAnsi="Arial" w:cs="Arial"/>
          <w:szCs w:val="28"/>
          <w:shd w:val="clear" w:color="auto" w:fill="FFFFFF"/>
        </w:rPr>
        <w:t>supletiva</w:t>
      </w:r>
      <w:proofErr w:type="spellEnd"/>
      <w:r>
        <w:rPr>
          <w:rFonts w:ascii="Arial" w:hAnsi="Arial" w:cs="Arial"/>
          <w:szCs w:val="28"/>
          <w:shd w:val="clear" w:color="auto" w:fill="FFFFFF"/>
        </w:rPr>
        <w:t xml:space="preserve"> de la propia negligencia en la agencia de los derechos. </w:t>
      </w:r>
    </w:p>
    <w:p w:rsidR="00F949CB" w:rsidRDefault="00F949CB" w:rsidP="00F949CB">
      <w:pPr>
        <w:pStyle w:val="Textoindependiente"/>
        <w:spacing w:line="240" w:lineRule="auto"/>
        <w:ind w:left="567" w:right="567"/>
        <w:rPr>
          <w:rFonts w:ascii="Arial" w:hAnsi="Arial" w:cs="Arial"/>
          <w:sz w:val="22"/>
          <w:szCs w:val="24"/>
        </w:rPr>
      </w:pPr>
    </w:p>
    <w:p w:rsidR="00F949CB" w:rsidRDefault="00F949CB" w:rsidP="00F949CB">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F949CB" w:rsidRDefault="00F949CB" w:rsidP="00F949CB">
      <w:pPr>
        <w:pStyle w:val="Textoindependiente"/>
        <w:spacing w:line="240" w:lineRule="auto"/>
        <w:ind w:left="567" w:right="567"/>
        <w:rPr>
          <w:rFonts w:ascii="Arial" w:hAnsi="Arial" w:cs="Arial"/>
          <w:sz w:val="22"/>
          <w:szCs w:val="24"/>
        </w:rPr>
      </w:pPr>
    </w:p>
    <w:p w:rsidR="00F949CB" w:rsidRDefault="00F949CB" w:rsidP="00F949CB">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Pr>
          <w:rFonts w:ascii="Arial" w:hAnsi="Arial" w:cs="Arial"/>
          <w:lang w:val="es-CO"/>
        </w:rPr>
        <w:t xml:space="preserve">La </w:t>
      </w:r>
      <w:proofErr w:type="spellStart"/>
      <w:r>
        <w:rPr>
          <w:rFonts w:ascii="Arial" w:hAnsi="Arial" w:cs="Arial"/>
          <w:lang w:val="es-CO"/>
        </w:rPr>
        <w:t>sublínea</w:t>
      </w:r>
      <w:proofErr w:type="spellEnd"/>
      <w:r>
        <w:rPr>
          <w:rFonts w:ascii="Arial" w:hAnsi="Arial" w:cs="Arial"/>
          <w:lang w:val="es-CO"/>
        </w:rPr>
        <w:t xml:space="preserve"> de este Tribunal.</w:t>
      </w:r>
    </w:p>
    <w:p w:rsidR="00CB1C55" w:rsidRDefault="00CB1C55" w:rsidP="0062273B">
      <w:pPr>
        <w:spacing w:line="360" w:lineRule="auto"/>
        <w:jc w:val="both"/>
        <w:rPr>
          <w:rFonts w:ascii="Arial" w:hAnsi="Arial" w:cs="Arial"/>
          <w:sz w:val="20"/>
          <w:lang w:val="es-ES_tradnl"/>
        </w:rPr>
      </w:pPr>
    </w:p>
    <w:p w:rsidR="000A3B02" w:rsidRPr="000A3B02" w:rsidRDefault="000A3B02" w:rsidP="000A3B02">
      <w:pPr>
        <w:pStyle w:val="Textoindependiente"/>
        <w:numPr>
          <w:ilvl w:val="2"/>
          <w:numId w:val="18"/>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0A3B02" w:rsidRPr="001971C0" w:rsidRDefault="000A3B02" w:rsidP="000A3B02">
      <w:pPr>
        <w:pStyle w:val="Textoindependiente"/>
        <w:tabs>
          <w:tab w:val="clear" w:pos="708"/>
          <w:tab w:val="left" w:pos="709"/>
        </w:tabs>
        <w:spacing w:line="360" w:lineRule="auto"/>
        <w:rPr>
          <w:rFonts w:ascii="Arial" w:hAnsi="Arial"/>
          <w:sz w:val="20"/>
          <w:szCs w:val="24"/>
        </w:rPr>
      </w:pPr>
    </w:p>
    <w:p w:rsidR="000A3B02" w:rsidRDefault="000A3B02" w:rsidP="000A3B02">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0A3B02" w:rsidRPr="001971C0" w:rsidRDefault="000A3B02" w:rsidP="000A3B02">
      <w:pPr>
        <w:pStyle w:val="Textoindependiente"/>
        <w:tabs>
          <w:tab w:val="clear" w:pos="708"/>
          <w:tab w:val="left" w:pos="709"/>
        </w:tabs>
        <w:spacing w:line="360" w:lineRule="auto"/>
        <w:rPr>
          <w:rFonts w:ascii="Arial" w:hAnsi="Arial"/>
          <w:sz w:val="20"/>
          <w:szCs w:val="24"/>
        </w:rPr>
      </w:pPr>
    </w:p>
    <w:p w:rsidR="000A3B02" w:rsidRPr="00556F7F" w:rsidRDefault="000A3B02" w:rsidP="000A3B02">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lastRenderedPageBreak/>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6"/>
      </w:r>
      <w:r w:rsidRPr="00556F7F">
        <w:rPr>
          <w:rFonts w:ascii="Arial" w:hAnsi="Arial" w:cs="Arial"/>
          <w:sz w:val="22"/>
          <w:szCs w:val="22"/>
        </w:rPr>
        <w:t>.</w:t>
      </w:r>
    </w:p>
    <w:p w:rsidR="000A3B02" w:rsidRPr="001971C0" w:rsidRDefault="000A3B02" w:rsidP="000A3B02">
      <w:pPr>
        <w:pStyle w:val="Textoindependiente"/>
        <w:tabs>
          <w:tab w:val="clear" w:pos="708"/>
          <w:tab w:val="left" w:pos="709"/>
        </w:tabs>
        <w:spacing w:line="360" w:lineRule="auto"/>
        <w:rPr>
          <w:rFonts w:ascii="Arial" w:hAnsi="Arial"/>
          <w:sz w:val="20"/>
          <w:szCs w:val="24"/>
        </w:rPr>
      </w:pPr>
    </w:p>
    <w:p w:rsidR="000A3B02" w:rsidRPr="00556F7F" w:rsidRDefault="000A3B02" w:rsidP="000A3B02">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0A3B02" w:rsidRDefault="000A3B02" w:rsidP="000A3B02">
      <w:pPr>
        <w:pStyle w:val="Textoindependiente"/>
        <w:tabs>
          <w:tab w:val="clear" w:pos="0"/>
          <w:tab w:val="clear" w:pos="708"/>
          <w:tab w:val="left" w:pos="709"/>
        </w:tabs>
        <w:spacing w:line="360" w:lineRule="auto"/>
        <w:rPr>
          <w:rFonts w:ascii="Arial" w:hAnsi="Arial" w:cs="Arial"/>
          <w:szCs w:val="22"/>
        </w:rPr>
      </w:pPr>
      <w:proofErr w:type="gramStart"/>
      <w:r w:rsidRPr="00556F7F">
        <w:rPr>
          <w:rFonts w:ascii="Arial" w:hAnsi="Arial" w:cs="Arial"/>
          <w:szCs w:val="22"/>
        </w:rPr>
        <w:t>reiterado</w:t>
      </w:r>
      <w:proofErr w:type="gramEnd"/>
      <w:r>
        <w:rPr>
          <w:rStyle w:val="Refdenotaalpie"/>
          <w:rFonts w:ascii="Arial" w:hAnsi="Arial"/>
          <w:szCs w:val="22"/>
        </w:rPr>
        <w:footnoteReference w:id="17"/>
      </w:r>
      <w:r w:rsidRPr="00833A61">
        <w:rPr>
          <w:rFonts w:ascii="Arial" w:hAnsi="Arial" w:cs="Arial"/>
          <w:szCs w:val="22"/>
          <w:vertAlign w:val="superscript"/>
        </w:rPr>
        <w:t>-</w:t>
      </w:r>
      <w:r w:rsidRPr="00556F7F">
        <w:rPr>
          <w:rStyle w:val="Refdenotaalpie"/>
          <w:rFonts w:ascii="Arial" w:hAnsi="Arial"/>
          <w:szCs w:val="22"/>
          <w:lang w:val="es-ES"/>
        </w:rPr>
        <w:footnoteReference w:id="1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9"/>
      </w:r>
      <w:r w:rsidRPr="00556F7F">
        <w:rPr>
          <w:rFonts w:ascii="Arial" w:hAnsi="Arial" w:cs="Arial"/>
          <w:szCs w:val="22"/>
        </w:rPr>
        <w:t>, pues sostiene:</w:t>
      </w:r>
    </w:p>
    <w:p w:rsidR="000A3B02" w:rsidRPr="00E051C3" w:rsidRDefault="000A3B02" w:rsidP="000A3B02">
      <w:pPr>
        <w:pStyle w:val="Textoindependiente"/>
        <w:tabs>
          <w:tab w:val="clear" w:pos="0"/>
          <w:tab w:val="clear" w:pos="708"/>
          <w:tab w:val="left" w:pos="709"/>
        </w:tabs>
        <w:spacing w:line="360" w:lineRule="auto"/>
        <w:rPr>
          <w:rFonts w:ascii="Arial" w:hAnsi="Arial" w:cs="Arial"/>
          <w:sz w:val="12"/>
          <w:szCs w:val="22"/>
          <w:lang w:val="es-CO"/>
        </w:rPr>
      </w:pPr>
    </w:p>
    <w:p w:rsidR="000A3B02" w:rsidRPr="00556F7F" w:rsidRDefault="000A3B02" w:rsidP="000A3B0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0A3B02" w:rsidRPr="00E051C3" w:rsidRDefault="000A3B02" w:rsidP="000A3B0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18"/>
          <w:szCs w:val="20"/>
          <w:lang w:val="es-ES_tradnl"/>
        </w:rPr>
      </w:pPr>
    </w:p>
    <w:p w:rsidR="000A3B02" w:rsidRDefault="000A3B02" w:rsidP="000A3B0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0"/>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1"/>
      </w:r>
      <w:r>
        <w:rPr>
          <w:rFonts w:ascii="Arial" w:hAnsi="Arial" w:cs="Times New Roman"/>
          <w:spacing w:val="-3"/>
          <w:szCs w:val="20"/>
          <w:lang w:val="es-ES_tradnl"/>
        </w:rPr>
        <w:t>.</w:t>
      </w:r>
    </w:p>
    <w:p w:rsidR="000A3B02" w:rsidRPr="001971C0" w:rsidRDefault="000A3B02" w:rsidP="000A3B02">
      <w:pPr>
        <w:pStyle w:val="Textoindependiente"/>
        <w:spacing w:line="360" w:lineRule="auto"/>
        <w:rPr>
          <w:rFonts w:ascii="Arial" w:hAnsi="Arial"/>
          <w:sz w:val="20"/>
          <w:szCs w:val="24"/>
        </w:rPr>
      </w:pPr>
    </w:p>
    <w:p w:rsidR="000A3B02" w:rsidRDefault="000A3B02" w:rsidP="000A3B02">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2"/>
      </w:r>
      <w:r w:rsidRPr="007F030F">
        <w:rPr>
          <w:rFonts w:ascii="Arial" w:hAnsi="Arial" w:cs="Arial"/>
          <w:lang w:val="es-ES_tradnl"/>
        </w:rPr>
        <w:t>. Y</w:t>
      </w:r>
      <w:r w:rsidR="00247DCB">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 xml:space="preserve">De </w:t>
      </w:r>
      <w:r w:rsidRPr="0053783F">
        <w:rPr>
          <w:rFonts w:ascii="Arial" w:hAnsi="Arial" w:cs="Arial"/>
          <w:i/>
          <w:iCs/>
          <w:color w:val="000000"/>
          <w:sz w:val="22"/>
          <w:u w:val="single"/>
        </w:rPr>
        <w:lastRenderedPageBreak/>
        <w:t>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0A3B02" w:rsidRPr="001971C0" w:rsidRDefault="000A3B02" w:rsidP="000A3B02">
      <w:pPr>
        <w:pStyle w:val="Textoindependiente"/>
        <w:spacing w:line="360" w:lineRule="auto"/>
        <w:rPr>
          <w:rFonts w:ascii="Arial" w:hAnsi="Arial"/>
          <w:sz w:val="20"/>
          <w:szCs w:val="24"/>
        </w:rPr>
      </w:pPr>
    </w:p>
    <w:p w:rsidR="000A3B02" w:rsidRDefault="000A3B02" w:rsidP="000A3B02">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sidR="00247DCB">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0A3B02" w:rsidRPr="001971C0" w:rsidRDefault="000A3B02" w:rsidP="000A3B02">
      <w:pPr>
        <w:pStyle w:val="Textoindependiente"/>
        <w:spacing w:line="360" w:lineRule="auto"/>
        <w:rPr>
          <w:rFonts w:ascii="Arial" w:hAnsi="Arial"/>
          <w:sz w:val="20"/>
          <w:szCs w:val="24"/>
        </w:rPr>
      </w:pPr>
    </w:p>
    <w:p w:rsidR="000A3B02" w:rsidRPr="00A4402B" w:rsidRDefault="000A3B02" w:rsidP="000A3B02">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0A3B02" w:rsidRDefault="000A3B02" w:rsidP="000A3B02">
      <w:pPr>
        <w:pStyle w:val="Textoindependiente"/>
        <w:spacing w:line="360" w:lineRule="auto"/>
        <w:rPr>
          <w:rFonts w:ascii="Arial" w:hAnsi="Arial"/>
          <w:sz w:val="20"/>
          <w:szCs w:val="24"/>
        </w:rPr>
      </w:pPr>
    </w:p>
    <w:p w:rsidR="000A3B02" w:rsidRPr="000A3B02" w:rsidRDefault="000A3B02" w:rsidP="000A3B02">
      <w:pPr>
        <w:pStyle w:val="Textoindependiente"/>
        <w:numPr>
          <w:ilvl w:val="1"/>
          <w:numId w:val="18"/>
        </w:numPr>
        <w:spacing w:line="360" w:lineRule="auto"/>
        <w:rPr>
          <w:rFonts w:ascii="Arial" w:hAnsi="Arial"/>
          <w:szCs w:val="24"/>
        </w:rPr>
      </w:pPr>
      <w:r w:rsidRPr="000A3B02">
        <w:rPr>
          <w:rFonts w:ascii="Arial" w:hAnsi="Arial"/>
          <w:szCs w:val="24"/>
        </w:rPr>
        <w:t xml:space="preserve">Los presupuestos generales de </w:t>
      </w:r>
      <w:proofErr w:type="spellStart"/>
      <w:r w:rsidRPr="000A3B02">
        <w:rPr>
          <w:rFonts w:ascii="Arial" w:hAnsi="Arial"/>
          <w:szCs w:val="24"/>
        </w:rPr>
        <w:t>procedibilidad</w:t>
      </w:r>
      <w:proofErr w:type="spellEnd"/>
      <w:r w:rsidRPr="000A3B02">
        <w:rPr>
          <w:rFonts w:ascii="Arial" w:hAnsi="Arial"/>
          <w:szCs w:val="24"/>
        </w:rPr>
        <w:t xml:space="preserve"> (Inmediatez y subsidiariedad)</w:t>
      </w:r>
    </w:p>
    <w:p w:rsidR="000A3B02" w:rsidRDefault="000A3B02" w:rsidP="002832E0">
      <w:pPr>
        <w:pStyle w:val="Textoindependiente"/>
        <w:spacing w:line="360" w:lineRule="auto"/>
        <w:rPr>
          <w:rFonts w:ascii="Arial" w:hAnsi="Arial"/>
          <w:szCs w:val="24"/>
        </w:rPr>
      </w:pPr>
    </w:p>
    <w:p w:rsidR="002832E0" w:rsidRDefault="002832E0" w:rsidP="002832E0">
      <w:pPr>
        <w:pStyle w:val="Textoindependiente"/>
        <w:spacing w:line="360" w:lineRule="auto"/>
        <w:rPr>
          <w:rFonts w:ascii="Arial" w:hAnsi="Arial" w:cs="Arial"/>
        </w:rPr>
      </w:pPr>
      <w:r>
        <w:rPr>
          <w:rFonts w:ascii="Arial" w:hAnsi="Arial"/>
          <w:szCs w:val="24"/>
        </w:rPr>
        <w:t xml:space="preserve">En la metodología enseñada por la doctrina constitucional, el primer examen consiste en verificar los presupuestos generales de </w:t>
      </w:r>
      <w:proofErr w:type="spellStart"/>
      <w:r>
        <w:rPr>
          <w:rFonts w:ascii="Arial" w:hAnsi="Arial"/>
          <w:szCs w:val="24"/>
        </w:rPr>
        <w:t>procedibilidad</w:t>
      </w:r>
      <w:proofErr w:type="spellEnd"/>
      <w:r>
        <w:rPr>
          <w:rFonts w:ascii="Arial" w:hAnsi="Arial"/>
          <w:szCs w:val="24"/>
        </w:rPr>
        <w:t xml:space="preserve">, para determinar, si hay lugar o no, a estudiar de fondo el amparo constitucional; y, </w:t>
      </w:r>
      <w:r>
        <w:rPr>
          <w:rFonts w:ascii="Arial" w:hAnsi="Arial" w:cs="Arial"/>
        </w:rPr>
        <w:t xml:space="preserve">como dichos requisitos son concurrentes, esto es, incumplido uno, se torna inane el examen de los demás, menos podrían revisarse los supuestos especiales; por consiguiente, respecto de los referidos trámites, se considera que el análisis debe limitarse a la inmediatez, porque es el elemento que se advierte ausente y resulta suficiente para el fracaso del amparo. </w:t>
      </w:r>
    </w:p>
    <w:p w:rsidR="002832E0" w:rsidRDefault="002832E0" w:rsidP="002832E0">
      <w:pPr>
        <w:pStyle w:val="Textoindependiente"/>
        <w:spacing w:line="360" w:lineRule="auto"/>
        <w:rPr>
          <w:rFonts w:ascii="Arial" w:hAnsi="Arial"/>
          <w:szCs w:val="24"/>
        </w:rPr>
      </w:pPr>
    </w:p>
    <w:p w:rsidR="002832E0" w:rsidRDefault="002832E0" w:rsidP="002832E0">
      <w:pPr>
        <w:spacing w:line="360" w:lineRule="auto"/>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las acciones populares a pesar de haber sido elegido a prevención (Artículo 16, Ley 472). </w:t>
      </w:r>
    </w:p>
    <w:p w:rsidR="002832E0" w:rsidRDefault="002832E0" w:rsidP="002832E0">
      <w:pPr>
        <w:spacing w:line="360" w:lineRule="auto"/>
        <w:jc w:val="both"/>
        <w:rPr>
          <w:rFonts w:ascii="Arial" w:hAnsi="Arial" w:cs="Arial"/>
          <w:lang w:val="es-ES_tradnl"/>
        </w:rPr>
      </w:pPr>
    </w:p>
    <w:p w:rsidR="002832E0" w:rsidRDefault="002832E0" w:rsidP="002832E0">
      <w:pPr>
        <w:spacing w:line="360" w:lineRule="auto"/>
        <w:jc w:val="both"/>
        <w:rPr>
          <w:rFonts w:ascii="Arial" w:hAnsi="Arial" w:cs="Arial"/>
        </w:rPr>
      </w:pPr>
      <w:r>
        <w:rPr>
          <w:rFonts w:ascii="Arial" w:hAnsi="Arial" w:cs="Arial"/>
          <w:lang w:val="es-ES_tradnl"/>
        </w:rPr>
        <w:t xml:space="preserve">Según </w:t>
      </w:r>
      <w:r>
        <w:rPr>
          <w:rFonts w:ascii="Arial" w:hAnsi="Arial" w:cs="Arial"/>
        </w:rPr>
        <w:t xml:space="preserve">se desprende </w:t>
      </w:r>
      <w:r w:rsidR="00E501C4">
        <w:rPr>
          <w:rFonts w:ascii="Arial" w:hAnsi="Arial" w:cs="Arial"/>
        </w:rPr>
        <w:t xml:space="preserve">de </w:t>
      </w:r>
      <w:r>
        <w:rPr>
          <w:rFonts w:ascii="Arial" w:hAnsi="Arial" w:cs="Arial"/>
        </w:rPr>
        <w:t>las copias arrimadas (Folio</w:t>
      </w:r>
      <w:r w:rsidR="00E501C4">
        <w:rPr>
          <w:rFonts w:ascii="Arial" w:hAnsi="Arial" w:cs="Arial"/>
        </w:rPr>
        <w:t>s</w:t>
      </w:r>
      <w:r>
        <w:rPr>
          <w:rFonts w:ascii="Arial" w:hAnsi="Arial" w:cs="Arial"/>
        </w:rPr>
        <w:t xml:space="preserve"> 13 y 14, ib.</w:t>
      </w:r>
      <w:r w:rsidR="00E501C4">
        <w:rPr>
          <w:rFonts w:ascii="Arial" w:hAnsi="Arial" w:cs="Arial"/>
        </w:rPr>
        <w:t>)</w:t>
      </w:r>
      <w:r>
        <w:rPr>
          <w:rFonts w:ascii="Arial" w:hAnsi="Arial" w:cs="Arial"/>
        </w:rPr>
        <w:t xml:space="preserve">, aunadas a la información obtenida del aplicativo siglo XXI </w:t>
      </w:r>
      <w:r w:rsidR="00E501C4">
        <w:rPr>
          <w:rFonts w:ascii="Arial" w:hAnsi="Arial" w:cs="Arial"/>
        </w:rPr>
        <w:t>en esta instancia (Folio 3</w:t>
      </w:r>
      <w:r w:rsidR="00247DCB">
        <w:rPr>
          <w:rFonts w:ascii="Arial" w:hAnsi="Arial" w:cs="Arial"/>
        </w:rPr>
        <w:t>6, vto.</w:t>
      </w:r>
      <w:r w:rsidR="00E501C4">
        <w:rPr>
          <w:rFonts w:ascii="Arial" w:hAnsi="Arial" w:cs="Arial"/>
        </w:rPr>
        <w:t>, ib.)</w:t>
      </w:r>
      <w:r>
        <w:rPr>
          <w:rFonts w:ascii="Arial" w:hAnsi="Arial" w:cs="Arial"/>
        </w:rPr>
        <w:t xml:space="preserve">, </w:t>
      </w:r>
      <w:r w:rsidR="00E501C4">
        <w:rPr>
          <w:rFonts w:ascii="Arial" w:hAnsi="Arial" w:cs="Arial"/>
        </w:rPr>
        <w:t>el accionado mediante sendos proveídos del 19-08-2015, rechazó las acciones populares y ordenó remitirlas por competencia a los juzgados civiles del circuito de Bogotá DC, y, el día 14-09-2015, la secretaría las envió</w:t>
      </w:r>
      <w:r>
        <w:rPr>
          <w:rFonts w:ascii="Arial" w:hAnsi="Arial" w:cs="Arial"/>
        </w:rPr>
        <w:t xml:space="preserve">, por lo que </w:t>
      </w:r>
      <w:r w:rsidR="00E501C4">
        <w:rPr>
          <w:rFonts w:ascii="Arial" w:hAnsi="Arial" w:cs="Arial"/>
        </w:rPr>
        <w:t xml:space="preserve">es </w:t>
      </w:r>
      <w:r>
        <w:rPr>
          <w:rFonts w:ascii="Arial" w:hAnsi="Arial" w:cs="Arial"/>
        </w:rPr>
        <w:t xml:space="preserve">evidente que </w:t>
      </w:r>
      <w:r w:rsidR="00E501C4">
        <w:rPr>
          <w:rFonts w:ascii="Arial" w:hAnsi="Arial" w:cs="Arial"/>
        </w:rPr>
        <w:t xml:space="preserve">los </w:t>
      </w:r>
      <w:r>
        <w:rPr>
          <w:rFonts w:ascii="Arial" w:hAnsi="Arial" w:cs="Arial"/>
        </w:rPr>
        <w:t xml:space="preserve">presentes </w:t>
      </w:r>
      <w:r w:rsidR="00E501C4">
        <w:rPr>
          <w:rFonts w:ascii="Arial" w:hAnsi="Arial" w:cs="Arial"/>
        </w:rPr>
        <w:t xml:space="preserve">amparos </w:t>
      </w:r>
      <w:r>
        <w:rPr>
          <w:rFonts w:ascii="Arial" w:hAnsi="Arial" w:cs="Arial"/>
        </w:rPr>
        <w:t>carecen de inmediatez, pues su interposición (</w:t>
      </w:r>
      <w:r w:rsidR="00E501C4">
        <w:rPr>
          <w:rFonts w:ascii="Arial" w:hAnsi="Arial" w:cs="Arial"/>
        </w:rPr>
        <w:t>29-07-2016</w:t>
      </w:r>
      <w:r>
        <w:rPr>
          <w:rFonts w:ascii="Arial" w:hAnsi="Arial" w:cs="Arial"/>
        </w:rPr>
        <w:t xml:space="preserve">) desborda el plazo de los seis </w:t>
      </w:r>
      <w:r>
        <w:rPr>
          <w:rFonts w:ascii="Arial" w:hAnsi="Arial" w:cs="Arial"/>
        </w:rPr>
        <w:lastRenderedPageBreak/>
        <w:t>(6) meses fijado por la jurisprudencia tanto constitucional</w:t>
      </w:r>
      <w:r w:rsidRPr="0098589D">
        <w:rPr>
          <w:rStyle w:val="Refdenotaalpie"/>
          <w:rFonts w:ascii="Calibri" w:hAnsi="Calibri" w:cs="Calibri"/>
        </w:rPr>
        <w:footnoteReference w:id="25"/>
      </w:r>
      <w:r>
        <w:rPr>
          <w:rFonts w:ascii="Arial" w:hAnsi="Arial" w:cs="Arial"/>
        </w:rPr>
        <w:t xml:space="preserve"> como ordinaria</w:t>
      </w:r>
      <w:r>
        <w:rPr>
          <w:rStyle w:val="Refdenotaalpie"/>
          <w:rFonts w:ascii="Arial" w:hAnsi="Arial"/>
        </w:rPr>
        <w:footnoteReference w:id="26"/>
      </w:r>
      <w:r>
        <w:rPr>
          <w:rFonts w:ascii="Arial" w:hAnsi="Arial" w:cs="Arial"/>
        </w:rPr>
        <w:t xml:space="preserve">; como tiempo razonable, ya que </w:t>
      </w:r>
      <w:r w:rsidR="00E501C4">
        <w:rPr>
          <w:rFonts w:ascii="Arial" w:hAnsi="Arial" w:cs="Arial"/>
        </w:rPr>
        <w:t xml:space="preserve">han transcurrido aproximadamente diez </w:t>
      </w:r>
      <w:r>
        <w:rPr>
          <w:rFonts w:ascii="Arial" w:hAnsi="Arial" w:cs="Arial"/>
        </w:rPr>
        <w:t>(</w:t>
      </w:r>
      <w:r w:rsidR="00E501C4">
        <w:rPr>
          <w:rFonts w:ascii="Arial" w:hAnsi="Arial" w:cs="Arial"/>
        </w:rPr>
        <w:t>10</w:t>
      </w:r>
      <w:r>
        <w:rPr>
          <w:rFonts w:ascii="Arial" w:hAnsi="Arial" w:cs="Arial"/>
        </w:rPr>
        <w:t xml:space="preserve">) meses desde </w:t>
      </w:r>
      <w:r w:rsidR="00E501C4">
        <w:rPr>
          <w:rFonts w:ascii="Arial" w:hAnsi="Arial" w:cs="Arial"/>
        </w:rPr>
        <w:t>que los autos fueron proferidos</w:t>
      </w:r>
      <w:r>
        <w:rPr>
          <w:rFonts w:ascii="Arial" w:hAnsi="Arial" w:cs="Arial"/>
        </w:rPr>
        <w:t>.</w:t>
      </w:r>
    </w:p>
    <w:p w:rsidR="000A3B02" w:rsidRDefault="000A3B02" w:rsidP="002832E0">
      <w:pPr>
        <w:spacing w:line="360" w:lineRule="auto"/>
        <w:jc w:val="both"/>
        <w:rPr>
          <w:rFonts w:ascii="Arial" w:hAnsi="Arial" w:cs="Arial"/>
        </w:rPr>
      </w:pPr>
    </w:p>
    <w:p w:rsidR="002832E0" w:rsidRDefault="002832E0" w:rsidP="002832E0">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7"/>
      </w:r>
      <w:r>
        <w:rPr>
          <w:rFonts w:ascii="Arial" w:hAnsi="Arial" w:cs="Arial"/>
        </w:rPr>
        <w:t xml:space="preserve">; circunstancias que no fueron expuestas ni probadas en el trámite. </w:t>
      </w:r>
    </w:p>
    <w:p w:rsidR="002832E0" w:rsidRDefault="002832E0" w:rsidP="002832E0">
      <w:pPr>
        <w:spacing w:line="360" w:lineRule="auto"/>
        <w:jc w:val="both"/>
        <w:rPr>
          <w:rFonts w:ascii="Arial" w:hAnsi="Arial" w:cs="Arial"/>
        </w:rPr>
      </w:pPr>
    </w:p>
    <w:p w:rsidR="002832E0" w:rsidRDefault="002832E0" w:rsidP="002832E0">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Refdenotaalpie"/>
          <w:rFonts w:ascii="Arial" w:hAnsi="Arial"/>
        </w:rPr>
        <w:footnoteReference w:id="28"/>
      </w:r>
      <w:r>
        <w:rPr>
          <w:rFonts w:ascii="Arial" w:hAnsi="Arial" w:cs="Arial"/>
        </w:rPr>
        <w:t xml:space="preserve">; ni que </w:t>
      </w:r>
      <w:r w:rsidR="00E501C4">
        <w:rPr>
          <w:rFonts w:ascii="Arial" w:hAnsi="Arial" w:cs="Arial"/>
        </w:rPr>
        <w:t xml:space="preserve">el rechazo por </w:t>
      </w:r>
      <w:r w:rsidR="00184B52">
        <w:rPr>
          <w:rFonts w:ascii="Arial" w:hAnsi="Arial" w:cs="Arial"/>
        </w:rPr>
        <w:t xml:space="preserve">falta de </w:t>
      </w:r>
      <w:r w:rsidR="00E501C4">
        <w:rPr>
          <w:rFonts w:ascii="Arial" w:hAnsi="Arial" w:cs="Arial"/>
        </w:rPr>
        <w:t xml:space="preserve">competencia y la remisión de las acciones populares a otro despacho judicial, </w:t>
      </w:r>
      <w:r w:rsidRPr="00A36EB8">
        <w:rPr>
          <w:rFonts w:ascii="Arial" w:hAnsi="Arial" w:cs="Arial"/>
        </w:rPr>
        <w:t>vulnere</w:t>
      </w:r>
      <w:r w:rsidR="00184B52">
        <w:rPr>
          <w:rFonts w:ascii="Arial" w:hAnsi="Arial" w:cs="Arial"/>
        </w:rPr>
        <w:t>n</w:t>
      </w:r>
      <w:r w:rsidRPr="00A36EB8">
        <w:rPr>
          <w:rFonts w:ascii="Arial" w:hAnsi="Arial" w:cs="Arial"/>
        </w:rPr>
        <w:t xml:space="preserve"> o amenace</w:t>
      </w:r>
      <w:r w:rsidR="00184B52">
        <w:rPr>
          <w:rFonts w:ascii="Arial" w:hAnsi="Arial" w:cs="Arial"/>
        </w:rPr>
        <w:t>n</w:t>
      </w:r>
      <w:r w:rsidRPr="00A36EB8">
        <w:rPr>
          <w:rFonts w:ascii="Arial" w:hAnsi="Arial" w:cs="Arial"/>
        </w:rPr>
        <w:t xml:space="preserve"> los derechos de la </w:t>
      </w:r>
      <w:r>
        <w:rPr>
          <w:rFonts w:ascii="Arial" w:hAnsi="Arial" w:cs="Arial"/>
        </w:rPr>
        <w:t xml:space="preserve">parte </w:t>
      </w:r>
      <w:r w:rsidRPr="00A36EB8">
        <w:rPr>
          <w:rFonts w:ascii="Arial" w:hAnsi="Arial" w:cs="Arial"/>
        </w:rPr>
        <w:t>actora de forma tal que pueda estar incursa en una debilidad manifiesta</w:t>
      </w:r>
      <w:r>
        <w:rPr>
          <w:rFonts w:ascii="Arial" w:hAnsi="Arial" w:cs="Arial"/>
        </w:rPr>
        <w:t xml:space="preserve">. </w:t>
      </w:r>
    </w:p>
    <w:p w:rsidR="002832E0" w:rsidRDefault="002832E0" w:rsidP="002832E0">
      <w:pPr>
        <w:spacing w:line="360" w:lineRule="auto"/>
        <w:jc w:val="both"/>
        <w:rPr>
          <w:rFonts w:ascii="Arial" w:hAnsi="Arial" w:cs="Arial"/>
        </w:rPr>
      </w:pPr>
    </w:p>
    <w:p w:rsidR="002832E0" w:rsidRDefault="002832E0" w:rsidP="002832E0">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la</w:t>
      </w:r>
      <w:r w:rsidR="00E501C4">
        <w:rPr>
          <w:rFonts w:ascii="Arial" w:hAnsi="Arial"/>
        </w:rPr>
        <w:t>s</w:t>
      </w:r>
      <w:r>
        <w:rPr>
          <w:rFonts w:ascii="Arial" w:hAnsi="Arial"/>
        </w:rPr>
        <w:t xml:space="preserve"> </w:t>
      </w:r>
      <w:r w:rsidRPr="00486763">
        <w:rPr>
          <w:rFonts w:ascii="Arial" w:hAnsi="Arial"/>
        </w:rPr>
        <w:t>presente</w:t>
      </w:r>
      <w:r w:rsidR="00E501C4">
        <w:rPr>
          <w:rFonts w:ascii="Arial" w:hAnsi="Arial"/>
        </w:rPr>
        <w:t>s</w:t>
      </w:r>
      <w:r w:rsidRPr="00486763">
        <w:rPr>
          <w:rFonts w:ascii="Arial" w:hAnsi="Arial"/>
        </w:rPr>
        <w:t xml:space="preserve"> </w:t>
      </w:r>
      <w:r w:rsidR="00E501C4">
        <w:rPr>
          <w:rFonts w:ascii="Arial" w:hAnsi="Arial"/>
        </w:rPr>
        <w:t xml:space="preserve">acciones </w:t>
      </w:r>
      <w:r w:rsidRPr="00486763">
        <w:rPr>
          <w:rFonts w:ascii="Arial" w:hAnsi="Arial"/>
        </w:rPr>
        <w:t xml:space="preserve">de tutela </w:t>
      </w:r>
      <w:r w:rsidR="00E501C4">
        <w:rPr>
          <w:rFonts w:ascii="Arial" w:hAnsi="Arial"/>
        </w:rPr>
        <w:t xml:space="preserve">son </w:t>
      </w:r>
      <w:r w:rsidRPr="00486763">
        <w:rPr>
          <w:rFonts w:ascii="Arial" w:hAnsi="Arial"/>
        </w:rPr>
        <w:t>improcedente</w:t>
      </w:r>
      <w:r w:rsidR="00E501C4">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xml:space="preserve">, como lo es el de la </w:t>
      </w:r>
      <w:r>
        <w:rPr>
          <w:rFonts w:ascii="Arial" w:hAnsi="Arial"/>
        </w:rPr>
        <w:t xml:space="preserve">inmediatez, pues se </w:t>
      </w:r>
      <w:r w:rsidR="00E501C4">
        <w:rPr>
          <w:rFonts w:ascii="Arial" w:hAnsi="Arial"/>
        </w:rPr>
        <w:t xml:space="preserve">formularon diez </w:t>
      </w:r>
      <w:r>
        <w:rPr>
          <w:rFonts w:ascii="Arial" w:hAnsi="Arial"/>
        </w:rPr>
        <w:t>(</w:t>
      </w:r>
      <w:r w:rsidR="00E501C4">
        <w:rPr>
          <w:rFonts w:ascii="Arial" w:hAnsi="Arial"/>
        </w:rPr>
        <w:t>10</w:t>
      </w:r>
      <w:r>
        <w:rPr>
          <w:rFonts w:ascii="Arial" w:hAnsi="Arial"/>
        </w:rPr>
        <w:t>) después de acaecida la supuesta vulneración.</w:t>
      </w:r>
    </w:p>
    <w:p w:rsidR="002832E0" w:rsidRDefault="002832E0" w:rsidP="002832E0">
      <w:pPr>
        <w:spacing w:line="360" w:lineRule="auto"/>
        <w:jc w:val="both"/>
        <w:rPr>
          <w:rFonts w:ascii="Arial" w:hAnsi="Arial" w:cs="Arial"/>
          <w:lang w:val="es-ES_tradnl"/>
        </w:rPr>
      </w:pPr>
    </w:p>
    <w:p w:rsidR="00661167" w:rsidRDefault="000A3B02" w:rsidP="002832E0">
      <w:pPr>
        <w:spacing w:line="360" w:lineRule="auto"/>
        <w:jc w:val="both"/>
        <w:rPr>
          <w:rFonts w:ascii="Arial" w:hAnsi="Arial" w:cs="Arial"/>
          <w:lang w:val="es-ES_tradnl"/>
        </w:rPr>
      </w:pPr>
      <w:r>
        <w:rPr>
          <w:rFonts w:ascii="Arial" w:hAnsi="Arial" w:cs="Arial"/>
          <w:lang w:val="es-ES_tradnl"/>
        </w:rPr>
        <w:t>Sin embargo, e</w:t>
      </w:r>
      <w:r w:rsidR="002832E0">
        <w:rPr>
          <w:rFonts w:ascii="Arial" w:hAnsi="Arial" w:cs="Arial"/>
          <w:lang w:val="es-ES_tradnl"/>
        </w:rPr>
        <w:t>n caso de que se hubiese superado la inmediatez, considera esta Magistratura que también habría lugar a declarar la improcedencia de las acciones constitucionales, por incumplir con el requisito de la subsidiariedad</w:t>
      </w:r>
      <w:r w:rsidR="00661167">
        <w:rPr>
          <w:rFonts w:ascii="Arial" w:hAnsi="Arial" w:cs="Arial"/>
          <w:lang w:val="es-ES_tradnl"/>
        </w:rPr>
        <w:t>.</w:t>
      </w:r>
    </w:p>
    <w:p w:rsidR="00661167" w:rsidRDefault="00661167" w:rsidP="002832E0">
      <w:pPr>
        <w:spacing w:line="360" w:lineRule="auto"/>
        <w:jc w:val="both"/>
        <w:rPr>
          <w:rFonts w:ascii="Arial" w:hAnsi="Arial" w:cs="Arial"/>
          <w:lang w:val="es-ES_tradnl"/>
        </w:rPr>
      </w:pPr>
    </w:p>
    <w:p w:rsidR="00661167" w:rsidRDefault="00661167" w:rsidP="00661167">
      <w:pPr>
        <w:spacing w:line="360" w:lineRule="auto"/>
        <w:ind w:right="51"/>
        <w:jc w:val="both"/>
        <w:rPr>
          <w:rFonts w:ascii="Arial" w:hAnsi="Arial" w:cs="Arial"/>
        </w:rPr>
      </w:pPr>
      <w:r>
        <w:rPr>
          <w:rFonts w:ascii="Arial" w:hAnsi="Arial" w:cs="Arial"/>
        </w:rPr>
        <w:t xml:space="preserve">En efecto, los amparos son prematuros </w:t>
      </w:r>
      <w:r w:rsidRPr="00301067">
        <w:rPr>
          <w:rFonts w:ascii="Arial" w:hAnsi="Arial" w:cs="Arial"/>
        </w:rPr>
        <w:t>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juzgados a los cuales sean repartidas las acciones populares, asumirán su conocimiento o provocarán el conflicto negativo de competencia, lo que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tramitarlas, además, frente a esas decisiones le surgirán las oportunidades </w:t>
      </w:r>
      <w:r>
        <w:rPr>
          <w:rFonts w:ascii="Arial" w:hAnsi="Arial" w:cs="Arial"/>
          <w:lang w:val="es-CO"/>
        </w:rPr>
        <w:t xml:space="preserve">para </w:t>
      </w:r>
      <w:r w:rsidRPr="009705B1">
        <w:rPr>
          <w:rFonts w:ascii="Arial" w:hAnsi="Arial" w:cs="Arial"/>
          <w:lang w:val="es-419"/>
        </w:rPr>
        <w:t>recurrir</w:t>
      </w:r>
      <w:r>
        <w:rPr>
          <w:rFonts w:ascii="Arial" w:hAnsi="Arial" w:cs="Arial"/>
          <w:lang w:val="es-419"/>
        </w:rPr>
        <w:t>,</w:t>
      </w:r>
      <w:r w:rsidRPr="00747B00">
        <w:rPr>
          <w:rFonts w:ascii="Arial" w:hAnsi="Arial" w:cs="Arial"/>
        </w:rPr>
        <w:t xml:space="preserve"> </w:t>
      </w:r>
      <w:r>
        <w:rPr>
          <w:rFonts w:ascii="Arial" w:hAnsi="Arial" w:cs="Arial"/>
        </w:rPr>
        <w:t>de tal suerte, que son improcedentes en razón a que los trámites en los que se alega la vulneración aún se encuentran en curso</w:t>
      </w:r>
      <w:r>
        <w:rPr>
          <w:rFonts w:ascii="Arial" w:hAnsi="Arial" w:cs="Arial"/>
          <w:lang w:val="es-CO"/>
        </w:rPr>
        <w:t>.</w:t>
      </w:r>
      <w:r>
        <w:rPr>
          <w:rFonts w:ascii="Arial" w:hAnsi="Arial" w:cs="Arial"/>
        </w:rPr>
        <w:t xml:space="preserve"> Así lo ha dispuesto la jurisprudencia de la Corte </w:t>
      </w:r>
      <w:r>
        <w:rPr>
          <w:rFonts w:ascii="Arial" w:hAnsi="Arial" w:cs="Arial"/>
        </w:rPr>
        <w:lastRenderedPageBreak/>
        <w:t>Constitucional</w:t>
      </w:r>
      <w:r>
        <w:rPr>
          <w:rStyle w:val="Refdenotaalpie"/>
          <w:rFonts w:ascii="Arial" w:hAnsi="Arial"/>
        </w:rPr>
        <w:footnoteReference w:id="29"/>
      </w:r>
      <w:r>
        <w:rPr>
          <w:rFonts w:ascii="Arial" w:hAnsi="Arial" w:cs="Arial"/>
        </w:rPr>
        <w:t>, criterio también expuesto por la CSJ</w:t>
      </w:r>
      <w:r>
        <w:rPr>
          <w:rStyle w:val="Refdenotaalpie"/>
          <w:rFonts w:ascii="Arial" w:hAnsi="Arial"/>
        </w:rPr>
        <w:footnoteReference w:id="30"/>
      </w:r>
      <w:r>
        <w:rPr>
          <w:rFonts w:ascii="Arial" w:hAnsi="Arial" w:cs="Arial"/>
        </w:rPr>
        <w:t>.</w:t>
      </w:r>
    </w:p>
    <w:p w:rsidR="00661167" w:rsidRDefault="00661167" w:rsidP="002832E0">
      <w:pPr>
        <w:spacing w:line="360" w:lineRule="auto"/>
        <w:jc w:val="both"/>
        <w:rPr>
          <w:rFonts w:ascii="Arial" w:hAnsi="Arial" w:cs="Arial"/>
          <w:lang w:val="es-ES_tradnl"/>
        </w:rPr>
      </w:pPr>
    </w:p>
    <w:p w:rsidR="00661167" w:rsidRPr="00E262BA" w:rsidRDefault="002832E0" w:rsidP="00661167">
      <w:pPr>
        <w:spacing w:line="360" w:lineRule="auto"/>
        <w:jc w:val="both"/>
        <w:rPr>
          <w:rFonts w:ascii="Arial" w:hAnsi="Arial" w:cs="Arial"/>
          <w:sz w:val="22"/>
          <w:szCs w:val="22"/>
        </w:rPr>
      </w:pPr>
      <w:r>
        <w:rPr>
          <w:rFonts w:ascii="Arial" w:hAnsi="Arial" w:cs="Arial"/>
          <w:lang w:val="es-ES_tradnl"/>
        </w:rPr>
        <w:t xml:space="preserve">Evidente, entonces, es también,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w:t>
      </w:r>
      <w:r w:rsidR="00661167" w:rsidRPr="00E262BA">
        <w:rPr>
          <w:rFonts w:ascii="Arial" w:hAnsi="Arial" w:cs="Arial"/>
        </w:rPr>
        <w:t>que reiteradamente ha referido que la acción de tutela no pu</w:t>
      </w:r>
      <w:r w:rsidR="00661167">
        <w:rPr>
          <w:rFonts w:ascii="Arial" w:hAnsi="Arial" w:cs="Arial"/>
        </w:rPr>
        <w:t>e</w:t>
      </w:r>
      <w:r w:rsidR="00661167" w:rsidRPr="00E262BA">
        <w:rPr>
          <w:rFonts w:ascii="Arial" w:hAnsi="Arial" w:cs="Arial"/>
        </w:rPr>
        <w:t xml:space="preserve">de implementarse como </w:t>
      </w:r>
      <w:r w:rsidR="00661167" w:rsidRPr="00E262BA">
        <w:rPr>
          <w:rFonts w:ascii="Arial" w:hAnsi="Arial" w:cs="Arial"/>
          <w:shd w:val="clear" w:color="auto" w:fill="FFFFFF"/>
        </w:rPr>
        <w:t>mecanismo alternativo o paralelo para resolver problemas jurídicos que deben ser resueltos al interior del trámite ordinario</w:t>
      </w:r>
      <w:r w:rsidR="00661167" w:rsidRPr="00E262BA">
        <w:rPr>
          <w:rStyle w:val="Refdenotaalpie"/>
          <w:rFonts w:ascii="Arial" w:hAnsi="Arial" w:cs="Arial"/>
          <w:sz w:val="22"/>
          <w:szCs w:val="22"/>
        </w:rPr>
        <w:footnoteReference w:id="31"/>
      </w:r>
      <w:r w:rsidR="00661167" w:rsidRPr="00E262BA">
        <w:rPr>
          <w:rFonts w:ascii="Arial" w:hAnsi="Arial" w:cs="Arial"/>
          <w:sz w:val="22"/>
          <w:szCs w:val="22"/>
        </w:rPr>
        <w:t xml:space="preserve">. </w:t>
      </w:r>
    </w:p>
    <w:p w:rsidR="002832E0" w:rsidRDefault="002832E0" w:rsidP="002832E0">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04-04-2016 </w:t>
      </w:r>
      <w:r>
        <w:rPr>
          <w:rFonts w:ascii="Arial" w:hAnsi="Arial" w:cs="Arial"/>
          <w:iCs/>
          <w:color w:val="000000"/>
          <w:lang w:eastAsia="es-CO"/>
        </w:rPr>
        <w:t>(Folios 12 y 13, ib.)</w:t>
      </w:r>
      <w:r>
        <w:rPr>
          <w:rFonts w:ascii="Arial" w:hAnsi="Arial" w:cs="Arial"/>
        </w:rPr>
        <w:t>, en el sentido de escanearlas y remitirlas a su correo electrónico, se cumplió dicho pedimento.</w:t>
      </w:r>
    </w:p>
    <w:p w:rsidR="002832E0" w:rsidRDefault="002832E0" w:rsidP="002832E0">
      <w:pPr>
        <w:spacing w:line="360" w:lineRule="auto"/>
        <w:ind w:right="51"/>
        <w:jc w:val="both"/>
        <w:rPr>
          <w:rFonts w:ascii="Arial" w:hAnsi="Arial"/>
        </w:rPr>
      </w:pPr>
    </w:p>
    <w:p w:rsidR="00B832D5" w:rsidRPr="00502EC8" w:rsidRDefault="00B832D5" w:rsidP="00B832D5">
      <w:pPr>
        <w:pStyle w:val="Textoindependiente"/>
        <w:spacing w:line="360" w:lineRule="auto"/>
        <w:rPr>
          <w:rFonts w:ascii="Arial" w:hAnsi="Arial" w:cs="Arial"/>
          <w:szCs w:val="24"/>
        </w:rPr>
      </w:pPr>
      <w:r>
        <w:rPr>
          <w:rFonts w:ascii="Arial" w:hAnsi="Arial" w:cs="Arial"/>
          <w:szCs w:val="24"/>
        </w:rPr>
        <w:t>8.2</w:t>
      </w:r>
      <w:r w:rsidRPr="00502EC8">
        <w:rPr>
          <w:rFonts w:ascii="Arial" w:hAnsi="Arial" w:cs="Arial"/>
          <w:szCs w:val="24"/>
        </w:rPr>
        <w:t>. La temeridad y la cosa juzgada constitucional</w:t>
      </w:r>
    </w:p>
    <w:p w:rsidR="00B832D5" w:rsidRDefault="00B832D5" w:rsidP="00B832D5">
      <w:pPr>
        <w:pStyle w:val="Textoindependiente"/>
        <w:spacing w:line="360" w:lineRule="auto"/>
        <w:rPr>
          <w:rFonts w:ascii="Arial" w:hAnsi="Arial" w:cs="Arial"/>
          <w:sz w:val="18"/>
        </w:rPr>
      </w:pPr>
    </w:p>
    <w:p w:rsidR="00B832D5" w:rsidRDefault="00B832D5" w:rsidP="00B832D5">
      <w:pPr>
        <w:pStyle w:val="Textoindependiente"/>
        <w:spacing w:line="360" w:lineRule="auto"/>
        <w:rPr>
          <w:rFonts w:ascii="Arial" w:hAnsi="Arial" w:cs="Arial"/>
          <w:szCs w:val="24"/>
        </w:rPr>
      </w:pPr>
      <w:r>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184B52" w:rsidRDefault="00184B52" w:rsidP="00B832D5">
      <w:pPr>
        <w:pStyle w:val="Textoindependiente"/>
        <w:spacing w:line="360" w:lineRule="auto"/>
        <w:rPr>
          <w:rFonts w:ascii="Arial" w:hAnsi="Arial" w:cs="Arial"/>
          <w:szCs w:val="24"/>
        </w:rPr>
      </w:pPr>
    </w:p>
    <w:p w:rsidR="00B832D5" w:rsidRDefault="00B832D5" w:rsidP="00B832D5">
      <w:pPr>
        <w:pStyle w:val="Textoindependiente"/>
        <w:spacing w:line="360" w:lineRule="auto"/>
        <w:rPr>
          <w:rFonts w:ascii="Arial" w:hAnsi="Arial"/>
        </w:rPr>
      </w:pPr>
      <w:r>
        <w:rPr>
          <w:rFonts w:ascii="Arial" w:hAnsi="Arial"/>
          <w:szCs w:val="24"/>
        </w:rPr>
        <w:t xml:space="preserve">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w:t>
      </w:r>
      <w:r w:rsidRPr="007E4C29">
        <w:rPr>
          <w:rFonts w:ascii="Arial" w:hAnsi="Arial"/>
        </w:rPr>
        <w:t>STC7545-2016.</w:t>
      </w:r>
    </w:p>
    <w:p w:rsidR="00B832D5" w:rsidRPr="00FA43DA" w:rsidRDefault="00B832D5" w:rsidP="00B832D5">
      <w:pPr>
        <w:pStyle w:val="Textoindependiente"/>
        <w:spacing w:line="360" w:lineRule="auto"/>
        <w:rPr>
          <w:rFonts w:ascii="Arial" w:hAnsi="Arial"/>
          <w:sz w:val="18"/>
        </w:rPr>
      </w:pPr>
    </w:p>
    <w:p w:rsidR="00B832D5" w:rsidRPr="00F2155F" w:rsidRDefault="00B832D5" w:rsidP="00B832D5">
      <w:pPr>
        <w:pStyle w:val="Textoindependiente"/>
        <w:spacing w:line="360" w:lineRule="auto"/>
        <w:rPr>
          <w:rFonts w:ascii="Arial" w:hAnsi="Arial"/>
          <w:iCs/>
          <w:szCs w:val="24"/>
        </w:rPr>
      </w:pPr>
      <w:r>
        <w:rPr>
          <w:rFonts w:ascii="Arial" w:hAnsi="Arial"/>
          <w:szCs w:val="24"/>
        </w:rPr>
        <w:t xml:space="preserve">Confrontados el escrito petitorio (Folio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p>
    <w:p w:rsidR="00B832D5" w:rsidRPr="00FA43DA" w:rsidRDefault="00B832D5" w:rsidP="00B832D5">
      <w:pPr>
        <w:pStyle w:val="Textoindependiente"/>
        <w:spacing w:line="360" w:lineRule="auto"/>
        <w:rPr>
          <w:rFonts w:ascii="Arial" w:hAnsi="Arial"/>
          <w:sz w:val="18"/>
          <w:szCs w:val="24"/>
        </w:rPr>
      </w:pPr>
    </w:p>
    <w:p w:rsidR="00B832D5" w:rsidRPr="00F2155F" w:rsidRDefault="00B832D5" w:rsidP="00B832D5">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32"/>
      </w:r>
      <w:r w:rsidRPr="00F2155F">
        <w:rPr>
          <w:rFonts w:ascii="Arial" w:hAnsi="Arial"/>
        </w:rPr>
        <w:t xml:space="preserve"> reiterada </w:t>
      </w:r>
      <w:r w:rsidRPr="00F2155F">
        <w:rPr>
          <w:rFonts w:ascii="Arial" w:hAnsi="Arial"/>
        </w:rPr>
        <w:lastRenderedPageBreak/>
        <w:t>recientemente (2016)</w:t>
      </w:r>
      <w:r w:rsidRPr="00F2155F">
        <w:rPr>
          <w:rStyle w:val="Refdenotaalpie"/>
          <w:rFonts w:ascii="Arial" w:hAnsi="Arial"/>
        </w:rPr>
        <w:footnoteReference w:id="33"/>
      </w:r>
      <w:r w:rsidRPr="00F2155F">
        <w:rPr>
          <w:rFonts w:ascii="Arial" w:hAnsi="Arial"/>
        </w:rPr>
        <w:t>, así:</w:t>
      </w:r>
    </w:p>
    <w:p w:rsidR="00B832D5" w:rsidRPr="000848B7" w:rsidRDefault="00B832D5" w:rsidP="00B832D5">
      <w:pPr>
        <w:ind w:left="567" w:right="567"/>
        <w:jc w:val="both"/>
        <w:rPr>
          <w:rFonts w:ascii="Arial" w:hAnsi="Arial" w:cs="Arial"/>
          <w:b/>
          <w:bCs/>
          <w:sz w:val="2"/>
          <w:szCs w:val="22"/>
        </w:rPr>
      </w:pPr>
    </w:p>
    <w:p w:rsidR="00B832D5" w:rsidRPr="00FA43DA" w:rsidRDefault="00B832D5" w:rsidP="00B832D5">
      <w:pPr>
        <w:ind w:left="567" w:right="567"/>
        <w:jc w:val="both"/>
        <w:rPr>
          <w:rFonts w:ascii="Arial" w:hAnsi="Arial" w:cs="Arial"/>
          <w:b/>
          <w:bCs/>
          <w:sz w:val="18"/>
          <w:szCs w:val="22"/>
        </w:rPr>
      </w:pPr>
    </w:p>
    <w:p w:rsidR="00B832D5" w:rsidRPr="00F2155F" w:rsidRDefault="00B832D5" w:rsidP="00B832D5">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4"/>
      </w:r>
      <w:r w:rsidRPr="00F2155F">
        <w:rPr>
          <w:rFonts w:ascii="Arial" w:hAnsi="Arial" w:cs="Arial"/>
        </w:rPr>
        <w:t>-,  para sancionar pecuniariamente a los responsables</w:t>
      </w:r>
      <w:r w:rsidRPr="00F2155F">
        <w:rPr>
          <w:rStyle w:val="Refdenotaalpie"/>
          <w:rFonts w:ascii="Arial" w:hAnsi="Arial" w:cs="Arial"/>
        </w:rPr>
        <w:footnoteReference w:id="3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6"/>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7"/>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8"/>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9"/>
      </w:r>
      <w:r w:rsidRPr="00F2155F">
        <w:rPr>
          <w:rFonts w:ascii="Arial" w:hAnsi="Arial" w:cs="Arial"/>
          <w:i/>
          <w:iCs/>
        </w:rPr>
        <w:t>.</w:t>
      </w:r>
      <w:r w:rsidRPr="00F2155F">
        <w:rPr>
          <w:rFonts w:ascii="Arial" w:hAnsi="Arial" w:cs="Arial"/>
          <w:iCs/>
        </w:rPr>
        <w:t xml:space="preserve">  El resaltado es propio de esta Colegiatura.</w:t>
      </w:r>
    </w:p>
    <w:p w:rsidR="00B832D5" w:rsidRPr="00FA43DA" w:rsidRDefault="00B832D5" w:rsidP="00B832D5">
      <w:pPr>
        <w:ind w:left="567"/>
        <w:jc w:val="both"/>
        <w:rPr>
          <w:rFonts w:ascii="Arial" w:hAnsi="Arial"/>
          <w:sz w:val="18"/>
        </w:rPr>
      </w:pPr>
    </w:p>
    <w:p w:rsidR="00B832D5" w:rsidRPr="00F2155F" w:rsidRDefault="00B832D5" w:rsidP="00B832D5">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B832D5" w:rsidRPr="00FA43DA" w:rsidRDefault="00B832D5" w:rsidP="00B832D5">
      <w:pPr>
        <w:pStyle w:val="Textoindependiente"/>
        <w:spacing w:line="360" w:lineRule="auto"/>
        <w:rPr>
          <w:rFonts w:ascii="Arial" w:hAnsi="Arial" w:cs="Arial"/>
          <w:sz w:val="18"/>
          <w:szCs w:val="24"/>
        </w:rPr>
      </w:pPr>
    </w:p>
    <w:p w:rsidR="00B832D5" w:rsidRPr="00104D5D" w:rsidRDefault="00B832D5" w:rsidP="00B832D5">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40"/>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41"/>
      </w:r>
      <w:r>
        <w:rPr>
          <w:rFonts w:ascii="Arial" w:hAnsi="Arial" w:cs="Arial"/>
        </w:rPr>
        <w:t xml:space="preserve"> comparte en su jurisprudencia. También precedente horizontal de esta Corporación</w:t>
      </w:r>
      <w:r>
        <w:rPr>
          <w:rStyle w:val="Refdenotaalpie"/>
          <w:rFonts w:ascii="Arial" w:hAnsi="Arial"/>
        </w:rPr>
        <w:footnoteReference w:id="42"/>
      </w:r>
      <w:r>
        <w:rPr>
          <w:rFonts w:ascii="Arial" w:hAnsi="Arial" w:cs="Arial"/>
        </w:rPr>
        <w:t xml:space="preserve">. </w:t>
      </w:r>
    </w:p>
    <w:p w:rsidR="00B832D5" w:rsidRDefault="00B832D5" w:rsidP="00B832D5">
      <w:pPr>
        <w:pStyle w:val="Textopredeterminado"/>
        <w:spacing w:line="360" w:lineRule="auto"/>
        <w:jc w:val="both"/>
        <w:rPr>
          <w:rFonts w:ascii="Arial" w:hAnsi="Arial" w:cs="Arial"/>
          <w:color w:val="auto"/>
          <w:spacing w:val="-3"/>
          <w:sz w:val="18"/>
          <w:lang w:val="es-ES_tradnl"/>
        </w:rPr>
      </w:pPr>
    </w:p>
    <w:p w:rsidR="00B832D5" w:rsidRDefault="00B832D5" w:rsidP="00B832D5">
      <w:pPr>
        <w:spacing w:line="360" w:lineRule="auto"/>
        <w:ind w:right="51"/>
        <w:jc w:val="both"/>
        <w:rPr>
          <w:rFonts w:ascii="Arial" w:hAnsi="Arial" w:cs="Arial"/>
        </w:rPr>
      </w:pPr>
      <w:r>
        <w:rPr>
          <w:rFonts w:ascii="Arial" w:hAnsi="Arial" w:cs="Arial"/>
        </w:rPr>
        <w:t xml:space="preserve">Finalmente con relación </w:t>
      </w:r>
      <w:r w:rsidR="000C284F">
        <w:rPr>
          <w:rFonts w:ascii="Arial" w:hAnsi="Arial" w:cs="Arial"/>
        </w:rPr>
        <w:t xml:space="preserve">el envío a su correo electrónico de copia escaneada </w:t>
      </w:r>
      <w:r>
        <w:rPr>
          <w:rFonts w:ascii="Arial" w:hAnsi="Arial" w:cs="Arial"/>
        </w:rPr>
        <w:t xml:space="preserve">de toda la actuación surtida, se considera que con la orden impartida en el proveído del día </w:t>
      </w:r>
      <w:r w:rsidR="000C284F">
        <w:rPr>
          <w:rFonts w:ascii="Arial" w:hAnsi="Arial" w:cs="Arial"/>
        </w:rPr>
        <w:t xml:space="preserve">01-08-2016 </w:t>
      </w:r>
      <w:r>
        <w:rPr>
          <w:rFonts w:ascii="Arial" w:hAnsi="Arial" w:cs="Arial"/>
          <w:iCs/>
          <w:color w:val="000000"/>
          <w:lang w:eastAsia="es-CO"/>
        </w:rPr>
        <w:t xml:space="preserve">(Folios </w:t>
      </w:r>
      <w:r w:rsidR="000C284F">
        <w:rPr>
          <w:rFonts w:ascii="Arial" w:hAnsi="Arial" w:cs="Arial"/>
          <w:iCs/>
          <w:color w:val="000000"/>
          <w:lang w:eastAsia="es-CO"/>
        </w:rPr>
        <w:t>8 y 9</w:t>
      </w:r>
      <w:r>
        <w:rPr>
          <w:rFonts w:ascii="Arial" w:hAnsi="Arial" w:cs="Arial"/>
          <w:iCs/>
          <w:color w:val="000000"/>
          <w:lang w:eastAsia="es-CO"/>
        </w:rPr>
        <w:t>, ib.)</w:t>
      </w:r>
      <w:r>
        <w:rPr>
          <w:rFonts w:ascii="Arial" w:hAnsi="Arial" w:cs="Arial"/>
        </w:rPr>
        <w:t>,</w:t>
      </w:r>
      <w:r w:rsidR="000C284F">
        <w:rPr>
          <w:rFonts w:ascii="Arial" w:hAnsi="Arial" w:cs="Arial"/>
        </w:rPr>
        <w:t xml:space="preserve"> </w:t>
      </w:r>
      <w:r>
        <w:rPr>
          <w:rFonts w:ascii="Arial" w:hAnsi="Arial" w:cs="Arial"/>
        </w:rPr>
        <w:t xml:space="preserve">se cumplió dicho pedimento. </w:t>
      </w:r>
    </w:p>
    <w:p w:rsidR="00ED44D2" w:rsidRPr="007251E6" w:rsidRDefault="00ED44D2" w:rsidP="00031CDA">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47B00" w:rsidRPr="007251E6" w:rsidRDefault="00747B00" w:rsidP="00747B00">
      <w:pPr>
        <w:pStyle w:val="Textoindependiente"/>
        <w:spacing w:line="360" w:lineRule="auto"/>
        <w:ind w:left="400"/>
        <w:rPr>
          <w:rFonts w:ascii="Arial" w:hAnsi="Arial"/>
          <w:sz w:val="20"/>
          <w:szCs w:val="24"/>
        </w:rPr>
      </w:pP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lastRenderedPageBreak/>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0C284F">
        <w:rPr>
          <w:rFonts w:ascii="Arial" w:hAnsi="Arial" w:cs="Arial"/>
        </w:rPr>
        <w:t>n</w:t>
      </w:r>
      <w:r>
        <w:rPr>
          <w:rFonts w:ascii="Arial" w:hAnsi="Arial" w:cs="Arial"/>
        </w:rPr>
        <w:t xml:space="preserve"> improcedente</w:t>
      </w:r>
      <w:r w:rsidR="000C284F">
        <w:rPr>
          <w:rFonts w:ascii="Arial" w:hAnsi="Arial" w:cs="Arial"/>
        </w:rPr>
        <w:t>s</w:t>
      </w:r>
      <w:r>
        <w:rPr>
          <w:rFonts w:ascii="Arial" w:hAnsi="Arial" w:cs="Arial"/>
        </w:rPr>
        <w:t xml:space="preserve"> </w:t>
      </w:r>
      <w:r w:rsidR="000C284F">
        <w:rPr>
          <w:rFonts w:ascii="Arial" w:hAnsi="Arial" w:cs="Arial"/>
        </w:rPr>
        <w:t xml:space="preserve">las acciones </w:t>
      </w:r>
      <w:r>
        <w:rPr>
          <w:rFonts w:ascii="Arial" w:hAnsi="Arial" w:cs="Arial"/>
        </w:rPr>
        <w:t>constitucional</w:t>
      </w:r>
      <w:r w:rsidR="000C284F">
        <w:rPr>
          <w:rFonts w:ascii="Arial" w:hAnsi="Arial" w:cs="Arial"/>
        </w:rPr>
        <w:t>es</w:t>
      </w:r>
      <w:r>
        <w:rPr>
          <w:rFonts w:ascii="Arial" w:hAnsi="Arial" w:cs="Arial"/>
        </w:rPr>
        <w:t xml:space="preserve"> </w:t>
      </w:r>
      <w:r w:rsidR="000C284F">
        <w:rPr>
          <w:rFonts w:ascii="Arial" w:hAnsi="Arial" w:cs="Arial"/>
        </w:rPr>
        <w:t>frente al Juzgado Cuarto Civil del Circuito de Pereira con estribo en que se incumplieron</w:t>
      </w:r>
      <w:r>
        <w:rPr>
          <w:rFonts w:ascii="Arial" w:hAnsi="Arial" w:cs="Arial"/>
        </w:rPr>
        <w:t xml:space="preserve"> </w:t>
      </w:r>
      <w:r w:rsidR="000C284F">
        <w:rPr>
          <w:rFonts w:ascii="Arial" w:hAnsi="Arial" w:cs="Arial"/>
        </w:rPr>
        <w:t xml:space="preserve">los </w:t>
      </w:r>
      <w:r>
        <w:rPr>
          <w:rFonts w:ascii="Arial" w:hAnsi="Arial" w:cs="Arial"/>
        </w:rPr>
        <w:t>presupuesto</w:t>
      </w:r>
      <w:r w:rsidR="000C284F">
        <w:rPr>
          <w:rFonts w:ascii="Arial" w:hAnsi="Arial" w:cs="Arial"/>
        </w:rPr>
        <w:t>s</w:t>
      </w:r>
      <w:r>
        <w:rPr>
          <w:rFonts w:ascii="Arial" w:hAnsi="Arial" w:cs="Arial"/>
        </w:rPr>
        <w:t xml:space="preserve"> de </w:t>
      </w:r>
      <w:r w:rsidR="000C284F">
        <w:rPr>
          <w:rFonts w:ascii="Arial" w:hAnsi="Arial" w:cs="Arial"/>
        </w:rPr>
        <w:t>inmediatez y subsidiariedad; (ii) F</w:t>
      </w:r>
      <w:r w:rsidR="000C284F">
        <w:rPr>
          <w:rFonts w:ascii="Arial" w:hAnsi="Arial" w:cs="Arial"/>
          <w:szCs w:val="24"/>
        </w:rPr>
        <w:t>rente a la Defensoría del Pueblo, Regional Caldas</w:t>
      </w:r>
      <w:r w:rsidR="000C284F" w:rsidRPr="00104D5D">
        <w:rPr>
          <w:rFonts w:ascii="Arial" w:hAnsi="Arial"/>
          <w:szCs w:val="24"/>
        </w:rPr>
        <w:t xml:space="preserve"> por haberse verificado la duplicidad de la acciones de tutela, sin que haya lugar a imponer multa, según se anotó</w:t>
      </w:r>
      <w:r w:rsidR="000C284F">
        <w:rPr>
          <w:rFonts w:ascii="Arial" w:hAnsi="Arial" w:cs="Arial"/>
        </w:rPr>
        <w:t>; y</w:t>
      </w:r>
      <w:r>
        <w:rPr>
          <w:rFonts w:ascii="Arial" w:hAnsi="Arial" w:cs="Arial"/>
        </w:rPr>
        <w:t>, (ii</w:t>
      </w:r>
      <w:r w:rsidR="000C284F">
        <w:rPr>
          <w:rFonts w:ascii="Arial" w:hAnsi="Arial" w:cs="Arial"/>
        </w:rPr>
        <w:t>i</w:t>
      </w:r>
      <w:r>
        <w:rPr>
          <w:rFonts w:ascii="Arial" w:hAnsi="Arial" w:cs="Arial"/>
        </w:rPr>
        <w:t>)</w:t>
      </w:r>
      <w:r>
        <w:rPr>
          <w:rFonts w:ascii="Arial" w:hAnsi="Arial" w:cs="Arial"/>
          <w:szCs w:val="24"/>
          <w:lang w:val="es-ES"/>
        </w:rPr>
        <w:t xml:space="preserve"> </w:t>
      </w:r>
      <w:r w:rsidR="000C284F">
        <w:rPr>
          <w:rFonts w:ascii="Arial" w:hAnsi="Arial" w:cs="Arial"/>
          <w:szCs w:val="24"/>
          <w:lang w:val="es-ES"/>
        </w:rPr>
        <w:t xml:space="preserve">Respeto </w:t>
      </w:r>
      <w:r w:rsidR="000C284F">
        <w:rPr>
          <w:rFonts w:ascii="Arial" w:hAnsi="Arial" w:cs="Arial"/>
        </w:rPr>
        <w:t xml:space="preserve">a </w:t>
      </w:r>
      <w:r>
        <w:rPr>
          <w:rFonts w:ascii="Arial" w:hAnsi="Arial" w:cs="Arial"/>
        </w:rPr>
        <w:t>los vinculados</w:t>
      </w:r>
      <w:r w:rsidR="004B554C">
        <w:rPr>
          <w:rFonts w:ascii="Arial" w:hAnsi="Arial" w:cs="Arial"/>
        </w:rPr>
        <w:t xml:space="preserve"> por carecer de legitimación</w:t>
      </w:r>
      <w:r>
        <w:rPr>
          <w:rFonts w:ascii="Arial" w:hAnsi="Arial" w:cs="Arial"/>
          <w:szCs w:val="24"/>
          <w:lang w:val="es-ES"/>
        </w:rPr>
        <w:t>.</w:t>
      </w:r>
    </w:p>
    <w:p w:rsidR="00ED44D2" w:rsidRPr="007251E6"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7251E6" w:rsidRDefault="00ED44D2" w:rsidP="00ED44D2">
      <w:pPr>
        <w:pStyle w:val="Textoindependiente"/>
        <w:spacing w:line="360" w:lineRule="auto"/>
        <w:jc w:val="center"/>
        <w:rPr>
          <w:rFonts w:ascii="Arial" w:hAnsi="Arial" w:cs="Arial"/>
          <w:bCs/>
          <w:smallCaps/>
          <w:sz w:val="20"/>
          <w:szCs w:val="24"/>
        </w:rPr>
      </w:pPr>
    </w:p>
    <w:p w:rsidR="000C284F" w:rsidRDefault="00ED44D2" w:rsidP="00CF684C">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0C284F">
        <w:rPr>
          <w:rFonts w:ascii="Arial" w:hAnsi="Arial" w:cs="Arial"/>
        </w:rPr>
        <w:t>DECLARAR improcedente</w:t>
      </w:r>
      <w:r w:rsidR="000C284F" w:rsidRPr="000C284F">
        <w:rPr>
          <w:rFonts w:ascii="Arial" w:hAnsi="Arial" w:cs="Arial"/>
        </w:rPr>
        <w:t>s</w:t>
      </w:r>
      <w:r w:rsidRPr="000C284F">
        <w:rPr>
          <w:rFonts w:ascii="Arial" w:hAnsi="Arial" w:cs="Arial"/>
        </w:rPr>
        <w:t xml:space="preserve"> la</w:t>
      </w:r>
      <w:r w:rsidR="000C284F" w:rsidRPr="000C284F">
        <w:rPr>
          <w:rFonts w:ascii="Arial" w:hAnsi="Arial" w:cs="Arial"/>
        </w:rPr>
        <w:t xml:space="preserve">s </w:t>
      </w:r>
      <w:r w:rsidRPr="000C284F">
        <w:rPr>
          <w:rFonts w:ascii="Arial" w:hAnsi="Arial" w:cs="Arial"/>
        </w:rPr>
        <w:t>tutela</w:t>
      </w:r>
      <w:r w:rsidR="000C284F" w:rsidRPr="000C284F">
        <w:rPr>
          <w:rFonts w:ascii="Arial" w:hAnsi="Arial" w:cs="Arial"/>
        </w:rPr>
        <w:t>s</w:t>
      </w:r>
      <w:r w:rsidRPr="000C284F">
        <w:rPr>
          <w:rFonts w:ascii="Arial" w:hAnsi="Arial" w:cs="Arial"/>
        </w:rPr>
        <w:t xml:space="preserve"> propuesta</w:t>
      </w:r>
      <w:r w:rsidR="000C284F" w:rsidRPr="000C284F">
        <w:rPr>
          <w:rFonts w:ascii="Arial" w:hAnsi="Arial" w:cs="Arial"/>
        </w:rPr>
        <w:t>s</w:t>
      </w:r>
      <w:r w:rsidRPr="000C284F">
        <w:rPr>
          <w:rFonts w:ascii="Arial" w:hAnsi="Arial" w:cs="Arial"/>
        </w:rPr>
        <w:t xml:space="preserve"> por el señor </w:t>
      </w:r>
      <w:r w:rsidR="00405B9B" w:rsidRPr="000C284F">
        <w:rPr>
          <w:rFonts w:ascii="Arial" w:hAnsi="Arial" w:cs="Arial"/>
        </w:rPr>
        <w:t xml:space="preserve">Javier Elías Arias </w:t>
      </w:r>
      <w:proofErr w:type="spellStart"/>
      <w:r w:rsidR="00405B9B" w:rsidRPr="000C284F">
        <w:rPr>
          <w:rFonts w:ascii="Arial" w:hAnsi="Arial" w:cs="Arial"/>
        </w:rPr>
        <w:t>Idárraga</w:t>
      </w:r>
      <w:proofErr w:type="spellEnd"/>
      <w:r w:rsidRPr="000C284F">
        <w:rPr>
          <w:rFonts w:ascii="Arial" w:hAnsi="Arial" w:cs="Arial"/>
        </w:rPr>
        <w:t xml:space="preserve"> contra el </w:t>
      </w:r>
      <w:r w:rsidR="00405B9B" w:rsidRPr="000C284F">
        <w:rPr>
          <w:rFonts w:ascii="Arial" w:hAnsi="Arial" w:cs="Arial"/>
        </w:rPr>
        <w:t>Juzgado Cuarto Civil del Circuito de Pereira</w:t>
      </w:r>
      <w:r w:rsidRPr="000C284F">
        <w:rPr>
          <w:rFonts w:ascii="Arial" w:hAnsi="Arial" w:cs="Arial"/>
        </w:rPr>
        <w:t>, R.</w:t>
      </w:r>
      <w:r w:rsidR="000C284F" w:rsidRPr="000C284F">
        <w:rPr>
          <w:rFonts w:ascii="Arial" w:hAnsi="Arial" w:cs="Arial"/>
        </w:rPr>
        <w:t xml:space="preserve">, </w:t>
      </w:r>
      <w:r w:rsidR="000C284F" w:rsidRPr="000C284F">
        <w:rPr>
          <w:rFonts w:ascii="Arial" w:hAnsi="Arial" w:cs="Arial"/>
          <w:szCs w:val="24"/>
        </w:rPr>
        <w:t xml:space="preserve">la Defensoría del Pueblo, Regional de Caldas, la Defensoría del Pueblo y la Procuraduría General de la Nación, Regionales de Risaralda, y, a la Alcaldía y Personería </w:t>
      </w:r>
      <w:r w:rsidR="000C284F" w:rsidRPr="000C284F">
        <w:rPr>
          <w:rFonts w:ascii="Arial" w:hAnsi="Arial" w:cs="Arial"/>
          <w:spacing w:val="3"/>
          <w:szCs w:val="24"/>
        </w:rPr>
        <w:t>de Pereira</w:t>
      </w:r>
      <w:r w:rsidR="000C284F">
        <w:rPr>
          <w:rFonts w:ascii="Arial" w:hAnsi="Arial" w:cs="Arial"/>
          <w:spacing w:val="3"/>
          <w:szCs w:val="24"/>
        </w:rPr>
        <w:t>, según lo expuesto en la parte motiva de esta providencia</w:t>
      </w:r>
      <w:r w:rsidR="000C284F" w:rsidRPr="000C284F">
        <w:rPr>
          <w:rFonts w:ascii="Arial" w:hAnsi="Arial" w:cs="Arial"/>
          <w:szCs w:val="24"/>
        </w:rPr>
        <w:t>.</w:t>
      </w:r>
    </w:p>
    <w:p w:rsidR="007657D5" w:rsidRPr="007251E6"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184B52" w:rsidRPr="003843DB" w:rsidRDefault="00184B52" w:rsidP="00184B52">
      <w:pPr>
        <w:pStyle w:val="Textoindependiente"/>
        <w:spacing w:line="360" w:lineRule="auto"/>
        <w:jc w:val="center"/>
        <w:rPr>
          <w:rFonts w:ascii="Arial" w:hAnsi="Arial"/>
          <w:sz w:val="22"/>
          <w:szCs w:val="24"/>
          <w:lang w:val="en-US"/>
        </w:rPr>
      </w:pPr>
    </w:p>
    <w:p w:rsidR="00184B52" w:rsidRPr="003843DB" w:rsidRDefault="00184B52" w:rsidP="00184B52">
      <w:pPr>
        <w:pStyle w:val="Textoindependiente"/>
        <w:spacing w:line="360" w:lineRule="auto"/>
        <w:jc w:val="center"/>
        <w:rPr>
          <w:rFonts w:ascii="Arial" w:hAnsi="Arial"/>
          <w:sz w:val="22"/>
          <w:szCs w:val="24"/>
          <w:lang w:val="en-US"/>
        </w:rPr>
      </w:pPr>
    </w:p>
    <w:p w:rsidR="00184B52" w:rsidRPr="003843DB" w:rsidRDefault="00184B52" w:rsidP="00184B52">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bookmarkStart w:id="0" w:name="_GoBack"/>
      <w:bookmarkEnd w:id="0"/>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FC" w:rsidRDefault="00881BFC" w:rsidP="0099045D">
      <w:r>
        <w:separator/>
      </w:r>
    </w:p>
  </w:endnote>
  <w:endnote w:type="continuationSeparator" w:id="0">
    <w:p w:rsidR="00881BFC" w:rsidRDefault="00881BF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FC" w:rsidRDefault="00881BFC" w:rsidP="0099045D">
      <w:r>
        <w:separator/>
      </w:r>
    </w:p>
  </w:footnote>
  <w:footnote w:type="continuationSeparator" w:id="0">
    <w:p w:rsidR="00881BFC" w:rsidRDefault="00881BFC"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FF68BE" w:rsidRDefault="00F260D7" w:rsidP="00F260D7">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sidR="00FF68BE">
        <w:rPr>
          <w:rFonts w:ascii="Calibri" w:hAnsi="Calibri" w:cs="Calibri"/>
          <w:lang w:val="es-MX"/>
        </w:rPr>
        <w:t>s</w:t>
      </w:r>
      <w:r w:rsidRPr="00567558">
        <w:rPr>
          <w:rFonts w:ascii="Calibri" w:hAnsi="Calibri" w:cs="Calibri"/>
          <w:lang w:val="es-MX"/>
        </w:rPr>
        <w:t xml:space="preserve"> </w:t>
      </w:r>
      <w:r w:rsidR="00FF68BE" w:rsidRPr="00FF68BE">
        <w:rPr>
          <w:rFonts w:ascii="Calibri" w:hAnsi="Calibri" w:cs="Calibri"/>
          <w:bCs/>
        </w:rPr>
        <w:t>T-107</w:t>
      </w:r>
      <w:r w:rsidR="00FF68BE">
        <w:rPr>
          <w:rFonts w:ascii="Calibri" w:hAnsi="Calibri" w:cs="Calibri"/>
          <w:bCs/>
        </w:rPr>
        <w:t xml:space="preserve"> de 20</w:t>
      </w:r>
      <w:r w:rsidR="00FF68BE" w:rsidRPr="00FF68BE">
        <w:rPr>
          <w:rFonts w:ascii="Calibri" w:hAnsi="Calibri" w:cs="Calibri"/>
          <w:bCs/>
        </w:rPr>
        <w:t>16</w:t>
      </w:r>
      <w:r w:rsidR="00FF68BE">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00FF68BE">
        <w:rPr>
          <w:rFonts w:ascii="Calibri" w:hAnsi="Calibri" w:cs="Calibri"/>
          <w:lang w:val="es-MX"/>
        </w:rPr>
        <w:t>, entre otras</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949CB" w:rsidRDefault="00F949CB" w:rsidP="00F949CB">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w:t>
      </w:r>
      <w:r>
        <w:rPr>
          <w:rFonts w:asciiTheme="minorHAnsi" w:hAnsiTheme="minorHAnsi" w:cs="Calibri"/>
        </w:rPr>
        <w:t xml:space="preserve">CORTE CONSTITUCIONAL.  Sentencias SU-961 de 1999, </w:t>
      </w:r>
      <w:r>
        <w:rPr>
          <w:rFonts w:asciiTheme="minorHAnsi" w:hAnsiTheme="minorHAnsi" w:cs="Calibri"/>
          <w:lang w:val="es-CO"/>
        </w:rPr>
        <w:t>T-890 de 2006, T-548 de 2011, T-172 de 2013.</w:t>
      </w:r>
    </w:p>
  </w:footnote>
  <w:footnote w:id="9">
    <w:p w:rsidR="00F949CB" w:rsidRDefault="00F949CB" w:rsidP="00F949CB">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CORTE SUPREMA DE JUSTICIA, Sala de Casación Civil. Sentencia del 09-03-2011.</w:t>
      </w:r>
    </w:p>
  </w:footnote>
  <w:footnote w:id="10">
    <w:p w:rsidR="00F949CB" w:rsidRPr="00422741" w:rsidRDefault="00F949CB" w:rsidP="00F949CB">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T-1079 de 2008.</w:t>
      </w:r>
    </w:p>
  </w:footnote>
  <w:footnote w:id="11">
    <w:p w:rsidR="00F949CB" w:rsidRPr="00E501C4" w:rsidRDefault="00F949CB" w:rsidP="00F949CB">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CORTE SUPREMA DE JUSTICIA, Sala de Casación Civil, sentencia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sentencia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STC3930-2016</w:t>
      </w:r>
      <w:r w:rsidRPr="00E501C4">
        <w:rPr>
          <w:rFonts w:ascii="Calibri" w:hAnsi="Calibri"/>
          <w:iCs/>
        </w:rPr>
        <w:t>.</w:t>
      </w:r>
    </w:p>
  </w:footnote>
  <w:footnote w:id="12">
    <w:p w:rsidR="00F949CB" w:rsidRPr="00E501C4" w:rsidRDefault="00F949CB" w:rsidP="00F949CB">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CORTE CONSTITUCIONAL. Sentencia T-016 de 2006.</w:t>
      </w:r>
    </w:p>
  </w:footnote>
  <w:footnote w:id="13">
    <w:p w:rsidR="00F949CB" w:rsidRPr="00E501C4" w:rsidRDefault="00F949CB" w:rsidP="00F949CB">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CORTE CONSTITUCIONAL. Sentencia T-684 de 2003.</w:t>
      </w:r>
    </w:p>
  </w:footnote>
  <w:footnote w:id="14">
    <w:p w:rsidR="00F949CB" w:rsidRPr="00E501C4" w:rsidRDefault="00F949CB" w:rsidP="00F949CB">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QUINCHE RAMÍREZ, Manuel Fernando. La acción de tutela, el amparo en Colombia, Temis, Bogotá DC, 2011, p.105-106.</w:t>
      </w:r>
    </w:p>
  </w:footnote>
  <w:footnote w:id="15">
    <w:p w:rsidR="00F949CB" w:rsidRDefault="00F949CB" w:rsidP="00F949CB">
      <w:pPr>
        <w:pStyle w:val="Textonotapie"/>
        <w:rPr>
          <w:rFonts w:asciiTheme="minorHAnsi" w:hAnsiTheme="minorHAnsi"/>
        </w:rPr>
      </w:pPr>
      <w:r w:rsidRPr="00E501C4">
        <w:rPr>
          <w:rStyle w:val="Refdenotaalpie"/>
          <w:rFonts w:asciiTheme="minorHAnsi" w:hAnsiTheme="minorHAnsi" w:cs="Calibri"/>
        </w:rPr>
        <w:footnoteRef/>
      </w:r>
      <w:r w:rsidRPr="00E501C4">
        <w:rPr>
          <w:rFonts w:asciiTheme="minorHAnsi" w:hAnsiTheme="minorHAnsi" w:cs="Calibri"/>
        </w:rPr>
        <w:t xml:space="preserve"> </w:t>
      </w:r>
      <w:r w:rsidRPr="00E501C4">
        <w:rPr>
          <w:rFonts w:asciiTheme="minorHAnsi" w:hAnsiTheme="minorHAnsi" w:cs="Calibri"/>
          <w:lang w:val="es-CO"/>
        </w:rPr>
        <w:t>CORTE CONSTITUCIONAL</w:t>
      </w:r>
      <w:r>
        <w:rPr>
          <w:rFonts w:asciiTheme="minorHAnsi" w:hAnsiTheme="minorHAnsi" w:cs="Calibri"/>
          <w:lang w:val="es-CO"/>
        </w:rPr>
        <w:t xml:space="preserve">. Sentencia T-207 de 2015, reiterada en la sentencia </w:t>
      </w:r>
      <w:hyperlink r:id="rId1" w:tooltip="Haga clic para abrir la Sentencia T-737/15" w:history="1">
        <w:r w:rsidRPr="001754A5">
          <w:rPr>
            <w:rStyle w:val="Hipervnculo"/>
            <w:rFonts w:asciiTheme="minorHAnsi" w:hAnsiTheme="minorHAnsi" w:cs="Calibri"/>
            <w:bCs/>
            <w:color w:val="auto"/>
            <w:u w:val="none"/>
          </w:rPr>
          <w:t>T-737 de 2015</w:t>
        </w:r>
      </w:hyperlink>
      <w:r w:rsidRPr="001754A5">
        <w:rPr>
          <w:rFonts w:asciiTheme="minorHAnsi" w:hAnsiTheme="minorHAnsi" w:cs="Calibri"/>
        </w:rPr>
        <w:t>.</w:t>
      </w:r>
    </w:p>
  </w:footnote>
  <w:footnote w:id="16">
    <w:p w:rsidR="000A3B02" w:rsidRDefault="000A3B02" w:rsidP="000A3B0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7">
    <w:p w:rsidR="000A3B02" w:rsidRPr="00833A61" w:rsidRDefault="000A3B02" w:rsidP="000A3B02">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8">
    <w:p w:rsidR="000A3B02" w:rsidRPr="007B0994" w:rsidRDefault="000A3B02" w:rsidP="000A3B02">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9">
    <w:p w:rsidR="000A3B02" w:rsidRPr="00833A61" w:rsidRDefault="000A3B02" w:rsidP="000A3B02">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0">
    <w:p w:rsidR="000A3B02" w:rsidRPr="00104D5D" w:rsidRDefault="000A3B02" w:rsidP="000A3B02">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1">
    <w:p w:rsidR="000A3B02" w:rsidRPr="00104D5D" w:rsidRDefault="000A3B02" w:rsidP="000A3B02">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MP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2">
    <w:p w:rsidR="000A3B02" w:rsidRPr="008C531D" w:rsidRDefault="000A3B02" w:rsidP="000A3B02">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23">
    <w:p w:rsidR="000A3B02" w:rsidRPr="008C531D" w:rsidRDefault="000A3B02" w:rsidP="000A3B02">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4">
    <w:p w:rsidR="000A3B02" w:rsidRPr="00A4402B" w:rsidRDefault="000A3B02" w:rsidP="000A3B02">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5">
    <w:p w:rsidR="002832E0" w:rsidRPr="009C4841" w:rsidRDefault="002832E0" w:rsidP="002832E0">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6">
    <w:p w:rsidR="002832E0" w:rsidRPr="009C4841" w:rsidRDefault="002832E0" w:rsidP="002832E0">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00E501C4" w:rsidRPr="00E501C4">
        <w:rPr>
          <w:rFonts w:asciiTheme="minorHAnsi" w:hAnsiTheme="minorHAnsi"/>
          <w:lang w:val="es-CO"/>
        </w:rPr>
        <w:t>CORTE SUPREMA DE JUSTICIA, Sala de Casación Civil, sentencia STC4837-2015, reiterada en las sentencias STC2154-2016 y STC3930-2016.</w:t>
      </w:r>
    </w:p>
  </w:footnote>
  <w:footnote w:id="27">
    <w:p w:rsidR="002832E0" w:rsidRPr="004905B4" w:rsidRDefault="002832E0" w:rsidP="002832E0">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8">
    <w:p w:rsidR="002832E0" w:rsidRPr="004905B4" w:rsidRDefault="002832E0" w:rsidP="002832E0">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9">
    <w:p w:rsidR="00661167" w:rsidRPr="009434C0" w:rsidRDefault="00661167" w:rsidP="00661167">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30">
    <w:p w:rsidR="00661167" w:rsidRPr="001E60A7" w:rsidRDefault="00661167" w:rsidP="0066116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31">
    <w:p w:rsidR="00661167" w:rsidRDefault="00661167" w:rsidP="0066116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 xml:space="preserve">de 2014, citada en la </w:t>
      </w:r>
      <w:r w:rsidRPr="00747B00">
        <w:rPr>
          <w:rFonts w:asciiTheme="minorHAnsi" w:hAnsiTheme="minorHAnsi" w:cs="Calibri"/>
          <w:bCs/>
        </w:rPr>
        <w:t>Sentencia SU</w:t>
      </w:r>
      <w:r>
        <w:rPr>
          <w:rFonts w:asciiTheme="minorHAnsi" w:hAnsiTheme="minorHAnsi" w:cs="Calibri"/>
          <w:bCs/>
        </w:rPr>
        <w:t>-</w:t>
      </w:r>
      <w:r w:rsidRPr="00747B00">
        <w:rPr>
          <w:rFonts w:asciiTheme="minorHAnsi" w:hAnsiTheme="minorHAnsi" w:cs="Calibri"/>
          <w:bCs/>
        </w:rPr>
        <w:t>297</w:t>
      </w:r>
      <w:r>
        <w:rPr>
          <w:rFonts w:asciiTheme="minorHAnsi" w:hAnsiTheme="minorHAnsi" w:cs="Calibri"/>
          <w:bCs/>
        </w:rPr>
        <w:t xml:space="preserve"> de 20</w:t>
      </w:r>
      <w:r w:rsidRPr="00747B00">
        <w:rPr>
          <w:rFonts w:asciiTheme="minorHAnsi" w:hAnsiTheme="minorHAnsi" w:cs="Calibri"/>
          <w:bCs/>
        </w:rPr>
        <w:t>15</w:t>
      </w:r>
      <w:r>
        <w:rPr>
          <w:rFonts w:asciiTheme="minorHAnsi" w:hAnsiTheme="minorHAnsi" w:cs="Calibri"/>
          <w:bCs/>
        </w:rPr>
        <w:t>.</w:t>
      </w:r>
    </w:p>
  </w:footnote>
  <w:footnote w:id="32">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3">
    <w:p w:rsidR="00B832D5" w:rsidRPr="00F2155F" w:rsidRDefault="00B832D5" w:rsidP="00B832D5">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34">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5">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6">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37">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38">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39">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40">
    <w:p w:rsidR="00B832D5" w:rsidRDefault="00B832D5" w:rsidP="00B832D5">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 xml:space="preserve">de </w:t>
      </w:r>
      <w:r w:rsidRPr="00623B4F">
        <w:rPr>
          <w:rFonts w:asciiTheme="minorHAnsi" w:hAnsiTheme="minorHAnsi" w:cs="Calibri"/>
          <w:lang w:val="es-CO"/>
        </w:rPr>
        <w:t>2005</w:t>
      </w:r>
      <w:r>
        <w:rPr>
          <w:rFonts w:asciiTheme="minorHAnsi" w:hAnsiTheme="minorHAnsi" w:cs="Calibri"/>
          <w:lang w:val="es-CO"/>
        </w:rPr>
        <w:t>.</w:t>
      </w:r>
    </w:p>
  </w:footnote>
  <w:footnote w:id="41">
    <w:p w:rsidR="00B832D5" w:rsidRPr="00104D5D" w:rsidRDefault="00B832D5" w:rsidP="00B832D5">
      <w:pPr>
        <w:pStyle w:val="Textonotapie"/>
        <w:rPr>
          <w:lang w:val="es-CO"/>
        </w:rPr>
      </w:pPr>
      <w:r>
        <w:rPr>
          <w:rStyle w:val="Refdenotaalpie"/>
        </w:rPr>
        <w:footnoteRef/>
      </w:r>
      <w:r>
        <w:t xml:space="preserve"> </w:t>
      </w:r>
      <w:r w:rsidRPr="00104D5D">
        <w:rPr>
          <w:rFonts w:ascii="Calibri" w:hAnsi="Calibri"/>
          <w:lang w:val="es-CO"/>
        </w:rPr>
        <w:t>CORTE SUPREMA DE JUSTICIA, Sala de Casación Civil. Sentencia STC7600-2016.</w:t>
      </w:r>
    </w:p>
  </w:footnote>
  <w:footnote w:id="42">
    <w:p w:rsidR="00B832D5" w:rsidRPr="00AC77C2" w:rsidRDefault="00B832D5" w:rsidP="00B832D5">
      <w:pPr>
        <w:pStyle w:val="Textonotapie"/>
        <w:rPr>
          <w:rFonts w:ascii="Calibri" w:hAnsi="Calibri"/>
          <w:lang w:val="es-CO"/>
        </w:rPr>
      </w:pPr>
      <w:r w:rsidRPr="00AC77C2">
        <w:rPr>
          <w:rStyle w:val="Refdenotaalpie"/>
          <w:rFonts w:ascii="Calibri" w:hAnsi="Calibri"/>
        </w:rPr>
        <w:footnoteRef/>
      </w:r>
      <w:r w:rsidRPr="00AC77C2">
        <w:rPr>
          <w:rFonts w:ascii="Calibri" w:hAnsi="Calibri"/>
        </w:rPr>
        <w:t xml:space="preserve"> </w:t>
      </w:r>
      <w:r w:rsidRPr="00AC77C2">
        <w:rPr>
          <w:rFonts w:ascii="Calibri" w:hAnsi="Calibri"/>
          <w:lang w:val="es-CO"/>
        </w:rPr>
        <w:t xml:space="preserve">TRIBUNAL SUPERIOR, Sala Civil – Familia. Sentencia del 30-06-2016, </w:t>
      </w:r>
      <w:proofErr w:type="spellStart"/>
      <w:r w:rsidRPr="00AC77C2">
        <w:rPr>
          <w:rFonts w:ascii="Calibri" w:hAnsi="Calibri"/>
          <w:lang w:val="es-CO"/>
        </w:rPr>
        <w:t>exp</w:t>
      </w:r>
      <w:proofErr w:type="spellEnd"/>
      <w:r w:rsidRPr="00AC77C2">
        <w:rPr>
          <w:rFonts w:ascii="Calibri" w:hAnsi="Calibri"/>
          <w:lang w:val="es-CO"/>
        </w:rPr>
        <w:t>.</w:t>
      </w:r>
      <w:r w:rsidRPr="00AC77C2">
        <w:rPr>
          <w:rFonts w:ascii="Calibri" w:hAnsi="Calibri" w:cs="Arial"/>
          <w:sz w:val="22"/>
          <w:szCs w:val="22"/>
        </w:rPr>
        <w:t xml:space="preserve"> </w:t>
      </w:r>
      <w:r w:rsidRPr="00AC77C2">
        <w:rPr>
          <w:rFonts w:ascii="Calibri" w:hAnsi="Calibri"/>
        </w:rPr>
        <w:t xml:space="preserve">2016-00554-00, MP </w:t>
      </w:r>
      <w:proofErr w:type="spellStart"/>
      <w:r w:rsidRPr="00AC77C2">
        <w:rPr>
          <w:rFonts w:ascii="Calibri" w:hAnsi="Calibri"/>
        </w:rPr>
        <w:t>Duberney</w:t>
      </w:r>
      <w:proofErr w:type="spellEnd"/>
      <w:r w:rsidRPr="00AC77C2">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81180">
      <w:rPr>
        <w:rFonts w:ascii="Calibri" w:hAnsi="Calibri" w:cs="Calibri"/>
        <w:i/>
        <w:noProof/>
        <w:sz w:val="20"/>
      </w:rPr>
      <w:t>12</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405B9B">
      <w:rPr>
        <w:rFonts w:ascii="Calibri" w:hAnsi="Calibri" w:cs="Calibri"/>
        <w:i/>
        <w:sz w:val="20"/>
        <w:szCs w:val="22"/>
      </w:rPr>
      <w:t>00745</w:t>
    </w:r>
    <w:r w:rsidR="007949D4">
      <w:rPr>
        <w:rFonts w:ascii="Calibri" w:hAnsi="Calibri" w:cs="Calibri"/>
        <w:i/>
        <w:sz w:val="20"/>
        <w:szCs w:val="22"/>
      </w:rPr>
      <w:t xml:space="preserve">-00 </w:t>
    </w:r>
    <w:r w:rsidR="00405B9B">
      <w:rPr>
        <w:rFonts w:ascii="Calibri" w:hAnsi="Calibri" w:cs="Calibri"/>
        <w:i/>
        <w:sz w:val="20"/>
        <w:szCs w:val="22"/>
      </w:rPr>
      <w:t>ACUMULADAS DOS ACCIONES MÁS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8"/>
  </w:num>
  <w:num w:numId="14">
    <w:abstractNumId w:val="10"/>
  </w:num>
  <w:num w:numId="15">
    <w:abstractNumId w:val="14"/>
  </w:num>
  <w:num w:numId="16">
    <w:abstractNumId w:val="3"/>
  </w:num>
  <w:num w:numId="17">
    <w:abstractNumId w:val="15"/>
  </w:num>
  <w:num w:numId="18">
    <w:abstractNumId w:val="7"/>
  </w:num>
  <w:num w:numId="19">
    <w:abstractNumId w:val="4"/>
  </w:num>
  <w:num w:numId="20">
    <w:abstractNumId w:val="11"/>
  </w:num>
  <w:num w:numId="21">
    <w:abstractNumId w:val="17"/>
  </w:num>
  <w:num w:numId="22">
    <w:abstractNumId w:val="20"/>
  </w:num>
  <w:num w:numId="23">
    <w:abstractNumId w:val="6"/>
  </w:num>
  <w:num w:numId="24">
    <w:abstractNumId w:val="9"/>
  </w:num>
  <w:num w:numId="2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3B02"/>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84F"/>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4D9"/>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52"/>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3"/>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47DCB"/>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0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2E0"/>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A3C"/>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9B"/>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BF3"/>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83A"/>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7F2"/>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93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22C"/>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167"/>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1BF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D11"/>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DE4"/>
    <w:rsid w:val="00946E93"/>
    <w:rsid w:val="00947005"/>
    <w:rsid w:val="00947524"/>
    <w:rsid w:val="0094756C"/>
    <w:rsid w:val="009476D4"/>
    <w:rsid w:val="00950132"/>
    <w:rsid w:val="00951517"/>
    <w:rsid w:val="00951BD7"/>
    <w:rsid w:val="00951E5A"/>
    <w:rsid w:val="00951F1E"/>
    <w:rsid w:val="00952362"/>
    <w:rsid w:val="00952410"/>
    <w:rsid w:val="00952597"/>
    <w:rsid w:val="009526A5"/>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18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2D5"/>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65B"/>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1C4"/>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2F8"/>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9CB"/>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B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Textoindependiente22">
    <w:name w:val="Texto independiente 22"/>
    <w:basedOn w:val="Normal"/>
    <w:rsid w:val="00590938"/>
    <w:pPr>
      <w:widowControl/>
      <w:suppressAutoHyphens/>
      <w:overflowPunct w:val="0"/>
      <w:jc w:val="both"/>
    </w:pPr>
    <w:rPr>
      <w:rFonts w:ascii="Verdana" w:hAnsi="Verdana" w:cs="Times New Roman"/>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241">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04724961">
      <w:bodyDiv w:val="1"/>
      <w:marLeft w:val="0"/>
      <w:marRight w:val="0"/>
      <w:marTop w:val="0"/>
      <w:marBottom w:val="0"/>
      <w:divBdr>
        <w:top w:val="none" w:sz="0" w:space="0" w:color="auto"/>
        <w:left w:val="none" w:sz="0" w:space="0" w:color="auto"/>
        <w:bottom w:val="none" w:sz="0" w:space="0" w:color="auto"/>
        <w:right w:val="none" w:sz="0" w:space="0" w:color="auto"/>
      </w:divBdr>
    </w:div>
    <w:div w:id="1033919052">
      <w:bodyDiv w:val="1"/>
      <w:marLeft w:val="0"/>
      <w:marRight w:val="0"/>
      <w:marTop w:val="0"/>
      <w:marBottom w:val="0"/>
      <w:divBdr>
        <w:top w:val="none" w:sz="0" w:space="0" w:color="auto"/>
        <w:left w:val="none" w:sz="0" w:space="0" w:color="auto"/>
        <w:bottom w:val="none" w:sz="0" w:space="0" w:color="auto"/>
        <w:right w:val="none" w:sz="0" w:space="0" w:color="auto"/>
      </w:divBdr>
    </w:div>
    <w:div w:id="1131363738">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7F53-46BD-4272-A57C-0361D81C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4251</Words>
  <Characters>23381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2016-08-11T16:50:00Z</cp:lastPrinted>
  <dcterms:created xsi:type="dcterms:W3CDTF">2016-08-08T20:42:00Z</dcterms:created>
  <dcterms:modified xsi:type="dcterms:W3CDTF">2016-10-14T20:11:00Z</dcterms:modified>
</cp:coreProperties>
</file>