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B5" w:rsidRPr="004474B5" w:rsidRDefault="004474B5" w:rsidP="004474B5">
      <w:pPr>
        <w:pStyle w:val="Sinespaciado"/>
        <w:jc w:val="both"/>
        <w:rPr>
          <w:rFonts w:asciiTheme="minorHAnsi" w:hAnsiTheme="minorHAnsi"/>
          <w:sz w:val="18"/>
          <w:szCs w:val="18"/>
        </w:rPr>
      </w:pPr>
    </w:p>
    <w:p w:rsidR="004474B5" w:rsidRPr="004474B5" w:rsidRDefault="00557722" w:rsidP="004474B5">
      <w:pPr>
        <w:pStyle w:val="Sinespaciado"/>
        <w:jc w:val="both"/>
        <w:rPr>
          <w:rFonts w:asciiTheme="minorHAnsi" w:hAnsiTheme="minorHAnsi" w:cs="Arial"/>
          <w:sz w:val="18"/>
          <w:szCs w:val="18"/>
          <w:lang w:val="es-ES_tradnl"/>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bookmarkStart w:id="0" w:name="_GoBack"/>
      <w:bookmarkEnd w:id="0"/>
      <w:r w:rsidR="004474B5" w:rsidRPr="004474B5">
        <w:rPr>
          <w:rFonts w:asciiTheme="minorHAnsi" w:hAnsiTheme="minorHAnsi"/>
          <w:b/>
          <w:sz w:val="18"/>
          <w:szCs w:val="18"/>
        </w:rPr>
        <w:t>TUTELA CONTRA PROVIDENCIA JUDICIAL /</w:t>
      </w:r>
      <w:r w:rsidR="009D684D">
        <w:rPr>
          <w:rFonts w:asciiTheme="minorHAnsi" w:hAnsiTheme="minorHAnsi"/>
          <w:b/>
          <w:sz w:val="18"/>
          <w:szCs w:val="18"/>
        </w:rPr>
        <w:t>Trá</w:t>
      </w:r>
      <w:r w:rsidR="004474B5" w:rsidRPr="004474B5">
        <w:rPr>
          <w:rFonts w:asciiTheme="minorHAnsi" w:hAnsiTheme="minorHAnsi"/>
          <w:b/>
          <w:sz w:val="18"/>
          <w:szCs w:val="18"/>
        </w:rPr>
        <w:t xml:space="preserve">mite de una Acción Popular / Acción de tutela temeraria y cosa juzgada constitucional / CAUSALES GENÉRICAS Y ESPECIALES DE PROCEDIBILIDAD / Subsidiariedad / </w:t>
      </w:r>
      <w:r w:rsidR="004474B5" w:rsidRPr="004474B5">
        <w:rPr>
          <w:rFonts w:asciiTheme="minorHAnsi" w:hAnsiTheme="minorHAnsi" w:cs="Arial"/>
          <w:sz w:val="18"/>
          <w:szCs w:val="18"/>
        </w:rPr>
        <w:t>“</w:t>
      </w:r>
      <w:r w:rsidR="004474B5" w:rsidRPr="004474B5">
        <w:rPr>
          <w:rFonts w:asciiTheme="minorHAnsi" w:hAnsiTheme="minorHAnsi" w:cs="Arial"/>
          <w:sz w:val="18"/>
          <w:szCs w:val="18"/>
          <w:lang w:val="es-ES_tradnl"/>
        </w:rPr>
        <w:t>Sea lo primero advertir que la Sala no considera temeraria la formulación del presente amparo constitucional frente al juzgado accionado, pese a que refiere los mismos hechos expuestos en la tutela radicada 2016-00674-00 (Folio 89 vto., ib.), puesto que difieren en lo que respecta a las pretensiones, en efecto con aquel amparo pretendía que se ordenara al accionado que concediera y diera trámite a la alzada presentada contra la sentencia de primera instancia mientras que el presente busca que se ordene declarar la nulidad de dicha providencia porque no se vinculó al propietario del inmueble donde presta los servicios la EPS SURA y desatendió el artículo 21 de la Ley 472, además de que aplique el CGP en lugar del CPC.</w:t>
      </w:r>
      <w:r w:rsidR="001F5B41">
        <w:rPr>
          <w:rFonts w:asciiTheme="minorHAnsi" w:hAnsiTheme="minorHAnsi" w:cs="Arial"/>
          <w:sz w:val="18"/>
          <w:szCs w:val="18"/>
          <w:lang w:val="es-ES_tradnl"/>
        </w:rPr>
        <w:t>”</w:t>
      </w:r>
    </w:p>
    <w:p w:rsidR="004474B5" w:rsidRPr="004474B5" w:rsidRDefault="004474B5" w:rsidP="004474B5">
      <w:pPr>
        <w:pStyle w:val="Sinespaciado"/>
        <w:jc w:val="both"/>
        <w:rPr>
          <w:rFonts w:asciiTheme="minorHAnsi" w:hAnsiTheme="minorHAnsi"/>
          <w:sz w:val="18"/>
          <w:szCs w:val="18"/>
        </w:rPr>
      </w:pPr>
      <w:r w:rsidRPr="004474B5">
        <w:rPr>
          <w:rFonts w:asciiTheme="minorHAnsi" w:hAnsiTheme="minorHAnsi"/>
          <w:sz w:val="18"/>
          <w:szCs w:val="18"/>
        </w:rPr>
        <w:t>(…)</w:t>
      </w:r>
    </w:p>
    <w:p w:rsidR="004474B5" w:rsidRPr="004474B5" w:rsidRDefault="001F5B41" w:rsidP="004474B5">
      <w:pPr>
        <w:pStyle w:val="Sinespaciado"/>
        <w:jc w:val="both"/>
        <w:rPr>
          <w:rFonts w:asciiTheme="minorHAnsi" w:hAnsiTheme="minorHAnsi" w:cs="Arial"/>
          <w:iCs/>
          <w:color w:val="000000"/>
          <w:sz w:val="18"/>
          <w:szCs w:val="18"/>
        </w:rPr>
      </w:pPr>
      <w:r>
        <w:rPr>
          <w:rFonts w:asciiTheme="minorHAnsi" w:hAnsiTheme="minorHAnsi" w:cs="Arial"/>
          <w:iCs/>
          <w:color w:val="000000"/>
          <w:sz w:val="18"/>
          <w:szCs w:val="18"/>
        </w:rPr>
        <w:t>“</w:t>
      </w:r>
      <w:r w:rsidR="004474B5" w:rsidRPr="004474B5">
        <w:rPr>
          <w:rFonts w:asciiTheme="minorHAnsi" w:hAnsiTheme="minorHAnsi" w:cs="Arial"/>
          <w:iCs/>
          <w:color w:val="000000"/>
          <w:sz w:val="18"/>
          <w:szCs w:val="18"/>
        </w:rPr>
        <w:t xml:space="preserve">Así entonces existe la posibilidad de que se presenten las siguientes situaciones: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Temeridad sin cosa juzgada, cuando se presenta simultaneidad entre dos o más solicitudes de amparo que presentan la triple identidad (Objeto, causa y partes), sin que ninguna haya hecho tránsito a cosa juzgada. </w:t>
      </w:r>
    </w:p>
    <w:p w:rsidR="004474B5" w:rsidRPr="004474B5" w:rsidRDefault="004474B5" w:rsidP="004474B5">
      <w:pPr>
        <w:pStyle w:val="Sinespaciado"/>
        <w:jc w:val="both"/>
        <w:rPr>
          <w:rFonts w:asciiTheme="minorHAnsi" w:hAnsiTheme="minorHAnsi"/>
          <w:sz w:val="18"/>
          <w:szCs w:val="18"/>
        </w:rPr>
      </w:pPr>
    </w:p>
    <w:p w:rsidR="004474B5" w:rsidRPr="004474B5" w:rsidRDefault="004474B5" w:rsidP="004474B5">
      <w:pPr>
        <w:pStyle w:val="Sinespaciado"/>
        <w:jc w:val="both"/>
        <w:rPr>
          <w:rFonts w:asciiTheme="minorHAnsi" w:hAnsiTheme="minorHAnsi" w:cs="Arial"/>
          <w:sz w:val="18"/>
          <w:szCs w:val="18"/>
        </w:rPr>
      </w:pPr>
      <w:r w:rsidRPr="004474B5">
        <w:rPr>
          <w:rFonts w:asciiTheme="minorHAnsi" w:hAnsiTheme="minorHAnsi" w:cs="Arial"/>
          <w:iCs/>
          <w:color w:val="000000"/>
          <w:sz w:val="18"/>
          <w:szCs w:val="18"/>
        </w:rPr>
        <w:t xml:space="preserve">En síntesis, la concurrencia de la triple identidad </w:t>
      </w:r>
      <w:r w:rsidRPr="004474B5">
        <w:rPr>
          <w:rFonts w:asciiTheme="minorHAnsi" w:hAnsiTheme="minorHAnsi" w:cs="Arial"/>
          <w:sz w:val="18"/>
          <w:szCs w:val="18"/>
        </w:rPr>
        <w:t xml:space="preserve">es insuficiente para concluir que se trata de una actuación amañada o contraria al principio constitucional de buena fe, pero sí está afectada de improcedencia por el fenómeno de la </w:t>
      </w:r>
      <w:r w:rsidRPr="004474B5">
        <w:rPr>
          <w:rFonts w:asciiTheme="minorHAnsi" w:hAnsiTheme="minorHAnsi" w:cs="Arial"/>
          <w:sz w:val="18"/>
          <w:szCs w:val="18"/>
          <w:u w:val="single"/>
        </w:rPr>
        <w:t>cosa juzgada constitucional</w:t>
      </w:r>
      <w:r w:rsidRPr="004474B5">
        <w:rPr>
          <w:rFonts w:asciiTheme="minorHAnsi" w:hAnsiTheme="minorHAnsi" w:cs="Arial"/>
          <w:sz w:val="18"/>
          <w:szCs w:val="18"/>
        </w:rPr>
        <w:t>.</w:t>
      </w:r>
      <w:r w:rsidR="001F5B41">
        <w:rPr>
          <w:rFonts w:asciiTheme="minorHAnsi" w:hAnsiTheme="minorHAnsi" w:cs="Arial"/>
          <w:sz w:val="18"/>
          <w:szCs w:val="18"/>
        </w:rPr>
        <w:t>”</w:t>
      </w:r>
    </w:p>
    <w:p w:rsidR="004474B5" w:rsidRDefault="004474B5" w:rsidP="004474B5">
      <w:pPr>
        <w:pStyle w:val="Sinespaciado"/>
        <w:jc w:val="both"/>
        <w:rPr>
          <w:rFonts w:asciiTheme="minorHAnsi" w:hAnsiTheme="minorHAnsi"/>
          <w:sz w:val="18"/>
          <w:szCs w:val="18"/>
        </w:rPr>
      </w:pPr>
      <w:r w:rsidRPr="004474B5">
        <w:rPr>
          <w:rFonts w:asciiTheme="minorHAnsi" w:hAnsiTheme="minorHAnsi"/>
          <w:sz w:val="18"/>
          <w:szCs w:val="18"/>
        </w:rPr>
        <w:t>(…)</w:t>
      </w:r>
    </w:p>
    <w:p w:rsidR="001F5B41" w:rsidRPr="004474B5" w:rsidRDefault="001F5B41" w:rsidP="004474B5">
      <w:pPr>
        <w:pStyle w:val="Sinespaciado"/>
        <w:jc w:val="both"/>
        <w:rPr>
          <w:rFonts w:asciiTheme="minorHAnsi" w:hAnsiTheme="minorHAnsi"/>
          <w:sz w:val="18"/>
          <w:szCs w:val="18"/>
        </w:rPr>
      </w:pPr>
    </w:p>
    <w:p w:rsidR="004474B5" w:rsidRPr="004474B5" w:rsidRDefault="001F5B41" w:rsidP="004474B5">
      <w:pPr>
        <w:pStyle w:val="Sinespaciado"/>
        <w:jc w:val="both"/>
        <w:rPr>
          <w:rFonts w:asciiTheme="minorHAnsi" w:hAnsiTheme="minorHAnsi" w:cs="Arial"/>
          <w:sz w:val="18"/>
          <w:szCs w:val="18"/>
        </w:rPr>
      </w:pPr>
      <w:r>
        <w:rPr>
          <w:rFonts w:asciiTheme="minorHAnsi" w:hAnsiTheme="minorHAnsi" w:cs="Arial"/>
          <w:sz w:val="18"/>
          <w:szCs w:val="18"/>
        </w:rPr>
        <w:t>“</w:t>
      </w:r>
      <w:r w:rsidR="004474B5" w:rsidRPr="004474B5">
        <w:rPr>
          <w:rFonts w:asciiTheme="minorHAnsi" w:hAnsiTheme="minorHAnsi" w:cs="Arial"/>
          <w:sz w:val="18"/>
          <w:szCs w:val="18"/>
        </w:rPr>
        <w:t xml:space="preserve">Conforme al acervo probatorio y los hechos narrados en la tutela se tiene que el accionante el día 13-05-2016 recurrió en apelación la sentencia de primer grado y solicitó el amparo por pobre, sin que se advierta en ninguno de sus apartes que también formulaba alguna de las nulidades objeto de esta tutela (Folios 22 y 23, ib.); seguidamente con proveído del 18-05-2016 se concedió la alzada en el efecto devolutivo y se negó el amparo de pobreza (Folios 32 y 33, ib.); recurrido en reposición y apelación, también sin que se propusiera alguna nulidad (Folio 34, ib.), la </w:t>
      </w:r>
      <w:r w:rsidR="004474B5" w:rsidRPr="004474B5">
        <w:rPr>
          <w:rFonts w:asciiTheme="minorHAnsi" w:hAnsiTheme="minorHAnsi" w:cs="Arial"/>
          <w:i/>
          <w:sz w:val="18"/>
          <w:szCs w:val="18"/>
        </w:rPr>
        <w:t>a quo</w:t>
      </w:r>
      <w:r w:rsidR="004474B5" w:rsidRPr="004474B5">
        <w:rPr>
          <w:rFonts w:asciiTheme="minorHAnsi" w:hAnsiTheme="minorHAnsi" w:cs="Arial"/>
          <w:sz w:val="18"/>
          <w:szCs w:val="18"/>
        </w:rPr>
        <w:t xml:space="preserve"> con auto del 01-06-2016 mantuvo su decisión y no concedió la apelación (Folio 41, ib.); luego con providencia del 13-06-2016 se declaró desierta la alzada contra la sentencia, decisión que se notificó por estado del día 14-06-2016 y quedó ejecutoriada el 20-06-2016, sin que el actor formulara reparo alguno (Folio 42, ib.). </w:t>
      </w:r>
    </w:p>
    <w:p w:rsidR="004474B5" w:rsidRPr="004474B5" w:rsidRDefault="004474B5" w:rsidP="004474B5">
      <w:pPr>
        <w:pStyle w:val="Sinespaciado"/>
        <w:jc w:val="both"/>
        <w:rPr>
          <w:rFonts w:asciiTheme="minorHAnsi" w:hAnsiTheme="minorHAnsi" w:cs="Arial"/>
          <w:sz w:val="18"/>
          <w:szCs w:val="18"/>
        </w:rPr>
      </w:pPr>
    </w:p>
    <w:p w:rsidR="004474B5" w:rsidRPr="004474B5" w:rsidRDefault="004474B5" w:rsidP="004474B5">
      <w:pPr>
        <w:pStyle w:val="Sinespaciado"/>
        <w:jc w:val="both"/>
        <w:rPr>
          <w:rFonts w:asciiTheme="minorHAnsi" w:hAnsiTheme="minorHAnsi" w:cs="Arial"/>
          <w:sz w:val="18"/>
          <w:szCs w:val="18"/>
        </w:rPr>
      </w:pPr>
      <w:r w:rsidRPr="004474B5">
        <w:rPr>
          <w:rFonts w:asciiTheme="minorHAnsi" w:hAnsiTheme="minorHAnsi" w:cs="Arial"/>
          <w:sz w:val="18"/>
          <w:szCs w:val="18"/>
        </w:rPr>
        <w:t>Según lo expuesto, aunado al informe secretarial en el que se da cuenta que el accionante nunca presentó memoriales solicitando la declaratoria de nulidad (Folio 8, ib.), hay que decir que el actor al interior de la acción popular no agotó los mecanismos ordinarios y extraordinarios de defensa judicial, es decir, el requisito de subsidiaridad está incumplido, pues compete solicitar al despacho judicial la declaratoria de la nulidad procesal que considerara existente, y sobre ello ninguna prueba obra en esta acción, en consecuencia, habrá de declararse improcedente.</w:t>
      </w:r>
      <w:r w:rsidR="001F5B41">
        <w:rPr>
          <w:rFonts w:asciiTheme="minorHAnsi" w:hAnsiTheme="minorHAnsi" w:cs="Arial"/>
          <w:sz w:val="18"/>
          <w:szCs w:val="18"/>
        </w:rPr>
        <w:t>”</w:t>
      </w:r>
    </w:p>
    <w:p w:rsidR="001F5B41" w:rsidRDefault="001F5B41" w:rsidP="004474B5">
      <w:pPr>
        <w:pStyle w:val="Sinespaciado"/>
        <w:jc w:val="both"/>
        <w:rPr>
          <w:rFonts w:asciiTheme="minorHAnsi" w:hAnsiTheme="minorHAnsi"/>
          <w:b/>
          <w:sz w:val="18"/>
          <w:szCs w:val="18"/>
        </w:rPr>
      </w:pPr>
    </w:p>
    <w:p w:rsidR="004474B5" w:rsidRPr="004474B5" w:rsidRDefault="004474B5" w:rsidP="004474B5">
      <w:pPr>
        <w:pStyle w:val="Sinespaciado"/>
        <w:jc w:val="both"/>
        <w:rPr>
          <w:rFonts w:asciiTheme="minorHAnsi" w:hAnsiTheme="minorHAnsi"/>
          <w:sz w:val="18"/>
          <w:szCs w:val="18"/>
        </w:rPr>
      </w:pPr>
      <w:r w:rsidRPr="004474B5">
        <w:rPr>
          <w:rFonts w:asciiTheme="minorHAnsi" w:hAnsiTheme="minorHAnsi"/>
          <w:b/>
          <w:sz w:val="18"/>
          <w:szCs w:val="18"/>
        </w:rPr>
        <w:t>Citación Jurisprudencial:</w:t>
      </w:r>
      <w:r w:rsidRPr="004474B5">
        <w:rPr>
          <w:rFonts w:asciiTheme="minorHAnsi" w:hAnsiTheme="minorHAnsi"/>
          <w:sz w:val="18"/>
          <w:szCs w:val="18"/>
        </w:rPr>
        <w:t xml:space="preserve"> </w:t>
      </w:r>
      <w:r w:rsidRPr="004474B5">
        <w:rPr>
          <w:rFonts w:asciiTheme="minorHAnsi" w:hAnsiTheme="minorHAnsi" w:cs="Arial"/>
          <w:sz w:val="18"/>
          <w:szCs w:val="18"/>
        </w:rPr>
        <w:t>Sentencia C-543 de 1992 / sentencia C-590 de 2005 /</w:t>
      </w:r>
      <w:r w:rsidRPr="004474B5">
        <w:rPr>
          <w:rFonts w:asciiTheme="minorHAnsi" w:hAnsiTheme="minorHAnsi"/>
          <w:sz w:val="18"/>
          <w:szCs w:val="18"/>
          <w:lang w:val="es-MX"/>
        </w:rPr>
        <w:t xml:space="preserve"> Sentencia T-917 de 2011. / Sentencia T-064 de 2015. / Sentencia T-307 de 2015. / </w:t>
      </w:r>
      <w:r w:rsidRPr="004474B5">
        <w:rPr>
          <w:rFonts w:asciiTheme="minorHAnsi" w:hAnsiTheme="minorHAnsi"/>
          <w:sz w:val="18"/>
          <w:szCs w:val="18"/>
        </w:rPr>
        <w:t>Sentencia T-134 de 1994. / Sentencia T-103 de 2014. / Sentencia T-567 de 1998. / Sentencia T-662 de 2013.</w:t>
      </w:r>
      <w:r w:rsidRPr="004474B5">
        <w:rPr>
          <w:rFonts w:asciiTheme="minorHAnsi" w:hAnsiTheme="minorHAnsi"/>
          <w:b/>
          <w:bCs/>
          <w:color w:val="2D2D2D"/>
          <w:sz w:val="18"/>
          <w:szCs w:val="18"/>
          <w:bdr w:val="none" w:sz="0" w:space="0" w:color="auto" w:frame="1"/>
          <w:shd w:val="clear" w:color="auto" w:fill="FFFFFF"/>
        </w:rPr>
        <w:t xml:space="preserve"> / </w:t>
      </w:r>
      <w:r w:rsidRPr="004474B5">
        <w:rPr>
          <w:rFonts w:asciiTheme="minorHAnsi" w:hAnsiTheme="minorHAnsi"/>
          <w:bCs/>
          <w:sz w:val="18"/>
          <w:szCs w:val="18"/>
          <w:bdr w:val="none" w:sz="0" w:space="0" w:color="auto" w:frame="1"/>
          <w:shd w:val="clear" w:color="auto" w:fill="FFFFFF"/>
        </w:rPr>
        <w:t xml:space="preserve">Sentencia T-037 de 2016 y T-120 de 2016. / </w:t>
      </w:r>
      <w:r w:rsidRPr="004474B5">
        <w:rPr>
          <w:rFonts w:asciiTheme="minorHAnsi" w:hAnsiTheme="minorHAnsi"/>
          <w:sz w:val="18"/>
          <w:szCs w:val="18"/>
        </w:rPr>
        <w:t xml:space="preserve">Sentencia </w:t>
      </w:r>
      <w:r w:rsidRPr="004474B5">
        <w:rPr>
          <w:rFonts w:asciiTheme="minorHAnsi" w:hAnsiTheme="minorHAnsi"/>
          <w:sz w:val="18"/>
          <w:szCs w:val="18"/>
          <w:lang w:val="es-CO"/>
        </w:rPr>
        <w:t xml:space="preserve">T-193 de 2008. / </w:t>
      </w:r>
      <w:r w:rsidRPr="004474B5">
        <w:rPr>
          <w:rFonts w:asciiTheme="minorHAnsi" w:hAnsiTheme="minorHAnsi"/>
          <w:sz w:val="18"/>
          <w:szCs w:val="18"/>
        </w:rPr>
        <w:t xml:space="preserve">Sentencia </w:t>
      </w:r>
      <w:r w:rsidRPr="004474B5">
        <w:rPr>
          <w:rFonts w:asciiTheme="minorHAnsi" w:hAnsiTheme="minorHAnsi"/>
          <w:sz w:val="18"/>
          <w:szCs w:val="18"/>
          <w:lang w:val="es-CO"/>
        </w:rPr>
        <w:t>T-185 de 2013. / Sentencia</w:t>
      </w:r>
      <w:r w:rsidRPr="004474B5">
        <w:rPr>
          <w:rFonts w:asciiTheme="minorHAnsi" w:hAnsiTheme="minorHAnsi"/>
          <w:sz w:val="18"/>
          <w:szCs w:val="18"/>
        </w:rPr>
        <w:t xml:space="preserve"> </w:t>
      </w:r>
      <w:r w:rsidRPr="004474B5">
        <w:rPr>
          <w:rFonts w:asciiTheme="minorHAnsi" w:hAnsiTheme="minorHAnsi"/>
          <w:bCs/>
          <w:sz w:val="18"/>
          <w:szCs w:val="18"/>
        </w:rPr>
        <w:t>SU-240 de 2015</w:t>
      </w:r>
      <w:r w:rsidRPr="004474B5">
        <w:rPr>
          <w:rFonts w:asciiTheme="minorHAnsi" w:hAnsiTheme="minorHAnsi"/>
          <w:sz w:val="18"/>
          <w:szCs w:val="18"/>
        </w:rPr>
        <w:t xml:space="preserve">. / </w:t>
      </w:r>
      <w:r w:rsidRPr="004474B5">
        <w:rPr>
          <w:rFonts w:asciiTheme="minorHAnsi" w:hAnsiTheme="minorHAnsi"/>
          <w:sz w:val="18"/>
          <w:szCs w:val="18"/>
          <w:lang w:val="es-CO"/>
        </w:rPr>
        <w:t>Sentencia</w:t>
      </w:r>
      <w:r w:rsidRPr="004474B5">
        <w:rPr>
          <w:rFonts w:asciiTheme="minorHAnsi" w:hAnsiTheme="minorHAnsi"/>
          <w:sz w:val="18"/>
          <w:szCs w:val="18"/>
        </w:rPr>
        <w:t xml:space="preserve"> </w:t>
      </w:r>
      <w:r w:rsidRPr="004474B5">
        <w:rPr>
          <w:rFonts w:asciiTheme="minorHAnsi" w:hAnsiTheme="minorHAnsi"/>
          <w:bCs/>
          <w:sz w:val="18"/>
          <w:szCs w:val="18"/>
        </w:rPr>
        <w:t xml:space="preserve">T-001 de 2016. / </w:t>
      </w:r>
      <w:r w:rsidRPr="004474B5">
        <w:rPr>
          <w:rFonts w:asciiTheme="minorHAnsi" w:hAnsiTheme="minorHAnsi"/>
          <w:sz w:val="18"/>
          <w:szCs w:val="18"/>
        </w:rPr>
        <w:t>Sentencia T-057 de 2016. / Sentencia</w:t>
      </w:r>
      <w:r w:rsidRPr="004474B5">
        <w:rPr>
          <w:rFonts w:asciiTheme="minorHAnsi" w:hAnsiTheme="minorHAnsi"/>
          <w:sz w:val="18"/>
          <w:szCs w:val="18"/>
          <w:lang w:val="es-CO"/>
        </w:rPr>
        <w:t xml:space="preserve"> T-095 de 2015. / </w:t>
      </w:r>
      <w:r w:rsidRPr="004474B5">
        <w:rPr>
          <w:rFonts w:asciiTheme="minorHAnsi" w:hAnsiTheme="minorHAnsi"/>
          <w:sz w:val="18"/>
          <w:szCs w:val="18"/>
        </w:rPr>
        <w:t>Sentencia</w:t>
      </w:r>
      <w:r w:rsidRPr="004474B5">
        <w:rPr>
          <w:rFonts w:asciiTheme="minorHAnsi" w:hAnsiTheme="minorHAnsi"/>
          <w:sz w:val="18"/>
          <w:szCs w:val="18"/>
          <w:lang w:val="es-CO"/>
        </w:rPr>
        <w:t xml:space="preserve"> T-560 de 2009. / </w:t>
      </w:r>
      <w:r w:rsidRPr="004474B5">
        <w:rPr>
          <w:rFonts w:asciiTheme="minorHAnsi" w:hAnsiTheme="minorHAnsi"/>
          <w:sz w:val="18"/>
          <w:szCs w:val="18"/>
        </w:rPr>
        <w:t xml:space="preserve">Sentencia T-717 de 2011. / Sentencia </w:t>
      </w:r>
      <w:r w:rsidRPr="004474B5">
        <w:rPr>
          <w:rFonts w:asciiTheme="minorHAnsi" w:hAnsiTheme="minorHAnsi"/>
          <w:sz w:val="18"/>
          <w:szCs w:val="18"/>
          <w:lang w:val="es-CO"/>
        </w:rPr>
        <w:t xml:space="preserve">T-184 de 2005. </w:t>
      </w:r>
      <w:r w:rsidRPr="004474B5">
        <w:rPr>
          <w:rFonts w:asciiTheme="minorHAnsi" w:hAnsiTheme="minorHAnsi"/>
          <w:bCs/>
          <w:color w:val="000000"/>
          <w:sz w:val="18"/>
          <w:szCs w:val="18"/>
        </w:rPr>
        <w:t xml:space="preserve">/ </w:t>
      </w:r>
      <w:r w:rsidRPr="004474B5">
        <w:rPr>
          <w:rFonts w:asciiTheme="minorHAnsi" w:hAnsiTheme="minorHAnsi"/>
          <w:sz w:val="18"/>
          <w:szCs w:val="18"/>
        </w:rPr>
        <w:t>Sentencia T-443 de 1995. / Sentencia T-149 de 1995. / Sentencia T-308 de 1995. / Sentencia T-001 de 1997. /</w:t>
      </w:r>
    </w:p>
    <w:p w:rsidR="004474B5" w:rsidRPr="004474B5" w:rsidRDefault="004474B5" w:rsidP="004474B5">
      <w:pPr>
        <w:pStyle w:val="Sinespaciado"/>
        <w:jc w:val="both"/>
        <w:rPr>
          <w:rFonts w:asciiTheme="minorHAnsi" w:hAnsiTheme="minorHAnsi"/>
          <w:sz w:val="18"/>
          <w:szCs w:val="18"/>
        </w:rPr>
      </w:pPr>
    </w:p>
    <w:p w:rsidR="004474B5" w:rsidRPr="004474B5" w:rsidRDefault="004474B5" w:rsidP="004474B5">
      <w:pPr>
        <w:pStyle w:val="Sinespaciado"/>
        <w:jc w:val="both"/>
        <w:rPr>
          <w:rFonts w:asciiTheme="minorHAnsi" w:hAnsiTheme="minorHAnsi"/>
          <w:sz w:val="18"/>
          <w:szCs w:val="18"/>
          <w:lang w:val="es-CO"/>
        </w:rPr>
      </w:pPr>
      <w:r w:rsidRPr="004474B5">
        <w:rPr>
          <w:rFonts w:asciiTheme="minorHAnsi" w:hAnsiTheme="minorHAnsi"/>
          <w:sz w:val="18"/>
          <w:szCs w:val="18"/>
          <w:lang w:val="es-CO"/>
        </w:rPr>
        <w:t>CORTE SUPREMA DE JUSTICIA, Sala de Casación Civil.  Sentencia del 02-09-2014, M.P.: Margarita Cabello Blanco, expediente No.23001 22 14 000 2014 00097 01</w:t>
      </w:r>
      <w:r w:rsidRPr="004474B5">
        <w:rPr>
          <w:rFonts w:asciiTheme="minorHAnsi" w:hAnsiTheme="minorHAnsi"/>
          <w:w w:val="110"/>
          <w:sz w:val="18"/>
          <w:szCs w:val="18"/>
          <w:lang w:val="es-CO"/>
        </w:rPr>
        <w:t xml:space="preserve">. / </w:t>
      </w:r>
      <w:r w:rsidRPr="004474B5">
        <w:rPr>
          <w:rFonts w:asciiTheme="minorHAnsi" w:hAnsiTheme="minorHAnsi"/>
          <w:sz w:val="18"/>
          <w:szCs w:val="18"/>
        </w:rPr>
        <w:t xml:space="preserve">Providencia STC6121-2015. / Providencia </w:t>
      </w:r>
      <w:r w:rsidRPr="004474B5">
        <w:rPr>
          <w:rFonts w:asciiTheme="minorHAnsi" w:hAnsiTheme="minorHAnsi"/>
          <w:sz w:val="18"/>
          <w:szCs w:val="18"/>
          <w:lang w:val="es-CO"/>
        </w:rPr>
        <w:t>STC3931-2016, entre otras. / Sentencia STC7600-2016. /</w:t>
      </w:r>
    </w:p>
    <w:p w:rsidR="004474B5" w:rsidRPr="004474B5" w:rsidRDefault="004474B5" w:rsidP="004474B5">
      <w:pPr>
        <w:pStyle w:val="Sinespaciado"/>
        <w:jc w:val="both"/>
        <w:rPr>
          <w:rFonts w:asciiTheme="minorHAnsi" w:hAnsiTheme="minorHAnsi"/>
          <w:sz w:val="18"/>
          <w:szCs w:val="18"/>
        </w:rPr>
      </w:pPr>
    </w:p>
    <w:p w:rsidR="004474B5" w:rsidRPr="004474B5" w:rsidRDefault="004474B5" w:rsidP="004474B5">
      <w:pPr>
        <w:pStyle w:val="Sinespaciado"/>
        <w:jc w:val="both"/>
        <w:rPr>
          <w:rFonts w:asciiTheme="minorHAnsi" w:hAnsiTheme="minorHAnsi"/>
          <w:sz w:val="18"/>
          <w:szCs w:val="18"/>
          <w:lang w:val="es-CO"/>
        </w:rPr>
      </w:pPr>
      <w:r w:rsidRPr="004474B5">
        <w:rPr>
          <w:rFonts w:asciiTheme="minorHAnsi" w:hAnsiTheme="minorHAnsi"/>
          <w:sz w:val="18"/>
          <w:szCs w:val="18"/>
          <w:lang w:val="es-CO"/>
        </w:rPr>
        <w:t>TRIBUNAL SUPERIOR DE PEREIRA, Sala Civil-Familia. Sentencia del 28-03-2016, MP Dubermey Grisales Herrera, expediente No.</w:t>
      </w:r>
      <w:r w:rsidRPr="004474B5">
        <w:rPr>
          <w:rFonts w:asciiTheme="minorHAnsi" w:hAnsiTheme="minorHAnsi"/>
          <w:sz w:val="18"/>
          <w:szCs w:val="18"/>
        </w:rPr>
        <w:t xml:space="preserve"> </w:t>
      </w:r>
      <w:r w:rsidRPr="004474B5">
        <w:rPr>
          <w:rFonts w:asciiTheme="minorHAnsi" w:hAnsiTheme="minorHAnsi"/>
          <w:sz w:val="18"/>
          <w:szCs w:val="18"/>
          <w:lang w:val="es-CO"/>
        </w:rPr>
        <w:t xml:space="preserve">2016-00289-00. / TRIBUNAL SUPERIOR, Sala Civil – Familia. Sentencias del 30-06-2016, del 11-08-2016 y del </w:t>
      </w:r>
      <w:r w:rsidRPr="004474B5">
        <w:rPr>
          <w:rFonts w:asciiTheme="minorHAnsi" w:hAnsiTheme="minorHAnsi"/>
          <w:sz w:val="18"/>
          <w:szCs w:val="18"/>
        </w:rPr>
        <w:t>23-08-2016</w:t>
      </w:r>
      <w:r w:rsidRPr="004474B5">
        <w:rPr>
          <w:rFonts w:asciiTheme="minorHAnsi" w:hAnsiTheme="minorHAnsi"/>
          <w:sz w:val="18"/>
          <w:szCs w:val="18"/>
          <w:lang w:val="es-CO"/>
        </w:rPr>
        <w:t xml:space="preserve">, </w:t>
      </w:r>
      <w:r w:rsidRPr="004474B5">
        <w:rPr>
          <w:rFonts w:asciiTheme="minorHAnsi" w:hAnsiTheme="minorHAnsi"/>
          <w:sz w:val="18"/>
          <w:szCs w:val="18"/>
        </w:rPr>
        <w:t xml:space="preserve">MP: Duberney Grisales Herrera, </w:t>
      </w:r>
      <w:r w:rsidRPr="004474B5">
        <w:rPr>
          <w:rFonts w:asciiTheme="minorHAnsi" w:hAnsiTheme="minorHAnsi"/>
          <w:sz w:val="18"/>
          <w:szCs w:val="18"/>
          <w:lang w:val="es-CO"/>
        </w:rPr>
        <w:t>exp.</w:t>
      </w:r>
      <w:r w:rsidRPr="004474B5">
        <w:rPr>
          <w:rFonts w:asciiTheme="minorHAnsi" w:hAnsiTheme="minorHAnsi" w:cs="Arial"/>
          <w:sz w:val="18"/>
          <w:szCs w:val="18"/>
        </w:rPr>
        <w:t xml:space="preserve"> </w:t>
      </w:r>
      <w:r w:rsidRPr="004474B5">
        <w:rPr>
          <w:rFonts w:asciiTheme="minorHAnsi" w:hAnsiTheme="minorHAnsi"/>
          <w:sz w:val="18"/>
          <w:szCs w:val="18"/>
        </w:rPr>
        <w:t xml:space="preserve">2016-00554-00, 2016-00750-00 y </w:t>
      </w:r>
      <w:r w:rsidRPr="004474B5">
        <w:rPr>
          <w:rFonts w:asciiTheme="minorHAnsi" w:hAnsiTheme="minorHAnsi" w:cs="Arial"/>
          <w:sz w:val="18"/>
          <w:szCs w:val="18"/>
        </w:rPr>
        <w:t>2016-00794-00</w:t>
      </w:r>
      <w:r w:rsidRPr="004474B5">
        <w:rPr>
          <w:rFonts w:asciiTheme="minorHAnsi" w:hAnsiTheme="minorHAnsi"/>
          <w:sz w:val="18"/>
          <w:szCs w:val="18"/>
        </w:rPr>
        <w:t>, entre otras.</w:t>
      </w:r>
    </w:p>
    <w:p w:rsidR="004474B5" w:rsidRPr="004474B5" w:rsidRDefault="004474B5" w:rsidP="004474B5">
      <w:pPr>
        <w:pStyle w:val="Sinespaciado"/>
        <w:jc w:val="both"/>
        <w:rPr>
          <w:rFonts w:asciiTheme="minorHAnsi" w:hAnsiTheme="minorHAnsi"/>
          <w:sz w:val="18"/>
          <w:szCs w:val="18"/>
        </w:rPr>
      </w:pPr>
    </w:p>
    <w:p w:rsidR="004474B5" w:rsidRPr="004474B5" w:rsidRDefault="004474B5" w:rsidP="004474B5">
      <w:pPr>
        <w:pStyle w:val="Sinespaciado"/>
        <w:jc w:val="both"/>
        <w:rPr>
          <w:rFonts w:asciiTheme="minorHAnsi" w:hAnsiTheme="minorHAnsi"/>
          <w:sz w:val="18"/>
          <w:szCs w:val="18"/>
        </w:rPr>
      </w:pPr>
    </w:p>
    <w:p w:rsidR="004474B5" w:rsidRPr="004474B5" w:rsidRDefault="004474B5" w:rsidP="004474B5">
      <w:pPr>
        <w:pStyle w:val="Sinespaciado"/>
        <w:jc w:val="both"/>
        <w:rPr>
          <w:rFonts w:asciiTheme="minorHAnsi" w:hAnsiTheme="minorHAnsi"/>
          <w:sz w:val="18"/>
          <w:szCs w:val="18"/>
        </w:rPr>
      </w:pPr>
    </w:p>
    <w:p w:rsidR="004474B5" w:rsidRPr="004474B5" w:rsidRDefault="004474B5" w:rsidP="004474B5">
      <w:pPr>
        <w:pStyle w:val="Sinespaciado"/>
        <w:jc w:val="both"/>
        <w:rPr>
          <w:rFonts w:asciiTheme="minorHAnsi" w:hAnsiTheme="minorHAnsi"/>
          <w:sz w:val="18"/>
          <w:szCs w:val="18"/>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B978BF">
        <w:rPr>
          <w:rFonts w:ascii="Arial" w:hAnsi="Arial" w:cs="Arial"/>
          <w:sz w:val="22"/>
        </w:rPr>
        <w:t xml:space="preserve">Cuarto Civil </w:t>
      </w:r>
      <w:r w:rsidR="0043570B">
        <w:rPr>
          <w:rFonts w:ascii="Arial" w:hAnsi="Arial" w:cs="Arial"/>
          <w:sz w:val="22"/>
        </w:rPr>
        <w:t xml:space="preserve">del Circuito </w:t>
      </w:r>
      <w:r w:rsidR="00B978BF">
        <w:rPr>
          <w:rFonts w:ascii="Arial" w:hAnsi="Arial" w:cs="Arial"/>
          <w:sz w:val="22"/>
        </w:rPr>
        <w:t>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D06248" w:rsidRPr="00D06248">
        <w:rPr>
          <w:rFonts w:ascii="Arial" w:hAnsi="Arial" w:cs="Arial"/>
          <w:sz w:val="21"/>
          <w:szCs w:val="21"/>
        </w:rPr>
        <w:t>EPS SURA SA Sucursal calle 15 No.13-110 oficina 302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C146D2">
        <w:rPr>
          <w:rFonts w:ascii="Arial" w:hAnsi="Arial" w:cs="Arial"/>
          <w:sz w:val="22"/>
        </w:rPr>
        <w:t>00844</w:t>
      </w:r>
      <w:r w:rsidR="00816D75">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C146D2">
        <w:rPr>
          <w:rFonts w:ascii="Arial" w:hAnsi="Arial" w:cs="Arial"/>
          <w:sz w:val="22"/>
        </w:rPr>
        <w:t>844</w:t>
      </w:r>
      <w:r w:rsidRPr="00A00766">
        <w:rPr>
          <w:rFonts w:ascii="Arial" w:hAnsi="Arial" w:cs="Arial"/>
          <w:sz w:val="22"/>
        </w:rPr>
        <w:t>)</w:t>
      </w:r>
      <w:r w:rsidR="00235C5D">
        <w:rPr>
          <w:rFonts w:ascii="Arial" w:hAnsi="Arial" w:cs="Arial"/>
          <w:sz w:val="22"/>
        </w:rPr>
        <w:t xml:space="preserve"> </w:t>
      </w:r>
    </w:p>
    <w:p w:rsidR="008F34B8" w:rsidRPr="00C146D2" w:rsidRDefault="00970930" w:rsidP="008E5334">
      <w:pPr>
        <w:pStyle w:val="Textoindependiente"/>
        <w:spacing w:line="360" w:lineRule="auto"/>
        <w:rPr>
          <w:rFonts w:ascii="Arial" w:hAnsi="Arial" w:cs="Arial"/>
          <w:sz w:val="22"/>
          <w:szCs w:val="22"/>
          <w:lang w:val="es-CO"/>
        </w:rPr>
      </w:pPr>
      <w:r w:rsidRPr="002060F5">
        <w:rPr>
          <w:rFonts w:ascii="Arial" w:hAnsi="Arial" w:cs="Arial"/>
          <w:sz w:val="22"/>
          <w:szCs w:val="22"/>
        </w:rPr>
        <w:lastRenderedPageBreak/>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r>
      <w:r w:rsidR="00C82923" w:rsidRPr="00304ACE">
        <w:rPr>
          <w:rFonts w:ascii="Arial" w:hAnsi="Arial" w:cs="Arial"/>
          <w:sz w:val="22"/>
          <w:szCs w:val="22"/>
        </w:rPr>
        <w:t>:</w:t>
      </w:r>
      <w:r w:rsidR="008F34B8" w:rsidRPr="00304ACE">
        <w:rPr>
          <w:rFonts w:ascii="Arial" w:hAnsi="Arial" w:cs="Arial"/>
          <w:sz w:val="22"/>
          <w:szCs w:val="22"/>
        </w:rPr>
        <w:t xml:space="preserve"> </w:t>
      </w:r>
      <w:r w:rsidR="005374FD">
        <w:rPr>
          <w:rFonts w:ascii="Arial" w:hAnsi="Arial" w:cs="Arial"/>
          <w:sz w:val="22"/>
          <w:szCs w:val="22"/>
        </w:rPr>
        <w:t xml:space="preserve">Subsidiariedad – </w:t>
      </w:r>
      <w:r w:rsidR="00C146D2">
        <w:rPr>
          <w:rFonts w:ascii="Arial" w:hAnsi="Arial" w:cs="Arial"/>
          <w:sz w:val="22"/>
          <w:szCs w:val="22"/>
        </w:rPr>
        <w:t>Sin escrito de nulidad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8D6EA6">
        <w:rPr>
          <w:rFonts w:ascii="Arial" w:hAnsi="Arial"/>
          <w:sz w:val="22"/>
          <w:szCs w:val="22"/>
        </w:rPr>
        <w:t>444 de 13-09-2016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D06248" w:rsidRDefault="006617DD" w:rsidP="006617DD">
      <w:pPr>
        <w:spacing w:line="360" w:lineRule="auto"/>
        <w:jc w:val="center"/>
        <w:rPr>
          <w:rFonts w:ascii="Arial" w:hAnsi="Arial" w:cs="Arial"/>
          <w:iCs/>
          <w:sz w:val="28"/>
          <w:szCs w:val="28"/>
          <w:lang w:val="es-CO"/>
        </w:rPr>
      </w:pPr>
      <w:r w:rsidRPr="00D06248">
        <w:rPr>
          <w:rFonts w:ascii="Arial" w:hAnsi="Arial" w:cs="Arial"/>
          <w:iCs/>
          <w:smallCaps/>
          <w:sz w:val="28"/>
          <w:szCs w:val="28"/>
          <w:lang w:val="es-CO"/>
        </w:rPr>
        <w:t>Pereira, R</w:t>
      </w:r>
      <w:r w:rsidR="007949D4" w:rsidRPr="00D06248">
        <w:rPr>
          <w:rFonts w:ascii="Arial" w:hAnsi="Arial" w:cs="Arial"/>
          <w:iCs/>
          <w:smallCaps/>
          <w:sz w:val="28"/>
          <w:szCs w:val="28"/>
          <w:lang w:val="es-CO"/>
        </w:rPr>
        <w:t>.</w:t>
      </w:r>
      <w:r w:rsidRPr="00D06248">
        <w:rPr>
          <w:rFonts w:ascii="Arial" w:hAnsi="Arial" w:cs="Arial"/>
          <w:iCs/>
          <w:smallCaps/>
          <w:sz w:val="28"/>
          <w:szCs w:val="28"/>
          <w:lang w:val="es-CO"/>
        </w:rPr>
        <w:t xml:space="preserve">, </w:t>
      </w:r>
      <w:r w:rsidR="008D6EA6">
        <w:rPr>
          <w:rFonts w:ascii="Arial" w:hAnsi="Arial" w:cs="Arial"/>
          <w:iCs/>
          <w:smallCaps/>
          <w:sz w:val="28"/>
          <w:szCs w:val="28"/>
          <w:lang w:val="es-CO"/>
        </w:rPr>
        <w:t xml:space="preserve">trece </w:t>
      </w:r>
      <w:r w:rsidR="00437198" w:rsidRPr="00D06248">
        <w:rPr>
          <w:rFonts w:ascii="Arial" w:hAnsi="Arial" w:cs="Arial"/>
          <w:iCs/>
          <w:smallCaps/>
          <w:sz w:val="28"/>
          <w:szCs w:val="28"/>
          <w:lang w:val="es-CO"/>
        </w:rPr>
        <w:t>(</w:t>
      </w:r>
      <w:r w:rsidR="008D6EA6">
        <w:rPr>
          <w:rFonts w:ascii="Arial" w:hAnsi="Arial" w:cs="Arial"/>
          <w:iCs/>
          <w:smallCaps/>
          <w:sz w:val="28"/>
          <w:szCs w:val="28"/>
          <w:lang w:val="es-CO"/>
        </w:rPr>
        <w:t>13</w:t>
      </w:r>
      <w:r w:rsidR="00304ACE" w:rsidRPr="00D06248">
        <w:rPr>
          <w:rFonts w:ascii="Arial" w:hAnsi="Arial" w:cs="Arial"/>
          <w:iCs/>
          <w:smallCaps/>
          <w:sz w:val="28"/>
          <w:szCs w:val="28"/>
          <w:lang w:val="es-CO"/>
        </w:rPr>
        <w:t xml:space="preserve">) </w:t>
      </w:r>
      <w:r w:rsidRPr="00D06248">
        <w:rPr>
          <w:rFonts w:ascii="Arial" w:hAnsi="Arial" w:cs="Arial"/>
          <w:iCs/>
          <w:smallCaps/>
          <w:sz w:val="28"/>
          <w:szCs w:val="28"/>
          <w:lang w:val="es-CO"/>
        </w:rPr>
        <w:t xml:space="preserve">de </w:t>
      </w:r>
      <w:r w:rsidR="009522EE">
        <w:rPr>
          <w:rFonts w:ascii="Arial" w:hAnsi="Arial" w:cs="Arial"/>
          <w:iCs/>
          <w:smallCaps/>
          <w:sz w:val="28"/>
          <w:szCs w:val="28"/>
          <w:lang w:val="es-CO"/>
        </w:rPr>
        <w:t xml:space="preserve">septiembre </w:t>
      </w:r>
      <w:r w:rsidRPr="00D06248">
        <w:rPr>
          <w:rFonts w:ascii="Arial" w:hAnsi="Arial" w:cs="Arial"/>
          <w:iCs/>
          <w:smallCaps/>
          <w:sz w:val="28"/>
          <w:szCs w:val="28"/>
          <w:lang w:val="es-CO"/>
        </w:rPr>
        <w:t xml:space="preserve">de dos mil </w:t>
      </w:r>
      <w:r w:rsidR="007949D4" w:rsidRPr="00D06248">
        <w:rPr>
          <w:rFonts w:ascii="Arial" w:hAnsi="Arial" w:cs="Arial"/>
          <w:iCs/>
          <w:smallCaps/>
          <w:sz w:val="28"/>
          <w:szCs w:val="28"/>
          <w:lang w:val="es-CO"/>
        </w:rPr>
        <w:t xml:space="preserve">dieciséis </w:t>
      </w:r>
      <w:r w:rsidRPr="00D06248">
        <w:rPr>
          <w:rFonts w:ascii="Arial" w:hAnsi="Arial" w:cs="Arial"/>
          <w:iCs/>
          <w:smallCaps/>
          <w:sz w:val="28"/>
          <w:szCs w:val="28"/>
          <w:lang w:val="es-CO"/>
        </w:rPr>
        <w:t>(</w:t>
      </w:r>
      <w:r w:rsidR="007949D4" w:rsidRPr="00D06248">
        <w:rPr>
          <w:rFonts w:ascii="Arial" w:hAnsi="Arial" w:cs="Arial"/>
          <w:iCs/>
          <w:smallCaps/>
          <w:sz w:val="28"/>
          <w:szCs w:val="28"/>
          <w:lang w:val="es-CO"/>
        </w:rPr>
        <w:t>2016</w:t>
      </w:r>
      <w:r w:rsidRPr="00D06248">
        <w:rPr>
          <w:rFonts w:ascii="Arial" w:hAnsi="Arial" w:cs="Arial"/>
          <w:iCs/>
          <w:smallCaps/>
          <w:sz w:val="28"/>
          <w:szCs w:val="28"/>
          <w:lang w:val="es-CO"/>
        </w:rPr>
        <w:t>)</w:t>
      </w:r>
      <w:r w:rsidRPr="00D06248">
        <w:rPr>
          <w:rFonts w:ascii="Arial" w:hAnsi="Arial" w:cs="Arial"/>
          <w:iCs/>
          <w:sz w:val="28"/>
          <w:szCs w:val="28"/>
          <w:lang w:val="es-CO"/>
        </w:rPr>
        <w:t>.</w:t>
      </w:r>
    </w:p>
    <w:p w:rsidR="000147A2" w:rsidRPr="00D06248" w:rsidRDefault="000147A2" w:rsidP="0099045D">
      <w:pPr>
        <w:spacing w:line="360" w:lineRule="auto"/>
        <w:jc w:val="center"/>
        <w:rPr>
          <w:rFonts w:ascii="Arial" w:hAnsi="Arial" w:cs="Arial"/>
          <w:b/>
          <w:bCs/>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235C5D" w:rsidRDefault="0043570B" w:rsidP="00235C5D">
      <w:pPr>
        <w:pStyle w:val="Textoindependiente"/>
        <w:spacing w:line="360" w:lineRule="auto"/>
        <w:rPr>
          <w:rFonts w:ascii="Arial" w:hAnsi="Arial"/>
          <w:szCs w:val="24"/>
        </w:rPr>
      </w:pPr>
      <w:r>
        <w:rPr>
          <w:rFonts w:ascii="Arial" w:hAnsi="Arial"/>
          <w:szCs w:val="24"/>
        </w:rPr>
        <w:t>La acción constitucional referenciada</w:t>
      </w:r>
      <w:r w:rsidR="00235C5D">
        <w:rPr>
          <w:rFonts w:ascii="Arial" w:hAnsi="Arial"/>
          <w:szCs w:val="24"/>
        </w:rPr>
        <w:t xml:space="preserve">, adelantadas </w:t>
      </w:r>
      <w:r w:rsidR="00235C5D" w:rsidRPr="00F9418E">
        <w:rPr>
          <w:rFonts w:ascii="Arial" w:hAnsi="Arial"/>
          <w:szCs w:val="24"/>
        </w:rPr>
        <w:t>la</w:t>
      </w:r>
      <w:r w:rsidR="00235C5D">
        <w:rPr>
          <w:rFonts w:ascii="Arial" w:hAnsi="Arial"/>
          <w:szCs w:val="24"/>
        </w:rPr>
        <w:t>s</w:t>
      </w:r>
      <w:r w:rsidR="00235C5D" w:rsidRPr="00F9418E">
        <w:rPr>
          <w:rFonts w:ascii="Arial" w:hAnsi="Arial"/>
          <w:szCs w:val="24"/>
        </w:rPr>
        <w:t xml:space="preserve"> </w:t>
      </w:r>
      <w:r w:rsidR="00235C5D">
        <w:rPr>
          <w:rFonts w:ascii="Arial" w:hAnsi="Arial"/>
          <w:szCs w:val="24"/>
        </w:rPr>
        <w:t xml:space="preserve">debidas </w:t>
      </w:r>
      <w:r w:rsidR="00235C5D" w:rsidRPr="00F9418E">
        <w:rPr>
          <w:rFonts w:ascii="Arial" w:hAnsi="Arial"/>
          <w:szCs w:val="24"/>
        </w:rPr>
        <w:t>actuaci</w:t>
      </w:r>
      <w:r w:rsidR="00235C5D">
        <w:rPr>
          <w:rFonts w:ascii="Arial" w:hAnsi="Arial"/>
          <w:szCs w:val="24"/>
        </w:rPr>
        <w:t>ones</w:t>
      </w:r>
      <w:r w:rsidR="00235C5D" w:rsidRPr="00F9418E">
        <w:rPr>
          <w:rFonts w:ascii="Arial" w:hAnsi="Arial"/>
          <w:szCs w:val="24"/>
        </w:rPr>
        <w:t xml:space="preserve"> con el</w:t>
      </w:r>
      <w:r w:rsidR="00235C5D">
        <w:rPr>
          <w:rFonts w:ascii="Arial" w:hAnsi="Arial"/>
          <w:szCs w:val="24"/>
        </w:rPr>
        <w:t xml:space="preserve"> </w:t>
      </w:r>
      <w:r w:rsidR="00235C5D" w:rsidRPr="00F9418E">
        <w:rPr>
          <w:rFonts w:ascii="Arial" w:hAnsi="Arial"/>
          <w:szCs w:val="24"/>
        </w:rPr>
        <w:t xml:space="preserve">trámite preferente y sumario, sin que se </w:t>
      </w:r>
      <w:r w:rsidR="00235C5D">
        <w:rPr>
          <w:rFonts w:ascii="Arial" w:hAnsi="Arial"/>
          <w:szCs w:val="24"/>
        </w:rPr>
        <w:t xml:space="preserve">evidencien </w:t>
      </w:r>
      <w:r w:rsidR="00235C5D" w:rsidRPr="00F9418E">
        <w:rPr>
          <w:rFonts w:ascii="Arial" w:hAnsi="Arial"/>
          <w:szCs w:val="24"/>
        </w:rPr>
        <w:t>causales de nulidad que la</w:t>
      </w:r>
      <w:r w:rsidR="00235C5D">
        <w:rPr>
          <w:rFonts w:ascii="Arial" w:hAnsi="Arial"/>
          <w:szCs w:val="24"/>
        </w:rPr>
        <w:t>s</w:t>
      </w:r>
      <w:r w:rsidR="00235C5D" w:rsidRPr="00F9418E">
        <w:rPr>
          <w:rFonts w:ascii="Arial" w:hAnsi="Arial"/>
          <w:szCs w:val="24"/>
        </w:rPr>
        <w:t xml:space="preserve"> invaliden.</w:t>
      </w:r>
    </w:p>
    <w:p w:rsidR="00152300" w:rsidRPr="00D06248" w:rsidRDefault="00152300" w:rsidP="00152300">
      <w:pPr>
        <w:pStyle w:val="Textoindependiente"/>
        <w:spacing w:line="360" w:lineRule="auto"/>
        <w:rPr>
          <w:rFonts w:ascii="Arial" w:hAnsi="Arial"/>
          <w:szCs w:val="24"/>
          <w:lang w:val="es-CO"/>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w:t>
      </w:r>
      <w:r w:rsidR="00F02C33">
        <w:rPr>
          <w:rFonts w:ascii="Arial" w:hAnsi="Arial" w:cs="Arial"/>
        </w:rPr>
        <w:t>tramitó</w:t>
      </w:r>
      <w:r w:rsidR="00152300">
        <w:rPr>
          <w:rFonts w:ascii="Arial" w:hAnsi="Arial" w:cs="Arial"/>
        </w:rPr>
        <w:t xml:space="preserve"> en el Juzgado </w:t>
      </w:r>
      <w:r>
        <w:rPr>
          <w:rFonts w:ascii="Arial" w:hAnsi="Arial" w:cs="Arial"/>
        </w:rPr>
        <w:t>accionado</w:t>
      </w:r>
      <w:r w:rsidR="004D7919">
        <w:rPr>
          <w:rFonts w:ascii="Arial" w:hAnsi="Arial" w:cs="Arial"/>
        </w:rPr>
        <w:t xml:space="preserve">, </w:t>
      </w:r>
      <w:r w:rsidR="0043570B">
        <w:rPr>
          <w:rFonts w:ascii="Arial" w:hAnsi="Arial" w:cs="Arial"/>
        </w:rPr>
        <w:t>acción popular radicada al No.</w:t>
      </w:r>
      <w:r w:rsidR="002E0044">
        <w:rPr>
          <w:rFonts w:ascii="Arial" w:hAnsi="Arial" w:cs="Arial"/>
        </w:rPr>
        <w:t>2015-</w:t>
      </w:r>
      <w:r w:rsidR="00D06248">
        <w:rPr>
          <w:rFonts w:ascii="Arial" w:hAnsi="Arial" w:cs="Arial"/>
        </w:rPr>
        <w:t>00190</w:t>
      </w:r>
      <w:r w:rsidR="002E0044">
        <w:rPr>
          <w:rFonts w:ascii="Arial" w:hAnsi="Arial" w:cs="Arial"/>
        </w:rPr>
        <w:t>-00</w:t>
      </w:r>
      <w:r w:rsidR="00152300">
        <w:rPr>
          <w:rFonts w:ascii="Arial" w:hAnsi="Arial" w:cs="Arial"/>
        </w:rPr>
        <w:t xml:space="preserve">, </w:t>
      </w:r>
      <w:r w:rsidR="0061171C">
        <w:rPr>
          <w:rFonts w:ascii="Arial" w:hAnsi="Arial" w:cs="Arial"/>
        </w:rPr>
        <w:t xml:space="preserve">donde </w:t>
      </w:r>
      <w:r w:rsidR="002E0044">
        <w:rPr>
          <w:rFonts w:ascii="Arial" w:hAnsi="Arial" w:cs="Arial"/>
        </w:rPr>
        <w:t>se dictó sentencia</w:t>
      </w:r>
      <w:r w:rsidR="00F02C33">
        <w:rPr>
          <w:rFonts w:ascii="Arial" w:hAnsi="Arial" w:cs="Arial"/>
        </w:rPr>
        <w:t>,</w:t>
      </w:r>
      <w:r w:rsidR="002E0044">
        <w:rPr>
          <w:rFonts w:ascii="Arial" w:hAnsi="Arial" w:cs="Arial"/>
        </w:rPr>
        <w:t xml:space="preserve"> </w:t>
      </w:r>
      <w:r w:rsidR="00F02C33">
        <w:rPr>
          <w:rFonts w:ascii="Arial" w:hAnsi="Arial" w:cs="Arial"/>
        </w:rPr>
        <w:t>que fue apelada,</w:t>
      </w:r>
      <w:r w:rsidR="002E0044">
        <w:rPr>
          <w:rFonts w:ascii="Arial" w:hAnsi="Arial" w:cs="Arial"/>
        </w:rPr>
        <w:t xml:space="preserve"> pero le fue negada por no pagar las copias exigidas, dice que ello contraviene la Ley 472</w:t>
      </w:r>
      <w:r w:rsidR="00152300">
        <w:rPr>
          <w:rFonts w:ascii="Arial" w:hAnsi="Arial" w:cs="Arial"/>
        </w:rPr>
        <w:t xml:space="preserve">. Refirió </w:t>
      </w:r>
      <w:r w:rsidR="002E0044">
        <w:rPr>
          <w:rFonts w:ascii="Arial" w:hAnsi="Arial" w:cs="Arial"/>
        </w:rPr>
        <w:t>que en otros despachos judiciales le conceden la alzada sin exigir copias</w:t>
      </w:r>
      <w:r w:rsidR="00152300">
        <w:rPr>
          <w:rFonts w:ascii="Arial" w:hAnsi="Arial" w:cs="Arial"/>
        </w:rPr>
        <w:t xml:space="preserve"> </w:t>
      </w:r>
      <w:r w:rsidR="00152300" w:rsidRPr="00AF753A">
        <w:rPr>
          <w:rFonts w:ascii="Arial" w:hAnsi="Arial" w:cs="Arial"/>
        </w:rPr>
        <w:t>(Folio</w:t>
      </w:r>
      <w:r w:rsidR="00152300">
        <w:rPr>
          <w:rFonts w:ascii="Arial" w:hAnsi="Arial" w:cs="Arial"/>
        </w:rPr>
        <w:t xml:space="preserve"> </w:t>
      </w:r>
      <w:r w:rsidR="00C11C8D">
        <w:rPr>
          <w:rFonts w:ascii="Arial" w:hAnsi="Arial" w:cs="Arial"/>
        </w:rPr>
        <w:t>1</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w:t>
      </w:r>
      <w:r w:rsidR="00235C5D" w:rsidRPr="00AF753A">
        <w:rPr>
          <w:rFonts w:ascii="Arial" w:hAnsi="Arial" w:cs="Arial"/>
        </w:rPr>
        <w:t>(Folio</w:t>
      </w:r>
      <w:r w:rsidR="00235C5D">
        <w:rPr>
          <w:rFonts w:ascii="Arial" w:hAnsi="Arial" w:cs="Arial"/>
        </w:rPr>
        <w:t xml:space="preserve"> 1</w:t>
      </w:r>
      <w:r w:rsidR="00235C5D" w:rsidRPr="00AF753A">
        <w:rPr>
          <w:rFonts w:ascii="Arial" w:hAnsi="Arial" w:cs="Arial"/>
        </w:rPr>
        <w:t xml:space="preserve"> </w:t>
      </w:r>
      <w:r w:rsidR="00235C5D">
        <w:rPr>
          <w:rFonts w:ascii="Arial" w:hAnsi="Arial" w:cs="Arial"/>
        </w:rPr>
        <w:t>de este cuaderno)</w:t>
      </w:r>
      <w:r w:rsidR="00235C5D" w:rsidRPr="00AF753A">
        <w:rPr>
          <w:rFonts w:ascii="Arial" w:hAnsi="Arial" w:cs="Arial"/>
        </w:rPr>
        <w:t>.</w:t>
      </w:r>
    </w:p>
    <w:p w:rsidR="00F02C33" w:rsidRDefault="00F02C3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2840F1" w:rsidRPr="002840F1">
        <w:rPr>
          <w:rFonts w:ascii="Arial" w:hAnsi="Arial" w:cs="Arial"/>
          <w:i/>
          <w:sz w:val="22"/>
          <w:szCs w:val="24"/>
        </w:rPr>
        <w:t xml:space="preserve">“(…) </w:t>
      </w:r>
      <w:r w:rsidR="002840F1" w:rsidRPr="002840F1">
        <w:rPr>
          <w:rFonts w:ascii="Arial" w:hAnsi="Arial" w:cs="Arial"/>
          <w:i/>
          <w:sz w:val="18"/>
          <w:szCs w:val="24"/>
        </w:rPr>
        <w:t>DAR NULIDAD DE LA SENTENCIA A FIN DE VINCULAR AL PROPIETARIO DEL INMUEBLE DONDE OPOERA LA ENTIDAD ACCIONADA Y APLICAR EL CPC EN VEZ DEL CGP</w:t>
      </w:r>
      <w:r w:rsidR="002840F1" w:rsidRPr="002840F1">
        <w:rPr>
          <w:rFonts w:ascii="Arial" w:hAnsi="Arial" w:cs="Arial"/>
          <w:i/>
          <w:sz w:val="22"/>
          <w:szCs w:val="24"/>
        </w:rPr>
        <w:t>, y nulidad por desconocimiento art 21 ley 472 de 1998 (…)”</w:t>
      </w:r>
      <w:r w:rsidR="002840F1">
        <w:rPr>
          <w:rFonts w:ascii="Arial" w:hAnsi="Arial" w:cs="Arial"/>
          <w:i/>
          <w:sz w:val="22"/>
          <w:szCs w:val="24"/>
        </w:rPr>
        <w:t xml:space="preserve"> </w:t>
      </w:r>
      <w:r w:rsidR="002E0044">
        <w:rPr>
          <w:rFonts w:ascii="Arial" w:hAnsi="Arial" w:cs="Arial"/>
          <w:szCs w:val="24"/>
        </w:rPr>
        <w:t xml:space="preserve">en la </w:t>
      </w:r>
      <w:r w:rsidR="00CD73B4">
        <w:rPr>
          <w:rFonts w:ascii="Arial" w:hAnsi="Arial" w:cs="Arial"/>
          <w:szCs w:val="24"/>
        </w:rPr>
        <w:t>acci</w:t>
      </w:r>
      <w:r w:rsidR="004D7919">
        <w:rPr>
          <w:rFonts w:ascii="Arial" w:hAnsi="Arial" w:cs="Arial"/>
          <w:szCs w:val="24"/>
        </w:rPr>
        <w:t>ón</w:t>
      </w:r>
      <w:r w:rsidR="00CD73B4">
        <w:rPr>
          <w:rFonts w:ascii="Arial" w:hAnsi="Arial" w:cs="Arial"/>
          <w:szCs w:val="24"/>
        </w:rPr>
        <w:t xml:space="preserve"> popular</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2840F1">
        <w:rPr>
          <w:rFonts w:ascii="Arial" w:hAnsi="Arial" w:cs="Arial"/>
          <w:szCs w:val="24"/>
        </w:rPr>
        <w:t xml:space="preserve">; </w:t>
      </w:r>
      <w:r w:rsidR="00CD73B4">
        <w:rPr>
          <w:rFonts w:ascii="Arial" w:hAnsi="Arial" w:cs="Arial"/>
          <w:szCs w:val="24"/>
        </w:rPr>
        <w:t>y</w:t>
      </w:r>
      <w:r w:rsidR="002840F1">
        <w:rPr>
          <w:rFonts w:ascii="Arial" w:hAnsi="Arial" w:cs="Arial"/>
          <w:szCs w:val="24"/>
        </w:rPr>
        <w:t>, (iv) Se trámite el amparo contra la Defensoría del Pueblo, Regional Caldas</w:t>
      </w:r>
      <w:r w:rsidR="00CD73B4">
        <w:rPr>
          <w:rFonts w:ascii="Arial" w:hAnsi="Arial" w:cs="Arial"/>
          <w:szCs w:val="24"/>
        </w:rPr>
        <w:t xml:space="preserve"> </w:t>
      </w:r>
      <w:r w:rsidR="00235C5D" w:rsidRPr="00AF753A">
        <w:rPr>
          <w:rFonts w:ascii="Arial" w:hAnsi="Arial" w:cs="Arial"/>
        </w:rPr>
        <w:t>(Folio</w:t>
      </w:r>
      <w:r w:rsidR="00235C5D">
        <w:rPr>
          <w:rFonts w:ascii="Arial" w:hAnsi="Arial" w:cs="Arial"/>
        </w:rPr>
        <w:t xml:space="preserve"> 1</w:t>
      </w:r>
      <w:r w:rsidR="00235C5D" w:rsidRPr="00AF753A">
        <w:rPr>
          <w:rFonts w:ascii="Arial" w:hAnsi="Arial" w:cs="Arial"/>
        </w:rPr>
        <w:t xml:space="preserve"> </w:t>
      </w:r>
      <w:r w:rsidR="00235C5D">
        <w:rPr>
          <w:rFonts w:ascii="Arial" w:hAnsi="Arial" w:cs="Arial"/>
        </w:rPr>
        <w:t>de este cuaderno)</w:t>
      </w:r>
      <w:r w:rsidR="00235C5D" w:rsidRPr="00AF753A">
        <w:rPr>
          <w:rFonts w:ascii="Arial" w:hAnsi="Arial" w:cs="Arial"/>
        </w:rPr>
        <w:t>.</w:t>
      </w: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35C5D" w:rsidRPr="00C175A2" w:rsidRDefault="00235C5D" w:rsidP="00235C5D">
      <w:pPr>
        <w:spacing w:line="360" w:lineRule="auto"/>
        <w:jc w:val="both"/>
        <w:rPr>
          <w:rFonts w:ascii="Arial" w:hAnsi="Arial" w:cs="Arial"/>
          <w:spacing w:val="3"/>
        </w:rPr>
      </w:pPr>
      <w:r w:rsidRPr="00B74361">
        <w:rPr>
          <w:rFonts w:ascii="Arial" w:hAnsi="Arial"/>
        </w:rPr>
        <w:t xml:space="preserve">En reparto ordinario del día </w:t>
      </w:r>
      <w:r w:rsidR="002840F1">
        <w:rPr>
          <w:rFonts w:ascii="Arial" w:hAnsi="Arial"/>
        </w:rPr>
        <w:t>02-09</w:t>
      </w:r>
      <w:r w:rsidR="00EF10BF">
        <w:rPr>
          <w:rFonts w:ascii="Arial" w:hAnsi="Arial"/>
        </w:rPr>
        <w:t xml:space="preserve">-2016 fue asignada </w:t>
      </w:r>
      <w:r w:rsidR="00EF10BF" w:rsidRPr="00D55E5A">
        <w:rPr>
          <w:rFonts w:ascii="Arial" w:hAnsi="Arial"/>
        </w:rPr>
        <w:t>a este Despacho,</w:t>
      </w:r>
      <w:r>
        <w:rPr>
          <w:rFonts w:ascii="Arial" w:hAnsi="Arial"/>
        </w:rPr>
        <w:t xml:space="preserve"> </w:t>
      </w:r>
      <w:r w:rsidRPr="00B74361">
        <w:rPr>
          <w:rFonts w:ascii="Arial" w:hAnsi="Arial"/>
        </w:rPr>
        <w:t>con providencia</w:t>
      </w:r>
      <w:r w:rsidRPr="008E5A62">
        <w:rPr>
          <w:rFonts w:ascii="Arial" w:hAnsi="Arial"/>
        </w:rPr>
        <w:t xml:space="preserve"> </w:t>
      </w:r>
      <w:r w:rsidR="00D06248">
        <w:rPr>
          <w:rFonts w:ascii="Arial" w:hAnsi="Arial"/>
        </w:rPr>
        <w:t>del día hábil siguiente</w:t>
      </w:r>
      <w:r w:rsidRPr="008E5A62">
        <w:rPr>
          <w:rFonts w:ascii="Arial" w:hAnsi="Arial"/>
        </w:rPr>
        <w:t xml:space="preserve">, se </w:t>
      </w:r>
      <w:r w:rsidR="00EF10BF">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Pr="00D55E5A">
        <w:rPr>
          <w:rFonts w:ascii="Arial" w:hAnsi="Arial"/>
        </w:rPr>
        <w:t xml:space="preserve"> (Folio</w:t>
      </w:r>
      <w:r>
        <w:rPr>
          <w:rFonts w:ascii="Arial" w:hAnsi="Arial"/>
        </w:rPr>
        <w:t>s</w:t>
      </w:r>
      <w:r w:rsidRPr="00D55E5A">
        <w:rPr>
          <w:rFonts w:ascii="Arial" w:hAnsi="Arial"/>
        </w:rPr>
        <w:t xml:space="preserve"> </w:t>
      </w:r>
      <w:r w:rsidR="00D06248">
        <w:rPr>
          <w:rFonts w:ascii="Arial" w:hAnsi="Arial"/>
        </w:rPr>
        <w:t>4 y 5</w:t>
      </w:r>
      <w:r>
        <w:rPr>
          <w:rFonts w:ascii="Arial" w:hAnsi="Arial"/>
        </w:rPr>
        <w:t>, ibídem</w:t>
      </w:r>
      <w:r w:rsidRPr="00D55E5A">
        <w:rPr>
          <w:rFonts w:ascii="Arial" w:hAnsi="Arial"/>
        </w:rPr>
        <w:t xml:space="preserve">). Fueron </w:t>
      </w:r>
      <w:r>
        <w:rPr>
          <w:rFonts w:ascii="Arial" w:hAnsi="Arial"/>
        </w:rPr>
        <w:lastRenderedPageBreak/>
        <w:t xml:space="preserve">debidamente </w:t>
      </w:r>
      <w:r w:rsidRPr="00D55E5A">
        <w:rPr>
          <w:rFonts w:ascii="Arial" w:hAnsi="Arial"/>
        </w:rPr>
        <w:t>notificados l</w:t>
      </w:r>
      <w:r w:rsidR="00D06248">
        <w:rPr>
          <w:rFonts w:ascii="Arial" w:hAnsi="Arial"/>
        </w:rPr>
        <w:t>os extremos de la acción (Folio</w:t>
      </w:r>
      <w:r w:rsidRPr="00D55E5A">
        <w:rPr>
          <w:rFonts w:ascii="Arial" w:hAnsi="Arial"/>
        </w:rPr>
        <w:t xml:space="preserve"> </w:t>
      </w:r>
      <w:r w:rsidR="00D06248">
        <w:rPr>
          <w:rFonts w:ascii="Arial" w:hAnsi="Arial"/>
        </w:rPr>
        <w:t>6</w:t>
      </w:r>
      <w:r w:rsidRPr="00D55E5A">
        <w:rPr>
          <w:rFonts w:ascii="Arial" w:hAnsi="Arial"/>
        </w:rPr>
        <w:t xml:space="preserve">, </w:t>
      </w:r>
      <w:r>
        <w:rPr>
          <w:rFonts w:ascii="Arial" w:hAnsi="Arial"/>
        </w:rPr>
        <w:t>ibídem</w:t>
      </w:r>
      <w:r w:rsidRPr="00D55E5A">
        <w:rPr>
          <w:rFonts w:ascii="Arial" w:hAnsi="Arial"/>
        </w:rPr>
        <w:t xml:space="preserve">). </w:t>
      </w:r>
      <w:r w:rsidRPr="008E5A62">
        <w:rPr>
          <w:rFonts w:ascii="Arial" w:hAnsi="Arial"/>
        </w:rPr>
        <w:t xml:space="preserve">Contestaron </w:t>
      </w:r>
      <w:r w:rsidR="00D06248">
        <w:rPr>
          <w:rFonts w:ascii="Arial" w:hAnsi="Arial" w:cs="Arial"/>
          <w:spacing w:val="3"/>
        </w:rPr>
        <w:t>la Procuraduría General de la Nación, Regional Risaralda (Folio</w:t>
      </w:r>
      <w:r w:rsidR="004F376B">
        <w:rPr>
          <w:rFonts w:ascii="Arial" w:hAnsi="Arial" w:cs="Arial"/>
          <w:spacing w:val="3"/>
        </w:rPr>
        <w:t xml:space="preserve"> </w:t>
      </w:r>
      <w:r w:rsidR="00DA06DE">
        <w:rPr>
          <w:rFonts w:ascii="Arial" w:hAnsi="Arial" w:cs="Arial"/>
          <w:spacing w:val="3"/>
        </w:rPr>
        <w:t>52</w:t>
      </w:r>
      <w:r w:rsidR="0061171C">
        <w:rPr>
          <w:rFonts w:ascii="Arial" w:hAnsi="Arial" w:cs="Arial"/>
          <w:spacing w:val="3"/>
        </w:rPr>
        <w:t xml:space="preserve">, </w:t>
      </w:r>
      <w:r w:rsidR="006B77A1">
        <w:rPr>
          <w:rFonts w:ascii="Arial" w:hAnsi="Arial" w:cs="Arial"/>
          <w:spacing w:val="3"/>
        </w:rPr>
        <w:t>ibídem</w:t>
      </w:r>
      <w:r w:rsidR="0061171C">
        <w:rPr>
          <w:rFonts w:ascii="Arial" w:hAnsi="Arial" w:cs="Arial"/>
          <w:spacing w:val="3"/>
        </w:rPr>
        <w:t>.)</w:t>
      </w:r>
      <w:r w:rsidR="00DA06DE">
        <w:rPr>
          <w:rFonts w:ascii="Arial" w:hAnsi="Arial" w:cs="Arial"/>
          <w:spacing w:val="3"/>
        </w:rPr>
        <w:t xml:space="preserve">, </w:t>
      </w:r>
      <w:r w:rsidR="00DA06DE" w:rsidRPr="00E859EA">
        <w:rPr>
          <w:rFonts w:ascii="Arial" w:hAnsi="Arial" w:cs="Arial"/>
          <w:spacing w:val="3"/>
        </w:rPr>
        <w:t xml:space="preserve">la </w:t>
      </w:r>
      <w:r w:rsidR="00DA06DE">
        <w:rPr>
          <w:rFonts w:ascii="Arial" w:hAnsi="Arial" w:cs="Arial"/>
          <w:spacing w:val="3"/>
        </w:rPr>
        <w:t xml:space="preserve">Alcaldía de Pereira (Folios 56 a 58, </w:t>
      </w:r>
      <w:r w:rsidR="006B77A1">
        <w:rPr>
          <w:rFonts w:ascii="Arial" w:hAnsi="Arial" w:cs="Arial"/>
          <w:spacing w:val="3"/>
        </w:rPr>
        <w:t>ib.</w:t>
      </w:r>
      <w:r w:rsidR="00DA06DE">
        <w:rPr>
          <w:rFonts w:ascii="Arial" w:hAnsi="Arial" w:cs="Arial"/>
          <w:spacing w:val="3"/>
        </w:rPr>
        <w:t xml:space="preserve">), la Defensoría del Pueblo, Regional </w:t>
      </w:r>
      <w:r w:rsidR="006B77A1">
        <w:rPr>
          <w:rFonts w:ascii="Arial" w:hAnsi="Arial" w:cs="Arial"/>
          <w:spacing w:val="3"/>
        </w:rPr>
        <w:t xml:space="preserve">Caldas (Folios 67 a 83, ib.) y la </w:t>
      </w:r>
      <w:r w:rsidR="006B77A1" w:rsidRPr="006B77A1">
        <w:rPr>
          <w:rFonts w:ascii="Arial" w:hAnsi="Arial" w:cs="Arial"/>
          <w:spacing w:val="3"/>
          <w:sz w:val="22"/>
        </w:rPr>
        <w:t xml:space="preserve">EPS SURA </w:t>
      </w:r>
      <w:r w:rsidR="006B77A1">
        <w:rPr>
          <w:rFonts w:ascii="Arial" w:hAnsi="Arial" w:cs="Arial"/>
          <w:spacing w:val="3"/>
        </w:rPr>
        <w:t>(Folios 85 a 86, ib.)</w:t>
      </w:r>
      <w:r>
        <w:rPr>
          <w:rFonts w:ascii="Arial" w:hAnsi="Arial" w:cs="Arial"/>
          <w:spacing w:val="3"/>
        </w:rPr>
        <w:t xml:space="preserve">; </w:t>
      </w:r>
      <w:r w:rsidR="000A7C0B">
        <w:rPr>
          <w:rFonts w:ascii="Arial" w:hAnsi="Arial" w:cs="Arial"/>
          <w:spacing w:val="3"/>
        </w:rPr>
        <w:t xml:space="preserve">el </w:t>
      </w:r>
      <w:r w:rsidR="006064E0">
        <w:rPr>
          <w:rFonts w:ascii="Arial" w:hAnsi="Arial" w:cs="Arial"/>
          <w:spacing w:val="3"/>
        </w:rPr>
        <w:t xml:space="preserve">accionado </w:t>
      </w:r>
      <w:r>
        <w:rPr>
          <w:rFonts w:ascii="Arial" w:hAnsi="Arial" w:cs="Arial"/>
          <w:spacing w:val="3"/>
        </w:rPr>
        <w:t xml:space="preserve">arrimó las copias requeridas (Folios </w:t>
      </w:r>
      <w:r w:rsidR="006B77A1">
        <w:rPr>
          <w:rFonts w:ascii="Arial" w:hAnsi="Arial" w:cs="Arial"/>
          <w:spacing w:val="3"/>
        </w:rPr>
        <w:t>9 a 51</w:t>
      </w:r>
      <w:r w:rsidR="006064E0">
        <w:rPr>
          <w:rFonts w:ascii="Arial" w:hAnsi="Arial" w:cs="Arial"/>
          <w:spacing w:val="3"/>
        </w:rPr>
        <w:t>,</w:t>
      </w:r>
      <w:r>
        <w:rPr>
          <w:rFonts w:ascii="Arial" w:hAnsi="Arial" w:cs="Arial"/>
          <w:spacing w:val="3"/>
        </w:rPr>
        <w:t xml:space="preserve"> ib.).</w:t>
      </w:r>
    </w:p>
    <w:p w:rsidR="00B41B3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7D7C78" w:rsidRPr="008A11CE" w:rsidRDefault="007D7C78" w:rsidP="007D7C78">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7D7C78" w:rsidRPr="00706066" w:rsidRDefault="007D7C78" w:rsidP="007D7C78">
      <w:pPr>
        <w:spacing w:line="360" w:lineRule="auto"/>
        <w:jc w:val="both"/>
        <w:rPr>
          <w:rFonts w:ascii="Arial" w:hAnsi="Arial"/>
        </w:rPr>
      </w:pPr>
    </w:p>
    <w:p w:rsidR="006B77A1" w:rsidRDefault="007D7C78" w:rsidP="007D7C78">
      <w:pPr>
        <w:spacing w:line="360" w:lineRule="auto"/>
        <w:jc w:val="both"/>
        <w:rPr>
          <w:rFonts w:ascii="Arial" w:hAnsi="Arial"/>
        </w:rPr>
      </w:pPr>
      <w:r>
        <w:rPr>
          <w:rFonts w:ascii="Arial" w:hAnsi="Arial"/>
        </w:rPr>
        <w:t xml:space="preserve">Refirió su papel en las acciones populares; adujo que la situación alegada, es ajena a su función, por lo que solicitó su desvinculación </w:t>
      </w:r>
      <w:r>
        <w:rPr>
          <w:rFonts w:ascii="Arial" w:hAnsi="Arial" w:cs="Arial"/>
          <w:spacing w:val="3"/>
        </w:rPr>
        <w:t xml:space="preserve">(Folio </w:t>
      </w:r>
      <w:r w:rsidR="006B77A1">
        <w:rPr>
          <w:rFonts w:ascii="Arial" w:hAnsi="Arial" w:cs="Arial"/>
          <w:spacing w:val="3"/>
        </w:rPr>
        <w:t>52</w:t>
      </w:r>
      <w:r>
        <w:rPr>
          <w:rFonts w:ascii="Arial" w:hAnsi="Arial" w:cs="Arial"/>
          <w:spacing w:val="3"/>
        </w:rPr>
        <w:t>, ib.)</w:t>
      </w:r>
      <w:r>
        <w:rPr>
          <w:rFonts w:ascii="Arial" w:hAnsi="Arial"/>
        </w:rPr>
        <w:t>.</w:t>
      </w:r>
    </w:p>
    <w:p w:rsidR="006B77A1" w:rsidRDefault="006B77A1" w:rsidP="007D7C78">
      <w:pPr>
        <w:spacing w:line="360" w:lineRule="auto"/>
        <w:jc w:val="both"/>
        <w:rPr>
          <w:rFonts w:ascii="Arial" w:hAnsi="Arial"/>
        </w:rPr>
      </w:pPr>
    </w:p>
    <w:p w:rsidR="006B77A1" w:rsidRDefault="006B77A1" w:rsidP="006B77A1">
      <w:pPr>
        <w:pStyle w:val="Prrafodelista"/>
        <w:numPr>
          <w:ilvl w:val="1"/>
          <w:numId w:val="18"/>
        </w:numPr>
        <w:spacing w:line="360" w:lineRule="auto"/>
        <w:jc w:val="both"/>
        <w:rPr>
          <w:rFonts w:ascii="Arial" w:hAnsi="Arial"/>
        </w:rPr>
      </w:pPr>
      <w:r w:rsidRPr="006064E0">
        <w:rPr>
          <w:rFonts w:ascii="Arial" w:hAnsi="Arial"/>
        </w:rPr>
        <w:t>Alcaldía de Pereira</w:t>
      </w:r>
    </w:p>
    <w:p w:rsidR="006B77A1" w:rsidRPr="006064E0" w:rsidRDefault="006B77A1" w:rsidP="006B77A1">
      <w:pPr>
        <w:pStyle w:val="Prrafodelista"/>
        <w:spacing w:line="360" w:lineRule="auto"/>
        <w:ind w:left="720"/>
        <w:jc w:val="both"/>
        <w:rPr>
          <w:rFonts w:ascii="Arial" w:hAnsi="Arial"/>
        </w:rPr>
      </w:pPr>
    </w:p>
    <w:p w:rsidR="006B77A1" w:rsidRDefault="006B77A1" w:rsidP="006B77A1">
      <w:pPr>
        <w:spacing w:line="360" w:lineRule="auto"/>
        <w:jc w:val="both"/>
        <w:rPr>
          <w:rFonts w:ascii="Arial" w:hAnsi="Arial"/>
        </w:rPr>
      </w:pPr>
      <w:r>
        <w:rPr>
          <w:rFonts w:ascii="Arial" w:hAnsi="Arial"/>
        </w:rPr>
        <w:t>Consideró que no está legitimada en el extremo pasivo de esta acción, porque la presunta vulneración le es solo atribuible al accionado; y, en esas condiciones solicitó ser desvinculada. Agregó que debe condenarse en costas al actor por el obstinado abuso de los mecanismos constitucionales (Folios 56 a 58, ib.).</w:t>
      </w:r>
    </w:p>
    <w:p w:rsidR="006B77A1" w:rsidRDefault="006B77A1" w:rsidP="007D7C78">
      <w:pPr>
        <w:spacing w:line="360" w:lineRule="auto"/>
        <w:jc w:val="both"/>
        <w:rPr>
          <w:rFonts w:ascii="Arial" w:hAnsi="Arial"/>
        </w:rPr>
      </w:pPr>
    </w:p>
    <w:p w:rsidR="006B77A1" w:rsidRDefault="006B77A1" w:rsidP="006B77A1">
      <w:pPr>
        <w:pStyle w:val="Prrafodelista"/>
        <w:numPr>
          <w:ilvl w:val="1"/>
          <w:numId w:val="18"/>
        </w:numPr>
        <w:spacing w:line="360" w:lineRule="auto"/>
        <w:jc w:val="both"/>
        <w:rPr>
          <w:rFonts w:ascii="Arial" w:hAnsi="Arial"/>
        </w:rPr>
      </w:pPr>
      <w:r>
        <w:rPr>
          <w:rFonts w:ascii="Arial" w:hAnsi="Arial"/>
        </w:rPr>
        <w:t>La Defensoría del Pueblo, Regional Caldas</w:t>
      </w:r>
    </w:p>
    <w:p w:rsidR="006B77A1" w:rsidRDefault="006B77A1" w:rsidP="006B77A1">
      <w:pPr>
        <w:spacing w:line="360" w:lineRule="auto"/>
        <w:jc w:val="both"/>
        <w:rPr>
          <w:rFonts w:ascii="Arial" w:hAnsi="Arial"/>
        </w:rPr>
      </w:pPr>
    </w:p>
    <w:p w:rsidR="006B77A1" w:rsidRPr="00B81FDA" w:rsidRDefault="006B77A1" w:rsidP="006B77A1">
      <w:pPr>
        <w:spacing w:line="360" w:lineRule="auto"/>
        <w:jc w:val="both"/>
        <w:rPr>
          <w:rFonts w:ascii="Arial" w:hAnsi="Arial"/>
        </w:rPr>
      </w:pPr>
      <w:r>
        <w:rPr>
          <w:rFonts w:ascii="Arial" w:hAnsi="Arial"/>
        </w:rPr>
        <w:t>Manifestó que desde el año 2014 designó un defensor público para que brindara asesoría al actor e hizo un recuento de las actuaciones adelantadas y de las distintas solicitudes presentadas, para concluir el abuso que el actor hace de las acciones constitucionales. Asimismo, consideró que el accionante actúa con temeridad y mala fe porque con el amparo pretende el reconocimiento de intereses económicos, por lo que solicitó declarar improcedente el amparo y sancionar al accionante (Folios 67 a 83, ib.).</w:t>
      </w:r>
    </w:p>
    <w:p w:rsidR="006B77A1" w:rsidRPr="006B77A1" w:rsidRDefault="006B77A1" w:rsidP="006B77A1">
      <w:pPr>
        <w:pStyle w:val="Prrafodelista"/>
        <w:numPr>
          <w:ilvl w:val="1"/>
          <w:numId w:val="18"/>
        </w:numPr>
        <w:spacing w:line="360" w:lineRule="auto"/>
        <w:jc w:val="both"/>
        <w:rPr>
          <w:rFonts w:ascii="Arial" w:hAnsi="Arial"/>
        </w:rPr>
      </w:pPr>
      <w:r>
        <w:rPr>
          <w:rFonts w:ascii="Arial" w:hAnsi="Arial"/>
        </w:rPr>
        <w:t xml:space="preserve">La </w:t>
      </w:r>
      <w:r w:rsidRPr="006B77A1">
        <w:rPr>
          <w:rFonts w:ascii="Arial" w:hAnsi="Arial"/>
          <w:sz w:val="22"/>
        </w:rPr>
        <w:t>EPS SURA</w:t>
      </w:r>
    </w:p>
    <w:p w:rsidR="009F249A" w:rsidRDefault="009F249A" w:rsidP="006F4450">
      <w:pPr>
        <w:spacing w:line="360" w:lineRule="auto"/>
        <w:jc w:val="both"/>
        <w:rPr>
          <w:rFonts w:ascii="Arial" w:hAnsi="Arial"/>
          <w:sz w:val="22"/>
          <w:highlight w:val="yellow"/>
        </w:rPr>
      </w:pPr>
    </w:p>
    <w:p w:rsidR="006B77A1" w:rsidRPr="006B77A1" w:rsidRDefault="006B77A1" w:rsidP="006F4450">
      <w:pPr>
        <w:spacing w:line="360" w:lineRule="auto"/>
        <w:jc w:val="both"/>
        <w:rPr>
          <w:rFonts w:ascii="Arial" w:hAnsi="Arial"/>
        </w:rPr>
      </w:pPr>
      <w:r w:rsidRPr="006B77A1">
        <w:rPr>
          <w:rFonts w:ascii="Arial" w:hAnsi="Arial"/>
        </w:rPr>
        <w:t>Arguyó que carece de legitimación en la causa por pasiva porque no realizó conducta alguna generadora de violación de los derechos fundamentales del accionante, asimismo, adujo que el amparo es improcedente por insistencia de vulneración (Folios 85 y 86, ib.).</w:t>
      </w:r>
    </w:p>
    <w:p w:rsidR="006B77A1" w:rsidRPr="00F440D9" w:rsidRDefault="006B77A1" w:rsidP="006F4450">
      <w:pPr>
        <w:spacing w:line="360" w:lineRule="auto"/>
        <w:jc w:val="both"/>
        <w:rPr>
          <w:rFonts w:ascii="Arial" w:hAnsi="Arial"/>
          <w:sz w:val="22"/>
          <w:highlight w:val="yellow"/>
        </w:rPr>
      </w:pPr>
      <w:r>
        <w:rPr>
          <w:rFonts w:ascii="Arial" w:hAnsi="Arial"/>
          <w:sz w:val="22"/>
          <w:highlight w:val="yellow"/>
        </w:rPr>
        <w:t xml:space="preserve"> </w:t>
      </w: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5B76B2">
        <w:rPr>
          <w:rFonts w:ascii="Arial" w:hAnsi="Arial" w:cs="Arial"/>
          <w:sz w:val="24"/>
          <w:szCs w:val="24"/>
        </w:rPr>
        <w:t xml:space="preserve">Cuarto Civil del </w:t>
      </w:r>
      <w:r>
        <w:rPr>
          <w:rFonts w:ascii="Arial" w:hAnsi="Arial" w:cs="Arial"/>
          <w:sz w:val="24"/>
          <w:szCs w:val="24"/>
        </w:rPr>
        <w:t xml:space="preserve">Circuito </w:t>
      </w:r>
      <w:r w:rsidR="005B76B2">
        <w:rPr>
          <w:rFonts w:ascii="Arial" w:hAnsi="Arial" w:cs="Arial"/>
          <w:sz w:val="24"/>
          <w:szCs w:val="24"/>
        </w:rPr>
        <w:t xml:space="preserve">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w:t>
      </w:r>
    </w:p>
    <w:p w:rsidR="00D8627D" w:rsidRPr="00F440D9" w:rsidRDefault="00D8627D" w:rsidP="00CF429F">
      <w:pPr>
        <w:pStyle w:val="Sangra2detindependiente"/>
        <w:spacing w:after="0" w:line="360" w:lineRule="auto"/>
        <w:ind w:left="0"/>
        <w:jc w:val="both"/>
        <w:rPr>
          <w:rFonts w:ascii="Arial" w:hAnsi="Arial" w:cs="Arial"/>
          <w:sz w:val="22"/>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F440D9" w:rsidRDefault="00CF429F" w:rsidP="00CF429F">
      <w:pPr>
        <w:pStyle w:val="Textoindependiente"/>
        <w:spacing w:line="360" w:lineRule="auto"/>
        <w:rPr>
          <w:rFonts w:ascii="Arial" w:hAnsi="Arial" w:cs="Arial"/>
          <w:sz w:val="22"/>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9F249A">
        <w:rPr>
          <w:rFonts w:ascii="Arial" w:hAnsi="Arial" w:cs="Arial"/>
          <w:szCs w:val="24"/>
        </w:rPr>
        <w:t xml:space="preserve">el </w:t>
      </w:r>
      <w:r w:rsidR="001A4C76">
        <w:rPr>
          <w:rFonts w:ascii="Arial" w:hAnsi="Arial" w:cs="Arial"/>
          <w:szCs w:val="24"/>
        </w:rPr>
        <w:t>proceso judicial</w:t>
      </w:r>
      <w:r w:rsidR="00FE2788">
        <w:rPr>
          <w:rFonts w:ascii="Arial" w:hAnsi="Arial" w:cs="Arial"/>
          <w:szCs w:val="24"/>
        </w:rPr>
        <w:t xml:space="preserve">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5B76B2">
        <w:rPr>
          <w:rFonts w:ascii="Arial" w:hAnsi="Arial" w:cs="Arial"/>
          <w:szCs w:val="24"/>
        </w:rPr>
        <w:t>Cuarto Civil del Circuito de Pereira</w:t>
      </w:r>
      <w:r w:rsidR="00D8627D">
        <w:rPr>
          <w:rFonts w:ascii="Arial" w:hAnsi="Arial" w:cs="Arial"/>
          <w:szCs w:val="24"/>
        </w:rPr>
        <w:t xml:space="preserve">,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9F249A">
        <w:rPr>
          <w:rFonts w:ascii="Arial" w:hAnsi="Arial" w:cs="Arial"/>
          <w:szCs w:val="24"/>
        </w:rPr>
        <w:t xml:space="preserve">conoció </w:t>
      </w:r>
      <w:r w:rsidR="00CB0B9E">
        <w:rPr>
          <w:rFonts w:ascii="Arial" w:hAnsi="Arial" w:cs="Arial"/>
          <w:szCs w:val="24"/>
        </w:rPr>
        <w:t>del</w:t>
      </w:r>
      <w:r w:rsidR="003D2915">
        <w:rPr>
          <w:rFonts w:ascii="Arial" w:hAnsi="Arial" w:cs="Arial"/>
          <w:szCs w:val="24"/>
        </w:rPr>
        <w:t xml:space="preserve"> juicio</w:t>
      </w:r>
      <w:r>
        <w:rPr>
          <w:rFonts w:ascii="Arial" w:hAnsi="Arial" w:cs="Arial"/>
          <w:szCs w:val="24"/>
        </w:rPr>
        <w:t>.</w:t>
      </w:r>
    </w:p>
    <w:p w:rsidR="00DF74B6" w:rsidRPr="00F440D9" w:rsidRDefault="00DF74B6" w:rsidP="00DF74B6">
      <w:pPr>
        <w:pStyle w:val="Textoindependiente"/>
        <w:spacing w:line="360" w:lineRule="auto"/>
        <w:rPr>
          <w:rFonts w:ascii="Arial" w:hAnsi="Arial" w:cs="Arial"/>
          <w:sz w:val="22"/>
          <w:szCs w:val="24"/>
        </w:rPr>
      </w:pPr>
    </w:p>
    <w:p w:rsidR="007D7C78" w:rsidRDefault="007D7C78" w:rsidP="007D7C78">
      <w:pPr>
        <w:widowControl/>
        <w:spacing w:line="360" w:lineRule="auto"/>
        <w:jc w:val="both"/>
        <w:rPr>
          <w:rFonts w:ascii="Arial" w:hAnsi="Arial" w:cs="Arial"/>
        </w:rPr>
      </w:pPr>
      <w:r>
        <w:rPr>
          <w:rFonts w:ascii="Arial" w:hAnsi="Arial" w:cs="Arial"/>
        </w:rPr>
        <w:t>Como los litisconsortes vinculados a este trámite, la Defensoría del Pueblo y la Procuraduría General de la Nación, Regionales de Risaralda, y la Alcaldía y la Personería de Pereira no participaron en la acción popular dentro de la cual se alega la vulneración al debido proceso, carecen de legitimación, por ende se declarará improcedente el amparo en su contra; asimismo y como quiera que la EPS SURA SA sucursal calle 15 No.13-110 oficina 302 de Pereira, no incurrió en violación o amenaza alguna, se negará la tutela en su contra.</w:t>
      </w:r>
    </w:p>
    <w:p w:rsidR="007D7C78" w:rsidRPr="00F440D9" w:rsidRDefault="007D7C78" w:rsidP="001A4C76">
      <w:pPr>
        <w:widowControl/>
        <w:spacing w:line="360" w:lineRule="auto"/>
        <w:jc w:val="both"/>
        <w:rPr>
          <w:rFonts w:ascii="Arial" w:hAnsi="Arial"/>
          <w:sz w:val="22"/>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F440D9" w:rsidRDefault="00984EE4" w:rsidP="00CF429F">
      <w:pPr>
        <w:pStyle w:val="Textoindependien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5B76B2">
        <w:rPr>
          <w:rFonts w:ascii="Arial" w:hAnsi="Arial" w:cs="Arial"/>
        </w:rPr>
        <w:t>Cuarto 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5B76B2">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3619E3" w:rsidRDefault="003619E3"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F440D9"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7D7C78" w:rsidRDefault="007D7C78" w:rsidP="007D7C78">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7D7C78" w:rsidRPr="007251E6" w:rsidRDefault="007D7C78" w:rsidP="007D7C7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7D7C78" w:rsidRDefault="007D7C78" w:rsidP="007D7C78">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7D7C78" w:rsidRPr="007251E6" w:rsidRDefault="007D7C78" w:rsidP="007D7C78">
      <w:pPr>
        <w:pStyle w:val="Textoindependiente"/>
        <w:spacing w:line="360" w:lineRule="auto"/>
        <w:rPr>
          <w:rFonts w:ascii="Arial" w:hAnsi="Arial" w:cs="Arial"/>
          <w:sz w:val="20"/>
          <w:szCs w:val="24"/>
        </w:rPr>
      </w:pPr>
    </w:p>
    <w:p w:rsidR="007D7C78" w:rsidRPr="006A3AB9" w:rsidRDefault="007D7C78" w:rsidP="007D7C78">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7D7C78" w:rsidRPr="007251E6" w:rsidRDefault="007D7C78" w:rsidP="007D7C78">
      <w:pPr>
        <w:pStyle w:val="Textoindependiente"/>
        <w:spacing w:line="360" w:lineRule="auto"/>
        <w:rPr>
          <w:rFonts w:ascii="Arial" w:hAnsi="Arial" w:cs="Arial"/>
          <w:sz w:val="20"/>
          <w:szCs w:val="24"/>
        </w:rPr>
      </w:pPr>
    </w:p>
    <w:p w:rsidR="007D7C78" w:rsidRDefault="007D7C78" w:rsidP="007D7C78">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7D7C78" w:rsidRPr="007251E6" w:rsidRDefault="007D7C78" w:rsidP="007D7C78">
      <w:pPr>
        <w:pStyle w:val="Textoindependiente"/>
        <w:spacing w:line="360" w:lineRule="auto"/>
        <w:rPr>
          <w:rFonts w:ascii="Arial" w:hAnsi="Arial" w:cs="Arial"/>
          <w:sz w:val="20"/>
          <w:szCs w:val="24"/>
        </w:rPr>
      </w:pPr>
    </w:p>
    <w:p w:rsidR="007D7C78" w:rsidRDefault="007D7C78" w:rsidP="007D7C78">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7D7C78" w:rsidRDefault="007D7C78" w:rsidP="007D7C78">
      <w:pPr>
        <w:pStyle w:val="Prrafodelista"/>
        <w:spacing w:line="360" w:lineRule="auto"/>
        <w:ind w:left="720" w:right="22"/>
        <w:jc w:val="both"/>
        <w:rPr>
          <w:rFonts w:ascii="Arial" w:hAnsi="Arial" w:cs="Arial"/>
          <w:szCs w:val="22"/>
          <w:lang w:val="es-ES_tradnl"/>
        </w:rPr>
      </w:pPr>
    </w:p>
    <w:p w:rsidR="00FF26D0" w:rsidRPr="00FF4929" w:rsidRDefault="00FF26D0" w:rsidP="00FF26D0">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FF26D0" w:rsidRPr="007251E6" w:rsidRDefault="00FF26D0" w:rsidP="00FF26D0">
      <w:pPr>
        <w:pStyle w:val="Textoindependiente"/>
        <w:tabs>
          <w:tab w:val="clear" w:pos="0"/>
        </w:tabs>
        <w:spacing w:line="360" w:lineRule="auto"/>
        <w:rPr>
          <w:rFonts w:ascii="Arial" w:hAnsi="Arial" w:cs="Arial"/>
          <w:sz w:val="20"/>
          <w:szCs w:val="24"/>
        </w:rPr>
      </w:pPr>
    </w:p>
    <w:p w:rsidR="00FF26D0" w:rsidRPr="008D1B99" w:rsidRDefault="00FF26D0" w:rsidP="00FF26D0">
      <w:pPr>
        <w:pStyle w:val="Textoindependien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FF26D0" w:rsidRPr="007251E6" w:rsidRDefault="00FF26D0" w:rsidP="00FF26D0">
      <w:pPr>
        <w:pStyle w:val="Textoindependiente"/>
        <w:tabs>
          <w:tab w:val="clear" w:pos="0"/>
        </w:tabs>
        <w:spacing w:line="360" w:lineRule="auto"/>
        <w:rPr>
          <w:rFonts w:ascii="Arial" w:hAnsi="Arial" w:cs="Arial"/>
          <w:sz w:val="20"/>
          <w:szCs w:val="24"/>
          <w:u w:val="single"/>
        </w:rPr>
      </w:pPr>
    </w:p>
    <w:p w:rsidR="00FF26D0" w:rsidRPr="00FF4929" w:rsidRDefault="00FF26D0" w:rsidP="00FF26D0">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 xml:space="preserve">“Es, en </w:t>
      </w:r>
      <w:r w:rsidRPr="00FF4929">
        <w:rPr>
          <w:rFonts w:ascii="Arial" w:hAnsi="Arial" w:cs="Arial"/>
          <w:i/>
          <w:sz w:val="22"/>
          <w:szCs w:val="22"/>
        </w:rPr>
        <w:lastRenderedPageBreak/>
        <w:t>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FF26D0" w:rsidRPr="007251E6" w:rsidRDefault="00FF26D0" w:rsidP="00FF26D0">
      <w:pPr>
        <w:widowControl/>
        <w:autoSpaceDE/>
        <w:autoSpaceDN/>
        <w:adjustRightInd/>
        <w:spacing w:line="360" w:lineRule="auto"/>
        <w:jc w:val="both"/>
        <w:rPr>
          <w:rFonts w:ascii="Arial" w:hAnsi="Arial" w:cs="Arial"/>
          <w:sz w:val="20"/>
          <w:szCs w:val="22"/>
          <w:lang w:val="es-ES_tradnl"/>
        </w:rPr>
      </w:pPr>
    </w:p>
    <w:p w:rsidR="00FF26D0" w:rsidRDefault="00FF26D0" w:rsidP="00FF26D0">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FF26D0" w:rsidRPr="00FF4929" w:rsidRDefault="00FF26D0" w:rsidP="00FF26D0">
      <w:pPr>
        <w:widowControl/>
        <w:autoSpaceDE/>
        <w:autoSpaceDN/>
        <w:adjustRightInd/>
        <w:spacing w:line="360" w:lineRule="auto"/>
        <w:jc w:val="both"/>
        <w:rPr>
          <w:rFonts w:ascii="Arial" w:hAnsi="Arial" w:cs="Arial"/>
          <w:lang w:val="es-ES_tradnl"/>
        </w:rPr>
      </w:pPr>
    </w:p>
    <w:p w:rsidR="00FF26D0" w:rsidRDefault="00FF26D0" w:rsidP="00FF26D0">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FF26D0" w:rsidRPr="004B554C" w:rsidRDefault="00FF26D0" w:rsidP="00FF26D0">
      <w:pPr>
        <w:pStyle w:val="Textoindependiente"/>
        <w:tabs>
          <w:tab w:val="clear" w:pos="0"/>
        </w:tabs>
        <w:spacing w:line="240" w:lineRule="auto"/>
        <w:ind w:left="567" w:right="567"/>
        <w:rPr>
          <w:rFonts w:ascii="Arial" w:hAnsi="Arial" w:cs="Arial"/>
          <w:color w:val="000000"/>
          <w:sz w:val="32"/>
          <w:szCs w:val="24"/>
          <w:shd w:val="clear" w:color="auto" w:fill="FFFFFF"/>
        </w:rPr>
      </w:pPr>
    </w:p>
    <w:p w:rsidR="00FF26D0" w:rsidRPr="007438DD" w:rsidRDefault="00FF26D0" w:rsidP="00FF26D0">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FF26D0" w:rsidRDefault="00FF26D0" w:rsidP="00FF26D0">
      <w:pPr>
        <w:pStyle w:val="Textoindependiente"/>
        <w:tabs>
          <w:tab w:val="clear" w:pos="0"/>
        </w:tabs>
        <w:spacing w:line="360" w:lineRule="auto"/>
        <w:rPr>
          <w:rFonts w:ascii="Arial" w:hAnsi="Arial" w:cs="Arial"/>
          <w:sz w:val="20"/>
          <w:szCs w:val="24"/>
        </w:rPr>
      </w:pPr>
    </w:p>
    <w:p w:rsidR="00236C6C" w:rsidRPr="000A3B02" w:rsidRDefault="00236C6C" w:rsidP="00236C6C">
      <w:pPr>
        <w:pStyle w:val="Textoindependiente"/>
        <w:numPr>
          <w:ilvl w:val="2"/>
          <w:numId w:val="18"/>
        </w:numPr>
        <w:tabs>
          <w:tab w:val="clear" w:pos="708"/>
          <w:tab w:val="left" w:pos="709"/>
        </w:tabs>
        <w:spacing w:line="360" w:lineRule="auto"/>
        <w:rPr>
          <w:rFonts w:ascii="Arial" w:hAnsi="Arial" w:cs="Arial"/>
          <w:szCs w:val="24"/>
        </w:rPr>
      </w:pPr>
      <w:r w:rsidRPr="000A3B02">
        <w:rPr>
          <w:rFonts w:ascii="Arial" w:hAnsi="Arial"/>
          <w:szCs w:val="24"/>
        </w:rPr>
        <w:t>Los supuestos de la acción de tutela temeraria y la cosa juzgada constitucional</w:t>
      </w:r>
    </w:p>
    <w:p w:rsidR="00236C6C" w:rsidRPr="001971C0" w:rsidRDefault="00236C6C" w:rsidP="00236C6C">
      <w:pPr>
        <w:pStyle w:val="Textoindependiente"/>
        <w:tabs>
          <w:tab w:val="clear" w:pos="708"/>
          <w:tab w:val="left" w:pos="709"/>
        </w:tabs>
        <w:spacing w:line="360" w:lineRule="auto"/>
        <w:rPr>
          <w:rFonts w:ascii="Arial" w:hAnsi="Arial"/>
          <w:sz w:val="20"/>
          <w:szCs w:val="24"/>
        </w:rPr>
      </w:pPr>
    </w:p>
    <w:p w:rsidR="00236C6C" w:rsidRDefault="00236C6C" w:rsidP="00236C6C">
      <w:pPr>
        <w:pStyle w:val="Textoindependien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Refdenotaalpie"/>
          <w:rFonts w:ascii="Arial" w:hAnsi="Arial"/>
        </w:rPr>
        <w:t xml:space="preserve"> </w:t>
      </w:r>
    </w:p>
    <w:p w:rsidR="00236C6C" w:rsidRPr="001971C0" w:rsidRDefault="00236C6C" w:rsidP="00236C6C">
      <w:pPr>
        <w:pStyle w:val="Textoindependiente"/>
        <w:tabs>
          <w:tab w:val="clear" w:pos="708"/>
          <w:tab w:val="left" w:pos="709"/>
        </w:tabs>
        <w:spacing w:line="360" w:lineRule="auto"/>
        <w:rPr>
          <w:rFonts w:ascii="Arial" w:hAnsi="Arial"/>
          <w:sz w:val="20"/>
          <w:szCs w:val="24"/>
        </w:rPr>
      </w:pPr>
    </w:p>
    <w:p w:rsidR="00236C6C" w:rsidRPr="00556F7F" w:rsidRDefault="00236C6C" w:rsidP="00236C6C">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 xml:space="preserve">(iv) que la presentación de la nueva acción de tutela </w:t>
      </w:r>
      <w:r w:rsidRPr="00556F7F">
        <w:rPr>
          <w:rFonts w:ascii="Arial" w:hAnsi="Arial" w:cs="Arial"/>
          <w:i/>
          <w:sz w:val="22"/>
          <w:szCs w:val="22"/>
        </w:rPr>
        <w:lastRenderedPageBreak/>
        <w:t>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Refdenotaalpie"/>
          <w:rFonts w:ascii="Arial" w:hAnsi="Arial"/>
          <w:szCs w:val="22"/>
        </w:rPr>
        <w:footnoteReference w:id="13"/>
      </w:r>
      <w:r w:rsidRPr="00556F7F">
        <w:rPr>
          <w:rFonts w:ascii="Arial" w:hAnsi="Arial" w:cs="Arial"/>
          <w:sz w:val="22"/>
          <w:szCs w:val="22"/>
        </w:rPr>
        <w:t>.</w:t>
      </w:r>
    </w:p>
    <w:p w:rsidR="00236C6C" w:rsidRPr="001971C0" w:rsidRDefault="00236C6C" w:rsidP="00236C6C">
      <w:pPr>
        <w:pStyle w:val="Textoindependiente"/>
        <w:tabs>
          <w:tab w:val="clear" w:pos="708"/>
          <w:tab w:val="left" w:pos="709"/>
        </w:tabs>
        <w:spacing w:line="360" w:lineRule="auto"/>
        <w:rPr>
          <w:rFonts w:ascii="Arial" w:hAnsi="Arial"/>
          <w:sz w:val="20"/>
          <w:szCs w:val="24"/>
        </w:rPr>
      </w:pPr>
    </w:p>
    <w:p w:rsidR="00236C6C" w:rsidRPr="00556F7F" w:rsidRDefault="00236C6C" w:rsidP="00236C6C">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No obstante lo anterior, también ha dicho la jurisprudencia constitucional que no siempre ante una duplicidad de acciones se presenta la temeridad en el ejercicio de la tutela, criterio </w:t>
      </w:r>
    </w:p>
    <w:p w:rsidR="00236C6C" w:rsidRDefault="00236C6C" w:rsidP="00236C6C">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reiterado</w:t>
      </w:r>
      <w:r>
        <w:rPr>
          <w:rStyle w:val="Refdenotaalpie"/>
          <w:rFonts w:ascii="Arial" w:hAnsi="Arial"/>
          <w:szCs w:val="22"/>
        </w:rPr>
        <w:footnoteReference w:id="14"/>
      </w:r>
      <w:r w:rsidRPr="00833A61">
        <w:rPr>
          <w:rFonts w:ascii="Arial" w:hAnsi="Arial" w:cs="Arial"/>
          <w:szCs w:val="22"/>
          <w:vertAlign w:val="superscript"/>
        </w:rPr>
        <w:t>-</w:t>
      </w:r>
      <w:r w:rsidRPr="00556F7F">
        <w:rPr>
          <w:rStyle w:val="Refdenotaalpie"/>
          <w:rFonts w:ascii="Arial" w:hAnsi="Arial"/>
          <w:szCs w:val="22"/>
          <w:lang w:val="es-ES"/>
        </w:rPr>
        <w:footnoteReference w:id="15"/>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Refdenotaalpie"/>
          <w:rFonts w:ascii="Arial" w:hAnsi="Arial"/>
          <w:szCs w:val="22"/>
        </w:rPr>
        <w:footnoteReference w:id="16"/>
      </w:r>
      <w:r w:rsidRPr="00556F7F">
        <w:rPr>
          <w:rFonts w:ascii="Arial" w:hAnsi="Arial" w:cs="Arial"/>
          <w:szCs w:val="22"/>
        </w:rPr>
        <w:t>, pues sostiene:</w:t>
      </w:r>
    </w:p>
    <w:p w:rsidR="00236C6C" w:rsidRPr="00E051C3" w:rsidRDefault="00236C6C" w:rsidP="00236C6C">
      <w:pPr>
        <w:pStyle w:val="Textoindependiente"/>
        <w:tabs>
          <w:tab w:val="clear" w:pos="0"/>
          <w:tab w:val="clear" w:pos="708"/>
          <w:tab w:val="left" w:pos="709"/>
        </w:tabs>
        <w:spacing w:line="360" w:lineRule="auto"/>
        <w:rPr>
          <w:rFonts w:ascii="Arial" w:hAnsi="Arial" w:cs="Arial"/>
          <w:sz w:val="12"/>
          <w:szCs w:val="22"/>
          <w:lang w:val="es-CO"/>
        </w:rPr>
      </w:pPr>
    </w:p>
    <w:p w:rsidR="00236C6C" w:rsidRPr="00556F7F" w:rsidRDefault="00236C6C" w:rsidP="00236C6C">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236C6C" w:rsidRDefault="00236C6C" w:rsidP="00236C6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236C6C" w:rsidRDefault="00236C6C" w:rsidP="00236C6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Refdenotaalpie"/>
          <w:rFonts w:ascii="Arial" w:hAnsi="Arial"/>
          <w:spacing w:val="-3"/>
          <w:szCs w:val="20"/>
          <w:lang w:val="es-ES_tradnl"/>
        </w:rPr>
        <w:footnoteReference w:id="17"/>
      </w:r>
      <w:r>
        <w:rPr>
          <w:rFonts w:ascii="Arial" w:hAnsi="Arial" w:cs="Times New Roman"/>
          <w:spacing w:val="-3"/>
          <w:szCs w:val="20"/>
          <w:lang w:val="es-ES_tradnl"/>
        </w:rPr>
        <w:t xml:space="preserve"> </w:t>
      </w:r>
    </w:p>
    <w:p w:rsidR="00236C6C" w:rsidRDefault="00236C6C" w:rsidP="00236C6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 xml:space="preserve">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18"/>
      </w:r>
      <w:r>
        <w:rPr>
          <w:rFonts w:ascii="Arial" w:hAnsi="Arial" w:cs="Times New Roman"/>
          <w:spacing w:val="-3"/>
          <w:szCs w:val="20"/>
          <w:lang w:val="es-ES_tradnl"/>
        </w:rPr>
        <w:t>.</w:t>
      </w:r>
    </w:p>
    <w:p w:rsidR="00236C6C" w:rsidRPr="001971C0" w:rsidRDefault="00236C6C" w:rsidP="00236C6C">
      <w:pPr>
        <w:pStyle w:val="Textoindependiente"/>
        <w:spacing w:line="360" w:lineRule="auto"/>
        <w:rPr>
          <w:rFonts w:ascii="Arial" w:hAnsi="Arial"/>
          <w:sz w:val="20"/>
          <w:szCs w:val="24"/>
        </w:rPr>
      </w:pPr>
    </w:p>
    <w:p w:rsidR="00236C6C" w:rsidRDefault="00236C6C" w:rsidP="00236C6C">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19"/>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20"/>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236C6C" w:rsidRPr="001971C0" w:rsidRDefault="00236C6C" w:rsidP="00236C6C">
      <w:pPr>
        <w:pStyle w:val="Textoindependiente"/>
        <w:spacing w:line="360" w:lineRule="auto"/>
        <w:rPr>
          <w:rFonts w:ascii="Arial" w:hAnsi="Arial"/>
          <w:sz w:val="20"/>
          <w:szCs w:val="24"/>
        </w:rPr>
      </w:pPr>
    </w:p>
    <w:p w:rsidR="00236C6C" w:rsidRDefault="00236C6C" w:rsidP="00236C6C">
      <w:pPr>
        <w:spacing w:line="360" w:lineRule="auto"/>
        <w:ind w:right="51"/>
        <w:jc w:val="both"/>
        <w:rPr>
          <w:rFonts w:ascii="Arial" w:hAnsi="Arial" w:cs="Arial"/>
          <w:iCs/>
          <w:color w:val="000000"/>
        </w:rPr>
      </w:pPr>
      <w:r w:rsidRPr="00A4402B">
        <w:rPr>
          <w:rFonts w:ascii="Arial" w:hAnsi="Arial" w:cs="Arial"/>
          <w:iCs/>
          <w:color w:val="000000"/>
        </w:rPr>
        <w:lastRenderedPageBreak/>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21"/>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236C6C" w:rsidRPr="001971C0" w:rsidRDefault="00236C6C" w:rsidP="00236C6C">
      <w:pPr>
        <w:pStyle w:val="Textoindependiente"/>
        <w:spacing w:line="360" w:lineRule="auto"/>
        <w:rPr>
          <w:rFonts w:ascii="Arial" w:hAnsi="Arial"/>
          <w:sz w:val="20"/>
          <w:szCs w:val="24"/>
        </w:rPr>
      </w:pPr>
    </w:p>
    <w:p w:rsidR="00236C6C" w:rsidRPr="00A4402B" w:rsidRDefault="00236C6C" w:rsidP="00236C6C">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236C6C" w:rsidRPr="007251E6" w:rsidRDefault="00236C6C" w:rsidP="00FF26D0">
      <w:pPr>
        <w:pStyle w:val="Textoindependiente"/>
        <w:tabs>
          <w:tab w:val="clear" w:pos="0"/>
        </w:tabs>
        <w:spacing w:line="360" w:lineRule="auto"/>
        <w:rPr>
          <w:rFonts w:ascii="Arial" w:hAnsi="Arial" w:cs="Arial"/>
          <w:sz w:val="20"/>
          <w:szCs w:val="24"/>
        </w:rPr>
      </w:pPr>
    </w:p>
    <w:p w:rsidR="00FF26D0" w:rsidRDefault="00FF26D0" w:rsidP="00FF26D0">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Pr="007438DD">
        <w:rPr>
          <w:rStyle w:val="Refdenotaalpie"/>
          <w:rFonts w:ascii="Arial" w:hAnsi="Arial" w:cs="Arial"/>
          <w:lang w:val="es-ES_tradnl"/>
        </w:rPr>
        <w:footnoteReference w:id="22"/>
      </w:r>
      <w:r>
        <w:rPr>
          <w:rFonts w:ascii="Arial" w:hAnsi="Arial" w:cs="Arial"/>
          <w:vertAlign w:val="superscript"/>
          <w:lang w:val="es-ES_tradnl"/>
        </w:rPr>
        <w:t>-</w:t>
      </w:r>
      <w:r>
        <w:rPr>
          <w:rStyle w:val="Refdenotaalpie"/>
          <w:rFonts w:ascii="Arial" w:hAnsi="Arial"/>
          <w:lang w:val="es-ES_tradnl"/>
        </w:rPr>
        <w:footnoteReference w:id="23"/>
      </w:r>
      <w:r w:rsidRPr="007438DD">
        <w:rPr>
          <w:rFonts w:ascii="Arial" w:hAnsi="Arial" w:cs="Arial"/>
          <w:lang w:val="es-ES_tradnl"/>
        </w:rPr>
        <w:t xml:space="preserve"> (201</w:t>
      </w:r>
      <w:r>
        <w:rPr>
          <w:rFonts w:ascii="Arial" w:hAnsi="Arial" w:cs="Arial"/>
          <w:lang w:val="es-ES_tradnl"/>
        </w:rPr>
        <w:t>6</w:t>
      </w:r>
      <w:r w:rsidRPr="007438DD">
        <w:rPr>
          <w:rFonts w:ascii="Arial" w:hAnsi="Arial" w:cs="Arial"/>
          <w:lang w:val="es-ES_tradnl"/>
        </w:rPr>
        <w:t>)</w:t>
      </w:r>
      <w:r>
        <w:rPr>
          <w:rStyle w:val="Refdenotaalpie"/>
          <w:rFonts w:ascii="Arial" w:hAnsi="Arial"/>
          <w:lang w:val="es-ES_tradnl"/>
        </w:rPr>
        <w:footnoteReference w:id="24"/>
      </w:r>
      <w:r w:rsidRPr="007438DD">
        <w:rPr>
          <w:rFonts w:ascii="Arial" w:hAnsi="Arial" w:cs="Arial"/>
          <w:lang w:val="es-ES_tradnl"/>
        </w:rPr>
        <w:t xml:space="preserve">, </w:t>
      </w:r>
      <w:r>
        <w:rPr>
          <w:rFonts w:ascii="Arial" w:hAnsi="Arial" w:cs="Arial"/>
          <w:lang w:val="es-ES_tradnl"/>
        </w:rPr>
        <w:t xml:space="preserve">prohija </w:t>
      </w:r>
      <w:r w:rsidRPr="007438DD">
        <w:rPr>
          <w:rFonts w:ascii="Arial" w:hAnsi="Arial" w:cs="Arial"/>
          <w:lang w:val="es-ES_tradnl"/>
        </w:rPr>
        <w:t>la improcedencia de la tutela por aplicación del principio de subsidiariedad.</w:t>
      </w:r>
    </w:p>
    <w:p w:rsidR="00AD5AA0" w:rsidRPr="007D7C78" w:rsidRDefault="00AD5AA0" w:rsidP="0062273B">
      <w:pPr>
        <w:spacing w:line="360" w:lineRule="auto"/>
        <w:jc w:val="both"/>
        <w:rPr>
          <w:rFonts w:ascii="Arial" w:hAnsi="Arial" w:cs="Arial"/>
          <w:sz w:val="22"/>
          <w:lang w:val="es-CO"/>
        </w:rPr>
      </w:pPr>
      <w:r>
        <w:rPr>
          <w:rFonts w:ascii="Arial" w:hAnsi="Arial" w:cs="Arial"/>
          <w:sz w:val="22"/>
          <w:lang w:val="es-CO"/>
        </w:rPr>
        <w:t xml:space="preserve">  </w:t>
      </w:r>
    </w:p>
    <w:p w:rsidR="008E1295" w:rsidRPr="00EF583B" w:rsidRDefault="008E1295" w:rsidP="00952597">
      <w:pPr>
        <w:pStyle w:val="Textoindependiente"/>
        <w:numPr>
          <w:ilvl w:val="0"/>
          <w:numId w:val="18"/>
        </w:numPr>
        <w:spacing w:line="360" w:lineRule="auto"/>
        <w:rPr>
          <w:rFonts w:ascii="Arial" w:hAnsi="Arial"/>
          <w:szCs w:val="24"/>
        </w:rPr>
      </w:pPr>
      <w:r w:rsidRPr="00EF583B">
        <w:rPr>
          <w:rFonts w:ascii="Arial" w:hAnsi="Arial"/>
          <w:szCs w:val="24"/>
        </w:rPr>
        <w:t>EL CASO CONCRETO QUE SE ANALIZA</w:t>
      </w:r>
    </w:p>
    <w:p w:rsidR="008139F4" w:rsidRPr="001506C8" w:rsidRDefault="008139F4" w:rsidP="00112205">
      <w:pPr>
        <w:pStyle w:val="Textoindependiente"/>
        <w:spacing w:line="360" w:lineRule="auto"/>
        <w:rPr>
          <w:rFonts w:ascii="Arial" w:hAnsi="Arial"/>
          <w:sz w:val="22"/>
          <w:szCs w:val="24"/>
          <w:lang w:val="es-CO"/>
        </w:rPr>
      </w:pPr>
    </w:p>
    <w:p w:rsidR="008A0402" w:rsidRDefault="006B77A1" w:rsidP="00FF26D0">
      <w:pPr>
        <w:spacing w:line="360" w:lineRule="auto"/>
        <w:jc w:val="both"/>
        <w:rPr>
          <w:rFonts w:ascii="Arial" w:hAnsi="Arial" w:cs="Arial"/>
          <w:lang w:val="es-ES_tradnl"/>
        </w:rPr>
      </w:pPr>
      <w:r>
        <w:rPr>
          <w:rFonts w:ascii="Arial" w:hAnsi="Arial" w:cs="Arial"/>
          <w:lang w:val="es-ES_tradnl"/>
        </w:rPr>
        <w:t xml:space="preserve">Sea lo primero advertir que la Sala no considera temeraria la formulación del presente amparo constitucional frente al juzgado accionado, pese a que refiere </w:t>
      </w:r>
      <w:r w:rsidR="008A0402">
        <w:rPr>
          <w:rFonts w:ascii="Arial" w:hAnsi="Arial" w:cs="Arial"/>
          <w:lang w:val="es-ES_tradnl"/>
        </w:rPr>
        <w:t xml:space="preserve">los mismos hechos </w:t>
      </w:r>
      <w:r>
        <w:rPr>
          <w:rFonts w:ascii="Arial" w:hAnsi="Arial" w:cs="Arial"/>
          <w:lang w:val="es-ES_tradnl"/>
        </w:rPr>
        <w:t>expuestos en la tutela radicada 2016-00674-00</w:t>
      </w:r>
      <w:r w:rsidR="001E2D81">
        <w:rPr>
          <w:rFonts w:ascii="Arial" w:hAnsi="Arial" w:cs="Arial"/>
          <w:lang w:val="es-ES_tradnl"/>
        </w:rPr>
        <w:t xml:space="preserve"> (Folio 89 vto., ib.)</w:t>
      </w:r>
      <w:r w:rsidR="008A0402">
        <w:rPr>
          <w:rFonts w:ascii="Arial" w:hAnsi="Arial" w:cs="Arial"/>
          <w:lang w:val="es-ES_tradnl"/>
        </w:rPr>
        <w:t xml:space="preserve">, puesto que difieren en lo que respecta a las pretensiones, en efecto con aquel amparo pretendía que se ordenara al accionado que concediera y diera trámite a la alzada presentada contra la sentencia de primera instancia mientras que el presente busca que se ordene declarar la nulidad de dicha providencia porque no se vinculó al propietario del inmueble donde presta los servicios la </w:t>
      </w:r>
      <w:r w:rsidR="008A0402" w:rsidRPr="008A0402">
        <w:rPr>
          <w:rFonts w:ascii="Arial" w:hAnsi="Arial" w:cs="Arial"/>
          <w:sz w:val="22"/>
          <w:lang w:val="es-ES_tradnl"/>
        </w:rPr>
        <w:t>EPS SURA</w:t>
      </w:r>
      <w:r w:rsidR="008A0402">
        <w:rPr>
          <w:rFonts w:ascii="Arial" w:hAnsi="Arial" w:cs="Arial"/>
          <w:lang w:val="es-ES_tradnl"/>
        </w:rPr>
        <w:t xml:space="preserve"> y desatendió el artículo 21 de la Ley 472, además de que aplique el CGP en lugar del CPC.</w:t>
      </w:r>
    </w:p>
    <w:p w:rsidR="008A0402" w:rsidRDefault="008A0402" w:rsidP="00FF26D0">
      <w:pPr>
        <w:spacing w:line="360" w:lineRule="auto"/>
        <w:jc w:val="both"/>
        <w:rPr>
          <w:rFonts w:ascii="Arial" w:hAnsi="Arial" w:cs="Arial"/>
          <w:lang w:val="es-ES_tradnl"/>
        </w:rPr>
      </w:pPr>
    </w:p>
    <w:p w:rsidR="00112205" w:rsidRDefault="00112205" w:rsidP="00112205">
      <w:pPr>
        <w:pStyle w:val="Prrafodelista"/>
        <w:numPr>
          <w:ilvl w:val="1"/>
          <w:numId w:val="18"/>
        </w:numPr>
        <w:spacing w:line="360" w:lineRule="auto"/>
        <w:jc w:val="both"/>
        <w:rPr>
          <w:rFonts w:ascii="Arial" w:hAnsi="Arial" w:cs="Arial"/>
          <w:lang w:val="es-ES_tradnl"/>
        </w:rPr>
      </w:pPr>
      <w:r>
        <w:rPr>
          <w:rFonts w:ascii="Arial" w:hAnsi="Arial" w:cs="Arial"/>
          <w:lang w:val="es-ES_tradnl"/>
        </w:rPr>
        <w:t xml:space="preserve">Los presupuestos generales de procedibilidad (Subsidiariedad) </w:t>
      </w:r>
    </w:p>
    <w:p w:rsidR="00112205" w:rsidRPr="00112205" w:rsidRDefault="00112205" w:rsidP="00112205">
      <w:pPr>
        <w:pStyle w:val="Prrafodelista"/>
        <w:spacing w:line="360" w:lineRule="auto"/>
        <w:ind w:left="720"/>
        <w:jc w:val="both"/>
        <w:rPr>
          <w:rFonts w:ascii="Arial" w:hAnsi="Arial" w:cs="Arial"/>
          <w:lang w:val="es-ES_tradnl"/>
        </w:rPr>
      </w:pPr>
    </w:p>
    <w:p w:rsidR="00FF26D0" w:rsidRDefault="00112205" w:rsidP="00FF26D0">
      <w:pPr>
        <w:spacing w:line="360" w:lineRule="auto"/>
        <w:jc w:val="both"/>
        <w:rPr>
          <w:rFonts w:ascii="Arial" w:hAnsi="Arial" w:cs="Arial"/>
          <w:lang w:val="es-ES_tradnl"/>
        </w:rPr>
      </w:pPr>
      <w:r>
        <w:rPr>
          <w:rFonts w:ascii="Arial" w:hAnsi="Arial" w:cs="Arial"/>
          <w:lang w:val="es-ES_tradnl"/>
        </w:rPr>
        <w:t xml:space="preserve">Ahora, teniendo en cuenta </w:t>
      </w:r>
      <w:r w:rsidR="00FF26D0">
        <w:rPr>
          <w:rFonts w:ascii="Arial" w:hAnsi="Arial" w:cs="Arial"/>
          <w:lang w:val="es-ES_tradnl"/>
        </w:rPr>
        <w:t xml:space="preserve">que los requisitos generales de procedibilidad son concurrentes, esto es, incumplido uno, se torna inane el examen de los demás, menos podrían revisarse los supuestos especiales, </w:t>
      </w:r>
      <w:r>
        <w:rPr>
          <w:rFonts w:ascii="Arial" w:hAnsi="Arial" w:cs="Arial"/>
          <w:lang w:val="es-ES_tradnl"/>
        </w:rPr>
        <w:t xml:space="preserve">de manera que el </w:t>
      </w:r>
      <w:r w:rsidR="00FF26D0">
        <w:rPr>
          <w:rFonts w:ascii="Arial" w:hAnsi="Arial" w:cs="Arial"/>
          <w:lang w:val="es-ES_tradnl"/>
        </w:rPr>
        <w:t xml:space="preserve">análisis que sigue se limitará a la subsidiariedad, porque es el elemento que se advierte ausente y resulta </w:t>
      </w:r>
      <w:r w:rsidR="00FF26D0">
        <w:rPr>
          <w:rFonts w:ascii="Arial" w:hAnsi="Arial" w:cs="Arial"/>
          <w:lang w:val="es-ES_tradnl"/>
        </w:rPr>
        <w:lastRenderedPageBreak/>
        <w:t xml:space="preserve">suficiente para el fracaso </w:t>
      </w:r>
      <w:r>
        <w:rPr>
          <w:rFonts w:ascii="Arial" w:hAnsi="Arial" w:cs="Arial"/>
          <w:lang w:val="es-ES_tradnl"/>
        </w:rPr>
        <w:t>del amparo</w:t>
      </w:r>
      <w:r w:rsidR="00FF26D0">
        <w:rPr>
          <w:rFonts w:ascii="Arial" w:hAnsi="Arial" w:cs="Arial"/>
          <w:lang w:val="es-ES_tradnl"/>
        </w:rPr>
        <w:t>.</w:t>
      </w:r>
    </w:p>
    <w:p w:rsidR="00FF26D0" w:rsidRDefault="00FF26D0" w:rsidP="00FF26D0">
      <w:pPr>
        <w:spacing w:line="360" w:lineRule="auto"/>
        <w:jc w:val="both"/>
        <w:rPr>
          <w:rFonts w:ascii="Arial" w:hAnsi="Arial" w:cs="Arial"/>
          <w:lang w:val="es-ES_tradnl"/>
        </w:rPr>
      </w:pPr>
    </w:p>
    <w:p w:rsidR="00FF26D0" w:rsidRPr="007552AD" w:rsidRDefault="00FF26D0" w:rsidP="00FF26D0">
      <w:pPr>
        <w:spacing w:line="360" w:lineRule="auto"/>
        <w:jc w:val="both"/>
        <w:rPr>
          <w:rFonts w:ascii="Arial" w:hAnsi="Arial" w:cs="Arial"/>
        </w:rPr>
      </w:pPr>
      <w:r w:rsidRPr="004802FE">
        <w:rPr>
          <w:rFonts w:ascii="Arial" w:hAnsi="Arial" w:cs="Arial"/>
          <w:lang w:val="es-ES_tradnl"/>
        </w:rPr>
        <w:t>El accionante se duele porque el</w:t>
      </w:r>
      <w:r>
        <w:rPr>
          <w:rFonts w:ascii="Arial" w:hAnsi="Arial" w:cs="Arial"/>
          <w:lang w:val="es-ES_tradnl"/>
        </w:rPr>
        <w:t xml:space="preserve"> juzgado accionado </w:t>
      </w:r>
      <w:r w:rsidR="00112205">
        <w:rPr>
          <w:rFonts w:ascii="Arial" w:hAnsi="Arial" w:cs="Arial"/>
          <w:lang w:val="es-ES_tradnl"/>
        </w:rPr>
        <w:t>en la acción popular No.2015-00190-01, no vinculó al propietario del inmueble, desatendió el artículo 21 de la Ley 472 y no aplicó el CPC</w:t>
      </w:r>
      <w:r>
        <w:rPr>
          <w:rFonts w:ascii="Arial" w:hAnsi="Arial" w:cs="Arial"/>
          <w:lang w:val="es-ES_tradnl"/>
        </w:rPr>
        <w:t xml:space="preserve">. </w:t>
      </w:r>
    </w:p>
    <w:p w:rsidR="00FF26D0" w:rsidRPr="00DC29F9" w:rsidRDefault="00FF26D0" w:rsidP="00FF26D0">
      <w:pPr>
        <w:pStyle w:val="Textoindependiente"/>
        <w:spacing w:line="360" w:lineRule="auto"/>
        <w:rPr>
          <w:rFonts w:ascii="Arial" w:hAnsi="Arial" w:cs="Arial"/>
          <w:sz w:val="20"/>
        </w:rPr>
      </w:pPr>
    </w:p>
    <w:p w:rsidR="00BC14FB" w:rsidRDefault="00FF26D0" w:rsidP="00FF26D0">
      <w:pPr>
        <w:spacing w:line="360" w:lineRule="auto"/>
        <w:jc w:val="both"/>
        <w:rPr>
          <w:rFonts w:ascii="Arial" w:hAnsi="Arial" w:cs="Arial"/>
        </w:rPr>
      </w:pPr>
      <w:r>
        <w:rPr>
          <w:rFonts w:ascii="Arial" w:hAnsi="Arial" w:cs="Arial"/>
        </w:rPr>
        <w:t xml:space="preserve">Conforme al acervo probatorio </w:t>
      </w:r>
      <w:r w:rsidR="00142C47">
        <w:rPr>
          <w:rFonts w:ascii="Arial" w:hAnsi="Arial" w:cs="Arial"/>
        </w:rPr>
        <w:t xml:space="preserve">y los hechos narrados en la tutela se tiene que el accionante el día 13-05-2016 recurrió en apelación la </w:t>
      </w:r>
      <w:r w:rsidR="00813CB6">
        <w:rPr>
          <w:rFonts w:ascii="Arial" w:hAnsi="Arial" w:cs="Arial"/>
        </w:rPr>
        <w:t xml:space="preserve">sentencia de primer grado y solicitó el amparo por pobre, sin que se advierta en ninguno de sus apartes que también formulaba alguna de las nulidades objeto de esta tutela (Folios 22 y 23, ib.); seguidamente </w:t>
      </w:r>
      <w:r w:rsidR="00112205">
        <w:rPr>
          <w:rFonts w:ascii="Arial" w:hAnsi="Arial" w:cs="Arial"/>
        </w:rPr>
        <w:t xml:space="preserve">con </w:t>
      </w:r>
      <w:r>
        <w:rPr>
          <w:rFonts w:ascii="Arial" w:hAnsi="Arial" w:cs="Arial"/>
        </w:rPr>
        <w:t xml:space="preserve">proveído del 18-05-2016 se concedió </w:t>
      </w:r>
      <w:r w:rsidR="00813CB6">
        <w:rPr>
          <w:rFonts w:ascii="Arial" w:hAnsi="Arial" w:cs="Arial"/>
        </w:rPr>
        <w:t xml:space="preserve">la alzada </w:t>
      </w:r>
      <w:r>
        <w:rPr>
          <w:rFonts w:ascii="Arial" w:hAnsi="Arial" w:cs="Arial"/>
        </w:rPr>
        <w:t xml:space="preserve">en el efecto devolutivo y se negó el amparo de pobreza (Folios </w:t>
      </w:r>
      <w:r w:rsidR="00813CB6">
        <w:rPr>
          <w:rFonts w:ascii="Arial" w:hAnsi="Arial" w:cs="Arial"/>
        </w:rPr>
        <w:t>32 y 33</w:t>
      </w:r>
      <w:r>
        <w:rPr>
          <w:rFonts w:ascii="Arial" w:hAnsi="Arial" w:cs="Arial"/>
        </w:rPr>
        <w:t>, ib.); recurrido en reposición y apelación</w:t>
      </w:r>
      <w:r w:rsidR="00813CB6">
        <w:rPr>
          <w:rFonts w:ascii="Arial" w:hAnsi="Arial" w:cs="Arial"/>
        </w:rPr>
        <w:t>,</w:t>
      </w:r>
      <w:r w:rsidR="008D6EA6">
        <w:rPr>
          <w:rFonts w:ascii="Arial" w:hAnsi="Arial" w:cs="Arial"/>
        </w:rPr>
        <w:t xml:space="preserve"> también sin que se propusiera al</w:t>
      </w:r>
      <w:r w:rsidR="00813CB6">
        <w:rPr>
          <w:rFonts w:ascii="Arial" w:hAnsi="Arial" w:cs="Arial"/>
        </w:rPr>
        <w:t>guna nulidad (Folio 34, ib.)</w:t>
      </w:r>
      <w:r>
        <w:rPr>
          <w:rFonts w:ascii="Arial" w:hAnsi="Arial" w:cs="Arial"/>
        </w:rPr>
        <w:t xml:space="preserve">, la </w:t>
      </w:r>
      <w:r w:rsidRPr="00401990">
        <w:rPr>
          <w:rFonts w:ascii="Arial" w:hAnsi="Arial" w:cs="Arial"/>
          <w:i/>
        </w:rPr>
        <w:t>a</w:t>
      </w:r>
      <w:r>
        <w:rPr>
          <w:rFonts w:ascii="Arial" w:hAnsi="Arial" w:cs="Arial"/>
          <w:i/>
        </w:rPr>
        <w:t xml:space="preserve"> </w:t>
      </w:r>
      <w:r w:rsidRPr="00401990">
        <w:rPr>
          <w:rFonts w:ascii="Arial" w:hAnsi="Arial" w:cs="Arial"/>
          <w:i/>
        </w:rPr>
        <w:t>quo</w:t>
      </w:r>
      <w:r>
        <w:rPr>
          <w:rFonts w:ascii="Arial" w:hAnsi="Arial" w:cs="Arial"/>
        </w:rPr>
        <w:t xml:space="preserve"> con auto del 01-06-2016 mantuvo su decisión y no concedió la apelación (Folio </w:t>
      </w:r>
      <w:r w:rsidR="00BC14FB">
        <w:rPr>
          <w:rFonts w:ascii="Arial" w:hAnsi="Arial" w:cs="Arial"/>
        </w:rPr>
        <w:t>41</w:t>
      </w:r>
      <w:r>
        <w:rPr>
          <w:rFonts w:ascii="Arial" w:hAnsi="Arial" w:cs="Arial"/>
        </w:rPr>
        <w:t>, ib.)</w:t>
      </w:r>
      <w:r w:rsidR="00BC14FB">
        <w:rPr>
          <w:rFonts w:ascii="Arial" w:hAnsi="Arial" w:cs="Arial"/>
        </w:rPr>
        <w:t>;</w:t>
      </w:r>
      <w:r w:rsidR="00166B9E">
        <w:rPr>
          <w:rFonts w:ascii="Arial" w:hAnsi="Arial" w:cs="Arial"/>
        </w:rPr>
        <w:t xml:space="preserve"> </w:t>
      </w:r>
      <w:r w:rsidR="00BC14FB">
        <w:rPr>
          <w:rFonts w:ascii="Arial" w:hAnsi="Arial" w:cs="Arial"/>
        </w:rPr>
        <w:t xml:space="preserve">luego </w:t>
      </w:r>
      <w:r w:rsidR="00166B9E">
        <w:rPr>
          <w:rFonts w:ascii="Arial" w:hAnsi="Arial" w:cs="Arial"/>
        </w:rPr>
        <w:t xml:space="preserve">con providencia del 13-06-2016 </w:t>
      </w:r>
      <w:r w:rsidR="00BC14FB">
        <w:rPr>
          <w:rFonts w:ascii="Arial" w:hAnsi="Arial" w:cs="Arial"/>
        </w:rPr>
        <w:t xml:space="preserve">se </w:t>
      </w:r>
      <w:r w:rsidR="00166B9E">
        <w:rPr>
          <w:rFonts w:ascii="Arial" w:hAnsi="Arial" w:cs="Arial"/>
        </w:rPr>
        <w:t>declaró desierta la alzada contra la sentencia</w:t>
      </w:r>
      <w:r>
        <w:rPr>
          <w:rFonts w:ascii="Arial" w:hAnsi="Arial" w:cs="Arial"/>
        </w:rPr>
        <w:t xml:space="preserve">, decisión que se notificó por estado del día </w:t>
      </w:r>
      <w:r w:rsidR="00166B9E">
        <w:rPr>
          <w:rFonts w:ascii="Arial" w:hAnsi="Arial" w:cs="Arial"/>
        </w:rPr>
        <w:t xml:space="preserve">14-06-2016 </w:t>
      </w:r>
      <w:r>
        <w:rPr>
          <w:rFonts w:ascii="Arial" w:hAnsi="Arial" w:cs="Arial"/>
        </w:rPr>
        <w:t xml:space="preserve">y quedó ejecutoriada el </w:t>
      </w:r>
      <w:r w:rsidR="00166B9E">
        <w:rPr>
          <w:rFonts w:ascii="Arial" w:hAnsi="Arial" w:cs="Arial"/>
        </w:rPr>
        <w:t>20-06-2016</w:t>
      </w:r>
      <w:r>
        <w:rPr>
          <w:rFonts w:ascii="Arial" w:hAnsi="Arial" w:cs="Arial"/>
        </w:rPr>
        <w:t xml:space="preserve">, sin que el actor formulara reparo alguno </w:t>
      </w:r>
      <w:r w:rsidR="00166B9E">
        <w:rPr>
          <w:rFonts w:ascii="Arial" w:hAnsi="Arial" w:cs="Arial"/>
        </w:rPr>
        <w:t xml:space="preserve">(Folio </w:t>
      </w:r>
      <w:r w:rsidR="00BC14FB">
        <w:rPr>
          <w:rFonts w:ascii="Arial" w:hAnsi="Arial" w:cs="Arial"/>
        </w:rPr>
        <w:t>42</w:t>
      </w:r>
      <w:r w:rsidR="00166B9E">
        <w:rPr>
          <w:rFonts w:ascii="Arial" w:hAnsi="Arial" w:cs="Arial"/>
        </w:rPr>
        <w:t>, ib.)</w:t>
      </w:r>
      <w:r w:rsidR="00BC14FB">
        <w:rPr>
          <w:rFonts w:ascii="Arial" w:hAnsi="Arial" w:cs="Arial"/>
        </w:rPr>
        <w:t xml:space="preserve">. </w:t>
      </w:r>
    </w:p>
    <w:p w:rsidR="00BC14FB" w:rsidRDefault="00BC14FB" w:rsidP="00FF26D0">
      <w:pPr>
        <w:spacing w:line="360" w:lineRule="auto"/>
        <w:jc w:val="both"/>
        <w:rPr>
          <w:rFonts w:ascii="Arial" w:hAnsi="Arial" w:cs="Arial"/>
        </w:rPr>
      </w:pPr>
    </w:p>
    <w:p w:rsidR="00BC14FB" w:rsidRDefault="00BC14FB" w:rsidP="00BC14FB">
      <w:pPr>
        <w:pStyle w:val="Textoindependiente"/>
        <w:spacing w:line="360" w:lineRule="auto"/>
        <w:rPr>
          <w:rFonts w:ascii="Arial" w:hAnsi="Arial" w:cs="Arial"/>
        </w:rPr>
      </w:pPr>
      <w:r>
        <w:rPr>
          <w:rFonts w:ascii="Arial" w:hAnsi="Arial" w:cs="Arial"/>
        </w:rPr>
        <w:t xml:space="preserve">Según lo expuesto, aunado al informe secretarial en el que se da cuenta que el accionante nunca presentó memoriales </w:t>
      </w:r>
      <w:r w:rsidRPr="00C42816">
        <w:rPr>
          <w:rFonts w:ascii="Arial" w:hAnsi="Arial" w:cs="Arial"/>
          <w:szCs w:val="24"/>
        </w:rPr>
        <w:t xml:space="preserve">solicitando la declaratoria </w:t>
      </w:r>
      <w:r>
        <w:rPr>
          <w:rFonts w:ascii="Arial" w:hAnsi="Arial" w:cs="Arial"/>
        </w:rPr>
        <w:t xml:space="preserve">de nulidad (Folio </w:t>
      </w:r>
      <w:r w:rsidR="00210256">
        <w:rPr>
          <w:rFonts w:ascii="Arial" w:hAnsi="Arial" w:cs="Arial"/>
        </w:rPr>
        <w:t>8, ib.</w:t>
      </w:r>
      <w:r>
        <w:rPr>
          <w:rFonts w:ascii="Arial" w:hAnsi="Arial" w:cs="Arial"/>
        </w:rPr>
        <w:t xml:space="preserve">), hay que decir que el actor al interior de la acción popular no agotó los mecanismos ordinarios y extraordinarios de defensa judicial, es decir, el requisito de subsidiaridad está incumplido, pues compete </w:t>
      </w:r>
      <w:r w:rsidR="00210256">
        <w:rPr>
          <w:rFonts w:ascii="Arial" w:hAnsi="Arial" w:cs="Arial"/>
        </w:rPr>
        <w:t xml:space="preserve">solicitar </w:t>
      </w:r>
      <w:r>
        <w:rPr>
          <w:rFonts w:ascii="Arial" w:hAnsi="Arial" w:cs="Arial"/>
        </w:rPr>
        <w:t>al despacho judicial</w:t>
      </w:r>
      <w:r w:rsidR="00210256">
        <w:rPr>
          <w:rFonts w:ascii="Arial" w:hAnsi="Arial" w:cs="Arial"/>
        </w:rPr>
        <w:t xml:space="preserve"> </w:t>
      </w:r>
      <w:r>
        <w:rPr>
          <w:rFonts w:ascii="Arial" w:hAnsi="Arial" w:cs="Arial"/>
        </w:rPr>
        <w:t xml:space="preserve">la </w:t>
      </w:r>
      <w:r w:rsidR="00210256">
        <w:rPr>
          <w:rFonts w:ascii="Arial" w:hAnsi="Arial" w:cs="Arial"/>
        </w:rPr>
        <w:t>declaratoria de la nulidad procesal que considerara</w:t>
      </w:r>
      <w:r>
        <w:rPr>
          <w:rFonts w:ascii="Arial" w:hAnsi="Arial" w:cs="Arial"/>
        </w:rPr>
        <w:t xml:space="preserve"> existente, y sobre ello ninguna prueba obra en esta acción, en consecuencia, habrá de declararse improcedente.</w:t>
      </w:r>
    </w:p>
    <w:p w:rsidR="00BC14FB" w:rsidRDefault="00BC14FB" w:rsidP="00FF26D0">
      <w:pPr>
        <w:spacing w:line="360" w:lineRule="auto"/>
        <w:jc w:val="both"/>
        <w:rPr>
          <w:rFonts w:ascii="Arial" w:hAnsi="Arial" w:cs="Arial"/>
        </w:rPr>
      </w:pPr>
    </w:p>
    <w:p w:rsidR="00166B9E" w:rsidRDefault="00166B9E" w:rsidP="00166B9E">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puede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25"/>
      </w:r>
      <w:r w:rsidRPr="00FF4929">
        <w:rPr>
          <w:rFonts w:ascii="Arial" w:hAnsi="Arial" w:cs="Arial"/>
          <w:sz w:val="22"/>
          <w:szCs w:val="22"/>
        </w:rPr>
        <w:t>.</w:t>
      </w:r>
    </w:p>
    <w:p w:rsidR="00166B9E" w:rsidRPr="00CB3037" w:rsidRDefault="00166B9E" w:rsidP="00166B9E">
      <w:pPr>
        <w:spacing w:line="360" w:lineRule="auto"/>
        <w:jc w:val="both"/>
        <w:rPr>
          <w:rFonts w:ascii="Arial" w:hAnsi="Arial" w:cs="Arial"/>
          <w:bCs/>
          <w:lang w:val="es-CO"/>
        </w:rPr>
      </w:pPr>
    </w:p>
    <w:p w:rsidR="00166B9E" w:rsidRDefault="00166B9E" w:rsidP="00166B9E">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26"/>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166B9E" w:rsidRDefault="00166B9E" w:rsidP="00166B9E">
      <w:pPr>
        <w:spacing w:line="360" w:lineRule="auto"/>
        <w:ind w:right="51"/>
        <w:jc w:val="both"/>
        <w:rPr>
          <w:rFonts w:ascii="Arial" w:hAnsi="Arial"/>
        </w:rPr>
      </w:pPr>
    </w:p>
    <w:p w:rsidR="00166B9E" w:rsidRDefault="00166B9E" w:rsidP="00166B9E">
      <w:pPr>
        <w:spacing w:line="360" w:lineRule="auto"/>
        <w:ind w:right="51"/>
        <w:jc w:val="both"/>
        <w:rPr>
          <w:rFonts w:ascii="Arial" w:hAnsi="Arial"/>
        </w:rPr>
      </w:pPr>
      <w:r w:rsidRPr="00F572A7">
        <w:rPr>
          <w:rFonts w:ascii="Arial" w:hAnsi="Arial" w:cs="Arial"/>
          <w:lang w:val="es-ES_tradnl"/>
        </w:rPr>
        <w:lastRenderedPageBreak/>
        <w:t xml:space="preserve">En ese contexto, </w:t>
      </w:r>
      <w:r>
        <w:rPr>
          <w:rFonts w:ascii="Arial" w:hAnsi="Arial"/>
        </w:rPr>
        <w:t xml:space="preserve">la </w:t>
      </w:r>
      <w:r w:rsidRPr="00486763">
        <w:rPr>
          <w:rFonts w:ascii="Arial" w:hAnsi="Arial"/>
        </w:rPr>
        <w:t xml:space="preserve">presente </w:t>
      </w:r>
      <w:r>
        <w:rPr>
          <w:rFonts w:ascii="Arial" w:hAnsi="Arial"/>
        </w:rPr>
        <w:t xml:space="preserve">acción </w:t>
      </w:r>
      <w:r w:rsidRPr="00486763">
        <w:rPr>
          <w:rFonts w:ascii="Arial" w:hAnsi="Arial"/>
        </w:rPr>
        <w:t xml:space="preserve">de tutela </w:t>
      </w:r>
      <w:r>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xml:space="preserve">, pues no se </w:t>
      </w:r>
      <w:r w:rsidR="00210256">
        <w:rPr>
          <w:rFonts w:ascii="Arial" w:hAnsi="Arial"/>
        </w:rPr>
        <w:t xml:space="preserve">solicitó a la </w:t>
      </w:r>
      <w:r w:rsidR="00210256">
        <w:rPr>
          <w:rFonts w:ascii="Arial" w:hAnsi="Arial"/>
          <w:i/>
        </w:rPr>
        <w:t xml:space="preserve">a quo </w:t>
      </w:r>
      <w:r w:rsidR="00210256">
        <w:rPr>
          <w:rFonts w:ascii="Arial" w:hAnsi="Arial"/>
        </w:rPr>
        <w:t xml:space="preserve">accionada </w:t>
      </w:r>
      <w:r w:rsidR="00236C6C">
        <w:rPr>
          <w:rFonts w:ascii="Arial" w:hAnsi="Arial"/>
        </w:rPr>
        <w:t>que declarara nulidad alguna</w:t>
      </w:r>
      <w:r>
        <w:rPr>
          <w:rFonts w:ascii="Arial" w:hAnsi="Arial"/>
        </w:rPr>
        <w:t>.</w:t>
      </w:r>
    </w:p>
    <w:p w:rsidR="00166B9E" w:rsidRDefault="00166B9E" w:rsidP="00166B9E">
      <w:pPr>
        <w:spacing w:line="360" w:lineRule="auto"/>
        <w:ind w:right="51"/>
        <w:jc w:val="both"/>
        <w:rPr>
          <w:rFonts w:ascii="Arial" w:hAnsi="Arial"/>
        </w:rPr>
      </w:pPr>
    </w:p>
    <w:p w:rsidR="001E2D81" w:rsidRPr="002128C2" w:rsidRDefault="001E2D81" w:rsidP="008D6EA6">
      <w:pPr>
        <w:pStyle w:val="Textoindependiente"/>
        <w:numPr>
          <w:ilvl w:val="1"/>
          <w:numId w:val="18"/>
        </w:numPr>
        <w:spacing w:line="360" w:lineRule="auto"/>
        <w:rPr>
          <w:rFonts w:ascii="Arial" w:hAnsi="Arial" w:cs="Arial"/>
          <w:szCs w:val="24"/>
        </w:rPr>
      </w:pPr>
      <w:r w:rsidRPr="002128C2">
        <w:rPr>
          <w:rFonts w:ascii="Arial" w:hAnsi="Arial" w:cs="Arial"/>
          <w:szCs w:val="24"/>
        </w:rPr>
        <w:t>La temeridad y la cosa juzgada constitucional</w:t>
      </w:r>
    </w:p>
    <w:p w:rsidR="001E2D81" w:rsidRPr="00D54497" w:rsidRDefault="001E2D81" w:rsidP="001E2D81">
      <w:pPr>
        <w:pStyle w:val="Textoindependiente"/>
        <w:spacing w:line="360" w:lineRule="auto"/>
        <w:rPr>
          <w:rFonts w:ascii="Arial" w:hAnsi="Arial" w:cs="Arial"/>
          <w:sz w:val="20"/>
          <w:szCs w:val="24"/>
        </w:rPr>
      </w:pPr>
    </w:p>
    <w:p w:rsidR="001E2D81" w:rsidRPr="002128C2" w:rsidRDefault="001E2D81" w:rsidP="001E2D81">
      <w:pPr>
        <w:pStyle w:val="Textoindependiente"/>
        <w:spacing w:line="360" w:lineRule="auto"/>
        <w:rPr>
          <w:rFonts w:ascii="Arial" w:hAnsi="Arial" w:cs="Arial"/>
          <w:szCs w:val="24"/>
        </w:rPr>
      </w:pPr>
      <w:r w:rsidRPr="002128C2">
        <w:rPr>
          <w:rFonts w:ascii="Arial" w:hAnsi="Arial" w:cs="Arial"/>
          <w:szCs w:val="24"/>
        </w:rPr>
        <w:t xml:space="preserve">De otro lado, se duele el actor de la renuencia de la Defensoría del Pueblo, Regional de Caldas en la formulación a su nombre de acciones de tutela destinadas a proteger los derechos fundamentales que considera afectados en las acciones populares por él interpuestas. </w:t>
      </w:r>
    </w:p>
    <w:p w:rsidR="001E2D81" w:rsidRPr="00D54497" w:rsidRDefault="001E2D81" w:rsidP="001E2D81">
      <w:pPr>
        <w:pStyle w:val="Textoindependiente"/>
        <w:spacing w:line="360" w:lineRule="auto"/>
        <w:rPr>
          <w:rFonts w:ascii="Arial" w:hAnsi="Arial" w:cs="Arial"/>
          <w:sz w:val="18"/>
          <w:szCs w:val="24"/>
        </w:rPr>
      </w:pPr>
    </w:p>
    <w:p w:rsidR="001E2D81" w:rsidRPr="002128C2" w:rsidRDefault="001E2D81" w:rsidP="001E2D81">
      <w:pPr>
        <w:pStyle w:val="Textoindependiente"/>
        <w:spacing w:line="360" w:lineRule="auto"/>
        <w:rPr>
          <w:rFonts w:ascii="Arial" w:hAnsi="Arial"/>
          <w:szCs w:val="24"/>
        </w:rPr>
      </w:pPr>
      <w:r w:rsidRPr="002128C2">
        <w:rPr>
          <w:rFonts w:ascii="Arial" w:hAnsi="Arial"/>
          <w:szCs w:val="24"/>
        </w:rPr>
        <w:t>Necesario es advertir que no es del caso estudiar de fondo el asunto puesto que previamente y en varias acciones de tutela, esta Corporación se ha pronunciado respecto de idénticas causas, pretensiones, derechos y partes, formuladas por el accionante. Entre ellas la radicada 2016-00526-00 con sentencia de primera instancia del 11-05-2016, confirmada por la CSJ con la decisión STC7545-2016.</w:t>
      </w:r>
    </w:p>
    <w:p w:rsidR="001E2D81" w:rsidRPr="00D54497" w:rsidRDefault="001E2D81" w:rsidP="001E2D81">
      <w:pPr>
        <w:pStyle w:val="Textoindependiente"/>
        <w:spacing w:line="360" w:lineRule="auto"/>
        <w:rPr>
          <w:rFonts w:ascii="Arial" w:hAnsi="Arial"/>
          <w:sz w:val="18"/>
          <w:szCs w:val="24"/>
        </w:rPr>
      </w:pPr>
    </w:p>
    <w:p w:rsidR="001E2D81" w:rsidRPr="00972A9D" w:rsidRDefault="001E2D81" w:rsidP="001E2D81">
      <w:pPr>
        <w:pStyle w:val="Textoindependiente"/>
        <w:spacing w:line="360" w:lineRule="auto"/>
        <w:rPr>
          <w:rFonts w:ascii="Arial" w:hAnsi="Arial"/>
          <w:iCs/>
          <w:szCs w:val="24"/>
        </w:rPr>
      </w:pPr>
      <w:r>
        <w:rPr>
          <w:rFonts w:ascii="Arial" w:hAnsi="Arial"/>
          <w:szCs w:val="24"/>
        </w:rPr>
        <w:t xml:space="preserve">Confrontados el escrito petitorio (Folio 1,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w:t>
      </w:r>
      <w:r w:rsidRPr="00972A9D">
        <w:rPr>
          <w:rFonts w:ascii="Arial" w:hAnsi="Arial"/>
          <w:iCs/>
          <w:szCs w:val="24"/>
        </w:rPr>
        <w:t xml:space="preserve">. </w:t>
      </w:r>
    </w:p>
    <w:p w:rsidR="001E2D81" w:rsidRPr="00972A9D" w:rsidRDefault="001E2D81" w:rsidP="001E2D81">
      <w:pPr>
        <w:pStyle w:val="Textoindependiente"/>
        <w:spacing w:line="360" w:lineRule="auto"/>
        <w:rPr>
          <w:rFonts w:ascii="Arial" w:hAnsi="Arial"/>
          <w:sz w:val="18"/>
          <w:szCs w:val="24"/>
        </w:rPr>
      </w:pPr>
    </w:p>
    <w:p w:rsidR="001E2D81" w:rsidRPr="00972A9D" w:rsidRDefault="001E2D81" w:rsidP="001E2D81">
      <w:pPr>
        <w:spacing w:line="360" w:lineRule="auto"/>
        <w:jc w:val="both"/>
        <w:rPr>
          <w:rFonts w:ascii="Arial" w:hAnsi="Arial"/>
        </w:rPr>
      </w:pPr>
      <w:r w:rsidRPr="00972A9D">
        <w:rPr>
          <w:rFonts w:ascii="Arial" w:hAnsi="Arial"/>
        </w:rPr>
        <w:t>Pero el análisis para declarar la existencia de la temeridad, impone que se verifique la ausencia de las siguientes situaciones, ya previstas por la Corte Constitucional</w:t>
      </w:r>
      <w:r w:rsidRPr="00972A9D">
        <w:rPr>
          <w:rStyle w:val="Refdenotaalpie"/>
          <w:rFonts w:ascii="Arial" w:hAnsi="Arial"/>
        </w:rPr>
        <w:footnoteReference w:id="27"/>
      </w:r>
      <w:r w:rsidRPr="00972A9D">
        <w:rPr>
          <w:rFonts w:ascii="Arial" w:hAnsi="Arial"/>
        </w:rPr>
        <w:t xml:space="preserve"> reiterada recientemente (2016)</w:t>
      </w:r>
      <w:r w:rsidRPr="00972A9D">
        <w:rPr>
          <w:rStyle w:val="Refdenotaalpie"/>
          <w:rFonts w:ascii="Arial" w:hAnsi="Arial"/>
        </w:rPr>
        <w:footnoteReference w:id="28"/>
      </w:r>
      <w:r w:rsidRPr="00972A9D">
        <w:rPr>
          <w:rFonts w:ascii="Arial" w:hAnsi="Arial"/>
        </w:rPr>
        <w:t>, así:</w:t>
      </w:r>
    </w:p>
    <w:p w:rsidR="001E2D81" w:rsidRPr="00972A9D" w:rsidRDefault="001E2D81" w:rsidP="001E2D81">
      <w:pPr>
        <w:ind w:left="567" w:right="567"/>
        <w:jc w:val="both"/>
        <w:rPr>
          <w:rFonts w:ascii="Arial" w:hAnsi="Arial" w:cs="Arial"/>
          <w:b/>
          <w:bCs/>
          <w:sz w:val="2"/>
          <w:szCs w:val="22"/>
        </w:rPr>
      </w:pPr>
    </w:p>
    <w:p w:rsidR="001E2D81" w:rsidRPr="00972A9D" w:rsidRDefault="001E2D81" w:rsidP="001E2D81">
      <w:pPr>
        <w:ind w:left="567" w:right="567"/>
        <w:jc w:val="both"/>
        <w:rPr>
          <w:rFonts w:ascii="Arial" w:hAnsi="Arial" w:cs="Arial"/>
          <w:b/>
          <w:bCs/>
          <w:sz w:val="22"/>
        </w:rPr>
      </w:pPr>
    </w:p>
    <w:p w:rsidR="001E2D81" w:rsidRPr="00972A9D" w:rsidRDefault="001E2D81" w:rsidP="001E2D81">
      <w:pPr>
        <w:ind w:left="567" w:right="567"/>
        <w:jc w:val="both"/>
        <w:rPr>
          <w:rFonts w:ascii="Arial" w:hAnsi="Arial" w:cs="Arial"/>
          <w:iCs/>
        </w:rPr>
      </w:pPr>
      <w:r w:rsidRPr="00972A9D">
        <w:rPr>
          <w:rFonts w:ascii="Arial" w:hAnsi="Arial" w:cs="Arial"/>
          <w:b/>
          <w:bCs/>
        </w:rPr>
        <w:t xml:space="preserve">6. </w:t>
      </w:r>
      <w:r w:rsidRPr="00972A9D">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972A9D">
        <w:rPr>
          <w:rFonts w:ascii="Arial" w:hAnsi="Arial" w:cs="Arial"/>
          <w:i/>
          <w:iCs/>
        </w:rPr>
        <w:t>“todas las solicitudes”</w:t>
      </w:r>
      <w:r w:rsidRPr="00972A9D">
        <w:rPr>
          <w:rFonts w:ascii="Arial" w:hAnsi="Arial" w:cs="Arial"/>
        </w:rPr>
        <w:t>, le habilita -en armonía con lo previsto en los artículos 72 y 73 del Código de Procedimiento Civil</w:t>
      </w:r>
      <w:r w:rsidRPr="00972A9D">
        <w:rPr>
          <w:rStyle w:val="Refdenotaalpie"/>
          <w:rFonts w:ascii="Arial" w:hAnsi="Arial" w:cs="Arial"/>
        </w:rPr>
        <w:footnoteReference w:id="29"/>
      </w:r>
      <w:r w:rsidRPr="00972A9D">
        <w:rPr>
          <w:rFonts w:ascii="Arial" w:hAnsi="Arial" w:cs="Arial"/>
        </w:rPr>
        <w:t>-,  para sancionar pecuniariamente a los responsables</w:t>
      </w:r>
      <w:r w:rsidRPr="00972A9D">
        <w:rPr>
          <w:rStyle w:val="Refdenotaalpie"/>
          <w:rFonts w:ascii="Arial" w:hAnsi="Arial" w:cs="Arial"/>
        </w:rPr>
        <w:footnoteReference w:id="30"/>
      </w:r>
      <w:r w:rsidRPr="00972A9D">
        <w:rPr>
          <w:rFonts w:ascii="Arial" w:hAnsi="Arial" w:cs="Arial"/>
        </w:rPr>
        <w:t xml:space="preserve">, </w:t>
      </w:r>
      <w:r w:rsidRPr="00972A9D">
        <w:rPr>
          <w:rFonts w:ascii="Arial" w:hAnsi="Arial" w:cs="Arial"/>
          <w:u w:val="single"/>
        </w:rPr>
        <w:t>siempre que la presentación de más de una acción de amparo constitucional entre las mismas partes, por los mismos hechos y con el mismo objeto</w:t>
      </w:r>
      <w:r w:rsidRPr="00972A9D">
        <w:rPr>
          <w:rFonts w:ascii="Arial" w:hAnsi="Arial" w:cs="Arial"/>
        </w:rPr>
        <w:t xml:space="preserve"> </w:t>
      </w:r>
      <w:r w:rsidRPr="00972A9D">
        <w:rPr>
          <w:rFonts w:ascii="Arial" w:hAnsi="Arial" w:cs="Arial"/>
          <w:u w:val="single"/>
        </w:rPr>
        <w:t>(i) envuelva una actuación amañada, reservando para cada acción aquellos argumentos o pruebas que convaliden sus pretensiones</w:t>
      </w:r>
      <w:r w:rsidRPr="00972A9D">
        <w:rPr>
          <w:rStyle w:val="Refdenotaalpie"/>
          <w:rFonts w:ascii="Arial" w:hAnsi="Arial" w:cs="Arial"/>
          <w:u w:val="single"/>
        </w:rPr>
        <w:footnoteReference w:id="31"/>
      </w:r>
      <w:r w:rsidRPr="00972A9D">
        <w:rPr>
          <w:rFonts w:ascii="Arial" w:hAnsi="Arial" w:cs="Arial"/>
          <w:u w:val="single"/>
        </w:rPr>
        <w:t xml:space="preserve">; (ii) denote el propósito desleal de </w:t>
      </w:r>
      <w:r w:rsidRPr="00972A9D">
        <w:rPr>
          <w:rFonts w:ascii="Arial" w:hAnsi="Arial" w:cs="Arial"/>
          <w:i/>
          <w:iCs/>
          <w:u w:val="single"/>
        </w:rPr>
        <w:t xml:space="preserve">“obtener la satisfacción del interés individual a toda costa, jugando con la eventualidad de una </w:t>
      </w:r>
      <w:r w:rsidRPr="00972A9D">
        <w:rPr>
          <w:rFonts w:ascii="Arial" w:hAnsi="Arial" w:cs="Arial"/>
          <w:i/>
          <w:iCs/>
          <w:u w:val="single"/>
        </w:rPr>
        <w:lastRenderedPageBreak/>
        <w:t>interpretación judicial que, entre varias, pudiera resultar favorable”</w:t>
      </w:r>
      <w:r w:rsidRPr="00972A9D">
        <w:rPr>
          <w:rStyle w:val="Refdenotaalpie"/>
          <w:rFonts w:ascii="Arial" w:hAnsi="Arial" w:cs="Arial"/>
          <w:u w:val="single"/>
        </w:rPr>
        <w:footnoteReference w:id="32"/>
      </w:r>
      <w:r w:rsidRPr="00972A9D">
        <w:rPr>
          <w:rFonts w:ascii="Arial" w:hAnsi="Arial" w:cs="Arial"/>
          <w:u w:val="single"/>
        </w:rPr>
        <w:t xml:space="preserve">; (iii) deje al descubierto el </w:t>
      </w:r>
      <w:r w:rsidRPr="00972A9D">
        <w:rPr>
          <w:rFonts w:ascii="Arial" w:hAnsi="Arial" w:cs="Arial"/>
          <w:i/>
          <w:iCs/>
          <w:u w:val="single"/>
        </w:rPr>
        <w:t>"abuso del derecho porque deliberadamente y sin tener razón, de mala fe se instaura la acción”</w:t>
      </w:r>
      <w:r w:rsidRPr="00972A9D">
        <w:rPr>
          <w:rStyle w:val="Refdenotaalpie"/>
          <w:rFonts w:ascii="Arial" w:hAnsi="Arial" w:cs="Arial"/>
          <w:u w:val="single"/>
        </w:rPr>
        <w:footnoteReference w:id="33"/>
      </w:r>
      <w:r w:rsidRPr="00972A9D">
        <w:rPr>
          <w:rFonts w:ascii="Arial" w:hAnsi="Arial" w:cs="Arial"/>
          <w:u w:val="single"/>
        </w:rPr>
        <w:t xml:space="preserve">; o finalmente (iv) se pretenda a través de personas inescrupulosas asaltar la </w:t>
      </w:r>
      <w:r w:rsidRPr="00972A9D">
        <w:rPr>
          <w:rFonts w:ascii="Arial" w:hAnsi="Arial" w:cs="Arial"/>
          <w:i/>
          <w:iCs/>
          <w:u w:val="single"/>
        </w:rPr>
        <w:t>“buena fe de los administradores de justicia</w:t>
      </w:r>
      <w:r w:rsidRPr="00972A9D">
        <w:rPr>
          <w:rFonts w:ascii="Arial" w:hAnsi="Arial" w:cs="Arial"/>
          <w:i/>
          <w:iCs/>
        </w:rPr>
        <w:t>”</w:t>
      </w:r>
      <w:r w:rsidRPr="00972A9D">
        <w:rPr>
          <w:rStyle w:val="Refdenotaalpie"/>
          <w:rFonts w:ascii="Arial" w:hAnsi="Arial" w:cs="Arial"/>
        </w:rPr>
        <w:footnoteReference w:id="34"/>
      </w:r>
      <w:r w:rsidRPr="00972A9D">
        <w:rPr>
          <w:rFonts w:ascii="Arial" w:hAnsi="Arial" w:cs="Arial"/>
          <w:i/>
          <w:iCs/>
        </w:rPr>
        <w:t>.</w:t>
      </w:r>
      <w:r w:rsidRPr="00972A9D">
        <w:rPr>
          <w:rFonts w:ascii="Arial" w:hAnsi="Arial" w:cs="Arial"/>
          <w:iCs/>
        </w:rPr>
        <w:t xml:space="preserve">  El resaltado es propio de esta Colegiatura.</w:t>
      </w:r>
    </w:p>
    <w:p w:rsidR="001E2D81" w:rsidRPr="00972A9D" w:rsidRDefault="001E2D81" w:rsidP="001E2D81">
      <w:pPr>
        <w:spacing w:line="360" w:lineRule="auto"/>
        <w:ind w:right="51"/>
        <w:jc w:val="both"/>
        <w:rPr>
          <w:rFonts w:ascii="Arial" w:hAnsi="Arial"/>
        </w:rPr>
      </w:pPr>
    </w:p>
    <w:p w:rsidR="001E2D81" w:rsidRPr="00F2155F" w:rsidRDefault="001E2D81" w:rsidP="001E2D81">
      <w:pPr>
        <w:spacing w:line="360" w:lineRule="auto"/>
        <w:ind w:right="51"/>
        <w:jc w:val="both"/>
        <w:rPr>
          <w:rFonts w:ascii="Arial" w:hAnsi="Arial"/>
        </w:rPr>
      </w:pPr>
      <w:r w:rsidRPr="00972A9D">
        <w:rPr>
          <w:rFonts w:ascii="Arial" w:hAnsi="Arial"/>
        </w:rPr>
        <w:t>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w:t>
      </w:r>
      <w:r w:rsidRPr="00F2155F">
        <w:rPr>
          <w:rFonts w:ascii="Arial" w:hAnsi="Arial"/>
        </w:rPr>
        <w:t xml:space="preserve">  </w:t>
      </w:r>
    </w:p>
    <w:p w:rsidR="001E2D81" w:rsidRPr="00D54497" w:rsidRDefault="001E2D81" w:rsidP="001E2D81">
      <w:pPr>
        <w:pStyle w:val="Textoindependiente"/>
        <w:spacing w:line="360" w:lineRule="auto"/>
        <w:rPr>
          <w:rFonts w:ascii="Arial" w:hAnsi="Arial" w:cs="Arial"/>
          <w:sz w:val="18"/>
          <w:szCs w:val="24"/>
        </w:rPr>
      </w:pPr>
    </w:p>
    <w:p w:rsidR="001E2D81" w:rsidRDefault="001E2D81" w:rsidP="001E2D81">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35"/>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tutelante</w:t>
      </w:r>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Refdenotaalpie"/>
          <w:rFonts w:ascii="Arial" w:hAnsi="Arial"/>
        </w:rPr>
        <w:footnoteReference w:id="36"/>
      </w:r>
      <w:r>
        <w:rPr>
          <w:rFonts w:ascii="Arial" w:hAnsi="Arial" w:cs="Arial"/>
        </w:rPr>
        <w:t xml:space="preserve"> comparte en su jurisprudencia. También precedente horizontal de esta Corporación</w:t>
      </w:r>
      <w:r>
        <w:rPr>
          <w:rStyle w:val="Refdenotaalpie"/>
          <w:rFonts w:ascii="Arial" w:hAnsi="Arial"/>
        </w:rPr>
        <w:footnoteReference w:id="37"/>
      </w:r>
      <w:r>
        <w:rPr>
          <w:rFonts w:ascii="Arial" w:hAnsi="Arial" w:cs="Arial"/>
        </w:rPr>
        <w:t>.</w:t>
      </w:r>
    </w:p>
    <w:p w:rsidR="001E2D81" w:rsidRPr="00104D5D" w:rsidRDefault="001E2D81" w:rsidP="001E2D81">
      <w:pPr>
        <w:spacing w:line="360" w:lineRule="auto"/>
        <w:ind w:right="51"/>
        <w:jc w:val="both"/>
        <w:rPr>
          <w:rFonts w:ascii="Arial" w:hAnsi="Arial" w:cs="Arial"/>
        </w:rPr>
      </w:pPr>
      <w:r>
        <w:rPr>
          <w:rFonts w:ascii="Arial" w:hAnsi="Arial" w:cs="Arial"/>
        </w:rPr>
        <w:t xml:space="preserve"> </w:t>
      </w:r>
    </w:p>
    <w:p w:rsidR="00166B9E" w:rsidRDefault="00166B9E" w:rsidP="00166B9E">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w:t>
      </w:r>
      <w:r w:rsidRPr="00FB3B2B">
        <w:rPr>
          <w:rFonts w:ascii="Arial" w:hAnsi="Arial" w:cs="Arial"/>
        </w:rPr>
        <w:t xml:space="preserve">con la orden impartida en el proveído del día </w:t>
      </w:r>
      <w:r w:rsidR="008D6EA6">
        <w:rPr>
          <w:rFonts w:ascii="Arial" w:hAnsi="Arial" w:cs="Arial"/>
        </w:rPr>
        <w:t>05-09</w:t>
      </w:r>
      <w:r>
        <w:rPr>
          <w:rFonts w:ascii="Arial" w:hAnsi="Arial" w:cs="Arial"/>
        </w:rPr>
        <w:t>-2016</w:t>
      </w:r>
      <w:r w:rsidRPr="00FB3B2B">
        <w:rPr>
          <w:rFonts w:ascii="Arial" w:hAnsi="Arial" w:cs="Arial"/>
        </w:rPr>
        <w:t xml:space="preserve"> </w:t>
      </w:r>
      <w:r w:rsidRPr="00FB3B2B">
        <w:rPr>
          <w:rFonts w:ascii="Arial" w:hAnsi="Arial" w:cs="Arial"/>
          <w:iCs/>
          <w:color w:val="000000"/>
          <w:lang w:eastAsia="es-CO"/>
        </w:rPr>
        <w:t>(Folios 4 y 5, ib.)</w:t>
      </w:r>
      <w:r w:rsidRPr="00FB3B2B">
        <w:rPr>
          <w:rFonts w:ascii="Arial" w:hAnsi="Arial" w:cs="Arial"/>
        </w:rPr>
        <w:t>, en el sentido de escanearlas y remitirlas a su correo electrónico, se cumplió dicho pedimento.</w:t>
      </w:r>
    </w:p>
    <w:p w:rsidR="00236C6C" w:rsidRDefault="00236C6C" w:rsidP="00166B9E">
      <w:pPr>
        <w:spacing w:line="360" w:lineRule="auto"/>
        <w:ind w:right="51"/>
        <w:jc w:val="both"/>
        <w:rPr>
          <w:rFonts w:ascii="Arial" w:hAnsi="Arial" w:cs="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C8015D" w:rsidRDefault="00C8015D"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 xml:space="preserve">Con </w:t>
      </w:r>
      <w:r w:rsidR="00C8015D">
        <w:rPr>
          <w:rFonts w:ascii="Arial" w:hAnsi="Arial" w:cs="Arial"/>
          <w:szCs w:val="24"/>
          <w:lang w:val="es-ES"/>
        </w:rPr>
        <w:t xml:space="preserve"> </w:t>
      </w:r>
      <w:r w:rsidRPr="00E11045">
        <w:rPr>
          <w:rFonts w:ascii="Arial" w:hAnsi="Arial" w:cs="Arial"/>
          <w:szCs w:val="24"/>
          <w:lang w:val="es-ES"/>
        </w:rPr>
        <w:t xml:space="preserve">fundamento </w:t>
      </w:r>
      <w:r w:rsidR="00C8015D">
        <w:rPr>
          <w:rFonts w:ascii="Arial" w:hAnsi="Arial" w:cs="Arial"/>
          <w:szCs w:val="24"/>
          <w:lang w:val="es-ES"/>
        </w:rPr>
        <w:t xml:space="preserve"> </w:t>
      </w:r>
      <w:r w:rsidRPr="00E11045">
        <w:rPr>
          <w:rFonts w:ascii="Arial" w:hAnsi="Arial" w:cs="Arial"/>
          <w:szCs w:val="24"/>
          <w:lang w:val="es-ES"/>
        </w:rPr>
        <w:t xml:space="preserve">en </w:t>
      </w:r>
      <w:r w:rsidR="00C8015D">
        <w:rPr>
          <w:rFonts w:ascii="Arial" w:hAnsi="Arial" w:cs="Arial"/>
          <w:szCs w:val="24"/>
          <w:lang w:val="es-ES"/>
        </w:rPr>
        <w:t xml:space="preserve"> </w:t>
      </w:r>
      <w:r w:rsidRPr="00E11045">
        <w:rPr>
          <w:rFonts w:ascii="Arial" w:hAnsi="Arial" w:cs="Arial"/>
          <w:szCs w:val="24"/>
          <w:lang w:val="es-ES"/>
        </w:rPr>
        <w:t xml:space="preserve">las </w:t>
      </w:r>
      <w:r w:rsidR="00C8015D">
        <w:rPr>
          <w:rFonts w:ascii="Arial" w:hAnsi="Arial" w:cs="Arial"/>
          <w:szCs w:val="24"/>
          <w:lang w:val="es-ES"/>
        </w:rPr>
        <w:t xml:space="preserve"> </w:t>
      </w:r>
      <w:r w:rsidRPr="00E11045">
        <w:rPr>
          <w:rFonts w:ascii="Arial" w:hAnsi="Arial" w:cs="Arial"/>
          <w:szCs w:val="24"/>
          <w:lang w:val="es-ES"/>
        </w:rPr>
        <w:t xml:space="preserve">consideraciones </w:t>
      </w:r>
      <w:r w:rsidR="00C8015D">
        <w:rPr>
          <w:rFonts w:ascii="Arial" w:hAnsi="Arial" w:cs="Arial"/>
          <w:szCs w:val="24"/>
          <w:lang w:val="es-ES"/>
        </w:rPr>
        <w:t xml:space="preserve"> </w:t>
      </w:r>
      <w:r w:rsidRPr="00E11045">
        <w:rPr>
          <w:rFonts w:ascii="Arial" w:hAnsi="Arial" w:cs="Arial"/>
          <w:szCs w:val="24"/>
          <w:lang w:val="es-ES"/>
        </w:rPr>
        <w:t>expuestas</w:t>
      </w:r>
      <w:r>
        <w:rPr>
          <w:rFonts w:ascii="Arial" w:hAnsi="Arial" w:cs="Arial"/>
          <w:szCs w:val="24"/>
          <w:lang w:val="es-ES"/>
        </w:rPr>
        <w:t>,</w:t>
      </w:r>
      <w:r w:rsidRPr="00E11045">
        <w:rPr>
          <w:rFonts w:ascii="Arial" w:hAnsi="Arial" w:cs="Arial"/>
          <w:szCs w:val="24"/>
          <w:lang w:val="es-ES"/>
        </w:rPr>
        <w:t xml:space="preserve"> </w:t>
      </w:r>
      <w:r w:rsidR="00C8015D">
        <w:rPr>
          <w:rFonts w:ascii="Arial" w:hAnsi="Arial" w:cs="Arial"/>
          <w:szCs w:val="24"/>
          <w:lang w:val="es-ES"/>
        </w:rPr>
        <w:t xml:space="preserve"> </w:t>
      </w:r>
      <w:r w:rsidRPr="00F00F95">
        <w:rPr>
          <w:rFonts w:ascii="Arial" w:hAnsi="Arial" w:cs="Arial"/>
          <w:szCs w:val="24"/>
        </w:rPr>
        <w:t xml:space="preserve">en </w:t>
      </w:r>
      <w:r w:rsidR="00C8015D">
        <w:rPr>
          <w:rFonts w:ascii="Arial" w:hAnsi="Arial" w:cs="Arial"/>
          <w:szCs w:val="24"/>
        </w:rPr>
        <w:t xml:space="preserve"> </w:t>
      </w:r>
      <w:r w:rsidRPr="00F00F95">
        <w:rPr>
          <w:rFonts w:ascii="Arial" w:hAnsi="Arial" w:cs="Arial"/>
          <w:szCs w:val="24"/>
        </w:rPr>
        <w:t xml:space="preserve">los </w:t>
      </w:r>
      <w:r w:rsidR="00C8015D">
        <w:rPr>
          <w:rFonts w:ascii="Arial" w:hAnsi="Arial" w:cs="Arial"/>
          <w:szCs w:val="24"/>
        </w:rPr>
        <w:t xml:space="preserve"> </w:t>
      </w:r>
      <w:r w:rsidRPr="00F00F95">
        <w:rPr>
          <w:rFonts w:ascii="Arial" w:hAnsi="Arial" w:cs="Arial"/>
          <w:szCs w:val="24"/>
        </w:rPr>
        <w:t xml:space="preserve">acápites </w:t>
      </w:r>
      <w:r w:rsidR="00C8015D">
        <w:rPr>
          <w:rFonts w:ascii="Arial" w:hAnsi="Arial" w:cs="Arial"/>
          <w:szCs w:val="24"/>
        </w:rPr>
        <w:t xml:space="preserve"> </w:t>
      </w:r>
      <w:r w:rsidRPr="00F00F95">
        <w:rPr>
          <w:rFonts w:ascii="Arial" w:hAnsi="Arial" w:cs="Arial"/>
          <w:szCs w:val="24"/>
        </w:rPr>
        <w:t>anteriores</w:t>
      </w:r>
      <w:r>
        <w:rPr>
          <w:rFonts w:ascii="Arial" w:hAnsi="Arial" w:cs="Arial"/>
          <w:szCs w:val="24"/>
        </w:rPr>
        <w:t xml:space="preserve">: </w:t>
      </w:r>
      <w:r w:rsidR="00C8015D">
        <w:rPr>
          <w:rFonts w:ascii="Arial" w:hAnsi="Arial" w:cs="Arial"/>
          <w:szCs w:val="24"/>
        </w:rPr>
        <w:t xml:space="preserve"> </w:t>
      </w:r>
      <w:r>
        <w:rPr>
          <w:rFonts w:ascii="Arial" w:hAnsi="Arial" w:cs="Arial"/>
        </w:rPr>
        <w:t xml:space="preserve">(i) </w:t>
      </w:r>
      <w:r w:rsidR="00C8015D">
        <w:rPr>
          <w:rFonts w:ascii="Arial" w:hAnsi="Arial" w:cs="Arial"/>
        </w:rPr>
        <w:t xml:space="preserve"> </w:t>
      </w:r>
      <w:r w:rsidR="00166B9E">
        <w:rPr>
          <w:rFonts w:ascii="Arial" w:hAnsi="Arial" w:cs="Arial"/>
        </w:rPr>
        <w:t>Se declarará improcedente la acción constitucional invocada con estribo en que se incumplió el presupuesto de subsidiariedad;</w:t>
      </w:r>
      <w:r w:rsidR="009102BF">
        <w:rPr>
          <w:rFonts w:ascii="Arial" w:hAnsi="Arial" w:cs="Arial"/>
        </w:rPr>
        <w:t xml:space="preserve"> (ii)</w:t>
      </w:r>
      <w:r>
        <w:rPr>
          <w:rFonts w:ascii="Arial" w:hAnsi="Arial" w:cs="Arial"/>
          <w:szCs w:val="24"/>
          <w:lang w:val="es-ES"/>
        </w:rPr>
        <w:t xml:space="preserve"> </w:t>
      </w:r>
      <w:r>
        <w:rPr>
          <w:rFonts w:ascii="Arial" w:hAnsi="Arial" w:cs="Arial"/>
        </w:rPr>
        <w:t xml:space="preserve">Se negará respecto </w:t>
      </w:r>
      <w:r w:rsidR="000676DD">
        <w:rPr>
          <w:rFonts w:ascii="Arial" w:hAnsi="Arial" w:cs="Arial"/>
        </w:rPr>
        <w:t>de la EPS SURA SA sucursal calle 15 No.13-110 oficina 302 de Pereira porque no incurrió en violación o amenaza a los derechos fundamentales del actor; (iii) Se declarará improcedente con relación a la Defensoría del Pueblo y la Procuraduría General de la Nación, Regionales de Risaralda, y la Alcaldía y la Personería de Pereira por carecer de legitimación</w:t>
      </w:r>
      <w:r w:rsidR="001E2D81">
        <w:rPr>
          <w:rFonts w:ascii="Arial" w:hAnsi="Arial" w:cs="Arial"/>
          <w:szCs w:val="24"/>
          <w:lang w:val="es-ES"/>
        </w:rPr>
        <w:t xml:space="preserve">; y (iv) </w:t>
      </w:r>
      <w:r w:rsidR="001E2D81">
        <w:rPr>
          <w:rFonts w:ascii="Arial" w:hAnsi="Arial" w:cs="Arial"/>
        </w:rPr>
        <w:t xml:space="preserve">Se declarará improcedente respecto de la Defensoría del Pueblo, Regional Caldas </w:t>
      </w:r>
      <w:r w:rsidR="001E2D81" w:rsidRPr="002128C2">
        <w:rPr>
          <w:rFonts w:ascii="Arial" w:hAnsi="Arial"/>
        </w:rPr>
        <w:t>por haberse verificado la duplicidad de la acciones de tutela, sin que haya lugar a imponer multa, según se anotó</w:t>
      </w:r>
      <w:r w:rsidR="001E2D81">
        <w:rPr>
          <w:rFonts w:ascii="Arial" w:hAnsi="Arial"/>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xml:space="preserve">, administrando Justicia, en nombre de la República y por </w:t>
      </w:r>
      <w:r w:rsidRPr="00B417C0">
        <w:rPr>
          <w:rFonts w:ascii="Arial" w:hAnsi="Arial" w:cs="Arial"/>
        </w:rPr>
        <w:lastRenderedPageBreak/>
        <w:t>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890131" w:rsidRDefault="00A67757" w:rsidP="00FF5B57">
      <w:pPr>
        <w:pStyle w:val="Textoindependiente"/>
        <w:spacing w:line="360" w:lineRule="auto"/>
        <w:jc w:val="center"/>
        <w:rPr>
          <w:rFonts w:ascii="Arial" w:hAnsi="Arial" w:cs="Arial"/>
          <w:bCs/>
          <w:smallCaps/>
          <w:sz w:val="20"/>
          <w:szCs w:val="24"/>
        </w:rPr>
      </w:pPr>
    </w:p>
    <w:p w:rsidR="00166B9E" w:rsidRPr="009D78C0" w:rsidRDefault="00166B9E" w:rsidP="009D78C0">
      <w:pPr>
        <w:pStyle w:val="Textoindependiente"/>
        <w:numPr>
          <w:ilvl w:val="0"/>
          <w:numId w:val="6"/>
        </w:numPr>
        <w:tabs>
          <w:tab w:val="clear" w:pos="720"/>
          <w:tab w:val="num" w:pos="360"/>
        </w:tabs>
        <w:spacing w:line="360" w:lineRule="auto"/>
        <w:ind w:left="360"/>
        <w:rPr>
          <w:rFonts w:ascii="Arial" w:hAnsi="Arial" w:cs="Arial"/>
          <w:szCs w:val="24"/>
        </w:rPr>
      </w:pPr>
      <w:r w:rsidRPr="00166B9E">
        <w:rPr>
          <w:rFonts w:ascii="Arial" w:hAnsi="Arial" w:cs="Arial"/>
        </w:rPr>
        <w:t xml:space="preserve">DECLARAR improcedente la tutela propuesta por el señor Javier Elías Arias Idárraga contra el </w:t>
      </w:r>
      <w:r w:rsidR="009D78C0">
        <w:rPr>
          <w:rFonts w:ascii="Arial" w:hAnsi="Arial" w:cs="Arial"/>
          <w:szCs w:val="24"/>
          <w:lang w:val="es-ES"/>
        </w:rPr>
        <w:t>Juzgado Cuarto Civil del Circuito de esta ciudad</w:t>
      </w:r>
      <w:r w:rsidR="001E2D81">
        <w:rPr>
          <w:rFonts w:ascii="Arial" w:hAnsi="Arial" w:cs="Arial"/>
        </w:rPr>
        <w:t>,</w:t>
      </w:r>
      <w:r w:rsidR="001E2D81" w:rsidRPr="001E2D81">
        <w:rPr>
          <w:rFonts w:ascii="Arial" w:hAnsi="Arial" w:cs="Arial"/>
        </w:rPr>
        <w:t xml:space="preserve"> </w:t>
      </w:r>
      <w:r w:rsidR="001E2D81">
        <w:rPr>
          <w:rFonts w:ascii="Arial" w:hAnsi="Arial" w:cs="Arial"/>
        </w:rPr>
        <w:t xml:space="preserve">la Defensoría del Pueblo y la Procuraduría General de la Nación, Regionales de Risaralda, la Alcaldía y la Personería de Pereira, y la Defensoría del Pueblo, Regional Caldas </w:t>
      </w:r>
      <w:r w:rsidRPr="009D78C0">
        <w:rPr>
          <w:rFonts w:ascii="Arial" w:hAnsi="Arial" w:cs="Arial"/>
        </w:rPr>
        <w:t>.</w:t>
      </w:r>
    </w:p>
    <w:p w:rsidR="000676DD" w:rsidRDefault="000676DD" w:rsidP="000676DD">
      <w:pPr>
        <w:pStyle w:val="Textoindependiente"/>
        <w:tabs>
          <w:tab w:val="clear" w:pos="708"/>
        </w:tabs>
        <w:spacing w:line="360" w:lineRule="auto"/>
        <w:ind w:left="360"/>
        <w:rPr>
          <w:rFonts w:ascii="Arial" w:hAnsi="Arial" w:cs="Arial"/>
          <w:szCs w:val="24"/>
        </w:rPr>
      </w:pPr>
    </w:p>
    <w:p w:rsidR="000676DD" w:rsidRDefault="000144F9" w:rsidP="000676DD">
      <w:pPr>
        <w:pStyle w:val="Textoindependiente"/>
        <w:numPr>
          <w:ilvl w:val="0"/>
          <w:numId w:val="6"/>
        </w:numPr>
        <w:tabs>
          <w:tab w:val="clear" w:pos="720"/>
          <w:tab w:val="num" w:pos="360"/>
        </w:tabs>
        <w:spacing w:line="360" w:lineRule="auto"/>
        <w:ind w:left="360"/>
        <w:rPr>
          <w:rFonts w:ascii="Arial" w:hAnsi="Arial" w:cs="Arial"/>
          <w:szCs w:val="24"/>
        </w:rPr>
      </w:pPr>
      <w:r w:rsidRPr="000676DD">
        <w:rPr>
          <w:rFonts w:ascii="Arial" w:hAnsi="Arial" w:cs="Arial"/>
        </w:rPr>
        <w:t xml:space="preserve">NEGAR </w:t>
      </w:r>
      <w:r w:rsidR="000676DD" w:rsidRPr="000676DD">
        <w:rPr>
          <w:rFonts w:ascii="Arial" w:hAnsi="Arial" w:cs="Arial"/>
          <w:szCs w:val="24"/>
        </w:rPr>
        <w:t xml:space="preserve">el amparo constitucional promovido frente </w:t>
      </w:r>
      <w:r w:rsidR="000676DD" w:rsidRPr="000676DD">
        <w:rPr>
          <w:rFonts w:ascii="Arial" w:hAnsi="Arial" w:cs="Arial"/>
        </w:rPr>
        <w:t xml:space="preserve">la EPS SURA SA sucursal calle 15 No.13-110 oficina 302 de Pereira </w:t>
      </w:r>
      <w:r w:rsidR="0049769C" w:rsidRPr="000676DD">
        <w:rPr>
          <w:rFonts w:ascii="Arial" w:hAnsi="Arial" w:cs="Arial"/>
          <w:szCs w:val="24"/>
        </w:rPr>
        <w:t>por inexistencia de violación o amenaza a los derechos i</w:t>
      </w:r>
      <w:r w:rsidR="000676DD">
        <w:rPr>
          <w:rFonts w:ascii="Arial" w:hAnsi="Arial" w:cs="Arial"/>
          <w:szCs w:val="24"/>
        </w:rPr>
        <w:t>nvocados.</w:t>
      </w:r>
    </w:p>
    <w:p w:rsidR="000676DD" w:rsidRDefault="000676DD" w:rsidP="000676DD">
      <w:pPr>
        <w:pStyle w:val="Prrafodelista"/>
        <w:rPr>
          <w:rFonts w:ascii="Arial" w:hAnsi="Arial" w:cs="Arial"/>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CD4531" w:rsidRPr="00890131" w:rsidRDefault="00CD4531" w:rsidP="00CD453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89013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890131" w:rsidRDefault="00626C89" w:rsidP="00FF5B57">
      <w:pPr>
        <w:pStyle w:val="Prrafodelista"/>
        <w:widowControl/>
        <w:autoSpaceDE/>
        <w:autoSpaceDN/>
        <w:adjustRightInd/>
        <w:spacing w:line="360" w:lineRule="auto"/>
        <w:ind w:left="360" w:right="51"/>
        <w:contextualSpacing/>
        <w:jc w:val="both"/>
        <w:rPr>
          <w:rFonts w:ascii="Arial" w:hAnsi="Arial"/>
          <w:sz w:val="12"/>
        </w:rPr>
      </w:pPr>
    </w:p>
    <w:p w:rsidR="00126266" w:rsidRPr="00235C5D" w:rsidRDefault="00126266" w:rsidP="00126266">
      <w:pPr>
        <w:pStyle w:val="Textoindependiente"/>
        <w:spacing w:line="360" w:lineRule="auto"/>
        <w:jc w:val="center"/>
        <w:rPr>
          <w:rFonts w:ascii="Arial" w:hAnsi="Arial"/>
          <w:smallCaps/>
          <w:szCs w:val="24"/>
          <w:lang w:val="en-US"/>
        </w:rPr>
      </w:pPr>
      <w:r w:rsidRPr="00235C5D">
        <w:rPr>
          <w:rFonts w:ascii="Arial" w:hAnsi="Arial"/>
          <w:smallCaps/>
          <w:szCs w:val="24"/>
          <w:lang w:val="en-US"/>
        </w:rPr>
        <w:t>Notifíquese,</w:t>
      </w:r>
    </w:p>
    <w:p w:rsidR="00DA569C" w:rsidRPr="00235C5D" w:rsidRDefault="00DA569C" w:rsidP="00417DA5">
      <w:pPr>
        <w:pStyle w:val="Textoindependiente"/>
        <w:spacing w:line="360" w:lineRule="auto"/>
        <w:jc w:val="center"/>
        <w:rPr>
          <w:rFonts w:ascii="Arial" w:hAnsi="Arial"/>
          <w:sz w:val="22"/>
          <w:szCs w:val="24"/>
          <w:lang w:val="en-US"/>
        </w:rPr>
      </w:pPr>
    </w:p>
    <w:p w:rsidR="003E66CE" w:rsidRPr="00235C5D" w:rsidRDefault="003E66CE" w:rsidP="00417DA5">
      <w:pPr>
        <w:pStyle w:val="Textoindependiente"/>
        <w:spacing w:line="360" w:lineRule="auto"/>
        <w:jc w:val="center"/>
        <w:rPr>
          <w:rFonts w:ascii="Arial" w:hAnsi="Arial"/>
          <w:sz w:val="22"/>
          <w:szCs w:val="24"/>
          <w:lang w:val="en-US"/>
        </w:rPr>
      </w:pPr>
    </w:p>
    <w:p w:rsidR="00B30152" w:rsidRPr="00890131" w:rsidRDefault="00B30152" w:rsidP="00417DA5">
      <w:pPr>
        <w:pStyle w:val="Textoindependiente"/>
        <w:spacing w:line="360" w:lineRule="auto"/>
        <w:jc w:val="center"/>
        <w:rPr>
          <w:rFonts w:ascii="Arial" w:hAnsi="Arial"/>
          <w:sz w:val="18"/>
          <w:szCs w:val="24"/>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35C5D">
        <w:rPr>
          <w:rFonts w:ascii="Arial" w:hAnsi="Arial" w:cs="Arial"/>
          <w:i/>
          <w:spacing w:val="-3"/>
          <w:w w:val="150"/>
          <w:sz w:val="28"/>
          <w:lang w:val="en-US"/>
        </w:rPr>
        <w:t>D</w:t>
      </w:r>
      <w:r w:rsidRPr="00235C5D">
        <w:rPr>
          <w:rFonts w:ascii="Arial" w:hAnsi="Arial" w:cs="Arial"/>
          <w:i/>
          <w:spacing w:val="-3"/>
          <w:w w:val="150"/>
          <w:sz w:val="18"/>
          <w:szCs w:val="16"/>
          <w:lang w:val="en-US"/>
        </w:rPr>
        <w:t xml:space="preserve">UBERNEY </w:t>
      </w:r>
      <w:r w:rsidRPr="00235C5D">
        <w:rPr>
          <w:rFonts w:ascii="Arial" w:hAnsi="Arial" w:cs="Arial"/>
          <w:i/>
          <w:spacing w:val="-3"/>
          <w:w w:val="150"/>
          <w:sz w:val="28"/>
          <w:lang w:val="en-US"/>
        </w:rPr>
        <w:t>G</w:t>
      </w:r>
      <w:r w:rsidRPr="00235C5D">
        <w:rPr>
          <w:rFonts w:ascii="Arial" w:hAnsi="Arial" w:cs="Arial"/>
          <w:i/>
          <w:spacing w:val="-3"/>
          <w:w w:val="150"/>
          <w:sz w:val="18"/>
          <w:szCs w:val="16"/>
          <w:lang w:val="en-US"/>
        </w:rPr>
        <w:t xml:space="preserve">RISALES </w:t>
      </w:r>
      <w:r w:rsidRPr="00235C5D">
        <w:rPr>
          <w:rFonts w:ascii="Arial" w:hAnsi="Arial" w:cs="Arial"/>
          <w:i/>
          <w:spacing w:val="-3"/>
          <w:w w:val="150"/>
          <w:sz w:val="28"/>
          <w:lang w:val="en-US"/>
        </w:rPr>
        <w:t>H</w:t>
      </w:r>
      <w:r w:rsidRPr="00235C5D">
        <w:rPr>
          <w:rFonts w:ascii="Arial" w:hAnsi="Arial" w:cs="Arial"/>
          <w:i/>
          <w:spacing w:val="-3"/>
          <w:w w:val="150"/>
          <w:sz w:val="18"/>
          <w:szCs w:val="16"/>
          <w:lang w:val="en-US"/>
        </w:rPr>
        <w:t>ERRERA</w:t>
      </w: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35C5D">
        <w:rPr>
          <w:rFonts w:ascii="Arial" w:hAnsi="Arial" w:cs="Arial"/>
          <w:i/>
          <w:spacing w:val="-3"/>
          <w:w w:val="150"/>
          <w:sz w:val="28"/>
          <w:lang w:val="en-US"/>
        </w:rPr>
        <w:t>M</w:t>
      </w:r>
      <w:r w:rsidRPr="00235C5D">
        <w:rPr>
          <w:rFonts w:ascii="Arial" w:hAnsi="Arial" w:cs="Arial"/>
          <w:i/>
          <w:spacing w:val="-3"/>
          <w:w w:val="150"/>
          <w:lang w:val="en-US"/>
        </w:rPr>
        <w:t xml:space="preserve"> </w:t>
      </w:r>
      <w:r w:rsidRPr="00235C5D">
        <w:rPr>
          <w:rFonts w:ascii="Arial" w:hAnsi="Arial" w:cs="Arial"/>
          <w:i/>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890131"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lang w:val="en-US"/>
        </w:rPr>
      </w:pPr>
    </w:p>
    <w:p w:rsidR="005C4C0F" w:rsidRPr="00235C5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35C5D">
        <w:rPr>
          <w:rFonts w:ascii="Arial" w:hAnsi="Arial"/>
          <w:i/>
          <w:w w:val="150"/>
          <w:sz w:val="28"/>
          <w:szCs w:val="18"/>
          <w:lang w:val="en-US"/>
        </w:rPr>
        <w:t>E</w:t>
      </w:r>
      <w:r w:rsidRPr="00235C5D">
        <w:rPr>
          <w:rFonts w:ascii="Arial" w:hAnsi="Arial"/>
          <w:i/>
          <w:w w:val="150"/>
          <w:sz w:val="18"/>
          <w:szCs w:val="18"/>
          <w:lang w:val="en-US"/>
        </w:rPr>
        <w:t>DDER</w:t>
      </w:r>
      <w:r w:rsidRPr="00235C5D">
        <w:rPr>
          <w:rFonts w:ascii="Arial" w:hAnsi="Arial"/>
          <w:i/>
          <w:w w:val="150"/>
          <w:sz w:val="18"/>
          <w:lang w:val="en-US"/>
        </w:rPr>
        <w:t xml:space="preserve"> </w:t>
      </w:r>
      <w:r w:rsidRPr="00235C5D">
        <w:rPr>
          <w:rFonts w:ascii="Arial" w:hAnsi="Arial"/>
          <w:i/>
          <w:w w:val="150"/>
          <w:sz w:val="28"/>
          <w:lang w:val="en-US"/>
        </w:rPr>
        <w:t>J</w:t>
      </w:r>
      <w:r w:rsidRPr="00235C5D">
        <w:rPr>
          <w:rFonts w:ascii="Arial" w:hAnsi="Arial"/>
          <w:i/>
          <w:w w:val="150"/>
          <w:sz w:val="18"/>
          <w:szCs w:val="18"/>
          <w:lang w:val="en-US"/>
        </w:rPr>
        <w:t xml:space="preserve">IMMY </w:t>
      </w:r>
      <w:r w:rsidRPr="00235C5D">
        <w:rPr>
          <w:rFonts w:ascii="Arial" w:hAnsi="Arial"/>
          <w:i/>
          <w:w w:val="150"/>
          <w:sz w:val="28"/>
          <w:lang w:val="en-US"/>
        </w:rPr>
        <w:t>S</w:t>
      </w:r>
      <w:r w:rsidRPr="00235C5D">
        <w:rPr>
          <w:rFonts w:ascii="Arial" w:hAnsi="Arial"/>
          <w:i/>
          <w:w w:val="150"/>
          <w:sz w:val="18"/>
          <w:szCs w:val="18"/>
          <w:lang w:val="en-US"/>
        </w:rPr>
        <w:t xml:space="preserve">ÁNCHEZ </w:t>
      </w:r>
      <w:r w:rsidRPr="00235C5D">
        <w:rPr>
          <w:rFonts w:ascii="Arial" w:hAnsi="Arial"/>
          <w:i/>
          <w:w w:val="150"/>
          <w:sz w:val="28"/>
          <w:szCs w:val="18"/>
          <w:lang w:val="en-US"/>
        </w:rPr>
        <w:t>C.</w:t>
      </w:r>
      <w:r w:rsidRPr="00235C5D">
        <w:rPr>
          <w:rFonts w:ascii="Arial" w:hAnsi="Arial"/>
          <w:i/>
          <w:w w:val="150"/>
          <w:sz w:val="28"/>
          <w:szCs w:val="18"/>
          <w:lang w:val="en-US"/>
        </w:rPr>
        <w:tab/>
      </w:r>
      <w:r w:rsidRPr="00235C5D">
        <w:rPr>
          <w:rFonts w:ascii="Arial" w:hAnsi="Arial"/>
          <w:i/>
          <w:w w:val="150"/>
          <w:sz w:val="28"/>
          <w:szCs w:val="18"/>
          <w:lang w:val="en-US"/>
        </w:rPr>
        <w:tab/>
      </w:r>
      <w:r w:rsidRPr="00235C5D">
        <w:rPr>
          <w:rFonts w:ascii="Arial" w:hAnsi="Arial" w:cs="Arial"/>
          <w:i/>
          <w:spacing w:val="-3"/>
          <w:w w:val="150"/>
          <w:sz w:val="28"/>
          <w:szCs w:val="18"/>
          <w:lang w:val="en-US"/>
        </w:rPr>
        <w:t>J</w:t>
      </w:r>
      <w:r w:rsidRPr="00235C5D">
        <w:rPr>
          <w:rFonts w:ascii="Arial" w:hAnsi="Arial" w:cs="Arial"/>
          <w:i/>
          <w:spacing w:val="-3"/>
          <w:w w:val="150"/>
          <w:sz w:val="18"/>
          <w:szCs w:val="18"/>
          <w:lang w:val="en-US"/>
        </w:rPr>
        <w:t xml:space="preserve">AIME </w:t>
      </w:r>
      <w:r w:rsidRPr="00235C5D">
        <w:rPr>
          <w:rFonts w:ascii="Arial" w:hAnsi="Arial" w:cs="Arial"/>
          <w:i/>
          <w:spacing w:val="-3"/>
          <w:w w:val="150"/>
          <w:sz w:val="28"/>
          <w:szCs w:val="18"/>
          <w:lang w:val="en-US"/>
        </w:rPr>
        <w:t>A</w:t>
      </w:r>
      <w:r w:rsidRPr="00235C5D">
        <w:rPr>
          <w:rFonts w:ascii="Arial" w:hAnsi="Arial"/>
          <w:i/>
          <w:w w:val="150"/>
          <w:sz w:val="18"/>
          <w:szCs w:val="18"/>
          <w:lang w:val="en-US"/>
        </w:rPr>
        <w:t xml:space="preserve">LBERTO </w:t>
      </w:r>
      <w:r w:rsidRPr="00235C5D">
        <w:rPr>
          <w:rFonts w:ascii="Arial" w:hAnsi="Arial" w:cs="Arial"/>
          <w:i/>
          <w:spacing w:val="-3"/>
          <w:w w:val="150"/>
          <w:sz w:val="28"/>
          <w:szCs w:val="18"/>
          <w:lang w:val="en-US"/>
        </w:rPr>
        <w:t>S</w:t>
      </w:r>
      <w:r w:rsidRPr="00235C5D">
        <w:rPr>
          <w:rFonts w:ascii="Arial" w:hAnsi="Arial" w:cs="Arial"/>
          <w:i/>
          <w:spacing w:val="-3"/>
          <w:w w:val="150"/>
          <w:sz w:val="18"/>
          <w:szCs w:val="16"/>
          <w:lang w:val="en-US"/>
        </w:rPr>
        <w:t xml:space="preserve">ARAZA </w:t>
      </w:r>
      <w:r w:rsidRPr="00235C5D">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235C5D">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5374F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F3" w:rsidRDefault="003320F3" w:rsidP="0099045D">
      <w:r>
        <w:separator/>
      </w:r>
    </w:p>
  </w:endnote>
  <w:endnote w:type="continuationSeparator" w:id="0">
    <w:p w:rsidR="003320F3" w:rsidRDefault="003320F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F3" w:rsidRDefault="003320F3" w:rsidP="0099045D">
      <w:r>
        <w:separator/>
      </w:r>
    </w:p>
  </w:footnote>
  <w:footnote w:type="continuationSeparator" w:id="0">
    <w:p w:rsidR="003320F3" w:rsidRDefault="003320F3" w:rsidP="0099045D">
      <w:r>
        <w:continuationSeparator/>
      </w:r>
    </w:p>
  </w:footnote>
  <w:footnote w:id="1">
    <w:p w:rsidR="007D7C78" w:rsidRDefault="007D7C78" w:rsidP="007D7C7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7D7C78" w:rsidRPr="00567558" w:rsidRDefault="007D7C78" w:rsidP="007D7C7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7D7C78" w:rsidRPr="00567558" w:rsidRDefault="007D7C78" w:rsidP="007D7C7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7D7C78" w:rsidRPr="00567558" w:rsidRDefault="007D7C78" w:rsidP="007D7C7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7D7C78" w:rsidRPr="005D1B2D" w:rsidRDefault="007D7C78" w:rsidP="007D7C78">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7D7C78" w:rsidRPr="00567558" w:rsidRDefault="007D7C78" w:rsidP="007D7C78">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7D7C78" w:rsidRDefault="007D7C78" w:rsidP="007D7C7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FF26D0" w:rsidRDefault="00FF26D0" w:rsidP="00FF26D0">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FF26D0" w:rsidRPr="00D73B3B" w:rsidRDefault="00FF26D0" w:rsidP="00FF26D0">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FF26D0" w:rsidRDefault="00FF26D0" w:rsidP="00FF26D0">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FF26D0" w:rsidRDefault="00FF26D0" w:rsidP="00FF26D0">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FF26D0" w:rsidRPr="005648CB" w:rsidRDefault="00FF26D0" w:rsidP="00FF26D0">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236C6C" w:rsidRDefault="00236C6C" w:rsidP="00236C6C">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14">
    <w:p w:rsidR="00236C6C" w:rsidRPr="00833A61" w:rsidRDefault="00236C6C" w:rsidP="00236C6C">
      <w:pPr>
        <w:pStyle w:val="Textonotapie"/>
        <w:rPr>
          <w:lang w:val="es-CO"/>
        </w:rPr>
      </w:pPr>
      <w:r>
        <w:rPr>
          <w:rStyle w:val="Refdenotaalpie"/>
        </w:rPr>
        <w:footnoteRef/>
      </w:r>
      <w:r>
        <w:t xml:space="preserve"> </w:t>
      </w:r>
      <w:r w:rsidRPr="00623B4F">
        <w:rPr>
          <w:rFonts w:asciiTheme="minorHAnsi" w:hAnsiTheme="minorHAnsi" w:cs="Calibri"/>
        </w:rPr>
        <w:t xml:space="preserve">CORTE CONSTITUCIONAL.  Sentencia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15">
    <w:p w:rsidR="00236C6C" w:rsidRPr="007B0994" w:rsidRDefault="00236C6C" w:rsidP="00236C6C">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16">
    <w:p w:rsidR="00236C6C" w:rsidRPr="00833A61" w:rsidRDefault="00236C6C" w:rsidP="00236C6C">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17">
    <w:p w:rsidR="00236C6C" w:rsidRPr="00104D5D" w:rsidRDefault="00236C6C" w:rsidP="00236C6C">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Ediprime Ltda, Bogotá, </w:t>
      </w:r>
      <w:r w:rsidRPr="00104D5D">
        <w:rPr>
          <w:rFonts w:ascii="Calibri" w:hAnsi="Calibri" w:cs="Calibri"/>
        </w:rPr>
        <w:t>2006, p.120.</w:t>
      </w:r>
    </w:p>
  </w:footnote>
  <w:footnote w:id="18">
    <w:p w:rsidR="00236C6C" w:rsidRPr="00104D5D" w:rsidRDefault="00236C6C" w:rsidP="00236C6C">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sidRPr="00104D5D">
        <w:rPr>
          <w:rFonts w:ascii="Calibri" w:hAnsi="Calibri"/>
          <w:lang w:val="es-CO"/>
        </w:rPr>
        <w:t>TRIBUNAL SUPERIOR DE PEREIRA, Sala Civil-Familia. Sentencia del 28-03-2016, MP Dubermey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19">
    <w:p w:rsidR="00236C6C" w:rsidRPr="008C531D" w:rsidRDefault="00236C6C" w:rsidP="00236C6C">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CORTE CONSTITUCIONAL. Sentencia T-057 de 2016.</w:t>
      </w:r>
    </w:p>
  </w:footnote>
  <w:footnote w:id="20">
    <w:p w:rsidR="00236C6C" w:rsidRPr="008C531D" w:rsidRDefault="00236C6C" w:rsidP="00236C6C">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T-095 de 2015.</w:t>
      </w:r>
    </w:p>
  </w:footnote>
  <w:footnote w:id="21">
    <w:p w:rsidR="00236C6C" w:rsidRPr="00A4402B" w:rsidRDefault="00236C6C" w:rsidP="00236C6C">
      <w:pPr>
        <w:pStyle w:val="Textonotapie"/>
        <w:jc w:val="both"/>
        <w:rPr>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T-560 de 2009, reiterada en las sentencias T-185 de 2013 y T-001 de 2016, entre otras.</w:t>
      </w:r>
    </w:p>
  </w:footnote>
  <w:footnote w:id="22">
    <w:p w:rsidR="00FF26D0" w:rsidRDefault="00FF26D0" w:rsidP="00FF26D0">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23">
    <w:p w:rsidR="00FF26D0" w:rsidRPr="00EE61B2" w:rsidRDefault="00FF26D0" w:rsidP="00FF26D0">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24">
    <w:p w:rsidR="00FF26D0" w:rsidRPr="00EE61B2" w:rsidRDefault="00FF26D0" w:rsidP="00FF26D0">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25">
    <w:p w:rsidR="00166B9E" w:rsidRDefault="00166B9E" w:rsidP="00166B9E">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26">
    <w:p w:rsidR="00166B9E" w:rsidRPr="008B43C6" w:rsidRDefault="00166B9E" w:rsidP="00166B9E">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27">
    <w:p w:rsidR="001E2D81" w:rsidRDefault="001E2D81" w:rsidP="001E2D81">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28">
    <w:p w:rsidR="001E2D81" w:rsidRPr="00F2155F" w:rsidRDefault="001E2D81" w:rsidP="001E2D81">
      <w:pPr>
        <w:pStyle w:val="Textonotapie"/>
        <w:rPr>
          <w:lang w:val="es-CO"/>
        </w:rPr>
      </w:pPr>
      <w:r>
        <w:rPr>
          <w:rStyle w:val="Refdenotaalpie"/>
        </w:rPr>
        <w:footnoteRef/>
      </w:r>
      <w:r>
        <w:t xml:space="preserve"> </w:t>
      </w:r>
      <w:r w:rsidRPr="00623B4F">
        <w:rPr>
          <w:rFonts w:asciiTheme="minorHAnsi" w:hAnsiTheme="minorHAnsi" w:cs="Calibri"/>
        </w:rPr>
        <w:t>CORTE CONSTITUCIONAL.</w:t>
      </w:r>
      <w:r>
        <w:rPr>
          <w:rFonts w:asciiTheme="minorHAnsi" w:hAnsiTheme="minorHAnsi" w:cs="Calibri"/>
        </w:rPr>
        <w:t xml:space="preserve"> Sentencia T-001 de 2016</w:t>
      </w:r>
      <w:r w:rsidRPr="00F2155F">
        <w:rPr>
          <w:rFonts w:ascii="Verdana" w:hAnsi="Verdana"/>
          <w:bCs/>
          <w:color w:val="000000"/>
          <w:sz w:val="22"/>
          <w:szCs w:val="22"/>
        </w:rPr>
        <w:t>.</w:t>
      </w:r>
    </w:p>
  </w:footnote>
  <w:footnote w:id="29">
    <w:p w:rsidR="001E2D81" w:rsidRDefault="001E2D81" w:rsidP="001E2D81">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0">
    <w:p w:rsidR="001E2D81" w:rsidRDefault="001E2D81" w:rsidP="001E2D81">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31">
    <w:p w:rsidR="001E2D81" w:rsidRDefault="001E2D81" w:rsidP="001E2D81">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T-149 de 1995</w:t>
      </w:r>
      <w:r>
        <w:rPr>
          <w:rFonts w:asciiTheme="minorHAnsi" w:hAnsiTheme="minorHAnsi" w:cs="Calibri"/>
        </w:rPr>
        <w:t>.</w:t>
      </w:r>
    </w:p>
  </w:footnote>
  <w:footnote w:id="32">
    <w:p w:rsidR="001E2D81" w:rsidRDefault="001E2D81" w:rsidP="001E2D81">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T-308 de 1995</w:t>
      </w:r>
      <w:r>
        <w:rPr>
          <w:rFonts w:asciiTheme="minorHAnsi" w:hAnsiTheme="minorHAnsi" w:cs="Calibri"/>
        </w:rPr>
        <w:t>.</w:t>
      </w:r>
    </w:p>
  </w:footnote>
  <w:footnote w:id="33">
    <w:p w:rsidR="001E2D81" w:rsidRDefault="001E2D81" w:rsidP="001E2D81">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34">
    <w:p w:rsidR="001E2D81" w:rsidRDefault="001E2D81" w:rsidP="001E2D81">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T-001 de 1997</w:t>
      </w:r>
      <w:r>
        <w:rPr>
          <w:rFonts w:asciiTheme="minorHAnsi" w:hAnsiTheme="minorHAnsi" w:cs="Calibri"/>
        </w:rPr>
        <w:t>.</w:t>
      </w:r>
    </w:p>
  </w:footnote>
  <w:footnote w:id="35">
    <w:p w:rsidR="001E2D81" w:rsidRPr="00D54497" w:rsidRDefault="001E2D81" w:rsidP="001E2D81">
      <w:pPr>
        <w:pStyle w:val="Textonotapie"/>
        <w:jc w:val="both"/>
        <w:rPr>
          <w:rFonts w:ascii="Calibri" w:hAnsi="Calibri"/>
        </w:rPr>
      </w:pPr>
      <w:r w:rsidRPr="00D54497">
        <w:rPr>
          <w:rStyle w:val="Refdenotaalpie"/>
          <w:rFonts w:ascii="Calibri" w:hAnsi="Calibri" w:cs="Calibri"/>
        </w:rPr>
        <w:footnoteRef/>
      </w:r>
      <w:r w:rsidRPr="00D54497">
        <w:rPr>
          <w:rFonts w:ascii="Calibri" w:hAnsi="Calibri" w:cs="Calibri"/>
        </w:rPr>
        <w:t xml:space="preserve"> CORTE CONSTITUCIONAL.  Sentencia </w:t>
      </w:r>
      <w:r w:rsidRPr="00D54497">
        <w:rPr>
          <w:rFonts w:ascii="Calibri" w:hAnsi="Calibri" w:cs="Calibri"/>
          <w:lang w:val="es-CO"/>
        </w:rPr>
        <w:t>T-184 de 2005.</w:t>
      </w:r>
    </w:p>
  </w:footnote>
  <w:footnote w:id="36">
    <w:p w:rsidR="001E2D81" w:rsidRPr="00D54497" w:rsidRDefault="001E2D81" w:rsidP="001E2D81">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Pr="00D54497">
        <w:rPr>
          <w:rFonts w:ascii="Calibri" w:hAnsi="Calibri"/>
          <w:lang w:val="es-CO"/>
        </w:rPr>
        <w:t>CORTE SUPREMA DE JUSTICIA, Sala de Casación Civil. Sentencia STC7600-2016.</w:t>
      </w:r>
    </w:p>
  </w:footnote>
  <w:footnote w:id="37">
    <w:p w:rsidR="001E2D81" w:rsidRPr="00D54497" w:rsidRDefault="001E2D81" w:rsidP="001E2D81">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Pr="00D54497">
        <w:rPr>
          <w:rFonts w:ascii="Calibri" w:hAnsi="Calibri"/>
          <w:lang w:val="es-CO"/>
        </w:rPr>
        <w:t>TRIBUNAL SUPERIOR, Sala Civil – Familia. Sentencia</w:t>
      </w:r>
      <w:r>
        <w:rPr>
          <w:rFonts w:ascii="Calibri" w:hAnsi="Calibri"/>
          <w:lang w:val="es-CO"/>
        </w:rPr>
        <w:t>s</w:t>
      </w:r>
      <w:r w:rsidRPr="00D54497">
        <w:rPr>
          <w:rFonts w:ascii="Calibri" w:hAnsi="Calibri"/>
          <w:lang w:val="es-CO"/>
        </w:rPr>
        <w:t xml:space="preserve"> del 30-06-2016</w:t>
      </w:r>
      <w:r>
        <w:rPr>
          <w:rFonts w:ascii="Calibri" w:hAnsi="Calibri"/>
          <w:lang w:val="es-CO"/>
        </w:rPr>
        <w:t xml:space="preserve">, </w:t>
      </w:r>
      <w:r w:rsidRPr="00D54497">
        <w:rPr>
          <w:rFonts w:ascii="Calibri" w:hAnsi="Calibri"/>
          <w:lang w:val="es-CO"/>
        </w:rPr>
        <w:t>del 11-08-2016</w:t>
      </w:r>
      <w:r>
        <w:rPr>
          <w:rFonts w:ascii="Calibri" w:hAnsi="Calibri"/>
          <w:lang w:val="es-CO"/>
        </w:rPr>
        <w:t xml:space="preserve"> y del </w:t>
      </w:r>
      <w:r w:rsidRPr="00972A9D">
        <w:rPr>
          <w:rFonts w:ascii="Calibri" w:hAnsi="Calibri" w:cs="Calibri"/>
        </w:rPr>
        <w:t>23-08-2016</w:t>
      </w:r>
      <w:r w:rsidRPr="00D54497">
        <w:rPr>
          <w:rFonts w:ascii="Calibri" w:hAnsi="Calibri"/>
          <w:lang w:val="es-CO"/>
        </w:rPr>
        <w:t xml:space="preserve">, </w:t>
      </w:r>
      <w:r w:rsidRPr="00D54497">
        <w:rPr>
          <w:rFonts w:ascii="Calibri" w:hAnsi="Calibri"/>
        </w:rPr>
        <w:t>MP</w:t>
      </w:r>
      <w:r>
        <w:rPr>
          <w:rFonts w:ascii="Calibri" w:hAnsi="Calibri"/>
        </w:rPr>
        <w:t>:</w:t>
      </w:r>
      <w:r w:rsidRPr="00D54497">
        <w:rPr>
          <w:rFonts w:ascii="Calibri" w:hAnsi="Calibri"/>
        </w:rPr>
        <w:t xml:space="preserve"> Duberney Grisales Herrera</w:t>
      </w:r>
      <w:r>
        <w:rPr>
          <w:rFonts w:ascii="Calibri" w:hAnsi="Calibri"/>
        </w:rPr>
        <w:t xml:space="preserve">, </w:t>
      </w:r>
      <w:r w:rsidRPr="00D54497">
        <w:rPr>
          <w:rFonts w:ascii="Calibri" w:hAnsi="Calibri"/>
          <w:lang w:val="es-CO"/>
        </w:rPr>
        <w:t>exp.</w:t>
      </w:r>
      <w:r w:rsidRPr="00D54497">
        <w:rPr>
          <w:rFonts w:ascii="Calibri" w:hAnsi="Calibri" w:cs="Arial"/>
          <w:sz w:val="22"/>
          <w:szCs w:val="22"/>
        </w:rPr>
        <w:t xml:space="preserve"> </w:t>
      </w:r>
      <w:r w:rsidRPr="00D54497">
        <w:rPr>
          <w:rFonts w:ascii="Calibri" w:hAnsi="Calibri"/>
        </w:rPr>
        <w:t>2016-00554-00, 2016-00750-00</w:t>
      </w:r>
      <w:r>
        <w:rPr>
          <w:rFonts w:ascii="Calibri" w:hAnsi="Calibri"/>
        </w:rPr>
        <w:t xml:space="preserve"> y </w:t>
      </w:r>
      <w:r w:rsidRPr="00972A9D">
        <w:rPr>
          <w:rFonts w:ascii="Calibri" w:hAnsi="Calibri" w:cs="Arial"/>
        </w:rPr>
        <w:t>2016-00794-00</w:t>
      </w:r>
      <w:r>
        <w:rPr>
          <w:rFonts w:ascii="Calibri" w:hAnsi="Calibri"/>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CB0BB4"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CB0BB4" w:rsidRPr="006414F7">
      <w:rPr>
        <w:rFonts w:ascii="Calibri" w:hAnsi="Calibri" w:cs="Calibri"/>
        <w:i/>
        <w:sz w:val="20"/>
      </w:rPr>
      <w:fldChar w:fldCharType="separate"/>
    </w:r>
    <w:r w:rsidR="00557722">
      <w:rPr>
        <w:rFonts w:ascii="Calibri" w:hAnsi="Calibri" w:cs="Calibri"/>
        <w:i/>
        <w:noProof/>
        <w:sz w:val="20"/>
      </w:rPr>
      <w:t>12</w:t>
    </w:r>
    <w:r w:rsidR="00CB0BB4"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C146D2">
      <w:rPr>
        <w:rFonts w:ascii="Calibri" w:hAnsi="Calibri" w:cs="Calibri"/>
        <w:i/>
        <w:sz w:val="20"/>
        <w:szCs w:val="22"/>
      </w:rPr>
      <w:t>00844</w:t>
    </w:r>
    <w:r>
      <w:rPr>
        <w:rFonts w:ascii="Calibri" w:hAnsi="Calibri" w:cs="Calibri"/>
        <w:i/>
        <w:sz w:val="20"/>
        <w:szCs w:val="22"/>
      </w:rPr>
      <w:t>-00</w:t>
    </w:r>
    <w:r w:rsidR="00235C5D">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FBD8586E"/>
    <w:lvl w:ilvl="0" w:tplc="FC76E2D6">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3C2D"/>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205"/>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0072"/>
    <w:rsid w:val="00141287"/>
    <w:rsid w:val="00141B90"/>
    <w:rsid w:val="00141D52"/>
    <w:rsid w:val="00142676"/>
    <w:rsid w:val="0014281B"/>
    <w:rsid w:val="00142C47"/>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B9E"/>
    <w:rsid w:val="00166D62"/>
    <w:rsid w:val="001672DF"/>
    <w:rsid w:val="001677E3"/>
    <w:rsid w:val="001678A1"/>
    <w:rsid w:val="00170F1F"/>
    <w:rsid w:val="00171238"/>
    <w:rsid w:val="0017157E"/>
    <w:rsid w:val="00173602"/>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D81"/>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B41"/>
    <w:rsid w:val="001F5FAD"/>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256"/>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C5D"/>
    <w:rsid w:val="00236044"/>
    <w:rsid w:val="00236188"/>
    <w:rsid w:val="002365FF"/>
    <w:rsid w:val="00236A18"/>
    <w:rsid w:val="00236C6C"/>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89E"/>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0F1"/>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0EF8"/>
    <w:rsid w:val="003320F3"/>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7C"/>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4B5"/>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374F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722"/>
    <w:rsid w:val="0055788B"/>
    <w:rsid w:val="0055798C"/>
    <w:rsid w:val="00557A1B"/>
    <w:rsid w:val="00557CDA"/>
    <w:rsid w:val="0056065A"/>
    <w:rsid w:val="00560D55"/>
    <w:rsid w:val="00561182"/>
    <w:rsid w:val="00561C54"/>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A4E"/>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A1"/>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3CB6"/>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4595"/>
    <w:rsid w:val="00864B50"/>
    <w:rsid w:val="00865235"/>
    <w:rsid w:val="00865709"/>
    <w:rsid w:val="00865BF9"/>
    <w:rsid w:val="00866190"/>
    <w:rsid w:val="00866E35"/>
    <w:rsid w:val="008672A9"/>
    <w:rsid w:val="00870084"/>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402"/>
    <w:rsid w:val="008A0C58"/>
    <w:rsid w:val="008A119F"/>
    <w:rsid w:val="008A11CE"/>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EA6"/>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19E"/>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2E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77F60"/>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84D"/>
    <w:rsid w:val="009D6E82"/>
    <w:rsid w:val="009D78C0"/>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EA"/>
    <w:rsid w:val="00A27860"/>
    <w:rsid w:val="00A279FE"/>
    <w:rsid w:val="00A302F2"/>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658"/>
    <w:rsid w:val="00A64948"/>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4FB"/>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1C8D"/>
    <w:rsid w:val="00C1224E"/>
    <w:rsid w:val="00C122AD"/>
    <w:rsid w:val="00C13560"/>
    <w:rsid w:val="00C136DB"/>
    <w:rsid w:val="00C137AC"/>
    <w:rsid w:val="00C13B74"/>
    <w:rsid w:val="00C13C0E"/>
    <w:rsid w:val="00C146D2"/>
    <w:rsid w:val="00C15191"/>
    <w:rsid w:val="00C15358"/>
    <w:rsid w:val="00C15C92"/>
    <w:rsid w:val="00C15D67"/>
    <w:rsid w:val="00C17512"/>
    <w:rsid w:val="00C175A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6AE"/>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6DE"/>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7F8"/>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E4B"/>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6D0"/>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451E7D4-FAA6-4EC2-9CAB-0464EE5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45BB-ECF7-49B3-A69F-A0DBCEE9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4416</Words>
  <Characters>24289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7</cp:revision>
  <cp:lastPrinted>2016-09-09T19:40:00Z</cp:lastPrinted>
  <dcterms:created xsi:type="dcterms:W3CDTF">2016-09-09T15:38:00Z</dcterms:created>
  <dcterms:modified xsi:type="dcterms:W3CDTF">2016-11-15T15:55:00Z</dcterms:modified>
</cp:coreProperties>
</file>