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47F" w:rsidRPr="00903032" w:rsidRDefault="0057047F" w:rsidP="00903032">
      <w:pPr>
        <w:pStyle w:val="Sinespaciado"/>
        <w:jc w:val="both"/>
        <w:rPr>
          <w:rFonts w:asciiTheme="minorHAnsi" w:hAnsiTheme="minorHAnsi"/>
          <w:sz w:val="18"/>
          <w:szCs w:val="18"/>
        </w:rPr>
      </w:pPr>
    </w:p>
    <w:p w:rsidR="00F96093" w:rsidRPr="00903032" w:rsidRDefault="0057047F" w:rsidP="00903032">
      <w:pPr>
        <w:pStyle w:val="Sinespaciado"/>
        <w:jc w:val="both"/>
        <w:rPr>
          <w:rFonts w:asciiTheme="minorHAnsi" w:hAnsiTheme="minorHAnsi" w:cs="Arial"/>
          <w:sz w:val="18"/>
          <w:szCs w:val="18"/>
        </w:rPr>
      </w:pPr>
      <w:r w:rsidRPr="00903032">
        <w:rPr>
          <w:rFonts w:asciiTheme="minorHAnsi" w:hAnsiTheme="minorHAnsi"/>
          <w:b/>
          <w:sz w:val="18"/>
          <w:szCs w:val="18"/>
        </w:rPr>
        <w:t>Tema:</w:t>
      </w:r>
      <w:r w:rsidRPr="00903032">
        <w:rPr>
          <w:rFonts w:asciiTheme="minorHAnsi" w:hAnsiTheme="minorHAnsi"/>
          <w:b/>
          <w:sz w:val="18"/>
          <w:szCs w:val="18"/>
        </w:rPr>
        <w:tab/>
      </w:r>
      <w:r w:rsidRPr="00903032">
        <w:rPr>
          <w:rFonts w:asciiTheme="minorHAnsi" w:hAnsiTheme="minorHAnsi"/>
          <w:b/>
          <w:sz w:val="18"/>
          <w:szCs w:val="18"/>
        </w:rPr>
        <w:tab/>
      </w:r>
      <w:r w:rsidRPr="00903032">
        <w:rPr>
          <w:rFonts w:asciiTheme="minorHAnsi" w:hAnsiTheme="minorHAnsi"/>
          <w:b/>
          <w:sz w:val="18"/>
          <w:szCs w:val="18"/>
        </w:rPr>
        <w:tab/>
      </w:r>
      <w:r w:rsidRPr="00903032">
        <w:rPr>
          <w:rFonts w:asciiTheme="minorHAnsi" w:hAnsiTheme="minorHAnsi"/>
          <w:b/>
          <w:sz w:val="18"/>
          <w:szCs w:val="18"/>
        </w:rPr>
        <w:tab/>
        <w:t xml:space="preserve">TUTELA CONTRA PROVIDENCIA JUDICIAL / CAUSALES GENÉRICAS Y ESPECIALES DE </w:t>
      </w:r>
      <w:proofErr w:type="spellStart"/>
      <w:r w:rsidRPr="00903032">
        <w:rPr>
          <w:rFonts w:asciiTheme="minorHAnsi" w:hAnsiTheme="minorHAnsi"/>
          <w:b/>
          <w:sz w:val="18"/>
          <w:szCs w:val="18"/>
        </w:rPr>
        <w:t>PROCEDIBILIDAD</w:t>
      </w:r>
      <w:proofErr w:type="spellEnd"/>
      <w:r w:rsidRPr="00903032">
        <w:rPr>
          <w:rFonts w:asciiTheme="minorHAnsi" w:hAnsiTheme="minorHAnsi"/>
          <w:b/>
          <w:sz w:val="18"/>
          <w:szCs w:val="18"/>
        </w:rPr>
        <w:t xml:space="preserve"> / INMEDIATEZ / SUBSIDIARIEDAD / </w:t>
      </w:r>
      <w:r w:rsidR="00DF2723">
        <w:rPr>
          <w:rFonts w:asciiTheme="minorHAnsi" w:hAnsiTheme="minorHAnsi"/>
          <w:b/>
          <w:sz w:val="18"/>
          <w:szCs w:val="18"/>
        </w:rPr>
        <w:t>“</w:t>
      </w:r>
      <w:r w:rsidR="00F96093" w:rsidRPr="00903032">
        <w:rPr>
          <w:rFonts w:asciiTheme="minorHAnsi" w:hAnsiTheme="minorHAnsi" w:cs="Arial"/>
          <w:sz w:val="18"/>
          <w:szCs w:val="18"/>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r w:rsidR="00DF2723">
        <w:rPr>
          <w:rFonts w:asciiTheme="minorHAnsi" w:hAnsiTheme="minorHAnsi" w:cs="Arial"/>
          <w:sz w:val="18"/>
          <w:szCs w:val="18"/>
        </w:rPr>
        <w:t>”</w:t>
      </w:r>
    </w:p>
    <w:p w:rsidR="00F96093" w:rsidRPr="00903032" w:rsidRDefault="00F96093" w:rsidP="00903032">
      <w:pPr>
        <w:pStyle w:val="Sinespaciado"/>
        <w:jc w:val="both"/>
        <w:rPr>
          <w:rFonts w:asciiTheme="minorHAnsi" w:hAnsiTheme="minorHAnsi"/>
          <w:b/>
          <w:sz w:val="18"/>
          <w:szCs w:val="18"/>
        </w:rPr>
      </w:pPr>
      <w:r w:rsidRPr="00903032">
        <w:rPr>
          <w:rFonts w:asciiTheme="minorHAnsi" w:hAnsiTheme="minorHAnsi"/>
          <w:b/>
          <w:sz w:val="18"/>
          <w:szCs w:val="18"/>
        </w:rPr>
        <w:t>(…)</w:t>
      </w:r>
    </w:p>
    <w:p w:rsidR="00F96093" w:rsidRPr="00903032" w:rsidRDefault="00DF2723" w:rsidP="00903032">
      <w:pPr>
        <w:pStyle w:val="Sinespaciado"/>
        <w:jc w:val="both"/>
        <w:rPr>
          <w:rFonts w:asciiTheme="minorHAnsi" w:hAnsiTheme="minorHAnsi" w:cs="Arial"/>
          <w:sz w:val="18"/>
          <w:szCs w:val="18"/>
        </w:rPr>
      </w:pPr>
      <w:r>
        <w:rPr>
          <w:rFonts w:asciiTheme="minorHAnsi" w:hAnsiTheme="minorHAnsi" w:cs="Arial"/>
          <w:sz w:val="18"/>
          <w:szCs w:val="18"/>
          <w:lang w:val="es-ES_tradnl"/>
        </w:rPr>
        <w:t>“</w:t>
      </w:r>
      <w:r w:rsidR="00F96093" w:rsidRPr="00903032">
        <w:rPr>
          <w:rFonts w:asciiTheme="minorHAnsi" w:hAnsiTheme="minorHAnsi" w:cs="Arial"/>
          <w:sz w:val="18"/>
          <w:szCs w:val="18"/>
          <w:lang w:val="es-ES_tradnl"/>
        </w:rPr>
        <w:t xml:space="preserve">Según </w:t>
      </w:r>
      <w:r w:rsidR="00F96093" w:rsidRPr="00903032">
        <w:rPr>
          <w:rFonts w:asciiTheme="minorHAnsi" w:hAnsiTheme="minorHAnsi" w:cs="Arial"/>
          <w:sz w:val="18"/>
          <w:szCs w:val="18"/>
        </w:rPr>
        <w:t>se desprende de la inspección judicial (Folio 35, ib.), aunada a las copias tomadas del expediente (Folios 39 a 50, ib.), el proveído mediante el cual se declaró el desistimiento tácito data del 03-11-2015, notificado por el estado No.171 del 05-11-2015, por lo que es evidente que el presente amparo carece de inmediatez, pues su interposición (09-09-2016) desborda el plazo de los seis (6) meses fijado por la jurisprudencia tanto constituciona</w:t>
      </w:r>
      <w:r w:rsidR="00F96093" w:rsidRPr="00903032">
        <w:rPr>
          <w:rFonts w:asciiTheme="minorHAnsi" w:hAnsiTheme="minorHAnsi" w:cs="Arial"/>
          <w:sz w:val="18"/>
          <w:szCs w:val="18"/>
        </w:rPr>
        <w:t>l,</w:t>
      </w:r>
      <w:r w:rsidR="00F96093" w:rsidRPr="00903032">
        <w:rPr>
          <w:rFonts w:asciiTheme="minorHAnsi" w:hAnsiTheme="minorHAnsi" w:cs="Arial"/>
          <w:sz w:val="18"/>
          <w:szCs w:val="18"/>
        </w:rPr>
        <w:t xml:space="preserve"> como ordinaria; como tiempo razonable, ya que han transcurrido aproximadamente diez (10) meses desde que el auto fuero proferido.</w:t>
      </w:r>
    </w:p>
    <w:p w:rsidR="00F96093" w:rsidRPr="00903032" w:rsidRDefault="00F96093" w:rsidP="00903032">
      <w:pPr>
        <w:pStyle w:val="Sinespaciado"/>
        <w:jc w:val="both"/>
        <w:rPr>
          <w:rFonts w:asciiTheme="minorHAnsi" w:hAnsiTheme="minorHAnsi" w:cs="Arial"/>
          <w:sz w:val="18"/>
          <w:szCs w:val="18"/>
        </w:rPr>
      </w:pPr>
    </w:p>
    <w:p w:rsidR="00F96093" w:rsidRPr="00903032" w:rsidRDefault="00F96093" w:rsidP="00903032">
      <w:pPr>
        <w:pStyle w:val="Sinespaciado"/>
        <w:jc w:val="both"/>
        <w:rPr>
          <w:rFonts w:asciiTheme="minorHAnsi" w:hAnsiTheme="minorHAnsi" w:cs="Arial"/>
          <w:sz w:val="18"/>
          <w:szCs w:val="18"/>
        </w:rPr>
      </w:pPr>
      <w:r w:rsidRPr="00903032">
        <w:rPr>
          <w:rFonts w:asciiTheme="minorHAnsi" w:hAnsiTheme="minorHAnsi" w:cs="Arial"/>
          <w:sz w:val="18"/>
          <w:szCs w:val="18"/>
        </w:rPr>
        <w:t xml:space="preserve">Ahora bien, es cierto que conforme a la doctrina, el juez de la causa debe tener flexibilidad en la aplicación de este principio, pero a ese </w:t>
      </w:r>
      <w:r w:rsidRPr="00903032">
        <w:rPr>
          <w:rFonts w:asciiTheme="minorHAnsi" w:hAnsiTheme="minorHAnsi" w:cs="Arial"/>
          <w:sz w:val="18"/>
          <w:szCs w:val="18"/>
          <w:lang w:val="es-ES_tradnl"/>
        </w:rPr>
        <w:t xml:space="preserve">tenor, se debe </w:t>
      </w:r>
      <w:r w:rsidRPr="00903032">
        <w:rPr>
          <w:rFonts w:asciiTheme="minorHAnsi" w:hAnsiTheme="minorHAnsi" w:cs="Arial"/>
          <w:sz w:val="18"/>
          <w:szCs w:val="18"/>
        </w:rPr>
        <w:t>probar o alegar, que medió causa alguna de fuerza mayor o caso fortuito que impidiera al actor gestionar, su defensa a través de esta acción con mayor celeridad sin desconocer la inmediatez; circunstancias que no fueron expue</w:t>
      </w:r>
      <w:r w:rsidR="00DF2723">
        <w:rPr>
          <w:rFonts w:asciiTheme="minorHAnsi" w:hAnsiTheme="minorHAnsi" w:cs="Arial"/>
          <w:sz w:val="18"/>
          <w:szCs w:val="18"/>
        </w:rPr>
        <w:t>stas ni probadas en el trámite.”</w:t>
      </w:r>
    </w:p>
    <w:p w:rsidR="00F96093" w:rsidRPr="00903032" w:rsidRDefault="00F96093" w:rsidP="00903032">
      <w:pPr>
        <w:pStyle w:val="Sinespaciado"/>
        <w:jc w:val="both"/>
        <w:rPr>
          <w:rFonts w:asciiTheme="minorHAnsi" w:hAnsiTheme="minorHAnsi"/>
          <w:b/>
          <w:sz w:val="18"/>
          <w:szCs w:val="18"/>
        </w:rPr>
      </w:pPr>
    </w:p>
    <w:p w:rsidR="00F96093" w:rsidRPr="00903032" w:rsidRDefault="00F96093" w:rsidP="00903032">
      <w:pPr>
        <w:pStyle w:val="Sinespaciado"/>
        <w:jc w:val="both"/>
        <w:rPr>
          <w:rFonts w:asciiTheme="minorHAnsi" w:hAnsiTheme="minorHAnsi"/>
          <w:b/>
          <w:sz w:val="18"/>
          <w:szCs w:val="18"/>
        </w:rPr>
      </w:pPr>
      <w:r w:rsidRPr="00903032">
        <w:rPr>
          <w:rFonts w:asciiTheme="minorHAnsi" w:hAnsiTheme="minorHAnsi"/>
          <w:b/>
          <w:sz w:val="18"/>
          <w:szCs w:val="18"/>
        </w:rPr>
        <w:t>(…)</w:t>
      </w:r>
    </w:p>
    <w:p w:rsidR="00F96093" w:rsidRPr="00903032" w:rsidRDefault="00F96093" w:rsidP="00903032">
      <w:pPr>
        <w:pStyle w:val="Sinespaciado"/>
        <w:jc w:val="both"/>
        <w:rPr>
          <w:rFonts w:asciiTheme="minorHAnsi" w:hAnsiTheme="minorHAnsi"/>
          <w:b/>
          <w:sz w:val="18"/>
          <w:szCs w:val="18"/>
        </w:rPr>
      </w:pPr>
    </w:p>
    <w:p w:rsidR="00F96093" w:rsidRPr="00903032" w:rsidRDefault="00DF2723" w:rsidP="00903032">
      <w:pPr>
        <w:pStyle w:val="Sinespaciado"/>
        <w:jc w:val="both"/>
        <w:rPr>
          <w:rFonts w:asciiTheme="minorHAnsi" w:hAnsiTheme="minorHAnsi" w:cs="Arial"/>
          <w:sz w:val="18"/>
          <w:szCs w:val="18"/>
        </w:rPr>
      </w:pPr>
      <w:r>
        <w:rPr>
          <w:rFonts w:asciiTheme="minorHAnsi" w:hAnsiTheme="minorHAnsi" w:cs="Arial"/>
          <w:sz w:val="18"/>
          <w:szCs w:val="18"/>
        </w:rPr>
        <w:t>“</w:t>
      </w:r>
      <w:r w:rsidR="00F96093" w:rsidRPr="00903032">
        <w:rPr>
          <w:rFonts w:asciiTheme="minorHAnsi" w:hAnsiTheme="minorHAnsi" w:cs="Arial"/>
          <w:sz w:val="18"/>
          <w:szCs w:val="18"/>
        </w:rPr>
        <w:t xml:space="preserve">Conforme al acervo probatorio el </w:t>
      </w:r>
      <w:r w:rsidR="00F96093" w:rsidRPr="00903032">
        <w:rPr>
          <w:rFonts w:asciiTheme="minorHAnsi" w:hAnsiTheme="minorHAnsi" w:cs="Arial"/>
          <w:i/>
          <w:sz w:val="18"/>
          <w:szCs w:val="18"/>
        </w:rPr>
        <w:t>a quo</w:t>
      </w:r>
      <w:r w:rsidR="00F96093" w:rsidRPr="00903032">
        <w:rPr>
          <w:rFonts w:asciiTheme="minorHAnsi" w:hAnsiTheme="minorHAnsi" w:cs="Arial"/>
          <w:sz w:val="18"/>
          <w:szCs w:val="18"/>
        </w:rPr>
        <w:t xml:space="preserve"> mediante proveído del 01-07-2015 requirió a la parte actora para que procurara la notificación de los litisconsorte vinculados al proceso, so pena de aplicar las sanciones estipuladas en el artículo 317 del </w:t>
      </w:r>
      <w:proofErr w:type="spellStart"/>
      <w:r w:rsidR="00F96093" w:rsidRPr="00903032">
        <w:rPr>
          <w:rFonts w:asciiTheme="minorHAnsi" w:hAnsiTheme="minorHAnsi" w:cs="Arial"/>
          <w:sz w:val="18"/>
          <w:szCs w:val="18"/>
        </w:rPr>
        <w:t>CGP</w:t>
      </w:r>
      <w:proofErr w:type="spellEnd"/>
      <w:r w:rsidR="00F96093" w:rsidRPr="00903032">
        <w:rPr>
          <w:rFonts w:asciiTheme="minorHAnsi" w:hAnsiTheme="minorHAnsi" w:cs="Arial"/>
          <w:sz w:val="18"/>
          <w:szCs w:val="18"/>
        </w:rPr>
        <w:t xml:space="preserve"> (Folio 38, ib.); luego con auto del 03-11-2015, se declaró el desistimiento tácito del proceso porque la parte actora no atendió la orden impartida (Folio 39, ib.), el cual fue notificado por el estado No.171 del día 05-11-2015 (Folio 39 vto., ib.), únicamente recurrido por la parte demandada, en cuanto al levantamiento de las medidas cautelares y  la condena en costas (Folio 41, ib.), es decir, adquirió firmeza en lo referente a la terminación del proceso, dado que la parte actora no agotó los recursos de reposición y apelación (Artículos 318 y 321-7º, </w:t>
      </w:r>
      <w:proofErr w:type="spellStart"/>
      <w:r w:rsidR="00F96093" w:rsidRPr="00903032">
        <w:rPr>
          <w:rFonts w:asciiTheme="minorHAnsi" w:hAnsiTheme="minorHAnsi" w:cs="Arial"/>
          <w:sz w:val="18"/>
          <w:szCs w:val="18"/>
        </w:rPr>
        <w:t>CGP</w:t>
      </w:r>
      <w:proofErr w:type="spellEnd"/>
      <w:r w:rsidR="00F96093" w:rsidRPr="00903032">
        <w:rPr>
          <w:rFonts w:asciiTheme="minorHAnsi" w:hAnsiTheme="minorHAnsi" w:cs="Arial"/>
          <w:sz w:val="18"/>
          <w:szCs w:val="18"/>
        </w:rPr>
        <w:t>).</w:t>
      </w:r>
    </w:p>
    <w:p w:rsidR="00F96093" w:rsidRPr="00903032" w:rsidRDefault="00F96093" w:rsidP="00903032">
      <w:pPr>
        <w:pStyle w:val="Sinespaciado"/>
        <w:jc w:val="both"/>
        <w:rPr>
          <w:rFonts w:asciiTheme="minorHAnsi" w:hAnsiTheme="minorHAnsi" w:cs="Arial"/>
          <w:sz w:val="18"/>
          <w:szCs w:val="18"/>
        </w:rPr>
      </w:pPr>
    </w:p>
    <w:p w:rsidR="00F96093" w:rsidRPr="00903032" w:rsidRDefault="00F96093" w:rsidP="00903032">
      <w:pPr>
        <w:pStyle w:val="Sinespaciado"/>
        <w:jc w:val="both"/>
        <w:rPr>
          <w:rFonts w:asciiTheme="minorHAnsi" w:hAnsiTheme="minorHAnsi"/>
          <w:b/>
          <w:sz w:val="18"/>
          <w:szCs w:val="18"/>
        </w:rPr>
      </w:pPr>
      <w:r w:rsidRPr="00903032">
        <w:rPr>
          <w:rFonts w:asciiTheme="minorHAnsi" w:hAnsiTheme="minorHAnsi" w:cs="Arial"/>
          <w:bCs/>
          <w:sz w:val="18"/>
          <w:szCs w:val="18"/>
          <w:lang w:val="es-CO"/>
        </w:rPr>
        <w:t>Así las cosas, se tiene que el accionante no utilizó ninguno de los mecanismos ordinarios que tenía a la mano para atacar el proveído que declaró la terminación del proceso, por lo que es e</w:t>
      </w:r>
      <w:r w:rsidRPr="00903032">
        <w:rPr>
          <w:rFonts w:asciiTheme="minorHAnsi" w:hAnsiTheme="minorHAnsi" w:cs="Arial"/>
          <w:sz w:val="18"/>
          <w:szCs w:val="18"/>
          <w:lang w:val="es-ES_tradnl"/>
        </w:rPr>
        <w:t xml:space="preserve">vidente, la falta de agotamiento del supuesto de subsidiariedad, como ha explicado </w:t>
      </w:r>
      <w:r w:rsidRPr="00903032">
        <w:rPr>
          <w:rFonts w:asciiTheme="minorHAnsi" w:hAnsiTheme="minorHAnsi"/>
          <w:sz w:val="18"/>
          <w:szCs w:val="18"/>
        </w:rPr>
        <w:t>la Corte Constitucional, que reiteradamente ha referido que la acción de tutela no puede implementarse como medio para sustituir los mecanismos ordinarios de defensa, cuando por negligencia, descuido o incuria no fueron utilizados</w:t>
      </w:r>
      <w:r w:rsidR="00DF2723">
        <w:rPr>
          <w:rFonts w:asciiTheme="minorHAnsi" w:hAnsiTheme="minorHAnsi"/>
          <w:sz w:val="18"/>
          <w:szCs w:val="18"/>
        </w:rPr>
        <w:t>.”</w:t>
      </w:r>
    </w:p>
    <w:p w:rsidR="0057047F" w:rsidRPr="00903032" w:rsidRDefault="0057047F" w:rsidP="00903032">
      <w:pPr>
        <w:pStyle w:val="Sinespaciado"/>
        <w:jc w:val="both"/>
        <w:rPr>
          <w:rFonts w:asciiTheme="minorHAnsi" w:hAnsiTheme="minorHAnsi"/>
          <w:b/>
          <w:sz w:val="18"/>
          <w:szCs w:val="18"/>
        </w:rPr>
      </w:pPr>
    </w:p>
    <w:p w:rsidR="00903032" w:rsidRPr="00903032" w:rsidRDefault="0057047F" w:rsidP="00903032">
      <w:pPr>
        <w:pStyle w:val="Sinespaciado"/>
        <w:jc w:val="both"/>
        <w:rPr>
          <w:rFonts w:asciiTheme="minorHAnsi" w:hAnsiTheme="minorHAnsi"/>
          <w:sz w:val="18"/>
          <w:szCs w:val="18"/>
          <w:lang w:val="es-CO"/>
        </w:rPr>
      </w:pPr>
      <w:r w:rsidRPr="00903032">
        <w:rPr>
          <w:rFonts w:asciiTheme="minorHAnsi" w:hAnsiTheme="minorHAnsi"/>
          <w:b/>
          <w:sz w:val="18"/>
          <w:szCs w:val="18"/>
        </w:rPr>
        <w:t>Citación Jurisprudencial:</w:t>
      </w:r>
      <w:r w:rsidRPr="00903032">
        <w:rPr>
          <w:rFonts w:asciiTheme="minorHAnsi" w:hAnsiTheme="minorHAnsi"/>
          <w:sz w:val="18"/>
          <w:szCs w:val="18"/>
        </w:rPr>
        <w:t xml:space="preserve"> </w:t>
      </w:r>
      <w:r w:rsidR="00903032" w:rsidRPr="00903032">
        <w:rPr>
          <w:rFonts w:asciiTheme="minorHAnsi" w:hAnsiTheme="minorHAnsi" w:cs="Arial"/>
          <w:sz w:val="18"/>
          <w:szCs w:val="18"/>
        </w:rPr>
        <w:t>Sentencia C-543 de 1992 / sentencia C-590 de 2005 /</w:t>
      </w:r>
      <w:r w:rsidR="00903032" w:rsidRPr="00903032">
        <w:rPr>
          <w:rFonts w:asciiTheme="minorHAnsi" w:hAnsiTheme="minorHAnsi"/>
          <w:sz w:val="18"/>
          <w:szCs w:val="18"/>
          <w:lang w:val="es-MX"/>
        </w:rPr>
        <w:t xml:space="preserve"> </w:t>
      </w:r>
      <w:r w:rsidR="00903032" w:rsidRPr="00903032">
        <w:rPr>
          <w:rFonts w:asciiTheme="minorHAnsi" w:hAnsiTheme="minorHAnsi" w:cs="Calibri"/>
          <w:sz w:val="18"/>
          <w:szCs w:val="18"/>
          <w:lang w:val="es-MX"/>
        </w:rPr>
        <w:t xml:space="preserve">Sentencia T-917 de 2011. / Sentencias </w:t>
      </w:r>
      <w:r w:rsidR="00903032" w:rsidRPr="00903032">
        <w:rPr>
          <w:rFonts w:asciiTheme="minorHAnsi" w:hAnsiTheme="minorHAnsi" w:cs="Calibri"/>
          <w:bCs/>
          <w:sz w:val="18"/>
          <w:szCs w:val="18"/>
        </w:rPr>
        <w:t>T-107 de 2016</w:t>
      </w:r>
      <w:r w:rsidR="00903032" w:rsidRPr="00903032">
        <w:rPr>
          <w:rFonts w:asciiTheme="minorHAnsi" w:hAnsiTheme="minorHAnsi" w:cs="Calibri"/>
          <w:sz w:val="18"/>
          <w:szCs w:val="18"/>
        </w:rPr>
        <w:t xml:space="preserve"> y </w:t>
      </w:r>
      <w:r w:rsidR="00903032" w:rsidRPr="00903032">
        <w:rPr>
          <w:rFonts w:asciiTheme="minorHAnsi" w:hAnsiTheme="minorHAnsi" w:cs="Calibri"/>
          <w:sz w:val="18"/>
          <w:szCs w:val="18"/>
          <w:lang w:val="es-MX"/>
        </w:rPr>
        <w:t xml:space="preserve">T-064 de 2015, entre otras. / Sentencia T-307 de 2015. / </w:t>
      </w:r>
      <w:r w:rsidR="00903032" w:rsidRPr="00903032">
        <w:rPr>
          <w:rFonts w:asciiTheme="minorHAnsi" w:hAnsiTheme="minorHAnsi" w:cs="Calibri"/>
          <w:sz w:val="18"/>
          <w:szCs w:val="18"/>
        </w:rPr>
        <w:t xml:space="preserve">Sentencias SU-961 de 1999, </w:t>
      </w:r>
      <w:r w:rsidR="00903032" w:rsidRPr="00903032">
        <w:rPr>
          <w:rFonts w:asciiTheme="minorHAnsi" w:hAnsiTheme="minorHAnsi" w:cs="Calibri"/>
          <w:sz w:val="18"/>
          <w:szCs w:val="18"/>
          <w:lang w:val="es-CO"/>
        </w:rPr>
        <w:t xml:space="preserve">T-890 de 2006, T-548 de 2011, T-172 de 2013. / Sentencia T-1079 de 2008. / Sentencia T-016 de 2006. / Sentencia T-684 de 2003. / Sentencia T-207 de 2015, reiterada en la sentencia </w:t>
      </w:r>
      <w:hyperlink r:id="rId8" w:tooltip="Haga clic para abrir la Sentencia T-737/15" w:history="1">
        <w:r w:rsidR="00903032" w:rsidRPr="00903032">
          <w:rPr>
            <w:rStyle w:val="Hipervnculo"/>
            <w:rFonts w:asciiTheme="minorHAnsi" w:hAnsiTheme="minorHAnsi" w:cs="Calibri"/>
            <w:bCs/>
            <w:color w:val="auto"/>
            <w:sz w:val="18"/>
            <w:szCs w:val="18"/>
            <w:u w:val="none"/>
          </w:rPr>
          <w:t>T-737 de 2015</w:t>
        </w:r>
      </w:hyperlink>
      <w:r w:rsidR="00903032" w:rsidRPr="00903032">
        <w:rPr>
          <w:rFonts w:asciiTheme="minorHAnsi" w:hAnsiTheme="minorHAnsi" w:cs="Calibri"/>
          <w:sz w:val="18"/>
          <w:szCs w:val="18"/>
        </w:rPr>
        <w:t>. / Sentencia T-134 de 1994. / Sentencia T-103 de 2014. / Sentencia T-567 de 1998. / Sentencia T-662 de 2013.</w:t>
      </w:r>
      <w:r w:rsidR="00903032" w:rsidRPr="00903032">
        <w:rPr>
          <w:rFonts w:asciiTheme="minorHAnsi" w:hAnsiTheme="minorHAnsi"/>
          <w:b/>
          <w:bCs/>
          <w:sz w:val="18"/>
          <w:szCs w:val="18"/>
          <w:bdr w:val="none" w:sz="0" w:space="0" w:color="auto" w:frame="1"/>
          <w:shd w:val="clear" w:color="auto" w:fill="FFFFFF"/>
        </w:rPr>
        <w:t xml:space="preserve"> / </w:t>
      </w:r>
      <w:r w:rsidR="00903032" w:rsidRPr="00903032">
        <w:rPr>
          <w:rFonts w:asciiTheme="minorHAnsi" w:hAnsiTheme="minorHAnsi"/>
          <w:bCs/>
          <w:sz w:val="18"/>
          <w:szCs w:val="18"/>
          <w:bdr w:val="none" w:sz="0" w:space="0" w:color="auto" w:frame="1"/>
          <w:shd w:val="clear" w:color="auto" w:fill="FFFFFF"/>
        </w:rPr>
        <w:t>T-037 de 2016 y T-120 de 2016. /</w:t>
      </w:r>
      <w:r w:rsidR="00903032" w:rsidRPr="00903032">
        <w:rPr>
          <w:rFonts w:asciiTheme="minorHAnsi" w:hAnsiTheme="minorHAnsi" w:cs="Calibri"/>
          <w:sz w:val="18"/>
          <w:szCs w:val="18"/>
        </w:rPr>
        <w:t xml:space="preserve"> </w:t>
      </w:r>
      <w:r w:rsidR="00903032" w:rsidRPr="00903032">
        <w:rPr>
          <w:rFonts w:asciiTheme="minorHAnsi" w:hAnsiTheme="minorHAnsi" w:cs="Calibri"/>
          <w:sz w:val="18"/>
          <w:szCs w:val="18"/>
          <w:lang w:val="es-CO"/>
        </w:rPr>
        <w:t>Sentencia T-299 de 2009. / Sentencias T-526 de 2005 y T-410 de 2013. /</w:t>
      </w:r>
      <w:r w:rsidR="00903032" w:rsidRPr="00903032">
        <w:rPr>
          <w:rFonts w:asciiTheme="minorHAnsi" w:hAnsiTheme="minorHAnsi" w:cs="Calibri"/>
          <w:sz w:val="18"/>
          <w:szCs w:val="18"/>
        </w:rPr>
        <w:t xml:space="preserve"> Sentencia T-717 de 2011.</w:t>
      </w:r>
    </w:p>
    <w:p w:rsidR="00903032" w:rsidRPr="00903032" w:rsidRDefault="00903032" w:rsidP="00903032">
      <w:pPr>
        <w:pStyle w:val="Sinespaciado"/>
        <w:jc w:val="both"/>
        <w:rPr>
          <w:rFonts w:asciiTheme="minorHAnsi" w:hAnsiTheme="minorHAnsi"/>
          <w:sz w:val="18"/>
          <w:szCs w:val="18"/>
        </w:rPr>
      </w:pPr>
    </w:p>
    <w:p w:rsidR="00903032" w:rsidRPr="00903032" w:rsidRDefault="00903032" w:rsidP="00903032">
      <w:pPr>
        <w:pStyle w:val="Sinespaciado"/>
        <w:jc w:val="both"/>
        <w:rPr>
          <w:rFonts w:asciiTheme="minorHAnsi" w:hAnsiTheme="minorHAnsi"/>
          <w:sz w:val="18"/>
          <w:szCs w:val="18"/>
          <w:lang w:val="es-CO"/>
        </w:rPr>
      </w:pPr>
      <w:r w:rsidRPr="00903032">
        <w:rPr>
          <w:rFonts w:asciiTheme="minorHAnsi" w:hAnsiTheme="minorHAnsi"/>
          <w:sz w:val="18"/>
          <w:szCs w:val="18"/>
          <w:lang w:val="es-CO"/>
        </w:rPr>
        <w:t xml:space="preserve">CORTE SUPREMA DE JUSTICIA, Sala de Casación Civil, sentencia </w:t>
      </w:r>
      <w:r w:rsidRPr="00903032">
        <w:rPr>
          <w:rFonts w:asciiTheme="minorHAnsi" w:hAnsiTheme="minorHAnsi"/>
          <w:iCs/>
          <w:sz w:val="18"/>
          <w:szCs w:val="18"/>
        </w:rPr>
        <w:t xml:space="preserve">STC4837-2015, reiterada en las sentencias STC2154-2016 y </w:t>
      </w:r>
      <w:r w:rsidRPr="00903032">
        <w:rPr>
          <w:rFonts w:asciiTheme="minorHAnsi" w:hAnsiTheme="minorHAnsi"/>
          <w:iCs/>
          <w:sz w:val="18"/>
          <w:szCs w:val="18"/>
          <w:lang w:val="es-CO"/>
        </w:rPr>
        <w:t>STC3930-2016</w:t>
      </w:r>
      <w:r w:rsidRPr="00903032">
        <w:rPr>
          <w:rFonts w:asciiTheme="minorHAnsi" w:hAnsiTheme="minorHAnsi"/>
          <w:iCs/>
          <w:sz w:val="18"/>
          <w:szCs w:val="18"/>
        </w:rPr>
        <w:t>. / E</w:t>
      </w:r>
      <w:proofErr w:type="spellStart"/>
      <w:r w:rsidRPr="00903032">
        <w:rPr>
          <w:rFonts w:asciiTheme="minorHAnsi" w:hAnsiTheme="minorHAnsi" w:cs="Calibri"/>
          <w:sz w:val="18"/>
          <w:szCs w:val="18"/>
          <w:lang w:val="es-CO"/>
        </w:rPr>
        <w:t>xpediente</w:t>
      </w:r>
      <w:proofErr w:type="spellEnd"/>
      <w:r w:rsidRPr="00903032">
        <w:rPr>
          <w:rFonts w:asciiTheme="minorHAnsi" w:hAnsiTheme="minorHAnsi" w:cs="Calibri"/>
          <w:sz w:val="18"/>
          <w:szCs w:val="18"/>
          <w:lang w:val="es-CO"/>
        </w:rPr>
        <w:t xml:space="preserve"> No.23001 22 14 000 2014 00097 01</w:t>
      </w:r>
      <w:r w:rsidRPr="00903032">
        <w:rPr>
          <w:rFonts w:asciiTheme="minorHAnsi" w:hAnsiTheme="minorHAnsi" w:cs="Calibri"/>
          <w:w w:val="110"/>
          <w:sz w:val="18"/>
          <w:szCs w:val="18"/>
          <w:lang w:val="es-CO"/>
        </w:rPr>
        <w:t xml:space="preserve">. / </w:t>
      </w:r>
      <w:r w:rsidRPr="00903032">
        <w:rPr>
          <w:rFonts w:asciiTheme="minorHAnsi" w:hAnsiTheme="minorHAnsi" w:cs="Calibri"/>
          <w:sz w:val="18"/>
          <w:szCs w:val="18"/>
        </w:rPr>
        <w:t xml:space="preserve">Providencia STC6121-2015. / Providencia </w:t>
      </w:r>
      <w:r w:rsidRPr="00903032">
        <w:rPr>
          <w:rFonts w:asciiTheme="minorHAnsi" w:hAnsiTheme="minorHAnsi"/>
          <w:sz w:val="18"/>
          <w:szCs w:val="18"/>
          <w:lang w:val="es-CO"/>
        </w:rPr>
        <w:t>STC3931-2016</w:t>
      </w:r>
      <w:bookmarkStart w:id="0" w:name="_GoBack"/>
      <w:bookmarkEnd w:id="0"/>
      <w:r w:rsidRPr="00903032">
        <w:rPr>
          <w:rFonts w:asciiTheme="minorHAnsi" w:hAnsiTheme="minorHAnsi"/>
          <w:sz w:val="18"/>
          <w:szCs w:val="18"/>
          <w:lang w:val="es-CO"/>
        </w:rPr>
        <w:t>. /</w:t>
      </w:r>
    </w:p>
    <w:p w:rsidR="0057047F" w:rsidRPr="00EC41C1" w:rsidRDefault="0057047F" w:rsidP="0057047F">
      <w:pPr>
        <w:pStyle w:val="Sinespaciado"/>
        <w:jc w:val="both"/>
        <w:rPr>
          <w:rFonts w:asciiTheme="minorHAnsi" w:hAnsiTheme="minorHAnsi"/>
          <w:sz w:val="18"/>
          <w:szCs w:val="18"/>
        </w:rPr>
      </w:pPr>
    </w:p>
    <w:p w:rsidR="0057047F" w:rsidRPr="00620EC1" w:rsidRDefault="0057047F" w:rsidP="0057047F">
      <w:pPr>
        <w:pStyle w:val="Sinespaciado"/>
        <w:jc w:val="both"/>
        <w:rPr>
          <w:rFonts w:asciiTheme="minorHAnsi" w:hAnsiTheme="minorHAnsi"/>
          <w:sz w:val="18"/>
          <w:szCs w:val="18"/>
        </w:rPr>
      </w:pPr>
      <w:r>
        <w:rPr>
          <w:rFonts w:asciiTheme="minorHAnsi" w:hAnsiTheme="minorHAnsi"/>
          <w:sz w:val="18"/>
          <w:szCs w:val="18"/>
        </w:rPr>
        <w:t>-------------------------------------------------------------------------------------------------------------------------------------------------------------------------</w:t>
      </w:r>
    </w:p>
    <w:p w:rsidR="0057047F" w:rsidRPr="0057047F" w:rsidRDefault="0057047F" w:rsidP="0057047F">
      <w:pPr>
        <w:pStyle w:val="Sinespaciado"/>
        <w:jc w:val="both"/>
        <w:rPr>
          <w:rFonts w:asciiTheme="minorHAnsi" w:hAnsiTheme="minorHAnsi"/>
          <w:sz w:val="18"/>
          <w:szCs w:val="18"/>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A377CA">
        <w:rPr>
          <w:rFonts w:ascii="Arial" w:hAnsi="Arial" w:cs="Arial"/>
          <w:sz w:val="22"/>
        </w:rPr>
        <w:t>Henry García Monsalve</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A377CA">
        <w:rPr>
          <w:rFonts w:ascii="Arial" w:hAnsi="Arial" w:cs="Arial"/>
          <w:sz w:val="22"/>
        </w:rPr>
        <w:t>Juzgado Primero Civil del Circuito de Pereira</w:t>
      </w:r>
    </w:p>
    <w:p w:rsidR="00A00766" w:rsidRPr="0037396E" w:rsidRDefault="00DA38E6" w:rsidP="00A00766">
      <w:pPr>
        <w:pStyle w:val="Textoindependiente"/>
        <w:spacing w:line="360" w:lineRule="auto"/>
        <w:ind w:left="3544" w:hanging="2126"/>
        <w:rPr>
          <w:rFonts w:ascii="Arial" w:hAnsi="Arial" w:cs="Arial"/>
          <w:sz w:val="22"/>
          <w:szCs w:val="22"/>
        </w:rPr>
      </w:pPr>
      <w:r>
        <w:rPr>
          <w:rFonts w:ascii="Arial" w:hAnsi="Arial" w:cs="Arial"/>
          <w:sz w:val="22"/>
          <w:szCs w:val="22"/>
        </w:rPr>
        <w:t xml:space="preserve">Litisconsorte </w:t>
      </w:r>
      <w:r w:rsidR="00A00766" w:rsidRPr="00A00766">
        <w:rPr>
          <w:rFonts w:ascii="Arial" w:hAnsi="Arial" w:cs="Arial"/>
          <w:sz w:val="22"/>
          <w:szCs w:val="22"/>
        </w:rPr>
        <w:t>(s)</w:t>
      </w:r>
      <w:r w:rsidR="00A00766" w:rsidRPr="00A00766">
        <w:rPr>
          <w:rFonts w:ascii="Arial" w:hAnsi="Arial" w:cs="Arial"/>
          <w:sz w:val="22"/>
          <w:szCs w:val="22"/>
        </w:rPr>
        <w:tab/>
      </w:r>
      <w:r w:rsidR="00A00766">
        <w:rPr>
          <w:rFonts w:ascii="Arial" w:hAnsi="Arial" w:cs="Arial"/>
          <w:sz w:val="22"/>
          <w:szCs w:val="22"/>
        </w:rPr>
        <w:tab/>
      </w:r>
      <w:r w:rsidR="00A00766" w:rsidRPr="00A00766">
        <w:rPr>
          <w:rFonts w:ascii="Arial" w:hAnsi="Arial" w:cs="Arial"/>
          <w:sz w:val="22"/>
          <w:szCs w:val="22"/>
        </w:rPr>
        <w:t xml:space="preserve">: </w:t>
      </w:r>
      <w:r w:rsidR="00A377CA">
        <w:rPr>
          <w:rFonts w:ascii="Arial" w:hAnsi="Arial" w:cs="Arial"/>
          <w:sz w:val="22"/>
          <w:szCs w:val="22"/>
        </w:rPr>
        <w:t>Juliana Murillo Muñoz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DA38E6">
        <w:rPr>
          <w:rFonts w:ascii="Arial" w:hAnsi="Arial" w:cs="Arial"/>
          <w:sz w:val="22"/>
        </w:rPr>
        <w:t>2016-</w:t>
      </w:r>
      <w:r w:rsidR="00A377CA">
        <w:rPr>
          <w:rFonts w:ascii="Arial" w:hAnsi="Arial" w:cs="Arial"/>
          <w:sz w:val="22"/>
        </w:rPr>
        <w:t>00862</w:t>
      </w:r>
      <w:r w:rsidR="00DA38E6">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A377CA">
        <w:rPr>
          <w:rFonts w:ascii="Arial" w:hAnsi="Arial" w:cs="Arial"/>
          <w:sz w:val="22"/>
        </w:rPr>
        <w:t>862</w:t>
      </w:r>
      <w:r w:rsidRPr="00A00766">
        <w:rPr>
          <w:rFonts w:ascii="Arial" w:hAnsi="Arial" w:cs="Arial"/>
          <w:sz w:val="22"/>
        </w:rPr>
        <w:t>)</w:t>
      </w:r>
      <w:r w:rsidR="005C34FF">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A377CA">
        <w:rPr>
          <w:rFonts w:ascii="Arial" w:hAnsi="Arial" w:cs="Arial"/>
          <w:sz w:val="22"/>
          <w:szCs w:val="22"/>
        </w:rPr>
        <w:t xml:space="preserve">Inmediatez - </w:t>
      </w:r>
      <w:r w:rsidR="004B019A">
        <w:rPr>
          <w:rFonts w:ascii="Arial" w:hAnsi="Arial" w:cs="Arial"/>
          <w:sz w:val="22"/>
          <w:szCs w:val="22"/>
        </w:rPr>
        <w:t>Subsidiari</w:t>
      </w:r>
      <w:r w:rsidR="00933A36">
        <w:rPr>
          <w:rFonts w:ascii="Arial" w:hAnsi="Arial" w:cs="Arial"/>
          <w:sz w:val="22"/>
          <w:szCs w:val="22"/>
        </w:rPr>
        <w:t>e</w:t>
      </w:r>
      <w:r w:rsidR="004B019A">
        <w:rPr>
          <w:rFonts w:ascii="Arial" w:hAnsi="Arial" w:cs="Arial"/>
          <w:sz w:val="22"/>
          <w:szCs w:val="22"/>
        </w:rPr>
        <w:t>dad</w:t>
      </w:r>
      <w:r w:rsidR="0064341B">
        <w:rPr>
          <w:rFonts w:ascii="Arial" w:hAnsi="Arial" w:cs="Arial"/>
          <w:sz w:val="22"/>
          <w:szCs w:val="22"/>
        </w:rPr>
        <w:t xml:space="preserve"> – Sin recursos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A377CA">
        <w:rPr>
          <w:rFonts w:ascii="Arial" w:hAnsi="Arial"/>
          <w:smallCaps/>
          <w:szCs w:val="22"/>
        </w:rPr>
        <w:t>Duberney</w:t>
      </w:r>
      <w:proofErr w:type="spellEnd"/>
      <w:r w:rsidR="0099045D" w:rsidRPr="00A377CA">
        <w:rPr>
          <w:rFonts w:ascii="Arial" w:hAnsi="Arial"/>
          <w:smallCaps/>
          <w:szCs w:val="22"/>
        </w:rPr>
        <w:t xml:space="preserve"> Grisales Herrera</w:t>
      </w:r>
    </w:p>
    <w:p w:rsidR="00A5129A" w:rsidRPr="002060F5" w:rsidRDefault="007E004A" w:rsidP="00A5129A">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695915">
        <w:rPr>
          <w:rFonts w:ascii="Arial" w:hAnsi="Arial"/>
          <w:sz w:val="22"/>
          <w:szCs w:val="22"/>
        </w:rPr>
        <w:t>463 de 22-09-2016</w:t>
      </w:r>
    </w:p>
    <w:p w:rsidR="00A5129A" w:rsidRDefault="00A5129A" w:rsidP="00A5129A">
      <w:pPr>
        <w:pBdr>
          <w:bottom w:val="double" w:sz="6" w:space="1" w:color="auto"/>
        </w:pBdr>
        <w:spacing w:line="360" w:lineRule="auto"/>
        <w:jc w:val="center"/>
        <w:rPr>
          <w:rFonts w:ascii="Arial" w:hAnsi="Arial" w:cs="Arial"/>
          <w:b/>
          <w:bCs/>
          <w:sz w:val="22"/>
          <w:szCs w:val="22"/>
        </w:rPr>
      </w:pPr>
    </w:p>
    <w:p w:rsidR="00A5129A" w:rsidRDefault="00A5129A" w:rsidP="00A5129A">
      <w:pPr>
        <w:spacing w:line="360" w:lineRule="auto"/>
        <w:jc w:val="center"/>
        <w:rPr>
          <w:rFonts w:ascii="Arial" w:hAnsi="Arial" w:cs="Arial"/>
          <w:b/>
          <w:bCs/>
          <w:sz w:val="22"/>
          <w:szCs w:val="22"/>
        </w:rPr>
      </w:pPr>
    </w:p>
    <w:p w:rsidR="005940E7" w:rsidRPr="00832E70" w:rsidRDefault="005940E7" w:rsidP="005940E7">
      <w:pPr>
        <w:spacing w:line="360" w:lineRule="auto"/>
        <w:jc w:val="center"/>
        <w:rPr>
          <w:rFonts w:ascii="Arial" w:hAnsi="Arial" w:cs="Arial"/>
          <w:iCs/>
          <w:sz w:val="28"/>
          <w:szCs w:val="28"/>
          <w:lang w:val="es-CO"/>
        </w:rPr>
      </w:pPr>
      <w:r w:rsidRPr="00832E70">
        <w:rPr>
          <w:rFonts w:ascii="Arial" w:hAnsi="Arial" w:cs="Arial"/>
          <w:iCs/>
          <w:smallCaps/>
          <w:sz w:val="28"/>
          <w:szCs w:val="28"/>
          <w:lang w:val="es-CO"/>
        </w:rPr>
        <w:t>Pereira, R</w:t>
      </w:r>
      <w:r>
        <w:rPr>
          <w:rFonts w:ascii="Arial" w:hAnsi="Arial" w:cs="Arial"/>
          <w:iCs/>
          <w:smallCaps/>
          <w:sz w:val="28"/>
          <w:szCs w:val="28"/>
          <w:lang w:val="es-CO"/>
        </w:rPr>
        <w:t>.</w:t>
      </w:r>
      <w:r w:rsidRPr="00832E70">
        <w:rPr>
          <w:rFonts w:ascii="Arial" w:hAnsi="Arial" w:cs="Arial"/>
          <w:iCs/>
          <w:smallCaps/>
          <w:sz w:val="28"/>
          <w:szCs w:val="28"/>
          <w:lang w:val="es-CO"/>
        </w:rPr>
        <w:t>,</w:t>
      </w:r>
      <w:r>
        <w:rPr>
          <w:rFonts w:ascii="Arial" w:hAnsi="Arial" w:cs="Arial"/>
          <w:iCs/>
          <w:smallCaps/>
          <w:sz w:val="28"/>
          <w:szCs w:val="28"/>
          <w:lang w:val="es-CO"/>
        </w:rPr>
        <w:t xml:space="preserve"> </w:t>
      </w:r>
      <w:r w:rsidR="00695915">
        <w:rPr>
          <w:rFonts w:ascii="Arial" w:hAnsi="Arial" w:cs="Arial"/>
          <w:iCs/>
          <w:smallCaps/>
          <w:sz w:val="28"/>
          <w:szCs w:val="28"/>
          <w:lang w:val="es-CO"/>
        </w:rPr>
        <w:t xml:space="preserve">veintidós </w:t>
      </w:r>
      <w:r w:rsidRPr="00832E70">
        <w:rPr>
          <w:rFonts w:ascii="Arial" w:hAnsi="Arial" w:cs="Arial"/>
          <w:iCs/>
          <w:smallCaps/>
          <w:sz w:val="28"/>
          <w:szCs w:val="28"/>
          <w:lang w:val="es-CO"/>
        </w:rPr>
        <w:t>(</w:t>
      </w:r>
      <w:r w:rsidR="00695915">
        <w:rPr>
          <w:rFonts w:ascii="Arial" w:hAnsi="Arial" w:cs="Arial"/>
          <w:iCs/>
          <w:smallCaps/>
          <w:sz w:val="28"/>
          <w:szCs w:val="28"/>
          <w:lang w:val="es-CO"/>
        </w:rPr>
        <w:t>22</w:t>
      </w:r>
      <w:r>
        <w:rPr>
          <w:rFonts w:ascii="Arial" w:hAnsi="Arial" w:cs="Arial"/>
          <w:iCs/>
          <w:smallCaps/>
          <w:sz w:val="28"/>
          <w:szCs w:val="28"/>
          <w:lang w:val="es-CO"/>
        </w:rPr>
        <w:t xml:space="preserve">) de septiembre </w:t>
      </w:r>
      <w:r w:rsidRPr="00832E70">
        <w:rPr>
          <w:rFonts w:ascii="Arial" w:hAnsi="Arial" w:cs="Arial"/>
          <w:iCs/>
          <w:smallCaps/>
          <w:sz w:val="28"/>
          <w:szCs w:val="28"/>
          <w:lang w:val="es-CO"/>
        </w:rPr>
        <w:t xml:space="preserve">de dos mil </w:t>
      </w:r>
      <w:r>
        <w:rPr>
          <w:rFonts w:ascii="Arial" w:hAnsi="Arial" w:cs="Arial"/>
          <w:iCs/>
          <w:smallCaps/>
          <w:sz w:val="28"/>
          <w:szCs w:val="28"/>
          <w:lang w:val="es-CO"/>
        </w:rPr>
        <w:t xml:space="preserve">dieciséis </w:t>
      </w:r>
      <w:r w:rsidRPr="00832E70">
        <w:rPr>
          <w:rFonts w:ascii="Arial" w:hAnsi="Arial" w:cs="Arial"/>
          <w:iCs/>
          <w:smallCaps/>
          <w:sz w:val="28"/>
          <w:szCs w:val="28"/>
          <w:lang w:val="es-CO"/>
        </w:rPr>
        <w:t>(2</w:t>
      </w:r>
      <w:r>
        <w:rPr>
          <w:rFonts w:ascii="Arial" w:hAnsi="Arial" w:cs="Arial"/>
          <w:iCs/>
          <w:smallCaps/>
          <w:sz w:val="28"/>
          <w:szCs w:val="28"/>
          <w:lang w:val="es-CO"/>
        </w:rPr>
        <w:t>016</w:t>
      </w:r>
      <w:r w:rsidRPr="00832E70">
        <w:rPr>
          <w:rFonts w:ascii="Arial" w:hAnsi="Arial" w:cs="Arial"/>
          <w:iCs/>
          <w:smallCaps/>
          <w:sz w:val="28"/>
          <w:szCs w:val="28"/>
          <w:lang w:val="es-CO"/>
        </w:rPr>
        <w:t>)</w:t>
      </w:r>
      <w:r w:rsidRPr="00832E70">
        <w:rPr>
          <w:rFonts w:ascii="Arial" w:hAnsi="Arial" w:cs="Arial"/>
          <w:iCs/>
          <w:sz w:val="28"/>
          <w:szCs w:val="28"/>
          <w:lang w:val="es-CO"/>
        </w:rPr>
        <w:t>.</w:t>
      </w: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571B10" w:rsidRDefault="00437571" w:rsidP="00571B10">
      <w:pPr>
        <w:pStyle w:val="Textoindependiente"/>
        <w:spacing w:line="360" w:lineRule="auto"/>
        <w:rPr>
          <w:rFonts w:ascii="Arial" w:hAnsi="Arial"/>
          <w:szCs w:val="24"/>
        </w:rPr>
      </w:pPr>
      <w:r>
        <w:rPr>
          <w:rFonts w:ascii="Arial" w:hAnsi="Arial"/>
          <w:szCs w:val="24"/>
        </w:rPr>
        <w:t>La acción constitucional referenciada</w:t>
      </w:r>
      <w:r w:rsidR="00571B10">
        <w:rPr>
          <w:rFonts w:ascii="Arial" w:hAnsi="Arial"/>
          <w:szCs w:val="24"/>
        </w:rPr>
        <w:t>, adelantadas las debidas actuaciones con el trámite preferente y sumario, sin que se eviden</w:t>
      </w:r>
      <w:r w:rsidR="00005D9A">
        <w:rPr>
          <w:rFonts w:ascii="Arial" w:hAnsi="Arial"/>
          <w:szCs w:val="24"/>
        </w:rPr>
        <w:t>cien causales de nulidad que la</w:t>
      </w:r>
      <w:r w:rsidR="005C34FF">
        <w:rPr>
          <w:rFonts w:ascii="Arial" w:hAnsi="Arial"/>
          <w:szCs w:val="24"/>
        </w:rPr>
        <w:t>s</w:t>
      </w:r>
      <w:r w:rsidR="00571B10">
        <w:rPr>
          <w:rFonts w:ascii="Arial" w:hAnsi="Arial"/>
          <w:szCs w:val="24"/>
        </w:rPr>
        <w:t xml:space="preserve"> invalide</w:t>
      </w:r>
      <w:r w:rsidR="00005D9A">
        <w:rPr>
          <w:rFonts w:ascii="Arial" w:hAnsi="Arial"/>
          <w:szCs w:val="24"/>
        </w:rPr>
        <w:t>n</w:t>
      </w:r>
      <w:r w:rsidR="00571B10">
        <w:rPr>
          <w:rFonts w:ascii="Arial" w:hAnsi="Arial"/>
          <w:szCs w:val="24"/>
        </w:rPr>
        <w:t>.</w:t>
      </w:r>
    </w:p>
    <w:p w:rsidR="00571B10" w:rsidRDefault="00571B1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Default="0099045D" w:rsidP="0099045D">
      <w:pPr>
        <w:pStyle w:val="Textoindependiente"/>
        <w:spacing w:line="360" w:lineRule="auto"/>
        <w:rPr>
          <w:rFonts w:ascii="Arial" w:hAnsi="Arial" w:cs="Arial"/>
          <w:szCs w:val="24"/>
        </w:rPr>
      </w:pPr>
    </w:p>
    <w:p w:rsidR="00F86698" w:rsidRDefault="00F86698" w:rsidP="00571B10">
      <w:pPr>
        <w:spacing w:line="360" w:lineRule="auto"/>
        <w:jc w:val="both"/>
        <w:rPr>
          <w:rFonts w:ascii="Arial" w:hAnsi="Arial" w:cs="Arial"/>
        </w:rPr>
      </w:pPr>
      <w:r>
        <w:rPr>
          <w:rFonts w:ascii="Arial" w:hAnsi="Arial" w:cs="Arial"/>
        </w:rPr>
        <w:t>Se i</w:t>
      </w:r>
      <w:r w:rsidR="00571B10">
        <w:rPr>
          <w:rFonts w:ascii="Arial" w:hAnsi="Arial" w:cs="Arial"/>
        </w:rPr>
        <w:t xml:space="preserve">nformó </w:t>
      </w:r>
      <w:r>
        <w:rPr>
          <w:rFonts w:ascii="Arial" w:hAnsi="Arial" w:cs="Arial"/>
        </w:rPr>
        <w:t xml:space="preserve">que </w:t>
      </w:r>
      <w:r w:rsidR="00571B10">
        <w:rPr>
          <w:rFonts w:ascii="Arial" w:hAnsi="Arial" w:cs="Arial"/>
        </w:rPr>
        <w:t xml:space="preserve">el actor </w:t>
      </w:r>
      <w:r w:rsidR="00A377CA">
        <w:rPr>
          <w:rFonts w:ascii="Arial" w:hAnsi="Arial" w:cs="Arial"/>
        </w:rPr>
        <w:t>presentó proceso</w:t>
      </w:r>
      <w:r w:rsidR="00695915">
        <w:rPr>
          <w:rFonts w:ascii="Arial" w:hAnsi="Arial" w:cs="Arial"/>
        </w:rPr>
        <w:t xml:space="preserve"> de</w:t>
      </w:r>
      <w:r w:rsidR="00A377CA">
        <w:rPr>
          <w:rFonts w:ascii="Arial" w:hAnsi="Arial" w:cs="Arial"/>
        </w:rPr>
        <w:t xml:space="preserve"> deslinde y amojonamiento contra la señora Juliana Murillo Muñoz, inicialmente </w:t>
      </w:r>
      <w:r>
        <w:rPr>
          <w:rFonts w:ascii="Arial" w:hAnsi="Arial" w:cs="Arial"/>
        </w:rPr>
        <w:t xml:space="preserve">tramitado </w:t>
      </w:r>
      <w:r w:rsidR="00A377CA">
        <w:rPr>
          <w:rFonts w:ascii="Arial" w:hAnsi="Arial" w:cs="Arial"/>
        </w:rPr>
        <w:t xml:space="preserve">ante el Juzgado Segundo Civil del Circuito de Pereira, pero posteriormente asignado al despacho judicial accionado. Adujo que el día 01-07-2015 se dictó auto mediante el cual </w:t>
      </w:r>
      <w:r>
        <w:rPr>
          <w:rFonts w:ascii="Arial" w:hAnsi="Arial" w:cs="Arial"/>
        </w:rPr>
        <w:t xml:space="preserve">se </w:t>
      </w:r>
      <w:r w:rsidR="00A377CA">
        <w:rPr>
          <w:rFonts w:ascii="Arial" w:hAnsi="Arial" w:cs="Arial"/>
        </w:rPr>
        <w:t xml:space="preserve">avocó su conocimiento y </w:t>
      </w:r>
      <w:r>
        <w:rPr>
          <w:rFonts w:ascii="Arial" w:hAnsi="Arial" w:cs="Arial"/>
        </w:rPr>
        <w:t xml:space="preserve">se le </w:t>
      </w:r>
      <w:r w:rsidR="00A377CA">
        <w:rPr>
          <w:rFonts w:ascii="Arial" w:hAnsi="Arial" w:cs="Arial"/>
        </w:rPr>
        <w:t>requirió para que informara el lugar donde pueden recibir notificaciones los litisconsortes vinculados</w:t>
      </w:r>
      <w:r w:rsidR="001D384D">
        <w:rPr>
          <w:rFonts w:ascii="Arial" w:hAnsi="Arial" w:cs="Arial"/>
        </w:rPr>
        <w:t>,</w:t>
      </w:r>
      <w:r w:rsidR="00A377CA">
        <w:rPr>
          <w:rFonts w:ascii="Arial" w:hAnsi="Arial" w:cs="Arial"/>
        </w:rPr>
        <w:t xml:space="preserve"> </w:t>
      </w:r>
      <w:r w:rsidR="001D384D">
        <w:rPr>
          <w:rFonts w:ascii="Arial" w:hAnsi="Arial" w:cs="Arial"/>
        </w:rPr>
        <w:t xml:space="preserve">además, de dar </w:t>
      </w:r>
      <w:r w:rsidR="00A377CA">
        <w:rPr>
          <w:rFonts w:ascii="Arial" w:hAnsi="Arial" w:cs="Arial"/>
        </w:rPr>
        <w:t xml:space="preserve">impulso al trámite procesal. </w:t>
      </w:r>
    </w:p>
    <w:p w:rsidR="00F86698" w:rsidRDefault="00F86698" w:rsidP="00571B10">
      <w:pPr>
        <w:spacing w:line="360" w:lineRule="auto"/>
        <w:jc w:val="both"/>
        <w:rPr>
          <w:rFonts w:ascii="Arial" w:hAnsi="Arial" w:cs="Arial"/>
        </w:rPr>
      </w:pPr>
    </w:p>
    <w:p w:rsidR="00571B10" w:rsidRDefault="001D384D" w:rsidP="001D384D">
      <w:pPr>
        <w:spacing w:line="360" w:lineRule="auto"/>
        <w:jc w:val="both"/>
        <w:rPr>
          <w:rFonts w:ascii="Arial" w:hAnsi="Arial" w:cs="Arial"/>
        </w:rPr>
      </w:pPr>
      <w:r>
        <w:rPr>
          <w:rFonts w:ascii="Arial" w:hAnsi="Arial" w:cs="Arial"/>
        </w:rPr>
        <w:t xml:space="preserve">Acotó </w:t>
      </w:r>
      <w:r w:rsidR="00F86698">
        <w:rPr>
          <w:rFonts w:ascii="Arial" w:hAnsi="Arial" w:cs="Arial"/>
        </w:rPr>
        <w:t xml:space="preserve">que el día </w:t>
      </w:r>
      <w:r w:rsidR="00A377CA">
        <w:rPr>
          <w:rFonts w:ascii="Arial" w:hAnsi="Arial" w:cs="Arial"/>
        </w:rPr>
        <w:t xml:space="preserve">05-08-2015 presentó memorial </w:t>
      </w:r>
      <w:r w:rsidR="00F86698">
        <w:rPr>
          <w:rFonts w:ascii="Arial" w:hAnsi="Arial" w:cs="Arial"/>
        </w:rPr>
        <w:t xml:space="preserve">en cumplimiento de </w:t>
      </w:r>
      <w:r w:rsidR="00A377CA">
        <w:rPr>
          <w:rFonts w:ascii="Arial" w:hAnsi="Arial" w:cs="Arial"/>
        </w:rPr>
        <w:t>la orden impartida,</w:t>
      </w:r>
      <w:r w:rsidR="00F86698">
        <w:rPr>
          <w:rFonts w:ascii="Arial" w:hAnsi="Arial" w:cs="Arial"/>
        </w:rPr>
        <w:t xml:space="preserve"> pero </w:t>
      </w:r>
      <w:r>
        <w:rPr>
          <w:rFonts w:ascii="Arial" w:hAnsi="Arial" w:cs="Arial"/>
        </w:rPr>
        <w:t xml:space="preserve">el accionado </w:t>
      </w:r>
      <w:r w:rsidR="00F86698">
        <w:rPr>
          <w:rFonts w:ascii="Arial" w:hAnsi="Arial" w:cs="Arial"/>
        </w:rPr>
        <w:t>profirió auto declarando el desistimiento tácito</w:t>
      </w:r>
      <w:r>
        <w:rPr>
          <w:rFonts w:ascii="Arial" w:hAnsi="Arial" w:cs="Arial"/>
        </w:rPr>
        <w:t xml:space="preserve">, </w:t>
      </w:r>
      <w:r w:rsidR="00F86698">
        <w:rPr>
          <w:rFonts w:ascii="Arial" w:hAnsi="Arial" w:cs="Arial"/>
        </w:rPr>
        <w:t xml:space="preserve">por lo que habló </w:t>
      </w:r>
      <w:r>
        <w:rPr>
          <w:rFonts w:ascii="Arial" w:hAnsi="Arial" w:cs="Arial"/>
        </w:rPr>
        <w:t xml:space="preserve">con el secretario del despacho, quien le informó que </w:t>
      </w:r>
      <w:r w:rsidRPr="001D384D">
        <w:rPr>
          <w:rFonts w:ascii="Arial" w:hAnsi="Arial" w:cs="Arial"/>
          <w:i/>
          <w:sz w:val="22"/>
        </w:rPr>
        <w:t>“(…) ya voy a resolver el oficio era que no lo había visto, este (Sic) tranquila no hay necesidad de pasar oficio, deje el expediente aquí (…)”</w:t>
      </w:r>
      <w:r>
        <w:rPr>
          <w:rFonts w:ascii="Arial" w:hAnsi="Arial" w:cs="Arial"/>
        </w:rPr>
        <w:t xml:space="preserve">, no obstante, días después arrima al despacho judicial y advierte que se había accedido a </w:t>
      </w:r>
      <w:r w:rsidR="00FC02E9">
        <w:rPr>
          <w:rFonts w:ascii="Arial" w:hAnsi="Arial" w:cs="Arial"/>
        </w:rPr>
        <w:t xml:space="preserve">una </w:t>
      </w:r>
      <w:r>
        <w:rPr>
          <w:rFonts w:ascii="Arial" w:hAnsi="Arial" w:cs="Arial"/>
        </w:rPr>
        <w:t>solicitud de desistimiento tácito propuesta por su contraparte, dice que presentó reposición y en subsidio apelación, pero fueron rechazadas</w:t>
      </w:r>
      <w:r w:rsidR="00FC02E9">
        <w:rPr>
          <w:rFonts w:ascii="Arial" w:hAnsi="Arial" w:cs="Arial"/>
        </w:rPr>
        <w:t xml:space="preserve"> por razones que no comparte. Agregó que nunca le notificaron el desistimiento tácito y que el proceso tuvo modificaciones en sus folios</w:t>
      </w:r>
      <w:r>
        <w:rPr>
          <w:rFonts w:ascii="Arial" w:hAnsi="Arial" w:cs="Arial"/>
        </w:rPr>
        <w:t xml:space="preserve"> </w:t>
      </w:r>
      <w:r w:rsidR="00005D9A">
        <w:rPr>
          <w:rFonts w:ascii="Arial" w:hAnsi="Arial" w:cs="Arial"/>
        </w:rPr>
        <w:t>(Folio</w:t>
      </w:r>
      <w:r w:rsidR="00FC02E9">
        <w:rPr>
          <w:rFonts w:ascii="Arial" w:hAnsi="Arial" w:cs="Arial"/>
        </w:rPr>
        <w:t>s</w:t>
      </w:r>
      <w:r w:rsidR="00571B10">
        <w:rPr>
          <w:rFonts w:ascii="Arial" w:hAnsi="Arial" w:cs="Arial"/>
        </w:rPr>
        <w:t xml:space="preserve"> </w:t>
      </w:r>
      <w:r w:rsidR="00FC02E9">
        <w:rPr>
          <w:rFonts w:ascii="Arial" w:hAnsi="Arial" w:cs="Arial"/>
        </w:rPr>
        <w:t>2 a 7</w:t>
      </w:r>
      <w:r w:rsidR="00571B10">
        <w:rPr>
          <w:rFonts w:ascii="Arial" w:hAnsi="Arial" w:cs="Arial"/>
        </w:rPr>
        <w:t xml:space="preserve">, de este cuaderno). </w:t>
      </w:r>
    </w:p>
    <w:p w:rsidR="0099582F" w:rsidRDefault="0099582F"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D5729E"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derecho fundamental</w:t>
      </w:r>
      <w:r w:rsidR="004A4E9F">
        <w:rPr>
          <w:rFonts w:ascii="Arial" w:hAnsi="Arial" w:cs="Arial"/>
          <w:spacing w:val="-3"/>
          <w:lang w:val="es-ES_tradnl"/>
        </w:rPr>
        <w:t xml:space="preserve"> al </w:t>
      </w:r>
      <w:r w:rsidR="002F2C09">
        <w:rPr>
          <w:rFonts w:ascii="Arial" w:hAnsi="Arial" w:cs="Arial"/>
          <w:spacing w:val="-3"/>
          <w:lang w:val="es-ES_tradnl"/>
        </w:rPr>
        <w:t>debido proceso</w:t>
      </w:r>
      <w:r w:rsidR="004A4E9F">
        <w:rPr>
          <w:rFonts w:ascii="Arial" w:hAnsi="Arial" w:cs="Arial"/>
          <w:spacing w:val="-3"/>
          <w:lang w:val="es-ES_tradnl"/>
        </w:rPr>
        <w:t xml:space="preserve"> (Folio </w:t>
      </w:r>
      <w:r w:rsidR="00FC02E9">
        <w:rPr>
          <w:rFonts w:ascii="Arial" w:hAnsi="Arial" w:cs="Arial"/>
          <w:spacing w:val="-3"/>
          <w:lang w:val="es-ES_tradnl"/>
        </w:rPr>
        <w:t>2</w:t>
      </w:r>
      <w:r w:rsidR="004A4E9F">
        <w:rPr>
          <w:rFonts w:ascii="Arial" w:hAnsi="Arial" w:cs="Arial"/>
          <w:spacing w:val="-3"/>
          <w:lang w:val="es-ES_tradnl"/>
        </w:rPr>
        <w:t xml:space="preserve">,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FC02E9" w:rsidRDefault="00FC02E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5C34FF" w:rsidRDefault="005C34FF" w:rsidP="000145EA">
      <w:pPr>
        <w:pStyle w:val="Sinespaciado"/>
        <w:spacing w:line="360" w:lineRule="auto"/>
        <w:jc w:val="both"/>
        <w:rPr>
          <w:rFonts w:ascii="Arial" w:hAnsi="Arial" w:cs="Arial"/>
          <w:color w:val="000000"/>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 xml:space="preserve">Se </w:t>
      </w:r>
      <w:r w:rsidR="00D5729E">
        <w:rPr>
          <w:rFonts w:ascii="Arial" w:hAnsi="Arial" w:cs="Arial"/>
          <w:szCs w:val="24"/>
        </w:rPr>
        <w:t xml:space="preserve">revoque la providencia datada el </w:t>
      </w:r>
      <w:r w:rsidR="00FC02E9">
        <w:rPr>
          <w:rFonts w:ascii="Arial" w:hAnsi="Arial" w:cs="Arial"/>
          <w:szCs w:val="24"/>
          <w:lang w:val="es-CO"/>
        </w:rPr>
        <w:t xml:space="preserve">día </w:t>
      </w:r>
      <w:r w:rsidR="001A1B3C">
        <w:rPr>
          <w:rFonts w:ascii="Arial" w:hAnsi="Arial" w:cs="Arial"/>
          <w:szCs w:val="24"/>
        </w:rPr>
        <w:t>03-11-2015</w:t>
      </w:r>
      <w:r w:rsidR="00AD2BA8">
        <w:rPr>
          <w:rFonts w:ascii="Arial" w:hAnsi="Arial" w:cs="Arial"/>
          <w:szCs w:val="24"/>
        </w:rPr>
        <w:t>;</w:t>
      </w:r>
      <w:r w:rsidR="00D5729E">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w:t>
      </w:r>
      <w:r w:rsidR="00FC02E9">
        <w:rPr>
          <w:rFonts w:ascii="Arial" w:hAnsi="Arial" w:cs="Arial"/>
          <w:szCs w:val="24"/>
        </w:rPr>
        <w:t>inscribir la demanda en los folios de matrícula inmobiliaria No.290-13729 y 290-54421; y, (iii) Se ordene dar trámite al oficio del día 05-08-2015</w:t>
      </w:r>
      <w:r w:rsidR="00D5729E">
        <w:rPr>
          <w:rFonts w:ascii="Arial" w:hAnsi="Arial" w:cs="Arial"/>
          <w:szCs w:val="24"/>
        </w:rPr>
        <w:t xml:space="preserve"> </w:t>
      </w:r>
      <w:r w:rsidR="00B1245A">
        <w:rPr>
          <w:rFonts w:ascii="Arial" w:hAnsi="Arial" w:cs="Arial"/>
          <w:szCs w:val="24"/>
        </w:rPr>
        <w:t>(Folio</w:t>
      </w:r>
      <w:r w:rsidR="0099582F">
        <w:rPr>
          <w:rFonts w:ascii="Arial" w:hAnsi="Arial" w:cs="Arial"/>
          <w:szCs w:val="24"/>
        </w:rPr>
        <w:t xml:space="preserve"> </w:t>
      </w:r>
      <w:r w:rsidR="003A5204">
        <w:rPr>
          <w:rFonts w:ascii="Arial" w:hAnsi="Arial" w:cs="Arial"/>
          <w:szCs w:val="24"/>
        </w:rPr>
        <w:t>6</w:t>
      </w:r>
      <w:r w:rsidR="00B1245A">
        <w:rPr>
          <w:rFonts w:ascii="Arial" w:hAnsi="Arial" w:cs="Arial"/>
          <w:szCs w:val="24"/>
        </w:rPr>
        <w:t xml:space="preserve">, </w:t>
      </w:r>
      <w:r w:rsidR="008E6CF4">
        <w:rPr>
          <w:rFonts w:ascii="Arial" w:hAnsi="Arial" w:cs="Arial"/>
          <w:szCs w:val="24"/>
        </w:rPr>
        <w:t xml:space="preserve">de </w:t>
      </w:r>
      <w:r w:rsidR="00B1245A">
        <w:rPr>
          <w:rFonts w:ascii="Arial" w:hAnsi="Arial" w:cs="Arial"/>
          <w:szCs w:val="24"/>
        </w:rPr>
        <w:t>este cuaderno)</w:t>
      </w:r>
      <w:r w:rsidR="00AE09B6">
        <w:rPr>
          <w:rFonts w:ascii="Arial" w:hAnsi="Arial" w:cs="Arial"/>
          <w:szCs w:val="24"/>
        </w:rPr>
        <w:t>.</w:t>
      </w: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437571" w:rsidP="008E6CF4">
      <w:pPr>
        <w:spacing w:line="360" w:lineRule="auto"/>
        <w:jc w:val="both"/>
        <w:rPr>
          <w:rFonts w:ascii="Arial" w:hAnsi="Arial"/>
        </w:rPr>
      </w:pPr>
      <w:r>
        <w:rPr>
          <w:rFonts w:ascii="Arial" w:hAnsi="Arial" w:cs="Arial"/>
        </w:rPr>
        <w:t xml:space="preserve">La acción de </w:t>
      </w:r>
      <w:r w:rsidR="005C34FF">
        <w:rPr>
          <w:rFonts w:ascii="Arial" w:hAnsi="Arial" w:cs="Arial"/>
        </w:rPr>
        <w:t xml:space="preserve">tutela </w:t>
      </w:r>
      <w:r>
        <w:rPr>
          <w:rFonts w:ascii="Arial" w:hAnsi="Arial" w:cs="Arial"/>
        </w:rPr>
        <w:t xml:space="preserve">fue </w:t>
      </w:r>
      <w:r w:rsidR="0099582F" w:rsidRPr="00834D1D">
        <w:rPr>
          <w:rFonts w:ascii="Arial" w:hAnsi="Arial" w:cs="Arial"/>
        </w:rPr>
        <w:t xml:space="preserve">asignada por reparto a este Despacho el día </w:t>
      </w:r>
      <w:r w:rsidR="00FC02E9">
        <w:rPr>
          <w:rFonts w:ascii="Arial" w:hAnsi="Arial" w:cs="Arial"/>
        </w:rPr>
        <w:t>09-09-2016</w:t>
      </w:r>
      <w:r w:rsidR="0099582F" w:rsidRPr="00834D1D">
        <w:rPr>
          <w:rFonts w:ascii="Arial" w:hAnsi="Arial" w:cs="Arial"/>
        </w:rPr>
        <w:t xml:space="preserve">, con providencia </w:t>
      </w:r>
      <w:r w:rsidR="001820FD">
        <w:rPr>
          <w:rFonts w:ascii="Arial" w:hAnsi="Arial" w:cs="Arial"/>
        </w:rPr>
        <w:t xml:space="preserve">del </w:t>
      </w:r>
      <w:r w:rsidR="005C34FF">
        <w:rPr>
          <w:rFonts w:ascii="Arial" w:hAnsi="Arial" w:cs="Arial"/>
        </w:rPr>
        <w:t>d</w:t>
      </w:r>
      <w:r>
        <w:rPr>
          <w:rFonts w:ascii="Arial" w:hAnsi="Arial" w:cs="Arial"/>
        </w:rPr>
        <w:t>ía hábil siguiente se admitió</w:t>
      </w:r>
      <w:r w:rsidR="0099582F" w:rsidRPr="00834D1D">
        <w:rPr>
          <w:rFonts w:ascii="Arial" w:hAnsi="Arial" w:cs="Arial"/>
        </w:rPr>
        <w:t xml:space="preserve">, </w:t>
      </w:r>
      <w:r w:rsidR="0099582F" w:rsidRPr="008E5A62">
        <w:rPr>
          <w:rFonts w:ascii="Arial" w:hAnsi="Arial"/>
        </w:rPr>
        <w:t>se vincul</w:t>
      </w:r>
      <w:r w:rsidR="0099582F">
        <w:rPr>
          <w:rFonts w:ascii="Arial" w:hAnsi="Arial"/>
        </w:rPr>
        <w:t xml:space="preserve">ó </w:t>
      </w:r>
      <w:r w:rsidR="0099582F" w:rsidRPr="008E5A62">
        <w:rPr>
          <w:rFonts w:ascii="Arial" w:hAnsi="Arial"/>
        </w:rPr>
        <w:t xml:space="preserve">a </w:t>
      </w:r>
      <w:r w:rsidR="0099582F">
        <w:rPr>
          <w:rFonts w:ascii="Arial" w:hAnsi="Arial"/>
        </w:rPr>
        <w:t>quienes se estimó conveniente</w:t>
      </w:r>
      <w:r w:rsidR="0099582F" w:rsidRPr="008E5A62">
        <w:rPr>
          <w:rFonts w:ascii="Arial" w:hAnsi="Arial"/>
        </w:rPr>
        <w:t xml:space="preserve"> y se dispuso notificar a la</w:t>
      </w:r>
      <w:r w:rsidR="0099582F">
        <w:rPr>
          <w:rFonts w:ascii="Arial" w:hAnsi="Arial"/>
        </w:rPr>
        <w:t>s</w:t>
      </w:r>
      <w:r w:rsidR="0099582F" w:rsidRPr="008E5A62">
        <w:rPr>
          <w:rFonts w:ascii="Arial" w:hAnsi="Arial"/>
        </w:rPr>
        <w:t xml:space="preserve"> partes, entre otros ordenamientos</w:t>
      </w:r>
      <w:r w:rsidR="0099582F" w:rsidRPr="00834D1D">
        <w:rPr>
          <w:rFonts w:ascii="Arial" w:hAnsi="Arial"/>
        </w:rPr>
        <w:t xml:space="preserve"> (Folio </w:t>
      </w:r>
      <w:r w:rsidR="00FC02E9">
        <w:rPr>
          <w:rFonts w:ascii="Arial" w:hAnsi="Arial"/>
        </w:rPr>
        <w:t>23</w:t>
      </w:r>
      <w:r w:rsidR="0099582F" w:rsidRPr="00834D1D">
        <w:rPr>
          <w:rFonts w:ascii="Arial" w:hAnsi="Arial"/>
        </w:rPr>
        <w:t xml:space="preserve">, </w:t>
      </w:r>
      <w:r w:rsidR="0099582F">
        <w:rPr>
          <w:rFonts w:ascii="Arial" w:hAnsi="Arial"/>
        </w:rPr>
        <w:t>ibídem</w:t>
      </w:r>
      <w:r w:rsidR="0099582F" w:rsidRPr="00834D1D">
        <w:rPr>
          <w:rFonts w:ascii="Arial" w:hAnsi="Arial"/>
        </w:rPr>
        <w:t xml:space="preserve">). </w:t>
      </w:r>
      <w:r w:rsidR="008E50E4" w:rsidRPr="008E5A62">
        <w:rPr>
          <w:rFonts w:ascii="Arial" w:hAnsi="Arial"/>
        </w:rPr>
        <w:t xml:space="preserve"> </w:t>
      </w:r>
      <w:r w:rsidR="008E6CF4" w:rsidRPr="008E5A62">
        <w:rPr>
          <w:rFonts w:ascii="Arial" w:hAnsi="Arial"/>
        </w:rPr>
        <w:t xml:space="preserve">Fueron debidamente </w:t>
      </w:r>
      <w:r w:rsidR="008E6CF4">
        <w:rPr>
          <w:rFonts w:ascii="Arial" w:hAnsi="Arial"/>
        </w:rPr>
        <w:t xml:space="preserve">enterados </w:t>
      </w:r>
      <w:r w:rsidR="008E6CF4" w:rsidRPr="008E5A62">
        <w:rPr>
          <w:rFonts w:ascii="Arial" w:hAnsi="Arial"/>
        </w:rPr>
        <w:t>l</w:t>
      </w:r>
      <w:r w:rsidR="005C34FF">
        <w:rPr>
          <w:rFonts w:ascii="Arial" w:hAnsi="Arial"/>
        </w:rPr>
        <w:t>os extremos de la acción (Folio</w:t>
      </w:r>
      <w:r w:rsidR="00FC02E9">
        <w:rPr>
          <w:rFonts w:ascii="Arial" w:hAnsi="Arial"/>
        </w:rPr>
        <w:t>s</w:t>
      </w:r>
      <w:r w:rsidR="008E6CF4" w:rsidRPr="008E5A62">
        <w:rPr>
          <w:rFonts w:ascii="Arial" w:hAnsi="Arial"/>
        </w:rPr>
        <w:t xml:space="preserve"> </w:t>
      </w:r>
      <w:r w:rsidR="00FC02E9">
        <w:rPr>
          <w:rFonts w:ascii="Arial" w:hAnsi="Arial"/>
        </w:rPr>
        <w:t>24 a 30</w:t>
      </w:r>
      <w:r w:rsidR="008E6CF4">
        <w:rPr>
          <w:rFonts w:ascii="Arial" w:hAnsi="Arial"/>
        </w:rPr>
        <w:t>, ibídem</w:t>
      </w:r>
      <w:r w:rsidR="008E6CF4" w:rsidRPr="008E5A62">
        <w:rPr>
          <w:rFonts w:ascii="Arial" w:hAnsi="Arial"/>
        </w:rPr>
        <w:t>).</w:t>
      </w:r>
      <w:r w:rsidR="00FC02E9">
        <w:rPr>
          <w:rFonts w:ascii="Arial" w:hAnsi="Arial"/>
        </w:rPr>
        <w:t xml:space="preserve"> El día 19-09-2016, se hizo la inspección judicial y se ordenaron otras vinculaciones mediante emisión radial (Folio</w:t>
      </w:r>
      <w:r w:rsidR="00A06152">
        <w:rPr>
          <w:rFonts w:ascii="Arial" w:hAnsi="Arial"/>
        </w:rPr>
        <w:t xml:space="preserve"> </w:t>
      </w:r>
      <w:r w:rsidR="00FC02E9">
        <w:rPr>
          <w:rFonts w:ascii="Arial" w:hAnsi="Arial"/>
        </w:rPr>
        <w:t>35</w:t>
      </w:r>
      <w:r w:rsidR="001820FD">
        <w:rPr>
          <w:rFonts w:ascii="Arial" w:hAnsi="Arial"/>
        </w:rPr>
        <w:t>, ibídem</w:t>
      </w:r>
      <w:r w:rsidR="00A2178F">
        <w:rPr>
          <w:rFonts w:ascii="Arial" w:hAnsi="Arial"/>
        </w:rPr>
        <w:t>)</w:t>
      </w:r>
      <w:r w:rsidR="00FC02E9">
        <w:rPr>
          <w:rFonts w:ascii="Arial" w:hAnsi="Arial"/>
        </w:rPr>
        <w:t>. Seguidamente, con auto del 20-09-2016 se dispuso surtir la notificación de los vinculados en otras emisoras locales (Folio 52, ib.)</w:t>
      </w:r>
      <w:r w:rsidR="00FC02E9">
        <w:rPr>
          <w:rFonts w:ascii="Arial" w:hAnsi="Arial"/>
          <w:lang w:val="es-CO"/>
        </w:rPr>
        <w:t xml:space="preserve">. </w:t>
      </w:r>
      <w:r w:rsidR="00504EC9">
        <w:rPr>
          <w:rFonts w:ascii="Arial" w:hAnsi="Arial"/>
          <w:lang w:val="es-CO"/>
        </w:rPr>
        <w:t xml:space="preserve">Contestó </w:t>
      </w:r>
      <w:r w:rsidR="00FC02E9">
        <w:rPr>
          <w:rFonts w:ascii="Arial" w:hAnsi="Arial"/>
        </w:rPr>
        <w:t>la señora Juliana Murillo Muñoz</w:t>
      </w:r>
      <w:r w:rsidR="00504EC9">
        <w:rPr>
          <w:rFonts w:ascii="Arial" w:hAnsi="Arial"/>
        </w:rPr>
        <w:t xml:space="preserve"> </w:t>
      </w:r>
      <w:r w:rsidR="001820FD">
        <w:rPr>
          <w:rFonts w:ascii="Arial" w:hAnsi="Arial"/>
        </w:rPr>
        <w:t xml:space="preserve">(Folios </w:t>
      </w:r>
      <w:r w:rsidR="00504EC9">
        <w:rPr>
          <w:rFonts w:ascii="Arial" w:hAnsi="Arial"/>
        </w:rPr>
        <w:t>31  a 33</w:t>
      </w:r>
      <w:r w:rsidR="00636F79">
        <w:rPr>
          <w:rFonts w:ascii="Arial" w:hAnsi="Arial"/>
        </w:rPr>
        <w:t>, ib.)</w:t>
      </w:r>
      <w:r w:rsidR="00504EC9">
        <w:rPr>
          <w:rFonts w:ascii="Arial" w:hAnsi="Arial"/>
        </w:rPr>
        <w:t>, las demás partes guardaron silencio</w:t>
      </w:r>
      <w:r w:rsidR="008E6CF4" w:rsidRPr="003B6DD2">
        <w:rPr>
          <w:rFonts w:ascii="Arial" w:hAnsi="Arial"/>
        </w:rPr>
        <w:t>.</w:t>
      </w:r>
    </w:p>
    <w:p w:rsidR="00687FAC" w:rsidRPr="00704D44" w:rsidRDefault="00687FAC" w:rsidP="00687FAC">
      <w:pPr>
        <w:pStyle w:val="Sinespaciado"/>
        <w:tabs>
          <w:tab w:val="left" w:pos="1200"/>
        </w:tabs>
        <w:spacing w:line="360" w:lineRule="auto"/>
        <w:jc w:val="both"/>
        <w:rPr>
          <w:rFonts w:ascii="Arial" w:hAnsi="Arial"/>
          <w:szCs w:val="24"/>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 </w:t>
      </w:r>
      <w:r>
        <w:rPr>
          <w:rFonts w:ascii="Arial" w:hAnsi="Arial"/>
        </w:rPr>
        <w:t>RESPUESTA</w:t>
      </w:r>
    </w:p>
    <w:p w:rsidR="006F4450" w:rsidRDefault="006F4450" w:rsidP="006F4450">
      <w:pPr>
        <w:spacing w:line="360" w:lineRule="auto"/>
        <w:jc w:val="both"/>
        <w:rPr>
          <w:rFonts w:ascii="Arial" w:hAnsi="Arial"/>
        </w:rPr>
      </w:pPr>
    </w:p>
    <w:p w:rsidR="00636F79" w:rsidRDefault="00FB5405" w:rsidP="00636F79">
      <w:pPr>
        <w:spacing w:line="360" w:lineRule="auto"/>
        <w:jc w:val="both"/>
        <w:rPr>
          <w:rFonts w:ascii="Arial" w:hAnsi="Arial"/>
        </w:rPr>
      </w:pPr>
      <w:r>
        <w:rPr>
          <w:rFonts w:ascii="Arial" w:hAnsi="Arial"/>
        </w:rPr>
        <w:t xml:space="preserve">La señora Juliana Murillo Muñoz pide que se declare improcedente el amparo porque el accionante no cumplió con la orden impartida por el juzgado accionado dentro del término concedido para ello y tampoco recurrió el proveído mediante el cual se declaró el desistimiento tácito </w:t>
      </w:r>
      <w:r w:rsidR="00636F79">
        <w:rPr>
          <w:rFonts w:ascii="Arial" w:hAnsi="Arial"/>
        </w:rPr>
        <w:t xml:space="preserve">(Folios </w:t>
      </w:r>
      <w:r>
        <w:rPr>
          <w:rFonts w:ascii="Arial" w:hAnsi="Arial"/>
        </w:rPr>
        <w:t xml:space="preserve">31 a 33 </w:t>
      </w:r>
      <w:r w:rsidR="00296503">
        <w:rPr>
          <w:rFonts w:ascii="Arial" w:hAnsi="Arial"/>
        </w:rPr>
        <w:t>a 66</w:t>
      </w:r>
      <w:r w:rsidR="00636F79">
        <w:rPr>
          <w:rFonts w:ascii="Arial" w:hAnsi="Arial"/>
        </w:rPr>
        <w:t>, ib.).</w:t>
      </w:r>
    </w:p>
    <w:p w:rsidR="00FB5405" w:rsidRDefault="00FB5405" w:rsidP="00636F79">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FB5405" w:rsidRDefault="00FB5405" w:rsidP="00CF429F">
      <w:pPr>
        <w:pStyle w:val="Sangra2detindependiente"/>
        <w:spacing w:after="0" w:line="360" w:lineRule="auto"/>
        <w:ind w:left="0"/>
        <w:jc w:val="both"/>
        <w:rPr>
          <w:rFonts w:ascii="Arial" w:hAnsi="Arial" w:cs="Arial"/>
          <w:sz w:val="24"/>
          <w:szCs w:val="24"/>
        </w:rPr>
      </w:pPr>
    </w:p>
    <w:p w:rsidR="00FB5405"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 xml:space="preserve">Este </w:t>
      </w:r>
      <w:r w:rsidR="00FB5405">
        <w:rPr>
          <w:rFonts w:ascii="Arial" w:hAnsi="Arial" w:cs="Arial"/>
          <w:sz w:val="24"/>
          <w:szCs w:val="24"/>
        </w:rPr>
        <w:t xml:space="preserve"> </w:t>
      </w:r>
      <w:r w:rsidRPr="004A1A69">
        <w:rPr>
          <w:rFonts w:ascii="Arial" w:hAnsi="Arial" w:cs="Arial"/>
          <w:sz w:val="24"/>
          <w:szCs w:val="24"/>
        </w:rPr>
        <w:t xml:space="preserve">Tribunal </w:t>
      </w:r>
      <w:r w:rsidR="00FB5405">
        <w:rPr>
          <w:rFonts w:ascii="Arial" w:hAnsi="Arial" w:cs="Arial"/>
          <w:sz w:val="24"/>
          <w:szCs w:val="24"/>
        </w:rPr>
        <w:t xml:space="preserve"> </w:t>
      </w:r>
      <w:r w:rsidRPr="004A1A69">
        <w:rPr>
          <w:rFonts w:ascii="Arial" w:hAnsi="Arial" w:cs="Arial"/>
          <w:sz w:val="24"/>
          <w:szCs w:val="24"/>
        </w:rPr>
        <w:t xml:space="preserve">es </w:t>
      </w:r>
      <w:r w:rsidR="00FB5405">
        <w:rPr>
          <w:rFonts w:ascii="Arial" w:hAnsi="Arial" w:cs="Arial"/>
          <w:sz w:val="24"/>
          <w:szCs w:val="24"/>
        </w:rPr>
        <w:t xml:space="preserve"> </w:t>
      </w:r>
      <w:r w:rsidRPr="004A1A69">
        <w:rPr>
          <w:rFonts w:ascii="Arial" w:hAnsi="Arial" w:cs="Arial"/>
          <w:sz w:val="24"/>
          <w:szCs w:val="24"/>
        </w:rPr>
        <w:t xml:space="preserve">competente </w:t>
      </w:r>
      <w:r w:rsidR="00FB5405">
        <w:rPr>
          <w:rFonts w:ascii="Arial" w:hAnsi="Arial" w:cs="Arial"/>
          <w:sz w:val="24"/>
          <w:szCs w:val="24"/>
        </w:rPr>
        <w:t xml:space="preserve"> </w:t>
      </w:r>
      <w:r w:rsidRPr="004A1A69">
        <w:rPr>
          <w:rFonts w:ascii="Arial" w:hAnsi="Arial" w:cs="Arial"/>
          <w:sz w:val="24"/>
          <w:szCs w:val="24"/>
        </w:rPr>
        <w:t xml:space="preserve">para </w:t>
      </w:r>
      <w:r w:rsidR="00FB5405">
        <w:rPr>
          <w:rFonts w:ascii="Arial" w:hAnsi="Arial" w:cs="Arial"/>
          <w:sz w:val="24"/>
          <w:szCs w:val="24"/>
        </w:rPr>
        <w:t xml:space="preserve"> </w:t>
      </w:r>
      <w:r w:rsidRPr="004A1A69">
        <w:rPr>
          <w:rFonts w:ascii="Arial" w:hAnsi="Arial" w:cs="Arial"/>
          <w:sz w:val="24"/>
          <w:szCs w:val="24"/>
        </w:rPr>
        <w:t>conocer</w:t>
      </w:r>
      <w:r>
        <w:rPr>
          <w:rFonts w:ascii="Arial" w:hAnsi="Arial" w:cs="Arial"/>
          <w:sz w:val="24"/>
          <w:szCs w:val="24"/>
        </w:rPr>
        <w:t xml:space="preserve"> </w:t>
      </w:r>
      <w:r w:rsidR="00FB5405">
        <w:rPr>
          <w:rFonts w:ascii="Arial" w:hAnsi="Arial" w:cs="Arial"/>
          <w:sz w:val="24"/>
          <w:szCs w:val="24"/>
        </w:rPr>
        <w:t xml:space="preserve"> </w:t>
      </w:r>
      <w:r>
        <w:rPr>
          <w:rFonts w:ascii="Arial" w:hAnsi="Arial" w:cs="Arial"/>
          <w:sz w:val="24"/>
          <w:szCs w:val="24"/>
        </w:rPr>
        <w:t xml:space="preserve">la </w:t>
      </w:r>
      <w:r w:rsidR="00FB5405">
        <w:rPr>
          <w:rFonts w:ascii="Arial" w:hAnsi="Arial" w:cs="Arial"/>
          <w:sz w:val="24"/>
          <w:szCs w:val="24"/>
        </w:rPr>
        <w:t xml:space="preserve"> </w:t>
      </w:r>
      <w:r>
        <w:rPr>
          <w:rFonts w:ascii="Arial" w:hAnsi="Arial" w:cs="Arial"/>
          <w:sz w:val="24"/>
          <w:szCs w:val="24"/>
        </w:rPr>
        <w:t xml:space="preserve">acción </w:t>
      </w:r>
      <w:r w:rsidR="00FB5405">
        <w:rPr>
          <w:rFonts w:ascii="Arial" w:hAnsi="Arial" w:cs="Arial"/>
          <w:sz w:val="24"/>
          <w:szCs w:val="24"/>
        </w:rPr>
        <w:t xml:space="preserve"> </w:t>
      </w:r>
      <w:r>
        <w:rPr>
          <w:rFonts w:ascii="Arial" w:hAnsi="Arial" w:cs="Arial"/>
          <w:sz w:val="24"/>
          <w:szCs w:val="24"/>
        </w:rPr>
        <w:t xml:space="preserve">en </w:t>
      </w:r>
      <w:r w:rsidR="00FB5405">
        <w:rPr>
          <w:rFonts w:ascii="Arial" w:hAnsi="Arial" w:cs="Arial"/>
          <w:sz w:val="24"/>
          <w:szCs w:val="24"/>
        </w:rPr>
        <w:t xml:space="preserve"> </w:t>
      </w:r>
      <w:r>
        <w:rPr>
          <w:rFonts w:ascii="Arial" w:hAnsi="Arial" w:cs="Arial"/>
          <w:sz w:val="24"/>
          <w:szCs w:val="24"/>
        </w:rPr>
        <w:t xml:space="preserve">razón </w:t>
      </w:r>
      <w:r w:rsidR="00FB5405">
        <w:rPr>
          <w:rFonts w:ascii="Arial" w:hAnsi="Arial" w:cs="Arial"/>
          <w:sz w:val="24"/>
          <w:szCs w:val="24"/>
        </w:rPr>
        <w:t xml:space="preserve"> </w:t>
      </w:r>
      <w:r>
        <w:rPr>
          <w:rFonts w:ascii="Arial" w:hAnsi="Arial" w:cs="Arial"/>
          <w:sz w:val="24"/>
          <w:szCs w:val="24"/>
        </w:rPr>
        <w:t xml:space="preserve">a </w:t>
      </w:r>
      <w:r w:rsidR="00FB5405">
        <w:rPr>
          <w:rFonts w:ascii="Arial" w:hAnsi="Arial" w:cs="Arial"/>
          <w:sz w:val="24"/>
          <w:szCs w:val="24"/>
        </w:rPr>
        <w:t xml:space="preserve"> </w:t>
      </w:r>
      <w:r>
        <w:rPr>
          <w:rFonts w:ascii="Arial" w:hAnsi="Arial" w:cs="Arial"/>
          <w:sz w:val="24"/>
          <w:szCs w:val="24"/>
        </w:rPr>
        <w:t xml:space="preserve">que </w:t>
      </w:r>
      <w:r w:rsidR="00FB5405">
        <w:rPr>
          <w:rFonts w:ascii="Arial" w:hAnsi="Arial" w:cs="Arial"/>
          <w:sz w:val="24"/>
          <w:szCs w:val="24"/>
        </w:rPr>
        <w:t xml:space="preserve"> </w:t>
      </w:r>
      <w:r w:rsidRPr="004A1A69">
        <w:rPr>
          <w:rFonts w:ascii="Arial" w:hAnsi="Arial" w:cs="Arial"/>
          <w:sz w:val="24"/>
          <w:szCs w:val="24"/>
        </w:rPr>
        <w:t xml:space="preserve">es </w:t>
      </w:r>
      <w:r w:rsidR="00FB5405">
        <w:rPr>
          <w:rFonts w:ascii="Arial" w:hAnsi="Arial" w:cs="Arial"/>
          <w:sz w:val="24"/>
          <w:szCs w:val="24"/>
        </w:rPr>
        <w:t xml:space="preserve"> </w:t>
      </w:r>
      <w:r w:rsidRPr="004A1A69">
        <w:rPr>
          <w:rFonts w:ascii="Arial" w:hAnsi="Arial" w:cs="Arial"/>
          <w:sz w:val="24"/>
          <w:szCs w:val="24"/>
        </w:rPr>
        <w:t xml:space="preserve">el </w:t>
      </w:r>
      <w:r w:rsidR="00FB5405">
        <w:rPr>
          <w:rFonts w:ascii="Arial" w:hAnsi="Arial" w:cs="Arial"/>
          <w:sz w:val="24"/>
          <w:szCs w:val="24"/>
        </w:rPr>
        <w:t xml:space="preserve"> </w:t>
      </w:r>
      <w:r w:rsidRPr="004A1A69">
        <w:rPr>
          <w:rFonts w:ascii="Arial" w:hAnsi="Arial" w:cs="Arial"/>
          <w:sz w:val="24"/>
          <w:szCs w:val="24"/>
        </w:rPr>
        <w:t xml:space="preserve">superior </w:t>
      </w:r>
    </w:p>
    <w:p w:rsidR="00FB5405" w:rsidRDefault="00FB5405" w:rsidP="00CF429F">
      <w:pPr>
        <w:pStyle w:val="Sangra2detindependiente"/>
        <w:spacing w:after="0" w:line="360" w:lineRule="auto"/>
        <w:ind w:left="0"/>
        <w:jc w:val="both"/>
        <w:rPr>
          <w:rFonts w:ascii="Arial" w:hAnsi="Arial" w:cs="Arial"/>
          <w:sz w:val="24"/>
          <w:szCs w:val="24"/>
        </w:rPr>
      </w:pPr>
    </w:p>
    <w:p w:rsidR="00CF429F" w:rsidRDefault="00FB5405" w:rsidP="00CF429F">
      <w:pPr>
        <w:pStyle w:val="Sangra2detindependiente"/>
        <w:spacing w:after="0" w:line="360" w:lineRule="auto"/>
        <w:ind w:left="0"/>
        <w:jc w:val="both"/>
        <w:rPr>
          <w:rFonts w:ascii="Arial" w:hAnsi="Arial" w:cs="Arial"/>
          <w:sz w:val="24"/>
          <w:szCs w:val="24"/>
        </w:rPr>
      </w:pPr>
      <w:proofErr w:type="gramStart"/>
      <w:r>
        <w:rPr>
          <w:rFonts w:ascii="Arial" w:hAnsi="Arial" w:cs="Arial"/>
          <w:sz w:val="24"/>
          <w:szCs w:val="24"/>
        </w:rPr>
        <w:t>j</w:t>
      </w:r>
      <w:r w:rsidRPr="004A1A69">
        <w:rPr>
          <w:rFonts w:ascii="Arial" w:hAnsi="Arial" w:cs="Arial"/>
          <w:sz w:val="24"/>
          <w:szCs w:val="24"/>
        </w:rPr>
        <w:t>erárquico</w:t>
      </w:r>
      <w:proofErr w:type="gramEnd"/>
      <w:r w:rsidR="00D8627D" w:rsidRPr="004A1A69">
        <w:rPr>
          <w:rFonts w:ascii="Arial" w:hAnsi="Arial" w:cs="Arial"/>
          <w:sz w:val="24"/>
          <w:szCs w:val="24"/>
        </w:rPr>
        <w:t xml:space="preserve"> de</w:t>
      </w:r>
      <w:r w:rsidR="00D8627D">
        <w:rPr>
          <w:rFonts w:ascii="Arial" w:hAnsi="Arial" w:cs="Arial"/>
          <w:sz w:val="24"/>
          <w:szCs w:val="24"/>
        </w:rPr>
        <w:t>l accionado</w:t>
      </w:r>
      <w:r w:rsidR="00D8627D" w:rsidRPr="004A1A69">
        <w:rPr>
          <w:rFonts w:ascii="Arial" w:hAnsi="Arial" w:cs="Arial"/>
          <w:sz w:val="24"/>
          <w:szCs w:val="24"/>
        </w:rPr>
        <w:t xml:space="preserve">, el Juzgado </w:t>
      </w:r>
      <w:r>
        <w:rPr>
          <w:rFonts w:ascii="Arial" w:hAnsi="Arial" w:cs="Arial"/>
          <w:sz w:val="24"/>
          <w:szCs w:val="24"/>
        </w:rPr>
        <w:t xml:space="preserve">Primero Civil del Circuito de Pereira, </w:t>
      </w:r>
      <w:r w:rsidR="006747E6">
        <w:rPr>
          <w:rFonts w:ascii="Arial" w:hAnsi="Arial" w:cs="Arial"/>
          <w:sz w:val="24"/>
          <w:szCs w:val="24"/>
        </w:rPr>
        <w:t>R.</w:t>
      </w:r>
      <w:r w:rsidR="00D8627D">
        <w:rPr>
          <w:rFonts w:ascii="Arial" w:hAnsi="Arial" w:cs="Arial"/>
          <w:sz w:val="24"/>
          <w:szCs w:val="24"/>
        </w:rPr>
        <w:t xml:space="preserve"> </w:t>
      </w:r>
      <w:r w:rsidR="00D8627D" w:rsidRPr="004A1A69">
        <w:rPr>
          <w:rFonts w:ascii="Arial" w:hAnsi="Arial" w:cs="Arial"/>
          <w:sz w:val="24"/>
          <w:szCs w:val="24"/>
        </w:rPr>
        <w:t xml:space="preserve">(Artículos 86 de la CP, 37 </w:t>
      </w:r>
      <w:r w:rsidR="00D8627D"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FB5405" w:rsidRPr="004A1A69">
        <w:rPr>
          <w:rFonts w:ascii="Arial" w:hAnsi="Arial" w:cs="Arial"/>
        </w:rPr>
        <w:t xml:space="preserve">Juzgado </w:t>
      </w:r>
      <w:r w:rsidR="00FB5405">
        <w:rPr>
          <w:rFonts w:ascii="Arial" w:hAnsi="Arial" w:cs="Arial"/>
        </w:rPr>
        <w:t>Primero Civil del Circuito de Pereira, R.,</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E12CF2">
        <w:rPr>
          <w:rFonts w:ascii="Arial" w:hAnsi="Arial" w:cs="Arial"/>
          <w:spacing w:val="-3"/>
          <w:lang w:val="es-ES_tradnl"/>
        </w:rPr>
        <w:t xml:space="preserve">en </w:t>
      </w:r>
      <w:r w:rsidR="00FB5405">
        <w:rPr>
          <w:rFonts w:ascii="Arial" w:hAnsi="Arial" w:cs="Arial"/>
          <w:spacing w:val="-3"/>
          <w:lang w:val="es-ES_tradnl"/>
        </w:rPr>
        <w:t>el proceso ordinario de deslinde y amojonamiento</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67253D" w:rsidRPr="00DF74B6" w:rsidRDefault="0067253D" w:rsidP="0067253D">
      <w:pPr>
        <w:pStyle w:val="Textoindependiente"/>
        <w:numPr>
          <w:ilvl w:val="2"/>
          <w:numId w:val="30"/>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67253D" w:rsidRDefault="0067253D" w:rsidP="0067253D">
      <w:pPr>
        <w:pStyle w:val="Textoindependiente"/>
        <w:spacing w:line="360" w:lineRule="auto"/>
        <w:rPr>
          <w:rFonts w:ascii="Arial" w:hAnsi="Arial" w:cs="Arial"/>
          <w:szCs w:val="24"/>
        </w:rPr>
      </w:pPr>
    </w:p>
    <w:p w:rsidR="0067253D" w:rsidRDefault="0067253D" w:rsidP="0067253D">
      <w:pPr>
        <w:pStyle w:val="Textoindependiente"/>
        <w:spacing w:line="360" w:lineRule="auto"/>
        <w:rPr>
          <w:rFonts w:ascii="Arial" w:hAnsi="Arial" w:cs="Arial"/>
          <w:szCs w:val="24"/>
        </w:rPr>
      </w:pPr>
      <w:r w:rsidRPr="00D91A51">
        <w:rPr>
          <w:rFonts w:ascii="Arial" w:hAnsi="Arial" w:cs="Arial"/>
          <w:szCs w:val="24"/>
        </w:rPr>
        <w:lastRenderedPageBreak/>
        <w:t xml:space="preserve">Se cumple la legitimación por activa dado que </w:t>
      </w:r>
      <w:r>
        <w:rPr>
          <w:rFonts w:ascii="Arial" w:hAnsi="Arial" w:cs="Arial"/>
          <w:szCs w:val="24"/>
        </w:rPr>
        <w:t>el actor</w:t>
      </w:r>
      <w:r w:rsidRPr="00CB3FF7">
        <w:rPr>
          <w:rFonts w:ascii="Arial" w:hAnsi="Arial" w:cs="Arial"/>
          <w:szCs w:val="24"/>
        </w:rPr>
        <w:t xml:space="preserve"> </w:t>
      </w:r>
      <w:r>
        <w:rPr>
          <w:rFonts w:ascii="Arial" w:hAnsi="Arial" w:cs="Arial"/>
          <w:szCs w:val="24"/>
        </w:rPr>
        <w:t xml:space="preserve">es </w:t>
      </w:r>
      <w:r w:rsidR="006747E6">
        <w:rPr>
          <w:rFonts w:ascii="Arial" w:hAnsi="Arial" w:cs="Arial"/>
          <w:szCs w:val="24"/>
        </w:rPr>
        <w:t xml:space="preserve">parte activa en el trámite </w:t>
      </w:r>
      <w:r>
        <w:rPr>
          <w:rFonts w:ascii="Arial" w:hAnsi="Arial" w:cs="Arial"/>
          <w:szCs w:val="24"/>
        </w:rPr>
        <w:t xml:space="preserve">en </w:t>
      </w:r>
      <w:r w:rsidR="001A1B3C">
        <w:rPr>
          <w:rFonts w:ascii="Arial" w:hAnsi="Arial" w:cs="Arial"/>
          <w:szCs w:val="24"/>
        </w:rPr>
        <w:t xml:space="preserve">el </w:t>
      </w:r>
      <w:r>
        <w:rPr>
          <w:rFonts w:ascii="Arial" w:hAnsi="Arial" w:cs="Arial"/>
          <w:szCs w:val="24"/>
        </w:rPr>
        <w:t>que se reprocha la falta al debido proceso</w:t>
      </w:r>
      <w:r w:rsidRPr="00902F93">
        <w:rPr>
          <w:rFonts w:ascii="Arial" w:hAnsi="Arial" w:cs="Arial"/>
          <w:szCs w:val="24"/>
        </w:rPr>
        <w:t xml:space="preserve">. Y por pasiva, </w:t>
      </w:r>
      <w:r>
        <w:rPr>
          <w:rFonts w:ascii="Arial" w:hAnsi="Arial" w:cs="Arial"/>
          <w:szCs w:val="24"/>
        </w:rPr>
        <w:t xml:space="preserve">lo es el </w:t>
      </w:r>
      <w:r w:rsidR="00FB5405" w:rsidRPr="004A1A69">
        <w:rPr>
          <w:rFonts w:ascii="Arial" w:hAnsi="Arial" w:cs="Arial"/>
          <w:szCs w:val="24"/>
        </w:rPr>
        <w:t xml:space="preserve">Juzgado </w:t>
      </w:r>
      <w:r w:rsidR="00FB5405">
        <w:rPr>
          <w:rFonts w:ascii="Arial" w:hAnsi="Arial" w:cs="Arial"/>
          <w:szCs w:val="24"/>
        </w:rPr>
        <w:t>Primero Civil del Circuito de Pereira, R</w:t>
      </w:r>
      <w:r w:rsidR="00FB5405">
        <w:rPr>
          <w:rFonts w:ascii="Arial" w:hAnsi="Arial" w:cs="Arial"/>
        </w:rPr>
        <w:t xml:space="preserve">., </w:t>
      </w:r>
      <w:r>
        <w:rPr>
          <w:rFonts w:ascii="Arial" w:hAnsi="Arial" w:cs="Arial"/>
          <w:szCs w:val="24"/>
        </w:rPr>
        <w:t>al ser</w:t>
      </w:r>
      <w:r w:rsidRPr="009A3C9D">
        <w:rPr>
          <w:rFonts w:ascii="Arial" w:hAnsi="Arial" w:cs="Arial"/>
          <w:szCs w:val="24"/>
        </w:rPr>
        <w:t xml:space="preserve"> la autoridad judicial que </w:t>
      </w:r>
      <w:r>
        <w:rPr>
          <w:rFonts w:ascii="Arial" w:hAnsi="Arial" w:cs="Arial"/>
          <w:szCs w:val="24"/>
        </w:rPr>
        <w:t>conoce del asunto.</w:t>
      </w:r>
    </w:p>
    <w:p w:rsidR="0067253D" w:rsidRDefault="0067253D" w:rsidP="0067253D">
      <w:pPr>
        <w:pStyle w:val="Textoindependiente"/>
        <w:spacing w:line="360" w:lineRule="auto"/>
        <w:rPr>
          <w:rFonts w:ascii="Arial" w:hAnsi="Arial" w:cs="Arial"/>
          <w:szCs w:val="24"/>
        </w:rPr>
      </w:pPr>
    </w:p>
    <w:p w:rsidR="003456E9" w:rsidRDefault="0067253D" w:rsidP="003456E9">
      <w:pPr>
        <w:pStyle w:val="Textoindependiente"/>
        <w:spacing w:line="360" w:lineRule="auto"/>
        <w:rPr>
          <w:rFonts w:ascii="Arial" w:hAnsi="Arial" w:cs="Arial"/>
          <w:szCs w:val="24"/>
        </w:rPr>
      </w:pPr>
      <w:r w:rsidRPr="003456E9">
        <w:rPr>
          <w:rFonts w:ascii="Arial" w:hAnsi="Arial" w:cs="Arial"/>
        </w:rPr>
        <w:t xml:space="preserve">Como los litisconsortes vinculados a este trámite, </w:t>
      </w:r>
      <w:r w:rsidR="003456E9" w:rsidRPr="00FD594D">
        <w:rPr>
          <w:rFonts w:ascii="Arial" w:hAnsi="Arial" w:cs="Arial"/>
          <w:szCs w:val="24"/>
        </w:rPr>
        <w:t>no incurrieron en violación o amenaza alguna, se negará la tutela frente a ellos.</w:t>
      </w:r>
    </w:p>
    <w:p w:rsidR="0067253D" w:rsidRPr="00326A31" w:rsidRDefault="0067253D" w:rsidP="003456E9">
      <w:pPr>
        <w:widowControl/>
        <w:spacing w:line="360" w:lineRule="auto"/>
        <w:jc w:val="both"/>
        <w:rPr>
          <w:rFonts w:ascii="Arial" w:hAnsi="Arial" w:cs="Arial"/>
        </w:rPr>
      </w:pPr>
    </w:p>
    <w:p w:rsidR="00FF5B57" w:rsidRDefault="00FF5B57" w:rsidP="0067253D">
      <w:pPr>
        <w:pStyle w:val="Textoindependiente"/>
        <w:numPr>
          <w:ilvl w:val="2"/>
          <w:numId w:val="3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3456E9" w:rsidRDefault="003456E9" w:rsidP="003456E9">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FF5B57"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E12CF2" w:rsidRPr="006A3AB9" w:rsidRDefault="00E12CF2"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67253D" w:rsidRDefault="0067253D" w:rsidP="0067253D">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w:t>
      </w:r>
      <w:r>
        <w:rPr>
          <w:rFonts w:ascii="Arial" w:hAnsi="Arial" w:cs="Arial"/>
          <w:szCs w:val="24"/>
        </w:rPr>
        <w:t>2016</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8215CB" w:rsidRDefault="008215CB" w:rsidP="00FF5B57">
      <w:pPr>
        <w:pStyle w:val="Textoindependiente"/>
        <w:spacing w:line="360" w:lineRule="auto"/>
        <w:rPr>
          <w:rFonts w:ascii="Arial" w:hAnsi="Arial" w:cs="Arial"/>
          <w:szCs w:val="24"/>
        </w:rPr>
      </w:pPr>
    </w:p>
    <w:p w:rsidR="00FB5405" w:rsidRPr="00FB5405" w:rsidRDefault="00FB5405" w:rsidP="00FB5405">
      <w:pPr>
        <w:pStyle w:val="Prrafodelista"/>
        <w:numPr>
          <w:ilvl w:val="2"/>
          <w:numId w:val="31"/>
        </w:numPr>
        <w:spacing w:line="360" w:lineRule="auto"/>
        <w:jc w:val="both"/>
        <w:rPr>
          <w:rFonts w:ascii="Arial" w:hAnsi="Arial" w:cs="Arial"/>
        </w:rPr>
      </w:pPr>
      <w:r w:rsidRPr="00FB5405">
        <w:rPr>
          <w:rFonts w:ascii="Arial" w:hAnsi="Arial" w:cs="Arial"/>
        </w:rPr>
        <w:t>La inmediatez</w:t>
      </w:r>
    </w:p>
    <w:p w:rsidR="00FB5405" w:rsidRPr="0007257C" w:rsidRDefault="00FB5405" w:rsidP="00FB5405">
      <w:pPr>
        <w:pStyle w:val="Prrafodelista"/>
        <w:spacing w:line="360" w:lineRule="auto"/>
        <w:ind w:left="720"/>
        <w:jc w:val="both"/>
        <w:rPr>
          <w:rFonts w:ascii="Arial" w:hAnsi="Arial" w:cs="Arial"/>
          <w:sz w:val="22"/>
        </w:rPr>
      </w:pPr>
    </w:p>
    <w:p w:rsidR="00FB5405" w:rsidRDefault="00FB5405" w:rsidP="00FB5405">
      <w:pPr>
        <w:spacing w:line="360" w:lineRule="auto"/>
        <w:jc w:val="both"/>
        <w:rPr>
          <w:rFonts w:ascii="Arial" w:hAnsi="Arial" w:cs="Arial"/>
          <w:u w:val="single"/>
        </w:rPr>
      </w:pPr>
      <w:r>
        <w:rPr>
          <w:rFonts w:ascii="Arial" w:hAnsi="Arial" w:cs="Arial"/>
        </w:rPr>
        <w:t>Según constante jurisprudencia de nuestro máximo Tribunal Constitucional</w:t>
      </w:r>
      <w:r>
        <w:rPr>
          <w:rStyle w:val="Refdenotaalpie"/>
        </w:rPr>
        <w:footnoteReference w:id="8"/>
      </w:r>
      <w:r>
        <w:rPr>
          <w:rFonts w:ascii="Arial" w:hAnsi="Arial" w:cs="Arial"/>
        </w:rPr>
        <w:t>, y también de la Corte Suprema de Justicia</w:t>
      </w:r>
      <w:r>
        <w:rPr>
          <w:rStyle w:val="Refdenotaalpie"/>
          <w:rFonts w:ascii="Calibri" w:hAnsi="Calibri" w:cs="Calibri"/>
        </w:rPr>
        <w:footnoteReference w:id="9"/>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Pr>
          <w:rFonts w:ascii="Arial" w:hAnsi="Arial" w:cs="Arial"/>
          <w:b/>
          <w:bCs/>
        </w:rPr>
        <w:t>aplicación urgente,</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FB5405" w:rsidRPr="0007257C" w:rsidRDefault="00FB5405" w:rsidP="00FB5405">
      <w:pPr>
        <w:spacing w:line="360" w:lineRule="auto"/>
        <w:jc w:val="both"/>
        <w:rPr>
          <w:rFonts w:ascii="Arial" w:hAnsi="Arial" w:cs="Arial"/>
          <w:sz w:val="22"/>
          <w:u w:val="single"/>
        </w:rPr>
      </w:pPr>
    </w:p>
    <w:p w:rsidR="00FB5405" w:rsidRDefault="00FB5405" w:rsidP="00FB5405">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Pr>
          <w:rFonts w:ascii="Arial" w:hAnsi="Arial" w:cs="Arial"/>
          <w:b/>
          <w:kern w:val="44"/>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en recientes decisiones nuestro Alto Tribunal, que la “OPORTUNIDAD”,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10"/>
      </w:r>
      <w:r>
        <w:rPr>
          <w:rFonts w:ascii="Arial" w:hAnsi="Arial" w:cs="Arial"/>
        </w:rPr>
        <w:t>. Así mismo lo ha señalado la Corte Suprema de Justicia Sala de Casación Civil</w:t>
      </w:r>
      <w:r>
        <w:rPr>
          <w:rStyle w:val="Refdenotaalpie"/>
          <w:rFonts w:ascii="Arial" w:hAnsi="Arial" w:cs="Arial"/>
        </w:rPr>
        <w:footnoteReference w:id="11"/>
      </w:r>
      <w:r>
        <w:rPr>
          <w:rFonts w:ascii="Arial" w:hAnsi="Arial" w:cs="Arial"/>
        </w:rPr>
        <w:t xml:space="preserve"> que en reciente (2016) providencia reiteró: </w:t>
      </w:r>
    </w:p>
    <w:p w:rsidR="00FB5405" w:rsidRPr="00BE7936" w:rsidRDefault="00FB5405" w:rsidP="00FB5405">
      <w:pPr>
        <w:spacing w:line="360" w:lineRule="auto"/>
        <w:ind w:right="22"/>
        <w:jc w:val="both"/>
        <w:rPr>
          <w:rFonts w:ascii="Arial" w:hAnsi="Arial" w:cs="Arial"/>
          <w:sz w:val="16"/>
        </w:rPr>
      </w:pPr>
    </w:p>
    <w:p w:rsidR="00FB5405" w:rsidRDefault="00FB5405" w:rsidP="00FB5405">
      <w:pPr>
        <w:ind w:left="72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 xml:space="preserve">transcurrió un lapso que supera el de seis (6) meses fijado por la consistente jurisprudencia de esta </w:t>
      </w:r>
      <w:r w:rsidRPr="00BE7936">
        <w:rPr>
          <w:rFonts w:ascii="Arial" w:hAnsi="Arial" w:cs="Arial"/>
          <w:spacing w:val="-10"/>
          <w:szCs w:val="28"/>
          <w:u w:val="single"/>
        </w:rPr>
        <w:lastRenderedPageBreak/>
        <w:t>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FB5405" w:rsidRPr="0007257C" w:rsidRDefault="00FB5405" w:rsidP="00FB5405">
      <w:pPr>
        <w:spacing w:line="360" w:lineRule="auto"/>
        <w:ind w:right="22"/>
        <w:jc w:val="both"/>
        <w:rPr>
          <w:rFonts w:ascii="Arial" w:hAnsi="Arial" w:cs="Arial"/>
          <w:sz w:val="20"/>
        </w:rPr>
      </w:pPr>
    </w:p>
    <w:p w:rsidR="00FB5405" w:rsidRDefault="00FB5405" w:rsidP="00FB5405">
      <w:pPr>
        <w:spacing w:line="360" w:lineRule="auto"/>
        <w:ind w:right="22"/>
        <w:jc w:val="both"/>
        <w:rPr>
          <w:rFonts w:ascii="Arial" w:hAnsi="Arial" w:cs="Arial"/>
        </w:rPr>
      </w:pPr>
      <w:r>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FB5405" w:rsidRPr="0007257C" w:rsidRDefault="00FB5405" w:rsidP="00FB5405">
      <w:pPr>
        <w:spacing w:line="360" w:lineRule="auto"/>
        <w:ind w:right="22"/>
        <w:jc w:val="both"/>
        <w:rPr>
          <w:rFonts w:ascii="Arial" w:hAnsi="Arial" w:cs="Arial"/>
          <w:sz w:val="20"/>
        </w:rPr>
      </w:pPr>
    </w:p>
    <w:p w:rsidR="00FB5405" w:rsidRDefault="00FB5405" w:rsidP="00FB5405">
      <w:pPr>
        <w:spacing w:line="360" w:lineRule="auto"/>
        <w:ind w:right="22"/>
        <w:jc w:val="both"/>
        <w:rPr>
          <w:rFonts w:ascii="Arial" w:hAnsi="Arial" w:cs="Arial"/>
        </w:rPr>
      </w:pPr>
      <w:r>
        <w:rPr>
          <w:rFonts w:ascii="Arial" w:hAnsi="Arial" w:cs="Arial"/>
        </w:rPr>
        <w:t>Los aspectos acabados de reseñar, fueron precisados en una decisión del 2006 de la Corte Constitucional</w:t>
      </w:r>
      <w:r>
        <w:rPr>
          <w:rStyle w:val="Refdenotaalpie"/>
          <w:rFonts w:ascii="Arial" w:hAnsi="Arial" w:cs="Arial"/>
        </w:rPr>
        <w:footnoteReference w:id="12"/>
      </w:r>
      <w:r>
        <w:rPr>
          <w:rFonts w:ascii="Arial" w:hAnsi="Arial" w:cs="Arial"/>
        </w:rPr>
        <w:t>, con apoyo en un precedente anterior de 2003</w:t>
      </w:r>
      <w:r>
        <w:rPr>
          <w:rStyle w:val="Refdenotaalpie"/>
          <w:rFonts w:ascii="Arial" w:hAnsi="Arial" w:cs="Arial"/>
        </w:rPr>
        <w:footnoteReference w:id="13"/>
      </w:r>
      <w:r>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Ramírez</w:t>
      </w:r>
      <w:r>
        <w:rPr>
          <w:rStyle w:val="Refdenotaalpie"/>
          <w:rFonts w:ascii="Arial" w:hAnsi="Arial" w:cs="Arial"/>
        </w:rPr>
        <w:footnoteReference w:id="14"/>
      </w:r>
      <w:r>
        <w:rPr>
          <w:rFonts w:ascii="Arial" w:hAnsi="Arial" w:cs="Arial"/>
        </w:rPr>
        <w:t>.</w:t>
      </w:r>
    </w:p>
    <w:p w:rsidR="00FB5405" w:rsidRPr="0007257C" w:rsidRDefault="00FB5405" w:rsidP="00FB5405">
      <w:pPr>
        <w:spacing w:line="360" w:lineRule="auto"/>
        <w:ind w:right="22"/>
        <w:jc w:val="both"/>
        <w:rPr>
          <w:rFonts w:ascii="Arial" w:hAnsi="Arial" w:cs="Arial"/>
          <w:sz w:val="22"/>
        </w:rPr>
      </w:pPr>
    </w:p>
    <w:p w:rsidR="00FB5405" w:rsidRDefault="00FB5405" w:rsidP="00FB5405">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15"/>
      </w:r>
      <w:r>
        <w:rPr>
          <w:rFonts w:ascii="Arial" w:hAnsi="Arial" w:cs="Arial"/>
          <w:lang w:val="es-ES_tradnl"/>
        </w:rPr>
        <w:t xml:space="preserve">, ratificó el pensamiento traído en su larga línea jurisprudencial, y resaltó las razones que fundamenta el factor “inmediatez” como presupuesto de </w:t>
      </w:r>
      <w:proofErr w:type="spellStart"/>
      <w:r>
        <w:rPr>
          <w:rFonts w:ascii="Arial" w:hAnsi="Arial" w:cs="Arial"/>
          <w:lang w:val="es-ES_tradnl"/>
        </w:rPr>
        <w:t>procedibilidad</w:t>
      </w:r>
      <w:proofErr w:type="spellEnd"/>
      <w:r>
        <w:rPr>
          <w:rFonts w:ascii="Arial" w:hAnsi="Arial" w:cs="Arial"/>
          <w:lang w:val="es-ES_tradnl"/>
        </w:rPr>
        <w:t xml:space="preserve"> </w:t>
      </w:r>
      <w:r w:rsidRPr="001754A5">
        <w:rPr>
          <w:rFonts w:ascii="Arial" w:hAnsi="Arial" w:cs="Arial"/>
        </w:rPr>
        <w:t>en asuntos en los que el objeto de debate constitucional es una decisión judicial en firme</w:t>
      </w:r>
      <w:r>
        <w:rPr>
          <w:rFonts w:ascii="Arial" w:hAnsi="Arial" w:cs="Arial"/>
          <w:lang w:val="es-ES_tradnl"/>
        </w:rPr>
        <w:t>, así acotó:</w:t>
      </w:r>
    </w:p>
    <w:p w:rsidR="00FB5405" w:rsidRPr="0007257C" w:rsidRDefault="00FB5405" w:rsidP="00FB5405">
      <w:pPr>
        <w:ind w:left="567"/>
        <w:jc w:val="both"/>
        <w:rPr>
          <w:rFonts w:ascii="Arial" w:hAnsi="Arial" w:cs="Arial"/>
          <w:sz w:val="22"/>
          <w:lang w:val="es-ES_tradnl"/>
        </w:rPr>
      </w:pPr>
    </w:p>
    <w:p w:rsidR="00FB5405" w:rsidRDefault="00FB5405" w:rsidP="00FB5405">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 la Corte reiteró que la </w:t>
      </w:r>
      <w:r>
        <w:rPr>
          <w:rFonts w:ascii="Arial" w:hAnsi="Arial" w:cs="Arial"/>
          <w:szCs w:val="28"/>
          <w:u w:val="single"/>
          <w:shd w:val="clear" w:color="auto" w:fill="FFFFFF"/>
        </w:rPr>
        <w:t>exigencia de presentar la acción de tutela en un término razonable, se debe a la necesidad de</w:t>
      </w:r>
      <w:r>
        <w:rPr>
          <w:rFonts w:ascii="Arial" w:hAnsi="Arial" w:cs="Arial"/>
          <w:szCs w:val="28"/>
          <w:shd w:val="clear" w:color="auto" w:fill="FFFFFF"/>
        </w:rPr>
        <w:t xml:space="preserve"> (i) proteger derechos de terceros que pueden verse vulnerados con la presentación de la tutela; (ii) impedir que este mecanismo constitucional se convierta en fuente de inseguridad jurídica; y (iii) evitar el uso del amparo como herramienta </w:t>
      </w:r>
      <w:proofErr w:type="spellStart"/>
      <w:r>
        <w:rPr>
          <w:rFonts w:ascii="Arial" w:hAnsi="Arial" w:cs="Arial"/>
          <w:szCs w:val="28"/>
          <w:shd w:val="clear" w:color="auto" w:fill="FFFFFF"/>
        </w:rPr>
        <w:t>supletiva</w:t>
      </w:r>
      <w:proofErr w:type="spellEnd"/>
      <w:r>
        <w:rPr>
          <w:rFonts w:ascii="Arial" w:hAnsi="Arial" w:cs="Arial"/>
          <w:szCs w:val="28"/>
          <w:shd w:val="clear" w:color="auto" w:fill="FFFFFF"/>
        </w:rPr>
        <w:t xml:space="preserve"> de la propia negligencia en la agencia de los derechos. </w:t>
      </w:r>
    </w:p>
    <w:p w:rsidR="00FB5405" w:rsidRDefault="00FB5405" w:rsidP="00FB5405">
      <w:pPr>
        <w:pStyle w:val="Textoindependiente"/>
        <w:spacing w:line="240" w:lineRule="auto"/>
        <w:ind w:left="567" w:right="567"/>
        <w:rPr>
          <w:rFonts w:ascii="Arial" w:hAnsi="Arial" w:cs="Arial"/>
          <w:sz w:val="22"/>
          <w:szCs w:val="24"/>
        </w:rPr>
      </w:pPr>
    </w:p>
    <w:p w:rsidR="00FB5405" w:rsidRDefault="00FB5405" w:rsidP="00FB5405">
      <w:pPr>
        <w:pStyle w:val="Textoindependiente"/>
        <w:spacing w:line="240" w:lineRule="auto"/>
        <w:ind w:left="567" w:right="567"/>
        <w:rPr>
          <w:rFonts w:ascii="Arial" w:hAnsi="Arial" w:cs="Arial"/>
          <w:sz w:val="22"/>
          <w:szCs w:val="24"/>
        </w:rPr>
      </w:pPr>
      <w:r>
        <w:rPr>
          <w:rFonts w:ascii="Arial" w:hAnsi="Arial" w:cs="Arial"/>
          <w:sz w:val="22"/>
          <w:szCs w:val="24"/>
        </w:rPr>
        <w:t xml:space="preserve">(…) </w:t>
      </w:r>
    </w:p>
    <w:p w:rsidR="00FB5405" w:rsidRDefault="00FB5405" w:rsidP="00FB5405">
      <w:pPr>
        <w:pStyle w:val="Textoindependiente"/>
        <w:spacing w:line="240" w:lineRule="auto"/>
        <w:ind w:left="567" w:right="567"/>
        <w:rPr>
          <w:rFonts w:ascii="Arial" w:hAnsi="Arial" w:cs="Arial"/>
          <w:sz w:val="22"/>
          <w:szCs w:val="24"/>
        </w:rPr>
      </w:pPr>
    </w:p>
    <w:p w:rsidR="00FB5405" w:rsidRDefault="00FB5405" w:rsidP="00FB5405">
      <w:pPr>
        <w:tabs>
          <w:tab w:val="left" w:pos="1979"/>
        </w:tabs>
        <w:ind w:left="567" w:right="567"/>
        <w:jc w:val="both"/>
        <w:rPr>
          <w:rFonts w:ascii="Arial" w:hAnsi="Arial" w:cs="Arial"/>
          <w:sz w:val="28"/>
          <w:lang w:val="es-ES_tradnl"/>
        </w:rPr>
      </w:pPr>
      <w:r>
        <w:rPr>
          <w:rFonts w:ascii="Arial" w:hAnsi="Arial" w:cs="Arial"/>
          <w:szCs w:val="28"/>
          <w:shd w:val="clear" w:color="auto" w:fill="FFFFFF"/>
        </w:rPr>
        <w:t xml:space="preserve">En consecuencia, se debe presumir que la acción de tutela cumple con el requisito de inmediatez cuando: (i) el accionante logra demostrar los motivos por los cuales la presentó en ese momento a pesar de que ha transcurrido mucho tiempo desde los hechos que la originaron; (ii) la vulneración o amenaza del derecho persiste; o (iii) el actor se encuentra en situación de vulnerabilidad, a pesar de haber sido presentada tiempo después de que ocurrieron los actos que generaron la vulneración o amenaza de los derechos fundamentales. </w:t>
      </w:r>
      <w:r>
        <w:rPr>
          <w:rFonts w:ascii="Arial" w:hAnsi="Arial" w:cs="Arial"/>
          <w:lang w:val="es-CO"/>
        </w:rPr>
        <w:t xml:space="preserve">La </w:t>
      </w:r>
      <w:proofErr w:type="spellStart"/>
      <w:r>
        <w:rPr>
          <w:rFonts w:ascii="Arial" w:hAnsi="Arial" w:cs="Arial"/>
          <w:lang w:val="es-CO"/>
        </w:rPr>
        <w:t>sublínea</w:t>
      </w:r>
      <w:proofErr w:type="spellEnd"/>
      <w:r>
        <w:rPr>
          <w:rFonts w:ascii="Arial" w:hAnsi="Arial" w:cs="Arial"/>
          <w:lang w:val="es-CO"/>
        </w:rPr>
        <w:t xml:space="preserve"> de este Tribunal.</w:t>
      </w:r>
    </w:p>
    <w:p w:rsidR="00FB5405" w:rsidRPr="00FB5405" w:rsidRDefault="00FB5405" w:rsidP="00FB5405">
      <w:pPr>
        <w:spacing w:line="360" w:lineRule="auto"/>
        <w:jc w:val="both"/>
        <w:rPr>
          <w:rFonts w:ascii="Arial" w:hAnsi="Arial" w:cs="Arial"/>
          <w:lang w:val="es-ES_tradnl"/>
        </w:rPr>
      </w:pPr>
    </w:p>
    <w:p w:rsidR="00636F79" w:rsidRDefault="00636F79" w:rsidP="0067253D">
      <w:pPr>
        <w:pStyle w:val="Textoindependiente"/>
        <w:numPr>
          <w:ilvl w:val="2"/>
          <w:numId w:val="31"/>
        </w:numPr>
        <w:tabs>
          <w:tab w:val="clear" w:pos="0"/>
          <w:tab w:val="clear" w:pos="708"/>
          <w:tab w:val="left" w:pos="993"/>
        </w:tabs>
        <w:suppressAutoHyphens w:val="0"/>
        <w:overflowPunct/>
        <w:autoSpaceDE/>
        <w:adjustRightInd/>
        <w:spacing w:line="360" w:lineRule="auto"/>
        <w:textAlignment w:val="auto"/>
        <w:rPr>
          <w:rFonts w:ascii="Arial" w:hAnsi="Arial" w:cs="Arial"/>
          <w:szCs w:val="24"/>
        </w:rPr>
      </w:pPr>
      <w:r>
        <w:rPr>
          <w:rFonts w:ascii="Arial" w:hAnsi="Arial" w:cs="Arial"/>
          <w:szCs w:val="24"/>
        </w:rPr>
        <w:t>El carácter subsidiario de la acción de tutela</w:t>
      </w:r>
      <w:r>
        <w:rPr>
          <w:rFonts w:ascii="Arial" w:hAnsi="Arial" w:cs="Arial"/>
          <w:szCs w:val="24"/>
        </w:rPr>
        <w:tab/>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Constitución Nacional,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roofErr w:type="spellStart"/>
      <w:r w:rsidR="001A1B3C">
        <w:rPr>
          <w:rFonts w:ascii="Arial" w:hAnsi="Arial" w:cs="Arial"/>
        </w:rPr>
        <w:t>Sublínea</w:t>
      </w:r>
      <w:proofErr w:type="spellEnd"/>
      <w:r w:rsidR="001A1B3C">
        <w:rPr>
          <w:rFonts w:ascii="Arial" w:hAnsi="Arial" w:cs="Arial"/>
        </w:rPr>
        <w:t xml:space="preserve"> de esta Sala</w:t>
      </w:r>
    </w:p>
    <w:p w:rsidR="00636F79" w:rsidRDefault="00636F79" w:rsidP="00636F79">
      <w:pPr>
        <w:pStyle w:val="Textoindependiente"/>
        <w:tabs>
          <w:tab w:val="clear" w:pos="0"/>
        </w:tabs>
        <w:spacing w:line="360" w:lineRule="auto"/>
        <w:rPr>
          <w:rFonts w:ascii="Arial" w:hAnsi="Arial" w:cs="Arial"/>
          <w:szCs w:val="24"/>
          <w:u w:val="single"/>
        </w:rPr>
      </w:pPr>
    </w:p>
    <w:p w:rsidR="00636F79" w:rsidRDefault="00636F79" w:rsidP="00636F79">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Refdenotaalpie"/>
          <w:rFonts w:ascii="Arial" w:hAnsi="Arial" w:cs="Arial"/>
          <w:i/>
          <w:sz w:val="22"/>
          <w:szCs w:val="22"/>
        </w:rPr>
        <w:footnoteReference w:id="16"/>
      </w:r>
      <w:r>
        <w:rPr>
          <w:rFonts w:ascii="Arial" w:hAnsi="Arial" w:cs="Arial"/>
          <w:i/>
          <w:sz w:val="22"/>
          <w:szCs w:val="22"/>
        </w:rPr>
        <w:t>.</w:t>
      </w:r>
    </w:p>
    <w:p w:rsidR="00636F79" w:rsidRDefault="00636F79" w:rsidP="00636F79">
      <w:pPr>
        <w:widowControl/>
        <w:autoSpaceDE/>
        <w:adjustRightInd/>
        <w:spacing w:line="360" w:lineRule="auto"/>
        <w:jc w:val="both"/>
        <w:rPr>
          <w:rFonts w:ascii="Arial" w:hAnsi="Arial" w:cs="Arial"/>
          <w:szCs w:val="22"/>
          <w:lang w:val="es-ES_tradnl"/>
        </w:rPr>
      </w:pPr>
    </w:p>
    <w:p w:rsidR="00636F79" w:rsidRDefault="00636F79" w:rsidP="00636F79">
      <w:pPr>
        <w:widowControl/>
        <w:autoSpaceDE/>
        <w:adjustRightInd/>
        <w:spacing w:line="360" w:lineRule="auto"/>
        <w:jc w:val="both"/>
        <w:rPr>
          <w:rFonts w:ascii="Arial" w:hAnsi="Arial" w:cs="Arial"/>
          <w:lang w:val="es-ES_tradnl"/>
        </w:rPr>
      </w:pPr>
      <w:r>
        <w:rPr>
          <w:rFonts w:ascii="Arial" w:hAnsi="Arial" w:cs="Arial"/>
          <w:lang w:val="es-ES_tradnl"/>
        </w:rPr>
        <w:t>La Corte Constitucional</w:t>
      </w:r>
      <w:r>
        <w:rPr>
          <w:rStyle w:val="Refdenotaalpie"/>
          <w:rFonts w:ascii="Arial" w:hAnsi="Arial"/>
          <w:color w:val="000000"/>
          <w:shd w:val="clear" w:color="auto" w:fill="FFFFFF"/>
        </w:rPr>
        <w:footnoteReference w:id="17"/>
      </w:r>
      <w:r>
        <w:rPr>
          <w:rFonts w:ascii="Arial" w:hAnsi="Arial" w:cs="Arial"/>
          <w:lang w:val="es-ES_tradnl"/>
        </w:rPr>
        <w:t xml:space="preserve"> en su jurisprudencia ha destacado la importancia de preservar el principio de subsidiariedad en el amparo constitucional:</w:t>
      </w:r>
    </w:p>
    <w:p w:rsidR="00636F79" w:rsidRPr="00636F79" w:rsidRDefault="00636F79" w:rsidP="00636F79">
      <w:pPr>
        <w:widowControl/>
        <w:overflowPunct w:val="0"/>
        <w:spacing w:line="360" w:lineRule="auto"/>
        <w:ind w:left="540" w:right="560"/>
        <w:jc w:val="both"/>
        <w:textAlignment w:val="baseline"/>
        <w:rPr>
          <w:rFonts w:ascii="Arial" w:hAnsi="Arial" w:cs="Arial"/>
          <w:i/>
          <w:iCs/>
          <w:sz w:val="20"/>
          <w:lang w:val="es-ES_tradnl"/>
        </w:rPr>
      </w:pPr>
    </w:p>
    <w:p w:rsidR="00636F79" w:rsidRDefault="00636F79" w:rsidP="00636F79">
      <w:pPr>
        <w:pStyle w:val="Textoindependiente"/>
        <w:tabs>
          <w:tab w:val="clear" w:pos="0"/>
        </w:tabs>
        <w:spacing w:line="240" w:lineRule="auto"/>
        <w:ind w:left="567" w:right="567"/>
        <w:rPr>
          <w:rFonts w:ascii="Arial" w:hAnsi="Arial" w:cs="Arial"/>
          <w:color w:val="000000"/>
          <w:szCs w:val="24"/>
          <w:shd w:val="clear" w:color="auto" w:fill="FFFFFF"/>
        </w:rPr>
      </w:pPr>
      <w:r>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pStyle w:val="Textoindependiente"/>
        <w:tabs>
          <w:tab w:val="clear" w:pos="0"/>
        </w:tabs>
        <w:spacing w:line="360" w:lineRule="auto"/>
        <w:rPr>
          <w:rFonts w:ascii="Arial" w:hAnsi="Arial" w:cs="Arial"/>
          <w:szCs w:val="24"/>
        </w:rPr>
      </w:pPr>
      <w:r>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8"/>
      </w:r>
      <w:r>
        <w:rPr>
          <w:rFonts w:ascii="Arial" w:hAnsi="Arial" w:cs="Arial"/>
          <w:sz w:val="22"/>
          <w:szCs w:val="22"/>
        </w:rPr>
        <w:t>.</w:t>
      </w:r>
      <w:r>
        <w:rPr>
          <w:rFonts w:ascii="Arial" w:hAnsi="Arial" w:cs="Arial"/>
          <w:szCs w:val="24"/>
        </w:rPr>
        <w:t xml:space="preserve"> Además, la Corte ha sido reiterativa en su criterio</w:t>
      </w:r>
      <w:r>
        <w:rPr>
          <w:rStyle w:val="Refdenotaalpie"/>
          <w:rFonts w:ascii="Arial" w:hAnsi="Arial"/>
          <w:szCs w:val="24"/>
        </w:rPr>
        <w:footnoteReference w:id="19"/>
      </w:r>
      <w:r>
        <w:rPr>
          <w:rFonts w:ascii="Arial" w:hAnsi="Arial" w:cs="Arial"/>
          <w:szCs w:val="24"/>
        </w:rPr>
        <w:t>(2016)</w:t>
      </w:r>
      <w:r>
        <w:rPr>
          <w:rStyle w:val="Refdenotaalpie"/>
          <w:rFonts w:ascii="Arial" w:hAnsi="Arial"/>
          <w:szCs w:val="24"/>
        </w:rPr>
        <w:footnoteReference w:id="20"/>
      </w:r>
      <w:r>
        <w:rPr>
          <w:rFonts w:ascii="Arial" w:hAnsi="Arial" w:cs="Arial"/>
          <w:szCs w:val="24"/>
        </w:rPr>
        <w:t>.</w:t>
      </w:r>
    </w:p>
    <w:p w:rsidR="00636F79" w:rsidRDefault="00636F79" w:rsidP="00636F79">
      <w:pPr>
        <w:pStyle w:val="Textoindependiente"/>
        <w:tabs>
          <w:tab w:val="clear" w:pos="0"/>
        </w:tabs>
        <w:spacing w:line="360" w:lineRule="auto"/>
        <w:rPr>
          <w:rFonts w:ascii="Arial" w:hAnsi="Arial" w:cs="Arial"/>
          <w:szCs w:val="24"/>
        </w:rPr>
      </w:pPr>
    </w:p>
    <w:p w:rsidR="00636F79" w:rsidRDefault="00636F79" w:rsidP="00636F79">
      <w:pPr>
        <w:spacing w:line="360" w:lineRule="auto"/>
        <w:jc w:val="both"/>
        <w:rPr>
          <w:rFonts w:ascii="Arial" w:hAnsi="Arial" w:cs="Arial"/>
          <w:lang w:val="es-ES_tradnl"/>
        </w:rPr>
      </w:pPr>
      <w:r>
        <w:rPr>
          <w:rFonts w:ascii="Arial" w:hAnsi="Arial" w:cs="Arial"/>
          <w:lang w:val="es-ES_tradnl"/>
        </w:rPr>
        <w:lastRenderedPageBreak/>
        <w:t>También la Corte Suprema de Justicia se ha referido al tema</w:t>
      </w:r>
      <w:r>
        <w:rPr>
          <w:rStyle w:val="Refdenotaalpie"/>
          <w:rFonts w:ascii="Arial" w:hAnsi="Arial" w:cs="Arial"/>
        </w:rPr>
        <w:footnoteReference w:id="21"/>
      </w:r>
      <w:r>
        <w:rPr>
          <w:rFonts w:ascii="Arial" w:hAnsi="Arial" w:cs="Arial"/>
          <w:vertAlign w:val="superscript"/>
          <w:lang w:val="es-ES_tradnl"/>
        </w:rPr>
        <w:t>-</w:t>
      </w:r>
      <w:r>
        <w:rPr>
          <w:rStyle w:val="Refdenotaalpie"/>
          <w:rFonts w:ascii="Arial" w:hAnsi="Arial"/>
        </w:rPr>
        <w:footnoteReference w:id="22"/>
      </w:r>
      <w:r>
        <w:rPr>
          <w:rFonts w:ascii="Arial" w:hAnsi="Arial" w:cs="Arial"/>
          <w:lang w:val="es-ES_tradnl"/>
        </w:rPr>
        <w:t xml:space="preserve"> (2016)</w:t>
      </w:r>
      <w:r>
        <w:rPr>
          <w:rStyle w:val="Refdenotaalpie"/>
          <w:rFonts w:ascii="Arial" w:hAnsi="Arial"/>
        </w:rPr>
        <w:footnoteReference w:id="23"/>
      </w:r>
      <w:r>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la improcedencia de la tutela por aplicación del principio de subsidiariedad.</w:t>
      </w:r>
    </w:p>
    <w:p w:rsidR="0067253D" w:rsidRDefault="0067253D" w:rsidP="00636F79">
      <w:pPr>
        <w:spacing w:line="360" w:lineRule="auto"/>
        <w:jc w:val="both"/>
        <w:rPr>
          <w:rFonts w:ascii="Arial" w:hAnsi="Arial" w:cs="Arial"/>
          <w:lang w:val="es-ES_tradnl"/>
        </w:rPr>
      </w:pPr>
    </w:p>
    <w:p w:rsidR="008E1295" w:rsidRDefault="008E1295" w:rsidP="0067253D">
      <w:pPr>
        <w:pStyle w:val="Textoindependiente"/>
        <w:numPr>
          <w:ilvl w:val="0"/>
          <w:numId w:val="31"/>
        </w:numPr>
        <w:spacing w:line="360" w:lineRule="auto"/>
        <w:rPr>
          <w:rFonts w:ascii="Arial" w:hAnsi="Arial"/>
          <w:szCs w:val="24"/>
        </w:rPr>
      </w:pPr>
      <w:r w:rsidRPr="00952597">
        <w:rPr>
          <w:rFonts w:ascii="Arial" w:hAnsi="Arial"/>
          <w:szCs w:val="24"/>
        </w:rPr>
        <w:t>EL CASO CONCRETO ANALIZA</w:t>
      </w:r>
      <w:r w:rsidR="00A5129A">
        <w:rPr>
          <w:rFonts w:ascii="Arial" w:hAnsi="Arial"/>
          <w:szCs w:val="24"/>
        </w:rPr>
        <w:t>DO</w:t>
      </w:r>
    </w:p>
    <w:p w:rsidR="008139F4" w:rsidRPr="00E606C4" w:rsidRDefault="008139F4" w:rsidP="008139F4">
      <w:pPr>
        <w:pStyle w:val="Textoindependiente"/>
        <w:spacing w:line="360" w:lineRule="auto"/>
        <w:ind w:left="400"/>
        <w:rPr>
          <w:rFonts w:ascii="Arial" w:hAnsi="Arial"/>
          <w:szCs w:val="24"/>
        </w:rPr>
      </w:pPr>
    </w:p>
    <w:p w:rsidR="006B4D62" w:rsidRDefault="006B4D62" w:rsidP="006B4D62">
      <w:pPr>
        <w:spacing w:line="360" w:lineRule="auto"/>
        <w:jc w:val="both"/>
        <w:rPr>
          <w:rFonts w:ascii="Arial" w:hAnsi="Arial" w:cs="Arial"/>
          <w:lang w:val="es-ES_tradnl"/>
        </w:rPr>
      </w:pPr>
      <w:r>
        <w:rPr>
          <w:rFonts w:ascii="Arial" w:hAnsi="Arial" w:cs="Arial"/>
          <w:lang w:val="es-ES_tradnl"/>
        </w:rPr>
        <w:t xml:space="preserve">Dado que los requisitos generales de </w:t>
      </w:r>
      <w:proofErr w:type="spellStart"/>
      <w:r>
        <w:rPr>
          <w:rFonts w:ascii="Arial" w:hAnsi="Arial" w:cs="Arial"/>
          <w:lang w:val="es-ES_tradnl"/>
        </w:rPr>
        <w:t>procedibilidad</w:t>
      </w:r>
      <w:proofErr w:type="spellEnd"/>
      <w:r>
        <w:rPr>
          <w:rFonts w:ascii="Arial" w:hAnsi="Arial" w:cs="Arial"/>
          <w:lang w:val="es-ES_tradnl"/>
        </w:rPr>
        <w:t xml:space="preserve"> son concurrentes, esto es, incumplido uno, se torna inane el examen de los demás, menos podrían revisarse los supuestos especiales, el análisis que sigue se concentrará en </w:t>
      </w:r>
      <w:r w:rsidR="00FB5405">
        <w:rPr>
          <w:rFonts w:ascii="Arial" w:hAnsi="Arial" w:cs="Arial"/>
          <w:lang w:val="es-ES_tradnl"/>
        </w:rPr>
        <w:t xml:space="preserve">la inmediatez y la </w:t>
      </w:r>
      <w:r>
        <w:rPr>
          <w:rFonts w:ascii="Arial" w:hAnsi="Arial" w:cs="Arial"/>
          <w:lang w:val="es-ES_tradnl"/>
        </w:rPr>
        <w:t xml:space="preserve">subsidiariedad, porque </w:t>
      </w:r>
      <w:r w:rsidR="00FB5405">
        <w:rPr>
          <w:rFonts w:ascii="Arial" w:hAnsi="Arial" w:cs="Arial"/>
          <w:lang w:val="es-ES_tradnl"/>
        </w:rPr>
        <w:t xml:space="preserve">son los </w:t>
      </w:r>
      <w:r>
        <w:rPr>
          <w:rFonts w:ascii="Arial" w:hAnsi="Arial" w:cs="Arial"/>
          <w:lang w:val="es-ES_tradnl"/>
        </w:rPr>
        <w:t>elemento</w:t>
      </w:r>
      <w:r w:rsidR="00FB5405">
        <w:rPr>
          <w:rFonts w:ascii="Arial" w:hAnsi="Arial" w:cs="Arial"/>
          <w:lang w:val="es-ES_tradnl"/>
        </w:rPr>
        <w:t>s</w:t>
      </w:r>
      <w:r>
        <w:rPr>
          <w:rFonts w:ascii="Arial" w:hAnsi="Arial" w:cs="Arial"/>
          <w:lang w:val="es-ES_tradnl"/>
        </w:rPr>
        <w:t xml:space="preserve"> que se echa</w:t>
      </w:r>
      <w:r w:rsidR="00FB5405">
        <w:rPr>
          <w:rFonts w:ascii="Arial" w:hAnsi="Arial" w:cs="Arial"/>
          <w:lang w:val="es-ES_tradnl"/>
        </w:rPr>
        <w:t>n</w:t>
      </w:r>
      <w:r>
        <w:rPr>
          <w:rFonts w:ascii="Arial" w:hAnsi="Arial" w:cs="Arial"/>
          <w:lang w:val="es-ES_tradnl"/>
        </w:rPr>
        <w:t xml:space="preserve"> de menos y result</w:t>
      </w:r>
      <w:r w:rsidR="006159AF">
        <w:rPr>
          <w:rFonts w:ascii="Arial" w:hAnsi="Arial" w:cs="Arial"/>
          <w:lang w:val="es-ES_tradnl"/>
        </w:rPr>
        <w:t>a</w:t>
      </w:r>
      <w:r w:rsidR="00FB5405">
        <w:rPr>
          <w:rFonts w:ascii="Arial" w:hAnsi="Arial" w:cs="Arial"/>
          <w:lang w:val="es-ES_tradnl"/>
        </w:rPr>
        <w:t>n</w:t>
      </w:r>
      <w:r w:rsidR="006159AF">
        <w:rPr>
          <w:rFonts w:ascii="Arial" w:hAnsi="Arial" w:cs="Arial"/>
          <w:lang w:val="es-ES_tradnl"/>
        </w:rPr>
        <w:t xml:space="preserve"> suficiente</w:t>
      </w:r>
      <w:r w:rsidR="00FB5405">
        <w:rPr>
          <w:rFonts w:ascii="Arial" w:hAnsi="Arial" w:cs="Arial"/>
          <w:lang w:val="es-ES_tradnl"/>
        </w:rPr>
        <w:t>s</w:t>
      </w:r>
      <w:r w:rsidR="006159AF">
        <w:rPr>
          <w:rFonts w:ascii="Arial" w:hAnsi="Arial" w:cs="Arial"/>
          <w:lang w:val="es-ES_tradnl"/>
        </w:rPr>
        <w:t xml:space="preserve"> para el fracaso </w:t>
      </w:r>
      <w:r w:rsidR="003456E9">
        <w:rPr>
          <w:rFonts w:ascii="Arial" w:hAnsi="Arial" w:cs="Arial"/>
          <w:lang w:val="es-ES_tradnl"/>
        </w:rPr>
        <w:t xml:space="preserve">del </w:t>
      </w:r>
      <w:r>
        <w:rPr>
          <w:rFonts w:ascii="Arial" w:hAnsi="Arial" w:cs="Arial"/>
          <w:lang w:val="es-ES_tradnl"/>
        </w:rPr>
        <w:t>amparo.</w:t>
      </w:r>
    </w:p>
    <w:p w:rsidR="00FB5405" w:rsidRDefault="00FB5405" w:rsidP="006B4D62">
      <w:pPr>
        <w:spacing w:line="360" w:lineRule="auto"/>
        <w:jc w:val="both"/>
        <w:rPr>
          <w:rFonts w:ascii="Arial" w:hAnsi="Arial" w:cs="Arial"/>
          <w:lang w:val="es-ES_tradnl"/>
        </w:rPr>
      </w:pPr>
    </w:p>
    <w:p w:rsidR="00FB5405" w:rsidRDefault="00FB5405" w:rsidP="006B4D62">
      <w:pPr>
        <w:spacing w:line="360" w:lineRule="auto"/>
        <w:jc w:val="both"/>
        <w:rPr>
          <w:rFonts w:ascii="Arial" w:hAnsi="Arial" w:cs="Arial"/>
          <w:lang w:val="es-ES_tradnl"/>
        </w:rPr>
      </w:pPr>
      <w:r>
        <w:rPr>
          <w:rFonts w:ascii="Arial" w:hAnsi="Arial" w:cs="Arial"/>
          <w:lang w:val="es-ES_tradnl"/>
        </w:rPr>
        <w:t xml:space="preserve">8.1. La inmediatez </w:t>
      </w:r>
    </w:p>
    <w:p w:rsidR="00FB5405" w:rsidRDefault="00FB5405" w:rsidP="006B4D62">
      <w:pPr>
        <w:spacing w:line="360" w:lineRule="auto"/>
        <w:jc w:val="both"/>
        <w:rPr>
          <w:rFonts w:ascii="Arial" w:hAnsi="Arial" w:cs="Arial"/>
          <w:lang w:val="es-ES_tradnl"/>
        </w:rPr>
      </w:pPr>
    </w:p>
    <w:p w:rsidR="00980417" w:rsidRDefault="00980417" w:rsidP="00B0457F">
      <w:pPr>
        <w:spacing w:line="360" w:lineRule="auto"/>
        <w:jc w:val="both"/>
        <w:rPr>
          <w:rFonts w:ascii="Arial" w:hAnsi="Arial" w:cs="Arial"/>
          <w:lang w:val="es-ES_tradnl"/>
        </w:rPr>
      </w:pPr>
      <w:r>
        <w:rPr>
          <w:rFonts w:ascii="Arial" w:hAnsi="Arial" w:cs="Arial"/>
          <w:lang w:val="es-ES_tradnl"/>
        </w:rPr>
        <w:t xml:space="preserve">La parte accionante </w:t>
      </w:r>
      <w:r w:rsidR="00B0457F" w:rsidRPr="004802FE">
        <w:rPr>
          <w:rFonts w:ascii="Arial" w:hAnsi="Arial" w:cs="Arial"/>
          <w:lang w:val="es-ES_tradnl"/>
        </w:rPr>
        <w:t>se duele porque el</w:t>
      </w:r>
      <w:r w:rsidR="00B0457F">
        <w:rPr>
          <w:rFonts w:ascii="Arial" w:hAnsi="Arial" w:cs="Arial"/>
          <w:lang w:val="es-ES_tradnl"/>
        </w:rPr>
        <w:t xml:space="preserve"> juzgado</w:t>
      </w:r>
      <w:r w:rsidR="003456E9">
        <w:rPr>
          <w:rFonts w:ascii="Arial" w:hAnsi="Arial" w:cs="Arial"/>
          <w:lang w:val="es-ES_tradnl"/>
        </w:rPr>
        <w:t xml:space="preserve"> </w:t>
      </w:r>
      <w:r w:rsidR="00FB5405">
        <w:rPr>
          <w:rFonts w:ascii="Arial" w:hAnsi="Arial" w:cs="Arial"/>
          <w:lang w:val="es-ES_tradnl"/>
        </w:rPr>
        <w:t xml:space="preserve">declaró el desistimiento tácito del proceso </w:t>
      </w:r>
      <w:r w:rsidR="00695915">
        <w:rPr>
          <w:rFonts w:ascii="Arial" w:hAnsi="Arial" w:cs="Arial"/>
          <w:lang w:val="es-ES_tradnl"/>
        </w:rPr>
        <w:t xml:space="preserve">de </w:t>
      </w:r>
      <w:r w:rsidR="00FB5405">
        <w:rPr>
          <w:rFonts w:ascii="Arial" w:hAnsi="Arial" w:cs="Arial"/>
          <w:lang w:val="es-ES_tradnl"/>
        </w:rPr>
        <w:t xml:space="preserve">deslinde y amojonamiento, sin advertir que previamente había presentado memorial </w:t>
      </w:r>
      <w:r w:rsidR="00877EA6">
        <w:rPr>
          <w:rFonts w:ascii="Arial" w:hAnsi="Arial" w:cs="Arial"/>
          <w:lang w:val="es-ES_tradnl"/>
        </w:rPr>
        <w:t xml:space="preserve">en </w:t>
      </w:r>
      <w:r w:rsidR="00695915">
        <w:rPr>
          <w:rFonts w:ascii="Arial" w:hAnsi="Arial" w:cs="Arial"/>
          <w:lang w:val="es-ES_tradnl"/>
        </w:rPr>
        <w:t xml:space="preserve">cumplimiento del </w:t>
      </w:r>
      <w:r w:rsidR="00877EA6">
        <w:rPr>
          <w:rFonts w:ascii="Arial" w:hAnsi="Arial" w:cs="Arial"/>
          <w:lang w:val="es-ES_tradnl"/>
        </w:rPr>
        <w:t>requerimiento que se le hiciera</w:t>
      </w:r>
      <w:r w:rsidR="00715826">
        <w:rPr>
          <w:rFonts w:ascii="Arial" w:hAnsi="Arial" w:cs="Arial"/>
          <w:lang w:val="es-ES_tradnl"/>
        </w:rPr>
        <w:t xml:space="preserve">. </w:t>
      </w:r>
    </w:p>
    <w:p w:rsidR="00980417" w:rsidRPr="00D54497" w:rsidRDefault="00980417" w:rsidP="00B0457F">
      <w:pPr>
        <w:spacing w:line="360" w:lineRule="auto"/>
        <w:jc w:val="both"/>
        <w:rPr>
          <w:rFonts w:ascii="Arial" w:hAnsi="Arial" w:cs="Arial"/>
          <w:sz w:val="20"/>
          <w:lang w:val="es-ES_tradnl"/>
        </w:rPr>
      </w:pPr>
    </w:p>
    <w:p w:rsidR="00877EA6" w:rsidRDefault="00877EA6" w:rsidP="00877EA6">
      <w:pPr>
        <w:spacing w:line="360" w:lineRule="auto"/>
        <w:jc w:val="both"/>
        <w:rPr>
          <w:rFonts w:ascii="Arial" w:hAnsi="Arial" w:cs="Arial"/>
        </w:rPr>
      </w:pPr>
      <w:r>
        <w:rPr>
          <w:rFonts w:ascii="Arial" w:hAnsi="Arial" w:cs="Arial"/>
          <w:lang w:val="es-ES_tradnl"/>
        </w:rPr>
        <w:t xml:space="preserve">Según </w:t>
      </w:r>
      <w:r>
        <w:rPr>
          <w:rFonts w:ascii="Arial" w:hAnsi="Arial" w:cs="Arial"/>
        </w:rPr>
        <w:t>se desprende de la inspección judicial (Folio 35, ib.), aunada a las copias tomadas del expediente (Folios 39 a 50, ib.), el proveído mediante el cual se declaró el desistimiento tácito data del 03-11-2015, notificado por el estado No.171 del 05-11-2015, por lo que es evidente que el presente amparo carece de inmediatez, pues su interposición (</w:t>
      </w:r>
      <w:r w:rsidR="009265E5">
        <w:rPr>
          <w:rFonts w:ascii="Arial" w:hAnsi="Arial" w:cs="Arial"/>
        </w:rPr>
        <w:t>09-09-2016</w:t>
      </w:r>
      <w:r>
        <w:rPr>
          <w:rFonts w:ascii="Arial" w:hAnsi="Arial" w:cs="Arial"/>
        </w:rPr>
        <w:t>) desborda el plazo de los seis (6) meses fijado por la jurisprudencia tanto constitucional</w:t>
      </w:r>
      <w:r w:rsidRPr="0098589D">
        <w:rPr>
          <w:rStyle w:val="Refdenotaalpie"/>
          <w:rFonts w:ascii="Calibri" w:hAnsi="Calibri" w:cs="Calibri"/>
        </w:rPr>
        <w:footnoteReference w:id="24"/>
      </w:r>
      <w:r>
        <w:rPr>
          <w:rFonts w:ascii="Arial" w:hAnsi="Arial" w:cs="Arial"/>
        </w:rPr>
        <w:t xml:space="preserve"> como ordinaria</w:t>
      </w:r>
      <w:r>
        <w:rPr>
          <w:rStyle w:val="Refdenotaalpie"/>
          <w:rFonts w:ascii="Arial" w:hAnsi="Arial"/>
        </w:rPr>
        <w:footnoteReference w:id="25"/>
      </w:r>
      <w:r>
        <w:rPr>
          <w:rFonts w:ascii="Arial" w:hAnsi="Arial" w:cs="Arial"/>
        </w:rPr>
        <w:t xml:space="preserve">; como tiempo razonable, ya que han transcurrido aproximadamente diez (10) meses desde que </w:t>
      </w:r>
      <w:r w:rsidR="009265E5">
        <w:rPr>
          <w:rFonts w:ascii="Arial" w:hAnsi="Arial" w:cs="Arial"/>
        </w:rPr>
        <w:t>el auto fuero proferido</w:t>
      </w:r>
      <w:r>
        <w:rPr>
          <w:rFonts w:ascii="Arial" w:hAnsi="Arial" w:cs="Arial"/>
        </w:rPr>
        <w:t>.</w:t>
      </w:r>
    </w:p>
    <w:p w:rsidR="00877EA6" w:rsidRDefault="00877EA6" w:rsidP="00877EA6">
      <w:pPr>
        <w:spacing w:line="360" w:lineRule="auto"/>
        <w:jc w:val="both"/>
        <w:rPr>
          <w:rFonts w:ascii="Arial" w:hAnsi="Arial" w:cs="Arial"/>
        </w:rPr>
      </w:pPr>
    </w:p>
    <w:p w:rsidR="00877EA6" w:rsidRDefault="00877EA6" w:rsidP="00877EA6">
      <w:pPr>
        <w:spacing w:line="360" w:lineRule="auto"/>
        <w:jc w:val="both"/>
        <w:rPr>
          <w:rFonts w:ascii="Arial" w:hAnsi="Arial" w:cs="Arial"/>
        </w:rPr>
      </w:pPr>
      <w:r>
        <w:rPr>
          <w:rFonts w:ascii="Arial" w:hAnsi="Arial" w:cs="Arial"/>
        </w:rPr>
        <w:t xml:space="preserve">Ahora bien, 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Refdenotaalpie"/>
          <w:rFonts w:ascii="Arial" w:hAnsi="Arial"/>
        </w:rPr>
        <w:footnoteReference w:id="26"/>
      </w:r>
      <w:r>
        <w:rPr>
          <w:rFonts w:ascii="Arial" w:hAnsi="Arial" w:cs="Arial"/>
        </w:rPr>
        <w:t xml:space="preserve">; circunstancias que no fueron expuestas ni probadas en el trámite. </w:t>
      </w:r>
    </w:p>
    <w:p w:rsidR="00877EA6" w:rsidRDefault="00877EA6" w:rsidP="00877EA6">
      <w:pPr>
        <w:spacing w:line="360" w:lineRule="auto"/>
        <w:jc w:val="both"/>
        <w:rPr>
          <w:rFonts w:ascii="Arial" w:hAnsi="Arial" w:cs="Arial"/>
        </w:rPr>
      </w:pPr>
    </w:p>
    <w:p w:rsidR="00877EA6" w:rsidRDefault="00877EA6" w:rsidP="00877EA6">
      <w:pPr>
        <w:spacing w:line="360" w:lineRule="auto"/>
        <w:jc w:val="both"/>
        <w:rPr>
          <w:rFonts w:ascii="Arial" w:hAnsi="Arial" w:cs="Arial"/>
        </w:rPr>
      </w:pPr>
      <w:r>
        <w:rPr>
          <w:rFonts w:ascii="Arial" w:hAnsi="Arial" w:cs="Arial"/>
        </w:rPr>
        <w:t xml:space="preserve">De igual forma, no se encuentra ni alegado ni probado, que el actor sea persona de </w:t>
      </w:r>
      <w:r>
        <w:rPr>
          <w:rFonts w:ascii="Arial" w:hAnsi="Arial" w:cs="Arial"/>
        </w:rPr>
        <w:lastRenderedPageBreak/>
        <w:t>especial protección constitucional</w:t>
      </w:r>
      <w:r>
        <w:rPr>
          <w:rStyle w:val="Refdenotaalpie"/>
          <w:rFonts w:ascii="Arial" w:hAnsi="Arial"/>
        </w:rPr>
        <w:footnoteReference w:id="27"/>
      </w:r>
      <w:r>
        <w:rPr>
          <w:rFonts w:ascii="Arial" w:hAnsi="Arial" w:cs="Arial"/>
        </w:rPr>
        <w:t xml:space="preserve">; ni que </w:t>
      </w:r>
      <w:r w:rsidR="009265E5">
        <w:rPr>
          <w:rFonts w:ascii="Arial" w:hAnsi="Arial" w:cs="Arial"/>
        </w:rPr>
        <w:t>el desistimiento tácito declarado</w:t>
      </w:r>
      <w:r>
        <w:rPr>
          <w:rFonts w:ascii="Arial" w:hAnsi="Arial" w:cs="Arial"/>
        </w:rPr>
        <w:t xml:space="preserve">, </w:t>
      </w:r>
      <w:r w:rsidRPr="00A36EB8">
        <w:rPr>
          <w:rFonts w:ascii="Arial" w:hAnsi="Arial" w:cs="Arial"/>
        </w:rPr>
        <w:t>vulnere</w:t>
      </w:r>
      <w:r>
        <w:rPr>
          <w:rFonts w:ascii="Arial" w:hAnsi="Arial" w:cs="Arial"/>
        </w:rPr>
        <w:t>n</w:t>
      </w:r>
      <w:r w:rsidRPr="00A36EB8">
        <w:rPr>
          <w:rFonts w:ascii="Arial" w:hAnsi="Arial" w:cs="Arial"/>
        </w:rPr>
        <w:t xml:space="preserve"> o amenace</w:t>
      </w:r>
      <w:r>
        <w:rPr>
          <w:rFonts w:ascii="Arial" w:hAnsi="Arial" w:cs="Arial"/>
        </w:rPr>
        <w:t>n</w:t>
      </w:r>
      <w:r w:rsidRPr="00A36EB8">
        <w:rPr>
          <w:rFonts w:ascii="Arial" w:hAnsi="Arial" w:cs="Arial"/>
        </w:rPr>
        <w:t xml:space="preserve"> </w:t>
      </w:r>
      <w:r w:rsidR="009265E5">
        <w:rPr>
          <w:rFonts w:ascii="Arial" w:hAnsi="Arial" w:cs="Arial"/>
        </w:rPr>
        <w:t xml:space="preserve">sus </w:t>
      </w:r>
      <w:r w:rsidRPr="00A36EB8">
        <w:rPr>
          <w:rFonts w:ascii="Arial" w:hAnsi="Arial" w:cs="Arial"/>
        </w:rPr>
        <w:t>derechos de f</w:t>
      </w:r>
      <w:r w:rsidR="009265E5">
        <w:rPr>
          <w:rFonts w:ascii="Arial" w:hAnsi="Arial" w:cs="Arial"/>
        </w:rPr>
        <w:t>orma tal que pueda estar incurso</w:t>
      </w:r>
      <w:r w:rsidRPr="00A36EB8">
        <w:rPr>
          <w:rFonts w:ascii="Arial" w:hAnsi="Arial" w:cs="Arial"/>
        </w:rPr>
        <w:t xml:space="preserve"> en una debilidad manifiesta</w:t>
      </w:r>
      <w:r>
        <w:rPr>
          <w:rFonts w:ascii="Arial" w:hAnsi="Arial" w:cs="Arial"/>
        </w:rPr>
        <w:t xml:space="preserve">. </w:t>
      </w:r>
    </w:p>
    <w:p w:rsidR="00877EA6" w:rsidRDefault="00877EA6" w:rsidP="00877EA6">
      <w:pPr>
        <w:spacing w:line="360" w:lineRule="auto"/>
        <w:jc w:val="both"/>
        <w:rPr>
          <w:rFonts w:ascii="Arial" w:hAnsi="Arial" w:cs="Arial"/>
        </w:rPr>
      </w:pPr>
    </w:p>
    <w:p w:rsidR="009265E5" w:rsidRDefault="009265E5" w:rsidP="00877EA6">
      <w:pPr>
        <w:spacing w:line="360" w:lineRule="auto"/>
        <w:jc w:val="both"/>
        <w:rPr>
          <w:rFonts w:ascii="Arial" w:hAnsi="Arial" w:cs="Arial"/>
          <w:lang w:val="es-ES_tradnl"/>
        </w:rPr>
      </w:pPr>
      <w:r>
        <w:rPr>
          <w:rFonts w:ascii="Arial" w:hAnsi="Arial" w:cs="Arial"/>
          <w:lang w:val="es-ES_tradnl"/>
        </w:rPr>
        <w:t>8.2. La subsidiaridad</w:t>
      </w:r>
    </w:p>
    <w:p w:rsidR="00877EA6" w:rsidRDefault="009265E5" w:rsidP="00877EA6">
      <w:pPr>
        <w:spacing w:line="360" w:lineRule="auto"/>
        <w:jc w:val="both"/>
        <w:rPr>
          <w:rFonts w:ascii="Arial" w:hAnsi="Arial" w:cs="Arial"/>
          <w:lang w:val="es-ES_tradnl"/>
        </w:rPr>
      </w:pPr>
      <w:r>
        <w:rPr>
          <w:rFonts w:ascii="Arial" w:hAnsi="Arial" w:cs="Arial"/>
          <w:lang w:val="es-ES_tradnl"/>
        </w:rPr>
        <w:t xml:space="preserve"> </w:t>
      </w:r>
    </w:p>
    <w:p w:rsidR="00877EA6" w:rsidRDefault="00877EA6" w:rsidP="00877EA6">
      <w:pPr>
        <w:spacing w:line="360" w:lineRule="auto"/>
        <w:jc w:val="both"/>
        <w:rPr>
          <w:rFonts w:ascii="Arial" w:hAnsi="Arial" w:cs="Arial"/>
          <w:lang w:val="es-ES_tradnl"/>
        </w:rPr>
      </w:pPr>
      <w:r>
        <w:rPr>
          <w:rFonts w:ascii="Arial" w:hAnsi="Arial" w:cs="Arial"/>
          <w:lang w:val="es-ES_tradnl"/>
        </w:rPr>
        <w:t xml:space="preserve">Sin embargo, en caso de que se hubiese superado la inmediatez, considera esta Magistratura que también habría lugar a declarar la improcedencia de </w:t>
      </w:r>
      <w:r w:rsidR="009265E5">
        <w:rPr>
          <w:rFonts w:ascii="Arial" w:hAnsi="Arial" w:cs="Arial"/>
          <w:lang w:val="es-ES_tradnl"/>
        </w:rPr>
        <w:t>la acción constitucional</w:t>
      </w:r>
      <w:r>
        <w:rPr>
          <w:rFonts w:ascii="Arial" w:hAnsi="Arial" w:cs="Arial"/>
          <w:lang w:val="es-ES_tradnl"/>
        </w:rPr>
        <w:t>, por incumplir con el requisito de la subsidiariedad.</w:t>
      </w:r>
    </w:p>
    <w:p w:rsidR="00877EA6" w:rsidRDefault="00877EA6" w:rsidP="007D4758">
      <w:pPr>
        <w:spacing w:line="360" w:lineRule="auto"/>
        <w:jc w:val="both"/>
        <w:rPr>
          <w:rFonts w:ascii="Arial" w:hAnsi="Arial" w:cs="Arial"/>
        </w:rPr>
      </w:pPr>
    </w:p>
    <w:p w:rsidR="000B243B" w:rsidRDefault="00980417" w:rsidP="007D4758">
      <w:pPr>
        <w:spacing w:line="360" w:lineRule="auto"/>
        <w:jc w:val="both"/>
        <w:rPr>
          <w:rFonts w:ascii="Arial" w:hAnsi="Arial" w:cs="Arial"/>
        </w:rPr>
      </w:pPr>
      <w:r>
        <w:rPr>
          <w:rFonts w:ascii="Arial" w:hAnsi="Arial" w:cs="Arial"/>
        </w:rPr>
        <w:t xml:space="preserve">Conforme al acervo probatorio </w:t>
      </w:r>
      <w:r w:rsidR="003456E9">
        <w:rPr>
          <w:rFonts w:ascii="Arial" w:hAnsi="Arial" w:cs="Arial"/>
        </w:rPr>
        <w:t xml:space="preserve">el </w:t>
      </w:r>
      <w:r w:rsidR="003456E9" w:rsidRPr="003456E9">
        <w:rPr>
          <w:rFonts w:ascii="Arial" w:hAnsi="Arial" w:cs="Arial"/>
          <w:i/>
        </w:rPr>
        <w:t>a</w:t>
      </w:r>
      <w:r w:rsidR="003456E9">
        <w:rPr>
          <w:rFonts w:ascii="Arial" w:hAnsi="Arial" w:cs="Arial"/>
          <w:i/>
        </w:rPr>
        <w:t xml:space="preserve"> </w:t>
      </w:r>
      <w:r w:rsidR="003456E9" w:rsidRPr="003456E9">
        <w:rPr>
          <w:rFonts w:ascii="Arial" w:hAnsi="Arial" w:cs="Arial"/>
          <w:i/>
        </w:rPr>
        <w:t>quo</w:t>
      </w:r>
      <w:r w:rsidR="003456E9">
        <w:rPr>
          <w:rFonts w:ascii="Arial" w:hAnsi="Arial" w:cs="Arial"/>
        </w:rPr>
        <w:t xml:space="preserve"> </w:t>
      </w:r>
      <w:r w:rsidR="005B5CFF">
        <w:rPr>
          <w:rFonts w:ascii="Arial" w:hAnsi="Arial" w:cs="Arial"/>
        </w:rPr>
        <w:t xml:space="preserve">mediante proveído </w:t>
      </w:r>
      <w:r w:rsidR="009265E5">
        <w:rPr>
          <w:rFonts w:ascii="Arial" w:hAnsi="Arial" w:cs="Arial"/>
        </w:rPr>
        <w:t>del 01-07-2015 requirió a la parte actora para que procurara la notificación de los litisconsorte vinculados al proceso, so pena de aplicar las sanciones estipuladas en el artículo 317 del CGP (Folio 38, ib.)</w:t>
      </w:r>
      <w:r w:rsidR="00FB3B2B">
        <w:rPr>
          <w:rFonts w:ascii="Arial" w:hAnsi="Arial" w:cs="Arial"/>
        </w:rPr>
        <w:t>;</w:t>
      </w:r>
      <w:r w:rsidR="009265E5">
        <w:rPr>
          <w:rFonts w:ascii="Arial" w:hAnsi="Arial" w:cs="Arial"/>
        </w:rPr>
        <w:t xml:space="preserve"> luego </w:t>
      </w:r>
      <w:r w:rsidR="005B5CFF">
        <w:rPr>
          <w:rFonts w:ascii="Arial" w:hAnsi="Arial" w:cs="Arial"/>
        </w:rPr>
        <w:t xml:space="preserve">con auto del </w:t>
      </w:r>
      <w:r w:rsidR="009265E5">
        <w:rPr>
          <w:rFonts w:ascii="Arial" w:hAnsi="Arial" w:cs="Arial"/>
        </w:rPr>
        <w:t>03-11-2015</w:t>
      </w:r>
      <w:r w:rsidR="005B5CFF">
        <w:rPr>
          <w:rFonts w:ascii="Arial" w:hAnsi="Arial" w:cs="Arial"/>
        </w:rPr>
        <w:t>,</w:t>
      </w:r>
      <w:r w:rsidR="00FB3B2B">
        <w:rPr>
          <w:rFonts w:ascii="Arial" w:hAnsi="Arial" w:cs="Arial"/>
        </w:rPr>
        <w:t xml:space="preserve"> </w:t>
      </w:r>
      <w:r w:rsidR="00EE7554">
        <w:rPr>
          <w:rFonts w:ascii="Arial" w:hAnsi="Arial" w:cs="Arial"/>
        </w:rPr>
        <w:t xml:space="preserve">se </w:t>
      </w:r>
      <w:r w:rsidR="009265E5">
        <w:rPr>
          <w:rFonts w:ascii="Arial" w:hAnsi="Arial" w:cs="Arial"/>
        </w:rPr>
        <w:t xml:space="preserve">declaró el desistimiento tácito del proceso porque la parte actora no atendió la orden impartida (Folio 39, ib.), el cual fue </w:t>
      </w:r>
      <w:r w:rsidR="00EE7554">
        <w:rPr>
          <w:rFonts w:ascii="Arial" w:hAnsi="Arial" w:cs="Arial"/>
        </w:rPr>
        <w:t xml:space="preserve">notificado por </w:t>
      </w:r>
      <w:r w:rsidR="009265E5">
        <w:rPr>
          <w:rFonts w:ascii="Arial" w:hAnsi="Arial" w:cs="Arial"/>
        </w:rPr>
        <w:t xml:space="preserve">el </w:t>
      </w:r>
      <w:r w:rsidR="00EE7554">
        <w:rPr>
          <w:rFonts w:ascii="Arial" w:hAnsi="Arial" w:cs="Arial"/>
        </w:rPr>
        <w:t xml:space="preserve">estado </w:t>
      </w:r>
      <w:r w:rsidR="009265E5">
        <w:rPr>
          <w:rFonts w:ascii="Arial" w:hAnsi="Arial" w:cs="Arial"/>
        </w:rPr>
        <w:t>No.171 del día 05-11-2015</w:t>
      </w:r>
      <w:r w:rsidR="00EE7554">
        <w:rPr>
          <w:rFonts w:ascii="Arial" w:hAnsi="Arial" w:cs="Arial"/>
        </w:rPr>
        <w:t xml:space="preserve"> (Folio </w:t>
      </w:r>
      <w:r w:rsidR="009265E5">
        <w:rPr>
          <w:rFonts w:ascii="Arial" w:hAnsi="Arial" w:cs="Arial"/>
        </w:rPr>
        <w:t>39 vto.</w:t>
      </w:r>
      <w:r w:rsidR="00EE7554">
        <w:rPr>
          <w:rFonts w:ascii="Arial" w:hAnsi="Arial" w:cs="Arial"/>
        </w:rPr>
        <w:t xml:space="preserve">, ib.), </w:t>
      </w:r>
      <w:r w:rsidR="009265E5">
        <w:rPr>
          <w:rFonts w:ascii="Arial" w:hAnsi="Arial" w:cs="Arial"/>
        </w:rPr>
        <w:t>únicamente recurrido por la parte demandada, en cuanto al levantamiento de las medidas cautelares y  la condena en costas (Folio 41, ib.), es decir, adquirió firmeza en lo referente a la terminación del proceso</w:t>
      </w:r>
      <w:r w:rsidR="000B243B">
        <w:rPr>
          <w:rFonts w:ascii="Arial" w:hAnsi="Arial" w:cs="Arial"/>
        </w:rPr>
        <w:t xml:space="preserve">, dado que </w:t>
      </w:r>
      <w:r w:rsidR="009265E5">
        <w:rPr>
          <w:rFonts w:ascii="Arial" w:hAnsi="Arial" w:cs="Arial"/>
        </w:rPr>
        <w:t xml:space="preserve">la parte actora </w:t>
      </w:r>
      <w:r w:rsidR="000B243B">
        <w:rPr>
          <w:rFonts w:ascii="Arial" w:hAnsi="Arial" w:cs="Arial"/>
        </w:rPr>
        <w:t xml:space="preserve">no </w:t>
      </w:r>
      <w:r w:rsidR="009265E5">
        <w:rPr>
          <w:rFonts w:ascii="Arial" w:hAnsi="Arial" w:cs="Arial"/>
        </w:rPr>
        <w:t xml:space="preserve">agotó </w:t>
      </w:r>
      <w:r w:rsidR="000B243B">
        <w:rPr>
          <w:rFonts w:ascii="Arial" w:hAnsi="Arial" w:cs="Arial"/>
        </w:rPr>
        <w:t xml:space="preserve">los recursos de reposición y </w:t>
      </w:r>
      <w:r w:rsidR="00BC440D">
        <w:rPr>
          <w:rFonts w:ascii="Arial" w:hAnsi="Arial" w:cs="Arial"/>
        </w:rPr>
        <w:t>apelación (Artículos 318 y 321-7</w:t>
      </w:r>
      <w:r w:rsidR="000B243B">
        <w:rPr>
          <w:rFonts w:ascii="Arial" w:hAnsi="Arial" w:cs="Arial"/>
        </w:rPr>
        <w:t>º, CGP)</w:t>
      </w:r>
      <w:r w:rsidR="00BC440D">
        <w:rPr>
          <w:rFonts w:ascii="Arial" w:hAnsi="Arial" w:cs="Arial"/>
        </w:rPr>
        <w:t>.</w:t>
      </w:r>
    </w:p>
    <w:p w:rsidR="003B20E7" w:rsidRDefault="003B20E7" w:rsidP="007D4758">
      <w:pPr>
        <w:spacing w:line="360" w:lineRule="auto"/>
        <w:jc w:val="both"/>
        <w:rPr>
          <w:rFonts w:ascii="Arial" w:hAnsi="Arial" w:cs="Arial"/>
        </w:rPr>
      </w:pPr>
    </w:p>
    <w:p w:rsidR="006159AF" w:rsidRDefault="000B243B" w:rsidP="006159AF">
      <w:pPr>
        <w:spacing w:line="360" w:lineRule="auto"/>
        <w:jc w:val="both"/>
        <w:rPr>
          <w:rFonts w:ascii="Arial" w:hAnsi="Arial" w:cs="Arial"/>
          <w:sz w:val="22"/>
          <w:szCs w:val="22"/>
        </w:rPr>
      </w:pPr>
      <w:r>
        <w:rPr>
          <w:rFonts w:ascii="Arial" w:hAnsi="Arial" w:cs="Arial"/>
          <w:bCs/>
          <w:lang w:val="es-CO"/>
        </w:rPr>
        <w:t xml:space="preserve">Así las cosas, se tiene que el accionante no </w:t>
      </w:r>
      <w:r w:rsidR="00842B12">
        <w:rPr>
          <w:rFonts w:ascii="Arial" w:hAnsi="Arial" w:cs="Arial"/>
          <w:bCs/>
          <w:lang w:val="es-CO"/>
        </w:rPr>
        <w:t xml:space="preserve">utilizó </w:t>
      </w:r>
      <w:r>
        <w:rPr>
          <w:rFonts w:ascii="Arial" w:hAnsi="Arial" w:cs="Arial"/>
          <w:bCs/>
          <w:lang w:val="es-CO"/>
        </w:rPr>
        <w:t xml:space="preserve">ninguno de los mecanismos ordinarios que </w:t>
      </w:r>
      <w:r w:rsidR="00842B12">
        <w:rPr>
          <w:rFonts w:ascii="Arial" w:hAnsi="Arial" w:cs="Arial"/>
          <w:bCs/>
          <w:lang w:val="es-CO"/>
        </w:rPr>
        <w:t xml:space="preserve">tenía </w:t>
      </w:r>
      <w:r>
        <w:rPr>
          <w:rFonts w:ascii="Arial" w:hAnsi="Arial" w:cs="Arial"/>
          <w:bCs/>
          <w:lang w:val="es-CO"/>
        </w:rPr>
        <w:t xml:space="preserve">a la mano para atacar el proveído que </w:t>
      </w:r>
      <w:r w:rsidR="00BC440D">
        <w:rPr>
          <w:rFonts w:ascii="Arial" w:hAnsi="Arial" w:cs="Arial"/>
          <w:bCs/>
          <w:lang w:val="es-CO"/>
        </w:rPr>
        <w:t>declaró la terminación del proceso, por lo que es e</w:t>
      </w:r>
      <w:r w:rsidR="006159AF">
        <w:rPr>
          <w:rFonts w:ascii="Arial" w:hAnsi="Arial" w:cs="Arial"/>
          <w:lang w:val="es-ES_tradnl"/>
        </w:rPr>
        <w:t>vidente</w:t>
      </w:r>
      <w:r w:rsidR="006159AF" w:rsidRPr="00483001">
        <w:rPr>
          <w:rFonts w:ascii="Arial" w:hAnsi="Arial" w:cs="Arial"/>
          <w:lang w:val="es-ES_tradnl"/>
        </w:rPr>
        <w:t xml:space="preserve">, </w:t>
      </w:r>
      <w:r w:rsidR="006159AF">
        <w:rPr>
          <w:rFonts w:ascii="Arial" w:hAnsi="Arial" w:cs="Arial"/>
          <w:lang w:val="es-ES_tradnl"/>
        </w:rPr>
        <w:t xml:space="preserve">la </w:t>
      </w:r>
      <w:r w:rsidR="006159AF" w:rsidRPr="00AF14C3">
        <w:rPr>
          <w:rFonts w:ascii="Arial" w:hAnsi="Arial" w:cs="Arial"/>
          <w:lang w:val="es-ES_tradnl"/>
        </w:rPr>
        <w:t xml:space="preserve">falta </w:t>
      </w:r>
      <w:r w:rsidR="006159AF">
        <w:rPr>
          <w:rFonts w:ascii="Arial" w:hAnsi="Arial" w:cs="Arial"/>
          <w:lang w:val="es-ES_tradnl"/>
        </w:rPr>
        <w:t xml:space="preserve">de agotamiento del supuesto de </w:t>
      </w:r>
      <w:r w:rsidR="006159AF" w:rsidRPr="00AF14C3">
        <w:rPr>
          <w:rFonts w:ascii="Arial" w:hAnsi="Arial" w:cs="Arial"/>
          <w:lang w:val="es-ES_tradnl"/>
        </w:rPr>
        <w:t>subsidiari</w:t>
      </w:r>
      <w:r w:rsidR="006159AF">
        <w:rPr>
          <w:rFonts w:ascii="Arial" w:hAnsi="Arial" w:cs="Arial"/>
          <w:lang w:val="es-ES_tradnl"/>
        </w:rPr>
        <w:t>e</w:t>
      </w:r>
      <w:r w:rsidR="006159AF" w:rsidRPr="00AF14C3">
        <w:rPr>
          <w:rFonts w:ascii="Arial" w:hAnsi="Arial" w:cs="Arial"/>
          <w:lang w:val="es-ES_tradnl"/>
        </w:rPr>
        <w:t>dad</w:t>
      </w:r>
      <w:r w:rsidR="006159AF">
        <w:rPr>
          <w:rFonts w:ascii="Arial" w:hAnsi="Arial" w:cs="Arial"/>
          <w:lang w:val="es-ES_tradnl"/>
        </w:rPr>
        <w:t xml:space="preserve">, como ha explicado </w:t>
      </w:r>
      <w:r w:rsidR="006159AF">
        <w:rPr>
          <w:rFonts w:ascii="Arial" w:hAnsi="Arial"/>
        </w:rPr>
        <w:t>la Corte Constitucional, que reiteradamente ha referido que la acción de tutela no pu</w:t>
      </w:r>
      <w:r w:rsidR="00401990">
        <w:rPr>
          <w:rFonts w:ascii="Arial" w:hAnsi="Arial"/>
        </w:rPr>
        <w:t>e</w:t>
      </w:r>
      <w:r w:rsidR="006159AF">
        <w:rPr>
          <w:rFonts w:ascii="Arial" w:hAnsi="Arial"/>
        </w:rPr>
        <w:t>de implementarse como medio para sustituir los mecanismos ordinarios de defensa, cuando por negligencia, descuido o incuria no fueron utilizados</w:t>
      </w:r>
      <w:r w:rsidR="006159AF" w:rsidRPr="00FF4929">
        <w:rPr>
          <w:rStyle w:val="Refdenotaalpie"/>
          <w:rFonts w:ascii="Arial" w:hAnsi="Arial" w:cs="Arial"/>
          <w:sz w:val="22"/>
          <w:szCs w:val="22"/>
        </w:rPr>
        <w:footnoteReference w:id="28"/>
      </w:r>
      <w:r w:rsidR="006159AF" w:rsidRPr="00FF4929">
        <w:rPr>
          <w:rFonts w:ascii="Arial" w:hAnsi="Arial" w:cs="Arial"/>
          <w:sz w:val="22"/>
          <w:szCs w:val="22"/>
        </w:rPr>
        <w:t>.</w:t>
      </w:r>
    </w:p>
    <w:p w:rsidR="00E24608" w:rsidRDefault="00E24608" w:rsidP="006159AF">
      <w:pPr>
        <w:spacing w:line="360" w:lineRule="auto"/>
        <w:jc w:val="both"/>
        <w:rPr>
          <w:rFonts w:ascii="Arial" w:hAnsi="Arial" w:cs="Arial"/>
          <w:bCs/>
          <w:sz w:val="20"/>
          <w:lang w:val="es-CO"/>
        </w:rPr>
      </w:pPr>
    </w:p>
    <w:p w:rsidR="00842B12" w:rsidRDefault="00BC440D" w:rsidP="006159AF">
      <w:pPr>
        <w:spacing w:line="360" w:lineRule="auto"/>
        <w:ind w:right="51"/>
        <w:jc w:val="both"/>
        <w:rPr>
          <w:rFonts w:ascii="Arial" w:hAnsi="Arial"/>
        </w:rPr>
      </w:pPr>
      <w:r>
        <w:rPr>
          <w:rFonts w:ascii="Arial" w:hAnsi="Arial"/>
        </w:rPr>
        <w:t xml:space="preserve">La Sala </w:t>
      </w:r>
      <w:r w:rsidR="00C23C92">
        <w:rPr>
          <w:rFonts w:ascii="Arial" w:hAnsi="Arial"/>
        </w:rPr>
        <w:t xml:space="preserve">llama la atención sobre </w:t>
      </w:r>
      <w:r w:rsidR="003273B4">
        <w:rPr>
          <w:rFonts w:ascii="Arial" w:hAnsi="Arial"/>
        </w:rPr>
        <w:t xml:space="preserve">la intrincada descripción que se hace de las actuaciones adelantadas al interior del proceso objeto de la tutela, pues en una primera oportunidad </w:t>
      </w:r>
      <w:r w:rsidR="00842B12">
        <w:rPr>
          <w:rFonts w:ascii="Arial" w:hAnsi="Arial"/>
        </w:rPr>
        <w:t xml:space="preserve">se </w:t>
      </w:r>
      <w:r w:rsidR="003273B4">
        <w:rPr>
          <w:rFonts w:ascii="Arial" w:hAnsi="Arial"/>
        </w:rPr>
        <w:t xml:space="preserve">dice que no </w:t>
      </w:r>
      <w:r w:rsidR="00842B12">
        <w:rPr>
          <w:rFonts w:ascii="Arial" w:hAnsi="Arial"/>
        </w:rPr>
        <w:t xml:space="preserve">se </w:t>
      </w:r>
      <w:r w:rsidR="003273B4">
        <w:rPr>
          <w:rFonts w:ascii="Arial" w:hAnsi="Arial"/>
        </w:rPr>
        <w:t xml:space="preserve">presentó escrito contra el auto que declaró el </w:t>
      </w:r>
      <w:r w:rsidR="00842B12">
        <w:rPr>
          <w:rFonts w:ascii="Arial" w:hAnsi="Arial"/>
        </w:rPr>
        <w:t>desistimiento</w:t>
      </w:r>
      <w:r w:rsidR="003273B4">
        <w:rPr>
          <w:rFonts w:ascii="Arial" w:hAnsi="Arial"/>
        </w:rPr>
        <w:t xml:space="preserve"> </w:t>
      </w:r>
      <w:r w:rsidR="00842B12">
        <w:rPr>
          <w:rFonts w:ascii="Arial" w:hAnsi="Arial"/>
        </w:rPr>
        <w:t>tácito</w:t>
      </w:r>
      <w:r w:rsidR="003273B4">
        <w:rPr>
          <w:rFonts w:ascii="Arial" w:hAnsi="Arial"/>
        </w:rPr>
        <w:t xml:space="preserve"> porque el secretario del juzgado dijo que iba a resolver la petición presentada el 05-08-2015, </w:t>
      </w:r>
      <w:r w:rsidR="00842B12">
        <w:rPr>
          <w:rFonts w:ascii="Arial" w:hAnsi="Arial"/>
        </w:rPr>
        <w:t xml:space="preserve">para luego señalar que se enteró por estado sobre </w:t>
      </w:r>
      <w:r w:rsidR="003B20E7">
        <w:rPr>
          <w:rFonts w:ascii="Arial" w:hAnsi="Arial"/>
        </w:rPr>
        <w:t xml:space="preserve">su </w:t>
      </w:r>
      <w:r w:rsidR="00842B12">
        <w:rPr>
          <w:rFonts w:ascii="Arial" w:hAnsi="Arial"/>
        </w:rPr>
        <w:t>declaratoria en atención de petición de la parte demandada datada el 22-11-2015, y finalizar arguyendo que nunca se le notificó dicho proveído y que el expediente fue alterado en su foliatura.</w:t>
      </w:r>
    </w:p>
    <w:p w:rsidR="00842B12" w:rsidRDefault="00842B12" w:rsidP="006159AF">
      <w:pPr>
        <w:spacing w:line="360" w:lineRule="auto"/>
        <w:ind w:right="51"/>
        <w:jc w:val="both"/>
        <w:rPr>
          <w:rFonts w:ascii="Arial" w:hAnsi="Arial"/>
        </w:rPr>
      </w:pPr>
    </w:p>
    <w:p w:rsidR="00023CA7" w:rsidRDefault="00842B12" w:rsidP="006159AF">
      <w:pPr>
        <w:spacing w:line="360" w:lineRule="auto"/>
        <w:ind w:right="51"/>
        <w:jc w:val="both"/>
        <w:rPr>
          <w:rFonts w:ascii="Arial" w:hAnsi="Arial"/>
        </w:rPr>
      </w:pPr>
      <w:r>
        <w:rPr>
          <w:rFonts w:ascii="Arial" w:hAnsi="Arial"/>
        </w:rPr>
        <w:lastRenderedPageBreak/>
        <w:t xml:space="preserve">Es inaceptable que una profesional del derecho escude su negligencia o descuido, en las supuestas manifestaciones del secretario del despacho, cuando sabe de antemano que las decisiones </w:t>
      </w:r>
      <w:r w:rsidR="003B20E7">
        <w:rPr>
          <w:rFonts w:ascii="Arial" w:hAnsi="Arial"/>
        </w:rPr>
        <w:t>son tomadas</w:t>
      </w:r>
      <w:r>
        <w:rPr>
          <w:rFonts w:ascii="Arial" w:hAnsi="Arial"/>
        </w:rPr>
        <w:t xml:space="preserve"> </w:t>
      </w:r>
      <w:r w:rsidR="003B20E7">
        <w:rPr>
          <w:rFonts w:ascii="Arial" w:hAnsi="Arial"/>
        </w:rPr>
        <w:t xml:space="preserve">por </w:t>
      </w:r>
      <w:r>
        <w:rPr>
          <w:rFonts w:ascii="Arial" w:hAnsi="Arial"/>
        </w:rPr>
        <w:t xml:space="preserve">el juez titular del despacho y que los únicos medios existentes para que se revierta una decisión, </w:t>
      </w:r>
      <w:r w:rsidR="00C23C92">
        <w:rPr>
          <w:rFonts w:ascii="Arial" w:hAnsi="Arial"/>
        </w:rPr>
        <w:t xml:space="preserve">en principio, </w:t>
      </w:r>
      <w:r>
        <w:rPr>
          <w:rFonts w:ascii="Arial" w:hAnsi="Arial"/>
        </w:rPr>
        <w:t>son los recurso</w:t>
      </w:r>
      <w:r w:rsidR="003B20E7">
        <w:rPr>
          <w:rFonts w:ascii="Arial" w:hAnsi="Arial"/>
        </w:rPr>
        <w:t>s</w:t>
      </w:r>
      <w:r>
        <w:rPr>
          <w:rFonts w:ascii="Arial" w:hAnsi="Arial"/>
        </w:rPr>
        <w:t>, tampoco que nunca se enteró del contenido del auto, cuando inicialmente</w:t>
      </w:r>
      <w:r w:rsidR="00404E0F">
        <w:rPr>
          <w:rFonts w:ascii="Arial" w:hAnsi="Arial"/>
        </w:rPr>
        <w:t xml:space="preserve"> en la tutela narró</w:t>
      </w:r>
      <w:r>
        <w:rPr>
          <w:rFonts w:ascii="Arial" w:hAnsi="Arial"/>
        </w:rPr>
        <w:t xml:space="preserve"> que </w:t>
      </w:r>
      <w:r w:rsidR="00404E0F">
        <w:rPr>
          <w:rFonts w:ascii="Arial" w:hAnsi="Arial"/>
        </w:rPr>
        <w:t>sí</w:t>
      </w:r>
      <w:r>
        <w:rPr>
          <w:rFonts w:ascii="Arial" w:hAnsi="Arial"/>
        </w:rPr>
        <w:t xml:space="preserve"> </w:t>
      </w:r>
      <w:r w:rsidR="00404E0F">
        <w:rPr>
          <w:rFonts w:ascii="Arial" w:hAnsi="Arial"/>
        </w:rPr>
        <w:t xml:space="preserve">lo </w:t>
      </w:r>
      <w:r>
        <w:rPr>
          <w:rFonts w:ascii="Arial" w:hAnsi="Arial"/>
        </w:rPr>
        <w:t>conocía</w:t>
      </w:r>
      <w:r w:rsidR="00404E0F">
        <w:rPr>
          <w:rFonts w:ascii="Arial" w:hAnsi="Arial"/>
        </w:rPr>
        <w:t>;</w:t>
      </w:r>
      <w:r>
        <w:rPr>
          <w:rFonts w:ascii="Arial" w:hAnsi="Arial"/>
        </w:rPr>
        <w:t xml:space="preserve"> además, es notorio el </w:t>
      </w:r>
      <w:r w:rsidR="003B20E7">
        <w:rPr>
          <w:rFonts w:ascii="Arial" w:hAnsi="Arial"/>
        </w:rPr>
        <w:t>abandono</w:t>
      </w:r>
      <w:r>
        <w:rPr>
          <w:rFonts w:ascii="Arial" w:hAnsi="Arial"/>
        </w:rPr>
        <w:t xml:space="preserve"> del asunto, </w:t>
      </w:r>
      <w:r w:rsidR="00404E0F">
        <w:rPr>
          <w:rFonts w:ascii="Arial" w:hAnsi="Arial"/>
        </w:rPr>
        <w:t xml:space="preserve">ya que </w:t>
      </w:r>
      <w:r w:rsidR="003B20E7">
        <w:rPr>
          <w:rFonts w:ascii="Arial" w:hAnsi="Arial"/>
        </w:rPr>
        <w:t>nunca presentó petición alguna insistiendo en que se resolviera el memorial del 05-08-2015 y solo interpuso el escrito de reposición</w:t>
      </w:r>
      <w:r>
        <w:rPr>
          <w:rFonts w:ascii="Arial" w:hAnsi="Arial"/>
        </w:rPr>
        <w:t xml:space="preserve"> cinco meses después de dictado el proveído de terminación</w:t>
      </w:r>
      <w:r w:rsidR="00404E0F">
        <w:rPr>
          <w:rFonts w:ascii="Arial" w:hAnsi="Arial"/>
        </w:rPr>
        <w:t>, pero frente al proveído que había resuelto la reposición presentada por la parte demandada contra aquel auto</w:t>
      </w:r>
      <w:r>
        <w:rPr>
          <w:rFonts w:ascii="Arial" w:hAnsi="Arial"/>
        </w:rPr>
        <w:t>.</w:t>
      </w:r>
    </w:p>
    <w:p w:rsidR="00842B12" w:rsidRDefault="00842B12" w:rsidP="006159AF">
      <w:pPr>
        <w:spacing w:line="360" w:lineRule="auto"/>
        <w:ind w:right="51"/>
        <w:jc w:val="both"/>
        <w:rPr>
          <w:rFonts w:ascii="Arial" w:hAnsi="Arial"/>
        </w:rPr>
      </w:pPr>
    </w:p>
    <w:p w:rsidR="006159AF" w:rsidRDefault="00023CA7" w:rsidP="006159AF">
      <w:pPr>
        <w:spacing w:line="360" w:lineRule="auto"/>
        <w:ind w:right="51"/>
        <w:jc w:val="both"/>
        <w:rPr>
          <w:rFonts w:ascii="Arial" w:hAnsi="Arial" w:cs="Arial"/>
          <w:bCs/>
          <w:szCs w:val="22"/>
          <w:lang w:val="es-CO"/>
        </w:rPr>
      </w:pPr>
      <w:r>
        <w:rPr>
          <w:rFonts w:ascii="Arial" w:hAnsi="Arial"/>
        </w:rPr>
        <w:t>Asimismo, c</w:t>
      </w:r>
      <w:r w:rsidR="006159AF">
        <w:rPr>
          <w:rFonts w:ascii="Arial" w:hAnsi="Arial"/>
        </w:rPr>
        <w:t xml:space="preserve">abe </w:t>
      </w:r>
      <w:r w:rsidR="006159AF" w:rsidRPr="008B43C6">
        <w:rPr>
          <w:rFonts w:ascii="Arial" w:hAnsi="Arial"/>
        </w:rPr>
        <w:t>acotar que nada se arguyó y menos acreditó por parte del ac</w:t>
      </w:r>
      <w:r w:rsidR="006159AF">
        <w:rPr>
          <w:rFonts w:ascii="Arial" w:hAnsi="Arial"/>
        </w:rPr>
        <w:t>cionante</w:t>
      </w:r>
      <w:r w:rsidR="006159AF" w:rsidRPr="008B43C6">
        <w:rPr>
          <w:rFonts w:ascii="Arial" w:hAnsi="Arial"/>
        </w:rPr>
        <w:t xml:space="preserve">, de forma que pudiera estimarse </w:t>
      </w:r>
      <w:r w:rsidR="006159AF" w:rsidRPr="008B43C6">
        <w:rPr>
          <w:rFonts w:ascii="Arial" w:hAnsi="Arial" w:cs="Arial"/>
          <w:bCs/>
          <w:szCs w:val="22"/>
          <w:lang w:val="es-CO"/>
        </w:rPr>
        <w:t>que es una persona que requiere de protección reforzada</w:t>
      </w:r>
      <w:r w:rsidR="006159AF" w:rsidRPr="008B43C6">
        <w:rPr>
          <w:rStyle w:val="Refdenotaalpie"/>
          <w:rFonts w:ascii="Arial" w:hAnsi="Arial"/>
          <w:bCs/>
          <w:szCs w:val="22"/>
          <w:lang w:val="es-CO"/>
        </w:rPr>
        <w:footnoteReference w:id="29"/>
      </w:r>
      <w:r>
        <w:rPr>
          <w:rFonts w:ascii="Arial" w:hAnsi="Arial" w:cs="Arial"/>
          <w:bCs/>
          <w:szCs w:val="22"/>
          <w:lang w:val="es-CO"/>
        </w:rPr>
        <w:t xml:space="preserve">, </w:t>
      </w:r>
      <w:r w:rsidRPr="008B43C6">
        <w:rPr>
          <w:rFonts w:ascii="Arial" w:hAnsi="Arial" w:cs="Arial"/>
          <w:bCs/>
          <w:szCs w:val="22"/>
          <w:lang w:val="es-CO"/>
        </w:rPr>
        <w:t xml:space="preserve">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rPr>
        <w:t>.</w:t>
      </w:r>
      <w:r w:rsidR="00320C7C">
        <w:rPr>
          <w:rFonts w:ascii="Arial" w:hAnsi="Arial" w:cs="Arial"/>
          <w:bCs/>
          <w:szCs w:val="22"/>
          <w:lang w:val="es-CO"/>
        </w:rPr>
        <w:t xml:space="preserve"> </w:t>
      </w:r>
    </w:p>
    <w:p w:rsidR="00320C7C" w:rsidRPr="00D54497" w:rsidRDefault="00320C7C" w:rsidP="006159AF">
      <w:pPr>
        <w:spacing w:line="360" w:lineRule="auto"/>
        <w:ind w:right="51"/>
        <w:jc w:val="both"/>
        <w:rPr>
          <w:rFonts w:ascii="Arial" w:hAnsi="Arial"/>
          <w:sz w:val="20"/>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sidR="00B0516B">
        <w:rPr>
          <w:rFonts w:ascii="Arial" w:hAnsi="Arial"/>
        </w:rPr>
        <w:t>la</w:t>
      </w:r>
      <w:r>
        <w:rPr>
          <w:rFonts w:ascii="Arial" w:hAnsi="Arial"/>
        </w:rPr>
        <w:t xml:space="preserve"> </w:t>
      </w:r>
      <w:r w:rsidRPr="00486763">
        <w:rPr>
          <w:rFonts w:ascii="Arial" w:hAnsi="Arial"/>
        </w:rPr>
        <w:t xml:space="preserve">presente </w:t>
      </w:r>
      <w:r w:rsidR="00B0516B">
        <w:rPr>
          <w:rFonts w:ascii="Arial" w:hAnsi="Arial"/>
        </w:rPr>
        <w:t xml:space="preserve">acción </w:t>
      </w:r>
      <w:r w:rsidRPr="00486763">
        <w:rPr>
          <w:rFonts w:ascii="Arial" w:hAnsi="Arial"/>
        </w:rPr>
        <w:t xml:space="preserve">de tutela </w:t>
      </w:r>
      <w:r w:rsidR="00B0516B">
        <w:rPr>
          <w:rFonts w:ascii="Arial" w:hAnsi="Arial"/>
        </w:rPr>
        <w:t xml:space="preserve">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cumple</w:t>
      </w:r>
      <w:r w:rsidR="003B20E7">
        <w:rPr>
          <w:rFonts w:ascii="Arial" w:hAnsi="Arial"/>
        </w:rPr>
        <w:t>n</w:t>
      </w:r>
      <w:r w:rsidRPr="00486763">
        <w:rPr>
          <w:rFonts w:ascii="Arial" w:hAnsi="Arial"/>
        </w:rPr>
        <w:t xml:space="preserve"> </w:t>
      </w:r>
      <w:r w:rsidR="003B20E7">
        <w:rPr>
          <w:rFonts w:ascii="Arial" w:hAnsi="Arial"/>
        </w:rPr>
        <w:t xml:space="preserve">dos </w:t>
      </w:r>
      <w:r w:rsidRPr="00486763">
        <w:rPr>
          <w:rFonts w:ascii="Arial" w:hAnsi="Arial"/>
        </w:rPr>
        <w:t xml:space="preserve">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xml:space="preserve">, como lo </w:t>
      </w:r>
      <w:r w:rsidR="003B20E7">
        <w:rPr>
          <w:rFonts w:ascii="Arial" w:hAnsi="Arial"/>
        </w:rPr>
        <w:t>son la inmediatez, pues se formuló diez (10) después de acaecida la supuesta vulneración, y la subsidiariedad</w:t>
      </w:r>
      <w:r>
        <w:rPr>
          <w:rFonts w:ascii="Arial" w:hAnsi="Arial"/>
        </w:rPr>
        <w:t xml:space="preserve">, </w:t>
      </w:r>
      <w:r w:rsidR="003B20E7">
        <w:rPr>
          <w:rFonts w:ascii="Arial" w:hAnsi="Arial"/>
        </w:rPr>
        <w:t xml:space="preserve">dado que </w:t>
      </w:r>
      <w:r>
        <w:rPr>
          <w:rFonts w:ascii="Arial" w:hAnsi="Arial"/>
        </w:rPr>
        <w:t>no se formularon los recursos ordinarios.</w:t>
      </w:r>
    </w:p>
    <w:p w:rsidR="009D7CC3" w:rsidRPr="00D54497" w:rsidRDefault="009D7CC3" w:rsidP="00FF5B57">
      <w:pPr>
        <w:spacing w:line="360" w:lineRule="auto"/>
        <w:jc w:val="both"/>
        <w:rPr>
          <w:rFonts w:ascii="Arial" w:hAnsi="Arial" w:cs="Arial"/>
          <w:sz w:val="20"/>
          <w:lang w:val="es-ES_tradnl"/>
        </w:rPr>
      </w:pPr>
    </w:p>
    <w:p w:rsidR="00227EDD" w:rsidRDefault="00227EDD" w:rsidP="00D24BA8">
      <w:pPr>
        <w:pStyle w:val="Textoindependiente"/>
        <w:numPr>
          <w:ilvl w:val="0"/>
          <w:numId w:val="31"/>
        </w:numPr>
        <w:spacing w:line="360" w:lineRule="auto"/>
        <w:textAlignment w:val="auto"/>
        <w:rPr>
          <w:rFonts w:ascii="Arial" w:hAnsi="Arial"/>
          <w:szCs w:val="24"/>
        </w:rPr>
      </w:pPr>
      <w:r>
        <w:rPr>
          <w:rFonts w:ascii="Arial" w:hAnsi="Arial"/>
          <w:szCs w:val="24"/>
        </w:rPr>
        <w:t xml:space="preserve">LAS CONCLUSIONES </w:t>
      </w:r>
    </w:p>
    <w:p w:rsidR="00227EDD" w:rsidRPr="00D54497" w:rsidRDefault="00227EDD" w:rsidP="00227EDD">
      <w:pPr>
        <w:pStyle w:val="Textoindependiente"/>
        <w:spacing w:line="360" w:lineRule="auto"/>
        <w:ind w:left="400"/>
        <w:rPr>
          <w:rFonts w:ascii="Arial" w:hAnsi="Arial"/>
          <w:sz w:val="18"/>
          <w:szCs w:val="24"/>
        </w:rPr>
      </w:pPr>
    </w:p>
    <w:p w:rsidR="00E538DC" w:rsidRDefault="00227EDD" w:rsidP="00E538D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E538DC">
        <w:rPr>
          <w:rFonts w:ascii="Arial" w:hAnsi="Arial" w:cs="Arial"/>
        </w:rPr>
        <w:t xml:space="preserve">Con fundamento en las consideraciones expuestas, en los acápites anteriores: </w:t>
      </w:r>
      <w:r w:rsidR="00E538DC" w:rsidRPr="00E538DC">
        <w:rPr>
          <w:rFonts w:ascii="Arial" w:hAnsi="Arial" w:cs="Arial"/>
        </w:rPr>
        <w:t xml:space="preserve">(i)  Se declarará improcedente la acción constitucional frente al </w:t>
      </w:r>
      <w:r w:rsidR="0038769C">
        <w:rPr>
          <w:rFonts w:ascii="Arial" w:hAnsi="Arial" w:cs="Arial"/>
        </w:rPr>
        <w:t xml:space="preserve">Juzgado </w:t>
      </w:r>
      <w:r w:rsidR="003B20E7">
        <w:rPr>
          <w:rFonts w:ascii="Arial" w:hAnsi="Arial" w:cs="Arial"/>
        </w:rPr>
        <w:t>Primero Civil del Circuito de Pereira, R.,</w:t>
      </w:r>
      <w:r w:rsidR="0038769C">
        <w:rPr>
          <w:rFonts w:ascii="Arial" w:hAnsi="Arial" w:cs="Arial"/>
        </w:rPr>
        <w:t xml:space="preserve"> </w:t>
      </w:r>
      <w:r w:rsidR="003B20E7">
        <w:rPr>
          <w:rFonts w:ascii="Arial" w:hAnsi="Arial" w:cs="Arial"/>
        </w:rPr>
        <w:t>con estribo en que se incumplieron</w:t>
      </w:r>
      <w:r w:rsidR="00E538DC" w:rsidRPr="00E538DC">
        <w:rPr>
          <w:rFonts w:ascii="Arial" w:hAnsi="Arial" w:cs="Arial"/>
        </w:rPr>
        <w:t xml:space="preserve"> </w:t>
      </w:r>
      <w:r w:rsidR="003B20E7">
        <w:rPr>
          <w:rFonts w:ascii="Arial" w:hAnsi="Arial" w:cs="Arial"/>
        </w:rPr>
        <w:t xml:space="preserve">los </w:t>
      </w:r>
      <w:r w:rsidR="00E538DC" w:rsidRPr="00E538DC">
        <w:rPr>
          <w:rFonts w:ascii="Arial" w:hAnsi="Arial" w:cs="Arial"/>
        </w:rPr>
        <w:t>presupuesto</w:t>
      </w:r>
      <w:r w:rsidR="003B20E7">
        <w:rPr>
          <w:rFonts w:ascii="Arial" w:hAnsi="Arial" w:cs="Arial"/>
        </w:rPr>
        <w:t>s</w:t>
      </w:r>
      <w:r w:rsidR="00E538DC" w:rsidRPr="00E538DC">
        <w:rPr>
          <w:rFonts w:ascii="Arial" w:hAnsi="Arial" w:cs="Arial"/>
        </w:rPr>
        <w:t xml:space="preserve"> de </w:t>
      </w:r>
      <w:r w:rsidR="003B20E7">
        <w:rPr>
          <w:rFonts w:ascii="Arial" w:hAnsi="Arial" w:cs="Arial"/>
        </w:rPr>
        <w:t xml:space="preserve">inmediatez y </w:t>
      </w:r>
      <w:r w:rsidR="00E538DC" w:rsidRPr="00E538DC">
        <w:rPr>
          <w:rFonts w:ascii="Arial" w:hAnsi="Arial" w:cs="Arial"/>
        </w:rPr>
        <w:t>subsidiariedad;</w:t>
      </w:r>
      <w:r w:rsidR="0038769C">
        <w:rPr>
          <w:rFonts w:ascii="Arial" w:hAnsi="Arial" w:cs="Arial"/>
        </w:rPr>
        <w:t xml:space="preserve"> y,</w:t>
      </w:r>
      <w:r w:rsidR="00E538DC" w:rsidRPr="00E538DC">
        <w:rPr>
          <w:rFonts w:ascii="Arial" w:hAnsi="Arial" w:cs="Arial"/>
        </w:rPr>
        <w:t xml:space="preserve"> </w:t>
      </w:r>
      <w:r w:rsidR="00E538DC">
        <w:rPr>
          <w:rFonts w:ascii="Arial" w:hAnsi="Arial" w:cs="Arial"/>
        </w:rPr>
        <w:t xml:space="preserve">(ii) Se </w:t>
      </w:r>
      <w:r w:rsidR="0038769C">
        <w:rPr>
          <w:rFonts w:ascii="Arial" w:hAnsi="Arial" w:cs="Arial"/>
        </w:rPr>
        <w:t xml:space="preserve">negará el amparo </w:t>
      </w:r>
      <w:r w:rsidR="00E538DC">
        <w:rPr>
          <w:rFonts w:ascii="Arial" w:hAnsi="Arial" w:cs="Arial"/>
        </w:rPr>
        <w:t xml:space="preserve">respecto de </w:t>
      </w:r>
      <w:r w:rsidR="0038769C">
        <w:rPr>
          <w:rFonts w:ascii="Arial" w:hAnsi="Arial" w:cs="Arial"/>
        </w:rPr>
        <w:t xml:space="preserve">los litisconsortes </w:t>
      </w:r>
      <w:r w:rsidR="00E538DC" w:rsidRPr="002128C2">
        <w:rPr>
          <w:rFonts w:ascii="Arial" w:hAnsi="Arial"/>
        </w:rPr>
        <w:t>según se anotó</w:t>
      </w:r>
      <w:r w:rsidR="00E538DC">
        <w:rPr>
          <w:rFonts w:ascii="Arial" w:hAnsi="Arial" w:cs="Arial"/>
        </w:rPr>
        <w:t>.</w:t>
      </w:r>
    </w:p>
    <w:p w:rsidR="00227EDD" w:rsidRPr="00D54497" w:rsidRDefault="00227EDD" w:rsidP="00227EDD">
      <w:pPr>
        <w:pStyle w:val="Textoindependiente"/>
        <w:tabs>
          <w:tab w:val="clear" w:pos="0"/>
        </w:tabs>
        <w:suppressAutoHyphens w:val="0"/>
        <w:overflowPunct/>
        <w:autoSpaceDE/>
        <w:adjustRightInd/>
        <w:spacing w:line="360" w:lineRule="auto"/>
        <w:rPr>
          <w:rFonts w:ascii="Arial" w:hAnsi="Arial" w:cs="Arial"/>
          <w:sz w:val="18"/>
          <w:szCs w:val="24"/>
          <w:lang w:val="es-ES"/>
        </w:rPr>
      </w:pPr>
    </w:p>
    <w:p w:rsidR="00227EDD" w:rsidRDefault="00227EDD" w:rsidP="00227EDD">
      <w:pPr>
        <w:tabs>
          <w:tab w:val="left" w:pos="-720"/>
        </w:tabs>
        <w:suppressAutoHyphens/>
        <w:spacing w:line="360" w:lineRule="auto"/>
        <w:jc w:val="both"/>
        <w:rPr>
          <w:rFonts w:ascii="Arial" w:hAnsi="Arial" w:cs="Arial"/>
        </w:rPr>
      </w:pPr>
      <w:r>
        <w:rPr>
          <w:rFonts w:ascii="Arial" w:hAnsi="Arial" w:cs="Arial"/>
        </w:rPr>
        <w:t xml:space="preserve">En mérito de lo expuesto, el </w:t>
      </w:r>
      <w:r>
        <w:rPr>
          <w:rFonts w:ascii="Arial" w:hAnsi="Arial" w:cs="Arial"/>
          <w:bCs/>
          <w:smallCaps/>
        </w:rPr>
        <w:t>Tribunal Superior del Distrito Judicial de Pereira, Sala de Decisión Civil -Familia</w:t>
      </w:r>
      <w:r>
        <w:rPr>
          <w:rFonts w:ascii="Arial" w:hAnsi="Arial" w:cs="Arial"/>
        </w:rPr>
        <w:t>, administrando Justicia, en nombre de la República y por autoridad de la Ley,</w:t>
      </w:r>
    </w:p>
    <w:p w:rsidR="00227EDD" w:rsidRDefault="00227EDD" w:rsidP="00227EDD">
      <w:pPr>
        <w:pStyle w:val="Textoindependiente"/>
        <w:spacing w:line="360" w:lineRule="auto"/>
        <w:jc w:val="center"/>
        <w:rPr>
          <w:rFonts w:ascii="Arial" w:hAnsi="Arial" w:cs="Arial"/>
          <w:bCs/>
          <w:smallCaps/>
          <w:szCs w:val="24"/>
        </w:rPr>
      </w:pPr>
      <w:r>
        <w:rPr>
          <w:rFonts w:ascii="Arial" w:hAnsi="Arial" w:cs="Arial"/>
          <w:bCs/>
          <w:smallCaps/>
          <w:szCs w:val="24"/>
        </w:rPr>
        <w:t xml:space="preserve">F A L </w:t>
      </w:r>
      <w:proofErr w:type="spellStart"/>
      <w:r>
        <w:rPr>
          <w:rFonts w:ascii="Arial" w:hAnsi="Arial" w:cs="Arial"/>
          <w:bCs/>
          <w:smallCaps/>
          <w:szCs w:val="24"/>
        </w:rPr>
        <w:t>L</w:t>
      </w:r>
      <w:proofErr w:type="spellEnd"/>
      <w:r>
        <w:rPr>
          <w:rFonts w:ascii="Arial" w:hAnsi="Arial" w:cs="Arial"/>
          <w:bCs/>
          <w:smallCaps/>
          <w:szCs w:val="24"/>
        </w:rPr>
        <w:t xml:space="preserve"> A,</w:t>
      </w:r>
    </w:p>
    <w:p w:rsidR="00227EDD" w:rsidRPr="00D54497" w:rsidRDefault="00227EDD" w:rsidP="00227EDD">
      <w:pPr>
        <w:pStyle w:val="Textoindependiente"/>
        <w:spacing w:line="360" w:lineRule="auto"/>
        <w:jc w:val="center"/>
        <w:rPr>
          <w:rFonts w:ascii="Arial" w:hAnsi="Arial" w:cs="Arial"/>
          <w:bCs/>
          <w:smallCaps/>
          <w:sz w:val="16"/>
          <w:szCs w:val="24"/>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 xml:space="preserve">DECLARAR improcedente </w:t>
      </w:r>
      <w:r w:rsidR="00D54497">
        <w:rPr>
          <w:rFonts w:ascii="Arial" w:hAnsi="Arial" w:cs="Arial"/>
        </w:rPr>
        <w:t xml:space="preserve">la </w:t>
      </w:r>
      <w:r>
        <w:rPr>
          <w:rFonts w:ascii="Arial" w:hAnsi="Arial" w:cs="Arial"/>
        </w:rPr>
        <w:t xml:space="preserve">tutela </w:t>
      </w:r>
      <w:r w:rsidR="00D54497">
        <w:rPr>
          <w:rFonts w:ascii="Arial" w:hAnsi="Arial" w:cs="Arial"/>
        </w:rPr>
        <w:t xml:space="preserve">propuesta </w:t>
      </w:r>
      <w:r>
        <w:rPr>
          <w:rFonts w:ascii="Arial" w:hAnsi="Arial" w:cs="Arial"/>
        </w:rPr>
        <w:t xml:space="preserve">por el señor </w:t>
      </w:r>
      <w:r w:rsidR="00404E0F">
        <w:rPr>
          <w:rFonts w:ascii="Arial" w:hAnsi="Arial" w:cs="Arial"/>
        </w:rPr>
        <w:t xml:space="preserve">Henry García Monsalve </w:t>
      </w:r>
      <w:r>
        <w:rPr>
          <w:rFonts w:ascii="Arial" w:hAnsi="Arial" w:cs="Arial"/>
        </w:rPr>
        <w:t xml:space="preserve">contra el Juzgado </w:t>
      </w:r>
      <w:r w:rsidR="00404E0F">
        <w:rPr>
          <w:rFonts w:ascii="Arial" w:hAnsi="Arial" w:cs="Arial"/>
        </w:rPr>
        <w:t>Primero Civil del Circuito de Pereira.</w:t>
      </w:r>
    </w:p>
    <w:p w:rsidR="0038769C" w:rsidRDefault="0038769C" w:rsidP="0038769C">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38769C" w:rsidRDefault="0038769C"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NEGAR el amparo constitucional frente a</w:t>
      </w:r>
      <w:r w:rsidR="00404E0F">
        <w:rPr>
          <w:rFonts w:ascii="Arial" w:hAnsi="Arial" w:cs="Arial"/>
        </w:rPr>
        <w:t xml:space="preserve"> los señores </w:t>
      </w:r>
      <w:r w:rsidR="00404E0F">
        <w:rPr>
          <w:rFonts w:ascii="Arial" w:hAnsi="Arial" w:cs="Arial"/>
          <w:lang w:val="es-CO"/>
        </w:rPr>
        <w:t xml:space="preserve">Francisco Javier Correa </w:t>
      </w:r>
      <w:r w:rsidR="00404E0F">
        <w:rPr>
          <w:rFonts w:ascii="Arial" w:hAnsi="Arial" w:cs="Arial"/>
          <w:lang w:val="es-CO"/>
        </w:rPr>
        <w:lastRenderedPageBreak/>
        <w:t xml:space="preserve">Sánchez, Luis </w:t>
      </w:r>
      <w:proofErr w:type="spellStart"/>
      <w:r w:rsidR="00404E0F">
        <w:rPr>
          <w:rFonts w:ascii="Arial" w:hAnsi="Arial" w:cs="Arial"/>
          <w:lang w:val="es-CO"/>
        </w:rPr>
        <w:t>Magin</w:t>
      </w:r>
      <w:proofErr w:type="spellEnd"/>
      <w:r w:rsidR="00404E0F">
        <w:rPr>
          <w:rFonts w:ascii="Arial" w:hAnsi="Arial" w:cs="Arial"/>
          <w:lang w:val="es-CO"/>
        </w:rPr>
        <w:t xml:space="preserve"> Correa, María Mercedes Correa Sánchez, </w:t>
      </w:r>
      <w:proofErr w:type="spellStart"/>
      <w:r w:rsidR="00404E0F">
        <w:rPr>
          <w:rFonts w:ascii="Arial" w:hAnsi="Arial" w:cs="Arial"/>
          <w:lang w:val="es-CO"/>
        </w:rPr>
        <w:t>Virgelina</w:t>
      </w:r>
      <w:proofErr w:type="spellEnd"/>
      <w:r w:rsidR="00404E0F">
        <w:rPr>
          <w:rFonts w:ascii="Arial" w:hAnsi="Arial" w:cs="Arial"/>
          <w:lang w:val="es-CO"/>
        </w:rPr>
        <w:t xml:space="preserve"> Correa Sánchez, Gilberto Correa Sánchez, José Ignacio Ramírez, Elda Luz Acevedo, José </w:t>
      </w:r>
      <w:proofErr w:type="spellStart"/>
      <w:r w:rsidR="00404E0F">
        <w:rPr>
          <w:rFonts w:ascii="Arial" w:hAnsi="Arial" w:cs="Arial"/>
          <w:lang w:val="es-CO"/>
        </w:rPr>
        <w:t>Libardo</w:t>
      </w:r>
      <w:proofErr w:type="spellEnd"/>
      <w:r w:rsidR="00404E0F">
        <w:rPr>
          <w:rFonts w:ascii="Arial" w:hAnsi="Arial" w:cs="Arial"/>
          <w:lang w:val="es-CO"/>
        </w:rPr>
        <w:t xml:space="preserve"> García Castaño, Gloria Inés Sánchez Osorio, Carlos Arturo Sánchez Osorio y Juliana Murillo Muñoz</w:t>
      </w:r>
      <w:r>
        <w:rPr>
          <w:rFonts w:ascii="Arial" w:hAnsi="Arial" w:cs="Arial"/>
          <w:spacing w:val="3"/>
        </w:rPr>
        <w:t xml:space="preserve">. </w:t>
      </w:r>
    </w:p>
    <w:p w:rsidR="00227EDD" w:rsidRPr="00D54497" w:rsidRDefault="00227EDD" w:rsidP="00227EDD">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8"/>
        </w:rPr>
      </w:pPr>
    </w:p>
    <w:p w:rsidR="00227EDD" w:rsidRDefault="00227EDD" w:rsidP="00227EDD">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cs="Arial"/>
        </w:rPr>
        <w:t>NOTIFICAR esta decisión a todas las partes, por el medio más expedito y eficaz.</w:t>
      </w:r>
    </w:p>
    <w:p w:rsidR="00D54497" w:rsidRPr="00D54497" w:rsidRDefault="00D54497" w:rsidP="00D54497">
      <w:pPr>
        <w:pStyle w:val="Textoindependiente"/>
        <w:tabs>
          <w:tab w:val="clear" w:pos="708"/>
        </w:tabs>
        <w:spacing w:line="360" w:lineRule="auto"/>
        <w:ind w:left="360"/>
        <w:textAlignment w:val="auto"/>
        <w:rPr>
          <w:rFonts w:ascii="Arial" w:hAnsi="Arial" w:cs="Arial"/>
          <w:sz w:val="18"/>
          <w:szCs w:val="24"/>
        </w:rPr>
      </w:pPr>
    </w:p>
    <w:p w:rsidR="00227EDD" w:rsidRDefault="00227EDD" w:rsidP="00227EDD">
      <w:pPr>
        <w:pStyle w:val="Textoindependiente"/>
        <w:numPr>
          <w:ilvl w:val="0"/>
          <w:numId w:val="27"/>
        </w:numPr>
        <w:tabs>
          <w:tab w:val="clear" w:pos="720"/>
          <w:tab w:val="num" w:pos="360"/>
        </w:tabs>
        <w:spacing w:line="360" w:lineRule="auto"/>
        <w:ind w:left="360"/>
        <w:textAlignment w:val="auto"/>
        <w:rPr>
          <w:rFonts w:ascii="Arial" w:hAnsi="Arial" w:cs="Arial"/>
          <w:szCs w:val="24"/>
        </w:rPr>
      </w:pPr>
      <w:r>
        <w:rPr>
          <w:rFonts w:ascii="Arial" w:hAnsi="Arial" w:cs="Arial"/>
          <w:szCs w:val="24"/>
        </w:rPr>
        <w:t>REMITIR este expediente, a la Corte Constitucional para su eventual revisión, de no ser impugnada.</w:t>
      </w:r>
    </w:p>
    <w:p w:rsidR="00453F6D" w:rsidRDefault="00453F6D" w:rsidP="00453F6D">
      <w:pPr>
        <w:pStyle w:val="Textoindependiente"/>
        <w:tabs>
          <w:tab w:val="clear" w:pos="708"/>
        </w:tabs>
        <w:spacing w:line="360" w:lineRule="auto"/>
        <w:textAlignment w:val="auto"/>
        <w:rPr>
          <w:rFonts w:ascii="Arial" w:hAnsi="Arial" w:cs="Arial"/>
          <w:szCs w:val="24"/>
        </w:rPr>
      </w:pPr>
    </w:p>
    <w:p w:rsidR="00227EDD" w:rsidRDefault="00227EDD" w:rsidP="00227EDD">
      <w:pPr>
        <w:pStyle w:val="Prrafodelista"/>
        <w:widowControl/>
        <w:numPr>
          <w:ilvl w:val="0"/>
          <w:numId w:val="27"/>
        </w:numPr>
        <w:tabs>
          <w:tab w:val="num" w:pos="360"/>
        </w:tabs>
        <w:autoSpaceDE/>
        <w:adjustRightInd/>
        <w:spacing w:line="360" w:lineRule="auto"/>
        <w:ind w:left="360" w:right="51"/>
        <w:contextualSpacing/>
        <w:jc w:val="both"/>
        <w:rPr>
          <w:rFonts w:ascii="Arial" w:hAnsi="Arial"/>
        </w:rPr>
      </w:pPr>
      <w:r>
        <w:rPr>
          <w:rFonts w:ascii="Arial" w:hAnsi="Arial" w:cs="Arial"/>
        </w:rPr>
        <w:t>ORDENAR el archivo del expediente, surtidos los trámites anteriores.</w:t>
      </w:r>
    </w:p>
    <w:p w:rsidR="00626C89" w:rsidRPr="00FB3B2B" w:rsidRDefault="00626C89" w:rsidP="00FF5B57">
      <w:pPr>
        <w:pStyle w:val="Prrafodelista"/>
        <w:widowControl/>
        <w:autoSpaceDE/>
        <w:autoSpaceDN/>
        <w:adjustRightInd/>
        <w:spacing w:line="360" w:lineRule="auto"/>
        <w:ind w:left="360" w:right="51"/>
        <w:contextualSpacing/>
        <w:jc w:val="both"/>
        <w:rPr>
          <w:rFonts w:ascii="Arial" w:hAnsi="Arial"/>
          <w:sz w:val="4"/>
        </w:rPr>
      </w:pPr>
    </w:p>
    <w:p w:rsidR="00D24BA8" w:rsidRPr="00D24BA8" w:rsidRDefault="00D24BA8" w:rsidP="00126266">
      <w:pPr>
        <w:pStyle w:val="Textoindependiente"/>
        <w:spacing w:line="360" w:lineRule="auto"/>
        <w:jc w:val="center"/>
        <w:rPr>
          <w:rFonts w:ascii="Arial" w:hAnsi="Arial"/>
          <w:smallCaps/>
          <w:sz w:val="12"/>
          <w:szCs w:val="24"/>
        </w:rPr>
      </w:pPr>
    </w:p>
    <w:p w:rsidR="00126266" w:rsidRPr="00FB3B2B" w:rsidRDefault="00126266" w:rsidP="00126266">
      <w:pPr>
        <w:pStyle w:val="Textoindependiente"/>
        <w:spacing w:line="360" w:lineRule="auto"/>
        <w:jc w:val="center"/>
        <w:rPr>
          <w:rFonts w:ascii="Arial" w:hAnsi="Arial"/>
          <w:smallCaps/>
          <w:szCs w:val="24"/>
        </w:rPr>
      </w:pPr>
      <w:r w:rsidRPr="00FB3B2B">
        <w:rPr>
          <w:rFonts w:ascii="Arial" w:hAnsi="Arial"/>
          <w:smallCaps/>
          <w:szCs w:val="24"/>
        </w:rPr>
        <w:t>Notifíquese,</w:t>
      </w:r>
    </w:p>
    <w:p w:rsidR="00DA569C" w:rsidRPr="00D54497" w:rsidRDefault="00DA569C" w:rsidP="00417DA5">
      <w:pPr>
        <w:pStyle w:val="Textoindependiente"/>
        <w:spacing w:line="360" w:lineRule="auto"/>
        <w:jc w:val="center"/>
        <w:rPr>
          <w:rFonts w:ascii="Arial" w:hAnsi="Arial"/>
          <w:szCs w:val="24"/>
        </w:rPr>
      </w:pPr>
    </w:p>
    <w:p w:rsidR="003E66CE" w:rsidRPr="00D54497" w:rsidRDefault="003E66CE" w:rsidP="00417DA5">
      <w:pPr>
        <w:pStyle w:val="Textoindependiente"/>
        <w:spacing w:line="360" w:lineRule="auto"/>
        <w:jc w:val="center"/>
        <w:rPr>
          <w:rFonts w:ascii="Arial" w:hAnsi="Arial"/>
          <w:szCs w:val="24"/>
        </w:rPr>
      </w:pPr>
    </w:p>
    <w:p w:rsidR="00B30152" w:rsidRPr="00D54497" w:rsidRDefault="00B30152" w:rsidP="00417DA5">
      <w:pPr>
        <w:pStyle w:val="Textoindependiente"/>
        <w:spacing w:line="360" w:lineRule="auto"/>
        <w:jc w:val="center"/>
        <w:rPr>
          <w:rFonts w:ascii="Arial" w:hAnsi="Arial"/>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D54497" w:rsidRPr="00D54497" w:rsidRDefault="00D54497" w:rsidP="00D54497">
      <w:pPr>
        <w:pStyle w:val="Textoindependiente"/>
        <w:spacing w:line="360" w:lineRule="auto"/>
        <w:jc w:val="center"/>
        <w:rPr>
          <w:rFonts w:ascii="Arial" w:hAnsi="Arial"/>
          <w:szCs w:val="24"/>
        </w:rPr>
      </w:pPr>
    </w:p>
    <w:p w:rsidR="00D54497" w:rsidRPr="00D54497" w:rsidRDefault="00D54497" w:rsidP="00D54497">
      <w:pPr>
        <w:pStyle w:val="Textoindependiente"/>
        <w:spacing w:line="360" w:lineRule="auto"/>
        <w:jc w:val="center"/>
        <w:rPr>
          <w:rFonts w:ascii="Arial" w:hAnsi="Arial"/>
          <w:szCs w:val="24"/>
        </w:rPr>
      </w:pPr>
    </w:p>
    <w:p w:rsidR="00D54497" w:rsidRPr="00D54497" w:rsidRDefault="00D54497" w:rsidP="00D54497">
      <w:pPr>
        <w:pStyle w:val="Textoindependiente"/>
        <w:spacing w:line="360" w:lineRule="auto"/>
        <w:jc w:val="center"/>
        <w:rPr>
          <w:rFonts w:ascii="Arial" w:hAnsi="Arial"/>
          <w:szCs w:val="24"/>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C87D22" w:rsidRDefault="00445605" w:rsidP="00404E0F">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C87D22" w:rsidSect="00DF3F9B">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6FC" w:rsidRDefault="006D36FC" w:rsidP="0099045D">
      <w:r>
        <w:separator/>
      </w:r>
    </w:p>
  </w:endnote>
  <w:endnote w:type="continuationSeparator" w:id="0">
    <w:p w:rsidR="006D36FC" w:rsidRDefault="006D36FC"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6FC" w:rsidRDefault="006D36FC" w:rsidP="0099045D">
      <w:r>
        <w:separator/>
      </w:r>
    </w:p>
  </w:footnote>
  <w:footnote w:type="continuationSeparator" w:id="0">
    <w:p w:rsidR="006D36FC" w:rsidRDefault="006D36FC"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67253D" w:rsidRPr="00567558" w:rsidRDefault="0067253D" w:rsidP="0067253D">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67253D" w:rsidRPr="00FF68BE" w:rsidRDefault="0067253D" w:rsidP="0067253D">
      <w:pPr>
        <w:pStyle w:val="Textonotapie"/>
        <w:jc w:val="both"/>
        <w:rPr>
          <w:rFonts w:ascii="Calibri" w:hAnsi="Calibri" w:cs="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w:t>
      </w:r>
      <w:r>
        <w:rPr>
          <w:rFonts w:ascii="Calibri" w:hAnsi="Calibri" w:cs="Calibri"/>
          <w:lang w:val="es-MX"/>
        </w:rPr>
        <w:t>s</w:t>
      </w:r>
      <w:r w:rsidRPr="00567558">
        <w:rPr>
          <w:rFonts w:ascii="Calibri" w:hAnsi="Calibri" w:cs="Calibri"/>
          <w:lang w:val="es-MX"/>
        </w:rPr>
        <w:t xml:space="preserve"> </w:t>
      </w:r>
      <w:r w:rsidRPr="00FF68BE">
        <w:rPr>
          <w:rFonts w:ascii="Calibri" w:hAnsi="Calibri" w:cs="Calibri"/>
          <w:bCs/>
        </w:rPr>
        <w:t>T-107</w:t>
      </w:r>
      <w:r>
        <w:rPr>
          <w:rFonts w:ascii="Calibri" w:hAnsi="Calibri" w:cs="Calibri"/>
          <w:bCs/>
        </w:rPr>
        <w:t xml:space="preserve"> de 20</w:t>
      </w:r>
      <w:r w:rsidRPr="00FF68BE">
        <w:rPr>
          <w:rFonts w:ascii="Calibri" w:hAnsi="Calibri" w:cs="Calibri"/>
          <w:bCs/>
        </w:rPr>
        <w:t>16</w:t>
      </w:r>
      <w:r>
        <w:rPr>
          <w:rFonts w:ascii="Calibri" w:hAnsi="Calibri" w:cs="Calibri"/>
        </w:rPr>
        <w:t xml:space="preserve"> y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 entre otras</w:t>
      </w:r>
      <w:r w:rsidRPr="00567558">
        <w:rPr>
          <w:rFonts w:ascii="Calibri" w:hAnsi="Calibri" w:cs="Calibri"/>
          <w:lang w:val="es-MX"/>
        </w:rPr>
        <w:t>.</w:t>
      </w:r>
    </w:p>
  </w:footnote>
  <w:footnote w:id="5">
    <w:p w:rsidR="0067253D" w:rsidRPr="005D1B2D" w:rsidRDefault="0067253D" w:rsidP="0067253D">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FB5405" w:rsidRDefault="00FB5405" w:rsidP="00FB5405">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w:t>
      </w:r>
      <w:r>
        <w:rPr>
          <w:rFonts w:asciiTheme="minorHAnsi" w:hAnsiTheme="minorHAnsi" w:cs="Calibri"/>
        </w:rPr>
        <w:t xml:space="preserve">CORTE CONSTITUCIONAL.  Sentencias SU-961 de 1999, </w:t>
      </w:r>
      <w:r>
        <w:rPr>
          <w:rFonts w:asciiTheme="minorHAnsi" w:hAnsiTheme="minorHAnsi" w:cs="Calibri"/>
          <w:lang w:val="es-CO"/>
        </w:rPr>
        <w:t>T-890 de 2006, T-548 de 2011, T-172 de 2013.</w:t>
      </w:r>
    </w:p>
  </w:footnote>
  <w:footnote w:id="9">
    <w:p w:rsidR="00FB5405" w:rsidRDefault="00FB5405" w:rsidP="00FB5405">
      <w:pPr>
        <w:pStyle w:val="Textonotapie"/>
        <w:jc w:val="both"/>
        <w:rPr>
          <w:rFonts w:asciiTheme="minorHAnsi" w:hAnsiTheme="minorHAnsi"/>
        </w:rPr>
      </w:pPr>
      <w:r>
        <w:rPr>
          <w:rStyle w:val="Refdenotaalpie"/>
          <w:rFonts w:asciiTheme="minorHAnsi" w:hAnsiTheme="minorHAnsi" w:cs="Calibri"/>
        </w:rPr>
        <w:footnoteRef/>
      </w:r>
      <w:r>
        <w:rPr>
          <w:rFonts w:asciiTheme="minorHAnsi" w:hAnsiTheme="minorHAnsi" w:cs="Calibri"/>
          <w:lang w:val="es-CO"/>
        </w:rPr>
        <w:t xml:space="preserve"> CORTE SUPREMA DE JUSTICIA, Sala de Casación Civil. Sentencia del 09-03-2011.</w:t>
      </w:r>
    </w:p>
  </w:footnote>
  <w:footnote w:id="10">
    <w:p w:rsidR="00FB5405" w:rsidRPr="00422741" w:rsidRDefault="00FB5405" w:rsidP="00FB5405">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CORTE CONSTITUCIONAL.  Sentencia T-1079 de 2008.</w:t>
      </w:r>
    </w:p>
  </w:footnote>
  <w:footnote w:id="11">
    <w:p w:rsidR="00FB5405" w:rsidRPr="00E501C4" w:rsidRDefault="00FB5405" w:rsidP="00FB5405">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CORTE SUPREMA DE JUSTICIA, Sala de Casación Civil, sentencia </w:t>
      </w:r>
      <w:r w:rsidRPr="00BE7936">
        <w:rPr>
          <w:rFonts w:ascii="Calibri" w:hAnsi="Calibri"/>
          <w:iCs/>
        </w:rPr>
        <w:t>STC4837-2015</w:t>
      </w:r>
      <w:r w:rsidRPr="00422741">
        <w:rPr>
          <w:rFonts w:ascii="Calibri" w:hAnsi="Calibri"/>
          <w:iCs/>
        </w:rPr>
        <w:t>, reiterada en la</w:t>
      </w:r>
      <w:r>
        <w:rPr>
          <w:rFonts w:ascii="Calibri" w:hAnsi="Calibri"/>
          <w:iCs/>
        </w:rPr>
        <w:t>s</w:t>
      </w:r>
      <w:r w:rsidRPr="00422741">
        <w:rPr>
          <w:rFonts w:ascii="Calibri" w:hAnsi="Calibri"/>
          <w:iCs/>
        </w:rPr>
        <w:t xml:space="preserve"> sentencia</w:t>
      </w:r>
      <w:r>
        <w:rPr>
          <w:rFonts w:ascii="Calibri" w:hAnsi="Calibri"/>
          <w:iCs/>
        </w:rPr>
        <w:t>s</w:t>
      </w:r>
      <w:r w:rsidRPr="00422741">
        <w:rPr>
          <w:rFonts w:ascii="Calibri" w:hAnsi="Calibri"/>
          <w:iCs/>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STC3930-2016</w:t>
      </w:r>
      <w:r w:rsidRPr="00E501C4">
        <w:rPr>
          <w:rFonts w:ascii="Calibri" w:hAnsi="Calibri"/>
          <w:iCs/>
        </w:rPr>
        <w:t>.</w:t>
      </w:r>
    </w:p>
  </w:footnote>
  <w:footnote w:id="12">
    <w:p w:rsidR="00FB5405" w:rsidRPr="00E501C4" w:rsidRDefault="00FB5405" w:rsidP="00FB5405">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CORTE CONSTITUCIONAL. Sentencia T-016 de 2006.</w:t>
      </w:r>
    </w:p>
  </w:footnote>
  <w:footnote w:id="13">
    <w:p w:rsidR="00FB5405" w:rsidRPr="00E501C4" w:rsidRDefault="00FB5405" w:rsidP="00FB5405">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CORTE CONSTITUCIONAL. Sentencia T-684 de 2003.</w:t>
      </w:r>
    </w:p>
  </w:footnote>
  <w:footnote w:id="14">
    <w:p w:rsidR="00FB5405" w:rsidRPr="00E501C4" w:rsidRDefault="00FB5405" w:rsidP="00FB5405">
      <w:pPr>
        <w:pStyle w:val="Textonotapie"/>
        <w:jc w:val="both"/>
        <w:rPr>
          <w:rFonts w:ascii="Calibri" w:hAnsi="Calibri"/>
          <w:lang w:val="es-CO"/>
        </w:rPr>
      </w:pPr>
      <w:r w:rsidRPr="00E501C4">
        <w:rPr>
          <w:rStyle w:val="Refdenotaalpie"/>
          <w:rFonts w:ascii="Calibri" w:hAnsi="Calibri" w:cs="Calibri"/>
          <w:lang w:val="es-CO"/>
        </w:rPr>
        <w:footnoteRef/>
      </w:r>
      <w:r w:rsidRPr="00E501C4">
        <w:rPr>
          <w:rFonts w:ascii="Calibri" w:hAnsi="Calibri" w:cs="Calibri"/>
          <w:lang w:val="es-CO"/>
        </w:rPr>
        <w:t xml:space="preserve"> QUINCHE RAMÍREZ, Manuel Fernando. La acción de tutela, el amparo en Colombia, Temis, Bogotá DC, 2011, p.105-106.</w:t>
      </w:r>
    </w:p>
  </w:footnote>
  <w:footnote w:id="15">
    <w:p w:rsidR="00FB5405" w:rsidRDefault="00FB5405" w:rsidP="00FB5405">
      <w:pPr>
        <w:pStyle w:val="Textonotapie"/>
        <w:rPr>
          <w:rFonts w:asciiTheme="minorHAnsi" w:hAnsiTheme="minorHAnsi"/>
        </w:rPr>
      </w:pPr>
      <w:r w:rsidRPr="00E501C4">
        <w:rPr>
          <w:rStyle w:val="Refdenotaalpie"/>
          <w:rFonts w:asciiTheme="minorHAnsi" w:hAnsiTheme="minorHAnsi" w:cs="Calibri"/>
        </w:rPr>
        <w:footnoteRef/>
      </w:r>
      <w:r w:rsidRPr="00E501C4">
        <w:rPr>
          <w:rFonts w:asciiTheme="minorHAnsi" w:hAnsiTheme="minorHAnsi" w:cs="Calibri"/>
        </w:rPr>
        <w:t xml:space="preserve"> </w:t>
      </w:r>
      <w:r w:rsidRPr="00E501C4">
        <w:rPr>
          <w:rFonts w:asciiTheme="minorHAnsi" w:hAnsiTheme="minorHAnsi" w:cs="Calibri"/>
          <w:lang w:val="es-CO"/>
        </w:rPr>
        <w:t>CORTE CONSTITUCIONAL</w:t>
      </w:r>
      <w:r>
        <w:rPr>
          <w:rFonts w:asciiTheme="minorHAnsi" w:hAnsiTheme="minorHAnsi" w:cs="Calibri"/>
          <w:lang w:val="es-CO"/>
        </w:rPr>
        <w:t xml:space="preserve">. Sentencia T-207 de 2015, reiterada en la sentencia </w:t>
      </w:r>
      <w:hyperlink r:id="rId1" w:tooltip="Haga clic para abrir la Sentencia T-737/15" w:history="1">
        <w:r w:rsidRPr="001754A5">
          <w:rPr>
            <w:rStyle w:val="Hipervnculo"/>
            <w:rFonts w:asciiTheme="minorHAnsi" w:hAnsiTheme="minorHAnsi" w:cs="Calibri"/>
            <w:bCs/>
            <w:color w:val="auto"/>
            <w:u w:val="none"/>
          </w:rPr>
          <w:t>T-737 de 2015</w:t>
        </w:r>
      </w:hyperlink>
      <w:r w:rsidRPr="001754A5">
        <w:rPr>
          <w:rFonts w:asciiTheme="minorHAnsi" w:hAnsiTheme="minorHAnsi" w:cs="Calibri"/>
        </w:rPr>
        <w:t>.</w:t>
      </w:r>
    </w:p>
  </w:footnote>
  <w:footnote w:id="16">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 xml:space="preserve">CORTE CONSTITUCIONAL. Sentencia T-134 de 1994. </w:t>
      </w:r>
    </w:p>
  </w:footnote>
  <w:footnote w:id="17">
    <w:p w:rsidR="00636F79" w:rsidRDefault="00636F79" w:rsidP="00636F79">
      <w:pPr>
        <w:pStyle w:val="Textonotapie"/>
        <w:rPr>
          <w:lang w:val="es-CO"/>
        </w:rPr>
      </w:pPr>
      <w:r>
        <w:rPr>
          <w:rStyle w:val="Refdenotaalpie"/>
        </w:rPr>
        <w:footnoteRef/>
      </w:r>
      <w:r>
        <w:t xml:space="preserve"> </w:t>
      </w:r>
      <w:r>
        <w:rPr>
          <w:rFonts w:asciiTheme="minorHAnsi" w:hAnsiTheme="minorHAnsi" w:cs="Calibri"/>
        </w:rPr>
        <w:t>CORTE CONSTITUCIONAL. Sentencia T-103 de 2014.</w:t>
      </w:r>
    </w:p>
  </w:footnote>
  <w:footnote w:id="18">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CORTE CONSTITUCIONAL. Sentencia T-567 de 1998.</w:t>
      </w:r>
    </w:p>
  </w:footnote>
  <w:footnote w:id="19">
    <w:p w:rsidR="00636F79" w:rsidRDefault="00636F79" w:rsidP="00636F79">
      <w:pPr>
        <w:pStyle w:val="Textonotapie"/>
        <w:jc w:val="both"/>
      </w:pPr>
      <w:r>
        <w:rPr>
          <w:rStyle w:val="Refdenotaalpie"/>
          <w:rFonts w:asciiTheme="minorHAnsi" w:hAnsiTheme="minorHAnsi"/>
        </w:rPr>
        <w:footnoteRef/>
      </w:r>
      <w:r>
        <w:rPr>
          <w:rFonts w:asciiTheme="minorHAnsi" w:hAnsiTheme="minorHAnsi"/>
        </w:rPr>
        <w:t xml:space="preserve"> </w:t>
      </w:r>
      <w:r>
        <w:rPr>
          <w:rFonts w:asciiTheme="minorHAnsi" w:hAnsiTheme="minorHAnsi" w:cs="Calibri"/>
        </w:rPr>
        <w:t>CORTE CONSTITUCIONAL. Sentencia T-662 de 2013.</w:t>
      </w:r>
      <w:r>
        <w:rPr>
          <w:b/>
          <w:bCs/>
          <w:color w:val="2D2D2D"/>
          <w:sz w:val="28"/>
          <w:szCs w:val="28"/>
          <w:bdr w:val="none" w:sz="0" w:space="0" w:color="auto" w:frame="1"/>
          <w:shd w:val="clear" w:color="auto" w:fill="FFFFFF"/>
        </w:rPr>
        <w:t xml:space="preserve"> </w:t>
      </w:r>
    </w:p>
  </w:footnote>
  <w:footnote w:id="20">
    <w:p w:rsidR="00636F79" w:rsidRDefault="00636F79" w:rsidP="00636F79">
      <w:pPr>
        <w:pStyle w:val="Textonotapie"/>
        <w:jc w:val="both"/>
      </w:pPr>
      <w:r>
        <w:rPr>
          <w:rStyle w:val="Refdenotaalpie"/>
        </w:rPr>
        <w:footnoteRef/>
      </w:r>
      <w:r>
        <w:t xml:space="preserve"> </w:t>
      </w:r>
      <w:r>
        <w:rPr>
          <w:rFonts w:asciiTheme="minorHAnsi" w:hAnsiTheme="minorHAnsi" w:cs="Calibri"/>
        </w:rPr>
        <w:t xml:space="preserve">CORTE CONSTITUCIONAL. </w:t>
      </w:r>
      <w:r>
        <w:rPr>
          <w:rFonts w:ascii="Calibri" w:hAnsi="Calibri"/>
          <w:bCs/>
          <w:bdr w:val="none" w:sz="0" w:space="0" w:color="auto" w:frame="1"/>
          <w:shd w:val="clear" w:color="auto" w:fill="FFFFFF"/>
        </w:rPr>
        <w:t>Sentencia T-037 de 2016 y T-120 de 2016.</w:t>
      </w:r>
    </w:p>
  </w:footnote>
  <w:footnote w:id="21">
    <w:p w:rsidR="00636F79" w:rsidRDefault="00636F79" w:rsidP="00636F79">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CORTE SUPREMA DE JUSTICIA, Sala de Casación Civil.  Sentencia del 02-09-2014, MP: Margarita Cabello Blanco, expediente No.23001 22 14 000 2014 00097 01</w:t>
      </w:r>
      <w:r>
        <w:rPr>
          <w:rFonts w:asciiTheme="minorHAnsi" w:hAnsiTheme="minorHAnsi" w:cs="Calibri"/>
          <w:w w:val="110"/>
          <w:lang w:val="es-CO"/>
        </w:rPr>
        <w:t>.</w:t>
      </w:r>
    </w:p>
  </w:footnote>
  <w:footnote w:id="22">
    <w:p w:rsidR="00636F79" w:rsidRDefault="00636F79" w:rsidP="00636F79">
      <w:pPr>
        <w:pStyle w:val="Textonotapie"/>
        <w:jc w:val="both"/>
        <w:rPr>
          <w:rFonts w:ascii="Calibri" w:hAnsi="Calibri"/>
          <w:lang w:val="es-CO"/>
        </w:rPr>
      </w:pPr>
      <w:r>
        <w:rPr>
          <w:rStyle w:val="Refdenotaalpie"/>
        </w:rPr>
        <w:footnoteRef/>
      </w:r>
      <w:r>
        <w:t xml:space="preserve"> </w:t>
      </w:r>
      <w:r>
        <w:rPr>
          <w:rFonts w:asciiTheme="minorHAnsi" w:hAnsiTheme="minorHAnsi" w:cs="Calibri"/>
          <w:lang w:val="es-CO"/>
        </w:rPr>
        <w:t xml:space="preserve">CORTE </w:t>
      </w:r>
      <w:r>
        <w:rPr>
          <w:rFonts w:ascii="Calibri" w:hAnsi="Calibri" w:cs="Calibri"/>
          <w:lang w:val="es-CO"/>
        </w:rPr>
        <w:t xml:space="preserve">SUPREMA DE JUSTICIA, </w:t>
      </w:r>
      <w:r>
        <w:rPr>
          <w:rFonts w:ascii="Calibri" w:hAnsi="Calibri" w:cs="Calibri"/>
        </w:rPr>
        <w:t>Sala de Casación Civil.  Providencia STC6121-2015.</w:t>
      </w:r>
    </w:p>
  </w:footnote>
  <w:footnote w:id="23">
    <w:p w:rsidR="00636F79" w:rsidRDefault="00636F79" w:rsidP="00636F79">
      <w:pPr>
        <w:pStyle w:val="Textonotapie"/>
        <w:rPr>
          <w:rFonts w:ascii="Calibri" w:hAnsi="Calibri"/>
          <w:lang w:val="es-CO"/>
        </w:rPr>
      </w:pPr>
      <w:r>
        <w:rPr>
          <w:rStyle w:val="Refdenotaalpie"/>
          <w:rFonts w:ascii="Calibri" w:hAnsi="Calibri"/>
        </w:rPr>
        <w:footnoteRef/>
      </w:r>
      <w:r>
        <w:rPr>
          <w:rFonts w:ascii="Calibri" w:hAnsi="Calibri"/>
        </w:rPr>
        <w:t xml:space="preserve"> </w:t>
      </w:r>
      <w:r>
        <w:rPr>
          <w:rFonts w:ascii="Calibri" w:hAnsi="Calibri" w:cs="Calibri"/>
          <w:lang w:val="es-CO"/>
        </w:rPr>
        <w:t xml:space="preserve">CORTE SUPREMA DE JUSTICIA, </w:t>
      </w:r>
      <w:r>
        <w:rPr>
          <w:rFonts w:ascii="Calibri" w:hAnsi="Calibri" w:cs="Calibri"/>
        </w:rPr>
        <w:t xml:space="preserve">Sala de Casación Civil.  Providencia </w:t>
      </w:r>
      <w:r>
        <w:rPr>
          <w:rFonts w:ascii="Calibri" w:hAnsi="Calibri"/>
          <w:lang w:val="es-CO"/>
        </w:rPr>
        <w:t>STC3931-2016, entre otras.</w:t>
      </w:r>
    </w:p>
  </w:footnote>
  <w:footnote w:id="24">
    <w:p w:rsidR="00877EA6" w:rsidRPr="009C4841" w:rsidRDefault="00877EA6" w:rsidP="00877EA6">
      <w:pPr>
        <w:pStyle w:val="Textonotapie"/>
        <w:jc w:val="both"/>
        <w:rPr>
          <w:rFonts w:asciiTheme="minorHAnsi" w:hAnsiTheme="minorHAns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T-1079 de 2008.</w:t>
      </w:r>
    </w:p>
  </w:footnote>
  <w:footnote w:id="25">
    <w:p w:rsidR="00877EA6" w:rsidRPr="009C4841" w:rsidRDefault="00877EA6" w:rsidP="00877EA6">
      <w:pPr>
        <w:pStyle w:val="Textonotapie"/>
        <w:jc w:val="both"/>
        <w:rPr>
          <w:rFonts w:asciiTheme="minorHAnsi" w:hAnsiTheme="minorHAnsi"/>
          <w:lang w:val="es-CO"/>
        </w:rPr>
      </w:pPr>
      <w:r w:rsidRPr="009C4841">
        <w:rPr>
          <w:rStyle w:val="Refdenotaalpie"/>
          <w:rFonts w:asciiTheme="minorHAnsi" w:hAnsiTheme="minorHAnsi"/>
          <w:lang w:val="es-CO"/>
        </w:rPr>
        <w:footnoteRef/>
      </w:r>
      <w:r w:rsidRPr="009C4841">
        <w:rPr>
          <w:rFonts w:asciiTheme="minorHAnsi" w:hAnsiTheme="minorHAnsi"/>
          <w:lang w:val="es-CO"/>
        </w:rPr>
        <w:t xml:space="preserve"> </w:t>
      </w:r>
      <w:r w:rsidRPr="00E501C4">
        <w:rPr>
          <w:rFonts w:asciiTheme="minorHAnsi" w:hAnsiTheme="minorHAnsi"/>
          <w:lang w:val="es-CO"/>
        </w:rPr>
        <w:t>CORTE SUPREMA DE JUSTICIA, Sala de Casación Civil, sentencia STC4837-2015, reiterada en las sentencias STC2154-2016 y STC3930-2016.</w:t>
      </w:r>
    </w:p>
  </w:footnote>
  <w:footnote w:id="26">
    <w:p w:rsidR="00877EA6" w:rsidRPr="004905B4" w:rsidRDefault="00877EA6" w:rsidP="00877EA6">
      <w:pPr>
        <w:pStyle w:val="Textonotapie"/>
        <w:rPr>
          <w:rFonts w:asciiTheme="minorHAnsi" w:hAnsiTheme="minorHAnsi"/>
          <w:lang w:val="es-CO"/>
        </w:rPr>
      </w:pPr>
      <w:r w:rsidRPr="004905B4">
        <w:rPr>
          <w:rStyle w:val="Refdenotaalpie"/>
          <w:rFonts w:asciiTheme="minorHAnsi" w:hAnsiTheme="minorHAnsi"/>
        </w:rPr>
        <w:footnoteRef/>
      </w:r>
      <w:r w:rsidRPr="004905B4">
        <w:rPr>
          <w:rFonts w:asciiTheme="minorHAnsi" w:hAnsiTheme="minorHAnsi"/>
        </w:rPr>
        <w:t xml:space="preserve"> </w:t>
      </w:r>
      <w:r w:rsidRPr="004905B4">
        <w:rPr>
          <w:rFonts w:asciiTheme="minorHAnsi" w:hAnsiTheme="minorHAnsi" w:cs="Calibri"/>
          <w:lang w:val="es-CO"/>
        </w:rPr>
        <w:t>CORTE CONSTITUCIONAL. Sentencia T-299 de 2009.</w:t>
      </w:r>
    </w:p>
  </w:footnote>
  <w:footnote w:id="27">
    <w:p w:rsidR="00877EA6" w:rsidRPr="004905B4" w:rsidRDefault="00877EA6" w:rsidP="00877EA6">
      <w:pPr>
        <w:pStyle w:val="Textonotapie"/>
        <w:rPr>
          <w:lang w:val="es-CO"/>
        </w:rPr>
      </w:pPr>
      <w:r>
        <w:rPr>
          <w:rStyle w:val="Refdenotaalpie"/>
        </w:rPr>
        <w:footnoteRef/>
      </w:r>
      <w:r>
        <w:t xml:space="preserve"> </w:t>
      </w:r>
      <w:r w:rsidRPr="004905B4">
        <w:rPr>
          <w:rFonts w:asciiTheme="minorHAnsi" w:hAnsiTheme="minorHAnsi" w:cs="Calibri"/>
          <w:lang w:val="es-CO"/>
        </w:rPr>
        <w:t>CORTE CONSTITUCIONAL. Sentencia</w:t>
      </w:r>
      <w:r>
        <w:rPr>
          <w:rFonts w:asciiTheme="minorHAnsi" w:hAnsiTheme="minorHAnsi" w:cs="Calibri"/>
          <w:lang w:val="es-CO"/>
        </w:rPr>
        <w:t>s</w:t>
      </w:r>
      <w:r w:rsidRPr="004905B4">
        <w:rPr>
          <w:rFonts w:asciiTheme="minorHAnsi" w:hAnsiTheme="minorHAnsi" w:cs="Calibri"/>
          <w:lang w:val="es-CO"/>
        </w:rPr>
        <w:t xml:space="preserve">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8">
    <w:p w:rsidR="006159AF" w:rsidRDefault="006159AF" w:rsidP="006159AF">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29">
    <w:p w:rsidR="006159AF" w:rsidRPr="008B43C6" w:rsidRDefault="006159AF" w:rsidP="006159AF">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F2723">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A377CA">
      <w:rPr>
        <w:rFonts w:ascii="Calibri" w:hAnsi="Calibri" w:cs="Calibri"/>
        <w:i/>
        <w:sz w:val="20"/>
        <w:szCs w:val="22"/>
      </w:rPr>
      <w:t>00862</w:t>
    </w:r>
    <w:r w:rsidR="0028706E">
      <w:rPr>
        <w:rFonts w:ascii="Calibri" w:hAnsi="Calibri" w:cs="Calibri"/>
        <w:i/>
        <w:sz w:val="20"/>
        <w:szCs w:val="22"/>
      </w:rPr>
      <w:t>-00</w:t>
    </w:r>
    <w:r w:rsidR="005C34FF">
      <w:rPr>
        <w:rFonts w:ascii="Calibri" w:hAnsi="Calibri"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74318B"/>
    <w:multiLevelType w:val="multilevel"/>
    <w:tmpl w:val="A836A4F0"/>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A32576B"/>
    <w:multiLevelType w:val="multilevel"/>
    <w:tmpl w:val="CDF6051C"/>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4">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39A2360"/>
    <w:multiLevelType w:val="multilevel"/>
    <w:tmpl w:val="BFFA55FE"/>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7"/>
  </w:num>
  <w:num w:numId="2">
    <w:abstractNumId w:val="14"/>
  </w:num>
  <w:num w:numId="3">
    <w:abstractNumId w:val="13"/>
  </w:num>
  <w:num w:numId="4">
    <w:abstractNumId w:val="2"/>
  </w:num>
  <w:num w:numId="5">
    <w:abstractNumId w:val="24"/>
  </w:num>
  <w:num w:numId="6">
    <w:abstractNumId w:val="0"/>
  </w:num>
  <w:num w:numId="7">
    <w:abstractNumId w:val="19"/>
  </w:num>
  <w:num w:numId="8">
    <w:abstractNumId w:val="1"/>
  </w:num>
  <w:num w:numId="9">
    <w:abstractNumId w:val="26"/>
  </w:num>
  <w:num w:numId="10">
    <w:abstractNumId w:val="20"/>
  </w:num>
  <w:num w:numId="11">
    <w:abstractNumId w:val="17"/>
  </w:num>
  <w:num w:numId="12">
    <w:abstractNumId w:val="22"/>
  </w:num>
  <w:num w:numId="13">
    <w:abstractNumId w:val="7"/>
  </w:num>
  <w:num w:numId="14">
    <w:abstractNumId w:val="9"/>
  </w:num>
  <w:num w:numId="15">
    <w:abstractNumId w:val="15"/>
  </w:num>
  <w:num w:numId="16">
    <w:abstractNumId w:val="3"/>
  </w:num>
  <w:num w:numId="17">
    <w:abstractNumId w:val="16"/>
  </w:num>
  <w:num w:numId="18">
    <w:abstractNumId w:val="6"/>
  </w:num>
  <w:num w:numId="19">
    <w:abstractNumId w:val="4"/>
  </w:num>
  <w:num w:numId="20">
    <w:abstractNumId w:val="10"/>
  </w:num>
  <w:num w:numId="21">
    <w:abstractNumId w:val="18"/>
  </w:num>
  <w:num w:numId="22">
    <w:abstractNumId w:val="21"/>
  </w:num>
  <w:num w:numId="23">
    <w:abstractNumId w:val="5"/>
  </w:num>
  <w:num w:numId="24">
    <w:abstractNumId w:val="8"/>
  </w:num>
  <w:num w:numId="25">
    <w:abstractNumId w:val="6"/>
  </w:num>
  <w:num w:numId="26">
    <w:abstractNumId w:val="23"/>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12"/>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5D9A"/>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CA7"/>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49B2"/>
    <w:rsid w:val="000454FB"/>
    <w:rsid w:val="00045578"/>
    <w:rsid w:val="0004695A"/>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3F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3B"/>
    <w:rsid w:val="000B2478"/>
    <w:rsid w:val="000B2D52"/>
    <w:rsid w:val="000B329C"/>
    <w:rsid w:val="000B4029"/>
    <w:rsid w:val="000B415F"/>
    <w:rsid w:val="000B5E81"/>
    <w:rsid w:val="000B61E5"/>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E7406"/>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DA6"/>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0F03"/>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0A4"/>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5F66"/>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2E4"/>
    <w:rsid w:val="00181C9F"/>
    <w:rsid w:val="00181ECC"/>
    <w:rsid w:val="001820FD"/>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6361"/>
    <w:rsid w:val="0019739B"/>
    <w:rsid w:val="001A07E8"/>
    <w:rsid w:val="001A0924"/>
    <w:rsid w:val="001A0973"/>
    <w:rsid w:val="001A0BC5"/>
    <w:rsid w:val="001A122A"/>
    <w:rsid w:val="001A143F"/>
    <w:rsid w:val="001A1B3C"/>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66E"/>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84D"/>
    <w:rsid w:val="001D3AEC"/>
    <w:rsid w:val="001D48C5"/>
    <w:rsid w:val="001D4BF9"/>
    <w:rsid w:val="001D5671"/>
    <w:rsid w:val="001D644E"/>
    <w:rsid w:val="001D69AE"/>
    <w:rsid w:val="001D6AA0"/>
    <w:rsid w:val="001D6F12"/>
    <w:rsid w:val="001D7253"/>
    <w:rsid w:val="001D7D12"/>
    <w:rsid w:val="001E0127"/>
    <w:rsid w:val="001E115F"/>
    <w:rsid w:val="001E145B"/>
    <w:rsid w:val="001E208F"/>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DC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EDD"/>
    <w:rsid w:val="00227FC9"/>
    <w:rsid w:val="00230B9A"/>
    <w:rsid w:val="0023112E"/>
    <w:rsid w:val="002318E5"/>
    <w:rsid w:val="002324DF"/>
    <w:rsid w:val="00232D47"/>
    <w:rsid w:val="00232F91"/>
    <w:rsid w:val="0023308D"/>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007"/>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06E"/>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503"/>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8D5"/>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0B11"/>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0C7C"/>
    <w:rsid w:val="00321495"/>
    <w:rsid w:val="003222EF"/>
    <w:rsid w:val="0032256F"/>
    <w:rsid w:val="003232B0"/>
    <w:rsid w:val="00323F7B"/>
    <w:rsid w:val="003249F4"/>
    <w:rsid w:val="00325212"/>
    <w:rsid w:val="00325FDA"/>
    <w:rsid w:val="003266C0"/>
    <w:rsid w:val="00326BCE"/>
    <w:rsid w:val="00326C60"/>
    <w:rsid w:val="00326CD4"/>
    <w:rsid w:val="003271C1"/>
    <w:rsid w:val="003273B4"/>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6E9"/>
    <w:rsid w:val="00345944"/>
    <w:rsid w:val="00345CC6"/>
    <w:rsid w:val="00345F28"/>
    <w:rsid w:val="00346AD0"/>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69C"/>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04"/>
    <w:rsid w:val="003A52DC"/>
    <w:rsid w:val="003A58B3"/>
    <w:rsid w:val="003A5B20"/>
    <w:rsid w:val="003A67E9"/>
    <w:rsid w:val="003B08F5"/>
    <w:rsid w:val="003B0B82"/>
    <w:rsid w:val="003B0EE1"/>
    <w:rsid w:val="003B12FB"/>
    <w:rsid w:val="003B1C6C"/>
    <w:rsid w:val="003B20E7"/>
    <w:rsid w:val="003B2EC7"/>
    <w:rsid w:val="003B3673"/>
    <w:rsid w:val="003B37F0"/>
    <w:rsid w:val="003B4005"/>
    <w:rsid w:val="003B50F3"/>
    <w:rsid w:val="003B5178"/>
    <w:rsid w:val="003B691D"/>
    <w:rsid w:val="003B6DD2"/>
    <w:rsid w:val="003B6E96"/>
    <w:rsid w:val="003B746D"/>
    <w:rsid w:val="003B74AA"/>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3FB5"/>
    <w:rsid w:val="003D4090"/>
    <w:rsid w:val="003D4557"/>
    <w:rsid w:val="003D45B1"/>
    <w:rsid w:val="003D46EB"/>
    <w:rsid w:val="003D475E"/>
    <w:rsid w:val="003D4FD9"/>
    <w:rsid w:val="003D5956"/>
    <w:rsid w:val="003D5FC6"/>
    <w:rsid w:val="003D65B3"/>
    <w:rsid w:val="003D6763"/>
    <w:rsid w:val="003D688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3DBE"/>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990"/>
    <w:rsid w:val="00401EFF"/>
    <w:rsid w:val="004024F4"/>
    <w:rsid w:val="00402C11"/>
    <w:rsid w:val="004038A2"/>
    <w:rsid w:val="00403F0E"/>
    <w:rsid w:val="00404517"/>
    <w:rsid w:val="0040457C"/>
    <w:rsid w:val="00404945"/>
    <w:rsid w:val="00404E0F"/>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571"/>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3F6D"/>
    <w:rsid w:val="0045484E"/>
    <w:rsid w:val="004548B6"/>
    <w:rsid w:val="004549AD"/>
    <w:rsid w:val="00454F83"/>
    <w:rsid w:val="004557D6"/>
    <w:rsid w:val="00455F07"/>
    <w:rsid w:val="00456151"/>
    <w:rsid w:val="00457916"/>
    <w:rsid w:val="004603C3"/>
    <w:rsid w:val="00460764"/>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0EF"/>
    <w:rsid w:val="0049027C"/>
    <w:rsid w:val="004908C5"/>
    <w:rsid w:val="00491288"/>
    <w:rsid w:val="00491333"/>
    <w:rsid w:val="00491B8B"/>
    <w:rsid w:val="00491C2D"/>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4F51"/>
    <w:rsid w:val="004A4FD0"/>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2BAF"/>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4EC9"/>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29A2"/>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96D"/>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47F"/>
    <w:rsid w:val="00570BB0"/>
    <w:rsid w:val="00571899"/>
    <w:rsid w:val="00571B10"/>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0E7"/>
    <w:rsid w:val="00594584"/>
    <w:rsid w:val="00594F7E"/>
    <w:rsid w:val="00594FDC"/>
    <w:rsid w:val="0059514B"/>
    <w:rsid w:val="005951B2"/>
    <w:rsid w:val="00595487"/>
    <w:rsid w:val="005955FF"/>
    <w:rsid w:val="00596A3B"/>
    <w:rsid w:val="00596DB4"/>
    <w:rsid w:val="0059710A"/>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A7ACC"/>
    <w:rsid w:val="005B02FC"/>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5CFF"/>
    <w:rsid w:val="005B7137"/>
    <w:rsid w:val="005C053C"/>
    <w:rsid w:val="005C0A5A"/>
    <w:rsid w:val="005C14BE"/>
    <w:rsid w:val="005C1B37"/>
    <w:rsid w:val="005C1D46"/>
    <w:rsid w:val="005C20DF"/>
    <w:rsid w:val="005C274B"/>
    <w:rsid w:val="005C2D6E"/>
    <w:rsid w:val="005C2F15"/>
    <w:rsid w:val="005C34FF"/>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A1"/>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4D"/>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6F79"/>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53D"/>
    <w:rsid w:val="00672D56"/>
    <w:rsid w:val="00672E57"/>
    <w:rsid w:val="00673FCA"/>
    <w:rsid w:val="00674068"/>
    <w:rsid w:val="006747E6"/>
    <w:rsid w:val="00674A79"/>
    <w:rsid w:val="0067589D"/>
    <w:rsid w:val="006758F9"/>
    <w:rsid w:val="00676248"/>
    <w:rsid w:val="00676E64"/>
    <w:rsid w:val="006771FC"/>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87FAC"/>
    <w:rsid w:val="00690466"/>
    <w:rsid w:val="00690473"/>
    <w:rsid w:val="00690658"/>
    <w:rsid w:val="0069134C"/>
    <w:rsid w:val="00691C48"/>
    <w:rsid w:val="00692A5A"/>
    <w:rsid w:val="00692D1E"/>
    <w:rsid w:val="00693436"/>
    <w:rsid w:val="00694204"/>
    <w:rsid w:val="006942B0"/>
    <w:rsid w:val="006947CB"/>
    <w:rsid w:val="00694C24"/>
    <w:rsid w:val="00694EB3"/>
    <w:rsid w:val="00695915"/>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6F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9B3"/>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826"/>
    <w:rsid w:val="007161AC"/>
    <w:rsid w:val="00717574"/>
    <w:rsid w:val="00720F6E"/>
    <w:rsid w:val="00722FB5"/>
    <w:rsid w:val="00723794"/>
    <w:rsid w:val="0072424E"/>
    <w:rsid w:val="0072436C"/>
    <w:rsid w:val="00724752"/>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76D"/>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D74"/>
    <w:rsid w:val="00747E14"/>
    <w:rsid w:val="00750723"/>
    <w:rsid w:val="007507D7"/>
    <w:rsid w:val="007508C9"/>
    <w:rsid w:val="00750900"/>
    <w:rsid w:val="00750E9B"/>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DE6"/>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6FE0"/>
    <w:rsid w:val="007C764F"/>
    <w:rsid w:val="007C7D97"/>
    <w:rsid w:val="007D066A"/>
    <w:rsid w:val="007D0B87"/>
    <w:rsid w:val="007D2261"/>
    <w:rsid w:val="007D2580"/>
    <w:rsid w:val="007D273C"/>
    <w:rsid w:val="007D4758"/>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5B85"/>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295"/>
    <w:rsid w:val="00834BB8"/>
    <w:rsid w:val="00836314"/>
    <w:rsid w:val="00836458"/>
    <w:rsid w:val="00836EE1"/>
    <w:rsid w:val="008375BC"/>
    <w:rsid w:val="00837C04"/>
    <w:rsid w:val="00837DF1"/>
    <w:rsid w:val="00840115"/>
    <w:rsid w:val="00840E09"/>
    <w:rsid w:val="00841BFC"/>
    <w:rsid w:val="00841F94"/>
    <w:rsid w:val="008420D6"/>
    <w:rsid w:val="00842B12"/>
    <w:rsid w:val="00843758"/>
    <w:rsid w:val="00843A8E"/>
    <w:rsid w:val="008441D6"/>
    <w:rsid w:val="00844297"/>
    <w:rsid w:val="00844860"/>
    <w:rsid w:val="00844BA4"/>
    <w:rsid w:val="00844EB6"/>
    <w:rsid w:val="0084526F"/>
    <w:rsid w:val="008456D0"/>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77EA6"/>
    <w:rsid w:val="00880E10"/>
    <w:rsid w:val="008810AC"/>
    <w:rsid w:val="0088249B"/>
    <w:rsid w:val="00882634"/>
    <w:rsid w:val="0088282C"/>
    <w:rsid w:val="0088289A"/>
    <w:rsid w:val="00882DA6"/>
    <w:rsid w:val="008830CE"/>
    <w:rsid w:val="00883109"/>
    <w:rsid w:val="00883BF2"/>
    <w:rsid w:val="00885175"/>
    <w:rsid w:val="00885324"/>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28D6"/>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BDD"/>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032"/>
    <w:rsid w:val="009033C4"/>
    <w:rsid w:val="009039C6"/>
    <w:rsid w:val="00903D0B"/>
    <w:rsid w:val="0090483B"/>
    <w:rsid w:val="00905295"/>
    <w:rsid w:val="0090570E"/>
    <w:rsid w:val="009068F1"/>
    <w:rsid w:val="00906BF2"/>
    <w:rsid w:val="00906D6E"/>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5E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6CB"/>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82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11E"/>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152"/>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7CA"/>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29A"/>
    <w:rsid w:val="00A51F23"/>
    <w:rsid w:val="00A53426"/>
    <w:rsid w:val="00A5356E"/>
    <w:rsid w:val="00A545DC"/>
    <w:rsid w:val="00A54A13"/>
    <w:rsid w:val="00A54DB7"/>
    <w:rsid w:val="00A5623D"/>
    <w:rsid w:val="00A56FFA"/>
    <w:rsid w:val="00A5710B"/>
    <w:rsid w:val="00A5761E"/>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2F2"/>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B4"/>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16B"/>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0EE2"/>
    <w:rsid w:val="00B212FF"/>
    <w:rsid w:val="00B216F9"/>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0FA8"/>
    <w:rsid w:val="00B5154E"/>
    <w:rsid w:val="00B51675"/>
    <w:rsid w:val="00B51950"/>
    <w:rsid w:val="00B5195F"/>
    <w:rsid w:val="00B521BE"/>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67F"/>
    <w:rsid w:val="00B57911"/>
    <w:rsid w:val="00B57C24"/>
    <w:rsid w:val="00B57C98"/>
    <w:rsid w:val="00B60E09"/>
    <w:rsid w:val="00B614B9"/>
    <w:rsid w:val="00B62013"/>
    <w:rsid w:val="00B624AE"/>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83F"/>
    <w:rsid w:val="00B74A2D"/>
    <w:rsid w:val="00B7574C"/>
    <w:rsid w:val="00B7596F"/>
    <w:rsid w:val="00B75FBF"/>
    <w:rsid w:val="00B767F1"/>
    <w:rsid w:val="00B77970"/>
    <w:rsid w:val="00B77C71"/>
    <w:rsid w:val="00B77CD2"/>
    <w:rsid w:val="00B80992"/>
    <w:rsid w:val="00B81D32"/>
    <w:rsid w:val="00B81FDA"/>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183"/>
    <w:rsid w:val="00BC16BB"/>
    <w:rsid w:val="00BC192B"/>
    <w:rsid w:val="00BC1AF9"/>
    <w:rsid w:val="00BC1F12"/>
    <w:rsid w:val="00BC2295"/>
    <w:rsid w:val="00BC264E"/>
    <w:rsid w:val="00BC2FC4"/>
    <w:rsid w:val="00BC440D"/>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C92"/>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AA1"/>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2C72"/>
    <w:rsid w:val="00C8311A"/>
    <w:rsid w:val="00C83DDE"/>
    <w:rsid w:val="00C83E87"/>
    <w:rsid w:val="00C84138"/>
    <w:rsid w:val="00C864B7"/>
    <w:rsid w:val="00C86DA6"/>
    <w:rsid w:val="00C87118"/>
    <w:rsid w:val="00C87D22"/>
    <w:rsid w:val="00C901FD"/>
    <w:rsid w:val="00C91451"/>
    <w:rsid w:val="00C914BD"/>
    <w:rsid w:val="00C92A0F"/>
    <w:rsid w:val="00C932B1"/>
    <w:rsid w:val="00C9460E"/>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3B4"/>
    <w:rsid w:val="00CD79DB"/>
    <w:rsid w:val="00CE0777"/>
    <w:rsid w:val="00CE0811"/>
    <w:rsid w:val="00CE0821"/>
    <w:rsid w:val="00CE0F4E"/>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28A"/>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CA"/>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4BA8"/>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DF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497"/>
    <w:rsid w:val="00D54D1A"/>
    <w:rsid w:val="00D55142"/>
    <w:rsid w:val="00D55187"/>
    <w:rsid w:val="00D5529A"/>
    <w:rsid w:val="00D55593"/>
    <w:rsid w:val="00D55A12"/>
    <w:rsid w:val="00D55C6A"/>
    <w:rsid w:val="00D55C77"/>
    <w:rsid w:val="00D55DC7"/>
    <w:rsid w:val="00D55DE1"/>
    <w:rsid w:val="00D560D5"/>
    <w:rsid w:val="00D56844"/>
    <w:rsid w:val="00D5729E"/>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3E18"/>
    <w:rsid w:val="00D8416E"/>
    <w:rsid w:val="00D844AE"/>
    <w:rsid w:val="00D84746"/>
    <w:rsid w:val="00D8523F"/>
    <w:rsid w:val="00D85E84"/>
    <w:rsid w:val="00D8627D"/>
    <w:rsid w:val="00D862DE"/>
    <w:rsid w:val="00D866D1"/>
    <w:rsid w:val="00D86842"/>
    <w:rsid w:val="00D90100"/>
    <w:rsid w:val="00D90F85"/>
    <w:rsid w:val="00D9225F"/>
    <w:rsid w:val="00D93740"/>
    <w:rsid w:val="00D93E26"/>
    <w:rsid w:val="00D94140"/>
    <w:rsid w:val="00D941E8"/>
    <w:rsid w:val="00D94240"/>
    <w:rsid w:val="00D94343"/>
    <w:rsid w:val="00D94DBA"/>
    <w:rsid w:val="00D954F1"/>
    <w:rsid w:val="00D95A09"/>
    <w:rsid w:val="00D9642C"/>
    <w:rsid w:val="00D96C35"/>
    <w:rsid w:val="00D97026"/>
    <w:rsid w:val="00D97759"/>
    <w:rsid w:val="00D97BF7"/>
    <w:rsid w:val="00D97DB9"/>
    <w:rsid w:val="00DA0076"/>
    <w:rsid w:val="00DA0A98"/>
    <w:rsid w:val="00DA1514"/>
    <w:rsid w:val="00DA22FB"/>
    <w:rsid w:val="00DA37F5"/>
    <w:rsid w:val="00DA38E6"/>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CCE"/>
    <w:rsid w:val="00DE2FEE"/>
    <w:rsid w:val="00DE3E76"/>
    <w:rsid w:val="00DE4F3A"/>
    <w:rsid w:val="00DE51A8"/>
    <w:rsid w:val="00DE6847"/>
    <w:rsid w:val="00DE68FE"/>
    <w:rsid w:val="00DE74E7"/>
    <w:rsid w:val="00DE7EFF"/>
    <w:rsid w:val="00DF2723"/>
    <w:rsid w:val="00DF29E0"/>
    <w:rsid w:val="00DF29E9"/>
    <w:rsid w:val="00DF3218"/>
    <w:rsid w:val="00DF356D"/>
    <w:rsid w:val="00DF3616"/>
    <w:rsid w:val="00DF3DC3"/>
    <w:rsid w:val="00DF3E7C"/>
    <w:rsid w:val="00DF3F9B"/>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2CF2"/>
    <w:rsid w:val="00E13662"/>
    <w:rsid w:val="00E13778"/>
    <w:rsid w:val="00E13B00"/>
    <w:rsid w:val="00E13B07"/>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8DC"/>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5CF9"/>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2E34"/>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E7554"/>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19"/>
    <w:rsid w:val="00F14A98"/>
    <w:rsid w:val="00F14EDC"/>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30A"/>
    <w:rsid w:val="00F8470C"/>
    <w:rsid w:val="00F859D9"/>
    <w:rsid w:val="00F864FE"/>
    <w:rsid w:val="00F86698"/>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093"/>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B2B"/>
    <w:rsid w:val="00FB3D8D"/>
    <w:rsid w:val="00FB4650"/>
    <w:rsid w:val="00FB4F27"/>
    <w:rsid w:val="00FB5405"/>
    <w:rsid w:val="00FB5E7E"/>
    <w:rsid w:val="00FB602A"/>
    <w:rsid w:val="00FB6998"/>
    <w:rsid w:val="00FB6CFE"/>
    <w:rsid w:val="00FB72A5"/>
    <w:rsid w:val="00FC02E9"/>
    <w:rsid w:val="00FC06A3"/>
    <w:rsid w:val="00FC3205"/>
    <w:rsid w:val="00FC3F88"/>
    <w:rsid w:val="00FC4973"/>
    <w:rsid w:val="00FC4AA8"/>
    <w:rsid w:val="00FC5379"/>
    <w:rsid w:val="00FC566E"/>
    <w:rsid w:val="00FC5F6F"/>
    <w:rsid w:val="00FC6860"/>
    <w:rsid w:val="00FC73DF"/>
    <w:rsid w:val="00FC7BCB"/>
    <w:rsid w:val="00FC7BDC"/>
    <w:rsid w:val="00FD0032"/>
    <w:rsid w:val="00FD0466"/>
    <w:rsid w:val="00FD1567"/>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2BE"/>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94A"/>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E1D4647-7EF5-4CD2-854F-C728C623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Refdecomentario">
    <w:name w:val="annotation reference"/>
    <w:basedOn w:val="Fuentedeprrafopredeter"/>
    <w:uiPriority w:val="99"/>
    <w:semiHidden/>
    <w:unhideWhenUsed/>
    <w:rsid w:val="000B243B"/>
    <w:rPr>
      <w:sz w:val="16"/>
      <w:szCs w:val="16"/>
    </w:rPr>
  </w:style>
  <w:style w:type="paragraph" w:styleId="Textocomentario">
    <w:name w:val="annotation text"/>
    <w:basedOn w:val="Normal"/>
    <w:link w:val="TextocomentarioCar"/>
    <w:uiPriority w:val="99"/>
    <w:semiHidden/>
    <w:unhideWhenUsed/>
    <w:rsid w:val="000B243B"/>
    <w:rPr>
      <w:sz w:val="20"/>
      <w:szCs w:val="20"/>
    </w:rPr>
  </w:style>
  <w:style w:type="character" w:customStyle="1" w:styleId="TextocomentarioCar">
    <w:name w:val="Texto comentario Car"/>
    <w:basedOn w:val="Fuentedeprrafopredeter"/>
    <w:link w:val="Textocomentario"/>
    <w:uiPriority w:val="99"/>
    <w:semiHidden/>
    <w:rsid w:val="000B243B"/>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0B243B"/>
    <w:rPr>
      <w:b/>
      <w:bCs/>
    </w:rPr>
  </w:style>
  <w:style w:type="character" w:customStyle="1" w:styleId="AsuntodelcomentarioCar">
    <w:name w:val="Asunto del comentario Car"/>
    <w:basedOn w:val="TextocomentarioCar"/>
    <w:link w:val="Asuntodelcomentario"/>
    <w:uiPriority w:val="99"/>
    <w:semiHidden/>
    <w:rsid w:val="000B243B"/>
    <w:rPr>
      <w:rFonts w:ascii="Courier New" w:hAnsi="Courier New" w:cs="Verdana"/>
      <w:b/>
      <w:bCs/>
    </w:rPr>
  </w:style>
  <w:style w:type="paragraph" w:styleId="Revisin">
    <w:name w:val="Revision"/>
    <w:hidden/>
    <w:uiPriority w:val="99"/>
    <w:semiHidden/>
    <w:rsid w:val="000B243B"/>
    <w:rPr>
      <w:rFonts w:ascii="Courier New" w:hAnsi="Courier New"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52533907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140810161">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20642685">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456368640">
      <w:bodyDiv w:val="1"/>
      <w:marLeft w:val="0"/>
      <w:marRight w:val="0"/>
      <w:marTop w:val="0"/>
      <w:marBottom w:val="0"/>
      <w:divBdr>
        <w:top w:val="none" w:sz="0" w:space="0" w:color="auto"/>
        <w:left w:val="none" w:sz="0" w:space="0" w:color="auto"/>
        <w:bottom w:val="none" w:sz="0" w:space="0" w:color="auto"/>
        <w:right w:val="none" w:sz="0" w:space="0" w:color="auto"/>
      </w:divBdr>
    </w:div>
    <w:div w:id="1652522898">
      <w:bodyDiv w:val="1"/>
      <w:marLeft w:val="0"/>
      <w:marRight w:val="0"/>
      <w:marTop w:val="0"/>
      <w:marBottom w:val="0"/>
      <w:divBdr>
        <w:top w:val="none" w:sz="0" w:space="0" w:color="auto"/>
        <w:left w:val="none" w:sz="0" w:space="0" w:color="auto"/>
        <w:bottom w:val="none" w:sz="0" w:space="0" w:color="auto"/>
        <w:right w:val="none" w:sz="0" w:space="0" w:color="auto"/>
      </w:divBdr>
    </w:div>
    <w:div w:id="179093201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095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base.biz/lexbase/jurisprudencia/tutelas/corte%20constitucional/15/T0737de15.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jurisprudencia/tutelas/corte%20constitucional/15/T0737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316C-EEE8-44CA-A1FA-F76A5D76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11</Pages>
  <Words>3931</Words>
  <Characters>21625</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25505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Henry Lora Rodriguez</cp:lastModifiedBy>
  <cp:revision>10</cp:revision>
  <cp:lastPrinted>2016-09-22T17:57:00Z</cp:lastPrinted>
  <dcterms:created xsi:type="dcterms:W3CDTF">2016-09-20T17:53:00Z</dcterms:created>
  <dcterms:modified xsi:type="dcterms:W3CDTF">2016-11-15T18:57:00Z</dcterms:modified>
</cp:coreProperties>
</file>