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73" w:rsidRPr="00B55A73" w:rsidRDefault="00B55A73" w:rsidP="00B55A73">
      <w:pPr>
        <w:jc w:val="both"/>
        <w:rPr>
          <w:rFonts w:asciiTheme="minorHAnsi" w:hAnsiTheme="minorHAnsi"/>
          <w:sz w:val="18"/>
          <w:szCs w:val="18"/>
        </w:rPr>
      </w:pPr>
      <w:r w:rsidRPr="00B55A73">
        <w:rPr>
          <w:rFonts w:asciiTheme="minorHAnsi" w:hAnsiTheme="minorHAnsi"/>
          <w:b/>
          <w:sz w:val="18"/>
          <w:szCs w:val="18"/>
        </w:rPr>
        <w:t>Tema:</w:t>
      </w:r>
      <w:r w:rsidRPr="00B55A73">
        <w:rPr>
          <w:rFonts w:asciiTheme="minorHAnsi" w:hAnsiTheme="minorHAnsi"/>
          <w:b/>
          <w:sz w:val="18"/>
          <w:szCs w:val="18"/>
        </w:rPr>
        <w:tab/>
      </w:r>
      <w:r w:rsidRPr="00B55A73">
        <w:rPr>
          <w:rFonts w:asciiTheme="minorHAnsi" w:hAnsiTheme="minorHAnsi"/>
          <w:b/>
          <w:sz w:val="18"/>
          <w:szCs w:val="18"/>
        </w:rPr>
        <w:tab/>
      </w:r>
      <w:r w:rsidRPr="00B55A73">
        <w:rPr>
          <w:rFonts w:asciiTheme="minorHAnsi" w:hAnsiTheme="minorHAnsi"/>
          <w:b/>
          <w:sz w:val="18"/>
          <w:szCs w:val="18"/>
        </w:rPr>
        <w:tab/>
      </w:r>
      <w:r w:rsidRPr="00B55A73">
        <w:rPr>
          <w:rFonts w:asciiTheme="minorHAnsi" w:hAnsiTheme="minorHAnsi"/>
          <w:b/>
          <w:sz w:val="18"/>
          <w:szCs w:val="18"/>
        </w:rPr>
        <w:tab/>
        <w:t xml:space="preserve">TRADICIÓN / TÍTULO Y MODO / PERFECCIONAMIENTO Y EJECUCIÓN DEL NEGOCIO JURÍDICO DE COMPRAVENTA DE INMUEBLE / CARENCIA DE TÍTULO / OBLIGACIÓN DE SUSCRIBIR ESCRITURA </w:t>
      </w:r>
      <w:r w:rsidR="00B3034F">
        <w:rPr>
          <w:rFonts w:asciiTheme="minorHAnsi" w:hAnsiTheme="minorHAnsi"/>
          <w:b/>
          <w:sz w:val="18"/>
          <w:szCs w:val="18"/>
        </w:rPr>
        <w:t>ACLARATORIA</w:t>
      </w:r>
      <w:r w:rsidRPr="00B55A73">
        <w:rPr>
          <w:rFonts w:asciiTheme="minorHAnsi" w:hAnsiTheme="minorHAnsi"/>
          <w:b/>
          <w:sz w:val="18"/>
          <w:szCs w:val="18"/>
        </w:rPr>
        <w:t xml:space="preserve"> ES INEXISTENTE / “</w:t>
      </w:r>
      <w:r w:rsidRPr="00B55A73">
        <w:rPr>
          <w:rFonts w:asciiTheme="minorHAnsi" w:hAnsiTheme="minorHAnsi"/>
          <w:sz w:val="18"/>
          <w:szCs w:val="18"/>
        </w:rPr>
        <w:t xml:space="preserve">En parte alguna figura que el deudor, ejecutado para efectos procesales, se haya obligado a la suscripción de una escritura aclaratoria con ocasión de las correcciones al área y número de matrícula del bien objeto del convenio negocial, a favor del acreedor-ejecutante, menos puede hallarse tal obligación de hacer en norma alguna, acaso el Decreto 960 de 1970 o alguna </w:t>
      </w:r>
      <w:r>
        <w:rPr>
          <w:rFonts w:asciiTheme="minorHAnsi" w:hAnsiTheme="minorHAnsi"/>
          <w:sz w:val="18"/>
          <w:szCs w:val="18"/>
        </w:rPr>
        <w:t>otra, que tampoco fue aludida.”</w:t>
      </w:r>
    </w:p>
    <w:p w:rsidR="00B55A73" w:rsidRPr="00B55A73" w:rsidRDefault="00B55A73" w:rsidP="00B55A73">
      <w:pPr>
        <w:jc w:val="both"/>
        <w:rPr>
          <w:rFonts w:asciiTheme="minorHAnsi" w:hAnsiTheme="minorHAnsi"/>
          <w:sz w:val="18"/>
          <w:szCs w:val="18"/>
        </w:rPr>
      </w:pPr>
      <w:r w:rsidRPr="00B55A73">
        <w:rPr>
          <w:rFonts w:asciiTheme="minorHAnsi" w:hAnsiTheme="minorHAnsi"/>
          <w:sz w:val="18"/>
          <w:szCs w:val="18"/>
        </w:rPr>
        <w:t>(…)</w:t>
      </w:r>
    </w:p>
    <w:p w:rsidR="00B55A73" w:rsidRPr="00B55A73" w:rsidRDefault="00B55A73" w:rsidP="00B55A73">
      <w:pPr>
        <w:jc w:val="both"/>
        <w:rPr>
          <w:rFonts w:asciiTheme="minorHAnsi" w:hAnsiTheme="minorHAnsi"/>
          <w:sz w:val="18"/>
          <w:szCs w:val="18"/>
        </w:rPr>
      </w:pPr>
    </w:p>
    <w:p w:rsidR="00B55A73" w:rsidRPr="00B55A73" w:rsidRDefault="00B55A73" w:rsidP="00B55A73">
      <w:pPr>
        <w:jc w:val="both"/>
        <w:rPr>
          <w:rFonts w:asciiTheme="minorHAnsi" w:hAnsiTheme="minorHAnsi"/>
          <w:sz w:val="18"/>
          <w:szCs w:val="18"/>
        </w:rPr>
      </w:pPr>
      <w:r>
        <w:rPr>
          <w:rFonts w:asciiTheme="minorHAnsi" w:hAnsiTheme="minorHAnsi"/>
          <w:sz w:val="18"/>
          <w:szCs w:val="18"/>
        </w:rPr>
        <w:t>“</w:t>
      </w:r>
      <w:r w:rsidRPr="00B55A73">
        <w:rPr>
          <w:rFonts w:asciiTheme="minorHAnsi" w:hAnsiTheme="minorHAnsi"/>
          <w:sz w:val="18"/>
          <w:szCs w:val="18"/>
        </w:rPr>
        <w:t xml:space="preserve">Ahora, con vista en la súplica postulada, que se reclame, como afirma el recurrente, que nace la obligación de suscripción, por haberse perfeccionado el contrato con título y modo, no se comparte en esta sede un razonamiento semejante, pues débese distinguir que para reputar perfecta la compraventa basta acuerdo entre precio y bien (Cosa), documentado en escritura pública, para el caso de los inmuebles, como paladinamente enseña el artículo 1857 CC, cuyo tenor literal ilustra con suficiencia: </w:t>
      </w:r>
      <w:r w:rsidRPr="00B55A73">
        <w:rPr>
          <w:rFonts w:ascii="Courier New" w:hAnsi="Courier New" w:cs="Courier New"/>
          <w:sz w:val="18"/>
          <w:szCs w:val="18"/>
        </w:rPr>
        <w:t>“La venta se reputa perfecta desde que las partes han convenido en la cosa y en el precio, salvo las excepciones siguientes: La venta de los bienes raíces y servidumbre y la de la sucesión hereditaria, no se reputan perfectas ante la ley, mientras no se ha otorgado escritura pública. (…)”.</w:t>
      </w:r>
      <w:r w:rsidRPr="00B55A73">
        <w:rPr>
          <w:rFonts w:asciiTheme="minorHAnsi" w:hAnsiTheme="minorHAnsi"/>
          <w:sz w:val="18"/>
          <w:szCs w:val="18"/>
        </w:rPr>
        <w:t xml:space="preserve">  Es decir, para entender “perfecta” o válida la obligación de transferir el dominio no se requiere el modo, suficiente es el título, esto es, la compraventa.</w:t>
      </w:r>
    </w:p>
    <w:p w:rsidR="00B55A73" w:rsidRPr="00B55A73" w:rsidRDefault="00B55A73" w:rsidP="00B55A73">
      <w:pPr>
        <w:jc w:val="both"/>
        <w:rPr>
          <w:rFonts w:asciiTheme="minorHAnsi" w:hAnsiTheme="minorHAnsi"/>
          <w:sz w:val="18"/>
          <w:szCs w:val="18"/>
        </w:rPr>
      </w:pPr>
    </w:p>
    <w:p w:rsidR="00B55A73" w:rsidRPr="00B55A73" w:rsidRDefault="00B55A73" w:rsidP="00B55A73">
      <w:pPr>
        <w:jc w:val="both"/>
        <w:rPr>
          <w:rFonts w:asciiTheme="minorHAnsi" w:hAnsiTheme="minorHAnsi"/>
          <w:sz w:val="18"/>
          <w:szCs w:val="18"/>
        </w:rPr>
      </w:pPr>
      <w:r w:rsidRPr="00B55A73">
        <w:rPr>
          <w:rFonts w:asciiTheme="minorHAnsi" w:hAnsiTheme="minorHAnsi"/>
          <w:sz w:val="18"/>
          <w:szCs w:val="18"/>
        </w:rPr>
        <w:t>Entonces, surge nítido que el modo, que es la tradición en tratándose de inmuebles o bienes sujetos a registro, hace parte de la ejecución de la prestación, no del perfeccionamiento como se alega.</w:t>
      </w:r>
    </w:p>
    <w:p w:rsidR="00B55A73" w:rsidRPr="00B55A73" w:rsidRDefault="00B55A73" w:rsidP="00B55A73">
      <w:pPr>
        <w:jc w:val="both"/>
        <w:rPr>
          <w:rFonts w:asciiTheme="minorHAnsi" w:hAnsiTheme="minorHAnsi"/>
          <w:sz w:val="18"/>
          <w:szCs w:val="18"/>
        </w:rPr>
      </w:pPr>
    </w:p>
    <w:p w:rsidR="00B55A73" w:rsidRPr="00B55A73" w:rsidRDefault="00B55A73" w:rsidP="00B55A73">
      <w:pPr>
        <w:jc w:val="both"/>
        <w:rPr>
          <w:rFonts w:asciiTheme="minorHAnsi" w:hAnsiTheme="minorHAnsi"/>
          <w:sz w:val="18"/>
          <w:szCs w:val="18"/>
        </w:rPr>
      </w:pPr>
      <w:r w:rsidRPr="00B55A73">
        <w:rPr>
          <w:rFonts w:asciiTheme="minorHAnsi" w:hAnsiTheme="minorHAnsi"/>
          <w:sz w:val="18"/>
          <w:szCs w:val="18"/>
        </w:rPr>
        <w:t>Ahora, válida la compraventa del inmueble celebrada, en manera alguna ello permite inferir que connota la prestación aquí alegada en cabeza del vendedor, pues no dimana de ese contrato y tampoco está contenida en los artículos 1880, 1862 y 1605 del CC; aun cuando sí pueden derivarse otras obligaciones inherentes a tal negocio, más esas no fueron aquí pretendidas,…</w:t>
      </w:r>
      <w:r>
        <w:rPr>
          <w:rFonts w:asciiTheme="minorHAnsi" w:hAnsiTheme="minorHAnsi"/>
          <w:sz w:val="18"/>
          <w:szCs w:val="18"/>
        </w:rPr>
        <w:t>”</w:t>
      </w:r>
    </w:p>
    <w:p w:rsidR="00B55A73" w:rsidRPr="005320B7" w:rsidRDefault="00B55A73" w:rsidP="00B55A73">
      <w:pPr>
        <w:jc w:val="both"/>
        <w:rPr>
          <w:rFonts w:ascii="Calibri" w:hAnsi="Calibri"/>
          <w:sz w:val="18"/>
          <w:szCs w:val="18"/>
        </w:rPr>
      </w:pPr>
      <w:bookmarkStart w:id="0" w:name="_GoBack"/>
      <w:bookmarkEnd w:id="0"/>
    </w:p>
    <w:p w:rsidR="00B55A73" w:rsidRDefault="00B55A73" w:rsidP="00B55A73">
      <w:pPr>
        <w:tabs>
          <w:tab w:val="left" w:pos="284"/>
        </w:tabs>
        <w:ind w:left="284"/>
        <w:jc w:val="center"/>
        <w:rPr>
          <w:rFonts w:ascii="Verdana" w:hAnsi="Verdana"/>
          <w:sz w:val="25"/>
          <w:szCs w:val="25"/>
        </w:rPr>
      </w:pPr>
      <w:r>
        <w:rPr>
          <w:rFonts w:ascii="Verdana" w:hAnsi="Verdana"/>
          <w:sz w:val="25"/>
          <w:szCs w:val="25"/>
        </w:rPr>
        <w:t>-------------------------------------------------------------------------</w:t>
      </w:r>
    </w:p>
    <w:p w:rsidR="00B55A73" w:rsidRDefault="00B55A73"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992942">
      <w:pPr>
        <w:spacing w:line="360" w:lineRule="auto"/>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Pr="00FB107C">
        <w:rPr>
          <w:rFonts w:ascii="Arial" w:hAnsi="Arial" w:cs="Arial"/>
          <w:szCs w:val="22"/>
        </w:rPr>
        <w:tab/>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Pr="00442EE2">
        <w:rPr>
          <w:rFonts w:ascii="Arial" w:hAnsi="Arial" w:cs="Arial"/>
          <w:szCs w:val="22"/>
        </w:rPr>
        <w:t>Tipo de proceso</w:t>
      </w:r>
      <w:r w:rsidRPr="00442EE2">
        <w:rPr>
          <w:rFonts w:ascii="Arial" w:hAnsi="Arial" w:cs="Arial"/>
          <w:szCs w:val="22"/>
        </w:rPr>
        <w:tab/>
      </w:r>
      <w:r w:rsidRPr="00442EE2">
        <w:rPr>
          <w:rFonts w:ascii="Arial" w:hAnsi="Arial" w:cs="Arial"/>
          <w:szCs w:val="22"/>
        </w:rPr>
        <w:tab/>
        <w:t xml:space="preserve">: </w:t>
      </w:r>
      <w:r w:rsidR="003200B4">
        <w:rPr>
          <w:rFonts w:ascii="Arial" w:hAnsi="Arial"/>
          <w:szCs w:val="22"/>
        </w:rPr>
        <w:t>Ejecutivo por obligación de hacer</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00625C34">
        <w:rPr>
          <w:rFonts w:ascii="Arial" w:hAnsi="Arial" w:cs="Arial"/>
          <w:szCs w:val="22"/>
        </w:rPr>
        <w:t>Ejecutan</w:t>
      </w:r>
      <w:r w:rsidR="00DA56B3">
        <w:rPr>
          <w:rFonts w:ascii="Arial" w:hAnsi="Arial" w:cs="Arial"/>
          <w:szCs w:val="22"/>
        </w:rPr>
        <w:t xml:space="preserve">te </w:t>
      </w:r>
      <w:r w:rsidR="00625C34">
        <w:rPr>
          <w:rFonts w:ascii="Arial" w:hAnsi="Arial" w:cs="Arial"/>
          <w:szCs w:val="22"/>
        </w:rPr>
        <w:tab/>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sidR="003200B4">
        <w:rPr>
          <w:rFonts w:ascii="Arial" w:hAnsi="Arial" w:cs="Arial"/>
          <w:szCs w:val="22"/>
        </w:rPr>
        <w:t>Luis Albeiro Cardona Ocampo</w:t>
      </w:r>
    </w:p>
    <w:p w:rsidR="00D811AA" w:rsidRPr="00DA5514" w:rsidRDefault="00625C34" w:rsidP="00FE5476">
      <w:pPr>
        <w:spacing w:line="360" w:lineRule="auto"/>
        <w:ind w:left="708" w:firstLine="708"/>
        <w:rPr>
          <w:rFonts w:ascii="Arial" w:hAnsi="Arial" w:cs="Arial"/>
          <w:sz w:val="18"/>
          <w:szCs w:val="18"/>
        </w:rPr>
      </w:pPr>
      <w:r>
        <w:rPr>
          <w:rFonts w:ascii="Arial" w:hAnsi="Arial" w:cs="Arial"/>
          <w:sz w:val="22"/>
          <w:szCs w:val="22"/>
        </w:rPr>
        <w:t>Ejecutado</w:t>
      </w:r>
      <w:r w:rsidR="00D811AA">
        <w:rPr>
          <w:rFonts w:ascii="Arial" w:hAnsi="Arial" w:cs="Arial"/>
          <w:sz w:val="22"/>
          <w:szCs w:val="22"/>
        </w:rPr>
        <w:tab/>
      </w:r>
      <w:r>
        <w:rPr>
          <w:rFonts w:ascii="Arial" w:hAnsi="Arial" w:cs="Arial"/>
          <w:sz w:val="22"/>
          <w:szCs w:val="22"/>
        </w:rPr>
        <w:tab/>
      </w:r>
      <w:r w:rsidR="00D811AA">
        <w:rPr>
          <w:rFonts w:ascii="Arial" w:hAnsi="Arial" w:cs="Arial"/>
          <w:sz w:val="22"/>
          <w:szCs w:val="22"/>
        </w:rPr>
        <w:tab/>
      </w:r>
      <w:r w:rsidR="00D811AA" w:rsidRPr="00C303BC">
        <w:rPr>
          <w:rFonts w:ascii="Arial" w:hAnsi="Arial" w:cs="Arial"/>
          <w:sz w:val="22"/>
          <w:szCs w:val="22"/>
        </w:rPr>
        <w:t xml:space="preserve">: </w:t>
      </w:r>
      <w:r w:rsidR="003200B4">
        <w:rPr>
          <w:rFonts w:ascii="Arial" w:hAnsi="Arial" w:cs="Arial"/>
          <w:sz w:val="22"/>
          <w:szCs w:val="22"/>
        </w:rPr>
        <w:t>Alfonso Parra Orozco</w:t>
      </w:r>
    </w:p>
    <w:p w:rsidR="00D811AA" w:rsidRDefault="00D811AA" w:rsidP="00FE5476">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Juzgado </w:t>
      </w:r>
      <w:r w:rsidR="003200B4">
        <w:rPr>
          <w:rFonts w:ascii="Arial" w:hAnsi="Arial" w:cs="Arial"/>
          <w:sz w:val="22"/>
          <w:szCs w:val="22"/>
        </w:rPr>
        <w:t>Tercero</w:t>
      </w:r>
      <w:r w:rsidR="00625C34">
        <w:rPr>
          <w:rFonts w:ascii="Arial" w:hAnsi="Arial" w:cs="Arial"/>
          <w:sz w:val="22"/>
          <w:szCs w:val="22"/>
        </w:rPr>
        <w:t xml:space="preserve"> </w:t>
      </w:r>
      <w:r>
        <w:rPr>
          <w:rFonts w:ascii="Arial" w:hAnsi="Arial" w:cs="Arial"/>
          <w:sz w:val="22"/>
          <w:szCs w:val="22"/>
        </w:rPr>
        <w:t>Civil del Circuito de Pereira</w:t>
      </w:r>
    </w:p>
    <w:p w:rsidR="00D811AA" w:rsidRPr="006D1BF2" w:rsidRDefault="00D811AA" w:rsidP="00FE5476">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sidR="00B82EA3">
        <w:rPr>
          <w:rFonts w:ascii="Arial" w:hAnsi="Arial" w:cs="Arial"/>
          <w:sz w:val="22"/>
          <w:szCs w:val="22"/>
        </w:rPr>
        <w:t>201</w:t>
      </w:r>
      <w:r w:rsidR="00DA56B3">
        <w:rPr>
          <w:rFonts w:ascii="Arial" w:hAnsi="Arial" w:cs="Arial"/>
          <w:sz w:val="22"/>
          <w:szCs w:val="22"/>
        </w:rPr>
        <w:t>6</w:t>
      </w:r>
      <w:r>
        <w:rPr>
          <w:rFonts w:ascii="Arial" w:hAnsi="Arial" w:cs="Arial"/>
          <w:sz w:val="22"/>
          <w:szCs w:val="22"/>
        </w:rPr>
        <w:t>-00</w:t>
      </w:r>
      <w:r w:rsidR="003200B4">
        <w:rPr>
          <w:rFonts w:ascii="Arial" w:hAnsi="Arial" w:cs="Arial"/>
          <w:sz w:val="22"/>
          <w:szCs w:val="22"/>
        </w:rPr>
        <w:t>172-</w:t>
      </w:r>
      <w:r>
        <w:rPr>
          <w:rFonts w:ascii="Arial" w:hAnsi="Arial" w:cs="Arial"/>
          <w:sz w:val="22"/>
          <w:szCs w:val="22"/>
        </w:rPr>
        <w:t>01</w:t>
      </w:r>
      <w:r w:rsidRPr="006D1BF2">
        <w:rPr>
          <w:rFonts w:ascii="Arial" w:hAnsi="Arial" w:cs="Arial"/>
          <w:sz w:val="22"/>
          <w:szCs w:val="22"/>
        </w:rPr>
        <w:t xml:space="preserve"> </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ab/>
        <w:t xml:space="preserve">: </w:t>
      </w:r>
      <w:r w:rsidR="00ED34AF">
        <w:rPr>
          <w:rFonts w:ascii="Arial" w:hAnsi="Arial" w:cs="Arial"/>
          <w:sz w:val="22"/>
          <w:szCs w:val="22"/>
        </w:rPr>
        <w:t xml:space="preserve">Titulo ejecutivo- </w:t>
      </w:r>
      <w:r w:rsidR="00F6544D">
        <w:rPr>
          <w:rFonts w:ascii="Arial" w:hAnsi="Arial" w:cs="Arial"/>
          <w:sz w:val="22"/>
          <w:szCs w:val="22"/>
        </w:rPr>
        <w:t>Requisitos</w:t>
      </w:r>
    </w:p>
    <w:p w:rsidR="00AC5058" w:rsidRPr="00FB107C" w:rsidRDefault="00F30001" w:rsidP="00FE5476">
      <w:pPr>
        <w:spacing w:line="360" w:lineRule="auto"/>
        <w:ind w:left="708" w:firstLine="708"/>
        <w:rPr>
          <w:rFonts w:ascii="Arial" w:hAnsi="Arial" w:cs="Arial"/>
          <w:sz w:val="22"/>
          <w:szCs w:val="22"/>
        </w:rPr>
      </w:pPr>
      <w:r>
        <w:rPr>
          <w:rFonts w:ascii="Arial" w:hAnsi="Arial" w:cs="Arial"/>
          <w:sz w:val="22"/>
          <w:szCs w:val="22"/>
        </w:rPr>
        <w:t>Mag.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r w:rsidR="00AC5058" w:rsidRPr="00FB107C">
        <w:rPr>
          <w:rFonts w:ascii="Arial" w:hAnsi="Arial" w:cs="Arial"/>
          <w:smallCaps/>
          <w:sz w:val="22"/>
          <w:szCs w:val="22"/>
        </w:rPr>
        <w:t>Duberney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416E4A">
        <w:rPr>
          <w:b w:val="0"/>
          <w:bCs w:val="0"/>
          <w:i w:val="0"/>
          <w:smallCaps/>
          <w:spacing w:val="-3"/>
          <w:sz w:val="28"/>
        </w:rPr>
        <w:t>doce</w:t>
      </w:r>
      <w:r w:rsidR="00280630">
        <w:rPr>
          <w:b w:val="0"/>
          <w:bCs w:val="0"/>
          <w:i w:val="0"/>
          <w:smallCaps/>
          <w:spacing w:val="-3"/>
          <w:sz w:val="28"/>
        </w:rPr>
        <w:t xml:space="preserve"> </w:t>
      </w:r>
      <w:r w:rsidR="005C5B79" w:rsidRPr="008C7D37">
        <w:rPr>
          <w:b w:val="0"/>
          <w:bCs w:val="0"/>
          <w:i w:val="0"/>
          <w:smallCaps/>
          <w:spacing w:val="-3"/>
          <w:sz w:val="28"/>
        </w:rPr>
        <w:t>(</w:t>
      </w:r>
      <w:r w:rsidR="00416E4A">
        <w:rPr>
          <w:b w:val="0"/>
          <w:bCs w:val="0"/>
          <w:i w:val="0"/>
          <w:smallCaps/>
          <w:spacing w:val="-3"/>
          <w:sz w:val="28"/>
        </w:rPr>
        <w:t>12</w:t>
      </w:r>
      <w:r w:rsidR="005C5B79" w:rsidRPr="008C7D37">
        <w:rPr>
          <w:b w:val="0"/>
          <w:bCs w:val="0"/>
          <w:i w:val="0"/>
          <w:smallCaps/>
          <w:spacing w:val="-3"/>
          <w:sz w:val="28"/>
        </w:rPr>
        <w:t>)</w:t>
      </w:r>
      <w:r w:rsidR="00AC5058" w:rsidRPr="008C7D37">
        <w:rPr>
          <w:b w:val="0"/>
          <w:bCs w:val="0"/>
          <w:i w:val="0"/>
          <w:smallCaps/>
          <w:spacing w:val="-3"/>
          <w:sz w:val="28"/>
        </w:rPr>
        <w:t xml:space="preserve"> de </w:t>
      </w:r>
      <w:r w:rsidR="003200B4">
        <w:rPr>
          <w:b w:val="0"/>
          <w:bCs w:val="0"/>
          <w:i w:val="0"/>
          <w:smallCaps/>
          <w:spacing w:val="-3"/>
          <w:sz w:val="28"/>
        </w:rPr>
        <w:t>septiembre</w:t>
      </w:r>
      <w:r w:rsidR="00DA56B3">
        <w:rPr>
          <w:b w:val="0"/>
          <w:bCs w:val="0"/>
          <w:i w:val="0"/>
          <w:smallCaps/>
          <w:spacing w:val="-3"/>
          <w:sz w:val="28"/>
        </w:rPr>
        <w:t xml:space="preserve"> </w:t>
      </w:r>
      <w:r w:rsidR="00AC5058" w:rsidRPr="008C7D37">
        <w:rPr>
          <w:b w:val="0"/>
          <w:bCs w:val="0"/>
          <w:i w:val="0"/>
          <w:smallCaps/>
          <w:spacing w:val="-3"/>
          <w:sz w:val="28"/>
        </w:rPr>
        <w:t xml:space="preserve">de dos mil </w:t>
      </w:r>
      <w:r w:rsidR="00DA56B3">
        <w:rPr>
          <w:b w:val="0"/>
          <w:bCs w:val="0"/>
          <w:i w:val="0"/>
          <w:smallCaps/>
          <w:spacing w:val="-3"/>
          <w:sz w:val="28"/>
        </w:rPr>
        <w:t>dieciséis (2016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 xml:space="preserve">La </w:t>
      </w:r>
      <w:r w:rsidR="003200B4">
        <w:rPr>
          <w:rFonts w:ascii="Arial" w:hAnsi="Arial" w:cs="Arial"/>
          <w:sz w:val="24"/>
        </w:rPr>
        <w:t xml:space="preserve">impugnación </w:t>
      </w:r>
      <w:r>
        <w:rPr>
          <w:rFonts w:ascii="Arial" w:hAnsi="Arial" w:cs="Arial"/>
          <w:sz w:val="24"/>
        </w:rPr>
        <w:t>que presentó, en el proceso referenciado ya, el apoderado judicial de</w:t>
      </w:r>
      <w:r w:rsidR="004E704C" w:rsidRPr="00FB107C">
        <w:rPr>
          <w:rFonts w:ascii="Arial" w:hAnsi="Arial" w:cs="Arial"/>
          <w:sz w:val="24"/>
        </w:rPr>
        <w:t xml:space="preserve">l </w:t>
      </w:r>
      <w:r w:rsidR="00DA56B3">
        <w:rPr>
          <w:rFonts w:ascii="Arial" w:hAnsi="Arial" w:cs="Arial"/>
          <w:sz w:val="24"/>
        </w:rPr>
        <w:t>actor</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sidR="00625C34">
        <w:rPr>
          <w:rFonts w:ascii="Arial" w:hAnsi="Arial" w:cs="Arial"/>
          <w:sz w:val="24"/>
        </w:rPr>
        <w:t xml:space="preserve">denegó el mandamiento </w:t>
      </w:r>
      <w:r w:rsidR="003200B4">
        <w:rPr>
          <w:rFonts w:ascii="Arial" w:hAnsi="Arial" w:cs="Arial"/>
          <w:sz w:val="24"/>
        </w:rPr>
        <w:t>ejecutivo pedido</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w:t>
      </w:r>
      <w:r w:rsidR="00625C34">
        <w:rPr>
          <w:rFonts w:ascii="Arial" w:hAnsi="Arial" w:cs="Arial"/>
          <w:sz w:val="24"/>
        </w:rPr>
        <w:t>xpondrán</w:t>
      </w:r>
      <w:r w:rsidR="007751D3">
        <w:rPr>
          <w:rFonts w:ascii="Arial" w:hAnsi="Arial" w:cs="Arial"/>
          <w:sz w:val="24"/>
        </w:rPr>
        <w:t>.</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Default="00356104" w:rsidP="00356104">
      <w:pPr>
        <w:pStyle w:val="Sinespaciado"/>
        <w:spacing w:line="360" w:lineRule="auto"/>
        <w:jc w:val="both"/>
        <w:rPr>
          <w:rFonts w:ascii="Arial" w:hAnsi="Arial" w:cs="Arial"/>
          <w:sz w:val="24"/>
        </w:rPr>
      </w:pPr>
    </w:p>
    <w:p w:rsidR="00625C34" w:rsidRDefault="003200B4" w:rsidP="00625C34">
      <w:pPr>
        <w:spacing w:line="360" w:lineRule="auto"/>
        <w:jc w:val="both"/>
        <w:rPr>
          <w:rFonts w:ascii="Arial" w:hAnsi="Arial" w:cs="Arial"/>
          <w:szCs w:val="22"/>
        </w:rPr>
      </w:pPr>
      <w:r>
        <w:rPr>
          <w:rFonts w:ascii="Arial" w:hAnsi="Arial" w:cs="Arial"/>
          <w:szCs w:val="22"/>
        </w:rPr>
        <w:t>Fechad</w:t>
      </w:r>
      <w:r w:rsidR="00625C34">
        <w:rPr>
          <w:rFonts w:ascii="Arial" w:hAnsi="Arial" w:cs="Arial"/>
          <w:szCs w:val="22"/>
        </w:rPr>
        <w:t xml:space="preserve">a del día </w:t>
      </w:r>
      <w:r>
        <w:rPr>
          <w:rFonts w:ascii="Arial" w:hAnsi="Arial" w:cs="Arial"/>
          <w:szCs w:val="22"/>
        </w:rPr>
        <w:t>18-04</w:t>
      </w:r>
      <w:r w:rsidR="00625C34">
        <w:rPr>
          <w:rFonts w:ascii="Arial" w:hAnsi="Arial" w:cs="Arial"/>
          <w:szCs w:val="22"/>
        </w:rPr>
        <w:t>-2016</w:t>
      </w:r>
      <w:r w:rsidR="000B196D">
        <w:rPr>
          <w:rFonts w:ascii="Arial" w:hAnsi="Arial" w:cs="Arial"/>
          <w:szCs w:val="22"/>
        </w:rPr>
        <w:t>,</w:t>
      </w:r>
      <w:r w:rsidR="00625C34">
        <w:rPr>
          <w:rFonts w:ascii="Arial" w:hAnsi="Arial" w:cs="Arial"/>
          <w:szCs w:val="22"/>
        </w:rPr>
        <w:t xml:space="preserve"> </w:t>
      </w:r>
      <w:r w:rsidR="00F0259C">
        <w:rPr>
          <w:rFonts w:ascii="Arial" w:hAnsi="Arial" w:cs="Arial"/>
          <w:szCs w:val="22"/>
        </w:rPr>
        <w:t>denegó l</w:t>
      </w:r>
      <w:r w:rsidR="00F6544D">
        <w:rPr>
          <w:rFonts w:ascii="Arial" w:hAnsi="Arial" w:cs="Arial"/>
          <w:szCs w:val="22"/>
        </w:rPr>
        <w:t>a</w:t>
      </w:r>
      <w:r w:rsidR="00F0259C">
        <w:rPr>
          <w:rFonts w:ascii="Arial" w:hAnsi="Arial" w:cs="Arial"/>
          <w:szCs w:val="22"/>
        </w:rPr>
        <w:t xml:space="preserve"> </w:t>
      </w:r>
      <w:r w:rsidR="00F6544D">
        <w:rPr>
          <w:rFonts w:ascii="Arial" w:hAnsi="Arial" w:cs="Arial"/>
          <w:szCs w:val="22"/>
        </w:rPr>
        <w:t xml:space="preserve">orden </w:t>
      </w:r>
      <w:r>
        <w:rPr>
          <w:rFonts w:ascii="Arial" w:hAnsi="Arial" w:cs="Arial"/>
          <w:szCs w:val="22"/>
        </w:rPr>
        <w:t>ejecutiva</w:t>
      </w:r>
      <w:r w:rsidR="00F6544D">
        <w:rPr>
          <w:rFonts w:ascii="Arial" w:hAnsi="Arial" w:cs="Arial"/>
          <w:szCs w:val="22"/>
        </w:rPr>
        <w:t xml:space="preserve"> </w:t>
      </w:r>
      <w:r w:rsidR="00F0259C">
        <w:rPr>
          <w:rFonts w:ascii="Arial" w:hAnsi="Arial" w:cs="Arial"/>
          <w:szCs w:val="22"/>
        </w:rPr>
        <w:t xml:space="preserve">porque estimó que </w:t>
      </w:r>
      <w:r w:rsidR="00451010">
        <w:rPr>
          <w:rFonts w:ascii="Arial" w:hAnsi="Arial" w:cs="Arial"/>
          <w:szCs w:val="22"/>
        </w:rPr>
        <w:t xml:space="preserve">del documento acercado como título, escritura pública No.6411 de 30-12-2013 </w:t>
      </w:r>
      <w:r w:rsidR="00CC68DE">
        <w:rPr>
          <w:rFonts w:ascii="Arial" w:hAnsi="Arial" w:cs="Arial"/>
          <w:szCs w:val="22"/>
        </w:rPr>
        <w:t>de</w:t>
      </w:r>
      <w:r w:rsidR="00451010">
        <w:rPr>
          <w:rFonts w:ascii="Arial" w:hAnsi="Arial" w:cs="Arial"/>
          <w:szCs w:val="22"/>
        </w:rPr>
        <w:t xml:space="preserve"> la Notar</w:t>
      </w:r>
      <w:r w:rsidR="005674EB">
        <w:rPr>
          <w:rFonts w:ascii="Arial" w:hAnsi="Arial" w:cs="Arial"/>
          <w:szCs w:val="22"/>
        </w:rPr>
        <w:t>í</w:t>
      </w:r>
      <w:r w:rsidR="00451010">
        <w:rPr>
          <w:rFonts w:ascii="Arial" w:hAnsi="Arial" w:cs="Arial"/>
          <w:szCs w:val="22"/>
        </w:rPr>
        <w:t xml:space="preserve">a Cuarta de esta ciudad, en forma alguna se extrae la obligación clara, expresa y exigible de suscribir un nuevo </w:t>
      </w:r>
      <w:r w:rsidR="00CC68DE">
        <w:rPr>
          <w:rFonts w:ascii="Arial" w:hAnsi="Arial" w:cs="Arial"/>
          <w:szCs w:val="22"/>
        </w:rPr>
        <w:t>instrumento</w:t>
      </w:r>
      <w:r w:rsidR="00451010">
        <w:rPr>
          <w:rFonts w:ascii="Arial" w:hAnsi="Arial" w:cs="Arial"/>
          <w:szCs w:val="22"/>
        </w:rPr>
        <w:t xml:space="preserve"> público</w:t>
      </w:r>
      <w:r w:rsidR="00625C34">
        <w:rPr>
          <w:rFonts w:ascii="Arial" w:hAnsi="Arial" w:cs="Arial"/>
          <w:szCs w:val="22"/>
        </w:rPr>
        <w:t xml:space="preserve"> (Folio</w:t>
      </w:r>
      <w:r w:rsidR="00451010">
        <w:rPr>
          <w:rFonts w:ascii="Arial" w:hAnsi="Arial" w:cs="Arial"/>
          <w:szCs w:val="22"/>
        </w:rPr>
        <w:t>s</w:t>
      </w:r>
      <w:r w:rsidR="00913F79">
        <w:rPr>
          <w:rFonts w:ascii="Arial" w:hAnsi="Arial" w:cs="Arial"/>
          <w:szCs w:val="22"/>
        </w:rPr>
        <w:t xml:space="preserve"> </w:t>
      </w:r>
      <w:r w:rsidR="00451010">
        <w:rPr>
          <w:rFonts w:ascii="Arial" w:hAnsi="Arial" w:cs="Arial"/>
          <w:szCs w:val="22"/>
        </w:rPr>
        <w:t>46 a 49</w:t>
      </w:r>
      <w:r w:rsidR="00625C34">
        <w:rPr>
          <w:rFonts w:ascii="Arial" w:hAnsi="Arial" w:cs="Arial"/>
          <w:szCs w:val="22"/>
        </w:rPr>
        <w:t>, cuaderno No.</w:t>
      </w:r>
      <w:r w:rsidR="00913F79">
        <w:rPr>
          <w:rFonts w:ascii="Arial" w:hAnsi="Arial" w:cs="Arial"/>
          <w:szCs w:val="22"/>
        </w:rPr>
        <w:t>1</w:t>
      </w:r>
      <w:r w:rsidR="00625C34">
        <w:rPr>
          <w:rFonts w:ascii="Arial" w:hAnsi="Arial" w:cs="Arial"/>
          <w:szCs w:val="22"/>
        </w:rPr>
        <w:t>).</w:t>
      </w:r>
    </w:p>
    <w:p w:rsidR="00625C34" w:rsidRPr="00336027" w:rsidRDefault="00625C34" w:rsidP="00356104">
      <w:pPr>
        <w:pStyle w:val="Sinespaciado"/>
        <w:spacing w:line="360" w:lineRule="auto"/>
        <w:jc w:val="both"/>
        <w:rPr>
          <w:rFonts w:ascii="Arial" w:hAnsi="Arial" w:cs="Arial"/>
          <w:sz w:val="24"/>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EF584D" w:rsidRDefault="00EF584D" w:rsidP="00356104">
      <w:pPr>
        <w:pStyle w:val="Sinespaciado"/>
        <w:spacing w:line="360" w:lineRule="auto"/>
        <w:jc w:val="both"/>
        <w:rPr>
          <w:rFonts w:ascii="Arial" w:hAnsi="Arial" w:cs="Arial"/>
          <w:sz w:val="24"/>
        </w:rPr>
      </w:pPr>
    </w:p>
    <w:p w:rsidR="004C50B5" w:rsidRDefault="004C50B5" w:rsidP="00356104">
      <w:pPr>
        <w:pStyle w:val="Sinespaciado"/>
        <w:spacing w:line="360" w:lineRule="auto"/>
        <w:jc w:val="both"/>
        <w:rPr>
          <w:rFonts w:ascii="Arial" w:hAnsi="Arial" w:cs="Arial"/>
          <w:sz w:val="24"/>
        </w:rPr>
      </w:pPr>
      <w:r>
        <w:rPr>
          <w:rFonts w:ascii="Arial" w:hAnsi="Arial" w:cs="Arial"/>
          <w:sz w:val="24"/>
        </w:rPr>
        <w:t>P</w:t>
      </w:r>
      <w:r w:rsidR="009B0A4D">
        <w:rPr>
          <w:rFonts w:ascii="Arial" w:hAnsi="Arial" w:cs="Arial"/>
          <w:sz w:val="24"/>
        </w:rPr>
        <w:t>ide la revocatoria de la providencia cuestionada</w:t>
      </w:r>
      <w:r w:rsidR="00271E83">
        <w:rPr>
          <w:rFonts w:ascii="Arial" w:hAnsi="Arial" w:cs="Arial"/>
          <w:sz w:val="24"/>
        </w:rPr>
        <w:t>,</w:t>
      </w:r>
      <w:r w:rsidR="009B0A4D">
        <w:rPr>
          <w:rFonts w:ascii="Arial" w:hAnsi="Arial" w:cs="Arial"/>
          <w:sz w:val="24"/>
        </w:rPr>
        <w:t xml:space="preserve"> para que en su lugar se </w:t>
      </w:r>
      <w:r w:rsidR="00830B0A">
        <w:rPr>
          <w:rFonts w:ascii="Arial" w:hAnsi="Arial" w:cs="Arial"/>
          <w:sz w:val="24"/>
        </w:rPr>
        <w:t xml:space="preserve">libre </w:t>
      </w:r>
      <w:r w:rsidR="00F6544D">
        <w:rPr>
          <w:rFonts w:ascii="Arial" w:hAnsi="Arial" w:cs="Arial"/>
          <w:sz w:val="24"/>
        </w:rPr>
        <w:t xml:space="preserve">la orden de apremio </w:t>
      </w:r>
      <w:r w:rsidR="00280630">
        <w:rPr>
          <w:rFonts w:ascii="Arial" w:hAnsi="Arial" w:cs="Arial"/>
          <w:sz w:val="24"/>
        </w:rPr>
        <w:t>solicitada</w:t>
      </w:r>
      <w:r w:rsidR="00EE405B">
        <w:rPr>
          <w:rFonts w:ascii="Arial" w:hAnsi="Arial" w:cs="Arial"/>
          <w:sz w:val="24"/>
        </w:rPr>
        <w:t xml:space="preserve"> al igual que las medidas cautelares</w:t>
      </w:r>
      <w:r>
        <w:rPr>
          <w:rFonts w:ascii="Arial" w:hAnsi="Arial" w:cs="Arial"/>
          <w:sz w:val="24"/>
        </w:rPr>
        <w:t xml:space="preserve">. </w:t>
      </w:r>
    </w:p>
    <w:p w:rsidR="004C50B5" w:rsidRDefault="004C50B5" w:rsidP="00356104">
      <w:pPr>
        <w:pStyle w:val="Sinespaciado"/>
        <w:spacing w:line="360" w:lineRule="auto"/>
        <w:jc w:val="both"/>
        <w:rPr>
          <w:rFonts w:ascii="Arial" w:hAnsi="Arial" w:cs="Arial"/>
          <w:sz w:val="24"/>
        </w:rPr>
      </w:pPr>
    </w:p>
    <w:p w:rsidR="0057281C" w:rsidRPr="0057281C" w:rsidRDefault="004C50B5" w:rsidP="00356104">
      <w:pPr>
        <w:pStyle w:val="Sinespaciado"/>
        <w:spacing w:line="360" w:lineRule="auto"/>
        <w:jc w:val="both"/>
        <w:rPr>
          <w:rFonts w:ascii="Arial" w:hAnsi="Arial" w:cs="Arial"/>
          <w:sz w:val="24"/>
          <w:szCs w:val="24"/>
        </w:rPr>
      </w:pPr>
      <w:r>
        <w:rPr>
          <w:rFonts w:ascii="Arial" w:hAnsi="Arial" w:cs="Arial"/>
          <w:sz w:val="24"/>
        </w:rPr>
        <w:t>Expone que por tratarse de la compraventa de un inmueble</w:t>
      </w:r>
      <w:r w:rsidR="00271E83">
        <w:rPr>
          <w:rFonts w:ascii="Arial" w:hAnsi="Arial" w:cs="Arial"/>
          <w:sz w:val="24"/>
        </w:rPr>
        <w:t xml:space="preserve">, </w:t>
      </w:r>
      <w:r w:rsidR="005674EB">
        <w:rPr>
          <w:rFonts w:ascii="Arial" w:hAnsi="Arial" w:cs="Arial"/>
          <w:sz w:val="24"/>
        </w:rPr>
        <w:t>en la que no medió</w:t>
      </w:r>
      <w:r>
        <w:rPr>
          <w:rFonts w:ascii="Arial" w:hAnsi="Arial" w:cs="Arial"/>
          <w:sz w:val="24"/>
        </w:rPr>
        <w:t xml:space="preserve"> promesa de compraventa, se deben considerar los actos jurídicos de título y modo, </w:t>
      </w:r>
      <w:r w:rsidR="00CC68DE">
        <w:rPr>
          <w:rFonts w:ascii="Arial" w:hAnsi="Arial" w:cs="Arial"/>
          <w:sz w:val="24"/>
        </w:rPr>
        <w:t xml:space="preserve">de los que </w:t>
      </w:r>
      <w:r w:rsidR="005543CF">
        <w:rPr>
          <w:rFonts w:ascii="Arial" w:hAnsi="Arial" w:cs="Arial"/>
          <w:sz w:val="24"/>
        </w:rPr>
        <w:t xml:space="preserve">se debe </w:t>
      </w:r>
      <w:r>
        <w:rPr>
          <w:rFonts w:ascii="Arial" w:hAnsi="Arial" w:cs="Arial"/>
          <w:sz w:val="24"/>
        </w:rPr>
        <w:t>ent</w:t>
      </w:r>
      <w:r w:rsidR="005543CF">
        <w:rPr>
          <w:rFonts w:ascii="Arial" w:hAnsi="Arial" w:cs="Arial"/>
          <w:sz w:val="24"/>
        </w:rPr>
        <w:t xml:space="preserve">ender </w:t>
      </w:r>
      <w:r>
        <w:rPr>
          <w:rFonts w:ascii="Arial" w:hAnsi="Arial" w:cs="Arial"/>
          <w:sz w:val="24"/>
        </w:rPr>
        <w:t>nace la obligación de transferir la propiedad</w:t>
      </w:r>
      <w:r w:rsidR="00CC68DE">
        <w:rPr>
          <w:rFonts w:ascii="Arial" w:hAnsi="Arial" w:cs="Arial"/>
          <w:sz w:val="24"/>
        </w:rPr>
        <w:t>,</w:t>
      </w:r>
      <w:r>
        <w:rPr>
          <w:rFonts w:ascii="Arial" w:hAnsi="Arial" w:cs="Arial"/>
          <w:sz w:val="24"/>
        </w:rPr>
        <w:t xml:space="preserve"> a través del instrumento público correspondiente y como en este caso la escritura otorgada fue devuelta, está obligado el vendedor a suscribir la aclaratoria a efectos de cumplir la obligación de transferencia</w:t>
      </w:r>
      <w:r w:rsidR="0057281C" w:rsidRPr="0057281C">
        <w:rPr>
          <w:rFonts w:ascii="Arial" w:hAnsi="Arial" w:cs="Arial"/>
          <w:sz w:val="24"/>
          <w:szCs w:val="24"/>
        </w:rPr>
        <w:t xml:space="preserve"> (Folios </w:t>
      </w:r>
      <w:r w:rsidR="005543CF">
        <w:rPr>
          <w:rFonts w:ascii="Arial" w:hAnsi="Arial" w:cs="Arial"/>
          <w:sz w:val="24"/>
          <w:szCs w:val="24"/>
        </w:rPr>
        <w:t>50 y 51</w:t>
      </w:r>
      <w:r w:rsidR="003B1865" w:rsidRPr="0057281C">
        <w:rPr>
          <w:rFonts w:ascii="Arial" w:hAnsi="Arial" w:cs="Arial"/>
          <w:sz w:val="24"/>
          <w:szCs w:val="24"/>
        </w:rPr>
        <w:t>, cuaderno No.1</w:t>
      </w:r>
      <w:r w:rsidR="0057281C" w:rsidRPr="0057281C">
        <w:rPr>
          <w:rFonts w:ascii="Arial" w:hAnsi="Arial" w:cs="Arial"/>
          <w:sz w:val="24"/>
          <w:szCs w:val="24"/>
        </w:rPr>
        <w:t>).</w:t>
      </w:r>
    </w:p>
    <w:p w:rsidR="006A7F66" w:rsidRPr="00336027" w:rsidRDefault="006A7F66" w:rsidP="00356104">
      <w:pPr>
        <w:pStyle w:val="Sinespaciado"/>
        <w:spacing w:line="360" w:lineRule="auto"/>
        <w:jc w:val="both"/>
        <w:rPr>
          <w:rFonts w:ascii="Arial" w:hAnsi="Arial" w:cs="Arial"/>
          <w:sz w:val="24"/>
        </w:rPr>
      </w:pPr>
    </w:p>
    <w:p w:rsidR="00A640EB" w:rsidRPr="00336027" w:rsidRDefault="00A640EB" w:rsidP="00A640EB">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A640EB" w:rsidRPr="006B11EE" w:rsidRDefault="00A640EB" w:rsidP="00A640EB">
      <w:pPr>
        <w:pStyle w:val="Sinespaciado"/>
        <w:spacing w:line="360" w:lineRule="auto"/>
        <w:jc w:val="both"/>
        <w:rPr>
          <w:rFonts w:ascii="Arial" w:hAnsi="Arial"/>
          <w:sz w:val="24"/>
          <w:szCs w:val="24"/>
        </w:rPr>
      </w:pPr>
    </w:p>
    <w:p w:rsidR="00A640EB" w:rsidRDefault="00A640EB" w:rsidP="00A640EB">
      <w:pPr>
        <w:pStyle w:val="Textopredeterminado"/>
        <w:numPr>
          <w:ilvl w:val="1"/>
          <w:numId w:val="4"/>
        </w:numPr>
        <w:spacing w:line="360" w:lineRule="auto"/>
        <w:jc w:val="both"/>
        <w:rPr>
          <w:rFonts w:ascii="Arial" w:hAnsi="Arial" w:cs="Arial"/>
        </w:rPr>
      </w:pPr>
      <w:r>
        <w:rPr>
          <w:rFonts w:ascii="Arial" w:hAnsi="Arial" w:cs="Arial"/>
        </w:rPr>
        <w:t>La competencia funcional</w:t>
      </w:r>
    </w:p>
    <w:p w:rsidR="00A640EB" w:rsidRDefault="00A640EB" w:rsidP="00A640EB">
      <w:pPr>
        <w:pStyle w:val="Textopredeterminado"/>
        <w:spacing w:line="360" w:lineRule="auto"/>
        <w:jc w:val="both"/>
        <w:rPr>
          <w:rFonts w:ascii="Arial" w:hAnsi="Arial" w:cs="Arial"/>
        </w:rPr>
      </w:pPr>
    </w:p>
    <w:p w:rsidR="00A640EB" w:rsidRDefault="00A640EB" w:rsidP="00A640EB">
      <w:pPr>
        <w:pStyle w:val="Textoindependien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r>
        <w:rPr>
          <w:rFonts w:ascii="Arial" w:hAnsi="Arial" w:cs="Arial"/>
          <w:sz w:val="24"/>
          <w:szCs w:val="22"/>
        </w:rPr>
        <w:t>litis, radica en esta Colegiatura por e</w:t>
      </w:r>
      <w:r w:rsidRPr="006315E3">
        <w:rPr>
          <w:rFonts w:ascii="Arial" w:hAnsi="Arial" w:cs="Arial"/>
          <w:sz w:val="24"/>
          <w:szCs w:val="22"/>
        </w:rPr>
        <w:t>l factor funcional</w:t>
      </w:r>
      <w:r>
        <w:rPr>
          <w:rFonts w:ascii="Arial" w:hAnsi="Arial" w:cs="Arial"/>
          <w:sz w:val="24"/>
          <w:szCs w:val="22"/>
        </w:rPr>
        <w:t xml:space="preserve"> (Artículo 35, CGP)</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sidR="005543CF">
        <w:rPr>
          <w:rFonts w:ascii="Arial" w:hAnsi="Arial" w:cs="Arial"/>
          <w:sz w:val="24"/>
          <w:szCs w:val="22"/>
          <w:lang w:val="es-MX"/>
        </w:rPr>
        <w:t xml:space="preserve">Tercero </w:t>
      </w:r>
      <w:r>
        <w:rPr>
          <w:rFonts w:ascii="Arial" w:hAnsi="Arial" w:cs="Arial"/>
          <w:sz w:val="24"/>
          <w:szCs w:val="22"/>
          <w:lang w:val="es-MX"/>
        </w:rPr>
        <w:t>Civil del Circuito de esta localidad</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A640EB" w:rsidRDefault="00A640EB" w:rsidP="00A640EB">
      <w:pPr>
        <w:pStyle w:val="Textopredeterminado"/>
        <w:spacing w:line="360" w:lineRule="auto"/>
        <w:jc w:val="both"/>
        <w:textAlignment w:val="auto"/>
        <w:rPr>
          <w:rFonts w:ascii="Arial" w:hAnsi="Arial" w:cs="Arial"/>
          <w:color w:val="auto"/>
          <w:lang w:val="es-ES"/>
        </w:rPr>
      </w:pPr>
    </w:p>
    <w:p w:rsidR="00A640EB" w:rsidRPr="007764C5" w:rsidRDefault="00A640EB" w:rsidP="00A640EB">
      <w:pPr>
        <w:pStyle w:val="Textopredeterminado"/>
        <w:numPr>
          <w:ilvl w:val="1"/>
          <w:numId w:val="4"/>
        </w:numPr>
        <w:spacing w:line="360" w:lineRule="auto"/>
        <w:jc w:val="both"/>
        <w:rPr>
          <w:rFonts w:ascii="Arial" w:hAnsi="Arial" w:cs="Arial"/>
        </w:rPr>
      </w:pPr>
      <w:r w:rsidRPr="00336027">
        <w:rPr>
          <w:rFonts w:ascii="Arial" w:hAnsi="Arial" w:cs="Arial"/>
        </w:rPr>
        <w:t>Los presupuestos de viabilidad</w:t>
      </w:r>
    </w:p>
    <w:p w:rsidR="00A640EB" w:rsidRDefault="00A640EB" w:rsidP="00A640EB">
      <w:pPr>
        <w:pStyle w:val="Sinespaciado"/>
        <w:spacing w:line="360" w:lineRule="auto"/>
        <w:jc w:val="both"/>
        <w:rPr>
          <w:rFonts w:ascii="Arial" w:hAnsi="Arial" w:cs="Arial"/>
          <w:sz w:val="24"/>
        </w:rPr>
      </w:pPr>
    </w:p>
    <w:p w:rsidR="00A640EB" w:rsidRDefault="00A640EB" w:rsidP="00A640EB">
      <w:pPr>
        <w:spacing w:line="360" w:lineRule="auto"/>
        <w:jc w:val="both"/>
        <w:rPr>
          <w:rFonts w:ascii="Arial" w:hAnsi="Arial" w:cs="Arial"/>
          <w:i/>
          <w:szCs w:val="22"/>
        </w:rPr>
      </w:pPr>
      <w:r w:rsidRPr="00D474D9">
        <w:rPr>
          <w:rFonts w:ascii="Arial" w:hAnsi="Arial"/>
        </w:rPr>
        <w:t>De entrada se precisa advertir que en materia de impugnaciones, si bien la regulación en el CGP modificó algunos tópicos, lo atinente a los supuestos de viabilidad del recurso y específicamente para los autos, no tuvo un cambio sustancial respecto de lo estatuido para este aspecto en el CPC, de tal suerte que la jurisprudencia y la doctrina que se han encargado de estudiar el tema con arreglo al CPC</w:t>
      </w:r>
      <w:r w:rsidRPr="00D474D9">
        <w:rPr>
          <w:rFonts w:ascii="Arial" w:hAnsi="Arial" w:cs="Arial"/>
          <w:szCs w:val="22"/>
        </w:rPr>
        <w:t>, son aplicables para el nuevo estatuto y en lo tocante a la revisión de la alzada.</w:t>
      </w:r>
    </w:p>
    <w:p w:rsidR="00A640EB" w:rsidRDefault="00A640EB" w:rsidP="00A640EB">
      <w:pPr>
        <w:pStyle w:val="Sinespaciado"/>
        <w:spacing w:line="360" w:lineRule="auto"/>
        <w:jc w:val="both"/>
        <w:rPr>
          <w:rFonts w:ascii="Arial" w:hAnsi="Arial" w:cs="Arial"/>
          <w:sz w:val="24"/>
        </w:rPr>
      </w:pPr>
    </w:p>
    <w:p w:rsidR="005543CF" w:rsidRDefault="004D3892" w:rsidP="005543CF">
      <w:pPr>
        <w:pStyle w:val="Sinespaciado"/>
        <w:spacing w:line="360" w:lineRule="auto"/>
        <w:jc w:val="both"/>
        <w:rPr>
          <w:rFonts w:ascii="Arial" w:hAnsi="Arial" w:cs="Arial"/>
        </w:rPr>
      </w:pPr>
      <w:r>
        <w:rPr>
          <w:rFonts w:ascii="Arial" w:hAnsi="Arial" w:cs="Arial"/>
          <w:sz w:val="24"/>
        </w:rPr>
        <w:lastRenderedPageBreak/>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r w:rsidR="005543CF" w:rsidRPr="005543CF">
        <w:rPr>
          <w:rFonts w:ascii="Arial" w:hAnsi="Arial" w:cs="Arial"/>
          <w:sz w:val="24"/>
        </w:rPr>
        <w:t>Y lo explica el profesor Rojas Gómez</w:t>
      </w:r>
      <w:r w:rsidR="005543CF" w:rsidRPr="00B27CC5">
        <w:rPr>
          <w:rStyle w:val="Refdenotaalpie"/>
          <w:rFonts w:ascii="Arial" w:hAnsi="Arial" w:cs="Arial"/>
        </w:rPr>
        <w:footnoteReference w:id="4"/>
      </w:r>
      <w:r w:rsidR="005543CF" w:rsidRPr="00B27CC5">
        <w:rPr>
          <w:rFonts w:ascii="Arial" w:hAnsi="Arial" w:cs="Arial"/>
        </w:rPr>
        <w:t xml:space="preserve"> </w:t>
      </w:r>
      <w:r w:rsidR="005543CF" w:rsidRPr="005543CF">
        <w:rPr>
          <w:rFonts w:ascii="Arial" w:hAnsi="Arial" w:cs="Arial"/>
          <w:sz w:val="24"/>
        </w:rPr>
        <w:t>en su obra:</w:t>
      </w:r>
      <w:r w:rsidR="005543CF" w:rsidRPr="00B27CC5">
        <w:rPr>
          <w:rFonts w:ascii="Arial" w:hAnsi="Arial" w:cs="Arial"/>
        </w:rPr>
        <w:t xml:space="preserve"> “</w:t>
      </w:r>
      <w:r w:rsidR="005543CF" w:rsidRPr="008569C4">
        <w:rPr>
          <w:rFonts w:ascii="Arial" w:hAnsi="Arial" w:cs="Arial"/>
          <w:i/>
        </w:rPr>
        <w:t>(…) para que la impugnación pueda ser tramitada hasta establecer si debe prosperar han de cumplirse unos precisos requisitos.  En ausencia de ellos no debe dársele curso a</w:t>
      </w:r>
      <w:r w:rsidR="005543CF">
        <w:rPr>
          <w:rFonts w:ascii="Arial" w:hAnsi="Arial" w:cs="Arial"/>
          <w:i/>
        </w:rPr>
        <w:t xml:space="preserve"> </w:t>
      </w:r>
      <w:r w:rsidR="005543CF" w:rsidRPr="008569C4">
        <w:rPr>
          <w:rFonts w:ascii="Arial" w:hAnsi="Arial" w:cs="Arial"/>
          <w:i/>
        </w:rPr>
        <w:t>l</w:t>
      </w:r>
      <w:r w:rsidR="005543CF">
        <w:rPr>
          <w:rFonts w:ascii="Arial" w:hAnsi="Arial" w:cs="Arial"/>
          <w:i/>
        </w:rPr>
        <w:t>a</w:t>
      </w:r>
      <w:r w:rsidR="005543CF" w:rsidRPr="008569C4">
        <w:rPr>
          <w:rFonts w:ascii="Arial" w:hAnsi="Arial" w:cs="Arial"/>
          <w:i/>
        </w:rPr>
        <w:t xml:space="preserve"> impugnación, o el trámite queda trunco, si ya se inició.</w:t>
      </w:r>
      <w:r w:rsidR="005543CF">
        <w:rPr>
          <w:rFonts w:ascii="Arial" w:hAnsi="Arial" w:cs="Arial"/>
        </w:rPr>
        <w:t>”.</w:t>
      </w:r>
    </w:p>
    <w:p w:rsidR="005543CF" w:rsidRPr="00336027" w:rsidRDefault="005543CF" w:rsidP="004D3892">
      <w:pPr>
        <w:pStyle w:val="Sinespaciado"/>
        <w:spacing w:line="360" w:lineRule="auto"/>
        <w:jc w:val="both"/>
        <w:rPr>
          <w:rFonts w:ascii="Arial" w:hAnsi="Arial" w:cs="Arial"/>
          <w:sz w:val="24"/>
        </w:rPr>
      </w:pPr>
    </w:p>
    <w:p w:rsidR="004D3892" w:rsidRDefault="004D3892" w:rsidP="004D3892">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Pr>
          <w:rFonts w:ascii="Arial" w:hAnsi="Arial" w:cs="Arial"/>
          <w:sz w:val="24"/>
        </w:rPr>
        <w:t xml:space="preserve">.  </w:t>
      </w:r>
    </w:p>
    <w:p w:rsidR="00A640EB" w:rsidRPr="00123D1C" w:rsidRDefault="00A640EB" w:rsidP="00A640EB">
      <w:pPr>
        <w:pStyle w:val="Sinespaciado"/>
        <w:spacing w:line="360" w:lineRule="auto"/>
        <w:jc w:val="both"/>
        <w:rPr>
          <w:rFonts w:ascii="Arial" w:hAnsi="Arial" w:cs="Arial"/>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Pr="00123D1C" w:rsidRDefault="00BF3114" w:rsidP="00BF3114">
      <w:pPr>
        <w:pStyle w:val="Sinespaciado"/>
        <w:spacing w:line="360" w:lineRule="auto"/>
        <w:jc w:val="both"/>
        <w:rPr>
          <w:rFonts w:ascii="Arial" w:hAnsi="Arial" w:cs="Arial"/>
          <w:sz w:val="18"/>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Pr="006B11EE">
        <w:rPr>
          <w:rFonts w:ascii="Arial" w:hAnsi="Arial"/>
          <w:sz w:val="24"/>
          <w:szCs w:val="24"/>
        </w:rPr>
        <w:t>modificar</w:t>
      </w:r>
      <w:r w:rsidR="006A7F66">
        <w:rPr>
          <w:rFonts w:ascii="Arial" w:hAnsi="Arial"/>
          <w:sz w:val="24"/>
          <w:szCs w:val="24"/>
        </w:rPr>
        <w:t>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Pr="006B11EE">
        <w:rPr>
          <w:rFonts w:ascii="Arial" w:hAnsi="Arial"/>
          <w:sz w:val="24"/>
          <w:szCs w:val="24"/>
        </w:rPr>
        <w:t xml:space="preserve">del </w:t>
      </w:r>
      <w:r w:rsidR="00117A8D" w:rsidRPr="006315E3">
        <w:rPr>
          <w:rFonts w:ascii="Arial" w:hAnsi="Arial" w:cs="Arial"/>
          <w:sz w:val="24"/>
          <w:lang w:val="es-MX"/>
        </w:rPr>
        <w:t xml:space="preserve">Juzgado </w:t>
      </w:r>
      <w:r w:rsidR="00884ADE">
        <w:rPr>
          <w:rFonts w:ascii="Arial" w:hAnsi="Arial" w:cs="Arial"/>
          <w:sz w:val="24"/>
          <w:lang w:val="es-MX"/>
        </w:rPr>
        <w:t xml:space="preserve">Tercero </w:t>
      </w:r>
      <w:r w:rsidR="006A7F66">
        <w:rPr>
          <w:rFonts w:ascii="Arial" w:hAnsi="Arial" w:cs="Arial"/>
          <w:sz w:val="24"/>
          <w:lang w:val="es-MX"/>
        </w:rPr>
        <w:t>C</w:t>
      </w:r>
      <w:r w:rsidR="00274CB6">
        <w:rPr>
          <w:rFonts w:ascii="Arial" w:hAnsi="Arial" w:cs="Arial"/>
          <w:sz w:val="24"/>
          <w:lang w:val="es-MX"/>
        </w:rPr>
        <w:t>ivil del Circuito de esta ciudad</w:t>
      </w:r>
      <w:r w:rsidRPr="006B11EE">
        <w:rPr>
          <w:rFonts w:ascii="Arial" w:hAnsi="Arial"/>
          <w:sz w:val="24"/>
          <w:szCs w:val="24"/>
        </w:rPr>
        <w:t xml:space="preserve">, </w:t>
      </w:r>
      <w:r w:rsidR="003900EC">
        <w:rPr>
          <w:rFonts w:ascii="Arial" w:hAnsi="Arial"/>
          <w:sz w:val="24"/>
          <w:szCs w:val="24"/>
        </w:rPr>
        <w:t xml:space="preserve">que </w:t>
      </w:r>
      <w:r w:rsidR="004D3892">
        <w:rPr>
          <w:rFonts w:ascii="Arial" w:hAnsi="Arial"/>
          <w:sz w:val="24"/>
          <w:szCs w:val="24"/>
        </w:rPr>
        <w:t xml:space="preserve">denegó el mandamiento </w:t>
      </w:r>
      <w:r w:rsidR="00884ADE">
        <w:rPr>
          <w:rFonts w:ascii="Arial" w:hAnsi="Arial"/>
          <w:sz w:val="24"/>
          <w:szCs w:val="24"/>
        </w:rPr>
        <w:t>ejecutivo</w:t>
      </w:r>
      <w:r w:rsidR="00CA0ECE">
        <w:rPr>
          <w:rFonts w:ascii="Arial" w:hAnsi="Arial"/>
          <w:sz w:val="24"/>
          <w:szCs w:val="24"/>
        </w:rPr>
        <w:t xml:space="preserve">, según </w:t>
      </w:r>
      <w:r w:rsidR="00016368">
        <w:rPr>
          <w:rFonts w:ascii="Arial" w:hAnsi="Arial"/>
          <w:sz w:val="24"/>
          <w:szCs w:val="24"/>
        </w:rPr>
        <w:t xml:space="preserve">los argumentos de </w:t>
      </w:r>
      <w:r w:rsidR="00CA0ECE">
        <w:rPr>
          <w:rFonts w:ascii="Arial" w:hAnsi="Arial"/>
          <w:sz w:val="24"/>
          <w:szCs w:val="24"/>
        </w:rPr>
        <w:t xml:space="preserve">la apelación </w:t>
      </w:r>
      <w:r w:rsidR="00016368">
        <w:rPr>
          <w:rFonts w:ascii="Arial" w:hAnsi="Arial"/>
          <w:sz w:val="24"/>
          <w:szCs w:val="24"/>
        </w:rPr>
        <w:t xml:space="preserve">formulada </w:t>
      </w:r>
      <w:r w:rsidR="00CA0ECE">
        <w:rPr>
          <w:rFonts w:ascii="Arial" w:hAnsi="Arial"/>
          <w:sz w:val="24"/>
          <w:szCs w:val="24"/>
        </w:rPr>
        <w:t xml:space="preserve">por la parte </w:t>
      </w:r>
      <w:r w:rsidR="0082272F">
        <w:rPr>
          <w:rFonts w:ascii="Arial" w:hAnsi="Arial"/>
          <w:sz w:val="24"/>
          <w:szCs w:val="24"/>
        </w:rPr>
        <w:t>actora</w:t>
      </w:r>
      <w:r w:rsidR="0053086A" w:rsidRPr="006B11EE">
        <w:rPr>
          <w:rFonts w:ascii="Arial" w:hAnsi="Arial"/>
          <w:sz w:val="24"/>
          <w:szCs w:val="24"/>
        </w:rPr>
        <w:t>?</w:t>
      </w:r>
    </w:p>
    <w:p w:rsidR="003900EC" w:rsidRPr="00123D1C" w:rsidRDefault="003900EC" w:rsidP="00BF3114">
      <w:pPr>
        <w:pStyle w:val="Sinespaciado"/>
        <w:spacing w:line="360" w:lineRule="auto"/>
        <w:jc w:val="both"/>
        <w:rPr>
          <w:rFonts w:ascii="Arial" w:hAnsi="Arial"/>
          <w:szCs w:val="24"/>
        </w:rPr>
      </w:pPr>
    </w:p>
    <w:p w:rsidR="00BF3114"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4D3892" w:rsidRDefault="00BC79CB" w:rsidP="00BC79CB">
      <w:pPr>
        <w:pStyle w:val="Textopredeterminado"/>
        <w:tabs>
          <w:tab w:val="left" w:pos="3900"/>
        </w:tabs>
        <w:spacing w:line="360" w:lineRule="auto"/>
        <w:ind w:left="720"/>
        <w:jc w:val="both"/>
        <w:rPr>
          <w:rFonts w:ascii="Arial" w:hAnsi="Arial" w:cs="Arial"/>
        </w:rPr>
      </w:pPr>
      <w:r>
        <w:rPr>
          <w:rFonts w:ascii="Arial" w:hAnsi="Arial" w:cs="Arial"/>
        </w:rPr>
        <w:tab/>
      </w:r>
    </w:p>
    <w:p w:rsidR="00BC79CB" w:rsidRPr="00F70D72" w:rsidRDefault="00BC79CB" w:rsidP="00BC79CB">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sidRPr="00F70D72">
        <w:rPr>
          <w:rFonts w:ascii="Arial" w:hAnsi="Arial" w:cs="Arial"/>
          <w:color w:val="000000" w:themeColor="text1"/>
          <w:szCs w:val="22"/>
        </w:rPr>
        <w:t>El rechazo de plano de la demanda</w:t>
      </w:r>
    </w:p>
    <w:p w:rsidR="00BC79CB" w:rsidRPr="00123D1C" w:rsidRDefault="00BC79CB" w:rsidP="00BC79CB">
      <w:pPr>
        <w:pStyle w:val="Sinespaciado"/>
        <w:spacing w:line="360" w:lineRule="auto"/>
        <w:jc w:val="both"/>
        <w:rPr>
          <w:rFonts w:ascii="Arial" w:hAnsi="Arial" w:cs="Arial"/>
          <w:sz w:val="18"/>
          <w:szCs w:val="24"/>
        </w:rPr>
      </w:pPr>
    </w:p>
    <w:p w:rsidR="00BC79CB" w:rsidRDefault="00BC79CB" w:rsidP="00BC79CB">
      <w:pPr>
        <w:pStyle w:val="Sinespaciado"/>
        <w:spacing w:line="360" w:lineRule="auto"/>
        <w:jc w:val="both"/>
        <w:rPr>
          <w:rFonts w:ascii="Arial" w:hAnsi="Arial" w:cs="Arial"/>
          <w:sz w:val="24"/>
          <w:szCs w:val="24"/>
        </w:rPr>
      </w:pPr>
      <w:r>
        <w:rPr>
          <w:rFonts w:ascii="Arial" w:hAnsi="Arial" w:cs="Arial"/>
          <w:sz w:val="24"/>
          <w:szCs w:val="24"/>
        </w:rPr>
        <w:t xml:space="preserve">También conocido como rechazo </w:t>
      </w:r>
      <w:r w:rsidRPr="009028EA">
        <w:rPr>
          <w:rFonts w:ascii="Arial" w:hAnsi="Arial" w:cs="Arial"/>
          <w:i/>
          <w:sz w:val="24"/>
          <w:szCs w:val="24"/>
        </w:rPr>
        <w:t>in limine</w:t>
      </w:r>
      <w:r>
        <w:rPr>
          <w:rFonts w:ascii="Arial" w:hAnsi="Arial" w:cs="Arial"/>
          <w:sz w:val="24"/>
          <w:szCs w:val="24"/>
        </w:rPr>
        <w:t>, hace referencia a aquellos eventos donde no hay inadmisión previa</w:t>
      </w:r>
      <w:r w:rsidR="0054578C">
        <w:rPr>
          <w:rFonts w:ascii="Arial" w:hAnsi="Arial" w:cs="Arial"/>
          <w:sz w:val="24"/>
          <w:szCs w:val="24"/>
        </w:rPr>
        <w:t xml:space="preserve"> y </w:t>
      </w:r>
      <w:r>
        <w:rPr>
          <w:rFonts w:ascii="Arial" w:hAnsi="Arial" w:cs="Arial"/>
          <w:sz w:val="24"/>
          <w:szCs w:val="24"/>
        </w:rPr>
        <w:t>que directamente el operador judicial declara su imposibilidad de avocar el asunto.  Dice el profesor Parra Quijano</w:t>
      </w:r>
      <w:r>
        <w:rPr>
          <w:rStyle w:val="Refdenotaalpie"/>
          <w:rFonts w:ascii="Arial" w:hAnsi="Arial"/>
          <w:sz w:val="24"/>
          <w:szCs w:val="24"/>
        </w:rPr>
        <w:footnoteReference w:id="5"/>
      </w:r>
      <w:r>
        <w:rPr>
          <w:rFonts w:ascii="Arial" w:hAnsi="Arial" w:cs="Arial"/>
          <w:sz w:val="24"/>
          <w:szCs w:val="24"/>
        </w:rPr>
        <w:t>, al explicar la referida regla: “</w:t>
      </w:r>
      <w:r w:rsidRPr="000379CA">
        <w:rPr>
          <w:rFonts w:ascii="Arial" w:hAnsi="Arial" w:cs="Arial"/>
          <w:i/>
          <w:szCs w:val="24"/>
        </w:rPr>
        <w:t>¿Para qué suspende el juez la admisión mediante la inadmisión, si nunca puede conocer el proceso? ¿Qué sentido tendría la previa inadmisión?</w:t>
      </w:r>
      <w:r>
        <w:rPr>
          <w:rFonts w:ascii="Arial" w:hAnsi="Arial" w:cs="Arial"/>
          <w:sz w:val="24"/>
          <w:szCs w:val="24"/>
        </w:rPr>
        <w:t>”.</w:t>
      </w:r>
      <w:r w:rsidR="00123D1C">
        <w:rPr>
          <w:rFonts w:ascii="Arial" w:hAnsi="Arial" w:cs="Arial"/>
          <w:sz w:val="24"/>
          <w:szCs w:val="24"/>
        </w:rPr>
        <w:t xml:space="preserve"> Se precisa que para el caso, denegar de plano la orden de pago, implica el rechazo de la demanda. </w:t>
      </w:r>
    </w:p>
    <w:p w:rsidR="00BC79CB" w:rsidRPr="00123D1C" w:rsidRDefault="00BC79CB" w:rsidP="00BC79CB">
      <w:pPr>
        <w:pStyle w:val="Sinespaciado"/>
        <w:spacing w:line="360" w:lineRule="auto"/>
        <w:jc w:val="both"/>
        <w:rPr>
          <w:rFonts w:ascii="Arial" w:hAnsi="Arial" w:cs="Arial"/>
          <w:szCs w:val="24"/>
        </w:rPr>
      </w:pPr>
    </w:p>
    <w:p w:rsidR="00BC79CB" w:rsidRDefault="00BC79CB" w:rsidP="00BC79CB">
      <w:pPr>
        <w:pStyle w:val="Sinespaciado"/>
        <w:spacing w:line="360" w:lineRule="auto"/>
        <w:jc w:val="both"/>
        <w:rPr>
          <w:rFonts w:ascii="Arial" w:hAnsi="Arial" w:cs="Arial"/>
          <w:sz w:val="24"/>
          <w:lang w:val="es-CO"/>
        </w:rPr>
      </w:pPr>
      <w:r w:rsidRPr="000A6445">
        <w:rPr>
          <w:rFonts w:ascii="Arial" w:hAnsi="Arial" w:cs="Arial"/>
          <w:sz w:val="24"/>
          <w:szCs w:val="24"/>
          <w:lang w:val="es-CO"/>
        </w:rPr>
        <w:t xml:space="preserve">La figura aparece consagrada </w:t>
      </w:r>
      <w:r>
        <w:rPr>
          <w:rFonts w:ascii="Arial" w:hAnsi="Arial" w:cs="Arial"/>
          <w:sz w:val="24"/>
          <w:szCs w:val="24"/>
          <w:lang w:val="es-CO"/>
        </w:rPr>
        <w:t xml:space="preserve">en el </w:t>
      </w:r>
      <w:r w:rsidRPr="000A6445">
        <w:rPr>
          <w:rFonts w:ascii="Arial" w:hAnsi="Arial" w:cs="Arial"/>
          <w:sz w:val="24"/>
          <w:szCs w:val="24"/>
          <w:lang w:val="es-CO"/>
        </w:rPr>
        <w:t xml:space="preserve">artículo </w:t>
      </w:r>
      <w:r>
        <w:rPr>
          <w:rFonts w:ascii="Arial" w:hAnsi="Arial" w:cs="Arial"/>
          <w:sz w:val="24"/>
          <w:szCs w:val="24"/>
          <w:lang w:val="es-CO"/>
        </w:rPr>
        <w:t>90, inciso 2º,</w:t>
      </w:r>
      <w:r w:rsidRPr="000A6445">
        <w:rPr>
          <w:rFonts w:ascii="Arial" w:hAnsi="Arial" w:cs="Arial"/>
          <w:sz w:val="24"/>
          <w:szCs w:val="24"/>
          <w:lang w:val="es-CO"/>
        </w:rPr>
        <w:t xml:space="preserve"> C</w:t>
      </w:r>
      <w:r>
        <w:rPr>
          <w:rFonts w:ascii="Arial" w:hAnsi="Arial" w:cs="Arial"/>
          <w:sz w:val="24"/>
          <w:szCs w:val="24"/>
          <w:lang w:val="es-CO"/>
        </w:rPr>
        <w:t>GP</w:t>
      </w:r>
      <w:r w:rsidRPr="000A6445">
        <w:rPr>
          <w:rFonts w:ascii="Arial" w:hAnsi="Arial" w:cs="Arial"/>
          <w:sz w:val="24"/>
          <w:szCs w:val="24"/>
          <w:lang w:val="es-CO"/>
        </w:rPr>
        <w:t xml:space="preserve">, </w:t>
      </w:r>
      <w:r>
        <w:rPr>
          <w:rFonts w:ascii="Arial" w:hAnsi="Arial" w:cs="Arial"/>
          <w:sz w:val="24"/>
          <w:szCs w:val="24"/>
          <w:lang w:val="es-CO"/>
        </w:rPr>
        <w:t>así</w:t>
      </w:r>
      <w:r w:rsidRPr="000A6445">
        <w:rPr>
          <w:rFonts w:ascii="Arial" w:hAnsi="Arial" w:cs="Arial"/>
          <w:sz w:val="24"/>
          <w:szCs w:val="24"/>
          <w:lang w:val="es-CO"/>
        </w:rPr>
        <w:t xml:space="preserve">: </w:t>
      </w:r>
      <w:r w:rsidRPr="000A6445">
        <w:rPr>
          <w:rFonts w:ascii="Arial" w:hAnsi="Arial" w:cs="Arial"/>
          <w:i/>
          <w:lang w:val="es-CO"/>
        </w:rPr>
        <w:t>“</w:t>
      </w:r>
      <w:r w:rsidRPr="000370E8">
        <w:rPr>
          <w:rFonts w:ascii="Arial" w:hAnsi="Arial" w:cs="Arial"/>
          <w:i/>
          <w:lang w:val="es-CO"/>
        </w:rPr>
        <w:t xml:space="preserve">El juez </w:t>
      </w:r>
      <w:r w:rsidRPr="000370E8">
        <w:rPr>
          <w:rFonts w:ascii="Arial" w:hAnsi="Arial" w:cs="Arial"/>
          <w:i/>
          <w:color w:val="000000" w:themeColor="text1"/>
          <w:lang w:val="es-CO"/>
        </w:rPr>
        <w:t>rechazará la demanda cuando carezca de jurisdicción o de competencia</w:t>
      </w:r>
      <w:r w:rsidRPr="000370E8">
        <w:rPr>
          <w:rFonts w:ascii="Arial" w:hAnsi="Arial" w:cs="Arial"/>
          <w:i/>
          <w:lang w:val="es-CO"/>
        </w:rPr>
        <w:t xml:space="preserve"> o cuando esté vencido el término de </w:t>
      </w:r>
      <w:r w:rsidRPr="000370E8">
        <w:rPr>
          <w:rFonts w:ascii="Arial" w:hAnsi="Arial" w:cs="Arial"/>
          <w:i/>
          <w:lang w:val="es-CO"/>
        </w:rPr>
        <w:lastRenderedPageBreak/>
        <w:t>caducidad para instaurarla.  En los dos primeros casos ordenará enviarla con sus anexos al que considere competente; en el último, ordenará devolver los anexos sin necesidad de desglose.</w:t>
      </w:r>
      <w:r w:rsidRPr="000A6445">
        <w:rPr>
          <w:rFonts w:ascii="Arial" w:hAnsi="Arial" w:cs="Arial"/>
          <w:lang w:val="es-CO"/>
        </w:rPr>
        <w:t xml:space="preserve">”, </w:t>
      </w:r>
      <w:r w:rsidRPr="000A6445">
        <w:rPr>
          <w:rFonts w:ascii="Arial" w:hAnsi="Arial" w:cs="Arial"/>
          <w:sz w:val="24"/>
          <w:lang w:val="es-CO"/>
        </w:rPr>
        <w:t xml:space="preserve">es decir, las causales son tres (3), según esta norma: (i) La falta de jurisdicción; (ii) La falta de competencia; y, (iii) </w:t>
      </w:r>
      <w:r>
        <w:rPr>
          <w:rFonts w:ascii="Arial" w:hAnsi="Arial" w:cs="Arial"/>
          <w:sz w:val="24"/>
          <w:lang w:val="es-CO"/>
        </w:rPr>
        <w:t xml:space="preserve">La </w:t>
      </w:r>
      <w:r w:rsidRPr="000A6445">
        <w:rPr>
          <w:rFonts w:ascii="Arial" w:hAnsi="Arial" w:cs="Arial"/>
          <w:sz w:val="24"/>
          <w:lang w:val="es-CO"/>
        </w:rPr>
        <w:t>caducidad de la acci</w:t>
      </w:r>
      <w:r>
        <w:rPr>
          <w:rFonts w:ascii="Arial" w:hAnsi="Arial" w:cs="Arial"/>
          <w:sz w:val="24"/>
          <w:lang w:val="es-CO"/>
        </w:rPr>
        <w:t>ón.  La regulación era idéntica en el CPC (Artículo 85). Un caso nuevo y específico figura en el artículo 375-4º del CGP, para los procesos declarativos de pertenencia.</w:t>
      </w:r>
    </w:p>
    <w:p w:rsidR="00BC79CB" w:rsidRPr="00123D1C" w:rsidRDefault="00BC79CB" w:rsidP="00BC79CB">
      <w:pPr>
        <w:pStyle w:val="Sinespaciado"/>
        <w:spacing w:line="360" w:lineRule="auto"/>
        <w:jc w:val="both"/>
        <w:rPr>
          <w:rFonts w:ascii="Arial" w:hAnsi="Arial" w:cs="Arial"/>
          <w:lang w:val="es-CO"/>
        </w:rPr>
      </w:pPr>
    </w:p>
    <w:p w:rsidR="00BC79CB" w:rsidRDefault="00BC79CB" w:rsidP="00BC79CB">
      <w:pPr>
        <w:pStyle w:val="Sinespaciado"/>
        <w:spacing w:line="360" w:lineRule="auto"/>
        <w:jc w:val="both"/>
        <w:rPr>
          <w:rFonts w:ascii="Arial" w:hAnsi="Arial" w:cs="Arial"/>
          <w:sz w:val="24"/>
        </w:rPr>
      </w:pPr>
      <w:r w:rsidRPr="00F544FF">
        <w:rPr>
          <w:rFonts w:ascii="Arial" w:hAnsi="Arial" w:cs="Arial"/>
          <w:sz w:val="24"/>
          <w:lang w:val="es-CO"/>
        </w:rPr>
        <w:t>En vigencia del CPC, al anterior listado se añadía la situación prevista por la Ley 640 (Sobre conciliación), que estipuló: “</w:t>
      </w:r>
      <w:r w:rsidRPr="00F544FF">
        <w:rPr>
          <w:rFonts w:ascii="Arial" w:hAnsi="Arial" w:cs="Arial"/>
          <w:i/>
        </w:rPr>
        <w:t>Artículo 36. Rechazo de la demanda. La ausencia del requisito de procedibilidad de que trata esta ley, dará lugar al rechazo de plano de la demanda.”.</w:t>
      </w:r>
      <w:r w:rsidRPr="00F544FF">
        <w:rPr>
          <w:rFonts w:ascii="Arial" w:hAnsi="Arial" w:cs="Arial"/>
        </w:rPr>
        <w:t xml:space="preserve">  </w:t>
      </w:r>
      <w:r w:rsidRPr="00F544FF">
        <w:rPr>
          <w:rFonts w:ascii="Arial" w:hAnsi="Arial" w:cs="Arial"/>
          <w:sz w:val="24"/>
        </w:rPr>
        <w:t>Hoy con la vigencia del nuevo Régimen Procedimental Civil se tiene que tal circunstancia es constitutiva de inadmisión</w:t>
      </w:r>
      <w:r>
        <w:rPr>
          <w:rStyle w:val="Refdenotaalpie"/>
          <w:rFonts w:ascii="Arial" w:hAnsi="Arial"/>
          <w:sz w:val="24"/>
        </w:rPr>
        <w:footnoteReference w:id="6"/>
      </w:r>
      <w:r w:rsidRPr="00F544FF">
        <w:rPr>
          <w:rFonts w:ascii="Arial" w:hAnsi="Arial" w:cs="Arial"/>
          <w:sz w:val="24"/>
        </w:rPr>
        <w:t xml:space="preserve"> (Artículo 90-7º)</w:t>
      </w:r>
      <w:r>
        <w:rPr>
          <w:rFonts w:ascii="Arial" w:hAnsi="Arial" w:cs="Arial"/>
          <w:sz w:val="24"/>
        </w:rPr>
        <w:t>, por ende, ha sido derogado en forma tácita su tratamiento, que no es de rechazo sino de inadmisión</w:t>
      </w:r>
      <w:r>
        <w:rPr>
          <w:rStyle w:val="Refdenotaalpie"/>
          <w:rFonts w:ascii="Arial" w:hAnsi="Arial"/>
          <w:sz w:val="24"/>
        </w:rPr>
        <w:footnoteReference w:id="7"/>
      </w:r>
      <w:r>
        <w:rPr>
          <w:rFonts w:ascii="Arial" w:hAnsi="Arial" w:cs="Arial"/>
          <w:sz w:val="24"/>
        </w:rPr>
        <w:t>.</w:t>
      </w:r>
    </w:p>
    <w:p w:rsidR="00884ADE" w:rsidRDefault="00884ADE" w:rsidP="00BC79CB">
      <w:pPr>
        <w:pStyle w:val="Sinespaciado"/>
        <w:spacing w:line="360" w:lineRule="auto"/>
        <w:jc w:val="both"/>
        <w:rPr>
          <w:rFonts w:ascii="Arial" w:hAnsi="Arial" w:cs="Arial"/>
          <w:sz w:val="24"/>
        </w:rPr>
      </w:pPr>
    </w:p>
    <w:p w:rsidR="001C6330" w:rsidRPr="00F70D72" w:rsidRDefault="00916203" w:rsidP="001C6330">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sidRPr="00BA130C">
        <w:rPr>
          <w:rFonts w:ascii="Arial" w:hAnsi="Arial" w:cs="Arial"/>
        </w:rPr>
        <w:t>L</w:t>
      </w:r>
      <w:r>
        <w:rPr>
          <w:rFonts w:ascii="Arial" w:hAnsi="Arial" w:cs="Arial"/>
        </w:rPr>
        <w:t>os títulos ejecutivos</w:t>
      </w:r>
    </w:p>
    <w:p w:rsidR="00A62A41" w:rsidRDefault="00A62A41" w:rsidP="00A62A4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rPr>
      </w:pPr>
    </w:p>
    <w:p w:rsidR="00DC0114" w:rsidRDefault="00DC0114" w:rsidP="00DC0114">
      <w:pPr>
        <w:spacing w:line="360" w:lineRule="auto"/>
        <w:jc w:val="both"/>
        <w:rPr>
          <w:rFonts w:ascii="Arial" w:hAnsi="Arial"/>
          <w:szCs w:val="22"/>
        </w:rPr>
      </w:pPr>
      <w:r w:rsidRPr="00EC1837">
        <w:rPr>
          <w:rFonts w:ascii="Arial" w:hAnsi="Arial"/>
          <w:szCs w:val="22"/>
        </w:rPr>
        <w:t xml:space="preserve">Con el proceso ejecutivo se pretende hacer efectivos los derechos que en una relación jurídica se hallen incumplidos, sea total o parcial, trátese de una prestación de dar, </w:t>
      </w:r>
      <w:r w:rsidRPr="009131CB">
        <w:rPr>
          <w:rFonts w:ascii="Arial" w:hAnsi="Arial"/>
          <w:szCs w:val="22"/>
          <w:u w:val="single"/>
        </w:rPr>
        <w:t>hacer</w:t>
      </w:r>
      <w:r w:rsidRPr="00EC1837">
        <w:rPr>
          <w:rFonts w:ascii="Arial" w:hAnsi="Arial"/>
          <w:szCs w:val="22"/>
        </w:rPr>
        <w:t xml:space="preserve"> o no hacer. </w:t>
      </w:r>
    </w:p>
    <w:p w:rsidR="00DC0114" w:rsidRDefault="00DC0114" w:rsidP="00DC0114">
      <w:pPr>
        <w:spacing w:line="360" w:lineRule="auto"/>
        <w:jc w:val="both"/>
        <w:rPr>
          <w:rFonts w:ascii="Arial" w:hAnsi="Arial"/>
          <w:szCs w:val="22"/>
        </w:rPr>
      </w:pPr>
    </w:p>
    <w:p w:rsidR="00DC0114" w:rsidRDefault="00DC0114" w:rsidP="00DC0114">
      <w:pPr>
        <w:spacing w:line="360" w:lineRule="auto"/>
        <w:jc w:val="both"/>
        <w:rPr>
          <w:rFonts w:ascii="Arial" w:hAnsi="Arial" w:cs="Arial"/>
          <w:szCs w:val="22"/>
        </w:rPr>
      </w:pPr>
      <w:r w:rsidRPr="00EC1837">
        <w:rPr>
          <w:rFonts w:ascii="Arial" w:hAnsi="Arial"/>
          <w:szCs w:val="22"/>
        </w:rPr>
        <w:t>Es requisito</w:t>
      </w:r>
      <w:r>
        <w:rPr>
          <w:rFonts w:ascii="Arial" w:hAnsi="Arial"/>
          <w:szCs w:val="22"/>
        </w:rPr>
        <w:t>,</w:t>
      </w:r>
      <w:r w:rsidRPr="00EC1837">
        <w:rPr>
          <w:rFonts w:ascii="Arial" w:hAnsi="Arial"/>
          <w:szCs w:val="22"/>
        </w:rPr>
        <w:t xml:space="preserve"> </w:t>
      </w:r>
      <w:r>
        <w:rPr>
          <w:rFonts w:ascii="Arial" w:hAnsi="Arial"/>
          <w:szCs w:val="22"/>
        </w:rPr>
        <w:t xml:space="preserve">indispensable, </w:t>
      </w:r>
      <w:r w:rsidRPr="00EC1837">
        <w:rPr>
          <w:rFonts w:ascii="Arial" w:hAnsi="Arial"/>
          <w:szCs w:val="22"/>
        </w:rPr>
        <w:t xml:space="preserve">que con la demanda ejecutiva se allegue un </w:t>
      </w:r>
      <w:r w:rsidRPr="003F0AB1">
        <w:rPr>
          <w:rFonts w:ascii="Arial" w:hAnsi="Arial"/>
          <w:szCs w:val="22"/>
          <w:u w:val="single"/>
        </w:rPr>
        <w:t>documento, que materialice la obligación y aparezca</w:t>
      </w:r>
      <w:r w:rsidRPr="00EC1837">
        <w:rPr>
          <w:rFonts w:ascii="Arial" w:hAnsi="Arial"/>
          <w:szCs w:val="22"/>
        </w:rPr>
        <w:t xml:space="preserve"> </w:t>
      </w:r>
      <w:r w:rsidRPr="003F0AB1">
        <w:rPr>
          <w:rFonts w:ascii="Arial" w:hAnsi="Arial"/>
          <w:smallCaps/>
          <w:szCs w:val="22"/>
        </w:rPr>
        <w:t>clara, expresa</w:t>
      </w:r>
      <w:r w:rsidRPr="009E0DF1">
        <w:rPr>
          <w:rFonts w:ascii="Arial" w:hAnsi="Arial"/>
          <w:szCs w:val="22"/>
        </w:rPr>
        <w:t xml:space="preserve"> (</w:t>
      </w:r>
      <w:r w:rsidRPr="00EC1837">
        <w:rPr>
          <w:rFonts w:ascii="Arial" w:hAnsi="Arial" w:cs="Arial"/>
          <w:szCs w:val="22"/>
        </w:rPr>
        <w:t>Esta característica ha sido entendida como redundante por la doctrina patria</w:t>
      </w:r>
      <w:r w:rsidRPr="00EC1837">
        <w:rPr>
          <w:rStyle w:val="Refdenotaalpie"/>
          <w:rFonts w:ascii="Arial" w:hAnsi="Arial" w:cs="Arial"/>
          <w:szCs w:val="22"/>
        </w:rPr>
        <w:footnoteReference w:id="8"/>
      </w:r>
      <w:r>
        <w:rPr>
          <w:rFonts w:ascii="Arial" w:hAnsi="Arial" w:cs="Arial"/>
          <w:szCs w:val="22"/>
        </w:rPr>
        <w:t>)</w:t>
      </w:r>
      <w:r w:rsidRPr="009E0DF1">
        <w:rPr>
          <w:rFonts w:ascii="Arial" w:hAnsi="Arial"/>
          <w:szCs w:val="22"/>
        </w:rPr>
        <w:t xml:space="preserve"> </w:t>
      </w:r>
      <w:r w:rsidRPr="003F0AB1">
        <w:rPr>
          <w:rFonts w:ascii="Arial" w:hAnsi="Arial"/>
          <w:szCs w:val="22"/>
        </w:rPr>
        <w:t xml:space="preserve">y </w:t>
      </w:r>
      <w:r w:rsidRPr="003F0AB1">
        <w:rPr>
          <w:rFonts w:ascii="Arial" w:hAnsi="Arial"/>
          <w:smallCaps/>
          <w:szCs w:val="22"/>
        </w:rPr>
        <w:t>exigible</w:t>
      </w:r>
      <w:r w:rsidRPr="00EC1837">
        <w:rPr>
          <w:rFonts w:ascii="Arial" w:hAnsi="Arial"/>
          <w:szCs w:val="22"/>
        </w:rPr>
        <w:t xml:space="preserve">. Que sea </w:t>
      </w:r>
      <w:r w:rsidRPr="00EC1837">
        <w:rPr>
          <w:rFonts w:ascii="Arial" w:hAnsi="Arial" w:cs="Arial"/>
          <w:szCs w:val="22"/>
        </w:rPr>
        <w:t>claro y expreso significa que aparezcan determinadas con exactitud</w:t>
      </w:r>
      <w:r>
        <w:rPr>
          <w:rFonts w:ascii="Arial" w:hAnsi="Arial" w:cs="Arial"/>
          <w:szCs w:val="22"/>
        </w:rPr>
        <w:t>:</w:t>
      </w:r>
      <w:r w:rsidRPr="00EC1837">
        <w:rPr>
          <w:rFonts w:ascii="Arial" w:hAnsi="Arial" w:cs="Arial"/>
          <w:szCs w:val="22"/>
        </w:rPr>
        <w:t xml:space="preserve"> (i) Las personas intervinientes en la relación jurídica, deudor y acreedor de la prestación debida, así como</w:t>
      </w:r>
      <w:r>
        <w:rPr>
          <w:rFonts w:ascii="Arial" w:hAnsi="Arial" w:cs="Arial"/>
          <w:szCs w:val="22"/>
        </w:rPr>
        <w:t>,</w:t>
      </w:r>
      <w:r w:rsidRPr="00EC1837">
        <w:rPr>
          <w:rFonts w:ascii="Arial" w:hAnsi="Arial" w:cs="Arial"/>
          <w:szCs w:val="22"/>
        </w:rPr>
        <w:t xml:space="preserve"> (ii) La prestación misma, bien de hacer, no hacer o dar.</w:t>
      </w:r>
    </w:p>
    <w:p w:rsidR="00DC0114" w:rsidRDefault="00DC0114" w:rsidP="00DC0114">
      <w:pPr>
        <w:spacing w:line="360" w:lineRule="auto"/>
        <w:jc w:val="both"/>
        <w:rPr>
          <w:rFonts w:ascii="Arial" w:hAnsi="Arial"/>
          <w:szCs w:val="22"/>
        </w:rPr>
      </w:pPr>
    </w:p>
    <w:p w:rsidR="00DC0114" w:rsidRPr="00B4384F" w:rsidRDefault="00DC0114" w:rsidP="00DC0114">
      <w:pPr>
        <w:spacing w:line="360" w:lineRule="auto"/>
        <w:jc w:val="both"/>
        <w:rPr>
          <w:rFonts w:ascii="Arial" w:hAnsi="Arial"/>
          <w:b/>
          <w:szCs w:val="22"/>
        </w:rPr>
      </w:pPr>
      <w:r>
        <w:rPr>
          <w:rFonts w:ascii="Arial" w:hAnsi="Arial"/>
          <w:szCs w:val="22"/>
        </w:rPr>
        <w:t xml:space="preserve">Si el documento contiene una obligación clara, expresa y exigible, por mandato legal </w:t>
      </w:r>
      <w:r w:rsidRPr="00B4384F">
        <w:rPr>
          <w:rFonts w:ascii="Arial" w:hAnsi="Arial"/>
          <w:szCs w:val="22"/>
        </w:rPr>
        <w:t>se presume su autenticidad (Artículo 2</w:t>
      </w:r>
      <w:r>
        <w:rPr>
          <w:rFonts w:ascii="Arial" w:hAnsi="Arial"/>
          <w:szCs w:val="22"/>
        </w:rPr>
        <w:t>44</w:t>
      </w:r>
      <w:r w:rsidRPr="00B4384F">
        <w:rPr>
          <w:rFonts w:ascii="Arial" w:hAnsi="Arial"/>
          <w:szCs w:val="22"/>
        </w:rPr>
        <w:t xml:space="preserve">, inciso </w:t>
      </w:r>
      <w:r>
        <w:rPr>
          <w:rFonts w:ascii="Arial" w:hAnsi="Arial"/>
          <w:szCs w:val="22"/>
        </w:rPr>
        <w:t>4</w:t>
      </w:r>
      <w:r w:rsidRPr="00B4384F">
        <w:rPr>
          <w:rFonts w:ascii="Arial" w:hAnsi="Arial"/>
          <w:szCs w:val="22"/>
        </w:rPr>
        <w:t>º del C</w:t>
      </w:r>
      <w:r>
        <w:rPr>
          <w:rFonts w:ascii="Arial" w:hAnsi="Arial"/>
          <w:szCs w:val="22"/>
        </w:rPr>
        <w:t>GP</w:t>
      </w:r>
      <w:r w:rsidRPr="00B4384F">
        <w:rPr>
          <w:rFonts w:ascii="Arial" w:hAnsi="Arial"/>
          <w:szCs w:val="22"/>
        </w:rPr>
        <w:t>). Sin embargo, existen otros documentos que expresamente derivan su carácter ejecutivo de normas jurídicas, como las sentencias judiciales, algunas providencias administrativas, entre otros.</w:t>
      </w:r>
      <w:r>
        <w:rPr>
          <w:rFonts w:ascii="Arial" w:hAnsi="Arial"/>
          <w:szCs w:val="22"/>
        </w:rPr>
        <w:t xml:space="preserve">  Para mayor ilustración sobre el tema puede consultarse la obra del profesor Bejarano Guzmán</w:t>
      </w:r>
      <w:r>
        <w:rPr>
          <w:rStyle w:val="Refdenotaalpie"/>
          <w:rFonts w:ascii="Arial" w:hAnsi="Arial"/>
          <w:szCs w:val="22"/>
        </w:rPr>
        <w:footnoteReference w:id="9"/>
      </w:r>
      <w:r>
        <w:rPr>
          <w:rFonts w:ascii="Arial" w:hAnsi="Arial"/>
          <w:szCs w:val="22"/>
        </w:rPr>
        <w:t>.</w:t>
      </w:r>
    </w:p>
    <w:p w:rsidR="00DC0114" w:rsidRPr="00E76732" w:rsidRDefault="00DC0114" w:rsidP="00DC0114">
      <w:pPr>
        <w:spacing w:line="360" w:lineRule="auto"/>
        <w:jc w:val="both"/>
        <w:rPr>
          <w:rFonts w:ascii="Arial" w:hAnsi="Arial"/>
          <w:szCs w:val="22"/>
        </w:rPr>
      </w:pPr>
    </w:p>
    <w:p w:rsidR="00DC0114" w:rsidRPr="00631DBD" w:rsidRDefault="00DC0114" w:rsidP="00DC0114">
      <w:pPr>
        <w:spacing w:line="360" w:lineRule="auto"/>
        <w:jc w:val="both"/>
        <w:rPr>
          <w:rFonts w:ascii="Arial" w:hAnsi="Arial" w:cs="Arial"/>
        </w:rPr>
      </w:pPr>
      <w:r w:rsidRPr="00FF2E6F">
        <w:rPr>
          <w:rFonts w:ascii="Arial" w:hAnsi="Arial" w:cs="Arial"/>
        </w:rPr>
        <w:lastRenderedPageBreak/>
        <w:t>Cuando quiera que el título esté conformado por varios documentos, estamos en presencia del título ejecutivo complejo o compuesto</w:t>
      </w:r>
      <w:r w:rsidRPr="00FF2E6F">
        <w:rPr>
          <w:rStyle w:val="Refdenotaalpie"/>
          <w:rFonts w:ascii="Arial" w:hAnsi="Arial" w:cs="Arial"/>
        </w:rPr>
        <w:footnoteReference w:id="10"/>
      </w:r>
      <w:r w:rsidRPr="00FF2E6F">
        <w:rPr>
          <w:rFonts w:ascii="Arial" w:hAnsi="Arial" w:cs="Arial"/>
        </w:rPr>
        <w:t xml:space="preserve">, </w:t>
      </w:r>
      <w:r>
        <w:rPr>
          <w:rFonts w:ascii="Arial" w:hAnsi="Arial" w:cs="Arial"/>
        </w:rPr>
        <w:t xml:space="preserve">donde </w:t>
      </w:r>
      <w:r w:rsidRPr="00FF2E6F">
        <w:rPr>
          <w:rFonts w:ascii="Arial" w:hAnsi="Arial" w:cs="Arial"/>
        </w:rPr>
        <w:t>lo importa</w:t>
      </w:r>
      <w:r>
        <w:rPr>
          <w:rFonts w:ascii="Arial" w:hAnsi="Arial" w:cs="Arial"/>
        </w:rPr>
        <w:t>nte</w:t>
      </w:r>
      <w:r w:rsidRPr="00FF2E6F">
        <w:rPr>
          <w:rFonts w:ascii="Arial" w:hAnsi="Arial" w:cs="Arial"/>
        </w:rPr>
        <w:t xml:space="preserve"> es su unidad jurídica</w:t>
      </w:r>
      <w:r w:rsidRPr="00FF2E6F">
        <w:rPr>
          <w:rStyle w:val="Refdenotaalpie"/>
          <w:rFonts w:ascii="Arial" w:hAnsi="Arial"/>
        </w:rPr>
        <w:footnoteReference w:id="11"/>
      </w:r>
      <w:r w:rsidRPr="00FF2E6F">
        <w:rPr>
          <w:rFonts w:ascii="Arial" w:hAnsi="Arial" w:cs="Arial"/>
        </w:rPr>
        <w:t xml:space="preserve">, es decir, que </w:t>
      </w:r>
      <w:r>
        <w:rPr>
          <w:rFonts w:ascii="Arial" w:hAnsi="Arial" w:cs="Arial"/>
        </w:rPr>
        <w:t>con ese</w:t>
      </w:r>
      <w:r w:rsidRPr="00FF2E6F">
        <w:rPr>
          <w:rFonts w:ascii="Arial" w:hAnsi="Arial" w:cs="Arial"/>
        </w:rPr>
        <w:t xml:space="preserve"> haz </w:t>
      </w:r>
      <w:r>
        <w:rPr>
          <w:rFonts w:ascii="Arial" w:hAnsi="Arial" w:cs="Arial"/>
        </w:rPr>
        <w:t>documental puedan estructurarse todos y cada uno de los elementos que configuran</w:t>
      </w:r>
      <w:r w:rsidRPr="00FF2E6F">
        <w:rPr>
          <w:rFonts w:ascii="Arial" w:hAnsi="Arial" w:cs="Arial"/>
        </w:rPr>
        <w:t xml:space="preserve"> el título</w:t>
      </w:r>
      <w:r>
        <w:rPr>
          <w:rFonts w:ascii="Arial" w:hAnsi="Arial" w:cs="Arial"/>
        </w:rPr>
        <w:t xml:space="preserve"> de ejecución</w:t>
      </w:r>
      <w:r w:rsidRPr="00FF2E6F">
        <w:rPr>
          <w:rFonts w:ascii="Arial" w:hAnsi="Arial" w:cs="Arial"/>
        </w:rPr>
        <w:t xml:space="preserve">, en los </w:t>
      </w:r>
      <w:r>
        <w:rPr>
          <w:rFonts w:ascii="Arial" w:hAnsi="Arial" w:cs="Arial"/>
        </w:rPr>
        <w:t xml:space="preserve">precisos </w:t>
      </w:r>
      <w:r w:rsidRPr="00FF2E6F">
        <w:rPr>
          <w:rFonts w:ascii="Arial" w:hAnsi="Arial" w:cs="Arial"/>
        </w:rPr>
        <w:t>términos del artículo 4</w:t>
      </w:r>
      <w:r>
        <w:rPr>
          <w:rFonts w:ascii="Arial" w:hAnsi="Arial" w:cs="Arial"/>
        </w:rPr>
        <w:t>22</w:t>
      </w:r>
      <w:r w:rsidRPr="00FF2E6F">
        <w:rPr>
          <w:rFonts w:ascii="Arial" w:hAnsi="Arial" w:cs="Arial"/>
        </w:rPr>
        <w:t xml:space="preserve"> del C</w:t>
      </w:r>
      <w:r>
        <w:rPr>
          <w:rFonts w:ascii="Arial" w:hAnsi="Arial" w:cs="Arial"/>
        </w:rPr>
        <w:t>G</w:t>
      </w:r>
      <w:r w:rsidRPr="00FF2E6F">
        <w:rPr>
          <w:rFonts w:ascii="Arial" w:hAnsi="Arial" w:cs="Arial"/>
        </w:rPr>
        <w:t>P.</w:t>
      </w:r>
      <w:r>
        <w:rPr>
          <w:rFonts w:ascii="Arial" w:hAnsi="Arial" w:cs="Arial"/>
        </w:rPr>
        <w:t xml:space="preserve">  Ahora, en lo tocante a la expresi</w:t>
      </w:r>
      <w:r w:rsidRPr="00150829">
        <w:rPr>
          <w:rFonts w:ascii="Arial" w:hAnsi="Arial" w:cs="Arial"/>
        </w:rPr>
        <w:t xml:space="preserve">vidad, </w:t>
      </w:r>
      <w:r>
        <w:rPr>
          <w:rFonts w:ascii="Arial" w:hAnsi="Arial" w:cs="Arial"/>
        </w:rPr>
        <w:t>p</w:t>
      </w:r>
      <w:r w:rsidRPr="00150829">
        <w:rPr>
          <w:rFonts w:ascii="Arial" w:hAnsi="Arial" w:cs="Arial"/>
        </w:rPr>
        <w:t>ertinentes y compartidas son las palabras del procesalista colombiano Parra Quijano</w:t>
      </w:r>
      <w:r w:rsidRPr="00150829">
        <w:rPr>
          <w:rStyle w:val="Refdenotaalpie"/>
          <w:rFonts w:ascii="Arial" w:hAnsi="Arial" w:cs="Arial"/>
        </w:rPr>
        <w:footnoteReference w:id="12"/>
      </w:r>
      <w:r w:rsidRPr="00150829">
        <w:rPr>
          <w:rFonts w:ascii="Arial" w:hAnsi="Arial" w:cs="Arial"/>
        </w:rPr>
        <w:t>, quien explica:</w:t>
      </w:r>
    </w:p>
    <w:p w:rsidR="00DC0114" w:rsidRPr="00123D1C" w:rsidRDefault="00DC0114" w:rsidP="00DC0114">
      <w:pPr>
        <w:pStyle w:val="Textopredeterminado"/>
        <w:ind w:left="828" w:right="879"/>
        <w:jc w:val="both"/>
        <w:rPr>
          <w:rFonts w:ascii="Arial" w:hAnsi="Arial" w:cs="Arial"/>
        </w:rPr>
      </w:pPr>
    </w:p>
    <w:p w:rsidR="00DC0114" w:rsidRPr="000B34DC" w:rsidRDefault="00DC0114" w:rsidP="00DC0114">
      <w:pPr>
        <w:pStyle w:val="Textopredeterminado"/>
        <w:ind w:left="567" w:right="567"/>
        <w:jc w:val="both"/>
        <w:rPr>
          <w:rFonts w:ascii="Arial" w:hAnsi="Arial" w:cs="Arial"/>
          <w:szCs w:val="24"/>
        </w:rPr>
      </w:pPr>
      <w:r w:rsidRPr="000B34DC">
        <w:rPr>
          <w:rFonts w:ascii="Arial" w:hAnsi="Arial" w:cs="Arial"/>
          <w:szCs w:val="24"/>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DC0114" w:rsidRDefault="00DC0114" w:rsidP="00DC0114">
      <w:pPr>
        <w:pStyle w:val="Textopredeterminado"/>
        <w:spacing w:line="360" w:lineRule="auto"/>
        <w:ind w:left="709"/>
        <w:jc w:val="both"/>
        <w:rPr>
          <w:rFonts w:ascii="Arial" w:hAnsi="Arial" w:cs="Arial"/>
        </w:rPr>
      </w:pPr>
    </w:p>
    <w:p w:rsidR="00DC0114" w:rsidRDefault="00DC0114" w:rsidP="00DC0114">
      <w:pPr>
        <w:spacing w:line="360" w:lineRule="auto"/>
        <w:jc w:val="both"/>
        <w:rPr>
          <w:rFonts w:ascii="Arial" w:hAnsi="Arial" w:cs="Arial"/>
        </w:rPr>
      </w:pPr>
      <w:r>
        <w:rPr>
          <w:rFonts w:ascii="Arial" w:hAnsi="Arial" w:cs="Arial"/>
        </w:rPr>
        <w:t>Al e</w:t>
      </w:r>
      <w:r w:rsidRPr="009A3D53">
        <w:rPr>
          <w:rFonts w:ascii="Arial" w:hAnsi="Arial" w:cs="Arial"/>
        </w:rPr>
        <w:t>xplica</w:t>
      </w:r>
      <w:r>
        <w:rPr>
          <w:rFonts w:ascii="Arial" w:hAnsi="Arial" w:cs="Arial"/>
        </w:rPr>
        <w:t>r</w:t>
      </w:r>
      <w:r w:rsidRPr="009A3D53">
        <w:rPr>
          <w:rFonts w:ascii="Arial" w:hAnsi="Arial" w:cs="Arial"/>
        </w:rPr>
        <w:t xml:space="preserve"> la doctrina que el contenido de la obligación reclamada debe ser claro está significando que </w:t>
      </w:r>
      <w:r w:rsidRPr="009A3D53">
        <w:rPr>
          <w:rFonts w:ascii="Arial" w:hAnsi="Arial" w:cs="Arial"/>
          <w:i/>
        </w:rPr>
        <w:t>“</w:t>
      </w:r>
      <w:r w:rsidRPr="009A3D53">
        <w:rPr>
          <w:rFonts w:ascii="Arial" w:hAnsi="Arial" w:cs="Arial"/>
          <w:i/>
          <w:sz w:val="22"/>
        </w:rPr>
        <w:t>(...) sus elementos aparezcan inequívocamente señalados; tanto su objeto (crédito) como sus sujetos (acreedor y deudor). (...)</w:t>
      </w:r>
      <w:r w:rsidRPr="009A3D53">
        <w:rPr>
          <w:rFonts w:ascii="Arial" w:hAnsi="Arial" w:cs="Arial"/>
          <w:i/>
        </w:rPr>
        <w:t>”</w:t>
      </w:r>
      <w:r w:rsidRPr="009A3D53">
        <w:rPr>
          <w:rStyle w:val="Refdenotaalpie"/>
          <w:rFonts w:ascii="Arial" w:hAnsi="Arial" w:cs="Arial"/>
          <w:i/>
        </w:rPr>
        <w:footnoteReference w:id="13"/>
      </w:r>
      <w:r w:rsidRPr="009A3D53">
        <w:rPr>
          <w:rFonts w:ascii="Arial" w:hAnsi="Arial" w:cs="Arial"/>
        </w:rPr>
        <w:t>.  En el mismo sentido el profesor Jaime Azula Camacho</w:t>
      </w:r>
      <w:r w:rsidRPr="009A3D53">
        <w:rPr>
          <w:rStyle w:val="Refdenotaalpie"/>
          <w:rFonts w:ascii="Arial" w:hAnsi="Arial" w:cs="Arial"/>
        </w:rPr>
        <w:footnoteReference w:id="14"/>
      </w:r>
      <w:r w:rsidRPr="009A3D53">
        <w:rPr>
          <w:rFonts w:ascii="Arial" w:hAnsi="Arial" w:cs="Arial"/>
        </w:rPr>
        <w:t>.</w:t>
      </w:r>
    </w:p>
    <w:p w:rsidR="00A62A41" w:rsidRDefault="00A62A41" w:rsidP="00A62A41">
      <w:pPr>
        <w:spacing w:line="360" w:lineRule="auto"/>
        <w:jc w:val="both"/>
        <w:rPr>
          <w:rFonts w:ascii="Arial" w:hAnsi="Arial"/>
          <w:szCs w:val="22"/>
        </w:rPr>
      </w:pPr>
    </w:p>
    <w:p w:rsidR="00FB0E4C" w:rsidRDefault="00FB0E4C" w:rsidP="00A62A41">
      <w:pPr>
        <w:spacing w:line="360" w:lineRule="auto"/>
        <w:jc w:val="both"/>
        <w:rPr>
          <w:rFonts w:ascii="Arial" w:hAnsi="Arial"/>
          <w:szCs w:val="22"/>
        </w:rPr>
      </w:pPr>
      <w:r>
        <w:rPr>
          <w:rFonts w:ascii="Arial" w:hAnsi="Arial" w:cs="Arial"/>
          <w:spacing w:val="-3"/>
        </w:rPr>
        <w:t xml:space="preserve">De más está por decir que, los requisitos de que la obligación a ejecutar, sea </w:t>
      </w:r>
      <w:r w:rsidRPr="003954A1">
        <w:rPr>
          <w:rFonts w:ascii="Arial" w:hAnsi="Arial"/>
          <w:szCs w:val="22"/>
          <w:u w:val="single"/>
        </w:rPr>
        <w:t>clara, expresa y exigible</w:t>
      </w:r>
      <w:r w:rsidRPr="00316E79">
        <w:rPr>
          <w:rFonts w:ascii="Arial" w:hAnsi="Arial"/>
          <w:szCs w:val="22"/>
        </w:rPr>
        <w:t>, aplica</w:t>
      </w:r>
      <w:r>
        <w:rPr>
          <w:rFonts w:ascii="Arial" w:hAnsi="Arial"/>
          <w:szCs w:val="22"/>
        </w:rPr>
        <w:t>n también para las ejecuciones de hacer, así lo recuerda la doctrina del profesor López Blanco</w:t>
      </w:r>
      <w:r>
        <w:rPr>
          <w:rStyle w:val="Refdenotaalpie"/>
          <w:rFonts w:ascii="Arial" w:hAnsi="Arial"/>
          <w:szCs w:val="22"/>
        </w:rPr>
        <w:footnoteReference w:id="15"/>
      </w:r>
      <w:r>
        <w:rPr>
          <w:rFonts w:ascii="Arial" w:hAnsi="Arial"/>
          <w:szCs w:val="22"/>
        </w:rPr>
        <w:t>, cuando define el contenido del título ejecutivo.</w:t>
      </w:r>
    </w:p>
    <w:p w:rsidR="00FB0E4C" w:rsidRPr="00EC1837" w:rsidRDefault="00FB0E4C" w:rsidP="00A62A41">
      <w:pPr>
        <w:spacing w:line="360" w:lineRule="auto"/>
        <w:jc w:val="both"/>
        <w:rPr>
          <w:rFonts w:ascii="Arial" w:hAnsi="Arial"/>
          <w:szCs w:val="22"/>
        </w:rPr>
      </w:pPr>
    </w:p>
    <w:p w:rsidR="00A62A41" w:rsidRPr="00EC1837" w:rsidRDefault="00A62A41" w:rsidP="00A62A41">
      <w:pPr>
        <w:pStyle w:val="Sinespaciado"/>
        <w:spacing w:line="360" w:lineRule="auto"/>
        <w:jc w:val="both"/>
        <w:rPr>
          <w:rFonts w:ascii="Arial" w:hAnsi="Arial" w:cs="Arial"/>
          <w:sz w:val="24"/>
        </w:rPr>
      </w:pPr>
      <w:r w:rsidRPr="00EC1837">
        <w:rPr>
          <w:rFonts w:ascii="Arial" w:hAnsi="Arial" w:cs="Arial"/>
          <w:sz w:val="24"/>
        </w:rPr>
        <w:t>Cuando de examinar un título ejecutivo se trata, resulta artificial pensar que semejante carácter lo determina la demanda y la fundamentación expuesta por la parte actora, ello no suma un ápice siquiera a tal carácter. La ejecutividad deriva de los contenidos materiales del documento exhibido y no de la mera enunciación formal que sobre él se haga o contenga, es que la naturaleza de las cosas es inmutable, y las afirmaciones que de ella se prediquen carecen de entidad para mutarlas.</w:t>
      </w:r>
    </w:p>
    <w:p w:rsidR="00A62A41" w:rsidRPr="00EC1837" w:rsidRDefault="00A62A41" w:rsidP="00A62A41">
      <w:pPr>
        <w:pStyle w:val="Sinespaciado"/>
        <w:spacing w:line="360" w:lineRule="auto"/>
        <w:jc w:val="both"/>
        <w:rPr>
          <w:rFonts w:ascii="Arial" w:hAnsi="Arial" w:cs="Arial"/>
          <w:sz w:val="24"/>
        </w:rPr>
      </w:pPr>
    </w:p>
    <w:p w:rsidR="00A62A41" w:rsidRDefault="00A62A41" w:rsidP="00A62A41">
      <w:pPr>
        <w:pStyle w:val="Sinespaciado"/>
        <w:spacing w:line="360" w:lineRule="auto"/>
        <w:jc w:val="both"/>
        <w:rPr>
          <w:rFonts w:ascii="Arial" w:hAnsi="Arial" w:cs="Arial"/>
          <w:sz w:val="24"/>
        </w:rPr>
      </w:pPr>
      <w:r w:rsidRPr="00EC1837">
        <w:rPr>
          <w:rFonts w:ascii="Arial" w:hAnsi="Arial" w:cs="Arial"/>
          <w:sz w:val="24"/>
        </w:rPr>
        <w:t>En manera alguna el tema es nuevo en la doctrina, por vía de ejemplo, entre otros, cítanse dos autores</w:t>
      </w:r>
      <w:r w:rsidRPr="00EC1837">
        <w:rPr>
          <w:rStyle w:val="Refdenotaalpie"/>
          <w:rFonts w:ascii="Arial" w:hAnsi="Arial" w:cs="Arial"/>
          <w:sz w:val="24"/>
        </w:rPr>
        <w:footnoteReference w:id="16"/>
      </w:r>
      <w:r w:rsidRPr="00EC1837">
        <w:rPr>
          <w:rFonts w:ascii="Arial" w:hAnsi="Arial" w:cs="Arial"/>
          <w:sz w:val="24"/>
        </w:rPr>
        <w:t xml:space="preserve"> partidarios del deber del juzgador para revisar el título ejecutivo, exponen: “</w:t>
      </w:r>
      <w:r w:rsidRPr="00EC1837">
        <w:rPr>
          <w:rFonts w:ascii="Arial" w:hAnsi="Arial" w:cs="Arial"/>
          <w:i/>
        </w:rPr>
        <w:t xml:space="preserve">(…) pues cuando se dirige a éste (Se refiere al juez) una demanda de ejecución, </w:t>
      </w:r>
      <w:r w:rsidRPr="00EC1837">
        <w:rPr>
          <w:rFonts w:ascii="Arial" w:hAnsi="Arial" w:cs="Arial"/>
          <w:i/>
          <w:u w:val="single"/>
        </w:rPr>
        <w:t xml:space="preserve">debe ante todo </w:t>
      </w:r>
      <w:r w:rsidRPr="00EC1837">
        <w:rPr>
          <w:rFonts w:ascii="Arial" w:hAnsi="Arial" w:cs="Arial"/>
          <w:i/>
          <w:u w:val="single"/>
        </w:rPr>
        <w:lastRenderedPageBreak/>
        <w:t>examinar de oficio si existe un título ejecutivo que la respalda</w:t>
      </w:r>
      <w:r w:rsidRPr="00EC1837">
        <w:rPr>
          <w:rFonts w:ascii="Arial" w:hAnsi="Arial" w:cs="Arial"/>
          <w:i/>
        </w:rPr>
        <w:t>, y si dicho título no aparece deberá negar la ejecución, como denegada es la sentencia favorable si no se halla comprobada la pretensión correspondiente.</w:t>
      </w:r>
      <w:r w:rsidRPr="00EC1837">
        <w:rPr>
          <w:rFonts w:ascii="Arial" w:hAnsi="Arial" w:cs="Arial"/>
          <w:sz w:val="24"/>
        </w:rPr>
        <w:t>”. Sublínea y paréntesis extratextual. Con apoyo en las mismas ideas, señala otro autor</w:t>
      </w:r>
      <w:r w:rsidRPr="00EC1837">
        <w:rPr>
          <w:rStyle w:val="Refdenotaalpie"/>
          <w:rFonts w:ascii="Arial" w:hAnsi="Arial" w:cs="Arial"/>
          <w:sz w:val="24"/>
        </w:rPr>
        <w:footnoteReference w:id="17"/>
      </w:r>
      <w:r w:rsidRPr="00EC1837">
        <w:rPr>
          <w:rFonts w:ascii="Arial" w:hAnsi="Arial" w:cs="Arial"/>
          <w:sz w:val="24"/>
        </w:rPr>
        <w:t>: “</w:t>
      </w:r>
      <w:r w:rsidRPr="00EC1837">
        <w:rPr>
          <w:rFonts w:ascii="Arial" w:hAnsi="Arial" w:cs="Arial"/>
          <w:i/>
        </w:rPr>
        <w:t>Queda claramente establecido que en el proceso ejecutivo el juez debe aplicar las disposiciones que le permiten inadmitir o rechazar una demanda. (…)</w:t>
      </w:r>
      <w:r w:rsidRPr="00EC1837">
        <w:rPr>
          <w:rFonts w:ascii="Arial" w:hAnsi="Arial" w:cs="Arial"/>
          <w:sz w:val="24"/>
        </w:rPr>
        <w:t xml:space="preserve">”. </w:t>
      </w:r>
    </w:p>
    <w:p w:rsidR="00D5672E" w:rsidRPr="00EC1837" w:rsidRDefault="00D5672E" w:rsidP="00A62A41">
      <w:pPr>
        <w:pStyle w:val="Sinespaciado"/>
        <w:spacing w:line="360" w:lineRule="auto"/>
        <w:jc w:val="both"/>
        <w:rPr>
          <w:rFonts w:ascii="Arial" w:hAnsi="Arial" w:cs="Arial"/>
          <w:sz w:val="24"/>
        </w:rPr>
      </w:pPr>
    </w:p>
    <w:p w:rsidR="00A62A41" w:rsidRDefault="00A62A41" w:rsidP="00A62A41">
      <w:pPr>
        <w:pStyle w:val="Sinespaciado"/>
        <w:spacing w:line="360" w:lineRule="auto"/>
        <w:ind w:right="51"/>
        <w:jc w:val="both"/>
        <w:rPr>
          <w:rFonts w:ascii="Arial" w:hAnsi="Arial" w:cs="Arial"/>
          <w:sz w:val="24"/>
        </w:rPr>
      </w:pPr>
      <w:r w:rsidRPr="00EC1837">
        <w:rPr>
          <w:rFonts w:ascii="Arial" w:hAnsi="Arial" w:cs="Arial"/>
          <w:sz w:val="24"/>
        </w:rPr>
        <w:t>De igual criterio, y más contundente si se quiere, el profesor Parra Quijano</w:t>
      </w:r>
      <w:r w:rsidRPr="00EC1837">
        <w:rPr>
          <w:rStyle w:val="Refdenotaalpie"/>
          <w:rFonts w:ascii="Arial" w:hAnsi="Arial" w:cs="Arial"/>
          <w:sz w:val="24"/>
        </w:rPr>
        <w:footnoteReference w:id="18"/>
      </w:r>
      <w:r w:rsidRPr="00EC1837">
        <w:rPr>
          <w:rFonts w:ascii="Arial" w:hAnsi="Arial" w:cs="Arial"/>
          <w:sz w:val="24"/>
        </w:rPr>
        <w:t xml:space="preserve"> cuando afirma: “</w:t>
      </w:r>
      <w:r w:rsidRPr="00EC1837">
        <w:rPr>
          <w:rFonts w:ascii="Arial" w:hAnsi="Arial" w:cs="Arial"/>
          <w:i/>
        </w:rPr>
        <w:t xml:space="preserve">El juez debe estudiar con mucho cuidado si la demanda reúne los requisitos legales. </w:t>
      </w:r>
      <w:r w:rsidRPr="00EC1837">
        <w:rPr>
          <w:rFonts w:ascii="Arial" w:hAnsi="Arial" w:cs="Arial"/>
          <w:i/>
          <w:u w:val="single"/>
        </w:rPr>
        <w:t>El documento ejecutivo extrajudicial debe ser estudiado con especial cuidado</w:t>
      </w:r>
      <w:r w:rsidRPr="00EC1837">
        <w:rPr>
          <w:rFonts w:ascii="Arial" w:hAnsi="Arial" w:cs="Arial"/>
          <w:i/>
        </w:rPr>
        <w:t xml:space="preserve">. Copiando a PODETTI, se puede decir que el juez debe observar si el documento presentado “es la constatación fehaciente de una obligación exigible”. </w:t>
      </w:r>
      <w:r w:rsidRPr="00EC1837">
        <w:rPr>
          <w:rFonts w:ascii="Arial" w:hAnsi="Arial" w:cs="Arial"/>
          <w:i/>
          <w:sz w:val="20"/>
        </w:rPr>
        <w:t>LA EXPERIENCIA MUESTRA QUE UN MANDAMIENTO EJECUTIVO LIBRADO SIN MAYOR ESTUDIO, LE PRODUCE DAÑO A TODOS LOS VINCULADOS AL PROCESO.</w:t>
      </w:r>
      <w:r w:rsidRPr="00EC1837">
        <w:rPr>
          <w:rFonts w:ascii="Arial" w:hAnsi="Arial" w:cs="Arial"/>
          <w:i/>
        </w:rPr>
        <w:t xml:space="preserve"> (…)</w:t>
      </w:r>
      <w:r w:rsidRPr="00EC1837">
        <w:rPr>
          <w:rFonts w:ascii="Arial" w:hAnsi="Arial" w:cs="Arial"/>
          <w:sz w:val="24"/>
        </w:rPr>
        <w:t>”. El subrayado</w:t>
      </w:r>
      <w:r w:rsidR="00916203">
        <w:rPr>
          <w:rFonts w:ascii="Arial" w:hAnsi="Arial" w:cs="Arial"/>
          <w:sz w:val="24"/>
        </w:rPr>
        <w:t xml:space="preserve"> y</w:t>
      </w:r>
      <w:r w:rsidRPr="00EC1837">
        <w:rPr>
          <w:rFonts w:ascii="Arial" w:hAnsi="Arial" w:cs="Arial"/>
          <w:sz w:val="24"/>
        </w:rPr>
        <w:t xml:space="preserve"> las mayúsculas son nuestras.</w:t>
      </w:r>
    </w:p>
    <w:p w:rsidR="00A62A41" w:rsidRDefault="00A62A41" w:rsidP="006C3BB0">
      <w:pPr>
        <w:pStyle w:val="Cuerpodeltexto0"/>
        <w:shd w:val="clear" w:color="auto" w:fill="auto"/>
        <w:spacing w:after="0" w:line="360" w:lineRule="auto"/>
        <w:ind w:left="567" w:right="567"/>
        <w:rPr>
          <w:rFonts w:ascii="Arial" w:hAnsi="Arial" w:cs="Arial"/>
          <w:sz w:val="24"/>
          <w:szCs w:val="28"/>
          <w:shd w:val="clear" w:color="auto" w:fill="FFFFFF"/>
        </w:rPr>
      </w:pPr>
    </w:p>
    <w:p w:rsidR="00EA6DBB" w:rsidRPr="00B44961" w:rsidRDefault="00EA6DBB" w:rsidP="006C3BB0">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B44961">
        <w:rPr>
          <w:rFonts w:ascii="Arial" w:hAnsi="Arial" w:cs="Arial"/>
        </w:rPr>
        <w:t>El análisis del caso concreto</w:t>
      </w:r>
    </w:p>
    <w:p w:rsidR="00E117CD" w:rsidRDefault="00E117CD" w:rsidP="006C3BB0">
      <w:pPr>
        <w:pStyle w:val="Cuerpodeltexto0"/>
        <w:shd w:val="clear" w:color="auto" w:fill="auto"/>
        <w:spacing w:after="0" w:line="360" w:lineRule="auto"/>
        <w:ind w:left="567" w:right="567"/>
        <w:rPr>
          <w:rFonts w:ascii="Arial" w:hAnsi="Arial" w:cs="Arial"/>
          <w:sz w:val="24"/>
          <w:szCs w:val="28"/>
          <w:shd w:val="clear" w:color="auto" w:fill="FFFFFF"/>
          <w:lang w:val="es-CO"/>
        </w:rPr>
      </w:pPr>
    </w:p>
    <w:p w:rsidR="00856B78" w:rsidRDefault="003964CD" w:rsidP="00D5672E">
      <w:pPr>
        <w:pStyle w:val="Sinespaciado"/>
        <w:spacing w:line="360" w:lineRule="auto"/>
        <w:jc w:val="both"/>
        <w:rPr>
          <w:rFonts w:ascii="Arial" w:hAnsi="Arial" w:cs="Arial"/>
          <w:sz w:val="24"/>
          <w:szCs w:val="24"/>
        </w:rPr>
      </w:pPr>
      <w:r>
        <w:rPr>
          <w:rFonts w:ascii="Arial" w:hAnsi="Arial" w:cs="Arial"/>
          <w:sz w:val="24"/>
        </w:rPr>
        <w:t xml:space="preserve">El punto es </w:t>
      </w:r>
      <w:r w:rsidR="003C1917">
        <w:rPr>
          <w:rFonts w:ascii="Arial" w:hAnsi="Arial" w:cs="Arial"/>
          <w:sz w:val="24"/>
        </w:rPr>
        <w:t>determinar si el documento presentado, reúne los requisitos del artículo 422 del CGP, pues la juzgadora de primera instancia entendió que carecía de ellos y por lo tanto, se trataba de una obligación que no era clara, expresa y exigible</w:t>
      </w:r>
      <w:r w:rsidR="005674EB">
        <w:rPr>
          <w:rFonts w:ascii="Arial" w:hAnsi="Arial" w:cs="Arial"/>
          <w:sz w:val="24"/>
        </w:rPr>
        <w:t xml:space="preserve"> para lo pretendido con la demanda</w:t>
      </w:r>
      <w:r w:rsidR="00D5672E">
        <w:rPr>
          <w:rFonts w:ascii="Arial" w:hAnsi="Arial" w:cs="Arial"/>
          <w:sz w:val="24"/>
          <w:szCs w:val="24"/>
        </w:rPr>
        <w:t xml:space="preserve">. </w:t>
      </w:r>
    </w:p>
    <w:p w:rsidR="00856B78" w:rsidRDefault="00856B78" w:rsidP="00D5672E">
      <w:pPr>
        <w:pStyle w:val="Sinespaciado"/>
        <w:spacing w:line="360" w:lineRule="auto"/>
        <w:jc w:val="both"/>
        <w:rPr>
          <w:rFonts w:ascii="Arial" w:hAnsi="Arial" w:cs="Arial"/>
          <w:sz w:val="24"/>
          <w:szCs w:val="24"/>
        </w:rPr>
      </w:pPr>
    </w:p>
    <w:p w:rsidR="00DB7697" w:rsidRDefault="003964CD" w:rsidP="00D5672E">
      <w:pPr>
        <w:pStyle w:val="Sinespaciado"/>
        <w:spacing w:line="360" w:lineRule="auto"/>
        <w:jc w:val="both"/>
        <w:rPr>
          <w:rFonts w:ascii="Arial" w:hAnsi="Arial" w:cs="Arial"/>
          <w:sz w:val="24"/>
        </w:rPr>
      </w:pPr>
      <w:r>
        <w:rPr>
          <w:rFonts w:ascii="Arial" w:hAnsi="Arial" w:cs="Arial"/>
          <w:sz w:val="24"/>
        </w:rPr>
        <w:t xml:space="preserve">Se dijo en </w:t>
      </w:r>
      <w:r w:rsidR="005674EB">
        <w:rPr>
          <w:rFonts w:ascii="Arial" w:hAnsi="Arial" w:cs="Arial"/>
          <w:sz w:val="24"/>
        </w:rPr>
        <w:t xml:space="preserve">el introductorio </w:t>
      </w:r>
      <w:r>
        <w:rPr>
          <w:rFonts w:ascii="Arial" w:hAnsi="Arial" w:cs="Arial"/>
          <w:sz w:val="24"/>
        </w:rPr>
        <w:t xml:space="preserve">que el </w:t>
      </w:r>
      <w:r w:rsidRPr="00EC1837">
        <w:rPr>
          <w:rFonts w:ascii="Arial" w:hAnsi="Arial" w:cs="Arial"/>
          <w:sz w:val="24"/>
        </w:rPr>
        <w:t>título ejecutivo</w:t>
      </w:r>
      <w:r>
        <w:rPr>
          <w:rFonts w:ascii="Arial" w:hAnsi="Arial" w:cs="Arial"/>
          <w:sz w:val="24"/>
        </w:rPr>
        <w:t>, surgía de devolución de l</w:t>
      </w:r>
      <w:r>
        <w:rPr>
          <w:rFonts w:ascii="Arial" w:hAnsi="Arial"/>
          <w:sz w:val="24"/>
          <w:szCs w:val="24"/>
        </w:rPr>
        <w:t xml:space="preserve">a “escritura pública número 6411 del 30-12-2013” </w:t>
      </w:r>
      <w:r w:rsidR="00FD7256">
        <w:rPr>
          <w:rFonts w:ascii="Arial" w:hAnsi="Arial"/>
          <w:sz w:val="24"/>
          <w:szCs w:val="24"/>
        </w:rPr>
        <w:t>(Folios</w:t>
      </w:r>
      <w:r w:rsidR="00363ED2">
        <w:rPr>
          <w:rFonts w:ascii="Arial" w:hAnsi="Arial"/>
          <w:sz w:val="24"/>
          <w:szCs w:val="24"/>
        </w:rPr>
        <w:t xml:space="preserve"> 2 a 11, cuaderno No.1) </w:t>
      </w:r>
      <w:r w:rsidR="008A6818">
        <w:rPr>
          <w:rFonts w:ascii="Arial" w:hAnsi="Arial"/>
          <w:sz w:val="24"/>
          <w:szCs w:val="24"/>
        </w:rPr>
        <w:t xml:space="preserve">que obligaba </w:t>
      </w:r>
      <w:r w:rsidR="00DB7697">
        <w:rPr>
          <w:rFonts w:ascii="Arial" w:hAnsi="Arial"/>
          <w:sz w:val="24"/>
          <w:szCs w:val="24"/>
        </w:rPr>
        <w:t xml:space="preserve">al vendedor </w:t>
      </w:r>
      <w:r w:rsidR="008A6818">
        <w:rPr>
          <w:rFonts w:ascii="Arial" w:hAnsi="Arial"/>
          <w:sz w:val="24"/>
          <w:szCs w:val="24"/>
        </w:rPr>
        <w:t xml:space="preserve">a </w:t>
      </w:r>
      <w:r w:rsidR="008A6818">
        <w:rPr>
          <w:rFonts w:ascii="Arial" w:hAnsi="Arial" w:cs="Arial"/>
          <w:sz w:val="24"/>
        </w:rPr>
        <w:t>suscribir un instrumento</w:t>
      </w:r>
      <w:r>
        <w:rPr>
          <w:rFonts w:ascii="Arial" w:hAnsi="Arial" w:cs="Arial"/>
          <w:sz w:val="24"/>
        </w:rPr>
        <w:t xml:space="preserve"> aclaratori</w:t>
      </w:r>
      <w:r w:rsidR="008A6818">
        <w:rPr>
          <w:rFonts w:ascii="Arial" w:hAnsi="Arial" w:cs="Arial"/>
          <w:sz w:val="24"/>
        </w:rPr>
        <w:t>o</w:t>
      </w:r>
      <w:r w:rsidR="000645E7">
        <w:rPr>
          <w:rFonts w:ascii="Arial" w:hAnsi="Arial" w:cs="Arial"/>
          <w:sz w:val="24"/>
        </w:rPr>
        <w:t xml:space="preserve"> a favor del comprador</w:t>
      </w:r>
      <w:r w:rsidR="008A6818">
        <w:rPr>
          <w:rFonts w:ascii="Arial" w:hAnsi="Arial" w:cs="Arial"/>
          <w:sz w:val="24"/>
        </w:rPr>
        <w:t>.</w:t>
      </w:r>
      <w:r w:rsidR="00A73CBA">
        <w:rPr>
          <w:rFonts w:ascii="Arial" w:hAnsi="Arial" w:cs="Arial"/>
          <w:sz w:val="24"/>
        </w:rPr>
        <w:t xml:space="preserve"> </w:t>
      </w:r>
    </w:p>
    <w:p w:rsidR="00DB7697" w:rsidRDefault="00DB7697" w:rsidP="00D5672E">
      <w:pPr>
        <w:pStyle w:val="Sinespaciado"/>
        <w:spacing w:line="360" w:lineRule="auto"/>
        <w:jc w:val="both"/>
        <w:rPr>
          <w:rFonts w:ascii="Arial" w:hAnsi="Arial" w:cs="Arial"/>
          <w:sz w:val="24"/>
        </w:rPr>
      </w:pPr>
    </w:p>
    <w:p w:rsidR="00416E4A" w:rsidRDefault="00416E4A" w:rsidP="00416E4A">
      <w:pPr>
        <w:spacing w:line="360" w:lineRule="auto"/>
        <w:jc w:val="both"/>
        <w:rPr>
          <w:rFonts w:ascii="Arial" w:hAnsi="Arial" w:cs="Arial"/>
        </w:rPr>
      </w:pPr>
      <w:r w:rsidRPr="00AF6F06">
        <w:rPr>
          <w:rFonts w:ascii="Arial" w:hAnsi="Arial" w:cs="Arial"/>
        </w:rPr>
        <w:t>La obligación reclamada no se deriva del negocio jurídico compraventa (No “promesa” de compraventa, como se entendió por el Juzgado) que se contiene en la escritura pública No.6411 ya mencionada, pues ningún e</w:t>
      </w:r>
      <w:r>
        <w:rPr>
          <w:rFonts w:ascii="Arial" w:hAnsi="Arial" w:cs="Arial"/>
        </w:rPr>
        <w:t xml:space="preserve">nunciado se aprecia en su texto de tal suerte que pueda inferirse la existencia de una prestación con sus elementos básicos o esenciales: deudor, acreedor y prestación con sus modalidades (Plazo y modo).  Nada le agrega la nota devolutiva de la Oficina de Instrumentos Públicos de esta ciudad (Folio 19, ídem).  </w:t>
      </w:r>
    </w:p>
    <w:p w:rsidR="00416E4A" w:rsidRDefault="00416E4A" w:rsidP="00416E4A">
      <w:pPr>
        <w:spacing w:line="360" w:lineRule="auto"/>
        <w:jc w:val="both"/>
        <w:rPr>
          <w:rFonts w:ascii="Arial" w:hAnsi="Arial" w:cs="Arial"/>
        </w:rPr>
      </w:pPr>
    </w:p>
    <w:p w:rsidR="00416E4A" w:rsidRDefault="00416E4A" w:rsidP="00416E4A">
      <w:pPr>
        <w:spacing w:line="360" w:lineRule="auto"/>
        <w:jc w:val="both"/>
        <w:rPr>
          <w:rFonts w:ascii="Arial" w:hAnsi="Arial" w:cs="Arial"/>
        </w:rPr>
      </w:pPr>
      <w:r>
        <w:rPr>
          <w:rFonts w:ascii="Arial" w:hAnsi="Arial" w:cs="Arial"/>
        </w:rPr>
        <w:t>En parte alguna figura que el deudor, ejecutado para efectos procesales, se haya obligado a la suscripción de una escritura aclaratoria con ocasión de las correcciones al área y número de matrícula del bien objeto del convenio negocial, a favor del acreedor-</w:t>
      </w:r>
      <w:r>
        <w:rPr>
          <w:rFonts w:ascii="Arial" w:hAnsi="Arial" w:cs="Arial"/>
        </w:rPr>
        <w:lastRenderedPageBreak/>
        <w:t xml:space="preserve">ejecutante, menos puede hallarse tal obligación de hacer en norma alguna, acaso el Decreto 960 de 1970 o alguna otra, que tampoco fue aludida.  </w:t>
      </w:r>
    </w:p>
    <w:p w:rsidR="00416E4A" w:rsidRDefault="00416E4A" w:rsidP="00416E4A">
      <w:pPr>
        <w:spacing w:line="360" w:lineRule="auto"/>
        <w:jc w:val="both"/>
        <w:rPr>
          <w:rFonts w:ascii="Arial" w:hAnsi="Arial" w:cs="Arial"/>
        </w:rPr>
      </w:pPr>
    </w:p>
    <w:p w:rsidR="00416E4A" w:rsidRDefault="00416E4A" w:rsidP="00416E4A">
      <w:pPr>
        <w:spacing w:line="360" w:lineRule="auto"/>
        <w:jc w:val="both"/>
        <w:rPr>
          <w:rFonts w:ascii="Arial" w:hAnsi="Arial" w:cs="Arial"/>
        </w:rPr>
      </w:pPr>
      <w:r>
        <w:rPr>
          <w:rFonts w:ascii="Arial" w:hAnsi="Arial" w:cs="Arial"/>
        </w:rPr>
        <w:t>Ahora, con vista en la súplica postulada, que se reclame, como afirma el recurrente, que nace la obligación de suscripción, por haberse perfeccionado el contrato con título y modo, no se comparte en esta sede un razonamiento semejante, pues déb</w:t>
      </w:r>
      <w:r w:rsidR="00200ED7">
        <w:rPr>
          <w:rFonts w:ascii="Arial" w:hAnsi="Arial" w:cs="Arial"/>
        </w:rPr>
        <w:t>e</w:t>
      </w:r>
      <w:r>
        <w:rPr>
          <w:rFonts w:ascii="Arial" w:hAnsi="Arial" w:cs="Arial"/>
        </w:rPr>
        <w:t xml:space="preserve">se distinguir que para reputar perfecta la compraventa </w:t>
      </w:r>
      <w:r w:rsidRPr="007D11BC">
        <w:rPr>
          <w:rFonts w:ascii="Arial" w:hAnsi="Arial" w:cs="Arial"/>
          <w:u w:val="single"/>
        </w:rPr>
        <w:t>basta acuerdo entre precio y bien</w:t>
      </w:r>
      <w:r>
        <w:rPr>
          <w:rFonts w:ascii="Arial" w:hAnsi="Arial" w:cs="Arial"/>
        </w:rPr>
        <w:t xml:space="preserve"> (Cosa), documentado en escritura pública, para el caso de los inmuebles, como paladinamente enseña el artículo 1857 CC, cuyo tenor literal ilustra con suficiencia: “</w:t>
      </w:r>
      <w:r w:rsidRPr="007D11BC">
        <w:rPr>
          <w:rFonts w:ascii="Arial" w:hAnsi="Arial" w:cs="Arial"/>
          <w:i/>
          <w:sz w:val="20"/>
        </w:rPr>
        <w:t>La venta se reputa perfecta desde que las partes han convenido en la cosa y en el precio, salvo las excepciones siguientes: La venta de los bienes raíces y servidumbre y la de la sucesión hereditaria, no se reputan perfectas ante la ley, mientras no se ha otorgado escritura pública. (…)</w:t>
      </w:r>
      <w:r>
        <w:rPr>
          <w:rFonts w:ascii="Arial" w:hAnsi="Arial" w:cs="Arial"/>
        </w:rPr>
        <w:t>”.  Es decir, para entender “perfecta” o válida la obligación de transferir el dominio no se requiere el modo, suficiente es el título, esto es, la compraventa</w:t>
      </w:r>
      <w:r>
        <w:rPr>
          <w:rStyle w:val="Refdenotaalpie"/>
          <w:rFonts w:ascii="Arial" w:hAnsi="Arial" w:cs="Arial"/>
        </w:rPr>
        <w:footnoteReference w:id="19"/>
      </w:r>
      <w:r>
        <w:rPr>
          <w:rFonts w:ascii="Arial" w:hAnsi="Arial" w:cs="Arial"/>
        </w:rPr>
        <w:t>.</w:t>
      </w:r>
    </w:p>
    <w:p w:rsidR="00416E4A" w:rsidRDefault="00416E4A" w:rsidP="00416E4A">
      <w:pPr>
        <w:spacing w:line="360" w:lineRule="auto"/>
        <w:jc w:val="both"/>
        <w:rPr>
          <w:rFonts w:ascii="Arial" w:hAnsi="Arial" w:cs="Arial"/>
        </w:rPr>
      </w:pPr>
    </w:p>
    <w:p w:rsidR="008C49D3" w:rsidRDefault="00416E4A" w:rsidP="00416E4A">
      <w:pPr>
        <w:spacing w:line="360" w:lineRule="auto"/>
        <w:jc w:val="both"/>
        <w:rPr>
          <w:rFonts w:ascii="Arial" w:hAnsi="Arial" w:cs="Arial"/>
        </w:rPr>
      </w:pPr>
      <w:r>
        <w:rPr>
          <w:rFonts w:ascii="Arial" w:hAnsi="Arial" w:cs="Arial"/>
        </w:rPr>
        <w:t>Entonces, surge nítido que el modo</w:t>
      </w:r>
      <w:r>
        <w:rPr>
          <w:rStyle w:val="Refdenotaalpie"/>
          <w:rFonts w:ascii="Arial" w:hAnsi="Arial" w:cs="Arial"/>
        </w:rPr>
        <w:footnoteReference w:id="20"/>
      </w:r>
      <w:r>
        <w:rPr>
          <w:rFonts w:ascii="Arial" w:hAnsi="Arial" w:cs="Arial"/>
        </w:rPr>
        <w:t>, que es la tradición en tratándose de inmuebles o bienes sujetos a registro, hace parte de la ejecución de la prestación, no del perfeccionamiento como se alega.</w:t>
      </w:r>
    </w:p>
    <w:p w:rsidR="008C49D3" w:rsidRDefault="008C49D3" w:rsidP="00416E4A">
      <w:pPr>
        <w:spacing w:line="360" w:lineRule="auto"/>
        <w:jc w:val="both"/>
        <w:rPr>
          <w:rFonts w:ascii="Arial" w:hAnsi="Arial" w:cs="Arial"/>
        </w:rPr>
      </w:pPr>
    </w:p>
    <w:p w:rsidR="00416E4A" w:rsidRDefault="00416E4A" w:rsidP="00416E4A">
      <w:pPr>
        <w:spacing w:line="360" w:lineRule="auto"/>
        <w:jc w:val="both"/>
        <w:rPr>
          <w:rFonts w:ascii="Arial" w:hAnsi="Arial" w:cs="Arial"/>
        </w:rPr>
      </w:pPr>
      <w:r>
        <w:rPr>
          <w:rFonts w:ascii="Arial" w:hAnsi="Arial" w:cs="Arial"/>
        </w:rPr>
        <w:t xml:space="preserve">Ahora, válida la compraventa del inmueble celebrada, </w:t>
      </w:r>
      <w:r w:rsidRPr="004E3303">
        <w:rPr>
          <w:rFonts w:ascii="Arial" w:hAnsi="Arial" w:cs="Arial"/>
          <w:u w:val="single"/>
        </w:rPr>
        <w:t xml:space="preserve">en manera </w:t>
      </w:r>
      <w:r>
        <w:rPr>
          <w:rFonts w:ascii="Arial" w:hAnsi="Arial" w:cs="Arial"/>
          <w:u w:val="single"/>
        </w:rPr>
        <w:t xml:space="preserve">alguna ello </w:t>
      </w:r>
      <w:r w:rsidRPr="004E3303">
        <w:rPr>
          <w:rFonts w:ascii="Arial" w:hAnsi="Arial" w:cs="Arial"/>
          <w:u w:val="single"/>
        </w:rPr>
        <w:t xml:space="preserve">permite inferir que connota </w:t>
      </w:r>
      <w:r w:rsidRPr="007D11BC">
        <w:rPr>
          <w:rFonts w:ascii="Arial" w:hAnsi="Arial" w:cs="Arial"/>
          <w:u w:val="single"/>
        </w:rPr>
        <w:t xml:space="preserve">la prestación </w:t>
      </w:r>
      <w:r w:rsidR="00F704CD">
        <w:rPr>
          <w:rFonts w:ascii="Arial" w:hAnsi="Arial" w:cs="Arial"/>
          <w:u w:val="single"/>
        </w:rPr>
        <w:t xml:space="preserve">aquí </w:t>
      </w:r>
      <w:r>
        <w:rPr>
          <w:rFonts w:ascii="Arial" w:hAnsi="Arial" w:cs="Arial"/>
          <w:u w:val="single"/>
        </w:rPr>
        <w:t>alegada en cabeza del vendedor, pues</w:t>
      </w:r>
      <w:r w:rsidRPr="007D11BC">
        <w:rPr>
          <w:rFonts w:ascii="Arial" w:hAnsi="Arial" w:cs="Arial"/>
          <w:u w:val="single"/>
        </w:rPr>
        <w:t xml:space="preserve"> no dimana de </w:t>
      </w:r>
      <w:r>
        <w:rPr>
          <w:rFonts w:ascii="Arial" w:hAnsi="Arial" w:cs="Arial"/>
          <w:u w:val="single"/>
        </w:rPr>
        <w:t>ese contrato</w:t>
      </w:r>
      <w:r>
        <w:rPr>
          <w:rStyle w:val="Refdenotaalpie"/>
          <w:rFonts w:ascii="Arial" w:hAnsi="Arial" w:cs="Arial"/>
          <w:u w:val="single"/>
        </w:rPr>
        <w:footnoteReference w:id="21"/>
      </w:r>
      <w:r w:rsidR="008C49D3">
        <w:rPr>
          <w:rFonts w:ascii="Arial" w:hAnsi="Arial" w:cs="Arial"/>
          <w:u w:val="single"/>
        </w:rPr>
        <w:t xml:space="preserve"> y tampoco </w:t>
      </w:r>
      <w:r>
        <w:rPr>
          <w:rFonts w:ascii="Arial" w:hAnsi="Arial" w:cs="Arial"/>
          <w:u w:val="single"/>
        </w:rPr>
        <w:t>está contenida en los artículos 1880, 1862 y 1605 del CC</w:t>
      </w:r>
      <w:r>
        <w:rPr>
          <w:rFonts w:ascii="Arial" w:hAnsi="Arial" w:cs="Arial"/>
        </w:rPr>
        <w:t xml:space="preserve">; aun cuando sí </w:t>
      </w:r>
      <w:r w:rsidR="00F704CD">
        <w:rPr>
          <w:rFonts w:ascii="Arial" w:hAnsi="Arial" w:cs="Arial"/>
        </w:rPr>
        <w:t xml:space="preserve">pueden </w:t>
      </w:r>
      <w:r>
        <w:rPr>
          <w:rFonts w:ascii="Arial" w:hAnsi="Arial" w:cs="Arial"/>
        </w:rPr>
        <w:t>deriva</w:t>
      </w:r>
      <w:r w:rsidR="00F704CD">
        <w:rPr>
          <w:rFonts w:ascii="Arial" w:hAnsi="Arial" w:cs="Arial"/>
        </w:rPr>
        <w:t xml:space="preserve">rse </w:t>
      </w:r>
      <w:r>
        <w:rPr>
          <w:rFonts w:ascii="Arial" w:hAnsi="Arial" w:cs="Arial"/>
        </w:rPr>
        <w:t>otras obligaciones inherentes a tal negocio, más esas no fueron aquí pretendidas, como diáfanamente se evidencia en el acápite respectivo del cuerpo demandatorio que reza: “</w:t>
      </w:r>
      <w:r w:rsidRPr="004E3303">
        <w:rPr>
          <w:rFonts w:ascii="Arial" w:hAnsi="Arial" w:cs="Arial"/>
          <w:i/>
          <w:sz w:val="20"/>
        </w:rPr>
        <w:t>Que se ordene al señor (…) firmar la Escritura Pública Aclaratoria de la Escritura Pública  No.6411 del 30 de Diciembre de 2013 en la Notaria Cuarta de Pereira. (Sic)</w:t>
      </w:r>
      <w:r>
        <w:rPr>
          <w:rFonts w:ascii="Arial" w:hAnsi="Arial" w:cs="Arial"/>
        </w:rPr>
        <w:t>” (Folio 42 del cuaderno No.1) y el derecho subjetivo de acción permite al demandante modelar su pedimento, como a bien tenga, pues es el titular quien tiene esa potestad disposit</w:t>
      </w:r>
      <w:r w:rsidR="008C49D3">
        <w:rPr>
          <w:rFonts w:ascii="Arial" w:hAnsi="Arial" w:cs="Arial"/>
        </w:rPr>
        <w:t>i</w:t>
      </w:r>
      <w:r>
        <w:rPr>
          <w:rFonts w:ascii="Arial" w:hAnsi="Arial" w:cs="Arial"/>
        </w:rPr>
        <w:t>va, máxime cuando son de índole económico.</w:t>
      </w:r>
    </w:p>
    <w:p w:rsidR="004E0CCB" w:rsidRDefault="004E0CCB" w:rsidP="0047405D">
      <w:pPr>
        <w:pStyle w:val="Sinespaciado"/>
        <w:spacing w:line="360" w:lineRule="auto"/>
        <w:jc w:val="both"/>
        <w:rPr>
          <w:rFonts w:ascii="Arial" w:hAnsi="Arial" w:cs="Arial"/>
          <w:sz w:val="24"/>
          <w:lang w:val="es-CO"/>
        </w:rPr>
      </w:pPr>
    </w:p>
    <w:p w:rsidR="00B55798" w:rsidRDefault="00B55798" w:rsidP="00B55798">
      <w:pPr>
        <w:spacing w:line="360" w:lineRule="auto"/>
        <w:jc w:val="both"/>
        <w:rPr>
          <w:rFonts w:ascii="Arial" w:eastAsia="Tahoma" w:hAnsi="Arial" w:cs="Arial"/>
          <w:lang w:val="es-CO"/>
        </w:rPr>
      </w:pPr>
      <w:r w:rsidRPr="00E70527">
        <w:rPr>
          <w:rFonts w:ascii="Arial" w:eastAsia="Tahoma" w:hAnsi="Arial" w:cs="Arial"/>
          <w:lang w:val="es-CO"/>
        </w:rPr>
        <w:t>En</w:t>
      </w:r>
      <w:r>
        <w:rPr>
          <w:rFonts w:ascii="Arial" w:eastAsia="Tahoma" w:hAnsi="Arial" w:cs="Arial"/>
          <w:lang w:val="es-CO"/>
        </w:rPr>
        <w:t xml:space="preserve"> suma, </w:t>
      </w:r>
      <w:r w:rsidRPr="0041300C">
        <w:rPr>
          <w:rFonts w:ascii="Arial" w:hAnsi="Arial" w:cs="Arial"/>
          <w:szCs w:val="22"/>
        </w:rPr>
        <w:t xml:space="preserve">la impugnación no puede </w:t>
      </w:r>
      <w:r>
        <w:rPr>
          <w:rFonts w:ascii="Arial" w:hAnsi="Arial" w:cs="Arial"/>
          <w:szCs w:val="22"/>
        </w:rPr>
        <w:t>salir airosa</w:t>
      </w:r>
      <w:r>
        <w:rPr>
          <w:rFonts w:ascii="Arial" w:eastAsia="Tahoma" w:hAnsi="Arial" w:cs="Arial"/>
          <w:lang w:val="es-CO"/>
        </w:rPr>
        <w:t xml:space="preserve"> y</w:t>
      </w:r>
      <w:r w:rsidR="005F02C8">
        <w:rPr>
          <w:rFonts w:ascii="Arial" w:eastAsia="Tahoma" w:hAnsi="Arial" w:cs="Arial"/>
          <w:lang w:val="es-CO"/>
        </w:rPr>
        <w:t xml:space="preserve"> se </w:t>
      </w:r>
      <w:r w:rsidR="003B3275">
        <w:rPr>
          <w:rFonts w:ascii="Arial" w:eastAsia="Tahoma" w:hAnsi="Arial" w:cs="Arial"/>
          <w:lang w:val="es-CO"/>
        </w:rPr>
        <w:t>comparte lo dicho en</w:t>
      </w:r>
      <w:r w:rsidR="00B17E5D">
        <w:rPr>
          <w:rFonts w:ascii="Arial" w:eastAsia="Tahoma" w:hAnsi="Arial" w:cs="Arial"/>
          <w:lang w:val="es-CO"/>
        </w:rPr>
        <w:t xml:space="preserve"> primera instancia</w:t>
      </w:r>
      <w:r w:rsidR="005F02C8">
        <w:rPr>
          <w:rFonts w:ascii="Arial" w:eastAsia="Tahoma" w:hAnsi="Arial" w:cs="Arial"/>
          <w:lang w:val="es-CO"/>
        </w:rPr>
        <w:t>, aunque por razones diferentes, respecto a que se carece de un título que faculte la ejecución</w:t>
      </w:r>
      <w:r w:rsidR="003B3275">
        <w:rPr>
          <w:rFonts w:ascii="Arial" w:eastAsia="Tahoma" w:hAnsi="Arial" w:cs="Arial"/>
          <w:lang w:val="es-CO"/>
        </w:rPr>
        <w:t xml:space="preserve"> </w:t>
      </w:r>
      <w:r w:rsidR="005F02C8">
        <w:rPr>
          <w:rFonts w:ascii="Arial" w:eastAsia="Tahoma" w:hAnsi="Arial" w:cs="Arial"/>
          <w:lang w:val="es-CO"/>
        </w:rPr>
        <w:t xml:space="preserve">en la forma </w:t>
      </w:r>
      <w:r w:rsidR="003B3275">
        <w:rPr>
          <w:rFonts w:ascii="Arial" w:eastAsia="Tahoma" w:hAnsi="Arial" w:cs="Arial"/>
          <w:lang w:val="es-CO"/>
        </w:rPr>
        <w:t>pretendid</w:t>
      </w:r>
      <w:r w:rsidR="005F02C8">
        <w:rPr>
          <w:rFonts w:ascii="Arial" w:eastAsia="Tahoma" w:hAnsi="Arial" w:cs="Arial"/>
          <w:lang w:val="es-CO"/>
        </w:rPr>
        <w:t>a</w:t>
      </w:r>
      <w:r w:rsidR="00727FA4">
        <w:rPr>
          <w:rFonts w:ascii="Arial" w:eastAsia="Tahoma" w:hAnsi="Arial" w:cs="Arial"/>
          <w:lang w:val="es-CO"/>
        </w:rPr>
        <w:t xml:space="preserve"> en este caso</w:t>
      </w:r>
      <w:r w:rsidR="00B17E5D">
        <w:rPr>
          <w:rFonts w:ascii="Arial" w:eastAsia="Tahoma" w:hAnsi="Arial" w:cs="Arial"/>
          <w:lang w:val="es-CO"/>
        </w:rPr>
        <w:t>.</w:t>
      </w:r>
    </w:p>
    <w:p w:rsidR="00B55798" w:rsidRPr="00E70527" w:rsidRDefault="00B55798" w:rsidP="00B55798">
      <w:pPr>
        <w:spacing w:line="360" w:lineRule="auto"/>
        <w:jc w:val="both"/>
        <w:rPr>
          <w:rFonts w:ascii="Arial" w:eastAsia="Tahoma" w:hAnsi="Arial" w:cs="Arial"/>
          <w:lang w:val="es-CO"/>
        </w:rPr>
      </w:pPr>
    </w:p>
    <w:p w:rsidR="00B55798" w:rsidRPr="001F5B4D" w:rsidRDefault="00B55798" w:rsidP="00B55798">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lastRenderedPageBreak/>
        <w:t>L</w:t>
      </w:r>
      <w:r w:rsidRPr="001F5B4D">
        <w:rPr>
          <w:rFonts w:ascii="Arial" w:hAnsi="Arial" w:cs="Arial"/>
          <w:szCs w:val="22"/>
        </w:rPr>
        <w:t>AS DECISIONES FINALES</w:t>
      </w:r>
    </w:p>
    <w:p w:rsidR="00B55798" w:rsidRDefault="00B55798" w:rsidP="00B55798">
      <w:pPr>
        <w:spacing w:line="360" w:lineRule="auto"/>
        <w:jc w:val="both"/>
        <w:rPr>
          <w:rFonts w:ascii="Arial" w:hAnsi="Arial" w:cs="Arial"/>
        </w:rPr>
      </w:pPr>
    </w:p>
    <w:p w:rsidR="003B3275" w:rsidRDefault="003B3275" w:rsidP="003B3275">
      <w:pPr>
        <w:spacing w:line="360" w:lineRule="auto"/>
        <w:jc w:val="both"/>
        <w:rPr>
          <w:rFonts w:ascii="Arial" w:hAnsi="Arial" w:cs="Arial"/>
        </w:rPr>
      </w:pPr>
      <w:r>
        <w:rPr>
          <w:rFonts w:ascii="Arial" w:hAnsi="Arial" w:cs="Arial"/>
        </w:rPr>
        <w:t>En armonía con lo explicado antes: (i) Se confirmará la decisión apelada; (ii) Se advertirá que esta decisión es irrecurrible (Artículo 35, CGP); (iii) Se ordenará devolver el expediente al juzgado de origen; y, (iv) Se condenará en costas a la parte actora, en esta instancia, pues no triunfó su recurso.  Se liquidarán en primera instancia, según los artículos 365 y 366 del CGP.</w:t>
      </w:r>
    </w:p>
    <w:p w:rsidR="0057284B" w:rsidRDefault="0057284B" w:rsidP="003B3275">
      <w:pPr>
        <w:spacing w:line="360" w:lineRule="auto"/>
        <w:jc w:val="both"/>
        <w:rPr>
          <w:rFonts w:ascii="Arial" w:hAnsi="Arial" w:cs="Arial"/>
        </w:rPr>
      </w:pPr>
    </w:p>
    <w:p w:rsidR="003B3275" w:rsidRDefault="003B3275" w:rsidP="003B3275">
      <w:pPr>
        <w:tabs>
          <w:tab w:val="left" w:pos="-720"/>
        </w:tabs>
        <w:suppressAutoHyphens/>
        <w:spacing w:line="360" w:lineRule="auto"/>
        <w:jc w:val="both"/>
        <w:rPr>
          <w:rFonts w:ascii="Arial" w:hAnsi="Arial" w:cs="Arial"/>
          <w:spacing w:val="-3"/>
        </w:rPr>
      </w:pPr>
      <w:r>
        <w:rPr>
          <w:rFonts w:ascii="Arial" w:hAnsi="Arial" w:cs="Arial"/>
        </w:rPr>
        <w:t xml:space="preserve">En mérito de lo discurrido en los acápites precedentes, el </w:t>
      </w:r>
      <w:r>
        <w:rPr>
          <w:rFonts w:ascii="Arial" w:hAnsi="Arial" w:cs="Arial"/>
          <w:smallCaps/>
        </w:rPr>
        <w:t>Tribunal Superior del Distrito Judicial de Pereira, Sala Unitaria de Decisión</w:t>
      </w:r>
      <w:r>
        <w:rPr>
          <w:rFonts w:ascii="Arial" w:hAnsi="Arial" w:cs="Arial"/>
        </w:rPr>
        <w:t>,</w:t>
      </w:r>
    </w:p>
    <w:p w:rsidR="003B3275" w:rsidRDefault="003B3275" w:rsidP="003B3275">
      <w:pPr>
        <w:pStyle w:val="Sinespaciado"/>
        <w:spacing w:line="360" w:lineRule="auto"/>
        <w:jc w:val="center"/>
        <w:rPr>
          <w:rFonts w:ascii="Arial" w:hAnsi="Arial" w:cs="Arial"/>
          <w:sz w:val="20"/>
        </w:rPr>
      </w:pPr>
    </w:p>
    <w:p w:rsidR="003B3275" w:rsidRDefault="003B3275" w:rsidP="003B3275">
      <w:pPr>
        <w:pStyle w:val="Sinespaciado"/>
        <w:spacing w:line="360" w:lineRule="auto"/>
        <w:jc w:val="center"/>
        <w:rPr>
          <w:rFonts w:ascii="Arial" w:hAnsi="Arial" w:cs="Arial"/>
        </w:rPr>
      </w:pPr>
      <w:r>
        <w:rPr>
          <w:rFonts w:ascii="Arial" w:hAnsi="Arial" w:cs="Arial"/>
          <w:sz w:val="28"/>
        </w:rPr>
        <w:t xml:space="preserve">R </w:t>
      </w:r>
      <w:r>
        <w:rPr>
          <w:rFonts w:ascii="Arial" w:hAnsi="Arial" w:cs="Arial"/>
        </w:rPr>
        <w:t>E S U E L V E,</w:t>
      </w:r>
    </w:p>
    <w:p w:rsidR="003B3275" w:rsidRDefault="003B3275" w:rsidP="003B3275">
      <w:pPr>
        <w:pStyle w:val="Sinespaciado"/>
        <w:spacing w:line="360" w:lineRule="auto"/>
        <w:jc w:val="center"/>
        <w:rPr>
          <w:rFonts w:ascii="Arial" w:hAnsi="Arial" w:cs="Arial"/>
        </w:rPr>
      </w:pPr>
    </w:p>
    <w:p w:rsidR="003B3275" w:rsidRPr="009C5650" w:rsidRDefault="003B3275" w:rsidP="009C5650">
      <w:pPr>
        <w:pStyle w:val="Textopredeterminado"/>
        <w:numPr>
          <w:ilvl w:val="0"/>
          <w:numId w:val="18"/>
        </w:numPr>
        <w:spacing w:line="360" w:lineRule="auto"/>
        <w:jc w:val="both"/>
        <w:textAlignment w:val="auto"/>
        <w:rPr>
          <w:rFonts w:ascii="Arial" w:hAnsi="Arial" w:cs="Arial"/>
          <w:szCs w:val="24"/>
        </w:rPr>
      </w:pPr>
      <w:r w:rsidRPr="009C5650">
        <w:rPr>
          <w:rFonts w:ascii="Arial" w:hAnsi="Arial" w:cs="Arial"/>
          <w:color w:val="auto"/>
          <w:szCs w:val="24"/>
        </w:rPr>
        <w:t>CONFIRMAR el auto del 18-04-2016 expedido por el Juzgado Tercero Civil del Circuito de esta ciudad.</w:t>
      </w:r>
    </w:p>
    <w:p w:rsidR="003B3275" w:rsidRPr="009C5650" w:rsidRDefault="003B3275" w:rsidP="009C5650">
      <w:pPr>
        <w:pStyle w:val="Textopredeterminado"/>
        <w:spacing w:line="360" w:lineRule="auto"/>
        <w:ind w:left="360"/>
        <w:jc w:val="both"/>
        <w:rPr>
          <w:rFonts w:ascii="Arial" w:hAnsi="Arial" w:cs="Arial"/>
          <w:szCs w:val="24"/>
        </w:rPr>
      </w:pPr>
    </w:p>
    <w:p w:rsidR="003B3275" w:rsidRPr="009C5650" w:rsidRDefault="003B3275" w:rsidP="009C5650">
      <w:pPr>
        <w:pStyle w:val="Textopredeterminado"/>
        <w:numPr>
          <w:ilvl w:val="0"/>
          <w:numId w:val="21"/>
        </w:numPr>
        <w:tabs>
          <w:tab w:val="left" w:pos="544"/>
        </w:tabs>
        <w:spacing w:line="360" w:lineRule="auto"/>
        <w:jc w:val="both"/>
        <w:textAlignment w:val="auto"/>
        <w:rPr>
          <w:rFonts w:ascii="Arial" w:hAnsi="Arial"/>
          <w:color w:val="auto"/>
          <w:szCs w:val="24"/>
        </w:rPr>
      </w:pPr>
      <w:r w:rsidRPr="009C5650">
        <w:rPr>
          <w:rFonts w:ascii="Arial" w:hAnsi="Arial" w:cs="Arial"/>
          <w:color w:val="auto"/>
          <w:szCs w:val="24"/>
        </w:rPr>
        <w:t>CONDENAR en costas, en esta instancia a la parte actora. Se liquidarán en primera instancia.</w:t>
      </w:r>
    </w:p>
    <w:p w:rsidR="003B3275" w:rsidRPr="009C5650" w:rsidRDefault="003B3275" w:rsidP="009C5650">
      <w:pPr>
        <w:spacing w:line="360" w:lineRule="auto"/>
        <w:ind w:left="360"/>
        <w:rPr>
          <w:rFonts w:ascii="Arial" w:hAnsi="Arial" w:cs="Arial"/>
        </w:rPr>
      </w:pPr>
    </w:p>
    <w:p w:rsidR="003B3275" w:rsidRPr="009C5650" w:rsidRDefault="003B3275" w:rsidP="009C5650">
      <w:pPr>
        <w:pStyle w:val="Textopredeterminado"/>
        <w:numPr>
          <w:ilvl w:val="0"/>
          <w:numId w:val="21"/>
        </w:numPr>
        <w:tabs>
          <w:tab w:val="left" w:pos="544"/>
        </w:tabs>
        <w:spacing w:line="360" w:lineRule="auto"/>
        <w:jc w:val="both"/>
        <w:textAlignment w:val="auto"/>
        <w:rPr>
          <w:rFonts w:ascii="Arial" w:hAnsi="Arial"/>
          <w:color w:val="auto"/>
          <w:szCs w:val="24"/>
        </w:rPr>
      </w:pPr>
      <w:r w:rsidRPr="009C5650">
        <w:rPr>
          <w:rFonts w:ascii="Arial" w:hAnsi="Arial" w:cs="Arial"/>
          <w:color w:val="auto"/>
          <w:szCs w:val="24"/>
        </w:rPr>
        <w:t>ADVERTIR que esta decisión es irrecurrible.</w:t>
      </w:r>
    </w:p>
    <w:p w:rsidR="009C5650" w:rsidRPr="009C5650" w:rsidRDefault="009C5650" w:rsidP="009C5650">
      <w:pPr>
        <w:pStyle w:val="Prrafodelista"/>
        <w:spacing w:line="360" w:lineRule="auto"/>
        <w:rPr>
          <w:rFonts w:ascii="Arial" w:hAnsi="Arial"/>
        </w:rPr>
      </w:pPr>
    </w:p>
    <w:p w:rsidR="003964CD" w:rsidRPr="009C5650" w:rsidRDefault="003B3275" w:rsidP="009C5650">
      <w:pPr>
        <w:pStyle w:val="Textopredeterminado"/>
        <w:numPr>
          <w:ilvl w:val="0"/>
          <w:numId w:val="21"/>
        </w:numPr>
        <w:tabs>
          <w:tab w:val="left" w:pos="544"/>
        </w:tabs>
        <w:spacing w:line="360" w:lineRule="auto"/>
        <w:jc w:val="both"/>
        <w:textAlignment w:val="auto"/>
        <w:rPr>
          <w:rFonts w:ascii="Arial" w:hAnsi="Arial" w:cs="Arial"/>
          <w:szCs w:val="24"/>
        </w:rPr>
      </w:pPr>
      <w:r w:rsidRPr="009C5650">
        <w:rPr>
          <w:rFonts w:ascii="Arial" w:hAnsi="Arial" w:cs="Arial"/>
          <w:color w:val="auto"/>
          <w:szCs w:val="24"/>
        </w:rPr>
        <w:t>DEVOLVER el expediente al Despacho de origen, por conducto de la Secretaría de esta Corporación.</w:t>
      </w:r>
      <w:r w:rsidR="00B55798" w:rsidRPr="009C5650">
        <w:rPr>
          <w:rFonts w:ascii="Arial" w:hAnsi="Arial" w:cs="Arial"/>
          <w:color w:val="auto"/>
          <w:szCs w:val="24"/>
        </w:rPr>
        <w:t xml:space="preserve"> </w:t>
      </w:r>
    </w:p>
    <w:p w:rsidR="005F57E8" w:rsidRPr="00DA56B3"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r w:rsidRPr="00DA56B3">
        <w:rPr>
          <w:rFonts w:ascii="Arial" w:hAnsi="Arial" w:cs="Arial"/>
          <w:smallCaps/>
          <w:sz w:val="28"/>
          <w:lang w:val="en-US"/>
        </w:rPr>
        <w:t>Notifíquese,</w:t>
      </w:r>
    </w:p>
    <w:p w:rsidR="00671EAF" w:rsidRDefault="00671EAF" w:rsidP="004A7356">
      <w:pPr>
        <w:pStyle w:val="Sinespaciado"/>
        <w:spacing w:line="360" w:lineRule="auto"/>
        <w:jc w:val="center"/>
        <w:rPr>
          <w:rFonts w:ascii="Arial" w:hAnsi="Arial" w:cs="Arial"/>
          <w:spacing w:val="20"/>
          <w:w w:val="150"/>
          <w:sz w:val="24"/>
          <w:szCs w:val="24"/>
          <w:lang w:val="en-US"/>
        </w:rPr>
      </w:pPr>
    </w:p>
    <w:p w:rsidR="00671EAF" w:rsidRDefault="00671EAF" w:rsidP="00A96538">
      <w:pPr>
        <w:pStyle w:val="Sinespaciado"/>
        <w:spacing w:line="360" w:lineRule="auto"/>
        <w:jc w:val="right"/>
        <w:rPr>
          <w:rFonts w:ascii="Arial" w:hAnsi="Arial" w:cs="Arial"/>
          <w:spacing w:val="20"/>
          <w:w w:val="150"/>
          <w:sz w:val="24"/>
          <w:szCs w:val="24"/>
          <w:lang w:val="en-US"/>
        </w:rPr>
      </w:pPr>
    </w:p>
    <w:p w:rsidR="00412B9B" w:rsidRPr="00AF060A" w:rsidRDefault="00412B9B" w:rsidP="000C0B10">
      <w:pPr>
        <w:pStyle w:val="Textoindependien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671EAF" w:rsidRDefault="00412B9B" w:rsidP="00A96538">
      <w:pPr>
        <w:pStyle w:val="Textoindependien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7B6FA0" w:rsidRPr="00CC68DE" w:rsidRDefault="00054882" w:rsidP="00FB49CF">
      <w:pPr>
        <w:pStyle w:val="Textoindependiente"/>
        <w:spacing w:line="360" w:lineRule="auto"/>
        <w:jc w:val="right"/>
        <w:rPr>
          <w:rFonts w:ascii="Arial" w:hAnsi="Arial" w:cs="Arial"/>
          <w:lang w:val="en-US"/>
        </w:rPr>
      </w:pPr>
      <w:r w:rsidRPr="005057A3">
        <w:rPr>
          <w:noProof/>
        </w:rPr>
        <mc:AlternateContent>
          <mc:Choice Requires="wps">
            <w:drawing>
              <wp:anchor distT="0" distB="0" distL="114300" distR="114300" simplePos="0" relativeHeight="251661312" behindDoc="0" locked="0" layoutInCell="1" allowOverlap="1" wp14:anchorId="4AB8CBA6" wp14:editId="2E69722D">
                <wp:simplePos x="0" y="0"/>
                <wp:positionH relativeFrom="margin">
                  <wp:posOffset>1790065</wp:posOffset>
                </wp:positionH>
                <wp:positionV relativeFrom="paragraph">
                  <wp:posOffset>45085</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CBA6" id="Rectangle 7" o:spid="_x0000_s1026" style="position:absolute;left:0;text-align:left;margin-left:140.95pt;margin-top:3.55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" strokeweight="2.25pt">
                <v:stroke linestyle="thickThin"/>
                <v:textbo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proofErr w:type="spellStart"/>
                      <w:r w:rsidRPr="00DE60ED">
                        <w:rPr>
                          <w:rFonts w:ascii="Kalinga" w:hAnsi="Kalinga" w:cs="Kalinga"/>
                          <w:color w:val="000000"/>
                          <w:sz w:val="20"/>
                          <w:szCs w:val="22"/>
                          <w:lang w:val="es-CO"/>
                        </w:rPr>
                        <w:t>JAÍR</w:t>
                      </w:r>
                      <w:proofErr w:type="spellEnd"/>
                      <w:r w:rsidRPr="00DE60ED">
                        <w:rPr>
                          <w:rFonts w:ascii="Kalinga" w:hAnsi="Kalinga" w:cs="Kalinga"/>
                          <w:color w:val="000000"/>
                          <w:sz w:val="20"/>
                          <w:szCs w:val="22"/>
                          <w:lang w:val="es-CO"/>
                        </w:rPr>
                        <w:t xml:space="preserve">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r w:rsidR="00726E5B" w:rsidRPr="00AF060A">
        <w:rPr>
          <w:rFonts w:ascii="Arial" w:hAnsi="Arial"/>
          <w:i/>
          <w:w w:val="150"/>
          <w:sz w:val="10"/>
          <w:szCs w:val="12"/>
          <w:lang w:val="en-GB"/>
        </w:rPr>
        <w:t>DGH /</w:t>
      </w:r>
      <w:r w:rsidR="00726E5B">
        <w:rPr>
          <w:rFonts w:ascii="Arial" w:hAnsi="Arial"/>
          <w:i/>
          <w:w w:val="150"/>
          <w:sz w:val="10"/>
          <w:szCs w:val="12"/>
          <w:lang w:val="en-GB"/>
        </w:rPr>
        <w:t xml:space="preserve"> DGD / 2016</w:t>
      </w:r>
    </w:p>
    <w:p w:rsidR="007B6FA0" w:rsidRPr="00A96538" w:rsidRDefault="007B6FA0" w:rsidP="00726E5B">
      <w:pPr>
        <w:pStyle w:val="Textoindependiente"/>
        <w:spacing w:line="360" w:lineRule="auto"/>
        <w:jc w:val="right"/>
        <w:rPr>
          <w:rFonts w:ascii="Arial" w:hAnsi="Arial"/>
          <w:w w:val="150"/>
          <w:sz w:val="18"/>
          <w:lang w:val="en-US"/>
        </w:rPr>
      </w:pPr>
    </w:p>
    <w:sectPr w:rsidR="007B6FA0" w:rsidRPr="00A96538" w:rsidSect="00E75ED4">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FE" w:rsidRDefault="008D1BFE" w:rsidP="004D2025">
      <w:r>
        <w:separator/>
      </w:r>
    </w:p>
  </w:endnote>
  <w:endnote w:type="continuationSeparator" w:id="0">
    <w:p w:rsidR="008D1BFE" w:rsidRDefault="008D1BFE"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326EBB" w:rsidRDefault="00F013A2" w:rsidP="00F013A2">
    <w:pPr>
      <w:pStyle w:val="Piedepgina"/>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441A24" w:rsidRPr="00F013A2" w:rsidRDefault="00F013A2" w:rsidP="00F013A2">
    <w:pPr>
      <w:pStyle w:val="Piedepgina"/>
      <w:jc w:val="right"/>
    </w:pPr>
    <w:r w:rsidRPr="00326EBB">
      <w:rPr>
        <w:rFonts w:ascii="Euphemia" w:hAnsi="Euphemia" w:cs="Arial"/>
        <w:i/>
        <w:spacing w:val="20"/>
        <w:w w:val="200"/>
        <w:sz w:val="10"/>
        <w:szCs w:val="10"/>
      </w:rPr>
      <w:t>MP D</w:t>
    </w:r>
    <w:r w:rsidRPr="00326EBB">
      <w:rPr>
        <w:rFonts w:ascii="Euphemia" w:hAnsi="Euphemia" w:cs="Arial"/>
        <w:i/>
        <w:spacing w:val="20"/>
        <w:w w:val="200"/>
        <w:sz w:val="8"/>
        <w:szCs w:val="10"/>
      </w:rPr>
      <w:t>UBERNEY</w:t>
    </w:r>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FE" w:rsidRDefault="008D1BFE" w:rsidP="004D2025">
      <w:r>
        <w:separator/>
      </w:r>
    </w:p>
  </w:footnote>
  <w:footnote w:type="continuationSeparator" w:id="0">
    <w:p w:rsidR="008D1BFE" w:rsidRDefault="008D1BFE" w:rsidP="004D2025">
      <w:r>
        <w:continuationSeparator/>
      </w:r>
    </w:p>
  </w:footnote>
  <w:footnote w:id="1">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parte general, Bogotá DC, Dupré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4D3892" w:rsidRPr="007D0DBC" w:rsidRDefault="004D3892" w:rsidP="004D3892">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825EA0">
        <w:rPr>
          <w:rFonts w:asciiTheme="minorHAnsi" w:hAnsiTheme="minorHAnsi" w:cs="Calibri"/>
          <w:sz w:val="20"/>
          <w:szCs w:val="20"/>
          <w:lang w:val="es-CO"/>
        </w:rPr>
        <w:t xml:space="preserve">LÓPEZ BLANCO, Hernán Fabio. </w:t>
      </w:r>
      <w:r>
        <w:rPr>
          <w:rFonts w:cs="Calibri"/>
          <w:sz w:val="20"/>
          <w:szCs w:val="20"/>
        </w:rPr>
        <w:t>O</w:t>
      </w:r>
      <w:r w:rsidRPr="00825EA0">
        <w:rPr>
          <w:rFonts w:cs="Calibri"/>
          <w:sz w:val="20"/>
          <w:szCs w:val="20"/>
        </w:rPr>
        <w:t xml:space="preserve">b. </w:t>
      </w:r>
      <w:r>
        <w:rPr>
          <w:rFonts w:cs="Calibri"/>
          <w:sz w:val="20"/>
          <w:szCs w:val="20"/>
        </w:rPr>
        <w:t>c</w:t>
      </w:r>
      <w:r w:rsidRPr="00825EA0">
        <w:rPr>
          <w:rFonts w:cs="Calibri"/>
          <w:sz w:val="20"/>
          <w:szCs w:val="20"/>
        </w:rPr>
        <w:t>it., p.7</w:t>
      </w:r>
      <w:r>
        <w:rPr>
          <w:rFonts w:cs="Calibri"/>
          <w:sz w:val="20"/>
          <w:szCs w:val="20"/>
        </w:rPr>
        <w:t>69</w:t>
      </w:r>
      <w:r w:rsidRPr="007D0DBC">
        <w:rPr>
          <w:rFonts w:asciiTheme="minorHAnsi" w:hAnsiTheme="minorHAnsi" w:cs="Calibri"/>
          <w:sz w:val="20"/>
          <w:szCs w:val="20"/>
        </w:rPr>
        <w:t>.</w:t>
      </w:r>
    </w:p>
  </w:footnote>
  <w:footnote w:id="4">
    <w:p w:rsidR="005543CF" w:rsidRPr="00932873" w:rsidRDefault="005543CF" w:rsidP="005543CF">
      <w:pPr>
        <w:pStyle w:val="Textonotapie"/>
        <w:jc w:val="both"/>
        <w:rPr>
          <w:rFonts w:asciiTheme="minorHAnsi" w:hAnsiTheme="minorHAnsi" w:cs="Calibri"/>
          <w:lang w:val="es-CO"/>
        </w:rPr>
      </w:pPr>
      <w:r w:rsidRPr="00932873">
        <w:rPr>
          <w:rStyle w:val="Refdenotaalpie"/>
          <w:rFonts w:asciiTheme="minorHAnsi" w:hAnsiTheme="minorHAnsi" w:cs="Calibri"/>
        </w:rPr>
        <w:footnoteRef/>
      </w:r>
      <w:r w:rsidRPr="00932873">
        <w:rPr>
          <w:rFonts w:asciiTheme="minorHAnsi" w:hAnsiTheme="minorHAnsi"/>
        </w:rPr>
        <w:t xml:space="preserve"> </w:t>
      </w:r>
      <w:r w:rsidRPr="00932873">
        <w:rPr>
          <w:rFonts w:asciiTheme="minorHAnsi" w:hAnsiTheme="minorHAnsi" w:cs="Calibri"/>
          <w:lang w:val="es-CO"/>
        </w:rPr>
        <w:t>ROJAS GÓMEZ, Miguel Enrique. Lecciones de derecho procesal, tomo II, procedimiento civil, Escuela de Actualización Jurídica ESAJU, 2013, 5ª edición, Bogotá DC, p.332.</w:t>
      </w:r>
    </w:p>
  </w:footnote>
  <w:footnote w:id="5">
    <w:p w:rsidR="00BC79CB" w:rsidRPr="006F504B" w:rsidRDefault="00BC79CB" w:rsidP="00BC79CB">
      <w:pPr>
        <w:pStyle w:val="Textonotapie"/>
        <w:jc w:val="both"/>
        <w:rPr>
          <w:rFonts w:asciiTheme="minorHAnsi" w:hAnsiTheme="minorHAnsi"/>
          <w:lang w:val="es-CO"/>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theme="minorHAnsi"/>
        </w:rPr>
        <w:t>PARRA QUIJANO, Jairo. Derecho procesal civil, tomo I, Santafé de Bogotá D.C., Temis, 1992, p.145.</w:t>
      </w:r>
    </w:p>
  </w:footnote>
  <w:footnote w:id="6">
    <w:p w:rsidR="00BC79CB" w:rsidRPr="006F504B" w:rsidRDefault="00BC79CB" w:rsidP="00BC79CB">
      <w:pPr>
        <w:pStyle w:val="Textonotapie"/>
        <w:jc w:val="both"/>
        <w:rPr>
          <w:rFonts w:asciiTheme="minorHAnsi" w:hAnsiTheme="minorHAnsi"/>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Calibri"/>
          <w:lang w:val="es-CO"/>
        </w:rPr>
        <w:t>ROJAS GÓMEZ, Miguel Enrique. Lecciones de derecho procesal, tomo II, procedimiento civil, 5ª edición, editorial ESAJU, Bogotá DC, 2013, p.210.</w:t>
      </w:r>
    </w:p>
  </w:footnote>
  <w:footnote w:id="7">
    <w:p w:rsidR="00BC79CB" w:rsidRPr="006F504B" w:rsidRDefault="00BC79CB" w:rsidP="00BC79CB">
      <w:pPr>
        <w:pStyle w:val="Textonotapie"/>
        <w:jc w:val="both"/>
        <w:rPr>
          <w:rFonts w:asciiTheme="minorHAnsi" w:hAnsiTheme="minorHAnsi"/>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Calibri"/>
        </w:rPr>
        <w:t>LÓPEZ BLANCO, Hernán Fabio. Ob. cit., p.642.</w:t>
      </w:r>
    </w:p>
  </w:footnote>
  <w:footnote w:id="8">
    <w:p w:rsidR="00DC0114" w:rsidRPr="00562E97" w:rsidRDefault="00DC0114" w:rsidP="00DC0114">
      <w:pPr>
        <w:pStyle w:val="Textonotapie"/>
        <w:jc w:val="both"/>
        <w:rPr>
          <w:rFonts w:asciiTheme="minorHAnsi" w:hAnsiTheme="minorHAnsi" w:cs="Kalinga"/>
        </w:rPr>
      </w:pPr>
      <w:r w:rsidRPr="00562E97">
        <w:rPr>
          <w:rStyle w:val="Refdenotaalpie"/>
          <w:rFonts w:asciiTheme="minorHAnsi" w:hAnsiTheme="minorHAnsi" w:cs="Kalinga"/>
        </w:rPr>
        <w:footnoteRef/>
      </w:r>
      <w:r w:rsidRPr="00562E97">
        <w:rPr>
          <w:rFonts w:asciiTheme="minorHAnsi" w:hAnsiTheme="minorHAnsi" w:cs="Kalinga"/>
        </w:rPr>
        <w:t xml:space="preserve"> LÓPEZ BLANCO, Hernán Fabio. Proced</w:t>
      </w:r>
      <w:r w:rsidR="00A93478">
        <w:rPr>
          <w:rFonts w:asciiTheme="minorHAnsi" w:hAnsiTheme="minorHAnsi" w:cs="Kalinga"/>
        </w:rPr>
        <w:t>imiento civil, parte especial, 9</w:t>
      </w:r>
      <w:r w:rsidRPr="00562E97">
        <w:rPr>
          <w:rFonts w:asciiTheme="minorHAnsi" w:hAnsiTheme="minorHAnsi" w:cs="Kalinga"/>
        </w:rPr>
        <w:t>ª edición, Bogotá</w:t>
      </w:r>
      <w:r w:rsidR="00A93478">
        <w:rPr>
          <w:rFonts w:asciiTheme="minorHAnsi" w:hAnsiTheme="minorHAnsi" w:cs="Kalinga"/>
        </w:rPr>
        <w:t xml:space="preserve"> DC, Dupré editores, 2009, p.439</w:t>
      </w:r>
      <w:r w:rsidRPr="00562E97">
        <w:rPr>
          <w:rFonts w:asciiTheme="minorHAnsi" w:hAnsiTheme="minorHAnsi" w:cs="Kalinga"/>
        </w:rPr>
        <w:t>.</w:t>
      </w:r>
    </w:p>
  </w:footnote>
  <w:footnote w:id="9">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BEJARANO GUZMÁN, Ramiro. Procesos declarativos,</w:t>
      </w:r>
      <w:r>
        <w:rPr>
          <w:rFonts w:asciiTheme="minorHAnsi" w:hAnsiTheme="minorHAnsi" w:cs="Calibri"/>
        </w:rPr>
        <w:t xml:space="preserve"> arbitrales y ejecutivos, 6º</w:t>
      </w:r>
      <w:r w:rsidRPr="00562E97">
        <w:rPr>
          <w:rFonts w:asciiTheme="minorHAnsi" w:hAnsiTheme="minorHAnsi" w:cs="Calibri"/>
        </w:rPr>
        <w:t xml:space="preserve"> edición, Bogotá DC, Temis, 201</w:t>
      </w:r>
      <w:r>
        <w:rPr>
          <w:rFonts w:asciiTheme="minorHAnsi" w:hAnsiTheme="minorHAnsi" w:cs="Calibri"/>
        </w:rPr>
        <w:t>6</w:t>
      </w:r>
      <w:r w:rsidRPr="00562E97">
        <w:rPr>
          <w:rFonts w:asciiTheme="minorHAnsi" w:hAnsiTheme="minorHAnsi" w:cs="Calibri"/>
        </w:rPr>
        <w:t>, p.</w:t>
      </w:r>
      <w:r>
        <w:rPr>
          <w:rFonts w:asciiTheme="minorHAnsi" w:hAnsiTheme="minorHAnsi" w:cs="Calibri"/>
        </w:rPr>
        <w:t>447</w:t>
      </w:r>
      <w:r w:rsidRPr="00562E97">
        <w:rPr>
          <w:rFonts w:asciiTheme="minorHAnsi" w:hAnsiTheme="minorHAnsi" w:cs="Calibri"/>
        </w:rPr>
        <w:t>.</w:t>
      </w:r>
    </w:p>
  </w:footnote>
  <w:footnote w:id="10">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LÓPEZ BLANCO, Hernán Fabio.  </w:t>
      </w:r>
      <w:r w:rsidRPr="00562E97">
        <w:rPr>
          <w:rFonts w:asciiTheme="minorHAnsi" w:hAnsiTheme="minorHAnsi" w:cs="Kalinga"/>
        </w:rPr>
        <w:t>Ob. cit., p.</w:t>
      </w:r>
      <w:r w:rsidRPr="00562E97">
        <w:rPr>
          <w:rFonts w:asciiTheme="minorHAnsi" w:hAnsiTheme="minorHAnsi" w:cs="Calibri"/>
        </w:rPr>
        <w:t>4</w:t>
      </w:r>
      <w:r w:rsidR="00A93478">
        <w:rPr>
          <w:rFonts w:asciiTheme="minorHAnsi" w:hAnsiTheme="minorHAnsi" w:cs="Calibri"/>
        </w:rPr>
        <w:t>45</w:t>
      </w:r>
      <w:r w:rsidRPr="00562E97">
        <w:rPr>
          <w:rFonts w:asciiTheme="minorHAnsi" w:hAnsiTheme="minorHAnsi" w:cs="Calibri"/>
        </w:rPr>
        <w:t>.</w:t>
      </w:r>
    </w:p>
  </w:footnote>
  <w:footnote w:id="11">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Hernán Darío</w:t>
      </w:r>
      <w:r w:rsidRPr="00562E97">
        <w:rPr>
          <w:rFonts w:asciiTheme="minorHAnsi" w:hAnsiTheme="minorHAnsi" w:cs="Calibri"/>
          <w:lang w:val="es-CO"/>
        </w:rPr>
        <w:t>.  Estudio sobre obligaciones, Editorial Temis SA, Bogotá DC, 2010, p.585.</w:t>
      </w:r>
    </w:p>
  </w:footnote>
  <w:footnote w:id="12">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PARRA QUIJANO, Jairo. </w:t>
      </w:r>
      <w:r w:rsidRPr="00562E97">
        <w:rPr>
          <w:rFonts w:asciiTheme="minorHAnsi" w:hAnsiTheme="minorHAnsi" w:cs="Kalinga"/>
        </w:rPr>
        <w:t>Derecho procesal civil, parte especial, Santafé de Bogotá D.C., Ediciones Librería del Profesional, 1995,</w:t>
      </w:r>
      <w:r w:rsidRPr="00562E97">
        <w:rPr>
          <w:rFonts w:asciiTheme="minorHAnsi" w:hAnsiTheme="minorHAnsi" w:cs="Calibri"/>
        </w:rPr>
        <w:t xml:space="preserve"> p.265.</w:t>
      </w:r>
    </w:p>
  </w:footnote>
  <w:footnote w:id="13">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Juan Guillermo. Los procesos de ejecución, Medellín, Diké 1994, p.49.</w:t>
      </w:r>
    </w:p>
  </w:footnote>
  <w:footnote w:id="14">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AZULA CAMACHO, Jaime. Manual de derecho procesal civil, procesos ejecutivos, editorial Temis, tomo IV, 2009, </w:t>
      </w:r>
      <w:r w:rsidRPr="007A719D">
        <w:rPr>
          <w:rFonts w:asciiTheme="minorHAnsi" w:hAnsiTheme="minorHAnsi" w:cs="Calibri"/>
        </w:rPr>
        <w:t>p.15.</w:t>
      </w:r>
    </w:p>
  </w:footnote>
  <w:footnote w:id="15">
    <w:p w:rsidR="00FB0E4C" w:rsidRPr="00316E79" w:rsidRDefault="00FB0E4C" w:rsidP="00FB0E4C">
      <w:pPr>
        <w:pStyle w:val="Textonotapie"/>
        <w:rPr>
          <w:lang w:val="es-CO"/>
        </w:rPr>
      </w:pPr>
      <w:r>
        <w:rPr>
          <w:rStyle w:val="Refdenotaalpie"/>
        </w:rPr>
        <w:footnoteRef/>
      </w:r>
      <w:r>
        <w:t xml:space="preserve"> </w:t>
      </w:r>
      <w:r w:rsidRPr="00562E97">
        <w:rPr>
          <w:rFonts w:asciiTheme="minorHAnsi" w:hAnsiTheme="minorHAnsi" w:cs="Calibri"/>
        </w:rPr>
        <w:t xml:space="preserve">LÓPEZ BLANCO, Hernán Fabio.  </w:t>
      </w:r>
      <w:r w:rsidRPr="00562E97">
        <w:rPr>
          <w:rFonts w:asciiTheme="minorHAnsi" w:hAnsiTheme="minorHAnsi" w:cs="Kalinga"/>
        </w:rPr>
        <w:t>Ob. cit., p.</w:t>
      </w:r>
      <w:r>
        <w:rPr>
          <w:rFonts w:asciiTheme="minorHAnsi" w:hAnsiTheme="minorHAnsi" w:cs="Kalinga"/>
        </w:rPr>
        <w:t>430.</w:t>
      </w:r>
    </w:p>
  </w:footnote>
  <w:footnote w:id="16">
    <w:p w:rsidR="00A62A41" w:rsidRPr="00562E97" w:rsidRDefault="00A62A41" w:rsidP="00A62A41">
      <w:pPr>
        <w:pStyle w:val="Textonotapie"/>
        <w:jc w:val="both"/>
        <w:rPr>
          <w:rFonts w:asciiTheme="minorHAnsi" w:hAnsiTheme="minorHAnsi" w:cs="Kalinga"/>
          <w:lang w:val="es-CO"/>
        </w:rPr>
      </w:pPr>
      <w:r w:rsidRPr="00562E97">
        <w:rPr>
          <w:rStyle w:val="Refdenotaalpie"/>
          <w:rFonts w:asciiTheme="minorHAnsi" w:hAnsiTheme="minorHAnsi" w:cs="Kalinga"/>
        </w:rPr>
        <w:footnoteRef/>
      </w:r>
      <w:r w:rsidRPr="00562E97">
        <w:rPr>
          <w:rFonts w:asciiTheme="minorHAnsi" w:hAnsiTheme="minorHAnsi" w:cs="Kalinga"/>
        </w:rPr>
        <w:t xml:space="preserve"> PINEDA RODRÍGUEZ, Alfonso y otro. El título ejecutivo y los procesos ejecutivos, Leyer, Bogotá D.C., 2006, p.11.</w:t>
      </w:r>
    </w:p>
  </w:footnote>
  <w:footnote w:id="17">
    <w:p w:rsidR="00A62A41" w:rsidRPr="00562E97" w:rsidRDefault="00A62A41" w:rsidP="00A62A41">
      <w:pPr>
        <w:pStyle w:val="Textonotapie"/>
        <w:jc w:val="both"/>
        <w:rPr>
          <w:rFonts w:asciiTheme="minorHAnsi" w:hAnsiTheme="minorHAnsi" w:cs="Kalinga"/>
          <w:lang w:val="es-CO"/>
        </w:rPr>
      </w:pPr>
      <w:r w:rsidRPr="00562E97">
        <w:rPr>
          <w:rStyle w:val="Refdenotaalpie"/>
          <w:rFonts w:asciiTheme="minorHAnsi" w:hAnsiTheme="minorHAnsi" w:cs="Kalinga"/>
        </w:rPr>
        <w:footnoteRef/>
      </w:r>
      <w:r w:rsidRPr="00562E97">
        <w:rPr>
          <w:rFonts w:asciiTheme="minorHAnsi" w:hAnsiTheme="minorHAnsi" w:cs="Kalinga"/>
        </w:rPr>
        <w:t xml:space="preserve"> LÓPEZ BLAN</w:t>
      </w:r>
      <w:r w:rsidR="00A93478">
        <w:rPr>
          <w:rFonts w:asciiTheme="minorHAnsi" w:hAnsiTheme="minorHAnsi" w:cs="Kalinga"/>
        </w:rPr>
        <w:t>CO. Hernán Fabio. Ob. cit., p.45</w:t>
      </w:r>
      <w:r w:rsidRPr="00562E97">
        <w:rPr>
          <w:rFonts w:asciiTheme="minorHAnsi" w:hAnsiTheme="minorHAnsi" w:cs="Kalinga"/>
        </w:rPr>
        <w:t>9.</w:t>
      </w:r>
    </w:p>
  </w:footnote>
  <w:footnote w:id="18">
    <w:p w:rsidR="00A62A41" w:rsidRPr="00562E97" w:rsidRDefault="00A62A41" w:rsidP="00A62A41">
      <w:pPr>
        <w:jc w:val="both"/>
        <w:rPr>
          <w:rFonts w:asciiTheme="minorHAnsi" w:hAnsiTheme="minorHAnsi" w:cs="Kalinga"/>
          <w:sz w:val="20"/>
          <w:szCs w:val="20"/>
        </w:rPr>
      </w:pPr>
      <w:r w:rsidRPr="00562E97">
        <w:rPr>
          <w:rStyle w:val="Refdenotaalpie"/>
          <w:rFonts w:asciiTheme="minorHAnsi" w:hAnsiTheme="minorHAnsi" w:cs="Kalinga"/>
          <w:sz w:val="20"/>
          <w:szCs w:val="20"/>
        </w:rPr>
        <w:footnoteRef/>
      </w:r>
      <w:r w:rsidRPr="00562E97">
        <w:rPr>
          <w:rFonts w:asciiTheme="minorHAnsi" w:hAnsiTheme="minorHAnsi" w:cs="Kalinga"/>
          <w:sz w:val="20"/>
          <w:szCs w:val="20"/>
        </w:rPr>
        <w:t xml:space="preserve"> PARRA QUIJANO, Jairo. Ob. cit., p.285.</w:t>
      </w:r>
    </w:p>
  </w:footnote>
  <w:footnote w:id="19">
    <w:p w:rsidR="00416E4A" w:rsidRPr="00416E4A" w:rsidRDefault="00416E4A" w:rsidP="00416E4A">
      <w:pPr>
        <w:pStyle w:val="Textonotapie"/>
        <w:jc w:val="both"/>
        <w:rPr>
          <w:rFonts w:asciiTheme="minorHAnsi" w:hAnsiTheme="minorHAnsi"/>
        </w:rPr>
      </w:pPr>
      <w:r w:rsidRPr="00416E4A">
        <w:rPr>
          <w:rStyle w:val="Refdenotaalpie"/>
          <w:rFonts w:asciiTheme="minorHAnsi" w:hAnsiTheme="minorHAnsi"/>
        </w:rPr>
        <w:footnoteRef/>
      </w:r>
      <w:r w:rsidRPr="00416E4A">
        <w:rPr>
          <w:rFonts w:asciiTheme="minorHAnsi" w:hAnsiTheme="minorHAnsi"/>
        </w:rPr>
        <w:t xml:space="preserve"> </w:t>
      </w:r>
      <w:r w:rsidRPr="00416E4A">
        <w:rPr>
          <w:rFonts w:asciiTheme="minorHAnsi" w:hAnsiTheme="minorHAnsi" w:cstheme="minorHAnsi"/>
          <w:lang w:val="es-CO"/>
        </w:rPr>
        <w:t>VELÁSQUEZ JARAMILLO, Luis Guillermo. Bienes, 11ª edición, Librería Jurídica Comlibros, Medellín A., 2008, p.274 y ss.</w:t>
      </w:r>
    </w:p>
  </w:footnote>
  <w:footnote w:id="20">
    <w:p w:rsidR="00416E4A" w:rsidRPr="00416E4A" w:rsidRDefault="00416E4A" w:rsidP="00416E4A">
      <w:pPr>
        <w:pStyle w:val="Textonotapie"/>
        <w:jc w:val="both"/>
        <w:rPr>
          <w:rFonts w:asciiTheme="minorHAnsi" w:hAnsiTheme="minorHAnsi"/>
        </w:rPr>
      </w:pPr>
      <w:r w:rsidRPr="00416E4A">
        <w:rPr>
          <w:rStyle w:val="Refdenotaalpie"/>
          <w:rFonts w:asciiTheme="minorHAnsi" w:hAnsiTheme="minorHAnsi"/>
        </w:rPr>
        <w:footnoteRef/>
      </w:r>
      <w:r w:rsidRPr="00416E4A">
        <w:rPr>
          <w:rFonts w:asciiTheme="minorHAnsi" w:hAnsiTheme="minorHAnsi"/>
        </w:rPr>
        <w:t xml:space="preserve"> </w:t>
      </w:r>
      <w:r w:rsidRPr="00416E4A">
        <w:rPr>
          <w:rFonts w:asciiTheme="minorHAnsi" w:hAnsiTheme="minorHAnsi" w:cstheme="minorHAnsi"/>
          <w:lang w:val="es-CO"/>
        </w:rPr>
        <w:t>VELÁSQUEZ JARAMILLO, Luis Guillermo. Ob. cit., p.294.</w:t>
      </w:r>
    </w:p>
  </w:footnote>
  <w:footnote w:id="21">
    <w:p w:rsidR="00416E4A" w:rsidRPr="00416E4A" w:rsidRDefault="00416E4A" w:rsidP="00416E4A">
      <w:pPr>
        <w:pStyle w:val="Textonotapie"/>
        <w:jc w:val="both"/>
        <w:rPr>
          <w:rFonts w:asciiTheme="minorHAnsi" w:hAnsiTheme="minorHAnsi"/>
        </w:rPr>
      </w:pPr>
      <w:r w:rsidRPr="00416E4A">
        <w:rPr>
          <w:rStyle w:val="Refdenotaalpie"/>
          <w:rFonts w:asciiTheme="minorHAnsi" w:hAnsiTheme="minorHAnsi"/>
        </w:rPr>
        <w:footnoteRef/>
      </w:r>
      <w:r w:rsidRPr="00416E4A">
        <w:rPr>
          <w:rFonts w:asciiTheme="minorHAnsi" w:hAnsiTheme="minorHAnsi"/>
        </w:rPr>
        <w:t xml:space="preserve"> </w:t>
      </w:r>
      <w:r w:rsidRPr="00416E4A">
        <w:rPr>
          <w:rFonts w:asciiTheme="minorHAnsi" w:hAnsiTheme="minorHAnsi" w:cstheme="minorHAnsi"/>
          <w:lang w:val="es-CO"/>
        </w:rPr>
        <w:t>BONIVENTO FERNÁNDEZ, José Alejandro. Los principales contratos civiles y su paralelo con los comerciales, 19ª edición, Bogotá DC, Ediciones Librería del Profesional, 2015, p.109.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1059B3" w:rsidRPr="001059B3">
          <w:rPr>
            <w:rFonts w:ascii="Kalinga" w:hAnsi="Kalinga" w:cs="Kalinga"/>
            <w:bCs/>
            <w:i/>
            <w:noProof/>
            <w:sz w:val="20"/>
          </w:rPr>
          <w:t>8</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DA56B3">
      <w:rPr>
        <w:rFonts w:ascii="Kalinga" w:hAnsi="Kalinga" w:cs="Kalinga"/>
        <w:i/>
        <w:sz w:val="20"/>
        <w:szCs w:val="20"/>
        <w:lang w:val="es-CO"/>
      </w:rPr>
      <w:t>6</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3200B4">
      <w:rPr>
        <w:rFonts w:ascii="Kalinga" w:hAnsi="Kalinga" w:cs="Kalinga"/>
        <w:i/>
        <w:sz w:val="20"/>
        <w:szCs w:val="20"/>
        <w:lang w:val="es-CO"/>
      </w:rPr>
      <w:t>172</w:t>
    </w:r>
    <w:r w:rsidRPr="00B30904">
      <w:rPr>
        <w:rFonts w:ascii="Kalinga" w:hAnsi="Kaling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3">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7"/>
  </w:num>
  <w:num w:numId="4">
    <w:abstractNumId w:val="13"/>
  </w:num>
  <w:num w:numId="5">
    <w:abstractNumId w:val="8"/>
  </w:num>
  <w:num w:numId="6">
    <w:abstractNumId w:val="2"/>
  </w:num>
  <w:num w:numId="7">
    <w:abstractNumId w:val="9"/>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1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5FEF"/>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9B3"/>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6A78"/>
    <w:rsid w:val="00257050"/>
    <w:rsid w:val="00257B1F"/>
    <w:rsid w:val="0026069E"/>
    <w:rsid w:val="0026092C"/>
    <w:rsid w:val="00260BC5"/>
    <w:rsid w:val="00260C92"/>
    <w:rsid w:val="002611B8"/>
    <w:rsid w:val="00261BCC"/>
    <w:rsid w:val="00261C7E"/>
    <w:rsid w:val="00261D8A"/>
    <w:rsid w:val="002620C8"/>
    <w:rsid w:val="002623AF"/>
    <w:rsid w:val="00262477"/>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B91"/>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3ED2"/>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64CD"/>
    <w:rsid w:val="00397083"/>
    <w:rsid w:val="00397223"/>
    <w:rsid w:val="0039799F"/>
    <w:rsid w:val="00397C8B"/>
    <w:rsid w:val="003A0260"/>
    <w:rsid w:val="003A0379"/>
    <w:rsid w:val="003A0AE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54A"/>
    <w:rsid w:val="003C06A1"/>
    <w:rsid w:val="003C0D75"/>
    <w:rsid w:val="003C1247"/>
    <w:rsid w:val="003C18FB"/>
    <w:rsid w:val="003C1917"/>
    <w:rsid w:val="003C1BEB"/>
    <w:rsid w:val="003C1FE5"/>
    <w:rsid w:val="003C301C"/>
    <w:rsid w:val="003C3258"/>
    <w:rsid w:val="003C395E"/>
    <w:rsid w:val="003C3A3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6B1F"/>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86B"/>
    <w:rsid w:val="004B2B8B"/>
    <w:rsid w:val="004B2E93"/>
    <w:rsid w:val="004B2FE1"/>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0B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0CCB"/>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4EB"/>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04D5"/>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617"/>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7CE"/>
    <w:rsid w:val="008C68CB"/>
    <w:rsid w:val="008C7916"/>
    <w:rsid w:val="008C7D37"/>
    <w:rsid w:val="008D0493"/>
    <w:rsid w:val="008D1018"/>
    <w:rsid w:val="008D16AE"/>
    <w:rsid w:val="008D1920"/>
    <w:rsid w:val="008D1BFE"/>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6B9"/>
    <w:rsid w:val="009B4950"/>
    <w:rsid w:val="009B4A77"/>
    <w:rsid w:val="009B4E6D"/>
    <w:rsid w:val="009B5481"/>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A4C"/>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AEE"/>
    <w:rsid w:val="00A72936"/>
    <w:rsid w:val="00A7315D"/>
    <w:rsid w:val="00A73605"/>
    <w:rsid w:val="00A73AAC"/>
    <w:rsid w:val="00A73CBA"/>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D"/>
    <w:rsid w:val="00B202E1"/>
    <w:rsid w:val="00B202E2"/>
    <w:rsid w:val="00B2186B"/>
    <w:rsid w:val="00B21B22"/>
    <w:rsid w:val="00B21DAC"/>
    <w:rsid w:val="00B22F8E"/>
    <w:rsid w:val="00B23334"/>
    <w:rsid w:val="00B233CB"/>
    <w:rsid w:val="00B23922"/>
    <w:rsid w:val="00B23E37"/>
    <w:rsid w:val="00B240BB"/>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34F"/>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5A73"/>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7D9"/>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C9A"/>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CEE"/>
    <w:rsid w:val="00BE52C8"/>
    <w:rsid w:val="00BE54C3"/>
    <w:rsid w:val="00BE56BA"/>
    <w:rsid w:val="00BE6006"/>
    <w:rsid w:val="00BE6078"/>
    <w:rsid w:val="00BE6802"/>
    <w:rsid w:val="00BE6BB8"/>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4BEE"/>
    <w:rsid w:val="00D451A9"/>
    <w:rsid w:val="00D45781"/>
    <w:rsid w:val="00D45C02"/>
    <w:rsid w:val="00D46322"/>
    <w:rsid w:val="00D47191"/>
    <w:rsid w:val="00D473A5"/>
    <w:rsid w:val="00D474D9"/>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B7697"/>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46CB5"/>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4C"/>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951"/>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4403532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26764-EBF5-4650-9824-1B5480B7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2645</Words>
  <Characters>14552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19</cp:revision>
  <cp:lastPrinted>2016-09-12T19:09:00Z</cp:lastPrinted>
  <dcterms:created xsi:type="dcterms:W3CDTF">2016-09-08T22:23:00Z</dcterms:created>
  <dcterms:modified xsi:type="dcterms:W3CDTF">2016-12-01T18:57:00Z</dcterms:modified>
</cp:coreProperties>
</file>