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11A" w:rsidRPr="0067211A" w:rsidRDefault="00D0509A" w:rsidP="0067211A">
      <w:pPr>
        <w:pStyle w:val="Sinespaciado"/>
        <w:jc w:val="both"/>
        <w:rPr>
          <w:rFonts w:asciiTheme="minorHAnsi" w:hAnsiTheme="minorHAnsi"/>
          <w:sz w:val="18"/>
          <w:szCs w:val="18"/>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67211A" w:rsidRPr="00243789">
        <w:rPr>
          <w:rFonts w:asciiTheme="minorHAnsi" w:hAnsiTheme="minorHAnsi"/>
          <w:b/>
          <w:color w:val="000000" w:themeColor="text1"/>
          <w:sz w:val="18"/>
          <w:szCs w:val="18"/>
        </w:rPr>
        <w:t>Tema:</w:t>
      </w:r>
      <w:r w:rsidR="0067211A" w:rsidRPr="00243789">
        <w:rPr>
          <w:rFonts w:asciiTheme="minorHAnsi" w:hAnsiTheme="minorHAnsi"/>
          <w:b/>
          <w:color w:val="000000" w:themeColor="text1"/>
          <w:sz w:val="18"/>
          <w:szCs w:val="18"/>
        </w:rPr>
        <w:tab/>
      </w:r>
      <w:r w:rsidR="0067211A" w:rsidRPr="00243789">
        <w:rPr>
          <w:rFonts w:asciiTheme="minorHAnsi" w:hAnsiTheme="minorHAnsi"/>
          <w:b/>
          <w:color w:val="000000" w:themeColor="text1"/>
          <w:sz w:val="18"/>
          <w:szCs w:val="18"/>
        </w:rPr>
        <w:tab/>
      </w:r>
      <w:r w:rsidR="0067211A" w:rsidRPr="00243789">
        <w:rPr>
          <w:rFonts w:asciiTheme="minorHAnsi" w:hAnsiTheme="minorHAnsi"/>
          <w:b/>
          <w:color w:val="000000" w:themeColor="text1"/>
          <w:sz w:val="18"/>
          <w:szCs w:val="18"/>
        </w:rPr>
        <w:tab/>
      </w:r>
      <w:r w:rsidR="0067211A" w:rsidRPr="00243789">
        <w:rPr>
          <w:rFonts w:asciiTheme="minorHAnsi" w:hAnsiTheme="minorHAnsi"/>
          <w:b/>
          <w:color w:val="000000" w:themeColor="text1"/>
          <w:sz w:val="18"/>
          <w:szCs w:val="18"/>
        </w:rPr>
        <w:tab/>
        <w:t>TUTELA CONTRA PROVIDENCIA JUDICIAL /Trámite de una Acción Pop</w:t>
      </w:r>
      <w:r w:rsidR="0067211A">
        <w:rPr>
          <w:rFonts w:asciiTheme="minorHAnsi" w:hAnsiTheme="minorHAnsi"/>
          <w:b/>
          <w:color w:val="000000" w:themeColor="text1"/>
          <w:sz w:val="18"/>
          <w:szCs w:val="18"/>
        </w:rPr>
        <w:t xml:space="preserve">ular </w:t>
      </w:r>
      <w:r w:rsidR="0067211A" w:rsidRPr="00243789">
        <w:rPr>
          <w:rFonts w:asciiTheme="minorHAnsi" w:hAnsiTheme="minorHAnsi"/>
          <w:b/>
          <w:color w:val="000000" w:themeColor="text1"/>
          <w:sz w:val="18"/>
          <w:szCs w:val="18"/>
        </w:rPr>
        <w:t xml:space="preserve">/ CAUSALES GENÉRICAS Y ESPECIALES DE </w:t>
      </w:r>
      <w:proofErr w:type="spellStart"/>
      <w:r w:rsidR="0067211A" w:rsidRPr="00243789">
        <w:rPr>
          <w:rFonts w:asciiTheme="minorHAnsi" w:hAnsiTheme="minorHAnsi"/>
          <w:b/>
          <w:color w:val="000000" w:themeColor="text1"/>
          <w:sz w:val="18"/>
          <w:szCs w:val="18"/>
        </w:rPr>
        <w:t>PROCEDIBILIDAD</w:t>
      </w:r>
      <w:proofErr w:type="spellEnd"/>
      <w:r w:rsidR="0067211A" w:rsidRPr="00243789">
        <w:rPr>
          <w:rFonts w:asciiTheme="minorHAnsi" w:hAnsiTheme="minorHAnsi"/>
          <w:b/>
          <w:color w:val="000000" w:themeColor="text1"/>
          <w:sz w:val="18"/>
          <w:szCs w:val="18"/>
        </w:rPr>
        <w:t xml:space="preserve"> / </w:t>
      </w:r>
      <w:r w:rsidR="0067211A">
        <w:rPr>
          <w:rFonts w:asciiTheme="minorHAnsi" w:hAnsiTheme="minorHAnsi"/>
          <w:b/>
          <w:color w:val="000000" w:themeColor="text1"/>
          <w:sz w:val="18"/>
          <w:szCs w:val="18"/>
        </w:rPr>
        <w:t>INEXISTENCIA DEFECTO SUSTANTIVO / Interpretación no fue caprichosa</w:t>
      </w:r>
      <w:r w:rsidR="0067211A" w:rsidRPr="00243789">
        <w:rPr>
          <w:rFonts w:asciiTheme="minorHAnsi" w:hAnsiTheme="minorHAnsi"/>
          <w:b/>
          <w:color w:val="000000" w:themeColor="text1"/>
          <w:sz w:val="18"/>
          <w:szCs w:val="18"/>
        </w:rPr>
        <w:t xml:space="preserve"> /</w:t>
      </w:r>
      <w:r w:rsidR="0067211A">
        <w:rPr>
          <w:rFonts w:asciiTheme="minorHAnsi" w:hAnsiTheme="minorHAnsi"/>
          <w:b/>
          <w:color w:val="000000" w:themeColor="text1"/>
          <w:sz w:val="18"/>
          <w:szCs w:val="18"/>
        </w:rPr>
        <w:t xml:space="preserve"> NIEGA /</w:t>
      </w:r>
      <w:r w:rsidR="0067211A">
        <w:rPr>
          <w:szCs w:val="24"/>
        </w:rPr>
        <w:t xml:space="preserve"> </w:t>
      </w:r>
      <w:r w:rsidR="0067211A" w:rsidRPr="0067211A">
        <w:rPr>
          <w:rFonts w:asciiTheme="minorHAnsi" w:hAnsiTheme="minorHAnsi"/>
          <w:sz w:val="18"/>
          <w:szCs w:val="18"/>
        </w:rPr>
        <w:t>“En consecuencia</w:t>
      </w:r>
      <w:r w:rsidR="0067211A" w:rsidRPr="0067211A">
        <w:rPr>
          <w:rFonts w:asciiTheme="minorHAnsi" w:hAnsiTheme="minorHAnsi" w:cs="Arial"/>
          <w:sz w:val="18"/>
          <w:szCs w:val="18"/>
          <w:lang w:val="es-CO" w:eastAsia="es-CO"/>
        </w:rPr>
        <w:t>, estima esta Magistratura que</w:t>
      </w:r>
      <w:r w:rsidR="0067211A" w:rsidRPr="0067211A">
        <w:rPr>
          <w:rFonts w:asciiTheme="minorHAnsi" w:hAnsiTheme="minorHAnsi" w:cs="Arial"/>
          <w:sz w:val="18"/>
          <w:szCs w:val="18"/>
        </w:rPr>
        <w:t xml:space="preserve"> </w:t>
      </w:r>
      <w:r w:rsidR="0067211A" w:rsidRPr="0067211A">
        <w:rPr>
          <w:rFonts w:asciiTheme="minorHAnsi" w:hAnsiTheme="minorHAnsi"/>
          <w:sz w:val="18"/>
          <w:szCs w:val="18"/>
        </w:rPr>
        <w:t xml:space="preserve">luce evidente la inexistencia de vulneración o amenaza del derecho al debido proceso, dado que el juzgado, se itera, sí está tramitando   la acción constitucional, inclusive, previamente a la formulación del amparo, profirió el auto </w:t>
      </w:r>
      <w:proofErr w:type="spellStart"/>
      <w:r w:rsidR="0067211A" w:rsidRPr="0067211A">
        <w:rPr>
          <w:rFonts w:asciiTheme="minorHAnsi" w:hAnsiTheme="minorHAnsi"/>
          <w:sz w:val="18"/>
          <w:szCs w:val="18"/>
        </w:rPr>
        <w:t>admisorio</w:t>
      </w:r>
      <w:proofErr w:type="spellEnd"/>
      <w:r w:rsidR="0067211A" w:rsidRPr="0067211A">
        <w:rPr>
          <w:rFonts w:asciiTheme="minorHAnsi" w:hAnsiTheme="minorHAnsi"/>
          <w:sz w:val="18"/>
          <w:szCs w:val="18"/>
        </w:rPr>
        <w:t>; igual sucede en lo atinente al amparo de pobreza, puesto que el actor ni siquiera lo ha solicitado al juzgado. Así las cosas, se negará el amparo constitucional.”</w:t>
      </w:r>
    </w:p>
    <w:p w:rsidR="0067211A" w:rsidRPr="0067211A" w:rsidRDefault="0067211A" w:rsidP="0067211A">
      <w:pPr>
        <w:pStyle w:val="Sinespaciado"/>
        <w:jc w:val="both"/>
        <w:rPr>
          <w:rFonts w:asciiTheme="minorHAnsi" w:hAnsiTheme="minorHAnsi"/>
          <w:sz w:val="18"/>
          <w:szCs w:val="18"/>
        </w:rPr>
      </w:pPr>
      <w:r w:rsidRPr="0067211A">
        <w:rPr>
          <w:rFonts w:asciiTheme="minorHAnsi" w:hAnsiTheme="minorHAnsi"/>
          <w:sz w:val="18"/>
          <w:szCs w:val="18"/>
        </w:rPr>
        <w:t>(…)</w:t>
      </w:r>
    </w:p>
    <w:p w:rsidR="0067211A" w:rsidRPr="0067211A" w:rsidRDefault="0067211A" w:rsidP="0067211A">
      <w:pPr>
        <w:pStyle w:val="Sinespaciado"/>
        <w:jc w:val="both"/>
        <w:rPr>
          <w:rFonts w:asciiTheme="minorHAnsi" w:hAnsiTheme="minorHAnsi"/>
          <w:sz w:val="18"/>
          <w:szCs w:val="18"/>
        </w:rPr>
      </w:pPr>
    </w:p>
    <w:p w:rsidR="0067211A" w:rsidRPr="0067211A" w:rsidRDefault="0067211A" w:rsidP="0067211A">
      <w:pPr>
        <w:pStyle w:val="Sinespaciado"/>
        <w:jc w:val="both"/>
        <w:rPr>
          <w:rFonts w:asciiTheme="minorHAnsi" w:hAnsiTheme="minorHAnsi"/>
          <w:sz w:val="18"/>
          <w:szCs w:val="18"/>
        </w:rPr>
      </w:pPr>
      <w:r w:rsidRPr="0067211A">
        <w:rPr>
          <w:rFonts w:asciiTheme="minorHAnsi" w:hAnsiTheme="minorHAnsi"/>
          <w:sz w:val="18"/>
          <w:szCs w:val="18"/>
        </w:rPr>
        <w:t xml:space="preserve">“El accionante también se duele de que el juzgado no efectué directamente </w:t>
      </w:r>
      <w:r w:rsidRPr="0067211A">
        <w:rPr>
          <w:rFonts w:asciiTheme="minorHAnsi" w:hAnsiTheme="minorHAnsi" w:cs="Arial"/>
          <w:color w:val="000000"/>
          <w:sz w:val="18"/>
          <w:szCs w:val="18"/>
        </w:rPr>
        <w:t xml:space="preserve">la notificación del accionado como la publicación del aviso a la comunidad (Hecho 4º del petitorio visible a folio 1, ib.). En lo que refiere a este punto, conforme </w:t>
      </w:r>
      <w:r w:rsidRPr="0067211A">
        <w:rPr>
          <w:rFonts w:asciiTheme="minorHAnsi" w:hAnsiTheme="minorHAnsi"/>
          <w:sz w:val="18"/>
          <w:szCs w:val="18"/>
        </w:rPr>
        <w:t xml:space="preserve">la metodología enseñada por la doctrina constitucional, se advierten debidamente cumplidos los presupuestos generales de </w:t>
      </w:r>
      <w:proofErr w:type="spellStart"/>
      <w:r w:rsidRPr="0067211A">
        <w:rPr>
          <w:rFonts w:asciiTheme="minorHAnsi" w:hAnsiTheme="minorHAnsi"/>
          <w:sz w:val="18"/>
          <w:szCs w:val="18"/>
        </w:rPr>
        <w:t>procedibilidad</w:t>
      </w:r>
      <w:proofErr w:type="spellEnd"/>
      <w:r w:rsidRPr="0067211A">
        <w:rPr>
          <w:rFonts w:asciiTheme="minorHAnsi" w:hAnsiTheme="minorHAnsi"/>
          <w:sz w:val="18"/>
          <w:szCs w:val="18"/>
        </w:rPr>
        <w:t xml:space="preserve">. </w:t>
      </w:r>
    </w:p>
    <w:p w:rsidR="0067211A" w:rsidRPr="0067211A" w:rsidRDefault="0067211A" w:rsidP="0067211A">
      <w:pPr>
        <w:pStyle w:val="Sinespaciado"/>
        <w:jc w:val="both"/>
        <w:rPr>
          <w:rFonts w:asciiTheme="minorHAnsi" w:hAnsiTheme="minorHAnsi"/>
          <w:sz w:val="18"/>
          <w:szCs w:val="18"/>
        </w:rPr>
      </w:pPr>
    </w:p>
    <w:p w:rsidR="0067211A" w:rsidRPr="0067211A" w:rsidRDefault="0067211A" w:rsidP="0067211A">
      <w:pPr>
        <w:pStyle w:val="Sinespaciado"/>
        <w:jc w:val="both"/>
        <w:rPr>
          <w:rFonts w:asciiTheme="minorHAnsi" w:hAnsiTheme="minorHAnsi"/>
          <w:sz w:val="18"/>
          <w:szCs w:val="18"/>
        </w:rPr>
      </w:pPr>
      <w:r w:rsidRPr="0067211A">
        <w:rPr>
          <w:rFonts w:asciiTheme="minorHAnsi" w:hAnsiTheme="minorHAnsi"/>
          <w:sz w:val="18"/>
          <w:szCs w:val="18"/>
        </w:rPr>
        <w:t>En efecto, el asunto es de relevancia constitucional; se agotaron</w:t>
      </w:r>
      <w:r w:rsidRPr="0067211A">
        <w:rPr>
          <w:rFonts w:asciiTheme="minorHAnsi" w:hAnsiTheme="minorHAnsi"/>
          <w:sz w:val="18"/>
          <w:szCs w:val="18"/>
          <w:lang w:val="es-CO"/>
        </w:rPr>
        <w:t xml:space="preserve"> los medios ordinarios </w:t>
      </w:r>
      <w:r w:rsidRPr="0067211A">
        <w:rPr>
          <w:rFonts w:asciiTheme="minorHAnsi" w:hAnsiTheme="minorHAnsi"/>
          <w:sz w:val="18"/>
          <w:szCs w:val="18"/>
        </w:rPr>
        <w:t xml:space="preserve">ante la </w:t>
      </w:r>
      <w:r w:rsidRPr="0067211A">
        <w:rPr>
          <w:rFonts w:asciiTheme="minorHAnsi" w:hAnsiTheme="minorHAnsi"/>
          <w:i/>
          <w:sz w:val="18"/>
          <w:szCs w:val="18"/>
        </w:rPr>
        <w:t>a quo</w:t>
      </w:r>
      <w:r w:rsidRPr="0067211A">
        <w:rPr>
          <w:rFonts w:asciiTheme="minorHAnsi" w:hAnsiTheme="minorHAnsi"/>
          <w:sz w:val="18"/>
          <w:szCs w:val="18"/>
        </w:rPr>
        <w:t xml:space="preserve"> (Subsidiariedad) (Reposición artículo 36, Ley 472); la actuación reprochada no es de tutela; hay inmediatez porque la decisión que la reposición data del día 25-07-2016 (Folios 21 vto. y 22, ib.) y la acción fue instaurada el día 30-09-2016 (Folio 2, ib.); y, la irregularidad realzada por la parte, resulta ser trascendente para el desarrollo de la </w:t>
      </w:r>
      <w:proofErr w:type="spellStart"/>
      <w:r w:rsidRPr="0067211A">
        <w:rPr>
          <w:rFonts w:asciiTheme="minorHAnsi" w:hAnsiTheme="minorHAnsi"/>
          <w:sz w:val="18"/>
          <w:szCs w:val="18"/>
        </w:rPr>
        <w:t>litis</w:t>
      </w:r>
      <w:proofErr w:type="spellEnd"/>
      <w:r w:rsidRPr="0067211A">
        <w:rPr>
          <w:rFonts w:asciiTheme="minorHAnsi" w:hAnsiTheme="minorHAnsi"/>
          <w:sz w:val="18"/>
          <w:szCs w:val="18"/>
        </w:rPr>
        <w:t>.</w:t>
      </w:r>
    </w:p>
    <w:p w:rsidR="0067211A" w:rsidRPr="0067211A" w:rsidRDefault="0067211A" w:rsidP="0067211A">
      <w:pPr>
        <w:pStyle w:val="Sinespaciado"/>
        <w:jc w:val="both"/>
        <w:rPr>
          <w:rFonts w:asciiTheme="minorHAnsi" w:hAnsiTheme="minorHAnsi"/>
          <w:sz w:val="18"/>
          <w:szCs w:val="18"/>
        </w:rPr>
      </w:pPr>
    </w:p>
    <w:p w:rsidR="0067211A" w:rsidRPr="0067211A" w:rsidRDefault="0067211A" w:rsidP="0067211A">
      <w:pPr>
        <w:pStyle w:val="Sinespaciado"/>
        <w:jc w:val="both"/>
        <w:rPr>
          <w:rFonts w:asciiTheme="minorHAnsi" w:hAnsiTheme="minorHAnsi" w:cs="Arial"/>
          <w:color w:val="000000"/>
          <w:sz w:val="18"/>
          <w:szCs w:val="18"/>
        </w:rPr>
      </w:pPr>
      <w:r w:rsidRPr="0067211A">
        <w:rPr>
          <w:rFonts w:asciiTheme="minorHAnsi" w:hAnsiTheme="minorHAnsi" w:cs="Arial"/>
          <w:sz w:val="18"/>
          <w:szCs w:val="18"/>
        </w:rPr>
        <w:t xml:space="preserve">Concluido el estudio de los requisitos generales, incumbe proseguir con la revisión de las causales especiales y en el caso concreto según lo </w:t>
      </w:r>
      <w:r w:rsidRPr="0067211A">
        <w:rPr>
          <w:rFonts w:asciiTheme="minorHAnsi" w:hAnsiTheme="minorHAnsi" w:cs="Arial"/>
          <w:sz w:val="18"/>
          <w:szCs w:val="18"/>
          <w:lang w:val="es-CO"/>
        </w:rPr>
        <w:t xml:space="preserve">expuesto por el accionante en conjunto con el estado actual de la acción popular </w:t>
      </w:r>
      <w:r w:rsidRPr="0067211A">
        <w:rPr>
          <w:rFonts w:asciiTheme="minorHAnsi" w:hAnsiTheme="minorHAnsi" w:cs="Arial"/>
          <w:sz w:val="18"/>
          <w:szCs w:val="18"/>
        </w:rPr>
        <w:t>se entiende que se alude al defecto sustantivo, pues aunque pretermitió señalarlo así, lo cierto es que pide que no se le imponga la obligación de notificar y de avisar a la comunidad en la acción popular 2016-00119-00, y en su lugar, se disponga que el juzgado accionado realice dichas diligencias en aplicación del artículo 5º de la Ley 472</w:t>
      </w:r>
      <w:r w:rsidRPr="0067211A">
        <w:rPr>
          <w:rFonts w:asciiTheme="minorHAnsi" w:hAnsiTheme="minorHAnsi" w:cs="Arial"/>
          <w:color w:val="000000"/>
          <w:sz w:val="18"/>
          <w:szCs w:val="18"/>
        </w:rPr>
        <w:t>.</w:t>
      </w:r>
    </w:p>
    <w:p w:rsidR="0067211A" w:rsidRPr="0067211A" w:rsidRDefault="0067211A" w:rsidP="0067211A">
      <w:pPr>
        <w:pStyle w:val="Sinespaciado"/>
        <w:jc w:val="both"/>
        <w:rPr>
          <w:rFonts w:asciiTheme="minorHAnsi" w:hAnsiTheme="minorHAnsi" w:cs="Arial"/>
          <w:sz w:val="18"/>
          <w:szCs w:val="18"/>
        </w:rPr>
      </w:pPr>
    </w:p>
    <w:p w:rsidR="0067211A" w:rsidRPr="0067211A" w:rsidRDefault="0067211A" w:rsidP="0067211A">
      <w:pPr>
        <w:pStyle w:val="Sinespaciado"/>
        <w:jc w:val="both"/>
        <w:rPr>
          <w:rFonts w:asciiTheme="minorHAnsi" w:hAnsiTheme="minorHAnsi" w:cs="Arial"/>
          <w:color w:val="000000"/>
          <w:sz w:val="18"/>
          <w:szCs w:val="18"/>
        </w:rPr>
      </w:pPr>
      <w:r w:rsidRPr="0067211A">
        <w:rPr>
          <w:rFonts w:asciiTheme="minorHAnsi" w:hAnsiTheme="minorHAnsi" w:cs="Arial"/>
          <w:color w:val="000000"/>
          <w:sz w:val="18"/>
          <w:szCs w:val="18"/>
        </w:rPr>
        <w:t xml:space="preserve">Para la Sala la situación se contrae al análisis del inciso 3º del referido artículo, que prescribe como obligación del juez, impulsar oficiosamente la acción popular, en armonía con el artículo 21 ídem, que consagra las reglas que deben cumplirse para la notificación del auto </w:t>
      </w:r>
      <w:proofErr w:type="spellStart"/>
      <w:r w:rsidRPr="0067211A">
        <w:rPr>
          <w:rFonts w:asciiTheme="minorHAnsi" w:hAnsiTheme="minorHAnsi" w:cs="Arial"/>
          <w:color w:val="000000"/>
          <w:sz w:val="18"/>
          <w:szCs w:val="18"/>
        </w:rPr>
        <w:t>admisorio</w:t>
      </w:r>
      <w:proofErr w:type="spellEnd"/>
      <w:r w:rsidRPr="0067211A">
        <w:rPr>
          <w:rFonts w:asciiTheme="minorHAnsi" w:hAnsiTheme="minorHAnsi" w:cs="Arial"/>
          <w:color w:val="000000"/>
          <w:sz w:val="18"/>
          <w:szCs w:val="18"/>
        </w:rPr>
        <w:t xml:space="preserve">, así: (i) Que se practique notificación personal al accionado de acuerdo con el </w:t>
      </w:r>
      <w:proofErr w:type="spellStart"/>
      <w:r w:rsidRPr="0067211A">
        <w:rPr>
          <w:rFonts w:asciiTheme="minorHAnsi" w:hAnsiTheme="minorHAnsi" w:cs="Arial"/>
          <w:color w:val="000000"/>
          <w:sz w:val="18"/>
          <w:szCs w:val="18"/>
        </w:rPr>
        <w:t>CPC</w:t>
      </w:r>
      <w:proofErr w:type="spellEnd"/>
      <w:r w:rsidRPr="0067211A">
        <w:rPr>
          <w:rFonts w:asciiTheme="minorHAnsi" w:hAnsiTheme="minorHAnsi" w:cs="Arial"/>
          <w:color w:val="000000"/>
          <w:sz w:val="18"/>
          <w:szCs w:val="18"/>
        </w:rPr>
        <w:t xml:space="preserve">, si se trata de un particular; (ii) Que cuando se trata de entidades públicas, la notificación habrá de practicarse conforme al </w:t>
      </w:r>
      <w:proofErr w:type="spellStart"/>
      <w:r w:rsidRPr="0067211A">
        <w:rPr>
          <w:rFonts w:asciiTheme="minorHAnsi" w:hAnsiTheme="minorHAnsi" w:cs="Arial"/>
          <w:color w:val="000000"/>
          <w:sz w:val="18"/>
          <w:szCs w:val="18"/>
        </w:rPr>
        <w:t>CPACA</w:t>
      </w:r>
      <w:proofErr w:type="spellEnd"/>
      <w:r w:rsidRPr="0067211A">
        <w:rPr>
          <w:rFonts w:asciiTheme="minorHAnsi" w:hAnsiTheme="minorHAnsi" w:cs="Arial"/>
          <w:color w:val="000000"/>
          <w:sz w:val="18"/>
          <w:szCs w:val="18"/>
        </w:rPr>
        <w:t xml:space="preserve"> (Antes </w:t>
      </w:r>
      <w:proofErr w:type="spellStart"/>
      <w:r w:rsidRPr="0067211A">
        <w:rPr>
          <w:rFonts w:asciiTheme="minorHAnsi" w:hAnsiTheme="minorHAnsi" w:cs="Arial"/>
          <w:color w:val="000000"/>
          <w:sz w:val="18"/>
          <w:szCs w:val="18"/>
        </w:rPr>
        <w:t>CCA</w:t>
      </w:r>
      <w:proofErr w:type="spellEnd"/>
      <w:r w:rsidRPr="0067211A">
        <w:rPr>
          <w:rFonts w:asciiTheme="minorHAnsi" w:hAnsiTheme="minorHAnsi" w:cs="Arial"/>
          <w:color w:val="000000"/>
          <w:sz w:val="18"/>
          <w:szCs w:val="18"/>
        </w:rPr>
        <w:t xml:space="preserve">); (iii) Que podrá informarse a los miembros de la comunidad a través de medio masivo de comunicación o cualquier medio eficaz, lo cual podrá efectuarse simultáneamente a través de varios medios de comunicación; y (iv) Que si la acción no hubiere sido formulada por el Ministerio Público, se debe comunicar el inicio de la acción al igual que a la entidad administrativa encargada de proteger el derecho o interés colectivo que se estima vulnerado. </w:t>
      </w:r>
    </w:p>
    <w:p w:rsidR="0067211A" w:rsidRPr="0067211A" w:rsidRDefault="0067211A" w:rsidP="0067211A">
      <w:pPr>
        <w:pStyle w:val="Sinespaciado"/>
        <w:jc w:val="both"/>
        <w:rPr>
          <w:rFonts w:asciiTheme="minorHAnsi" w:hAnsiTheme="minorHAnsi" w:cs="Arial"/>
          <w:color w:val="000000"/>
          <w:sz w:val="18"/>
          <w:szCs w:val="18"/>
        </w:rPr>
      </w:pPr>
    </w:p>
    <w:p w:rsidR="0067211A" w:rsidRPr="0067211A" w:rsidRDefault="0067211A" w:rsidP="0067211A">
      <w:pPr>
        <w:pStyle w:val="Sinespaciado"/>
        <w:jc w:val="both"/>
        <w:rPr>
          <w:rFonts w:asciiTheme="minorHAnsi" w:hAnsiTheme="minorHAnsi" w:cs="Arial"/>
          <w:color w:val="000000"/>
          <w:sz w:val="18"/>
          <w:szCs w:val="18"/>
        </w:rPr>
      </w:pPr>
      <w:r w:rsidRPr="0067211A">
        <w:rPr>
          <w:rFonts w:asciiTheme="minorHAnsi" w:hAnsiTheme="minorHAnsi" w:cs="Arial"/>
          <w:color w:val="000000"/>
          <w:sz w:val="18"/>
          <w:szCs w:val="18"/>
        </w:rPr>
        <w:t xml:space="preserve">A partir de lo dicho, podría llegarse a la conclusión de que prima el impulso oficioso del juez director del proceso, pero lo cierto es que, la norma tampoco establece la exoneración de las cargas (Notificación del accionado a expensas del accionante o la publicación del aviso a la comunidad) que puedan imponerse al actor por el juez de conocimiento. Cabe recordar en este punto, que la notificación es un acto que requiere del impulso de la parte interesada, conforme al artículo 291 del </w:t>
      </w:r>
      <w:proofErr w:type="spellStart"/>
      <w:r w:rsidRPr="0067211A">
        <w:rPr>
          <w:rFonts w:asciiTheme="minorHAnsi" w:hAnsiTheme="minorHAnsi" w:cs="Arial"/>
          <w:color w:val="000000"/>
          <w:sz w:val="18"/>
          <w:szCs w:val="18"/>
        </w:rPr>
        <w:t>CPG</w:t>
      </w:r>
      <w:proofErr w:type="spellEnd"/>
      <w:r w:rsidRPr="0067211A">
        <w:rPr>
          <w:rFonts w:asciiTheme="minorHAnsi" w:hAnsiTheme="minorHAnsi" w:cs="Arial"/>
          <w:color w:val="000000"/>
          <w:sz w:val="18"/>
          <w:szCs w:val="18"/>
        </w:rPr>
        <w:t xml:space="preserve">, en concordancia con los Acuerdos 1772 de 2003, 2555 de 2003 del Consejo Superior de la Judicatura. </w:t>
      </w:r>
    </w:p>
    <w:p w:rsidR="0067211A" w:rsidRPr="0067211A" w:rsidRDefault="0067211A" w:rsidP="0067211A">
      <w:pPr>
        <w:pStyle w:val="Sinespaciado"/>
        <w:jc w:val="both"/>
        <w:rPr>
          <w:rFonts w:asciiTheme="minorHAnsi" w:hAnsiTheme="minorHAnsi" w:cs="Arial"/>
          <w:color w:val="000000"/>
          <w:sz w:val="18"/>
          <w:szCs w:val="18"/>
        </w:rPr>
      </w:pPr>
    </w:p>
    <w:p w:rsidR="0067211A" w:rsidRPr="0067211A" w:rsidRDefault="0067211A" w:rsidP="0067211A">
      <w:pPr>
        <w:pStyle w:val="Sinespaciado"/>
        <w:jc w:val="both"/>
        <w:rPr>
          <w:rFonts w:asciiTheme="minorHAnsi" w:hAnsiTheme="minorHAnsi" w:cs="Arial"/>
          <w:color w:val="000000"/>
          <w:sz w:val="18"/>
          <w:szCs w:val="18"/>
        </w:rPr>
      </w:pPr>
      <w:r w:rsidRPr="0067211A">
        <w:rPr>
          <w:rFonts w:asciiTheme="minorHAnsi" w:hAnsiTheme="minorHAnsi" w:cs="Arial"/>
          <w:color w:val="000000"/>
          <w:sz w:val="18"/>
          <w:szCs w:val="18"/>
        </w:rPr>
        <w:t>Dentro de ese contexto, si bien se le ha impuesto al actor el deber de notificar al accionado y de efectuar la publicación del aviso a la comunidad, estima la Sala que ello no puede considerarse como un actuar antojadizo o injustificado del juez, que conlleve la vulneración de sus derechos fundamentales, ni refleja una acción tendiente a e</w:t>
      </w:r>
      <w:r w:rsidRPr="0067211A">
        <w:rPr>
          <w:rFonts w:asciiTheme="minorHAnsi" w:hAnsiTheme="minorHAnsi" w:cs="Arial"/>
          <w:sz w:val="18"/>
          <w:szCs w:val="18"/>
        </w:rPr>
        <w:t xml:space="preserve">squivar el impulso oficioso que le atribuye la citada Ley, pues, esas son </w:t>
      </w:r>
      <w:r w:rsidRPr="0067211A">
        <w:rPr>
          <w:rFonts w:asciiTheme="minorHAnsi" w:hAnsiTheme="minorHAnsi" w:cs="Arial"/>
          <w:color w:val="000000"/>
          <w:sz w:val="18"/>
          <w:szCs w:val="18"/>
        </w:rPr>
        <w:t xml:space="preserve">gestiones que permiten inferir una mínima diligencia por parte del promotor de la acción con el fin de obtener la protección de los derechos colectivos presuntamente vulnerados o amenazados; tal como lo ha reconocido </w:t>
      </w:r>
      <w:r w:rsidRPr="0067211A">
        <w:rPr>
          <w:rFonts w:asciiTheme="minorHAnsi" w:hAnsiTheme="minorHAnsi" w:cs="Arial"/>
          <w:sz w:val="18"/>
          <w:szCs w:val="18"/>
        </w:rPr>
        <w:t>el Consejo de Estado.</w:t>
      </w:r>
    </w:p>
    <w:p w:rsidR="0067211A" w:rsidRPr="0067211A" w:rsidRDefault="0067211A" w:rsidP="0067211A">
      <w:pPr>
        <w:pStyle w:val="Sinespaciado"/>
        <w:jc w:val="both"/>
        <w:rPr>
          <w:rFonts w:asciiTheme="minorHAnsi" w:hAnsiTheme="minorHAnsi" w:cs="Arial"/>
          <w:color w:val="000000"/>
          <w:sz w:val="18"/>
          <w:szCs w:val="18"/>
        </w:rPr>
      </w:pPr>
    </w:p>
    <w:p w:rsidR="0067211A" w:rsidRPr="0067211A" w:rsidRDefault="0067211A" w:rsidP="0067211A">
      <w:pPr>
        <w:pStyle w:val="Sinespaciado"/>
        <w:jc w:val="both"/>
        <w:rPr>
          <w:rFonts w:asciiTheme="minorHAnsi" w:hAnsiTheme="minorHAnsi"/>
          <w:sz w:val="18"/>
          <w:szCs w:val="18"/>
        </w:rPr>
      </w:pPr>
      <w:r w:rsidRPr="0067211A">
        <w:rPr>
          <w:rFonts w:asciiTheme="minorHAnsi" w:hAnsiTheme="minorHAnsi" w:cs="Arial"/>
          <w:color w:val="000000"/>
          <w:sz w:val="18"/>
          <w:szCs w:val="18"/>
        </w:rPr>
        <w:t xml:space="preserve">Esta interpretación acoge el pensamiento de la CSJ, Sala Civil, al resolver una acción de tutela con </w:t>
      </w:r>
      <w:r w:rsidRPr="0067211A">
        <w:rPr>
          <w:rFonts w:asciiTheme="minorHAnsi" w:hAnsiTheme="minorHAnsi"/>
          <w:sz w:val="18"/>
          <w:szCs w:val="18"/>
        </w:rPr>
        <w:t xml:space="preserve">parámetros fácticos similares a los que dieron origen al </w:t>
      </w:r>
      <w:r w:rsidRPr="0067211A">
        <w:rPr>
          <w:rFonts w:asciiTheme="minorHAnsi" w:hAnsiTheme="minorHAnsi"/>
          <w:i/>
          <w:sz w:val="18"/>
          <w:szCs w:val="18"/>
        </w:rPr>
        <w:t>sub examine…”</w:t>
      </w:r>
    </w:p>
    <w:p w:rsidR="0067211A" w:rsidRPr="0067211A" w:rsidRDefault="0067211A" w:rsidP="0067211A">
      <w:pPr>
        <w:pStyle w:val="Sinespaciado"/>
        <w:jc w:val="both"/>
        <w:rPr>
          <w:rFonts w:asciiTheme="minorHAnsi" w:hAnsiTheme="minorHAnsi"/>
          <w:sz w:val="18"/>
          <w:szCs w:val="18"/>
        </w:rPr>
      </w:pPr>
    </w:p>
    <w:p w:rsidR="0067211A" w:rsidRPr="00900E1C" w:rsidRDefault="0067211A" w:rsidP="0067211A">
      <w:pPr>
        <w:pStyle w:val="Sinespaciado"/>
        <w:jc w:val="both"/>
        <w:rPr>
          <w:rFonts w:asciiTheme="minorHAnsi" w:hAnsiTheme="minorHAnsi"/>
          <w:sz w:val="20"/>
          <w:lang w:val="es-CO"/>
        </w:rPr>
      </w:pPr>
      <w:r w:rsidRPr="00900E1C">
        <w:rPr>
          <w:rFonts w:asciiTheme="minorHAnsi" w:hAnsiTheme="minorHAnsi"/>
          <w:b/>
          <w:sz w:val="20"/>
        </w:rPr>
        <w:t xml:space="preserve">Citación jurisprudencial: </w:t>
      </w:r>
      <w:r w:rsidRPr="00900E1C">
        <w:rPr>
          <w:rFonts w:ascii="Calibri" w:hAnsi="Calibri" w:cs="Calibri"/>
          <w:sz w:val="20"/>
          <w:lang w:val="es-MX"/>
        </w:rPr>
        <w:t xml:space="preserve">Sentencia T-917 de 2011. / Sentencia C-590 de 2005. / Sentencias </w:t>
      </w:r>
      <w:r w:rsidRPr="00900E1C">
        <w:rPr>
          <w:rFonts w:ascii="Calibri" w:hAnsi="Calibri" w:cs="Calibri"/>
          <w:bCs/>
          <w:sz w:val="20"/>
        </w:rPr>
        <w:t>T-107 de 2016</w:t>
      </w:r>
      <w:r w:rsidRPr="00900E1C">
        <w:rPr>
          <w:rFonts w:ascii="Calibri" w:hAnsi="Calibri" w:cs="Calibri"/>
          <w:sz w:val="20"/>
        </w:rPr>
        <w:t xml:space="preserve"> y </w:t>
      </w:r>
      <w:r w:rsidRPr="00900E1C">
        <w:rPr>
          <w:rFonts w:ascii="Calibri" w:hAnsi="Calibri" w:cs="Calibri"/>
          <w:sz w:val="20"/>
          <w:lang w:val="es-MX"/>
        </w:rPr>
        <w:t xml:space="preserve">T-064 de 2015, entre otras. / Sentencia T-307 de 2015. / </w:t>
      </w:r>
      <w:r w:rsidRPr="00900E1C">
        <w:rPr>
          <w:rFonts w:asciiTheme="minorHAnsi" w:hAnsiTheme="minorHAnsi" w:cs="Calibri"/>
          <w:sz w:val="20"/>
          <w:lang w:val="es-MX"/>
        </w:rPr>
        <w:t xml:space="preserve">Sentencia T-231 de 1994. / Sentencia T-831 de 2012. / </w:t>
      </w:r>
      <w:r w:rsidRPr="00900E1C">
        <w:rPr>
          <w:rFonts w:asciiTheme="minorHAnsi" w:hAnsiTheme="minorHAnsi"/>
          <w:sz w:val="20"/>
          <w:lang w:val="es-CO"/>
        </w:rPr>
        <w:t xml:space="preserve">Sentencia T-573 de 1997. / Sentencia T-567 de 1998. / Sentencia T-001 de 1999. / </w:t>
      </w:r>
      <w:r w:rsidRPr="00900E1C">
        <w:rPr>
          <w:rFonts w:asciiTheme="minorHAnsi" w:hAnsiTheme="minorHAnsi" w:cs="Calibri"/>
          <w:sz w:val="20"/>
          <w:lang w:val="es-MX"/>
        </w:rPr>
        <w:t>Sentencia SU-949 de 2014. / Sentencia T-192 de 2015.</w:t>
      </w:r>
      <w:r>
        <w:rPr>
          <w:rFonts w:asciiTheme="minorHAnsi" w:hAnsiTheme="minorHAnsi" w:cs="Calibri"/>
          <w:lang w:val="es-MX"/>
        </w:rPr>
        <w:t xml:space="preserve"> /</w:t>
      </w:r>
    </w:p>
    <w:p w:rsidR="0067211A" w:rsidRPr="00900E1C" w:rsidRDefault="0067211A" w:rsidP="0067211A">
      <w:pPr>
        <w:pStyle w:val="Sinespaciado"/>
        <w:jc w:val="both"/>
        <w:rPr>
          <w:rFonts w:asciiTheme="minorHAnsi" w:hAnsiTheme="minorHAnsi"/>
          <w:sz w:val="20"/>
        </w:rPr>
      </w:pPr>
    </w:p>
    <w:p w:rsidR="0067211A" w:rsidRPr="00900E1C" w:rsidRDefault="0067211A" w:rsidP="0067211A">
      <w:pPr>
        <w:pStyle w:val="Sinespaciado"/>
        <w:jc w:val="both"/>
        <w:rPr>
          <w:rFonts w:ascii="Calibri" w:hAnsi="Calibri"/>
          <w:sz w:val="20"/>
          <w:lang w:val="es-CO"/>
        </w:rPr>
      </w:pPr>
      <w:r w:rsidRPr="00900E1C">
        <w:rPr>
          <w:rFonts w:asciiTheme="minorHAnsi" w:hAnsiTheme="minorHAnsi" w:cs="Arial"/>
          <w:sz w:val="20"/>
          <w:lang w:val="es-CO"/>
        </w:rPr>
        <w:t xml:space="preserve">CSJ, Sala Civil; Sentencia del 03-03-2011, </w:t>
      </w:r>
      <w:proofErr w:type="spellStart"/>
      <w:r w:rsidRPr="00900E1C">
        <w:rPr>
          <w:rFonts w:asciiTheme="minorHAnsi" w:hAnsiTheme="minorHAnsi" w:cs="Arial"/>
          <w:sz w:val="20"/>
          <w:lang w:val="es-CO"/>
        </w:rPr>
        <w:t>MP</w:t>
      </w:r>
      <w:proofErr w:type="spellEnd"/>
      <w:r w:rsidRPr="00900E1C">
        <w:rPr>
          <w:rFonts w:asciiTheme="minorHAnsi" w:hAnsiTheme="minorHAnsi" w:cs="Arial"/>
          <w:sz w:val="20"/>
          <w:lang w:val="es-CO"/>
        </w:rPr>
        <w:t xml:space="preserve">: Arturo Solarte Rodríguez; </w:t>
      </w:r>
      <w:proofErr w:type="spellStart"/>
      <w:r w:rsidRPr="00900E1C">
        <w:rPr>
          <w:rFonts w:asciiTheme="minorHAnsi" w:hAnsiTheme="minorHAnsi" w:cs="Arial"/>
          <w:sz w:val="20"/>
          <w:lang w:val="es-CO"/>
        </w:rPr>
        <w:t>exp</w:t>
      </w:r>
      <w:proofErr w:type="spellEnd"/>
      <w:r w:rsidRPr="00900E1C">
        <w:rPr>
          <w:rFonts w:asciiTheme="minorHAnsi" w:hAnsiTheme="minorHAnsi" w:cs="Arial"/>
          <w:sz w:val="20"/>
          <w:lang w:val="es-CO"/>
        </w:rPr>
        <w:t xml:space="preserve">. No. 11001-22-03-000-2011-00029-01. / </w:t>
      </w:r>
      <w:r w:rsidRPr="00900E1C">
        <w:rPr>
          <w:rFonts w:asciiTheme="minorHAnsi" w:hAnsiTheme="minorHAnsi" w:cs="Calibri"/>
          <w:sz w:val="20"/>
        </w:rPr>
        <w:t>CSJ, Sala Civil. Provide</w:t>
      </w:r>
      <w:bookmarkStart w:id="0" w:name="_GoBack"/>
      <w:bookmarkEnd w:id="0"/>
      <w:r w:rsidRPr="00900E1C">
        <w:rPr>
          <w:rFonts w:asciiTheme="minorHAnsi" w:hAnsiTheme="minorHAnsi" w:cs="Calibri"/>
          <w:sz w:val="20"/>
        </w:rPr>
        <w:t xml:space="preserve">ncias STC5116-2015, </w:t>
      </w:r>
      <w:r w:rsidRPr="00900E1C">
        <w:rPr>
          <w:rFonts w:asciiTheme="minorHAnsi" w:hAnsiTheme="minorHAnsi" w:cs="Calibri"/>
          <w:sz w:val="20"/>
          <w:lang w:val="es-ES_tradnl"/>
        </w:rPr>
        <w:t xml:space="preserve">STC10743-2015 y </w:t>
      </w:r>
      <w:r w:rsidRPr="00900E1C">
        <w:rPr>
          <w:rFonts w:ascii="Calibri" w:hAnsi="Calibri" w:cs="Arial"/>
          <w:sz w:val="20"/>
        </w:rPr>
        <w:t>STC3947-2016</w:t>
      </w:r>
      <w:r w:rsidRPr="00900E1C">
        <w:rPr>
          <w:rFonts w:asciiTheme="minorHAnsi" w:hAnsiTheme="minorHAnsi" w:cs="Calibri"/>
          <w:sz w:val="20"/>
        </w:rPr>
        <w:t>.</w:t>
      </w:r>
    </w:p>
    <w:p w:rsidR="0067211A" w:rsidRPr="00900E1C" w:rsidRDefault="0067211A" w:rsidP="0067211A">
      <w:pPr>
        <w:pStyle w:val="Sinespaciado"/>
        <w:jc w:val="both"/>
        <w:rPr>
          <w:rFonts w:asciiTheme="minorHAnsi" w:hAnsiTheme="minorHAnsi" w:cs="Arial"/>
          <w:sz w:val="20"/>
          <w:lang w:val="es-CO"/>
        </w:rPr>
      </w:pPr>
    </w:p>
    <w:p w:rsidR="0067211A" w:rsidRPr="00900E1C" w:rsidRDefault="0067211A" w:rsidP="0067211A">
      <w:pPr>
        <w:pStyle w:val="Sinespaciado"/>
        <w:jc w:val="both"/>
        <w:rPr>
          <w:rFonts w:asciiTheme="minorHAnsi" w:hAnsiTheme="minorHAnsi"/>
          <w:sz w:val="20"/>
          <w:lang w:val="es-CO"/>
        </w:rPr>
      </w:pPr>
      <w:r w:rsidRPr="00900E1C">
        <w:rPr>
          <w:rFonts w:asciiTheme="minorHAnsi" w:hAnsiTheme="minorHAnsi" w:cs="Calibri"/>
          <w:sz w:val="20"/>
        </w:rPr>
        <w:t xml:space="preserve">CE, Sala de lo Contencioso Administrativo, Sección Primera. Sentencia 19-11-2009, </w:t>
      </w:r>
      <w:proofErr w:type="spellStart"/>
      <w:r w:rsidRPr="00900E1C">
        <w:rPr>
          <w:rFonts w:asciiTheme="minorHAnsi" w:hAnsiTheme="minorHAnsi" w:cs="Calibri"/>
          <w:sz w:val="20"/>
        </w:rPr>
        <w:t>CP</w:t>
      </w:r>
      <w:proofErr w:type="spellEnd"/>
      <w:r w:rsidRPr="00900E1C">
        <w:rPr>
          <w:rFonts w:asciiTheme="minorHAnsi" w:hAnsiTheme="minorHAnsi" w:cs="Calibri"/>
          <w:sz w:val="20"/>
        </w:rPr>
        <w:t xml:space="preserve"> (E): María C. Rojas L. </w:t>
      </w:r>
      <w:proofErr w:type="spellStart"/>
      <w:r w:rsidRPr="00900E1C">
        <w:rPr>
          <w:rFonts w:asciiTheme="minorHAnsi" w:hAnsiTheme="minorHAnsi"/>
          <w:sz w:val="20"/>
        </w:rPr>
        <w:t>exp</w:t>
      </w:r>
      <w:proofErr w:type="spellEnd"/>
      <w:r w:rsidRPr="00900E1C">
        <w:rPr>
          <w:rFonts w:asciiTheme="minorHAnsi" w:hAnsiTheme="minorHAnsi"/>
          <w:sz w:val="20"/>
        </w:rPr>
        <w:t>. No.41001-23-31-000-2004-01175-01(AP).</w:t>
      </w:r>
      <w:r w:rsidRPr="00900E1C">
        <w:rPr>
          <w:rFonts w:asciiTheme="minorHAnsi" w:hAnsiTheme="minorHAnsi"/>
          <w:b/>
          <w:bCs/>
          <w:sz w:val="20"/>
        </w:rPr>
        <w:t xml:space="preserve"> / </w:t>
      </w:r>
      <w:r w:rsidRPr="00900E1C">
        <w:rPr>
          <w:rFonts w:asciiTheme="minorHAnsi" w:hAnsiTheme="minorHAnsi" w:cs="Calibri"/>
          <w:sz w:val="20"/>
        </w:rPr>
        <w:t>CE, Sala de lo Contencioso Administrativo</w:t>
      </w:r>
      <w:r w:rsidRPr="00900E1C">
        <w:rPr>
          <w:rFonts w:asciiTheme="minorHAnsi" w:hAnsiTheme="minorHAnsi"/>
          <w:sz w:val="20"/>
          <w:lang w:val="es-CO"/>
        </w:rPr>
        <w:t xml:space="preserve">, Sección Primera, </w:t>
      </w:r>
      <w:proofErr w:type="spellStart"/>
      <w:r w:rsidRPr="00900E1C">
        <w:rPr>
          <w:rFonts w:asciiTheme="minorHAnsi" w:hAnsiTheme="minorHAnsi"/>
          <w:sz w:val="20"/>
          <w:lang w:val="es-CO"/>
        </w:rPr>
        <w:t>exp</w:t>
      </w:r>
      <w:proofErr w:type="spellEnd"/>
      <w:r w:rsidRPr="00900E1C">
        <w:rPr>
          <w:rFonts w:asciiTheme="minorHAnsi" w:hAnsiTheme="minorHAnsi"/>
          <w:sz w:val="20"/>
          <w:lang w:val="es-CO"/>
        </w:rPr>
        <w:t>. No.2002-01521-01 (AP)</w:t>
      </w:r>
    </w:p>
    <w:p w:rsidR="0067211A" w:rsidRPr="00900E1C" w:rsidRDefault="0067211A" w:rsidP="0067211A">
      <w:pPr>
        <w:pStyle w:val="Sinespaciado"/>
        <w:jc w:val="both"/>
        <w:rPr>
          <w:rFonts w:asciiTheme="minorHAnsi" w:hAnsiTheme="minorHAnsi"/>
          <w:sz w:val="20"/>
        </w:rPr>
      </w:pPr>
    </w:p>
    <w:p w:rsidR="0067211A" w:rsidRPr="00900E1C" w:rsidRDefault="0067211A" w:rsidP="0067211A">
      <w:pPr>
        <w:pStyle w:val="Sinespaciado"/>
        <w:jc w:val="both"/>
        <w:rPr>
          <w:rFonts w:asciiTheme="minorHAnsi" w:hAnsiTheme="minorHAnsi" w:cs="Calibri"/>
          <w:b/>
          <w:bCs/>
          <w:sz w:val="20"/>
        </w:rPr>
      </w:pPr>
      <w:proofErr w:type="spellStart"/>
      <w:r w:rsidRPr="00900E1C">
        <w:rPr>
          <w:rFonts w:asciiTheme="minorHAnsi" w:hAnsiTheme="minorHAnsi" w:cs="Calibri"/>
          <w:sz w:val="20"/>
          <w:lang w:val="es-CO"/>
        </w:rPr>
        <w:t>TSP</w:t>
      </w:r>
      <w:proofErr w:type="spellEnd"/>
      <w:r w:rsidRPr="00900E1C">
        <w:rPr>
          <w:rFonts w:asciiTheme="minorHAnsi" w:hAnsiTheme="minorHAnsi" w:cs="Calibri"/>
          <w:sz w:val="20"/>
          <w:lang w:val="es-CO"/>
        </w:rPr>
        <w:t>, Sala Civil – Familia. Sentencias del</w:t>
      </w:r>
      <w:r w:rsidRPr="00900E1C">
        <w:rPr>
          <w:rFonts w:asciiTheme="minorHAnsi" w:hAnsiTheme="minorHAnsi" w:cs="Calibri"/>
          <w:sz w:val="20"/>
        </w:rPr>
        <w:t xml:space="preserve"> 19-03-2015, 13-05-2015 y 16-02-2016; </w:t>
      </w:r>
      <w:proofErr w:type="spellStart"/>
      <w:r w:rsidRPr="00900E1C">
        <w:rPr>
          <w:rFonts w:asciiTheme="minorHAnsi" w:hAnsiTheme="minorHAnsi" w:cs="Calibri"/>
          <w:sz w:val="20"/>
        </w:rPr>
        <w:t>MP</w:t>
      </w:r>
      <w:proofErr w:type="spellEnd"/>
      <w:r w:rsidRPr="00900E1C">
        <w:rPr>
          <w:rFonts w:asciiTheme="minorHAnsi" w:hAnsiTheme="minorHAnsi" w:cs="Calibri"/>
          <w:sz w:val="20"/>
        </w:rPr>
        <w:t xml:space="preserve">: </w:t>
      </w:r>
      <w:proofErr w:type="spellStart"/>
      <w:r w:rsidRPr="00900E1C">
        <w:rPr>
          <w:rFonts w:asciiTheme="minorHAnsi" w:hAnsiTheme="minorHAnsi" w:cs="Calibri"/>
          <w:sz w:val="20"/>
        </w:rPr>
        <w:t>Duberney</w:t>
      </w:r>
      <w:proofErr w:type="spellEnd"/>
      <w:r w:rsidRPr="00900E1C">
        <w:rPr>
          <w:rFonts w:asciiTheme="minorHAnsi" w:hAnsiTheme="minorHAnsi" w:cs="Calibri"/>
          <w:sz w:val="20"/>
        </w:rPr>
        <w:t xml:space="preserve"> Grisales Herrera, </w:t>
      </w:r>
      <w:proofErr w:type="spellStart"/>
      <w:r w:rsidRPr="00900E1C">
        <w:rPr>
          <w:rFonts w:asciiTheme="minorHAnsi" w:hAnsiTheme="minorHAnsi" w:cs="Calibri"/>
          <w:sz w:val="20"/>
        </w:rPr>
        <w:t>exp</w:t>
      </w:r>
      <w:proofErr w:type="spellEnd"/>
      <w:r w:rsidRPr="00900E1C">
        <w:rPr>
          <w:rFonts w:asciiTheme="minorHAnsi" w:hAnsiTheme="minorHAnsi" w:cs="Calibri"/>
          <w:sz w:val="20"/>
        </w:rPr>
        <w:t xml:space="preserve">. Nos.2015-00067-00, 2015-00133-00 y 2016-00182-00, entre otras. </w:t>
      </w:r>
    </w:p>
    <w:p w:rsidR="0067211A" w:rsidRPr="00900E1C" w:rsidRDefault="0067211A" w:rsidP="0067211A">
      <w:pPr>
        <w:pStyle w:val="Sinespaciado"/>
        <w:jc w:val="both"/>
        <w:rPr>
          <w:rFonts w:asciiTheme="minorHAnsi" w:hAnsiTheme="minorHAnsi"/>
          <w:sz w:val="20"/>
        </w:rPr>
      </w:pPr>
    </w:p>
    <w:p w:rsidR="0067211A" w:rsidRDefault="0067211A" w:rsidP="002403C8">
      <w:pPr>
        <w:pStyle w:val="Sinespaciado"/>
        <w:tabs>
          <w:tab w:val="left" w:pos="3579"/>
        </w:tabs>
        <w:spacing w:line="360" w:lineRule="auto"/>
        <w:jc w:val="center"/>
        <w:rPr>
          <w:rFonts w:ascii="Arial" w:hAnsi="Arial" w:cs="Arial"/>
          <w:w w:val="140"/>
          <w:sz w:val="14"/>
        </w:rPr>
      </w:pPr>
      <w:r>
        <w:rPr>
          <w:rFonts w:ascii="Arial" w:hAnsi="Arial" w:cs="Arial"/>
          <w:w w:val="140"/>
          <w:sz w:val="14"/>
        </w:rPr>
        <w:t>------------------------------------------------------------------------------------</w:t>
      </w:r>
    </w:p>
    <w:p w:rsidR="00486062" w:rsidRPr="00055048" w:rsidRDefault="00486062" w:rsidP="002403C8">
      <w:pPr>
        <w:pStyle w:val="Sinespaciado"/>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lastRenderedPageBreak/>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3B2A36">
        <w:rPr>
          <w:rFonts w:ascii="Arial" w:hAnsi="Arial" w:cs="Arial"/>
          <w:sz w:val="22"/>
        </w:rPr>
        <w:t>Andrés Morales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990DF7">
        <w:rPr>
          <w:rFonts w:ascii="Arial" w:hAnsi="Arial" w:cs="Arial"/>
          <w:sz w:val="22"/>
        </w:rPr>
        <w:t>Tercero</w:t>
      </w:r>
      <w:r w:rsidR="00EA03F4">
        <w:rPr>
          <w:rFonts w:ascii="Arial" w:hAnsi="Arial" w:cs="Arial"/>
          <w:sz w:val="22"/>
        </w:rPr>
        <w:t xml:space="preserve"> </w:t>
      </w:r>
      <w:r w:rsidR="00EA03F4">
        <w:rPr>
          <w:rFonts w:ascii="Arial" w:hAnsi="Arial" w:cs="Arial"/>
          <w:sz w:val="22"/>
          <w:lang w:val="es-CO"/>
        </w:rPr>
        <w:t xml:space="preserve">Civil </w:t>
      </w:r>
      <w:r w:rsidR="00303E85">
        <w:rPr>
          <w:rFonts w:ascii="Arial" w:hAnsi="Arial" w:cs="Arial"/>
          <w:sz w:val="22"/>
        </w:rPr>
        <w:t xml:space="preserve">del Circuito de </w:t>
      </w:r>
      <w:r w:rsidR="00EA03F4">
        <w:rPr>
          <w:rFonts w:ascii="Arial" w:hAnsi="Arial" w:cs="Arial"/>
          <w:sz w:val="22"/>
        </w:rPr>
        <w:t xml:space="preserve">Pereira </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3B2A36">
        <w:rPr>
          <w:rFonts w:ascii="Arial" w:hAnsi="Arial" w:cs="Arial"/>
          <w:sz w:val="22"/>
          <w:szCs w:val="22"/>
        </w:rPr>
        <w:t>Defensoría del Pueblo, Regional Risaralda y otras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3B2A36">
        <w:rPr>
          <w:rFonts w:ascii="Arial" w:hAnsi="Arial" w:cs="Arial"/>
          <w:sz w:val="22"/>
        </w:rPr>
        <w:t>00929</w:t>
      </w:r>
      <w:r w:rsidR="00104367">
        <w:rPr>
          <w:rFonts w:ascii="Arial" w:hAnsi="Arial" w:cs="Arial"/>
          <w:sz w:val="22"/>
        </w:rPr>
        <w:t xml:space="preserve">-00 </w:t>
      </w:r>
      <w:r w:rsidRPr="00A00766">
        <w:rPr>
          <w:rFonts w:ascii="Arial" w:hAnsi="Arial" w:cs="Arial"/>
          <w:sz w:val="22"/>
        </w:rPr>
        <w:t>(Interno No.</w:t>
      </w:r>
      <w:r w:rsidR="003B2A36">
        <w:rPr>
          <w:rFonts w:ascii="Arial" w:hAnsi="Arial" w:cs="Arial"/>
          <w:sz w:val="22"/>
        </w:rPr>
        <w:t>929</w:t>
      </w:r>
      <w:r w:rsidRPr="00A00766">
        <w:rPr>
          <w:rFonts w:ascii="Arial" w:hAnsi="Arial" w:cs="Arial"/>
          <w:sz w:val="22"/>
        </w:rPr>
        <w:t xml:space="preserve">) </w:t>
      </w:r>
    </w:p>
    <w:p w:rsidR="008F34B8" w:rsidRPr="00EA03F4" w:rsidRDefault="00970930" w:rsidP="008E5334">
      <w:pPr>
        <w:pStyle w:val="Textoindependiente"/>
        <w:spacing w:line="360" w:lineRule="auto"/>
        <w:rPr>
          <w:rFonts w:ascii="Arial" w:hAnsi="Arial" w:cs="Arial"/>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EA03F4" w:rsidRPr="00EA03F4">
        <w:rPr>
          <w:rFonts w:ascii="Arial" w:hAnsi="Arial" w:cs="Arial"/>
          <w:sz w:val="22"/>
          <w:szCs w:val="21"/>
        </w:rPr>
        <w:t>Inexistencia de vulneración</w:t>
      </w:r>
      <w:r w:rsidR="000E73B3">
        <w:rPr>
          <w:rFonts w:ascii="Arial" w:hAnsi="Arial" w:cs="Arial"/>
          <w:sz w:val="22"/>
          <w:szCs w:val="21"/>
        </w:rPr>
        <w:t xml:space="preserve"> – Defecto sustantivo</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891F6A">
        <w:rPr>
          <w:rFonts w:ascii="Arial" w:hAnsi="Arial"/>
          <w:sz w:val="22"/>
          <w:szCs w:val="22"/>
        </w:rPr>
        <w:t>490 del 11-10-2016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Pr="00303E85">
        <w:rPr>
          <w:rFonts w:ascii="Arial" w:hAnsi="Arial" w:cs="Arial"/>
          <w:iCs/>
          <w:smallCaps/>
          <w:sz w:val="28"/>
          <w:szCs w:val="28"/>
          <w:lang w:val="es-CO"/>
        </w:rPr>
        <w:t xml:space="preserve"> </w:t>
      </w:r>
      <w:r w:rsidR="00891F6A">
        <w:rPr>
          <w:rFonts w:ascii="Arial" w:hAnsi="Arial" w:cs="Arial"/>
          <w:iCs/>
          <w:smallCaps/>
          <w:sz w:val="28"/>
          <w:szCs w:val="28"/>
          <w:lang w:val="es-CO"/>
        </w:rPr>
        <w:t xml:space="preserve">once </w:t>
      </w:r>
      <w:r w:rsidR="00437198" w:rsidRPr="00303E85">
        <w:rPr>
          <w:rFonts w:ascii="Arial" w:hAnsi="Arial" w:cs="Arial"/>
          <w:iCs/>
          <w:smallCaps/>
          <w:sz w:val="28"/>
          <w:szCs w:val="28"/>
          <w:lang w:val="es-CO"/>
        </w:rPr>
        <w:t>(</w:t>
      </w:r>
      <w:r w:rsidR="00891F6A">
        <w:rPr>
          <w:rFonts w:ascii="Arial" w:hAnsi="Arial" w:cs="Arial"/>
          <w:iCs/>
          <w:smallCaps/>
          <w:sz w:val="28"/>
          <w:szCs w:val="28"/>
          <w:lang w:val="es-CO"/>
        </w:rPr>
        <w:t>11</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3B2A36">
        <w:rPr>
          <w:rFonts w:ascii="Arial" w:hAnsi="Arial" w:cs="Arial"/>
          <w:iCs/>
          <w:smallCaps/>
          <w:sz w:val="28"/>
          <w:szCs w:val="28"/>
          <w:lang w:val="es-CO"/>
        </w:rPr>
        <w:t xml:space="preserve">octubre </w:t>
      </w:r>
      <w:r w:rsidRPr="00303E85">
        <w:rPr>
          <w:rFonts w:ascii="Arial" w:hAnsi="Arial" w:cs="Arial"/>
          <w:iCs/>
          <w:smallCaps/>
          <w:sz w:val="28"/>
          <w:szCs w:val="28"/>
          <w:lang w:val="es-CO"/>
        </w:rPr>
        <w:t xml:space="preserve">de dos mil </w:t>
      </w:r>
      <w:r w:rsidR="00104367" w:rsidRPr="00303E85">
        <w:rPr>
          <w:rFonts w:ascii="Arial" w:hAnsi="Arial" w:cs="Arial"/>
          <w:iCs/>
          <w:smallCaps/>
          <w:sz w:val="28"/>
          <w:szCs w:val="28"/>
          <w:lang w:val="es-CO"/>
        </w:rPr>
        <w:t xml:space="preserve">dieciséis </w:t>
      </w:r>
      <w:r w:rsidRPr="00303E85">
        <w:rPr>
          <w:rFonts w:ascii="Arial" w:hAnsi="Arial" w:cs="Arial"/>
          <w:iCs/>
          <w:smallCaps/>
          <w:sz w:val="28"/>
          <w:szCs w:val="28"/>
          <w:lang w:val="es-CO"/>
        </w:rPr>
        <w:t>(</w:t>
      </w:r>
      <w:r w:rsidR="00104367" w:rsidRPr="00303E85">
        <w:rPr>
          <w:rFonts w:ascii="Arial" w:hAnsi="Arial" w:cs="Arial"/>
          <w:iCs/>
          <w:smallCaps/>
          <w:sz w:val="28"/>
          <w:szCs w:val="28"/>
          <w:lang w:val="es-CO"/>
        </w:rPr>
        <w:t>2016</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086946"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086946" w:rsidRDefault="00134F0A" w:rsidP="0099045D">
      <w:pPr>
        <w:pStyle w:val="Textoindependiente"/>
        <w:spacing w:line="360" w:lineRule="auto"/>
        <w:rPr>
          <w:rFonts w:ascii="Arial" w:hAnsi="Arial"/>
          <w:szCs w:val="24"/>
        </w:rPr>
      </w:pPr>
    </w:p>
    <w:p w:rsidR="00104367" w:rsidRDefault="00104367" w:rsidP="00104367">
      <w:pPr>
        <w:pStyle w:val="Textoindependiente"/>
        <w:spacing w:line="360" w:lineRule="auto"/>
        <w:rPr>
          <w:rFonts w:ascii="Arial" w:hAnsi="Arial"/>
          <w:szCs w:val="24"/>
        </w:rPr>
      </w:pPr>
      <w:r w:rsidRPr="00F9418E">
        <w:rPr>
          <w:rFonts w:ascii="Arial" w:hAnsi="Arial"/>
          <w:szCs w:val="24"/>
        </w:rPr>
        <w:t xml:space="preserve">La </w:t>
      </w:r>
      <w:r w:rsidR="00EA03F4">
        <w:rPr>
          <w:rFonts w:ascii="Arial" w:hAnsi="Arial"/>
          <w:szCs w:val="24"/>
        </w:rPr>
        <w:t>acción constitucional de la referencia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invaliden.</w:t>
      </w:r>
    </w:p>
    <w:p w:rsidR="000147A2" w:rsidRPr="00086946"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086946" w:rsidRDefault="0099045D" w:rsidP="0099045D">
      <w:pPr>
        <w:pStyle w:val="Textoindependiente"/>
        <w:spacing w:line="360" w:lineRule="auto"/>
        <w:rPr>
          <w:rFonts w:ascii="Arial" w:hAnsi="Arial"/>
          <w:szCs w:val="24"/>
        </w:rPr>
      </w:pPr>
    </w:p>
    <w:p w:rsidR="003B2A36" w:rsidRDefault="003B2A36" w:rsidP="003B2A36">
      <w:pPr>
        <w:spacing w:line="360" w:lineRule="auto"/>
        <w:jc w:val="both"/>
        <w:rPr>
          <w:rFonts w:ascii="Arial" w:hAnsi="Arial" w:cs="Arial"/>
        </w:rPr>
      </w:pPr>
      <w:r>
        <w:rPr>
          <w:rFonts w:ascii="Arial" w:hAnsi="Arial" w:cs="Arial"/>
          <w:color w:val="000000"/>
        </w:rPr>
        <w:t xml:space="preserve">Relató el actor que </w:t>
      </w:r>
      <w:r w:rsidRPr="00FD594D">
        <w:rPr>
          <w:rFonts w:ascii="Arial" w:hAnsi="Arial" w:cs="Arial"/>
        </w:rPr>
        <w:t xml:space="preserve">presentó ante el Juzgado </w:t>
      </w:r>
      <w:r>
        <w:rPr>
          <w:rFonts w:ascii="Arial" w:hAnsi="Arial" w:cs="Arial"/>
        </w:rPr>
        <w:t>accionado, la acción popular No.2016-00119-00, que fue rechazada por razones que no comparte, por lo que recurrió en reposición y en subsidio apelación, pero se le negó la admisión; consideró que esa conducta desconoce la jurisprudencia de la CSJ y contravie</w:t>
      </w:r>
      <w:r w:rsidR="000E73B3">
        <w:rPr>
          <w:rFonts w:ascii="Arial" w:hAnsi="Arial" w:cs="Arial"/>
        </w:rPr>
        <w:t xml:space="preserve">ne el artículo 16 de la Ley 472 </w:t>
      </w:r>
      <w:r>
        <w:rPr>
          <w:rFonts w:ascii="Arial" w:hAnsi="Arial" w:cs="Arial"/>
        </w:rPr>
        <w:t xml:space="preserve">(Folio 1, este cuaderno). </w:t>
      </w:r>
    </w:p>
    <w:p w:rsidR="002B0607" w:rsidRPr="00086946" w:rsidRDefault="002B0607" w:rsidP="0099045D">
      <w:pPr>
        <w:pStyle w:val="Textoindependiente"/>
        <w:spacing w:line="360" w:lineRule="auto"/>
        <w:rPr>
          <w:rFonts w:ascii="Arial" w:hAnsi="Arial"/>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086946" w:rsidRDefault="00800EF6" w:rsidP="00730CA7">
      <w:pPr>
        <w:pStyle w:val="Textoindependiente"/>
        <w:spacing w:line="360" w:lineRule="auto"/>
        <w:rPr>
          <w:rFonts w:ascii="Arial" w:hAnsi="Arial"/>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actor considera que se le vulneran los derechos fundamentales a</w:t>
      </w:r>
      <w:r w:rsidR="004B1EB8">
        <w:rPr>
          <w:rFonts w:ascii="Arial" w:hAnsi="Arial" w:cs="Arial"/>
          <w:spacing w:val="-3"/>
          <w:lang w:val="es-ES_tradnl"/>
        </w:rPr>
        <w:t>l debido proceso,</w:t>
      </w:r>
      <w:r>
        <w:rPr>
          <w:rFonts w:ascii="Arial" w:hAnsi="Arial" w:cs="Arial"/>
          <w:spacing w:val="-3"/>
          <w:lang w:val="es-ES_tradnl"/>
        </w:rPr>
        <w:t xml:space="preserve"> la igualdad, y la deb</w:t>
      </w:r>
      <w:r w:rsidR="009F507B">
        <w:rPr>
          <w:rFonts w:ascii="Arial" w:hAnsi="Arial" w:cs="Arial"/>
          <w:spacing w:val="-3"/>
          <w:lang w:val="es-ES_tradnl"/>
        </w:rPr>
        <w:t>ida ad</w:t>
      </w:r>
      <w:r w:rsidR="00DC2DC9">
        <w:rPr>
          <w:rFonts w:ascii="Arial" w:hAnsi="Arial" w:cs="Arial"/>
          <w:spacing w:val="-3"/>
          <w:lang w:val="es-ES_tradnl"/>
        </w:rPr>
        <w:t>ministración de justicia (Folio</w:t>
      </w:r>
      <w:r w:rsidR="009F507B">
        <w:rPr>
          <w:rFonts w:ascii="Arial" w:hAnsi="Arial" w:cs="Arial"/>
          <w:spacing w:val="-3"/>
          <w:lang w:val="es-ES_tradnl"/>
        </w:rPr>
        <w:t xml:space="preserve"> 1, este cuaderno)</w:t>
      </w:r>
    </w:p>
    <w:p w:rsidR="003F6C16" w:rsidRPr="00086946"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03E85" w:rsidRPr="00086946" w:rsidRDefault="00303E85" w:rsidP="004B1EB8">
      <w:pPr>
        <w:pStyle w:val="Sinespaciado"/>
        <w:spacing w:line="360" w:lineRule="auto"/>
        <w:jc w:val="both"/>
        <w:rPr>
          <w:rFonts w:ascii="Arial" w:hAnsi="Arial" w:cs="Arial"/>
          <w:szCs w:val="24"/>
        </w:rPr>
      </w:pPr>
    </w:p>
    <w:p w:rsidR="004B1EB8" w:rsidRDefault="004B1EB8" w:rsidP="004B1EB8">
      <w:pPr>
        <w:pStyle w:val="Sinespaciado"/>
        <w:spacing w:line="360" w:lineRule="auto"/>
        <w:jc w:val="both"/>
        <w:rPr>
          <w:rFonts w:ascii="Arial" w:hAnsi="Arial" w:cs="Arial"/>
          <w:szCs w:val="24"/>
        </w:rPr>
      </w:pPr>
      <w:r>
        <w:rPr>
          <w:rFonts w:ascii="Arial" w:hAnsi="Arial" w:cs="Arial"/>
          <w:szCs w:val="24"/>
        </w:rPr>
        <w:t xml:space="preserve">Se pretende que: </w:t>
      </w:r>
      <w:r w:rsidRPr="00D55E5A">
        <w:rPr>
          <w:rFonts w:ascii="Arial" w:hAnsi="Arial" w:cs="Arial"/>
          <w:szCs w:val="24"/>
        </w:rPr>
        <w:t xml:space="preserve">(i) </w:t>
      </w:r>
      <w:r>
        <w:rPr>
          <w:rFonts w:ascii="Arial" w:hAnsi="Arial" w:cs="Arial"/>
          <w:szCs w:val="24"/>
        </w:rPr>
        <w:t xml:space="preserve">Se tutelen los derechos invocados; (ii) Se ordene </w:t>
      </w:r>
      <w:r w:rsidR="009F507B">
        <w:rPr>
          <w:rFonts w:ascii="Arial" w:hAnsi="Arial" w:cs="Arial"/>
          <w:szCs w:val="24"/>
        </w:rPr>
        <w:t xml:space="preserve">al accionado tramitar </w:t>
      </w:r>
      <w:r w:rsidR="00DC2DC9">
        <w:rPr>
          <w:rFonts w:ascii="Arial" w:hAnsi="Arial" w:cs="Arial"/>
          <w:szCs w:val="24"/>
        </w:rPr>
        <w:t>la acción popular</w:t>
      </w:r>
      <w:r w:rsidR="000E73B3">
        <w:rPr>
          <w:rFonts w:ascii="Arial" w:hAnsi="Arial" w:cs="Arial"/>
          <w:szCs w:val="24"/>
        </w:rPr>
        <w:t>,</w:t>
      </w:r>
      <w:r w:rsidR="003B2A36">
        <w:rPr>
          <w:rFonts w:ascii="Arial" w:hAnsi="Arial" w:cs="Arial"/>
          <w:szCs w:val="24"/>
        </w:rPr>
        <w:t xml:space="preserve"> conceder el amparo por pobre</w:t>
      </w:r>
      <w:r w:rsidR="000E73B3">
        <w:rPr>
          <w:rFonts w:ascii="Arial" w:hAnsi="Arial" w:cs="Arial"/>
          <w:szCs w:val="24"/>
        </w:rPr>
        <w:t>, informar a la comunidad y notificar a la parte accionada</w:t>
      </w:r>
      <w:r>
        <w:rPr>
          <w:rFonts w:ascii="Arial" w:hAnsi="Arial" w:cs="Arial"/>
          <w:szCs w:val="24"/>
        </w:rPr>
        <w:t xml:space="preserve">; </w:t>
      </w:r>
      <w:r w:rsidR="003B2A36">
        <w:rPr>
          <w:rFonts w:ascii="Arial" w:hAnsi="Arial" w:cs="Arial"/>
          <w:szCs w:val="24"/>
        </w:rPr>
        <w:t xml:space="preserve">y, </w:t>
      </w:r>
      <w:r>
        <w:rPr>
          <w:rFonts w:ascii="Arial" w:hAnsi="Arial" w:cs="Arial"/>
          <w:szCs w:val="24"/>
        </w:rPr>
        <w:t xml:space="preserve">(iii) </w:t>
      </w:r>
      <w:r w:rsidR="0022407E" w:rsidRPr="005C4C0F">
        <w:rPr>
          <w:rFonts w:ascii="Arial" w:hAnsi="Arial" w:cs="Arial"/>
          <w:szCs w:val="24"/>
        </w:rPr>
        <w:t xml:space="preserve">Se envíe copia escaneada de esta acción </w:t>
      </w:r>
      <w:r w:rsidR="0022407E">
        <w:rPr>
          <w:rFonts w:ascii="Arial" w:hAnsi="Arial" w:cs="Arial"/>
          <w:szCs w:val="24"/>
        </w:rPr>
        <w:t xml:space="preserve">a su </w:t>
      </w:r>
      <w:r w:rsidR="0022407E" w:rsidRPr="005C4C0F">
        <w:rPr>
          <w:rFonts w:ascii="Arial" w:hAnsi="Arial" w:cs="Arial"/>
          <w:szCs w:val="24"/>
        </w:rPr>
        <w:t>correo electrónico</w:t>
      </w:r>
      <w:r w:rsidR="0022407E">
        <w:rPr>
          <w:rFonts w:ascii="Arial" w:hAnsi="Arial" w:cs="Arial"/>
          <w:szCs w:val="24"/>
        </w:rPr>
        <w:t xml:space="preserve"> y se le haga entrega de copia física</w:t>
      </w:r>
      <w:r w:rsidR="00DC2DC9">
        <w:rPr>
          <w:rFonts w:ascii="Arial" w:hAnsi="Arial" w:cs="Arial"/>
          <w:szCs w:val="24"/>
        </w:rPr>
        <w:t xml:space="preserve"> </w:t>
      </w:r>
      <w:r>
        <w:rPr>
          <w:rFonts w:ascii="Arial" w:hAnsi="Arial" w:cs="Arial"/>
          <w:szCs w:val="24"/>
        </w:rPr>
        <w:t xml:space="preserve">(Folio 1, </w:t>
      </w:r>
      <w:r w:rsidR="009F507B">
        <w:rPr>
          <w:rFonts w:ascii="Arial" w:hAnsi="Arial" w:cs="Arial"/>
        </w:rPr>
        <w:t>este cuaderno</w:t>
      </w:r>
      <w:r>
        <w:rPr>
          <w:rFonts w:ascii="Arial" w:hAnsi="Arial" w:cs="Arial"/>
          <w:szCs w:val="24"/>
        </w:rPr>
        <w:t xml:space="preserve">). </w:t>
      </w:r>
    </w:p>
    <w:p w:rsidR="00CE71D8" w:rsidRPr="00086946"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086946" w:rsidRDefault="0035297D" w:rsidP="00730CA7">
      <w:pPr>
        <w:pStyle w:val="Textoindependiente"/>
        <w:spacing w:line="360" w:lineRule="auto"/>
        <w:rPr>
          <w:rFonts w:ascii="Arial" w:hAnsi="Arial"/>
          <w:szCs w:val="24"/>
        </w:rPr>
      </w:pPr>
    </w:p>
    <w:p w:rsidR="00DC2DC9" w:rsidRPr="004B019A" w:rsidRDefault="004B1EB8" w:rsidP="00DC2DC9">
      <w:pPr>
        <w:spacing w:line="360" w:lineRule="auto"/>
        <w:jc w:val="both"/>
        <w:rPr>
          <w:rFonts w:ascii="Arial" w:hAnsi="Arial" w:cs="Arial"/>
        </w:rPr>
      </w:pPr>
      <w:r w:rsidRPr="004B019A">
        <w:rPr>
          <w:rFonts w:ascii="Arial" w:hAnsi="Arial" w:cs="Arial"/>
          <w:color w:val="000000"/>
        </w:rPr>
        <w:t xml:space="preserve">En reparto ordinario del día </w:t>
      </w:r>
      <w:r w:rsidR="003B2A36">
        <w:rPr>
          <w:rFonts w:ascii="Arial" w:hAnsi="Arial" w:cs="Arial"/>
          <w:color w:val="000000"/>
        </w:rPr>
        <w:t>30</w:t>
      </w:r>
      <w:r w:rsidR="0022407E">
        <w:rPr>
          <w:rFonts w:ascii="Arial" w:hAnsi="Arial" w:cs="Arial"/>
          <w:color w:val="000000"/>
        </w:rPr>
        <w:t>-</w:t>
      </w:r>
      <w:r w:rsidR="003B2A36">
        <w:rPr>
          <w:rFonts w:ascii="Arial" w:hAnsi="Arial" w:cs="Arial"/>
          <w:color w:val="000000"/>
        </w:rPr>
        <w:t>09</w:t>
      </w:r>
      <w:r w:rsidR="0022407E">
        <w:rPr>
          <w:rFonts w:ascii="Arial" w:hAnsi="Arial" w:cs="Arial"/>
          <w:color w:val="000000"/>
        </w:rPr>
        <w:t xml:space="preserve">-2016 </w:t>
      </w:r>
      <w:r w:rsidR="00DC2DC9">
        <w:rPr>
          <w:rFonts w:ascii="Arial" w:hAnsi="Arial" w:cs="Arial"/>
          <w:color w:val="000000"/>
        </w:rPr>
        <w:t xml:space="preserve">correspondió </w:t>
      </w:r>
      <w:r w:rsidRPr="004B019A">
        <w:rPr>
          <w:rFonts w:ascii="Arial" w:hAnsi="Arial" w:cs="Arial"/>
          <w:color w:val="000000"/>
        </w:rPr>
        <w:t xml:space="preserve">a este Despacho, con providencia </w:t>
      </w:r>
      <w:r w:rsidR="007C60E9">
        <w:rPr>
          <w:rFonts w:ascii="Arial" w:hAnsi="Arial" w:cs="Arial"/>
          <w:color w:val="000000"/>
        </w:rPr>
        <w:t>de</w:t>
      </w:r>
      <w:r w:rsidR="0022407E">
        <w:rPr>
          <w:rFonts w:ascii="Arial" w:hAnsi="Arial" w:cs="Arial"/>
          <w:color w:val="000000"/>
        </w:rPr>
        <w:t>l día hábil siguiente</w:t>
      </w:r>
      <w:r w:rsidR="00303E85">
        <w:rPr>
          <w:rFonts w:ascii="Arial" w:hAnsi="Arial" w:cs="Arial"/>
          <w:color w:val="000000"/>
        </w:rPr>
        <w:t xml:space="preserve"> se admitió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conveniente, </w:t>
      </w:r>
      <w:r w:rsidR="00314889" w:rsidRPr="008E5A62">
        <w:rPr>
          <w:rFonts w:ascii="Arial" w:hAnsi="Arial"/>
        </w:rPr>
        <w:t>se dispuso notificar a la partes</w:t>
      </w:r>
      <w:r w:rsidR="00314889">
        <w:rPr>
          <w:rFonts w:ascii="Arial" w:hAnsi="Arial"/>
        </w:rPr>
        <w:t xml:space="preserve"> y</w:t>
      </w:r>
      <w:r w:rsidR="00314889" w:rsidRPr="008E5A62">
        <w:rPr>
          <w:rFonts w:ascii="Arial" w:hAnsi="Arial"/>
        </w:rPr>
        <w:t xml:space="preserve"> </w:t>
      </w:r>
      <w:r w:rsidR="009F507B">
        <w:rPr>
          <w:rFonts w:ascii="Arial" w:hAnsi="Arial" w:cs="Arial"/>
          <w:color w:val="000000"/>
        </w:rPr>
        <w:t>se requirió al actor</w:t>
      </w:r>
      <w:r w:rsidR="00314889">
        <w:rPr>
          <w:rFonts w:ascii="Arial" w:hAnsi="Arial" w:cs="Arial"/>
          <w:color w:val="000000"/>
        </w:rPr>
        <w:t xml:space="preserve">, </w:t>
      </w:r>
      <w:r w:rsidR="00314889" w:rsidRPr="008E5A62">
        <w:rPr>
          <w:rFonts w:ascii="Arial" w:hAnsi="Arial"/>
        </w:rPr>
        <w:t>entre otros ordenamientos</w:t>
      </w:r>
      <w:r w:rsidR="00314889">
        <w:rPr>
          <w:rFonts w:ascii="Arial" w:hAnsi="Arial"/>
        </w:rPr>
        <w:t xml:space="preserve"> (Folios </w:t>
      </w:r>
      <w:r w:rsidR="00DC2DC9">
        <w:rPr>
          <w:rFonts w:ascii="Arial" w:hAnsi="Arial"/>
        </w:rPr>
        <w:t>4</w:t>
      </w:r>
      <w:r w:rsidR="00314889">
        <w:rPr>
          <w:rFonts w:ascii="Arial" w:hAnsi="Arial"/>
        </w:rPr>
        <w:t>, ibídem)</w:t>
      </w:r>
      <w:r w:rsidR="00314889">
        <w:rPr>
          <w:rFonts w:ascii="Arial" w:hAnsi="Arial" w:cs="Arial"/>
          <w:color w:val="000000"/>
        </w:rPr>
        <w:t xml:space="preserve">. </w:t>
      </w:r>
      <w:r w:rsidR="00DC2DC9" w:rsidRPr="004B019A">
        <w:rPr>
          <w:rFonts w:ascii="Arial" w:hAnsi="Arial" w:cs="Arial"/>
          <w:color w:val="000000"/>
        </w:rPr>
        <w:t xml:space="preserve">Fueron debidamente enterados los extremos de la acción (Folios </w:t>
      </w:r>
      <w:r w:rsidR="003B2A36">
        <w:rPr>
          <w:rFonts w:ascii="Arial" w:hAnsi="Arial" w:cs="Arial"/>
          <w:color w:val="000000"/>
        </w:rPr>
        <w:t>5 y 6</w:t>
      </w:r>
      <w:r w:rsidR="00DC2DC9" w:rsidRPr="004B019A">
        <w:rPr>
          <w:rFonts w:ascii="Arial" w:hAnsi="Arial" w:cs="Arial"/>
          <w:color w:val="000000"/>
        </w:rPr>
        <w:t xml:space="preserve">, </w:t>
      </w:r>
      <w:r w:rsidR="00DC2DC9">
        <w:rPr>
          <w:rFonts w:ascii="Arial" w:hAnsi="Arial" w:cs="Arial"/>
          <w:color w:val="000000"/>
        </w:rPr>
        <w:t>ibídem</w:t>
      </w:r>
      <w:r w:rsidR="00DC2DC9" w:rsidRPr="004B019A">
        <w:rPr>
          <w:rFonts w:ascii="Arial" w:hAnsi="Arial" w:cs="Arial"/>
          <w:color w:val="000000"/>
        </w:rPr>
        <w:t xml:space="preserve">). </w:t>
      </w:r>
      <w:r w:rsidR="00DC2DC9">
        <w:rPr>
          <w:rFonts w:ascii="Arial" w:hAnsi="Arial" w:cs="Arial"/>
          <w:color w:val="000000"/>
        </w:rPr>
        <w:t>Contestaron la Procuraduría</w:t>
      </w:r>
      <w:r w:rsidR="003B2A36">
        <w:rPr>
          <w:rFonts w:ascii="Arial" w:hAnsi="Arial" w:cs="Arial"/>
          <w:color w:val="000000"/>
        </w:rPr>
        <w:t xml:space="preserve"> General de la Nación</w:t>
      </w:r>
      <w:r w:rsidR="00DC2DC9">
        <w:rPr>
          <w:rFonts w:ascii="Arial" w:hAnsi="Arial" w:cs="Arial"/>
          <w:color w:val="000000"/>
        </w:rPr>
        <w:t>, Regional Risaralda (Folio</w:t>
      </w:r>
      <w:r w:rsidR="003B2A36">
        <w:rPr>
          <w:rFonts w:ascii="Arial" w:hAnsi="Arial" w:cs="Arial"/>
          <w:color w:val="000000"/>
        </w:rPr>
        <w:t>s</w:t>
      </w:r>
      <w:r w:rsidR="00C87EC8">
        <w:rPr>
          <w:rFonts w:ascii="Arial" w:hAnsi="Arial" w:cs="Arial"/>
          <w:color w:val="000000"/>
        </w:rPr>
        <w:t xml:space="preserve"> 27 y 28</w:t>
      </w:r>
      <w:r w:rsidR="00DC2DC9">
        <w:rPr>
          <w:rFonts w:ascii="Arial" w:hAnsi="Arial" w:cs="Arial"/>
          <w:color w:val="000000"/>
        </w:rPr>
        <w:t>, ib.)</w:t>
      </w:r>
      <w:r w:rsidR="003B2A36">
        <w:rPr>
          <w:rFonts w:ascii="Arial" w:hAnsi="Arial" w:cs="Arial"/>
          <w:color w:val="000000"/>
        </w:rPr>
        <w:t xml:space="preserve"> y</w:t>
      </w:r>
      <w:r w:rsidR="00DC2DC9">
        <w:rPr>
          <w:rFonts w:ascii="Arial" w:hAnsi="Arial" w:cs="Arial"/>
          <w:color w:val="000000"/>
        </w:rPr>
        <w:t xml:space="preserve"> la Personería de Pereira (Folios </w:t>
      </w:r>
      <w:r w:rsidR="00C87EC8">
        <w:rPr>
          <w:rFonts w:ascii="Arial" w:hAnsi="Arial" w:cs="Arial"/>
          <w:color w:val="000000"/>
        </w:rPr>
        <w:t>31 y 32</w:t>
      </w:r>
      <w:r w:rsidR="00DC2DC9">
        <w:rPr>
          <w:rFonts w:ascii="Arial" w:hAnsi="Arial" w:cs="Arial"/>
          <w:color w:val="000000"/>
        </w:rPr>
        <w:t>, ib.)</w:t>
      </w:r>
      <w:r w:rsidR="00C87EC8">
        <w:rPr>
          <w:rFonts w:ascii="Arial" w:hAnsi="Arial" w:cs="Arial"/>
          <w:color w:val="000000"/>
        </w:rPr>
        <w:t>.</w:t>
      </w:r>
      <w:r w:rsidR="00DC2DC9">
        <w:rPr>
          <w:rFonts w:ascii="Arial" w:hAnsi="Arial" w:cs="Arial"/>
          <w:color w:val="000000"/>
        </w:rPr>
        <w:t xml:space="preserve"> El accionado </w:t>
      </w:r>
      <w:r w:rsidR="00C87EC8">
        <w:rPr>
          <w:rFonts w:ascii="Arial" w:hAnsi="Arial" w:cs="Arial"/>
          <w:color w:val="000000"/>
        </w:rPr>
        <w:t>arrimó las copias requeridas (Folios 8 a 25, ib.).</w:t>
      </w:r>
    </w:p>
    <w:p w:rsidR="00B41B34" w:rsidRPr="00086946"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086946" w:rsidRDefault="006F4450" w:rsidP="00730CA7">
      <w:pPr>
        <w:pStyle w:val="Textoindependiente"/>
        <w:spacing w:line="360" w:lineRule="auto"/>
        <w:rPr>
          <w:rFonts w:ascii="Arial" w:hAnsi="Arial"/>
          <w:szCs w:val="24"/>
        </w:rPr>
      </w:pPr>
    </w:p>
    <w:p w:rsidR="00752296" w:rsidRPr="00FD594D" w:rsidRDefault="00752296" w:rsidP="00752296">
      <w:pPr>
        <w:pStyle w:val="Prrafodelista"/>
        <w:numPr>
          <w:ilvl w:val="1"/>
          <w:numId w:val="18"/>
        </w:numPr>
        <w:spacing w:line="360" w:lineRule="auto"/>
        <w:jc w:val="both"/>
        <w:rPr>
          <w:rFonts w:ascii="Arial" w:hAnsi="Arial"/>
        </w:rPr>
      </w:pPr>
      <w:r w:rsidRPr="00FD594D">
        <w:rPr>
          <w:rFonts w:ascii="Arial" w:hAnsi="Arial"/>
        </w:rPr>
        <w:t xml:space="preserve">La </w:t>
      </w:r>
      <w:r w:rsidRPr="00FD594D">
        <w:rPr>
          <w:rFonts w:ascii="Arial" w:hAnsi="Arial" w:cs="Arial"/>
        </w:rPr>
        <w:t xml:space="preserve">Procuraduría General de la Nación </w:t>
      </w:r>
      <w:r>
        <w:rPr>
          <w:rFonts w:ascii="Arial" w:hAnsi="Arial" w:cs="Arial"/>
        </w:rPr>
        <w:t xml:space="preserve">- </w:t>
      </w:r>
      <w:r w:rsidRPr="00FD594D">
        <w:rPr>
          <w:rFonts w:ascii="Arial" w:hAnsi="Arial" w:cs="Arial"/>
        </w:rPr>
        <w:t>Regional Risaralda</w:t>
      </w:r>
    </w:p>
    <w:p w:rsidR="00752296" w:rsidRPr="00086946" w:rsidRDefault="00752296" w:rsidP="00752296">
      <w:pPr>
        <w:spacing w:line="360" w:lineRule="auto"/>
        <w:jc w:val="both"/>
        <w:rPr>
          <w:rFonts w:ascii="Arial" w:hAnsi="Arial"/>
        </w:rPr>
      </w:pPr>
    </w:p>
    <w:p w:rsidR="00752296" w:rsidRPr="00FD594D" w:rsidRDefault="00752296" w:rsidP="00752296">
      <w:pPr>
        <w:spacing w:line="360" w:lineRule="auto"/>
        <w:jc w:val="both"/>
        <w:rPr>
          <w:rFonts w:ascii="Arial" w:hAnsi="Arial"/>
        </w:rPr>
      </w:pPr>
      <w:r>
        <w:rPr>
          <w:rFonts w:ascii="Arial" w:hAnsi="Arial"/>
        </w:rPr>
        <w:t xml:space="preserve">Recordó </w:t>
      </w:r>
      <w:r w:rsidRPr="00FD594D">
        <w:rPr>
          <w:rFonts w:ascii="Arial" w:hAnsi="Arial"/>
        </w:rPr>
        <w:t xml:space="preserve">su papel en las acciones populares, </w:t>
      </w:r>
      <w:r>
        <w:rPr>
          <w:rFonts w:ascii="Arial" w:hAnsi="Arial"/>
        </w:rPr>
        <w:t xml:space="preserve">adujo que no promovió la que es objeto de este amparo, y agregó </w:t>
      </w:r>
      <w:r w:rsidRPr="00FD594D">
        <w:rPr>
          <w:rFonts w:ascii="Arial" w:hAnsi="Arial"/>
        </w:rPr>
        <w:t xml:space="preserve">que la situación alegada, es ajena a su función, </w:t>
      </w:r>
      <w:r>
        <w:rPr>
          <w:rFonts w:ascii="Arial" w:hAnsi="Arial"/>
        </w:rPr>
        <w:t xml:space="preserve">por lo que </w:t>
      </w:r>
      <w:r w:rsidRPr="00FD594D">
        <w:rPr>
          <w:rFonts w:ascii="Arial" w:hAnsi="Arial"/>
        </w:rPr>
        <w:t>solicitó su desvinculación (Folio</w:t>
      </w:r>
      <w:r w:rsidR="00F42D41">
        <w:rPr>
          <w:rFonts w:ascii="Arial" w:hAnsi="Arial"/>
        </w:rPr>
        <w:t>s</w:t>
      </w:r>
      <w:r w:rsidRPr="00FD594D">
        <w:rPr>
          <w:rFonts w:ascii="Arial" w:hAnsi="Arial"/>
        </w:rPr>
        <w:t xml:space="preserve"> </w:t>
      </w:r>
      <w:r w:rsidR="00F42D41">
        <w:rPr>
          <w:rFonts w:ascii="Arial" w:hAnsi="Arial"/>
        </w:rPr>
        <w:t>27 y 28</w:t>
      </w:r>
      <w:r>
        <w:rPr>
          <w:rFonts w:ascii="Arial" w:hAnsi="Arial"/>
        </w:rPr>
        <w:t xml:space="preserve">, </w:t>
      </w:r>
      <w:r w:rsidRPr="00FD594D">
        <w:rPr>
          <w:rFonts w:ascii="Arial" w:hAnsi="Arial"/>
        </w:rPr>
        <w:t xml:space="preserve">ib.). </w:t>
      </w:r>
    </w:p>
    <w:p w:rsidR="00827F4A" w:rsidRPr="00086946" w:rsidRDefault="00827F4A" w:rsidP="00730CA7">
      <w:pPr>
        <w:pStyle w:val="Textoindependiente"/>
        <w:spacing w:line="360" w:lineRule="auto"/>
        <w:rPr>
          <w:rFonts w:ascii="Arial" w:hAnsi="Arial"/>
          <w:szCs w:val="24"/>
        </w:rPr>
      </w:pPr>
    </w:p>
    <w:p w:rsidR="00752296" w:rsidRPr="0064341B" w:rsidRDefault="00752296" w:rsidP="00752296">
      <w:pPr>
        <w:pStyle w:val="Prrafodelista"/>
        <w:numPr>
          <w:ilvl w:val="1"/>
          <w:numId w:val="18"/>
        </w:numPr>
        <w:spacing w:line="360" w:lineRule="auto"/>
        <w:jc w:val="both"/>
        <w:rPr>
          <w:rFonts w:ascii="Arial" w:hAnsi="Arial"/>
        </w:rPr>
      </w:pPr>
      <w:r>
        <w:rPr>
          <w:rFonts w:ascii="Arial" w:hAnsi="Arial"/>
        </w:rPr>
        <w:t>La Personería Municipal de Pereira</w:t>
      </w:r>
    </w:p>
    <w:p w:rsidR="00752296" w:rsidRPr="00086946" w:rsidRDefault="00752296" w:rsidP="00752296">
      <w:pPr>
        <w:pStyle w:val="Prrafodelista"/>
        <w:spacing w:line="360" w:lineRule="auto"/>
        <w:ind w:left="720"/>
        <w:jc w:val="both"/>
        <w:rPr>
          <w:rFonts w:ascii="Arial" w:hAnsi="Arial"/>
        </w:rPr>
      </w:pPr>
    </w:p>
    <w:p w:rsidR="00752296" w:rsidRDefault="005E6D33" w:rsidP="00752296">
      <w:pPr>
        <w:spacing w:line="360" w:lineRule="auto"/>
        <w:jc w:val="both"/>
        <w:rPr>
          <w:rFonts w:ascii="Arial" w:hAnsi="Arial"/>
        </w:rPr>
      </w:pPr>
      <w:r>
        <w:rPr>
          <w:rFonts w:ascii="Arial" w:hAnsi="Arial"/>
        </w:rPr>
        <w:t xml:space="preserve">Refirió sus funciones y adujo que no está al tanto de la acción popular. Citó las normas que regulan ese tipo de trámites y concluyó que no ha vulnerado o amenazado los derechos fundamentales del accionante </w:t>
      </w:r>
      <w:r w:rsidR="00752296">
        <w:rPr>
          <w:rFonts w:ascii="Arial" w:hAnsi="Arial"/>
        </w:rPr>
        <w:t xml:space="preserve">(Folios </w:t>
      </w:r>
      <w:r>
        <w:rPr>
          <w:rFonts w:ascii="Arial" w:hAnsi="Arial"/>
        </w:rPr>
        <w:t>31 a 3</w:t>
      </w:r>
      <w:r w:rsidR="00F42D41">
        <w:rPr>
          <w:rFonts w:ascii="Arial" w:hAnsi="Arial"/>
        </w:rPr>
        <w:t>2</w:t>
      </w:r>
      <w:r w:rsidR="00752296">
        <w:rPr>
          <w:rFonts w:ascii="Arial" w:hAnsi="Arial"/>
        </w:rPr>
        <w:t>, ib.).</w:t>
      </w:r>
    </w:p>
    <w:p w:rsidR="00310F89" w:rsidRPr="00086946" w:rsidRDefault="00310F89" w:rsidP="00730CA7">
      <w:pPr>
        <w:pStyle w:val="Textoindependiente"/>
        <w:spacing w:line="360" w:lineRule="auto"/>
        <w:rPr>
          <w:rFonts w:ascii="Arial" w:hAnsi="Arial"/>
          <w:szCs w:val="24"/>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Pr="00086946" w:rsidRDefault="005A09B7" w:rsidP="00730CA7">
      <w:pPr>
        <w:pStyle w:val="Textoindependiente"/>
        <w:spacing w:line="360" w:lineRule="auto"/>
        <w:rPr>
          <w:rFonts w:ascii="Arial" w:hAnsi="Arial"/>
          <w:szCs w:val="24"/>
        </w:rPr>
      </w:pPr>
    </w:p>
    <w:p w:rsidR="00AA1C66" w:rsidRDefault="00CF429F" w:rsidP="00AA1C66">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A1C66" w:rsidRPr="00086946" w:rsidRDefault="00AA1C66" w:rsidP="00730CA7">
      <w:pPr>
        <w:pStyle w:val="Textoindependiente"/>
        <w:spacing w:line="360" w:lineRule="auto"/>
        <w:rPr>
          <w:rFonts w:ascii="Arial" w:hAnsi="Arial"/>
          <w:szCs w:val="24"/>
        </w:rPr>
      </w:pPr>
    </w:p>
    <w:p w:rsidR="00CF429F" w:rsidRDefault="005427D5" w:rsidP="00CF429F">
      <w:pPr>
        <w:pStyle w:val="Sangra2detindependiente"/>
        <w:spacing w:after="0" w:line="360" w:lineRule="auto"/>
        <w:ind w:left="0"/>
        <w:jc w:val="both"/>
        <w:rPr>
          <w:rFonts w:ascii="Arial" w:hAnsi="Arial" w:cs="Arial"/>
          <w:sz w:val="24"/>
          <w:szCs w:val="24"/>
        </w:rPr>
      </w:pPr>
      <w:r w:rsidRPr="00EE1C51">
        <w:rPr>
          <w:rFonts w:ascii="Arial" w:hAnsi="Arial" w:cs="Arial"/>
          <w:sz w:val="24"/>
          <w:szCs w:val="24"/>
        </w:rPr>
        <w:t>Este Tribunal es competente para conocer la</w:t>
      </w:r>
      <w:r w:rsidR="00A15670">
        <w:rPr>
          <w:rFonts w:ascii="Arial" w:hAnsi="Arial" w:cs="Arial"/>
          <w:sz w:val="24"/>
          <w:szCs w:val="24"/>
        </w:rPr>
        <w:t>s</w:t>
      </w:r>
      <w:r w:rsidRPr="00EE1C51">
        <w:rPr>
          <w:rFonts w:ascii="Arial" w:hAnsi="Arial" w:cs="Arial"/>
          <w:sz w:val="24"/>
          <w:szCs w:val="24"/>
        </w:rPr>
        <w:t xml:space="preserve"> </w:t>
      </w:r>
      <w:r w:rsidR="00A15670">
        <w:rPr>
          <w:rFonts w:ascii="Arial" w:hAnsi="Arial" w:cs="Arial"/>
          <w:sz w:val="24"/>
          <w:szCs w:val="24"/>
        </w:rPr>
        <w:t xml:space="preserve">acciones </w:t>
      </w:r>
      <w:r w:rsidRPr="00EE1C51">
        <w:rPr>
          <w:rFonts w:ascii="Arial" w:hAnsi="Arial" w:cs="Arial"/>
          <w:sz w:val="24"/>
          <w:szCs w:val="24"/>
        </w:rPr>
        <w:t xml:space="preserve">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990DF7">
        <w:rPr>
          <w:rFonts w:ascii="Arial" w:hAnsi="Arial" w:cs="Arial"/>
          <w:color w:val="000000"/>
          <w:sz w:val="24"/>
          <w:szCs w:val="24"/>
          <w:lang w:val="es-CO"/>
        </w:rPr>
        <w:t>Tercero</w:t>
      </w:r>
      <w:r w:rsidR="000E09A5">
        <w:rPr>
          <w:rFonts w:ascii="Arial" w:hAnsi="Arial" w:cs="Arial"/>
          <w:color w:val="000000"/>
          <w:sz w:val="24"/>
          <w:szCs w:val="24"/>
          <w:lang w:val="es-CO"/>
        </w:rPr>
        <w:t xml:space="preserve"> </w:t>
      </w:r>
      <w:r w:rsidR="00EE1C51" w:rsidRPr="00EE1C51">
        <w:rPr>
          <w:rFonts w:ascii="Arial" w:hAnsi="Arial" w:cs="Arial"/>
          <w:color w:val="000000"/>
          <w:sz w:val="24"/>
          <w:szCs w:val="24"/>
        </w:rPr>
        <w:t xml:space="preserve">Civil del Circuito </w:t>
      </w:r>
      <w:r w:rsidR="000E09A5">
        <w:rPr>
          <w:rFonts w:ascii="Arial" w:hAnsi="Arial" w:cs="Arial"/>
          <w:color w:val="000000"/>
          <w:sz w:val="24"/>
          <w:szCs w:val="24"/>
        </w:rPr>
        <w:t xml:space="preserve">de Pereira </w:t>
      </w:r>
      <w:r w:rsidRPr="00EE1C51">
        <w:rPr>
          <w:rFonts w:ascii="Arial" w:hAnsi="Arial" w:cs="Arial"/>
          <w:sz w:val="24"/>
          <w:szCs w:val="24"/>
        </w:rPr>
        <w:t>(Artículos 86 de la CP, 37 del Decreto 2591 de 1991 y Decreto 1382 de 2000).</w:t>
      </w:r>
    </w:p>
    <w:p w:rsidR="00730CA7" w:rsidRPr="00086946" w:rsidRDefault="00730CA7" w:rsidP="00CF429F">
      <w:pPr>
        <w:pStyle w:val="Sangra2detindependiente"/>
        <w:spacing w:after="0" w:line="360" w:lineRule="auto"/>
        <w:ind w:left="0"/>
        <w:jc w:val="both"/>
        <w:rPr>
          <w:rFonts w:ascii="Arial" w:hAnsi="Arial" w:cs="Arial"/>
          <w:sz w:val="24"/>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1971C0" w:rsidRDefault="00984EE4" w:rsidP="00CF429F">
      <w:pPr>
        <w:pStyle w:val="Textoindependiente"/>
        <w:tabs>
          <w:tab w:val="clear" w:pos="708"/>
          <w:tab w:val="clear" w:pos="1416"/>
          <w:tab w:val="left" w:pos="709"/>
          <w:tab w:val="left" w:pos="1418"/>
        </w:tabs>
        <w:spacing w:line="360" w:lineRule="auto"/>
        <w:rPr>
          <w:rFonts w:ascii="Arial" w:hAnsi="Arial"/>
          <w:sz w:val="20"/>
          <w:szCs w:val="24"/>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Juzgado</w:t>
      </w:r>
      <w:r w:rsidR="000E09A5">
        <w:rPr>
          <w:rFonts w:ascii="Arial" w:hAnsi="Arial" w:cs="Arial"/>
        </w:rPr>
        <w:t xml:space="preserve"> </w:t>
      </w:r>
      <w:r w:rsidR="00990DF7">
        <w:rPr>
          <w:rFonts w:ascii="Arial" w:hAnsi="Arial" w:cs="Arial"/>
        </w:rPr>
        <w:t>Tercero</w:t>
      </w:r>
      <w:r w:rsidR="00CB0B9E">
        <w:rPr>
          <w:rFonts w:ascii="Arial" w:hAnsi="Arial" w:cs="Arial"/>
        </w:rPr>
        <w:t xml:space="preserve"> Civil del Circuito de </w:t>
      </w:r>
      <w:r w:rsidR="000E09A5">
        <w:rPr>
          <w:rFonts w:ascii="Arial" w:hAnsi="Arial" w:cs="Arial"/>
        </w:rPr>
        <w:t>Pereira</w:t>
      </w:r>
      <w:r w:rsidR="00D27E97">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 xml:space="preserve">en </w:t>
      </w:r>
      <w:r w:rsidR="000E09A5">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086946" w:rsidRPr="00086946" w:rsidRDefault="00086946"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CO"/>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086946" w:rsidRDefault="008F34B8" w:rsidP="00730CA7">
      <w:pPr>
        <w:pStyle w:val="Textoindependiente"/>
        <w:spacing w:line="360" w:lineRule="auto"/>
        <w:rPr>
          <w:rFonts w:ascii="Arial" w:hAnsi="Arial"/>
          <w:szCs w:val="24"/>
        </w:rPr>
      </w:pPr>
    </w:p>
    <w:p w:rsidR="007B76E6" w:rsidRPr="00DF74B6" w:rsidRDefault="007B76E6" w:rsidP="007B76E6">
      <w:pPr>
        <w:pStyle w:val="Textoindependiente"/>
        <w:numPr>
          <w:ilvl w:val="2"/>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7B76E6" w:rsidRPr="00086946" w:rsidRDefault="007B76E6" w:rsidP="007B76E6">
      <w:pPr>
        <w:pStyle w:val="Textoindependiente"/>
        <w:spacing w:line="360" w:lineRule="auto"/>
        <w:rPr>
          <w:rFonts w:ascii="Arial" w:hAnsi="Arial"/>
          <w:szCs w:val="24"/>
        </w:rPr>
      </w:pPr>
    </w:p>
    <w:p w:rsidR="007B76E6" w:rsidRDefault="007B76E6" w:rsidP="007B76E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parte activa en la acción popular en la que se reprocha la falta al debido proceso</w:t>
      </w:r>
      <w:r w:rsidRPr="00902F93">
        <w:rPr>
          <w:rFonts w:ascii="Arial" w:hAnsi="Arial" w:cs="Arial"/>
          <w:szCs w:val="24"/>
        </w:rPr>
        <w:t xml:space="preserve">. Y por pasiva, </w:t>
      </w:r>
      <w:r>
        <w:rPr>
          <w:rFonts w:ascii="Arial" w:hAnsi="Arial" w:cs="Arial"/>
          <w:szCs w:val="24"/>
        </w:rPr>
        <w:t xml:space="preserve">lo es el Juzgado </w:t>
      </w:r>
      <w:r w:rsidR="00990DF7">
        <w:rPr>
          <w:rFonts w:ascii="Arial" w:hAnsi="Arial" w:cs="Arial"/>
          <w:szCs w:val="24"/>
        </w:rPr>
        <w:t>Tercero</w:t>
      </w:r>
      <w:r>
        <w:rPr>
          <w:rFonts w:ascii="Arial" w:hAnsi="Arial" w:cs="Arial"/>
          <w:szCs w:val="24"/>
        </w:rPr>
        <w:t xml:space="preserve"> Civil del Circuito de Pereira, al ser</w:t>
      </w:r>
      <w:r w:rsidRPr="009A3C9D">
        <w:rPr>
          <w:rFonts w:ascii="Arial" w:hAnsi="Arial" w:cs="Arial"/>
          <w:szCs w:val="24"/>
        </w:rPr>
        <w:t xml:space="preserve"> la autoridad judicial que </w:t>
      </w:r>
      <w:r>
        <w:rPr>
          <w:rFonts w:ascii="Arial" w:hAnsi="Arial" w:cs="Arial"/>
          <w:szCs w:val="24"/>
        </w:rPr>
        <w:t>conoce el asunto.</w:t>
      </w:r>
    </w:p>
    <w:p w:rsidR="007B76E6" w:rsidRPr="00086946" w:rsidRDefault="007B76E6" w:rsidP="007B76E6">
      <w:pPr>
        <w:pStyle w:val="Textoindependiente"/>
        <w:spacing w:line="360" w:lineRule="auto"/>
        <w:rPr>
          <w:rFonts w:ascii="Arial" w:hAnsi="Arial" w:cs="Arial"/>
          <w:szCs w:val="24"/>
        </w:rPr>
      </w:pPr>
    </w:p>
    <w:p w:rsidR="007B76E6" w:rsidRDefault="007B76E6" w:rsidP="007B76E6">
      <w:pPr>
        <w:widowControl/>
        <w:spacing w:line="360" w:lineRule="auto"/>
        <w:jc w:val="both"/>
        <w:rPr>
          <w:rFonts w:ascii="Arial" w:hAnsi="Arial" w:cs="Arial"/>
        </w:rPr>
      </w:pPr>
      <w:r>
        <w:rPr>
          <w:rFonts w:ascii="Arial" w:hAnsi="Arial" w:cs="Arial"/>
        </w:rPr>
        <w:t xml:space="preserve">Como la Procuraduría General de la Nación y la Defensoría del Pueblo, Regionales de Risaralda; y, </w:t>
      </w:r>
      <w:r w:rsidR="00F42D41">
        <w:rPr>
          <w:rFonts w:ascii="Arial" w:hAnsi="Arial" w:cs="Arial"/>
        </w:rPr>
        <w:t>la Alcaldía y Personería</w:t>
      </w:r>
      <w:r>
        <w:rPr>
          <w:rFonts w:ascii="Arial" w:hAnsi="Arial" w:cs="Arial"/>
        </w:rPr>
        <w:t xml:space="preserve"> de Pereira, no actúan como partes en las acciones populares dentro de las se alega la vulneración al debido proceso, carecen de legitimación, por ende se declarará improcedente el amparo en su contra.</w:t>
      </w:r>
    </w:p>
    <w:p w:rsidR="007B76E6" w:rsidRPr="00086946" w:rsidRDefault="007B76E6" w:rsidP="007B76E6">
      <w:pPr>
        <w:widowControl/>
        <w:spacing w:line="360" w:lineRule="auto"/>
        <w:jc w:val="both"/>
        <w:rPr>
          <w:rFonts w:ascii="Arial" w:hAnsi="Arial" w:cs="Arial"/>
        </w:rPr>
      </w:pPr>
    </w:p>
    <w:p w:rsidR="007B76E6" w:rsidRDefault="007B76E6" w:rsidP="007B76E6">
      <w:pPr>
        <w:pStyle w:val="Textoindependiente"/>
        <w:spacing w:line="360" w:lineRule="auto"/>
        <w:rPr>
          <w:rFonts w:ascii="Arial" w:hAnsi="Arial" w:cs="Arial"/>
          <w:szCs w:val="24"/>
        </w:rPr>
      </w:pPr>
      <w:r>
        <w:rPr>
          <w:rFonts w:ascii="Arial" w:hAnsi="Arial" w:cs="Arial"/>
          <w:szCs w:val="24"/>
        </w:rPr>
        <w:t xml:space="preserve">Asimismo, como </w:t>
      </w:r>
      <w:r w:rsidR="00F42D41">
        <w:rPr>
          <w:rFonts w:ascii="Arial" w:hAnsi="Arial" w:cs="Arial"/>
          <w:szCs w:val="24"/>
        </w:rPr>
        <w:t xml:space="preserve">los señores Javier Elías Arias </w:t>
      </w:r>
      <w:proofErr w:type="spellStart"/>
      <w:r w:rsidR="00F42D41">
        <w:rPr>
          <w:rFonts w:ascii="Arial" w:hAnsi="Arial" w:cs="Arial"/>
          <w:szCs w:val="24"/>
        </w:rPr>
        <w:t>Idárraga</w:t>
      </w:r>
      <w:proofErr w:type="spellEnd"/>
      <w:r w:rsidR="00F42D41">
        <w:rPr>
          <w:rFonts w:ascii="Arial" w:hAnsi="Arial" w:cs="Arial"/>
          <w:szCs w:val="24"/>
        </w:rPr>
        <w:t xml:space="preserve"> y Cristian Vásquez</w:t>
      </w:r>
      <w:r>
        <w:rPr>
          <w:rFonts w:ascii="Arial" w:hAnsi="Arial" w:cs="Arial"/>
          <w:szCs w:val="24"/>
        </w:rPr>
        <w:t xml:space="preserve">, </w:t>
      </w:r>
      <w:r w:rsidRPr="00FD594D">
        <w:rPr>
          <w:rFonts w:ascii="Arial" w:hAnsi="Arial" w:cs="Arial"/>
          <w:szCs w:val="24"/>
        </w:rPr>
        <w:t xml:space="preserve">no </w:t>
      </w:r>
      <w:r w:rsidR="00F42D41">
        <w:rPr>
          <w:rFonts w:ascii="Arial" w:hAnsi="Arial" w:cs="Arial"/>
          <w:szCs w:val="24"/>
        </w:rPr>
        <w:t>incurrieron</w:t>
      </w:r>
      <w:r>
        <w:rPr>
          <w:rFonts w:ascii="Arial" w:hAnsi="Arial" w:cs="Arial"/>
          <w:szCs w:val="24"/>
        </w:rPr>
        <w:t xml:space="preserve"> </w:t>
      </w:r>
      <w:r w:rsidRPr="00FD594D">
        <w:rPr>
          <w:rFonts w:ascii="Arial" w:hAnsi="Arial" w:cs="Arial"/>
          <w:szCs w:val="24"/>
        </w:rPr>
        <w:t>en violación o amenaza alguna, se negará la tutela.</w:t>
      </w:r>
    </w:p>
    <w:p w:rsidR="007B76E6" w:rsidRPr="00086946" w:rsidRDefault="007B76E6" w:rsidP="00730CA7">
      <w:pPr>
        <w:pStyle w:val="Textoindependiente"/>
        <w:spacing w:line="360" w:lineRule="auto"/>
        <w:rPr>
          <w:rFonts w:ascii="Arial" w:hAnsi="Arial"/>
          <w:szCs w:val="24"/>
        </w:rPr>
      </w:pPr>
    </w:p>
    <w:p w:rsidR="00F42D41" w:rsidRDefault="00F42D41" w:rsidP="00F42D41">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42D41" w:rsidRPr="00086946" w:rsidRDefault="00F42D41" w:rsidP="00F42D4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42D41" w:rsidRDefault="00F42D41" w:rsidP="00F42D41">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F42D41" w:rsidRPr="00086946" w:rsidRDefault="00F42D41" w:rsidP="00F42D41">
      <w:pPr>
        <w:pStyle w:val="Textoindependiente"/>
        <w:spacing w:line="360" w:lineRule="auto"/>
        <w:rPr>
          <w:rFonts w:ascii="Arial" w:hAnsi="Arial" w:cs="Arial"/>
          <w:szCs w:val="24"/>
        </w:rPr>
      </w:pPr>
    </w:p>
    <w:p w:rsidR="00F42D41" w:rsidRPr="006A3AB9" w:rsidRDefault="00F42D41" w:rsidP="00F42D41">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42D41" w:rsidRPr="00086946" w:rsidRDefault="00F42D41" w:rsidP="00F42D41">
      <w:pPr>
        <w:pStyle w:val="Textoindependiente"/>
        <w:spacing w:line="360" w:lineRule="auto"/>
        <w:rPr>
          <w:rFonts w:ascii="Arial" w:hAnsi="Arial" w:cs="Arial"/>
          <w:szCs w:val="24"/>
        </w:rPr>
      </w:pPr>
    </w:p>
    <w:p w:rsidR="00F42D41" w:rsidRDefault="00F42D41" w:rsidP="00F42D41">
      <w:pPr>
        <w:pStyle w:val="Textoindependiente"/>
        <w:spacing w:line="360" w:lineRule="auto"/>
        <w:rPr>
          <w:rFonts w:ascii="Arial" w:hAnsi="Arial" w:cs="Arial"/>
          <w:szCs w:val="24"/>
        </w:rPr>
      </w:pPr>
      <w:r w:rsidRPr="006A3AB9">
        <w:rPr>
          <w:rFonts w:ascii="Arial" w:hAnsi="Arial" w:cs="Arial"/>
          <w:szCs w:val="24"/>
        </w:rPr>
        <w:lastRenderedPageBreak/>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w:t>
      </w:r>
      <w:r w:rsidR="00086946">
        <w:rPr>
          <w:rFonts w:ascii="Arial" w:hAnsi="Arial" w:cs="Arial"/>
          <w:szCs w:val="24"/>
        </w:rPr>
        <w:t>CC</w:t>
      </w:r>
      <w:r w:rsidRPr="006A3AB9">
        <w:rPr>
          <w:rStyle w:val="Refdenotaalpie"/>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42D41" w:rsidRPr="00086946" w:rsidRDefault="00F42D41" w:rsidP="00F42D41">
      <w:pPr>
        <w:pStyle w:val="Textoindependiente"/>
        <w:spacing w:line="360" w:lineRule="auto"/>
        <w:rPr>
          <w:rFonts w:ascii="Arial" w:hAnsi="Arial" w:cs="Arial"/>
          <w:szCs w:val="24"/>
        </w:rPr>
      </w:pPr>
    </w:p>
    <w:p w:rsidR="00F42D41" w:rsidRDefault="00F42D41" w:rsidP="00F42D41">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F42D41" w:rsidRPr="00086946" w:rsidRDefault="00F42D41" w:rsidP="000E73B3">
      <w:pPr>
        <w:spacing w:line="360" w:lineRule="auto"/>
        <w:jc w:val="both"/>
        <w:rPr>
          <w:rFonts w:ascii="Arial" w:hAnsi="Arial" w:cs="Arial"/>
          <w:lang w:val="es-ES_tradnl"/>
        </w:rPr>
      </w:pPr>
    </w:p>
    <w:p w:rsidR="000E73B3" w:rsidRPr="00DA7FE8" w:rsidRDefault="000E73B3" w:rsidP="000E73B3">
      <w:pPr>
        <w:pStyle w:val="Prrafodelista"/>
        <w:numPr>
          <w:ilvl w:val="2"/>
          <w:numId w:val="18"/>
        </w:numPr>
        <w:spacing w:line="360" w:lineRule="auto"/>
        <w:ind w:right="22"/>
        <w:jc w:val="both"/>
        <w:rPr>
          <w:rFonts w:ascii="Arial" w:hAnsi="Arial" w:cs="Arial"/>
          <w:szCs w:val="22"/>
          <w:lang w:val="es-ES_tradnl"/>
        </w:rPr>
      </w:pPr>
      <w:r w:rsidRPr="00DA7FE8">
        <w:rPr>
          <w:rFonts w:ascii="Arial" w:hAnsi="Arial" w:cs="Arial"/>
          <w:szCs w:val="22"/>
          <w:lang w:val="es-ES_tradnl"/>
        </w:rPr>
        <w:t>El defecto sustantivo o material</w:t>
      </w:r>
    </w:p>
    <w:p w:rsidR="000E73B3" w:rsidRDefault="000E73B3" w:rsidP="000E73B3">
      <w:pPr>
        <w:spacing w:line="360" w:lineRule="auto"/>
        <w:ind w:right="22"/>
        <w:jc w:val="both"/>
        <w:rPr>
          <w:rFonts w:ascii="Arial" w:hAnsi="Arial" w:cs="Arial"/>
          <w:szCs w:val="22"/>
          <w:lang w:val="es-ES_tradnl"/>
        </w:rPr>
      </w:pPr>
    </w:p>
    <w:p w:rsidR="000E73B3" w:rsidRDefault="000E73B3" w:rsidP="000E73B3">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8"/>
      </w:r>
      <w:r>
        <w:rPr>
          <w:rFonts w:ascii="Arial" w:hAnsi="Arial" w:cs="Arial"/>
          <w:szCs w:val="22"/>
          <w:lang w:val="es-ES_tradnl"/>
        </w:rPr>
        <w:t>, luego en otra decisión</w:t>
      </w:r>
      <w:r>
        <w:rPr>
          <w:rStyle w:val="Refdenotaalpie"/>
          <w:rFonts w:ascii="Arial" w:hAnsi="Arial"/>
          <w:szCs w:val="22"/>
          <w:lang w:val="es-ES_tradnl"/>
        </w:rPr>
        <w:footnoteReference w:id="9"/>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Pr>
          <w:rFonts w:ascii="Arial" w:hAnsi="Arial" w:cs="Arial"/>
          <w:szCs w:val="22"/>
          <w:lang w:val="es-ES_tradnl"/>
        </w:rPr>
        <w:t>.  El desarrollo de esta teoría, se ha ido ampliando esa noción, para prodigar protección en varios eventos</w:t>
      </w:r>
      <w:r>
        <w:rPr>
          <w:rStyle w:val="Refdenotaalpie"/>
          <w:rFonts w:ascii="Arial" w:hAnsi="Arial"/>
          <w:szCs w:val="22"/>
          <w:lang w:val="es-ES_tradnl"/>
        </w:rPr>
        <w:footnoteReference w:id="10"/>
      </w:r>
      <w:r>
        <w:rPr>
          <w:rFonts w:ascii="Arial" w:hAnsi="Arial" w:cs="Arial"/>
          <w:szCs w:val="22"/>
          <w:lang w:val="es-ES_tradnl"/>
        </w:rPr>
        <w:t>, al efecto tiene precisadas distintas variables:</w:t>
      </w:r>
    </w:p>
    <w:p w:rsidR="000E73B3" w:rsidRDefault="000E73B3" w:rsidP="000E73B3">
      <w:pPr>
        <w:ind w:left="567" w:right="22"/>
        <w:jc w:val="both"/>
        <w:rPr>
          <w:rFonts w:ascii="Arial" w:hAnsi="Arial" w:cs="Arial"/>
          <w:szCs w:val="22"/>
          <w:lang w:val="es-ES_tradnl"/>
        </w:rPr>
      </w:pPr>
    </w:p>
    <w:p w:rsidR="000E73B3" w:rsidRPr="007C12E8" w:rsidRDefault="000E73B3" w:rsidP="000E73B3">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1"/>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2"/>
      </w:r>
      <w:r w:rsidRPr="000A1B5D">
        <w:rPr>
          <w:rFonts w:ascii="Arial" w:hAnsi="Arial" w:cs="Arial"/>
        </w:rPr>
        <w:t xml:space="preserve"> (interpretación </w:t>
      </w:r>
      <w:r w:rsidRPr="000A1B5D">
        <w:rPr>
          <w:rFonts w:ascii="Arial" w:hAnsi="Arial" w:cs="Arial"/>
          <w:iCs/>
        </w:rPr>
        <w:t xml:space="preserve">contra </w:t>
      </w:r>
      <w:proofErr w:type="spellStart"/>
      <w:r w:rsidRPr="000A1B5D">
        <w:rPr>
          <w:rFonts w:ascii="Arial" w:hAnsi="Arial" w:cs="Arial"/>
          <w:i/>
          <w:iCs/>
        </w:rPr>
        <w:t>legem</w:t>
      </w:r>
      <w:proofErr w:type="spellEnd"/>
      <w:r w:rsidRPr="000A1B5D">
        <w:rPr>
          <w:rFonts w:ascii="Arial" w:hAnsi="Arial" w:cs="Arial"/>
        </w:rPr>
        <w:t>) o claramente perjudicial para los intereses legítimos de una de las partes</w:t>
      </w:r>
      <w:r w:rsidRPr="000A1B5D">
        <w:rPr>
          <w:rFonts w:ascii="Arial" w:hAnsi="Arial" w:cs="Arial"/>
          <w:vertAlign w:val="superscript"/>
        </w:rPr>
        <w:footnoteReference w:id="13"/>
      </w:r>
      <w:r w:rsidRPr="000A1B5D">
        <w:rPr>
          <w:rFonts w:ascii="Arial" w:hAnsi="Arial" w:cs="Arial"/>
        </w:rPr>
        <w:t xml:space="preserve"> (irrazonable o desproporcionada), y finalmente </w:t>
      </w:r>
      <w:r w:rsidRPr="000A1B5D">
        <w:rPr>
          <w:rFonts w:ascii="Arial" w:hAnsi="Arial" w:cs="Arial"/>
        </w:rPr>
        <w:lastRenderedPageBreak/>
        <w:t xml:space="preserve">(iii)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0E73B3" w:rsidRPr="000A1B5D" w:rsidRDefault="000E73B3" w:rsidP="000E73B3">
      <w:pPr>
        <w:ind w:left="567" w:right="567"/>
        <w:jc w:val="both"/>
        <w:rPr>
          <w:rFonts w:ascii="Arial" w:hAnsi="Arial" w:cs="Arial"/>
        </w:rPr>
      </w:pPr>
      <w:r w:rsidRPr="007C12E8">
        <w:rPr>
          <w:rStyle w:val="Refdenotaalpie"/>
          <w:rFonts w:ascii="Arial" w:hAnsi="Arial"/>
          <w:iCs/>
        </w:rPr>
        <w:footnoteReference w:id="14"/>
      </w:r>
      <w:r>
        <w:rPr>
          <w:rFonts w:ascii="Arial" w:hAnsi="Arial" w:cs="Arial"/>
          <w:iCs/>
          <w:vertAlign w:val="superscript"/>
        </w:rPr>
        <w:t>-</w:t>
      </w:r>
      <w:r>
        <w:rPr>
          <w:rStyle w:val="Refdenotaalpie"/>
          <w:rFonts w:ascii="Arial" w:hAnsi="Arial"/>
          <w:iCs/>
        </w:rPr>
        <w:footnoteReference w:id="15"/>
      </w:r>
      <w:r>
        <w:rPr>
          <w:rFonts w:ascii="Arial" w:hAnsi="Arial" w:cs="Arial"/>
          <w:iCs/>
          <w:vertAlign w:val="superscript"/>
        </w:rPr>
        <w:t xml:space="preserve"> </w:t>
      </w:r>
      <w:r>
        <w:rPr>
          <w:rFonts w:ascii="Arial" w:hAnsi="Arial" w:cs="Arial"/>
          <w:iCs/>
        </w:rPr>
        <w:t>(2015)</w:t>
      </w:r>
      <w:r w:rsidRPr="007C12E8">
        <w:rPr>
          <w:rFonts w:ascii="Arial" w:hAnsi="Arial" w:cs="Arial"/>
          <w:iCs/>
        </w:rPr>
        <w:t>.</w:t>
      </w:r>
    </w:p>
    <w:p w:rsidR="000E73B3" w:rsidRDefault="000E73B3" w:rsidP="000E73B3">
      <w:pPr>
        <w:pStyle w:val="Textoindependiente"/>
        <w:spacing w:line="360" w:lineRule="auto"/>
        <w:rPr>
          <w:rFonts w:ascii="Arial" w:hAnsi="Arial" w:cs="Arial"/>
        </w:rPr>
      </w:pPr>
    </w:p>
    <w:p w:rsidR="000E73B3" w:rsidRDefault="000E73B3" w:rsidP="000E73B3">
      <w:pPr>
        <w:pStyle w:val="Textoindependiente"/>
        <w:spacing w:line="360" w:lineRule="auto"/>
        <w:rPr>
          <w:rFonts w:ascii="Arial" w:hAnsi="Arial" w:cs="Arial"/>
        </w:rPr>
      </w:pPr>
      <w:r w:rsidRPr="00651F25">
        <w:rPr>
          <w:rFonts w:ascii="Arial" w:hAnsi="Arial" w:cs="Arial"/>
        </w:rPr>
        <w:t>Así mismo el alto Tribunal Constitucional</w:t>
      </w:r>
      <w:r w:rsidRPr="00651F25">
        <w:rPr>
          <w:rStyle w:val="Refdenotaalpie"/>
          <w:rFonts w:ascii="Arial" w:hAnsi="Arial"/>
        </w:rPr>
        <w:footnoteReference w:id="16"/>
      </w:r>
      <w:r w:rsidRPr="00651F25">
        <w:rPr>
          <w:rFonts w:ascii="Arial" w:hAnsi="Arial" w:cs="Arial"/>
        </w:rPr>
        <w:t>, señaló:</w:t>
      </w:r>
      <w:r>
        <w:rPr>
          <w:rFonts w:ascii="Arial" w:hAnsi="Arial" w:cs="Arial"/>
        </w:rPr>
        <w:t xml:space="preserve"> </w:t>
      </w:r>
    </w:p>
    <w:p w:rsidR="000E73B3" w:rsidRDefault="000E73B3" w:rsidP="000E73B3">
      <w:pPr>
        <w:ind w:left="567" w:right="567"/>
        <w:jc w:val="both"/>
        <w:rPr>
          <w:rFonts w:ascii="Arial" w:hAnsi="Arial" w:cs="Arial"/>
        </w:rPr>
      </w:pPr>
    </w:p>
    <w:p w:rsidR="000E73B3" w:rsidRPr="007C12E8" w:rsidRDefault="000E73B3" w:rsidP="000E73B3">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0E73B3" w:rsidRDefault="000E73B3" w:rsidP="000E73B3">
      <w:pPr>
        <w:pStyle w:val="Textoindependiente"/>
        <w:spacing w:line="240" w:lineRule="auto"/>
        <w:rPr>
          <w:rFonts w:ascii="Arial" w:hAnsi="Arial" w:cs="Arial"/>
        </w:rPr>
      </w:pPr>
    </w:p>
    <w:p w:rsidR="000E73B3" w:rsidRDefault="000E73B3" w:rsidP="000E73B3">
      <w:pPr>
        <w:pStyle w:val="Textoindependien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0E73B3" w:rsidRPr="00086946" w:rsidRDefault="000E73B3" w:rsidP="000E73B3">
      <w:pPr>
        <w:spacing w:line="360" w:lineRule="auto"/>
        <w:jc w:val="both"/>
        <w:rPr>
          <w:rFonts w:ascii="Arial" w:hAnsi="Arial" w:cs="Arial"/>
          <w:sz w:val="36"/>
          <w:lang w:val="es-ES_tradnl"/>
        </w:rPr>
      </w:pPr>
    </w:p>
    <w:p w:rsidR="008E1295" w:rsidRPr="002128C2" w:rsidRDefault="008E1295" w:rsidP="007B76E6">
      <w:pPr>
        <w:pStyle w:val="Textoindependiente"/>
        <w:numPr>
          <w:ilvl w:val="0"/>
          <w:numId w:val="18"/>
        </w:numPr>
        <w:spacing w:line="360" w:lineRule="auto"/>
        <w:rPr>
          <w:rFonts w:ascii="Arial" w:hAnsi="Arial"/>
          <w:szCs w:val="24"/>
        </w:rPr>
      </w:pPr>
      <w:r w:rsidRPr="002128C2">
        <w:rPr>
          <w:rFonts w:ascii="Arial" w:hAnsi="Arial"/>
          <w:szCs w:val="24"/>
        </w:rPr>
        <w:t>EL CASO CONCRETO QUE SE ANALIZA</w:t>
      </w:r>
    </w:p>
    <w:p w:rsidR="00E55885" w:rsidRDefault="00E55885" w:rsidP="00E55885">
      <w:pPr>
        <w:pStyle w:val="Textoindependiente"/>
        <w:spacing w:line="360" w:lineRule="auto"/>
        <w:rPr>
          <w:rFonts w:ascii="Arial" w:hAnsi="Arial"/>
          <w:szCs w:val="24"/>
        </w:rPr>
      </w:pPr>
    </w:p>
    <w:p w:rsidR="00E55885" w:rsidRDefault="00E55885" w:rsidP="00E55885">
      <w:pPr>
        <w:pStyle w:val="Textoindependiente"/>
        <w:numPr>
          <w:ilvl w:val="1"/>
          <w:numId w:val="18"/>
        </w:numPr>
        <w:spacing w:line="360" w:lineRule="auto"/>
        <w:rPr>
          <w:rFonts w:ascii="Arial" w:hAnsi="Arial"/>
          <w:szCs w:val="24"/>
        </w:rPr>
      </w:pPr>
      <w:r>
        <w:rPr>
          <w:rFonts w:ascii="Arial" w:hAnsi="Arial"/>
          <w:szCs w:val="24"/>
        </w:rPr>
        <w:t>Inexistencia de vulneración</w:t>
      </w:r>
    </w:p>
    <w:p w:rsidR="00E55885" w:rsidRPr="002128C2" w:rsidRDefault="00E55885" w:rsidP="00E55885">
      <w:pPr>
        <w:pStyle w:val="Textoindependiente"/>
        <w:spacing w:line="360" w:lineRule="auto"/>
        <w:ind w:left="720"/>
        <w:rPr>
          <w:rFonts w:ascii="Arial" w:hAnsi="Arial"/>
          <w:szCs w:val="24"/>
        </w:rPr>
      </w:pPr>
    </w:p>
    <w:p w:rsidR="003A1E33" w:rsidRDefault="00F42D41" w:rsidP="003A1E33">
      <w:pPr>
        <w:widowControl/>
        <w:spacing w:line="360" w:lineRule="auto"/>
        <w:jc w:val="both"/>
        <w:rPr>
          <w:rFonts w:ascii="Arial" w:hAnsi="Arial"/>
          <w:lang w:val="es-CO"/>
        </w:rPr>
      </w:pPr>
      <w:r>
        <w:rPr>
          <w:rFonts w:ascii="Arial" w:hAnsi="Arial"/>
        </w:rPr>
        <w:t>C</w:t>
      </w:r>
      <w:r w:rsidR="003A1E33" w:rsidRPr="002128C2">
        <w:rPr>
          <w:rFonts w:ascii="Arial" w:hAnsi="Arial"/>
        </w:rPr>
        <w:t xml:space="preserve">onsidera la Sala, conforme </w:t>
      </w:r>
      <w:r w:rsidR="00E55885">
        <w:rPr>
          <w:rFonts w:ascii="Arial" w:hAnsi="Arial"/>
        </w:rPr>
        <w:t>el acervo probatorio</w:t>
      </w:r>
      <w:r w:rsidR="00086946">
        <w:rPr>
          <w:rFonts w:ascii="Arial" w:hAnsi="Arial"/>
        </w:rPr>
        <w:t xml:space="preserve"> (Folios 8 a 25, ib.)</w:t>
      </w:r>
      <w:r w:rsidR="003A1E33" w:rsidRPr="002128C2">
        <w:rPr>
          <w:rFonts w:ascii="Arial" w:hAnsi="Arial"/>
        </w:rPr>
        <w:t>, que es inexistente la vulneración o amenaza del derecho</w:t>
      </w:r>
      <w:r w:rsidR="003A1E33">
        <w:rPr>
          <w:rFonts w:ascii="Arial" w:hAnsi="Arial"/>
        </w:rPr>
        <w:t xml:space="preserve"> fundamental al debido proceso</w:t>
      </w:r>
      <w:r w:rsidR="000E73B3">
        <w:rPr>
          <w:rFonts w:ascii="Arial" w:hAnsi="Arial"/>
        </w:rPr>
        <w:t xml:space="preserve"> en lo que se </w:t>
      </w:r>
      <w:r w:rsidR="00086946">
        <w:rPr>
          <w:rFonts w:ascii="Arial" w:hAnsi="Arial"/>
        </w:rPr>
        <w:t xml:space="preserve">respecta </w:t>
      </w:r>
      <w:r w:rsidR="000E73B3">
        <w:rPr>
          <w:rFonts w:ascii="Arial" w:hAnsi="Arial"/>
        </w:rPr>
        <w:t xml:space="preserve">a </w:t>
      </w:r>
      <w:r w:rsidR="00086946">
        <w:rPr>
          <w:rFonts w:ascii="Arial" w:hAnsi="Arial"/>
        </w:rPr>
        <w:t xml:space="preserve">la ausencia de trámite de </w:t>
      </w:r>
      <w:r w:rsidR="000E73B3">
        <w:rPr>
          <w:rFonts w:ascii="Arial" w:hAnsi="Arial"/>
        </w:rPr>
        <w:t>la acción popular y la falta de reconocimiento del amparo por pobre</w:t>
      </w:r>
      <w:r w:rsidR="003A1E33" w:rsidRPr="0010701C">
        <w:rPr>
          <w:rFonts w:ascii="Arial" w:hAnsi="Arial"/>
          <w:lang w:val="es-CO"/>
        </w:rPr>
        <w:t>.</w:t>
      </w:r>
    </w:p>
    <w:p w:rsidR="003A1E33" w:rsidRPr="002128C2" w:rsidRDefault="003A1E33" w:rsidP="003A1E33">
      <w:pPr>
        <w:widowControl/>
        <w:spacing w:line="360" w:lineRule="auto"/>
        <w:jc w:val="both"/>
        <w:rPr>
          <w:rFonts w:ascii="Arial" w:hAnsi="Arial"/>
          <w:lang w:val="es-CO"/>
        </w:rPr>
      </w:pPr>
    </w:p>
    <w:p w:rsidR="00E459C5" w:rsidRDefault="00936EB9" w:rsidP="00E55885">
      <w:pPr>
        <w:widowControl/>
        <w:spacing w:line="360" w:lineRule="auto"/>
        <w:jc w:val="both"/>
        <w:rPr>
          <w:rFonts w:ascii="Arial" w:hAnsi="Arial"/>
          <w:lang w:val="es-CO"/>
        </w:rPr>
      </w:pPr>
      <w:r>
        <w:rPr>
          <w:rFonts w:ascii="Arial" w:hAnsi="Arial"/>
          <w:lang w:val="es-CO"/>
        </w:rPr>
        <w:t xml:space="preserve">En efecto, el accionante </w:t>
      </w:r>
      <w:r w:rsidR="00E459C5">
        <w:rPr>
          <w:rFonts w:ascii="Arial" w:hAnsi="Arial"/>
          <w:lang w:val="es-CO"/>
        </w:rPr>
        <w:t>refiere que el asunto constitucional se rechazó y pese a que recurrió</w:t>
      </w:r>
      <w:r w:rsidR="00E55885">
        <w:rPr>
          <w:rFonts w:ascii="Arial" w:hAnsi="Arial"/>
          <w:lang w:val="es-CO"/>
        </w:rPr>
        <w:t xml:space="preserve"> en reposición y apelación</w:t>
      </w:r>
      <w:r>
        <w:rPr>
          <w:rFonts w:ascii="Arial" w:hAnsi="Arial"/>
          <w:lang w:val="es-CO"/>
        </w:rPr>
        <w:t xml:space="preserve">, no se admitió, </w:t>
      </w:r>
      <w:r w:rsidR="00E459C5">
        <w:rPr>
          <w:rFonts w:ascii="Arial" w:hAnsi="Arial"/>
          <w:lang w:val="es-CO"/>
        </w:rPr>
        <w:t>sin embargo</w:t>
      </w:r>
      <w:r>
        <w:rPr>
          <w:rFonts w:ascii="Arial" w:hAnsi="Arial"/>
          <w:lang w:val="es-CO"/>
        </w:rPr>
        <w:t>, d</w:t>
      </w:r>
      <w:r w:rsidR="003A1E33">
        <w:rPr>
          <w:rFonts w:ascii="Arial" w:hAnsi="Arial"/>
          <w:lang w:val="es-CO"/>
        </w:rPr>
        <w:t xml:space="preserve">e acuerdo con las copias arrimadas se observa que </w:t>
      </w:r>
      <w:r w:rsidR="001D687C">
        <w:rPr>
          <w:rFonts w:ascii="Arial" w:hAnsi="Arial"/>
          <w:lang w:val="es-CO"/>
        </w:rPr>
        <w:t xml:space="preserve">el despacho judicial accionado, luego de que la CSJ determinara que es el competente para adelantar el asunto constitucional (Folios 17 y 18, ib.), con proveído del 13-07-2016 lo admitió y ordenó </w:t>
      </w:r>
      <w:r w:rsidR="000E73B3">
        <w:rPr>
          <w:rFonts w:ascii="Arial" w:hAnsi="Arial"/>
          <w:lang w:val="es-CO"/>
        </w:rPr>
        <w:t xml:space="preserve">a la parte actora </w:t>
      </w:r>
      <w:r w:rsidR="00086946">
        <w:rPr>
          <w:rFonts w:ascii="Arial" w:hAnsi="Arial"/>
          <w:lang w:val="es-CO"/>
        </w:rPr>
        <w:t xml:space="preserve">efectuar </w:t>
      </w:r>
      <w:r>
        <w:rPr>
          <w:rFonts w:ascii="Arial" w:hAnsi="Arial"/>
          <w:lang w:val="es-CO"/>
        </w:rPr>
        <w:t xml:space="preserve">el aviso </w:t>
      </w:r>
      <w:r w:rsidR="001D687C">
        <w:rPr>
          <w:rFonts w:ascii="Arial" w:hAnsi="Arial"/>
          <w:lang w:val="es-CO"/>
        </w:rPr>
        <w:t>a la comunidad y la notificación de la accionada</w:t>
      </w:r>
      <w:r w:rsidR="00086946">
        <w:rPr>
          <w:rFonts w:ascii="Arial" w:hAnsi="Arial"/>
          <w:lang w:val="es-CO"/>
        </w:rPr>
        <w:t xml:space="preserve"> (Folio 20, ib.)</w:t>
      </w:r>
      <w:r>
        <w:rPr>
          <w:rFonts w:ascii="Arial" w:hAnsi="Arial"/>
          <w:lang w:val="es-CO"/>
        </w:rPr>
        <w:t xml:space="preserve">, </w:t>
      </w:r>
      <w:r w:rsidR="00E459C5">
        <w:rPr>
          <w:rFonts w:ascii="Arial" w:hAnsi="Arial"/>
          <w:lang w:val="es-CO"/>
        </w:rPr>
        <w:t xml:space="preserve">de manera que el proceso </w:t>
      </w:r>
      <w:r w:rsidR="00086946">
        <w:rPr>
          <w:rFonts w:ascii="Arial" w:hAnsi="Arial"/>
          <w:lang w:val="es-CO"/>
        </w:rPr>
        <w:t xml:space="preserve">sí </w:t>
      </w:r>
      <w:r w:rsidR="00E459C5">
        <w:rPr>
          <w:rFonts w:ascii="Arial" w:hAnsi="Arial"/>
          <w:lang w:val="es-CO"/>
        </w:rPr>
        <w:t xml:space="preserve">se </w:t>
      </w:r>
      <w:r w:rsidR="00AF0D8E">
        <w:rPr>
          <w:rFonts w:ascii="Arial" w:hAnsi="Arial"/>
          <w:lang w:val="es-CO"/>
        </w:rPr>
        <w:t>está tramitando</w:t>
      </w:r>
      <w:r w:rsidR="00E459C5">
        <w:rPr>
          <w:rFonts w:ascii="Arial" w:hAnsi="Arial"/>
          <w:lang w:val="es-CO"/>
        </w:rPr>
        <w:t xml:space="preserve">, solo que no se </w:t>
      </w:r>
      <w:r w:rsidR="00AF0D8E">
        <w:rPr>
          <w:rFonts w:ascii="Arial" w:hAnsi="Arial"/>
          <w:lang w:val="es-CO"/>
        </w:rPr>
        <w:t xml:space="preserve">puede </w:t>
      </w:r>
      <w:r w:rsidR="00E459C5">
        <w:rPr>
          <w:rFonts w:ascii="Arial" w:hAnsi="Arial"/>
          <w:lang w:val="es-CO"/>
        </w:rPr>
        <w:t xml:space="preserve">continuar con la etapa subsiguiente </w:t>
      </w:r>
      <w:r w:rsidR="00AF0D8E">
        <w:rPr>
          <w:rFonts w:ascii="Arial" w:hAnsi="Arial"/>
          <w:lang w:val="es-CO"/>
        </w:rPr>
        <w:t>hasta tanto se efectúe</w:t>
      </w:r>
      <w:r w:rsidR="00086946">
        <w:rPr>
          <w:rFonts w:ascii="Arial" w:hAnsi="Arial"/>
          <w:lang w:val="es-CO"/>
        </w:rPr>
        <w:t>n</w:t>
      </w:r>
      <w:r w:rsidR="00AF0D8E">
        <w:rPr>
          <w:rFonts w:ascii="Arial" w:hAnsi="Arial"/>
          <w:lang w:val="es-CO"/>
        </w:rPr>
        <w:t xml:space="preserve"> la</w:t>
      </w:r>
      <w:r w:rsidR="00086946">
        <w:rPr>
          <w:rFonts w:ascii="Arial" w:hAnsi="Arial"/>
          <w:lang w:val="es-CO"/>
        </w:rPr>
        <w:t>s</w:t>
      </w:r>
      <w:r w:rsidR="00AF0D8E">
        <w:rPr>
          <w:rFonts w:ascii="Arial" w:hAnsi="Arial"/>
          <w:lang w:val="es-CO"/>
        </w:rPr>
        <w:t xml:space="preserve"> referida</w:t>
      </w:r>
      <w:r w:rsidR="00086946">
        <w:rPr>
          <w:rFonts w:ascii="Arial" w:hAnsi="Arial"/>
          <w:lang w:val="es-CO"/>
        </w:rPr>
        <w:t>s</w:t>
      </w:r>
      <w:r w:rsidR="00AF0D8E">
        <w:rPr>
          <w:rFonts w:ascii="Arial" w:hAnsi="Arial"/>
          <w:lang w:val="es-CO"/>
        </w:rPr>
        <w:t xml:space="preserve"> </w:t>
      </w:r>
      <w:r w:rsidR="00086946">
        <w:rPr>
          <w:rFonts w:ascii="Arial" w:hAnsi="Arial"/>
          <w:lang w:val="es-CO"/>
        </w:rPr>
        <w:t>actuaciones</w:t>
      </w:r>
      <w:r>
        <w:rPr>
          <w:rFonts w:ascii="Arial" w:hAnsi="Arial"/>
          <w:lang w:val="es-CO"/>
        </w:rPr>
        <w:t>.</w:t>
      </w:r>
      <w:r w:rsidR="00E55885">
        <w:rPr>
          <w:rFonts w:ascii="Arial" w:hAnsi="Arial"/>
          <w:lang w:val="es-CO"/>
        </w:rPr>
        <w:t xml:space="preserve"> </w:t>
      </w:r>
    </w:p>
    <w:p w:rsidR="00E459C5" w:rsidRDefault="00E459C5" w:rsidP="00A660C7">
      <w:pPr>
        <w:pStyle w:val="Textoindependiente"/>
        <w:spacing w:line="360" w:lineRule="auto"/>
        <w:rPr>
          <w:rFonts w:ascii="Arial" w:hAnsi="Arial"/>
          <w:lang w:val="es-CO"/>
        </w:rPr>
      </w:pPr>
    </w:p>
    <w:p w:rsidR="00ED601B" w:rsidRDefault="00ED601B" w:rsidP="00ED601B">
      <w:pPr>
        <w:pStyle w:val="Textoindependiente"/>
        <w:spacing w:line="360" w:lineRule="auto"/>
        <w:rPr>
          <w:rFonts w:ascii="Arial" w:hAnsi="Arial"/>
          <w:szCs w:val="24"/>
        </w:rPr>
      </w:pPr>
      <w:r>
        <w:rPr>
          <w:rFonts w:ascii="Arial" w:hAnsi="Arial"/>
          <w:szCs w:val="24"/>
        </w:rPr>
        <w:t>En consecuencia</w:t>
      </w:r>
      <w:r>
        <w:rPr>
          <w:rFonts w:ascii="Arial" w:hAnsi="Arial" w:cs="Arial"/>
          <w:szCs w:val="24"/>
          <w:lang w:val="es-CO" w:eastAsia="es-CO"/>
        </w:rPr>
        <w:t>, estima esta Magistratura que</w:t>
      </w:r>
      <w:r>
        <w:rPr>
          <w:rFonts w:ascii="Arial" w:hAnsi="Arial" w:cs="Arial"/>
          <w:szCs w:val="24"/>
        </w:rPr>
        <w:t xml:space="preserve"> </w:t>
      </w:r>
      <w:r>
        <w:rPr>
          <w:rFonts w:ascii="Arial" w:hAnsi="Arial"/>
        </w:rPr>
        <w:t>luce evidente la inexistencia de vulneración o amenaza del derecho al debido proceso, dado que el juzgado</w:t>
      </w:r>
      <w:r w:rsidR="00E55885">
        <w:rPr>
          <w:rFonts w:ascii="Arial" w:hAnsi="Arial"/>
        </w:rPr>
        <w:t xml:space="preserve">, se itera, sí está tramitando  </w:t>
      </w:r>
      <w:r>
        <w:rPr>
          <w:rFonts w:ascii="Arial" w:hAnsi="Arial"/>
        </w:rPr>
        <w:t xml:space="preserve"> </w:t>
      </w:r>
      <w:r w:rsidR="00E55885">
        <w:rPr>
          <w:rFonts w:ascii="Arial" w:hAnsi="Arial"/>
        </w:rPr>
        <w:t>la acción constitucional</w:t>
      </w:r>
      <w:r>
        <w:rPr>
          <w:rFonts w:ascii="Arial" w:hAnsi="Arial"/>
        </w:rPr>
        <w:t xml:space="preserve">, inclusive, previamente a la formulación del amparo, profirió </w:t>
      </w:r>
      <w:r w:rsidR="00E55885">
        <w:rPr>
          <w:rFonts w:ascii="Arial" w:hAnsi="Arial"/>
        </w:rPr>
        <w:t xml:space="preserve">el auto </w:t>
      </w:r>
      <w:proofErr w:type="spellStart"/>
      <w:r w:rsidR="00E55885">
        <w:rPr>
          <w:rFonts w:ascii="Arial" w:hAnsi="Arial"/>
        </w:rPr>
        <w:lastRenderedPageBreak/>
        <w:t>admisorio</w:t>
      </w:r>
      <w:proofErr w:type="spellEnd"/>
      <w:r w:rsidR="00077C68">
        <w:rPr>
          <w:rFonts w:ascii="Arial" w:hAnsi="Arial"/>
        </w:rPr>
        <w:t xml:space="preserve">; igual sucede en lo atinente al amparo de pobreza, puesto que el actor </w:t>
      </w:r>
      <w:r w:rsidR="00086946">
        <w:rPr>
          <w:rFonts w:ascii="Arial" w:hAnsi="Arial"/>
        </w:rPr>
        <w:t xml:space="preserve">ni siquiera lo </w:t>
      </w:r>
      <w:r w:rsidR="00077C68">
        <w:rPr>
          <w:rFonts w:ascii="Arial" w:hAnsi="Arial"/>
        </w:rPr>
        <w:t xml:space="preserve">ha solicitado al juzgado. </w:t>
      </w:r>
      <w:r w:rsidR="00086946">
        <w:rPr>
          <w:rFonts w:ascii="Arial" w:hAnsi="Arial"/>
        </w:rPr>
        <w:t>Así las cosas</w:t>
      </w:r>
      <w:r w:rsidR="00077C68">
        <w:rPr>
          <w:rFonts w:ascii="Arial" w:hAnsi="Arial"/>
        </w:rPr>
        <w:t xml:space="preserve">, se </w:t>
      </w:r>
      <w:r>
        <w:rPr>
          <w:rFonts w:ascii="Arial" w:hAnsi="Arial"/>
        </w:rPr>
        <w:t>negará</w:t>
      </w:r>
      <w:r w:rsidR="00077C68">
        <w:rPr>
          <w:rFonts w:ascii="Arial" w:hAnsi="Arial"/>
        </w:rPr>
        <w:t xml:space="preserve"> el amparo constitucional</w:t>
      </w:r>
      <w:r>
        <w:rPr>
          <w:rFonts w:ascii="Arial" w:hAnsi="Arial"/>
        </w:rPr>
        <w:t>.</w:t>
      </w:r>
      <w:r>
        <w:rPr>
          <w:rFonts w:ascii="Arial" w:hAnsi="Arial"/>
          <w:szCs w:val="24"/>
        </w:rPr>
        <w:t xml:space="preserve"> </w:t>
      </w:r>
    </w:p>
    <w:p w:rsidR="00ED601B" w:rsidRDefault="00ED601B" w:rsidP="00A660C7">
      <w:pPr>
        <w:pStyle w:val="Textoindependiente"/>
        <w:spacing w:line="360" w:lineRule="auto"/>
        <w:rPr>
          <w:rFonts w:ascii="Arial" w:hAnsi="Arial"/>
          <w:szCs w:val="24"/>
          <w:lang w:val="es-CO"/>
        </w:rPr>
      </w:pPr>
    </w:p>
    <w:p w:rsidR="00286272" w:rsidRDefault="000E73B3" w:rsidP="000E73B3">
      <w:pPr>
        <w:pStyle w:val="Textopredeterminado"/>
        <w:numPr>
          <w:ilvl w:val="1"/>
          <w:numId w:val="18"/>
        </w:numPr>
        <w:spacing w:line="360" w:lineRule="auto"/>
        <w:jc w:val="both"/>
        <w:rPr>
          <w:rFonts w:ascii="Arial" w:hAnsi="Arial"/>
          <w:szCs w:val="24"/>
          <w:lang w:val="es-ES_tradnl"/>
        </w:rPr>
      </w:pPr>
      <w:r>
        <w:rPr>
          <w:rFonts w:ascii="Arial" w:hAnsi="Arial"/>
          <w:szCs w:val="24"/>
          <w:lang w:val="es-ES_tradnl"/>
        </w:rPr>
        <w:t>El defecto sustantivo</w:t>
      </w:r>
    </w:p>
    <w:p w:rsidR="000E73B3" w:rsidRPr="002128C2" w:rsidRDefault="000E73B3" w:rsidP="000E73B3">
      <w:pPr>
        <w:pStyle w:val="Textopredeterminado"/>
        <w:spacing w:line="360" w:lineRule="auto"/>
        <w:jc w:val="both"/>
        <w:rPr>
          <w:rFonts w:ascii="Arial" w:hAnsi="Arial"/>
          <w:szCs w:val="24"/>
          <w:lang w:val="es-ES_tradnl"/>
        </w:rPr>
      </w:pPr>
    </w:p>
    <w:p w:rsidR="00EE28E7" w:rsidRDefault="00A660C7" w:rsidP="00EE28E7">
      <w:pPr>
        <w:widowControl/>
        <w:spacing w:line="360" w:lineRule="auto"/>
        <w:jc w:val="both"/>
        <w:rPr>
          <w:rFonts w:ascii="Arial" w:hAnsi="Arial"/>
        </w:rPr>
      </w:pPr>
      <w:r>
        <w:rPr>
          <w:rFonts w:ascii="Arial" w:hAnsi="Arial"/>
        </w:rPr>
        <w:t xml:space="preserve">El accionante también se duele de que </w:t>
      </w:r>
      <w:r w:rsidR="00077C68">
        <w:rPr>
          <w:rFonts w:ascii="Arial" w:hAnsi="Arial"/>
        </w:rPr>
        <w:t xml:space="preserve">el juzgado no efectué directamente </w:t>
      </w:r>
      <w:r w:rsidR="00077C68">
        <w:rPr>
          <w:rFonts w:ascii="Arial" w:hAnsi="Arial" w:cs="Arial"/>
          <w:color w:val="000000"/>
          <w:szCs w:val="23"/>
        </w:rPr>
        <w:t xml:space="preserve">la notificación del accionado </w:t>
      </w:r>
      <w:r w:rsidR="002A0EAB">
        <w:rPr>
          <w:rFonts w:ascii="Arial" w:hAnsi="Arial" w:cs="Arial"/>
          <w:color w:val="000000"/>
          <w:szCs w:val="23"/>
        </w:rPr>
        <w:t xml:space="preserve">como </w:t>
      </w:r>
      <w:r w:rsidR="00077C68">
        <w:rPr>
          <w:rFonts w:ascii="Arial" w:hAnsi="Arial" w:cs="Arial"/>
          <w:color w:val="000000"/>
          <w:szCs w:val="23"/>
        </w:rPr>
        <w:t>la publicación del aviso a la comunidad</w:t>
      </w:r>
      <w:r w:rsidR="00EE28E7">
        <w:rPr>
          <w:rFonts w:ascii="Arial" w:hAnsi="Arial" w:cs="Arial"/>
          <w:color w:val="000000"/>
          <w:szCs w:val="23"/>
        </w:rPr>
        <w:t xml:space="preserve"> (Hecho 4º del petitorio visible a folio 1, ib.)</w:t>
      </w:r>
      <w:r w:rsidR="00077C68" w:rsidRPr="00F909AA">
        <w:rPr>
          <w:rFonts w:ascii="Arial" w:hAnsi="Arial" w:cs="Arial"/>
          <w:color w:val="000000"/>
          <w:szCs w:val="23"/>
        </w:rPr>
        <w:t>.</w:t>
      </w:r>
      <w:r w:rsidR="00EE28E7">
        <w:rPr>
          <w:rFonts w:ascii="Arial" w:hAnsi="Arial" w:cs="Arial"/>
          <w:color w:val="000000"/>
          <w:szCs w:val="23"/>
        </w:rPr>
        <w:t xml:space="preserve"> En lo que refiere a este </w:t>
      </w:r>
      <w:r w:rsidR="00086946">
        <w:rPr>
          <w:rFonts w:ascii="Arial" w:hAnsi="Arial" w:cs="Arial"/>
          <w:color w:val="000000"/>
          <w:szCs w:val="23"/>
        </w:rPr>
        <w:t>punto</w:t>
      </w:r>
      <w:r w:rsidR="00EE28E7">
        <w:rPr>
          <w:rFonts w:ascii="Arial" w:hAnsi="Arial" w:cs="Arial"/>
          <w:color w:val="000000"/>
          <w:szCs w:val="23"/>
        </w:rPr>
        <w:t xml:space="preserve">, conforme </w:t>
      </w:r>
      <w:r w:rsidR="000E73B3">
        <w:rPr>
          <w:rFonts w:ascii="Arial" w:hAnsi="Arial"/>
        </w:rPr>
        <w:t xml:space="preserve">la metodología enseñada por la doctrina constitucional, </w:t>
      </w:r>
      <w:r w:rsidR="00EE28E7">
        <w:rPr>
          <w:rFonts w:ascii="Arial" w:hAnsi="Arial"/>
        </w:rPr>
        <w:t xml:space="preserve">se advierten debidamente cumplidos </w:t>
      </w:r>
      <w:r w:rsidR="000E73B3">
        <w:rPr>
          <w:rFonts w:ascii="Arial" w:hAnsi="Arial"/>
        </w:rPr>
        <w:t xml:space="preserve">los presupuestos generales de </w:t>
      </w:r>
      <w:proofErr w:type="spellStart"/>
      <w:r w:rsidR="000E73B3">
        <w:rPr>
          <w:rFonts w:ascii="Arial" w:hAnsi="Arial"/>
        </w:rPr>
        <w:t>procedibilidad</w:t>
      </w:r>
      <w:proofErr w:type="spellEnd"/>
      <w:r w:rsidR="000E73B3">
        <w:rPr>
          <w:rFonts w:ascii="Arial" w:hAnsi="Arial"/>
        </w:rPr>
        <w:t xml:space="preserve">. </w:t>
      </w:r>
    </w:p>
    <w:p w:rsidR="00EE28E7" w:rsidRDefault="00EE28E7" w:rsidP="00EE28E7">
      <w:pPr>
        <w:widowControl/>
        <w:spacing w:line="360" w:lineRule="auto"/>
        <w:jc w:val="both"/>
        <w:rPr>
          <w:rFonts w:ascii="Arial" w:hAnsi="Arial"/>
        </w:rPr>
      </w:pPr>
    </w:p>
    <w:p w:rsidR="000E73B3" w:rsidRDefault="00EE28E7" w:rsidP="00EE28E7">
      <w:pPr>
        <w:widowControl/>
        <w:spacing w:line="360" w:lineRule="auto"/>
        <w:jc w:val="both"/>
        <w:rPr>
          <w:rFonts w:ascii="Arial" w:hAnsi="Arial"/>
        </w:rPr>
      </w:pPr>
      <w:r>
        <w:rPr>
          <w:rFonts w:ascii="Arial" w:hAnsi="Arial"/>
        </w:rPr>
        <w:t>En efecto, e</w:t>
      </w:r>
      <w:r w:rsidR="000E73B3" w:rsidRPr="00E11045">
        <w:rPr>
          <w:rFonts w:ascii="Arial" w:hAnsi="Arial"/>
        </w:rPr>
        <w:t>l asunto es de relevancia constitucional</w:t>
      </w:r>
      <w:r w:rsidR="000E73B3">
        <w:rPr>
          <w:rFonts w:ascii="Arial" w:hAnsi="Arial"/>
        </w:rPr>
        <w:t>; se agotaron</w:t>
      </w:r>
      <w:r w:rsidR="000E73B3">
        <w:rPr>
          <w:rFonts w:ascii="Arial" w:hAnsi="Arial"/>
          <w:lang w:val="es-CO"/>
        </w:rPr>
        <w:t xml:space="preserve"> los medios ordinarios </w:t>
      </w:r>
      <w:r w:rsidR="000E73B3">
        <w:rPr>
          <w:rFonts w:ascii="Arial" w:hAnsi="Arial"/>
        </w:rPr>
        <w:t xml:space="preserve">ante la </w:t>
      </w:r>
      <w:r w:rsidR="000E73B3" w:rsidRPr="0041166B">
        <w:rPr>
          <w:rFonts w:ascii="Arial" w:hAnsi="Arial"/>
          <w:i/>
        </w:rPr>
        <w:t>a quo</w:t>
      </w:r>
      <w:r w:rsidR="000E73B3">
        <w:rPr>
          <w:rFonts w:ascii="Arial" w:hAnsi="Arial"/>
        </w:rPr>
        <w:t xml:space="preserve"> (Subsidiariedad)</w:t>
      </w:r>
      <w:r>
        <w:rPr>
          <w:rFonts w:ascii="Arial" w:hAnsi="Arial"/>
        </w:rPr>
        <w:t xml:space="preserve"> (Reposición artículo 36, Ley 472)</w:t>
      </w:r>
      <w:r w:rsidR="000E73B3">
        <w:rPr>
          <w:rFonts w:ascii="Arial" w:hAnsi="Arial"/>
        </w:rPr>
        <w:t>;</w:t>
      </w:r>
      <w:r w:rsidR="000E73B3" w:rsidRPr="00E11045">
        <w:rPr>
          <w:rFonts w:ascii="Arial" w:hAnsi="Arial"/>
        </w:rPr>
        <w:t xml:space="preserve"> </w:t>
      </w:r>
      <w:r w:rsidR="000E73B3">
        <w:rPr>
          <w:rFonts w:ascii="Arial" w:hAnsi="Arial"/>
        </w:rPr>
        <w:t xml:space="preserve">la actuación reprochada no es de </w:t>
      </w:r>
      <w:r w:rsidR="000E73B3" w:rsidRPr="00E11045">
        <w:rPr>
          <w:rFonts w:ascii="Arial" w:hAnsi="Arial"/>
        </w:rPr>
        <w:t>tutela</w:t>
      </w:r>
      <w:r w:rsidR="000E73B3">
        <w:rPr>
          <w:rFonts w:ascii="Arial" w:hAnsi="Arial"/>
        </w:rPr>
        <w:t>;</w:t>
      </w:r>
      <w:r w:rsidR="000E73B3" w:rsidRPr="00E11045">
        <w:rPr>
          <w:rFonts w:ascii="Arial" w:hAnsi="Arial"/>
        </w:rPr>
        <w:t xml:space="preserve"> hay inmediatez porque </w:t>
      </w:r>
      <w:r>
        <w:rPr>
          <w:rFonts w:ascii="Arial" w:hAnsi="Arial"/>
        </w:rPr>
        <w:t>la decisión que la reposición data</w:t>
      </w:r>
      <w:r w:rsidR="000E73B3">
        <w:rPr>
          <w:rFonts w:ascii="Arial" w:hAnsi="Arial"/>
        </w:rPr>
        <w:t xml:space="preserve"> del día </w:t>
      </w:r>
      <w:r>
        <w:rPr>
          <w:rFonts w:ascii="Arial" w:hAnsi="Arial"/>
        </w:rPr>
        <w:t xml:space="preserve">25-07-2016 </w:t>
      </w:r>
      <w:r w:rsidR="000E73B3">
        <w:rPr>
          <w:rFonts w:ascii="Arial" w:hAnsi="Arial"/>
        </w:rPr>
        <w:t xml:space="preserve">(Folios </w:t>
      </w:r>
      <w:r>
        <w:rPr>
          <w:rFonts w:ascii="Arial" w:hAnsi="Arial"/>
        </w:rPr>
        <w:t>21 vto. y 22</w:t>
      </w:r>
      <w:r w:rsidR="000E73B3">
        <w:rPr>
          <w:rFonts w:ascii="Arial" w:hAnsi="Arial"/>
        </w:rPr>
        <w:t xml:space="preserve">, ib.) y </w:t>
      </w:r>
      <w:r>
        <w:rPr>
          <w:rFonts w:ascii="Arial" w:hAnsi="Arial"/>
        </w:rPr>
        <w:t xml:space="preserve">la acción fue </w:t>
      </w:r>
      <w:r w:rsidR="000E73B3">
        <w:rPr>
          <w:rFonts w:ascii="Arial" w:hAnsi="Arial"/>
        </w:rPr>
        <w:t xml:space="preserve">instaurada el </w:t>
      </w:r>
      <w:r>
        <w:rPr>
          <w:rFonts w:ascii="Arial" w:hAnsi="Arial"/>
        </w:rPr>
        <w:t>día 30-09-</w:t>
      </w:r>
      <w:r w:rsidR="000E73B3">
        <w:rPr>
          <w:rFonts w:ascii="Arial" w:hAnsi="Arial"/>
        </w:rPr>
        <w:t xml:space="preserve">2016 (Folio </w:t>
      </w:r>
      <w:r>
        <w:rPr>
          <w:rFonts w:ascii="Arial" w:hAnsi="Arial"/>
        </w:rPr>
        <w:t>2</w:t>
      </w:r>
      <w:r w:rsidR="000E73B3">
        <w:rPr>
          <w:rFonts w:ascii="Arial" w:hAnsi="Arial"/>
        </w:rPr>
        <w:t xml:space="preserve">, ib.); </w:t>
      </w:r>
      <w:r>
        <w:rPr>
          <w:rFonts w:ascii="Arial" w:hAnsi="Arial"/>
        </w:rPr>
        <w:t xml:space="preserve">y, </w:t>
      </w:r>
      <w:r w:rsidR="000E73B3" w:rsidRPr="00E11045">
        <w:rPr>
          <w:rFonts w:ascii="Arial" w:hAnsi="Arial"/>
        </w:rPr>
        <w:t>la irregularidad</w:t>
      </w:r>
      <w:r w:rsidR="000E73B3">
        <w:rPr>
          <w:rFonts w:ascii="Arial" w:hAnsi="Arial"/>
        </w:rPr>
        <w:t xml:space="preserve"> realzada por la parte, resulta ser trascendente para el desarrollo de la </w:t>
      </w:r>
      <w:proofErr w:type="spellStart"/>
      <w:r w:rsidR="000E73B3">
        <w:rPr>
          <w:rFonts w:ascii="Arial" w:hAnsi="Arial"/>
        </w:rPr>
        <w:t>litis</w:t>
      </w:r>
      <w:proofErr w:type="spellEnd"/>
      <w:r w:rsidR="000E73B3">
        <w:rPr>
          <w:rFonts w:ascii="Arial" w:hAnsi="Arial"/>
        </w:rPr>
        <w:t>.</w:t>
      </w:r>
    </w:p>
    <w:p w:rsidR="000E73B3" w:rsidRDefault="000E73B3" w:rsidP="000E73B3">
      <w:pPr>
        <w:pStyle w:val="Textoindependiente"/>
        <w:spacing w:line="360" w:lineRule="auto"/>
        <w:rPr>
          <w:rFonts w:ascii="Arial" w:hAnsi="Arial"/>
          <w:szCs w:val="24"/>
        </w:rPr>
      </w:pPr>
    </w:p>
    <w:p w:rsidR="000E73B3" w:rsidRDefault="000E73B3" w:rsidP="000E73B3">
      <w:pPr>
        <w:widowControl/>
        <w:spacing w:line="360" w:lineRule="auto"/>
        <w:jc w:val="both"/>
        <w:rPr>
          <w:rFonts w:ascii="Arial" w:hAnsi="Arial" w:cs="Arial"/>
          <w:color w:val="000000"/>
          <w:szCs w:val="23"/>
        </w:rPr>
      </w:pPr>
      <w:r>
        <w:rPr>
          <w:rFonts w:ascii="Arial" w:hAnsi="Arial" w:cs="Arial"/>
        </w:rPr>
        <w:t xml:space="preserve">Concluido </w:t>
      </w:r>
      <w:r w:rsidRPr="00F909AA">
        <w:rPr>
          <w:rFonts w:ascii="Arial" w:hAnsi="Arial" w:cs="Arial"/>
        </w:rPr>
        <w:t>el estudio de los requisitos generales, incumbe proseguir con la revisión de las causales especiales</w:t>
      </w:r>
      <w:r>
        <w:rPr>
          <w:rFonts w:ascii="Arial" w:hAnsi="Arial" w:cs="Arial"/>
        </w:rPr>
        <w:t xml:space="preserve"> y en </w:t>
      </w:r>
      <w:r w:rsidRPr="00F909AA">
        <w:rPr>
          <w:rFonts w:ascii="Arial" w:hAnsi="Arial" w:cs="Arial"/>
        </w:rPr>
        <w:t xml:space="preserve">el caso </w:t>
      </w:r>
      <w:r>
        <w:rPr>
          <w:rFonts w:ascii="Arial" w:hAnsi="Arial" w:cs="Arial"/>
        </w:rPr>
        <w:t xml:space="preserve">concreto </w:t>
      </w:r>
      <w:r w:rsidR="00EE28E7">
        <w:rPr>
          <w:rFonts w:ascii="Arial" w:hAnsi="Arial" w:cs="Arial"/>
        </w:rPr>
        <w:t xml:space="preserve">según lo </w:t>
      </w:r>
      <w:r w:rsidR="00EE28E7">
        <w:rPr>
          <w:rFonts w:ascii="Arial" w:hAnsi="Arial" w:cs="Arial"/>
          <w:lang w:val="es-CO"/>
        </w:rPr>
        <w:t xml:space="preserve">expuesto por el accionante en conjunto con el estado actual de la acción popular </w:t>
      </w:r>
      <w:r w:rsidRPr="00F909AA">
        <w:rPr>
          <w:rFonts w:ascii="Arial" w:hAnsi="Arial" w:cs="Arial"/>
        </w:rPr>
        <w:t>se entiende</w:t>
      </w:r>
      <w:r w:rsidR="00EE28E7">
        <w:rPr>
          <w:rFonts w:ascii="Arial" w:hAnsi="Arial" w:cs="Arial"/>
        </w:rPr>
        <w:t xml:space="preserve"> que se </w:t>
      </w:r>
      <w:r>
        <w:rPr>
          <w:rFonts w:ascii="Arial" w:hAnsi="Arial" w:cs="Arial"/>
        </w:rPr>
        <w:t>alude a</w:t>
      </w:r>
      <w:r w:rsidRPr="00F909AA">
        <w:rPr>
          <w:rFonts w:ascii="Arial" w:hAnsi="Arial" w:cs="Arial"/>
        </w:rPr>
        <w:t xml:space="preserve">l defecto sustantivo, pues </w:t>
      </w:r>
      <w:r>
        <w:rPr>
          <w:rFonts w:ascii="Arial" w:hAnsi="Arial" w:cs="Arial"/>
        </w:rPr>
        <w:t xml:space="preserve">aunque pretermitió señalarlo así, lo cierto es que </w:t>
      </w:r>
      <w:r w:rsidR="00EE28E7">
        <w:rPr>
          <w:rFonts w:ascii="Arial" w:hAnsi="Arial" w:cs="Arial"/>
        </w:rPr>
        <w:t xml:space="preserve">pide que no se le imponga la obligación de notificar y </w:t>
      </w:r>
      <w:r w:rsidR="002A0EAB">
        <w:rPr>
          <w:rFonts w:ascii="Arial" w:hAnsi="Arial" w:cs="Arial"/>
        </w:rPr>
        <w:t xml:space="preserve">de </w:t>
      </w:r>
      <w:r w:rsidR="00EE28E7">
        <w:rPr>
          <w:rFonts w:ascii="Arial" w:hAnsi="Arial" w:cs="Arial"/>
        </w:rPr>
        <w:t>avisar a la comunidad en la acción popular 2016-00119-00, y en su lugar, se disponga que el juzgado accionado realice dichas diligencias en aplicación del artículo 5º de la Ley 472</w:t>
      </w:r>
      <w:r w:rsidRPr="00F909AA">
        <w:rPr>
          <w:rFonts w:ascii="Arial" w:hAnsi="Arial" w:cs="Arial"/>
          <w:color w:val="000000"/>
          <w:szCs w:val="23"/>
        </w:rPr>
        <w:t>.</w:t>
      </w:r>
    </w:p>
    <w:p w:rsidR="000E73B3" w:rsidRPr="00F909AA" w:rsidRDefault="000E73B3" w:rsidP="000E73B3">
      <w:pPr>
        <w:widowControl/>
        <w:spacing w:line="360" w:lineRule="auto"/>
        <w:jc w:val="both"/>
        <w:rPr>
          <w:rFonts w:ascii="Arial" w:hAnsi="Arial" w:cs="Arial"/>
        </w:rPr>
      </w:pPr>
    </w:p>
    <w:p w:rsidR="000E73B3" w:rsidRDefault="000E73B3" w:rsidP="000E73B3">
      <w:pPr>
        <w:widowControl/>
        <w:spacing w:line="360" w:lineRule="auto"/>
        <w:jc w:val="both"/>
        <w:rPr>
          <w:rFonts w:ascii="Arial" w:hAnsi="Arial" w:cs="Arial"/>
          <w:color w:val="000000"/>
          <w:szCs w:val="23"/>
        </w:rPr>
      </w:pPr>
      <w:r>
        <w:rPr>
          <w:rFonts w:ascii="Arial" w:hAnsi="Arial" w:cs="Arial"/>
          <w:color w:val="000000"/>
          <w:szCs w:val="23"/>
        </w:rPr>
        <w:t xml:space="preserve">Para la Sala la situación se contrae al análisis </w:t>
      </w:r>
      <w:r w:rsidR="00EE28E7">
        <w:rPr>
          <w:rFonts w:ascii="Arial" w:hAnsi="Arial" w:cs="Arial"/>
          <w:color w:val="000000"/>
          <w:szCs w:val="23"/>
        </w:rPr>
        <w:t xml:space="preserve">del inciso 3º del referido </w:t>
      </w:r>
      <w:r>
        <w:rPr>
          <w:rFonts w:ascii="Arial" w:hAnsi="Arial" w:cs="Arial"/>
          <w:color w:val="000000"/>
          <w:szCs w:val="23"/>
        </w:rPr>
        <w:t xml:space="preserve">artículo, que prescribe como </w:t>
      </w:r>
      <w:r w:rsidR="00EE28E7">
        <w:rPr>
          <w:rFonts w:ascii="Arial" w:hAnsi="Arial" w:cs="Arial"/>
          <w:color w:val="000000"/>
          <w:szCs w:val="23"/>
        </w:rPr>
        <w:t>obligación del juez, impulsar</w:t>
      </w:r>
      <w:r>
        <w:rPr>
          <w:rFonts w:ascii="Arial" w:hAnsi="Arial" w:cs="Arial"/>
          <w:color w:val="000000"/>
          <w:szCs w:val="23"/>
        </w:rPr>
        <w:t xml:space="preserve"> oficiosamente</w:t>
      </w:r>
      <w:r w:rsidR="00EE28E7">
        <w:rPr>
          <w:rFonts w:ascii="Arial" w:hAnsi="Arial" w:cs="Arial"/>
          <w:color w:val="000000"/>
          <w:szCs w:val="23"/>
        </w:rPr>
        <w:t xml:space="preserve"> la acción popular</w:t>
      </w:r>
      <w:r w:rsidR="002A0EAB">
        <w:rPr>
          <w:rFonts w:ascii="Arial" w:hAnsi="Arial" w:cs="Arial"/>
          <w:color w:val="000000"/>
          <w:szCs w:val="23"/>
        </w:rPr>
        <w:t>,</w:t>
      </w:r>
      <w:r w:rsidR="0029114D">
        <w:rPr>
          <w:rFonts w:ascii="Arial" w:hAnsi="Arial" w:cs="Arial"/>
          <w:color w:val="000000"/>
          <w:szCs w:val="23"/>
        </w:rPr>
        <w:t xml:space="preserve"> en armonía con el </w:t>
      </w:r>
      <w:r w:rsidRPr="00F909AA">
        <w:rPr>
          <w:rFonts w:ascii="Arial" w:hAnsi="Arial" w:cs="Arial"/>
          <w:color w:val="000000"/>
          <w:szCs w:val="23"/>
        </w:rPr>
        <w:t>artículo 21</w:t>
      </w:r>
      <w:r w:rsidR="00EE28E7">
        <w:rPr>
          <w:rFonts w:ascii="Arial" w:hAnsi="Arial" w:cs="Arial"/>
          <w:color w:val="000000"/>
          <w:szCs w:val="23"/>
        </w:rPr>
        <w:t xml:space="preserve"> ídem</w:t>
      </w:r>
      <w:r w:rsidRPr="00F909AA">
        <w:rPr>
          <w:rFonts w:ascii="Arial" w:hAnsi="Arial" w:cs="Arial"/>
          <w:color w:val="000000"/>
          <w:szCs w:val="23"/>
        </w:rPr>
        <w:t>,</w:t>
      </w:r>
      <w:r>
        <w:rPr>
          <w:rFonts w:ascii="Arial" w:hAnsi="Arial" w:cs="Arial"/>
          <w:color w:val="000000"/>
          <w:szCs w:val="23"/>
        </w:rPr>
        <w:t xml:space="preserve"> </w:t>
      </w:r>
      <w:r w:rsidR="0029114D">
        <w:rPr>
          <w:rFonts w:ascii="Arial" w:hAnsi="Arial" w:cs="Arial"/>
          <w:color w:val="000000"/>
          <w:szCs w:val="23"/>
        </w:rPr>
        <w:t xml:space="preserve">que </w:t>
      </w:r>
      <w:r w:rsidRPr="00F909AA">
        <w:rPr>
          <w:rFonts w:ascii="Arial" w:hAnsi="Arial" w:cs="Arial"/>
          <w:color w:val="000000"/>
          <w:szCs w:val="23"/>
        </w:rPr>
        <w:t>consagra l</w:t>
      </w:r>
      <w:r>
        <w:rPr>
          <w:rFonts w:ascii="Arial" w:hAnsi="Arial" w:cs="Arial"/>
          <w:color w:val="000000"/>
          <w:szCs w:val="23"/>
        </w:rPr>
        <w:t>a</w:t>
      </w:r>
      <w:r w:rsidRPr="00F909AA">
        <w:rPr>
          <w:rFonts w:ascii="Arial" w:hAnsi="Arial" w:cs="Arial"/>
          <w:color w:val="000000"/>
          <w:szCs w:val="23"/>
        </w:rPr>
        <w:t xml:space="preserve">s reglas que deben cumplirse para la notificación del auto </w:t>
      </w:r>
      <w:proofErr w:type="spellStart"/>
      <w:r w:rsidRPr="00F909AA">
        <w:rPr>
          <w:rFonts w:ascii="Arial" w:hAnsi="Arial" w:cs="Arial"/>
          <w:color w:val="000000"/>
          <w:szCs w:val="23"/>
        </w:rPr>
        <w:t>admisorio</w:t>
      </w:r>
      <w:proofErr w:type="spellEnd"/>
      <w:r>
        <w:rPr>
          <w:rFonts w:ascii="Arial" w:hAnsi="Arial" w:cs="Arial"/>
          <w:color w:val="000000"/>
          <w:szCs w:val="23"/>
        </w:rPr>
        <w:t>,</w:t>
      </w:r>
      <w:r w:rsidRPr="00F909AA">
        <w:rPr>
          <w:rFonts w:ascii="Arial" w:hAnsi="Arial" w:cs="Arial"/>
          <w:color w:val="000000"/>
          <w:szCs w:val="23"/>
        </w:rPr>
        <w:t xml:space="preserve"> así: (i) Que se practique notificación personal al accionado de acuerdo con el CPC, si se trata de un particular; (ii) </w:t>
      </w:r>
      <w:r>
        <w:rPr>
          <w:rFonts w:ascii="Arial" w:hAnsi="Arial" w:cs="Arial"/>
          <w:color w:val="000000"/>
          <w:szCs w:val="23"/>
        </w:rPr>
        <w:t>Que c</w:t>
      </w:r>
      <w:r w:rsidRPr="00F909AA">
        <w:rPr>
          <w:rFonts w:ascii="Arial" w:hAnsi="Arial" w:cs="Arial"/>
          <w:color w:val="000000"/>
          <w:szCs w:val="23"/>
        </w:rPr>
        <w:t xml:space="preserve">uando se trata de entidades públicas, la notificación habrá de practicarse conforme al CPACA (Antes CCA); (iii) Que podrá informarse a los miembros de la comunidad a través de medio masivo de comunicación o cualquier medio eficaz, lo cual podrá efectuarse simultáneamente a través de varios medios de comunicación; y (iv) </w:t>
      </w:r>
      <w:r>
        <w:rPr>
          <w:rFonts w:ascii="Arial" w:hAnsi="Arial" w:cs="Arial"/>
          <w:color w:val="000000"/>
          <w:szCs w:val="23"/>
        </w:rPr>
        <w:t>Que si</w:t>
      </w:r>
      <w:r w:rsidRPr="00F909AA">
        <w:rPr>
          <w:rFonts w:ascii="Arial" w:hAnsi="Arial" w:cs="Arial"/>
          <w:color w:val="000000"/>
          <w:szCs w:val="23"/>
        </w:rPr>
        <w:t xml:space="preserve"> la acción no hubiere sido formulada por el Ministerio Público, se debe comunicar el inici</w:t>
      </w:r>
      <w:r>
        <w:rPr>
          <w:rFonts w:ascii="Arial" w:hAnsi="Arial" w:cs="Arial"/>
          <w:color w:val="000000"/>
          <w:szCs w:val="23"/>
        </w:rPr>
        <w:t>o</w:t>
      </w:r>
      <w:r w:rsidRPr="00F909AA">
        <w:rPr>
          <w:rFonts w:ascii="Arial" w:hAnsi="Arial" w:cs="Arial"/>
          <w:color w:val="000000"/>
          <w:szCs w:val="23"/>
        </w:rPr>
        <w:t xml:space="preserve"> de la acción al igual que a la entidad administrativa encargada de proteger el derecho o interés colectivo que se estima vulnerado.</w:t>
      </w:r>
      <w:r w:rsidRPr="009F2EDC">
        <w:rPr>
          <w:rFonts w:ascii="Arial" w:hAnsi="Arial" w:cs="Arial"/>
          <w:color w:val="000000"/>
          <w:szCs w:val="23"/>
        </w:rPr>
        <w:t xml:space="preserve"> </w:t>
      </w:r>
    </w:p>
    <w:p w:rsidR="000E73B3" w:rsidRDefault="000E73B3" w:rsidP="000E73B3">
      <w:pPr>
        <w:widowControl/>
        <w:spacing w:line="360" w:lineRule="auto"/>
        <w:jc w:val="both"/>
        <w:rPr>
          <w:rFonts w:ascii="Arial" w:hAnsi="Arial" w:cs="Arial"/>
          <w:color w:val="000000"/>
          <w:szCs w:val="23"/>
        </w:rPr>
      </w:pPr>
    </w:p>
    <w:p w:rsidR="000E73B3" w:rsidRDefault="000E73B3" w:rsidP="000E73B3">
      <w:pPr>
        <w:widowControl/>
        <w:spacing w:line="360" w:lineRule="auto"/>
        <w:jc w:val="both"/>
        <w:rPr>
          <w:rFonts w:ascii="Arial" w:hAnsi="Arial" w:cs="Arial"/>
          <w:color w:val="000000"/>
          <w:szCs w:val="23"/>
        </w:rPr>
      </w:pPr>
      <w:r>
        <w:rPr>
          <w:rFonts w:ascii="Arial" w:hAnsi="Arial" w:cs="Arial"/>
          <w:color w:val="000000"/>
          <w:szCs w:val="23"/>
        </w:rPr>
        <w:lastRenderedPageBreak/>
        <w:t xml:space="preserve">A partir de lo dicho, podría llegarse a la conclusión de que prima el impulso oficioso del juez director del proceso, pero lo cierto es que, la norma tampoco </w:t>
      </w:r>
      <w:r w:rsidR="0029114D">
        <w:rPr>
          <w:rFonts w:ascii="Arial" w:hAnsi="Arial" w:cs="Arial"/>
          <w:color w:val="000000"/>
          <w:szCs w:val="23"/>
        </w:rPr>
        <w:t xml:space="preserve">establece </w:t>
      </w:r>
      <w:r w:rsidR="002A0EAB">
        <w:rPr>
          <w:rFonts w:ascii="Arial" w:hAnsi="Arial" w:cs="Arial"/>
          <w:color w:val="000000"/>
          <w:szCs w:val="23"/>
        </w:rPr>
        <w:t>la</w:t>
      </w:r>
      <w:r w:rsidR="0029114D">
        <w:rPr>
          <w:rFonts w:ascii="Arial" w:hAnsi="Arial" w:cs="Arial"/>
          <w:color w:val="000000"/>
          <w:szCs w:val="23"/>
        </w:rPr>
        <w:t xml:space="preserve"> </w:t>
      </w:r>
      <w:r>
        <w:rPr>
          <w:rFonts w:ascii="Arial" w:hAnsi="Arial" w:cs="Arial"/>
          <w:color w:val="000000"/>
          <w:szCs w:val="23"/>
        </w:rPr>
        <w:t xml:space="preserve">exoneración de </w:t>
      </w:r>
      <w:r w:rsidR="002A0EAB">
        <w:rPr>
          <w:rFonts w:ascii="Arial" w:hAnsi="Arial" w:cs="Arial"/>
          <w:color w:val="000000"/>
          <w:szCs w:val="23"/>
        </w:rPr>
        <w:t xml:space="preserve">las </w:t>
      </w:r>
      <w:r>
        <w:rPr>
          <w:rFonts w:ascii="Arial" w:hAnsi="Arial" w:cs="Arial"/>
          <w:color w:val="000000"/>
          <w:szCs w:val="23"/>
        </w:rPr>
        <w:t>cargas (Notificación del accionado a expensas del accionante o la publicación del aviso a la comunidad) que pueda</w:t>
      </w:r>
      <w:r w:rsidR="002A0EAB">
        <w:rPr>
          <w:rFonts w:ascii="Arial" w:hAnsi="Arial" w:cs="Arial"/>
          <w:color w:val="000000"/>
          <w:szCs w:val="23"/>
        </w:rPr>
        <w:t>n</w:t>
      </w:r>
      <w:r>
        <w:rPr>
          <w:rFonts w:ascii="Arial" w:hAnsi="Arial" w:cs="Arial"/>
          <w:color w:val="000000"/>
          <w:szCs w:val="23"/>
        </w:rPr>
        <w:t xml:space="preserve"> imponer</w:t>
      </w:r>
      <w:r w:rsidR="0029114D">
        <w:rPr>
          <w:rFonts w:ascii="Arial" w:hAnsi="Arial" w:cs="Arial"/>
          <w:color w:val="000000"/>
          <w:szCs w:val="23"/>
        </w:rPr>
        <w:t>se</w:t>
      </w:r>
      <w:r>
        <w:rPr>
          <w:rFonts w:ascii="Arial" w:hAnsi="Arial" w:cs="Arial"/>
          <w:color w:val="000000"/>
          <w:szCs w:val="23"/>
        </w:rPr>
        <w:t xml:space="preserve"> al actor</w:t>
      </w:r>
      <w:r w:rsidR="0029114D">
        <w:rPr>
          <w:rFonts w:ascii="Arial" w:hAnsi="Arial" w:cs="Arial"/>
          <w:color w:val="000000"/>
          <w:szCs w:val="23"/>
        </w:rPr>
        <w:t xml:space="preserve"> por</w:t>
      </w:r>
      <w:r>
        <w:rPr>
          <w:rFonts w:ascii="Arial" w:hAnsi="Arial" w:cs="Arial"/>
          <w:color w:val="000000"/>
          <w:szCs w:val="23"/>
        </w:rPr>
        <w:t xml:space="preserve"> el juez de conocimiento. Cabe recordar en este punto, que la notificación es un acto que requiere del impulso de la parte interesada, conforme al artículo 291 del CPG, en concordancia con los Acuerdos 1772 de 2003, 2555 de 2003 del Consejo Superior de la Judicatura. </w:t>
      </w:r>
    </w:p>
    <w:p w:rsidR="000E73B3" w:rsidRDefault="000E73B3" w:rsidP="000E73B3">
      <w:pPr>
        <w:widowControl/>
        <w:spacing w:line="360" w:lineRule="auto"/>
        <w:jc w:val="both"/>
        <w:rPr>
          <w:rFonts w:ascii="Arial" w:hAnsi="Arial" w:cs="Arial"/>
          <w:color w:val="000000"/>
          <w:szCs w:val="23"/>
        </w:rPr>
      </w:pPr>
    </w:p>
    <w:p w:rsidR="000E73B3" w:rsidRDefault="000E73B3" w:rsidP="000E73B3">
      <w:pPr>
        <w:widowControl/>
        <w:spacing w:line="360" w:lineRule="auto"/>
        <w:jc w:val="both"/>
        <w:rPr>
          <w:rFonts w:ascii="Arial" w:hAnsi="Arial" w:cs="Arial"/>
          <w:color w:val="000000"/>
          <w:sz w:val="23"/>
          <w:szCs w:val="23"/>
        </w:rPr>
      </w:pPr>
      <w:r>
        <w:rPr>
          <w:rFonts w:ascii="Arial" w:hAnsi="Arial" w:cs="Arial"/>
          <w:color w:val="000000"/>
          <w:szCs w:val="23"/>
        </w:rPr>
        <w:t>Dentro de ese contexto, si bien se le ha impuesto al actor el deber de notificar al accionado</w:t>
      </w:r>
      <w:r w:rsidR="0029114D">
        <w:rPr>
          <w:rFonts w:ascii="Arial" w:hAnsi="Arial" w:cs="Arial"/>
          <w:color w:val="000000"/>
          <w:szCs w:val="23"/>
        </w:rPr>
        <w:t xml:space="preserve"> y de efectuar la publicación del aviso a la comunidad</w:t>
      </w:r>
      <w:r>
        <w:rPr>
          <w:rFonts w:ascii="Arial" w:hAnsi="Arial" w:cs="Arial"/>
          <w:color w:val="000000"/>
          <w:szCs w:val="23"/>
        </w:rPr>
        <w:t xml:space="preserve">, estima la Sala </w:t>
      </w:r>
      <w:r w:rsidR="0029114D">
        <w:rPr>
          <w:rFonts w:ascii="Arial" w:hAnsi="Arial" w:cs="Arial"/>
          <w:color w:val="000000"/>
          <w:szCs w:val="23"/>
        </w:rPr>
        <w:t xml:space="preserve">que ello </w:t>
      </w:r>
      <w:r>
        <w:rPr>
          <w:rFonts w:ascii="Arial" w:hAnsi="Arial" w:cs="Arial"/>
          <w:color w:val="000000"/>
          <w:szCs w:val="23"/>
        </w:rPr>
        <w:t>no puede considerarse como un actuar antojadizo o injustificado del juez</w:t>
      </w:r>
      <w:r w:rsidR="0029114D">
        <w:rPr>
          <w:rFonts w:ascii="Arial" w:hAnsi="Arial" w:cs="Arial"/>
          <w:color w:val="000000"/>
          <w:szCs w:val="23"/>
        </w:rPr>
        <w:t xml:space="preserve">, que conlleve la vulneración de </w:t>
      </w:r>
      <w:r>
        <w:rPr>
          <w:rFonts w:ascii="Arial" w:hAnsi="Arial" w:cs="Arial"/>
          <w:color w:val="000000"/>
          <w:szCs w:val="23"/>
        </w:rPr>
        <w:t>sus derechos</w:t>
      </w:r>
      <w:r w:rsidR="0029114D">
        <w:rPr>
          <w:rFonts w:ascii="Arial" w:hAnsi="Arial" w:cs="Arial"/>
          <w:color w:val="000000"/>
          <w:szCs w:val="23"/>
        </w:rPr>
        <w:t xml:space="preserve"> fundamentales, ni </w:t>
      </w:r>
      <w:r>
        <w:rPr>
          <w:rFonts w:ascii="Arial" w:hAnsi="Arial" w:cs="Arial"/>
          <w:color w:val="000000"/>
          <w:szCs w:val="23"/>
        </w:rPr>
        <w:t>refleja una acción tendiente a e</w:t>
      </w:r>
      <w:r>
        <w:rPr>
          <w:rFonts w:ascii="Arial" w:hAnsi="Arial" w:cs="Arial"/>
        </w:rPr>
        <w:t xml:space="preserve">squivar el impulso oficioso que le atribuye la citada Ley, </w:t>
      </w:r>
      <w:r w:rsidR="0029114D">
        <w:rPr>
          <w:rFonts w:ascii="Arial" w:hAnsi="Arial" w:cs="Arial"/>
        </w:rPr>
        <w:t>pues</w:t>
      </w:r>
      <w:r>
        <w:rPr>
          <w:rFonts w:ascii="Arial" w:hAnsi="Arial" w:cs="Arial"/>
        </w:rPr>
        <w:t xml:space="preserve">, esas son </w:t>
      </w:r>
      <w:r w:rsidRPr="00F408B6">
        <w:rPr>
          <w:rFonts w:ascii="Arial" w:hAnsi="Arial" w:cs="Arial"/>
          <w:color w:val="000000"/>
        </w:rPr>
        <w:t xml:space="preserve">gestiones </w:t>
      </w:r>
      <w:r>
        <w:rPr>
          <w:rFonts w:ascii="Arial" w:hAnsi="Arial" w:cs="Arial"/>
          <w:color w:val="000000"/>
        </w:rPr>
        <w:t xml:space="preserve">que </w:t>
      </w:r>
      <w:r w:rsidRPr="00F408B6">
        <w:rPr>
          <w:rFonts w:ascii="Arial" w:hAnsi="Arial" w:cs="Arial"/>
          <w:color w:val="000000"/>
        </w:rPr>
        <w:t xml:space="preserve">permiten inferir </w:t>
      </w:r>
      <w:r>
        <w:rPr>
          <w:rFonts w:ascii="Arial" w:hAnsi="Arial" w:cs="Arial"/>
          <w:color w:val="000000"/>
        </w:rPr>
        <w:t>un</w:t>
      </w:r>
      <w:r w:rsidRPr="00F408B6">
        <w:rPr>
          <w:rFonts w:ascii="Arial" w:hAnsi="Arial" w:cs="Arial"/>
          <w:color w:val="000000"/>
        </w:rPr>
        <w:t xml:space="preserve">a </w:t>
      </w:r>
      <w:r>
        <w:rPr>
          <w:rFonts w:ascii="Arial" w:hAnsi="Arial" w:cs="Arial"/>
          <w:color w:val="000000"/>
        </w:rPr>
        <w:t xml:space="preserve">mínima </w:t>
      </w:r>
      <w:r w:rsidRPr="00F408B6">
        <w:rPr>
          <w:rFonts w:ascii="Arial" w:hAnsi="Arial" w:cs="Arial"/>
          <w:color w:val="000000"/>
        </w:rPr>
        <w:t xml:space="preserve">diligencia </w:t>
      </w:r>
      <w:r>
        <w:rPr>
          <w:rFonts w:ascii="Arial" w:hAnsi="Arial" w:cs="Arial"/>
          <w:color w:val="000000"/>
        </w:rPr>
        <w:t xml:space="preserve">por parte del promotor de la acción con el fin de </w:t>
      </w:r>
      <w:r w:rsidRPr="00F408B6">
        <w:rPr>
          <w:rFonts w:ascii="Arial" w:hAnsi="Arial" w:cs="Arial"/>
          <w:color w:val="000000"/>
        </w:rPr>
        <w:t>obtener la protección de lo</w:t>
      </w:r>
      <w:r>
        <w:rPr>
          <w:rFonts w:ascii="Arial" w:hAnsi="Arial" w:cs="Arial"/>
          <w:color w:val="000000"/>
        </w:rPr>
        <w:t xml:space="preserve">s derechos colectivos </w:t>
      </w:r>
      <w:r w:rsidR="002A0EAB">
        <w:rPr>
          <w:rFonts w:ascii="Arial" w:hAnsi="Arial" w:cs="Arial"/>
          <w:color w:val="000000"/>
        </w:rPr>
        <w:t xml:space="preserve">presuntamente </w:t>
      </w:r>
      <w:r>
        <w:rPr>
          <w:rFonts w:ascii="Arial" w:hAnsi="Arial" w:cs="Arial"/>
          <w:color w:val="000000"/>
        </w:rPr>
        <w:t>vulnerados</w:t>
      </w:r>
      <w:r w:rsidR="002A0EAB">
        <w:rPr>
          <w:rFonts w:ascii="Arial" w:hAnsi="Arial" w:cs="Arial"/>
          <w:color w:val="000000"/>
        </w:rPr>
        <w:t xml:space="preserve"> o amenazados</w:t>
      </w:r>
      <w:r>
        <w:rPr>
          <w:rFonts w:ascii="Arial" w:hAnsi="Arial" w:cs="Arial"/>
          <w:color w:val="000000"/>
        </w:rPr>
        <w:t xml:space="preserve">; tal como lo ha reconocido </w:t>
      </w:r>
      <w:r>
        <w:rPr>
          <w:rFonts w:ascii="Arial" w:hAnsi="Arial" w:cs="Arial"/>
        </w:rPr>
        <w:t>el Consejo de Estado</w:t>
      </w:r>
      <w:r>
        <w:rPr>
          <w:rStyle w:val="Refdenotaalpie"/>
          <w:rFonts w:ascii="Arial" w:hAnsi="Arial"/>
        </w:rPr>
        <w:footnoteReference w:id="17"/>
      </w:r>
      <w:r>
        <w:rPr>
          <w:rFonts w:ascii="Arial" w:hAnsi="Arial" w:cs="Arial"/>
        </w:rPr>
        <w:t>.</w:t>
      </w:r>
    </w:p>
    <w:p w:rsidR="000E73B3" w:rsidRDefault="000E73B3" w:rsidP="000E73B3">
      <w:pPr>
        <w:widowControl/>
        <w:spacing w:line="360" w:lineRule="auto"/>
        <w:jc w:val="both"/>
        <w:rPr>
          <w:rFonts w:ascii="Arial" w:hAnsi="Arial" w:cs="Arial"/>
          <w:color w:val="000000"/>
          <w:szCs w:val="23"/>
        </w:rPr>
      </w:pPr>
    </w:p>
    <w:p w:rsidR="000E73B3" w:rsidRDefault="000E73B3" w:rsidP="000E73B3">
      <w:pPr>
        <w:widowControl/>
        <w:spacing w:line="360" w:lineRule="auto"/>
        <w:jc w:val="both"/>
        <w:rPr>
          <w:rFonts w:ascii="Arial" w:hAnsi="Arial" w:cs="Arial"/>
          <w:color w:val="000000"/>
          <w:szCs w:val="23"/>
        </w:rPr>
      </w:pPr>
      <w:r>
        <w:rPr>
          <w:rFonts w:ascii="Arial" w:hAnsi="Arial" w:cs="Arial"/>
          <w:color w:val="000000"/>
          <w:szCs w:val="23"/>
        </w:rPr>
        <w:t xml:space="preserve">Esta interpretación acoge el pensamiento de la </w:t>
      </w:r>
      <w:r w:rsidR="00891F6A">
        <w:rPr>
          <w:rFonts w:ascii="Arial" w:hAnsi="Arial" w:cs="Arial"/>
          <w:color w:val="000000"/>
          <w:szCs w:val="23"/>
        </w:rPr>
        <w:t>CSJ</w:t>
      </w:r>
      <w:r>
        <w:rPr>
          <w:rFonts w:ascii="Arial" w:hAnsi="Arial" w:cs="Arial"/>
          <w:color w:val="000000"/>
          <w:szCs w:val="23"/>
        </w:rPr>
        <w:t>, Sala Civil</w:t>
      </w:r>
      <w:r>
        <w:rPr>
          <w:rStyle w:val="Refdenotaalpie"/>
          <w:rFonts w:ascii="Arial" w:hAnsi="Arial"/>
          <w:color w:val="000000"/>
          <w:szCs w:val="23"/>
        </w:rPr>
        <w:footnoteReference w:id="18"/>
      </w:r>
      <w:r>
        <w:rPr>
          <w:rFonts w:ascii="Arial" w:hAnsi="Arial" w:cs="Arial"/>
          <w:color w:val="000000"/>
          <w:szCs w:val="23"/>
        </w:rPr>
        <w:t xml:space="preserve">, al resolver una acción de tutela con </w:t>
      </w:r>
      <w:r>
        <w:rPr>
          <w:rFonts w:ascii="Arial" w:hAnsi="Arial"/>
        </w:rPr>
        <w:t xml:space="preserve">parámetros fácticos similares a los que dieron origen al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0E73B3" w:rsidRDefault="000E73B3" w:rsidP="000E73B3">
      <w:pPr>
        <w:widowControl/>
        <w:spacing w:line="360" w:lineRule="auto"/>
        <w:jc w:val="both"/>
        <w:rPr>
          <w:rFonts w:ascii="Arial" w:hAnsi="Arial" w:cs="Arial"/>
          <w:color w:val="000000"/>
          <w:szCs w:val="23"/>
        </w:rPr>
      </w:pPr>
    </w:p>
    <w:p w:rsidR="000E73B3" w:rsidRDefault="000E73B3" w:rsidP="000E73B3">
      <w:pPr>
        <w:pStyle w:val="Textoindependiente21"/>
        <w:tabs>
          <w:tab w:val="left" w:pos="900"/>
        </w:tabs>
        <w:spacing w:line="240" w:lineRule="auto"/>
        <w:ind w:left="567" w:right="567"/>
        <w:rPr>
          <w:rFonts w:cs="Arial"/>
          <w:sz w:val="24"/>
          <w:szCs w:val="24"/>
        </w:rPr>
      </w:pPr>
      <w:r w:rsidRPr="002671F4">
        <w:rPr>
          <w:rFonts w:cs="Arial"/>
          <w:sz w:val="24"/>
          <w:szCs w:val="24"/>
          <w:lang w:val="es-ES"/>
        </w:rPr>
        <w:t>4.</w:t>
      </w:r>
      <w:r w:rsidRPr="002671F4">
        <w:rPr>
          <w:rFonts w:cs="Arial"/>
          <w:sz w:val="24"/>
          <w:szCs w:val="24"/>
          <w:lang w:val="es-ES"/>
        </w:rPr>
        <w:tab/>
      </w:r>
      <w:r w:rsidRPr="002671F4">
        <w:rPr>
          <w:rFonts w:cs="Arial"/>
          <w:sz w:val="24"/>
          <w:szCs w:val="24"/>
        </w:rPr>
        <w:t>Empero, tampoco se advierte una actitud caprichosa en el Juzgador cuestionado, en tanto que su actuación se enmarca dentro de las normas que regulan el procedimiento de la acción popular. Nótese que cuando la Ley 472 de 1998 remite al Estatuto Procesal Civil en lo tocante a la notificación del extremo demandado (artículo 21)</w:t>
      </w:r>
      <w:r>
        <w:rPr>
          <w:rFonts w:cs="Arial"/>
          <w:sz w:val="24"/>
          <w:szCs w:val="24"/>
        </w:rPr>
        <w:t xml:space="preserve"> (…)</w:t>
      </w:r>
    </w:p>
    <w:p w:rsidR="000E73B3" w:rsidRPr="002671F4" w:rsidRDefault="000E73B3" w:rsidP="000E73B3">
      <w:pPr>
        <w:pStyle w:val="Textoindependiente21"/>
        <w:tabs>
          <w:tab w:val="left" w:pos="900"/>
        </w:tabs>
        <w:spacing w:line="240" w:lineRule="auto"/>
        <w:ind w:left="567" w:right="567"/>
        <w:rPr>
          <w:rFonts w:cs="Arial"/>
          <w:sz w:val="24"/>
          <w:szCs w:val="24"/>
        </w:rPr>
      </w:pPr>
      <w:r w:rsidRPr="002671F4">
        <w:rPr>
          <w:rFonts w:cs="Arial"/>
          <w:sz w:val="24"/>
          <w:szCs w:val="24"/>
        </w:rPr>
        <w:t xml:space="preserve"> </w:t>
      </w:r>
    </w:p>
    <w:p w:rsidR="00086946" w:rsidRDefault="000E73B3" w:rsidP="00086946">
      <w:pPr>
        <w:pStyle w:val="Textoindependiente21"/>
        <w:tabs>
          <w:tab w:val="left" w:pos="900"/>
        </w:tabs>
        <w:spacing w:line="240" w:lineRule="auto"/>
        <w:ind w:left="567" w:right="567"/>
        <w:rPr>
          <w:rFonts w:cs="Arial"/>
          <w:sz w:val="24"/>
          <w:szCs w:val="24"/>
        </w:rPr>
      </w:pPr>
      <w:r w:rsidRPr="002671F4">
        <w:rPr>
          <w:rFonts w:cs="Arial"/>
          <w:sz w:val="24"/>
          <w:szCs w:val="24"/>
          <w:u w:val="single"/>
        </w:rPr>
        <w:t>Finalmente se destaca que lo atinente a los gastos que debe asumir el actor popular constituyen una carga que no contraría el principio de la gratuidad, referido a la posibilidad de acudir ante la administración de justicia, y por ende, salvo que se hubiera concedido el amparo de pobreza</w:t>
      </w:r>
      <w:r w:rsidRPr="002671F4">
        <w:rPr>
          <w:rStyle w:val="Refdenotaalpie"/>
          <w:rFonts w:cs="Arial"/>
          <w:sz w:val="24"/>
          <w:szCs w:val="24"/>
          <w:u w:val="single"/>
        </w:rPr>
        <w:footnoteReference w:id="19"/>
      </w:r>
      <w:r w:rsidRPr="002671F4">
        <w:rPr>
          <w:rFonts w:cs="Arial"/>
          <w:sz w:val="24"/>
          <w:szCs w:val="24"/>
          <w:u w:val="single"/>
        </w:rPr>
        <w:t>, el accionante deberá sufragar los costos que demande el proceso.</w:t>
      </w:r>
      <w:r w:rsidRPr="00F33975">
        <w:rPr>
          <w:rFonts w:cs="Arial"/>
          <w:sz w:val="24"/>
          <w:szCs w:val="24"/>
        </w:rPr>
        <w:t xml:space="preserve"> </w:t>
      </w:r>
      <w:r>
        <w:rPr>
          <w:rFonts w:cs="Arial"/>
          <w:sz w:val="24"/>
          <w:szCs w:val="24"/>
        </w:rPr>
        <w:t>(</w:t>
      </w:r>
      <w:proofErr w:type="spellStart"/>
      <w:r>
        <w:rPr>
          <w:rFonts w:cs="Arial"/>
          <w:sz w:val="24"/>
          <w:szCs w:val="24"/>
        </w:rPr>
        <w:t>Sublínea</w:t>
      </w:r>
      <w:proofErr w:type="spellEnd"/>
      <w:r>
        <w:rPr>
          <w:rFonts w:cs="Arial"/>
          <w:sz w:val="24"/>
          <w:szCs w:val="24"/>
        </w:rPr>
        <w:t xml:space="preserve"> de esta Sala).</w:t>
      </w:r>
    </w:p>
    <w:p w:rsidR="00086946" w:rsidRPr="00086946" w:rsidRDefault="00086946" w:rsidP="00086946">
      <w:pPr>
        <w:pStyle w:val="Textoindependiente21"/>
        <w:tabs>
          <w:tab w:val="left" w:pos="900"/>
        </w:tabs>
        <w:spacing w:line="240" w:lineRule="auto"/>
        <w:ind w:right="567"/>
        <w:rPr>
          <w:sz w:val="48"/>
          <w:szCs w:val="24"/>
        </w:rPr>
      </w:pPr>
    </w:p>
    <w:p w:rsidR="00086946" w:rsidRDefault="000E73B3" w:rsidP="00086946">
      <w:pPr>
        <w:pStyle w:val="Textoindependiente21"/>
        <w:tabs>
          <w:tab w:val="left" w:pos="900"/>
        </w:tabs>
        <w:spacing w:line="240" w:lineRule="auto"/>
        <w:ind w:right="51"/>
        <w:rPr>
          <w:sz w:val="24"/>
          <w:szCs w:val="24"/>
        </w:rPr>
      </w:pPr>
      <w:r w:rsidRPr="00086946">
        <w:rPr>
          <w:sz w:val="24"/>
          <w:szCs w:val="24"/>
        </w:rPr>
        <w:t>En</w:t>
      </w:r>
      <w:r w:rsidR="00086946">
        <w:rPr>
          <w:sz w:val="24"/>
          <w:szCs w:val="24"/>
        </w:rPr>
        <w:t xml:space="preserve"> </w:t>
      </w:r>
      <w:r w:rsidRPr="00086946">
        <w:rPr>
          <w:sz w:val="24"/>
          <w:szCs w:val="24"/>
        </w:rPr>
        <w:t xml:space="preserve"> suma,</w:t>
      </w:r>
      <w:r w:rsidR="00086946">
        <w:rPr>
          <w:sz w:val="24"/>
          <w:szCs w:val="24"/>
        </w:rPr>
        <w:t xml:space="preserve"> </w:t>
      </w:r>
      <w:r w:rsidRPr="00086946">
        <w:rPr>
          <w:sz w:val="24"/>
          <w:szCs w:val="24"/>
        </w:rPr>
        <w:t xml:space="preserve"> luce </w:t>
      </w:r>
      <w:r w:rsidR="00086946">
        <w:rPr>
          <w:sz w:val="24"/>
          <w:szCs w:val="24"/>
        </w:rPr>
        <w:t xml:space="preserve"> </w:t>
      </w:r>
      <w:r w:rsidRPr="00086946">
        <w:rPr>
          <w:sz w:val="24"/>
          <w:szCs w:val="24"/>
        </w:rPr>
        <w:t>evidente</w:t>
      </w:r>
      <w:r w:rsidR="00086946">
        <w:rPr>
          <w:sz w:val="24"/>
          <w:szCs w:val="24"/>
        </w:rPr>
        <w:t xml:space="preserve"> </w:t>
      </w:r>
      <w:r w:rsidRPr="00086946">
        <w:rPr>
          <w:sz w:val="24"/>
          <w:szCs w:val="24"/>
        </w:rPr>
        <w:t xml:space="preserve"> que </w:t>
      </w:r>
      <w:r w:rsidR="00086946">
        <w:rPr>
          <w:sz w:val="24"/>
          <w:szCs w:val="24"/>
        </w:rPr>
        <w:t xml:space="preserve"> </w:t>
      </w:r>
      <w:r w:rsidRPr="00086946">
        <w:rPr>
          <w:sz w:val="24"/>
          <w:szCs w:val="24"/>
        </w:rPr>
        <w:t xml:space="preserve">es </w:t>
      </w:r>
      <w:r w:rsidR="00086946">
        <w:rPr>
          <w:sz w:val="24"/>
          <w:szCs w:val="24"/>
        </w:rPr>
        <w:t xml:space="preserve"> </w:t>
      </w:r>
      <w:r w:rsidRPr="00086946">
        <w:rPr>
          <w:sz w:val="24"/>
          <w:szCs w:val="24"/>
        </w:rPr>
        <w:t>inexistente</w:t>
      </w:r>
      <w:r w:rsidR="00086946">
        <w:rPr>
          <w:sz w:val="24"/>
          <w:szCs w:val="24"/>
        </w:rPr>
        <w:t xml:space="preserve"> </w:t>
      </w:r>
      <w:r w:rsidRPr="00086946">
        <w:rPr>
          <w:sz w:val="24"/>
          <w:szCs w:val="24"/>
        </w:rPr>
        <w:t xml:space="preserve"> vulneración </w:t>
      </w:r>
      <w:r w:rsidR="00086946">
        <w:rPr>
          <w:sz w:val="24"/>
          <w:szCs w:val="24"/>
        </w:rPr>
        <w:t xml:space="preserve"> </w:t>
      </w:r>
      <w:r w:rsidRPr="00086946">
        <w:rPr>
          <w:sz w:val="24"/>
          <w:szCs w:val="24"/>
        </w:rPr>
        <w:t xml:space="preserve">o </w:t>
      </w:r>
      <w:r w:rsidR="00086946">
        <w:rPr>
          <w:sz w:val="24"/>
          <w:szCs w:val="24"/>
        </w:rPr>
        <w:t xml:space="preserve"> </w:t>
      </w:r>
      <w:r w:rsidRPr="00086946">
        <w:rPr>
          <w:sz w:val="24"/>
          <w:szCs w:val="24"/>
        </w:rPr>
        <w:t xml:space="preserve">amenaza </w:t>
      </w:r>
      <w:r w:rsidR="00086946">
        <w:rPr>
          <w:sz w:val="24"/>
          <w:szCs w:val="24"/>
        </w:rPr>
        <w:t xml:space="preserve"> </w:t>
      </w:r>
      <w:r w:rsidRPr="00086946">
        <w:rPr>
          <w:sz w:val="24"/>
          <w:szCs w:val="24"/>
        </w:rPr>
        <w:t xml:space="preserve">a </w:t>
      </w:r>
      <w:r w:rsidR="00086946">
        <w:rPr>
          <w:sz w:val="24"/>
          <w:szCs w:val="24"/>
        </w:rPr>
        <w:t xml:space="preserve"> </w:t>
      </w:r>
      <w:r w:rsidRPr="00086946">
        <w:rPr>
          <w:sz w:val="24"/>
          <w:szCs w:val="24"/>
        </w:rPr>
        <w:t xml:space="preserve">los </w:t>
      </w:r>
      <w:r w:rsidR="00086946">
        <w:rPr>
          <w:sz w:val="24"/>
          <w:szCs w:val="24"/>
        </w:rPr>
        <w:t xml:space="preserve"> </w:t>
      </w:r>
      <w:r w:rsidRPr="00086946">
        <w:rPr>
          <w:sz w:val="24"/>
          <w:szCs w:val="24"/>
        </w:rPr>
        <w:t xml:space="preserve">derechos </w:t>
      </w:r>
    </w:p>
    <w:p w:rsidR="002A0EAB" w:rsidRPr="00086946" w:rsidRDefault="000E73B3" w:rsidP="00086946">
      <w:pPr>
        <w:pStyle w:val="Textoindependiente21"/>
        <w:tabs>
          <w:tab w:val="left" w:pos="900"/>
        </w:tabs>
        <w:ind w:right="567"/>
        <w:rPr>
          <w:rFonts w:cs="Arial"/>
          <w:sz w:val="24"/>
          <w:szCs w:val="24"/>
        </w:rPr>
      </w:pPr>
      <w:proofErr w:type="gramStart"/>
      <w:r w:rsidRPr="00086946">
        <w:rPr>
          <w:sz w:val="24"/>
          <w:szCs w:val="24"/>
        </w:rPr>
        <w:t>invocados</w:t>
      </w:r>
      <w:proofErr w:type="gramEnd"/>
      <w:r w:rsidRPr="00086946">
        <w:rPr>
          <w:sz w:val="24"/>
          <w:szCs w:val="24"/>
        </w:rPr>
        <w:t xml:space="preserve"> por el </w:t>
      </w:r>
      <w:proofErr w:type="spellStart"/>
      <w:r w:rsidRPr="00086946">
        <w:rPr>
          <w:sz w:val="24"/>
          <w:szCs w:val="24"/>
        </w:rPr>
        <w:t>tutelante</w:t>
      </w:r>
      <w:proofErr w:type="spellEnd"/>
      <w:r w:rsidRPr="00086946">
        <w:rPr>
          <w:sz w:val="24"/>
          <w:szCs w:val="24"/>
        </w:rPr>
        <w:t xml:space="preserve"> y así será declarado</w:t>
      </w:r>
      <w:r w:rsidRPr="00086946">
        <w:rPr>
          <w:rFonts w:cs="Arial"/>
          <w:sz w:val="24"/>
          <w:szCs w:val="24"/>
        </w:rPr>
        <w:t xml:space="preserve">, </w:t>
      </w:r>
      <w:r w:rsidRPr="00086946">
        <w:rPr>
          <w:rFonts w:cs="Arial"/>
          <w:spacing w:val="-3"/>
          <w:sz w:val="24"/>
          <w:szCs w:val="24"/>
        </w:rPr>
        <w:t>tal como se decidiera en anteriores oportunidades por esta Sala Especializada</w:t>
      </w:r>
      <w:r w:rsidRPr="00086946">
        <w:rPr>
          <w:rStyle w:val="Refdenotaalpie"/>
          <w:rFonts w:eastAsia="Yu Gothic Light"/>
          <w:sz w:val="24"/>
          <w:szCs w:val="24"/>
        </w:rPr>
        <w:footnoteReference w:id="20"/>
      </w:r>
      <w:r w:rsidRPr="00086946">
        <w:rPr>
          <w:rFonts w:cs="Arial"/>
          <w:spacing w:val="-3"/>
          <w:sz w:val="24"/>
          <w:szCs w:val="24"/>
        </w:rPr>
        <w:t xml:space="preserve">, confirmadas por </w:t>
      </w:r>
      <w:r w:rsidRPr="00086946">
        <w:rPr>
          <w:rFonts w:cs="Arial"/>
          <w:sz w:val="24"/>
          <w:szCs w:val="24"/>
        </w:rPr>
        <w:t xml:space="preserve">la Sala Civil de la </w:t>
      </w:r>
      <w:r w:rsidR="002A0EAB" w:rsidRPr="00086946">
        <w:rPr>
          <w:rFonts w:cs="Arial"/>
          <w:sz w:val="24"/>
          <w:szCs w:val="24"/>
        </w:rPr>
        <w:t>CSJ</w:t>
      </w:r>
      <w:r w:rsidRPr="00086946">
        <w:rPr>
          <w:rStyle w:val="Refdenotaalpie"/>
          <w:rFonts w:cs="Arial"/>
          <w:sz w:val="24"/>
          <w:szCs w:val="24"/>
        </w:rPr>
        <w:footnoteReference w:id="21"/>
      </w:r>
      <w:r w:rsidRPr="00086946">
        <w:rPr>
          <w:sz w:val="24"/>
          <w:szCs w:val="24"/>
          <w:lang w:val="es-ES"/>
        </w:rPr>
        <w:t>.</w:t>
      </w:r>
    </w:p>
    <w:p w:rsidR="002A0EAB" w:rsidRDefault="002A0EAB" w:rsidP="000E73B3">
      <w:pPr>
        <w:pStyle w:val="Textoindependiente"/>
        <w:spacing w:line="360" w:lineRule="auto"/>
        <w:rPr>
          <w:rFonts w:ascii="Arial" w:hAnsi="Arial" w:cs="Arial"/>
        </w:rPr>
      </w:pPr>
    </w:p>
    <w:p w:rsidR="00067715" w:rsidRPr="000E73B3" w:rsidRDefault="000E73B3" w:rsidP="000E73B3">
      <w:pPr>
        <w:pStyle w:val="Textoindependiente"/>
        <w:spacing w:line="360" w:lineRule="auto"/>
        <w:rPr>
          <w:rFonts w:ascii="Arial" w:hAnsi="Arial" w:cs="Arial"/>
          <w:szCs w:val="24"/>
        </w:rPr>
      </w:pPr>
      <w:r>
        <w:rPr>
          <w:rFonts w:ascii="Arial" w:hAnsi="Arial" w:cs="Arial"/>
        </w:rPr>
        <w:lastRenderedPageBreak/>
        <w:t>Con relación a la entrega de copia física de toda la actuación surtida, se considera que con la</w:t>
      </w:r>
      <w:r w:rsidR="002A0EAB">
        <w:rPr>
          <w:rFonts w:ascii="Arial" w:hAnsi="Arial" w:cs="Arial"/>
        </w:rPr>
        <w:t xml:space="preserve"> </w:t>
      </w:r>
      <w:r>
        <w:rPr>
          <w:rFonts w:ascii="Arial" w:hAnsi="Arial" w:cs="Arial"/>
        </w:rPr>
        <w:t xml:space="preserve"> orden </w:t>
      </w:r>
      <w:r w:rsidR="002A0EAB">
        <w:rPr>
          <w:rFonts w:ascii="Arial" w:hAnsi="Arial" w:cs="Arial"/>
        </w:rPr>
        <w:t xml:space="preserve"> </w:t>
      </w:r>
      <w:r>
        <w:rPr>
          <w:rFonts w:ascii="Arial" w:hAnsi="Arial" w:cs="Arial"/>
        </w:rPr>
        <w:t xml:space="preserve">impartida </w:t>
      </w:r>
      <w:r w:rsidR="002A0EAB">
        <w:rPr>
          <w:rFonts w:ascii="Arial" w:hAnsi="Arial" w:cs="Arial"/>
        </w:rPr>
        <w:t xml:space="preserve"> </w:t>
      </w:r>
      <w:r>
        <w:rPr>
          <w:rFonts w:ascii="Arial" w:hAnsi="Arial" w:cs="Arial"/>
        </w:rPr>
        <w:t xml:space="preserve">en </w:t>
      </w:r>
      <w:r w:rsidR="002A0EAB">
        <w:rPr>
          <w:rFonts w:ascii="Arial" w:hAnsi="Arial" w:cs="Arial"/>
        </w:rPr>
        <w:t xml:space="preserve"> </w:t>
      </w:r>
      <w:r>
        <w:rPr>
          <w:rFonts w:ascii="Arial" w:hAnsi="Arial" w:cs="Arial"/>
        </w:rPr>
        <w:t xml:space="preserve">el </w:t>
      </w:r>
      <w:r w:rsidR="002A0EAB">
        <w:rPr>
          <w:rFonts w:ascii="Arial" w:hAnsi="Arial" w:cs="Arial"/>
        </w:rPr>
        <w:t xml:space="preserve"> </w:t>
      </w:r>
      <w:r>
        <w:rPr>
          <w:rFonts w:ascii="Arial" w:hAnsi="Arial" w:cs="Arial"/>
        </w:rPr>
        <w:t xml:space="preserve">proveído </w:t>
      </w:r>
      <w:r w:rsidR="002A0EAB">
        <w:rPr>
          <w:rFonts w:ascii="Arial" w:hAnsi="Arial" w:cs="Arial"/>
        </w:rPr>
        <w:t xml:space="preserve"> </w:t>
      </w:r>
      <w:r>
        <w:rPr>
          <w:rFonts w:ascii="Arial" w:hAnsi="Arial" w:cs="Arial"/>
        </w:rPr>
        <w:t>del</w:t>
      </w:r>
      <w:r w:rsidR="002A0EAB">
        <w:rPr>
          <w:rFonts w:ascii="Arial" w:hAnsi="Arial" w:cs="Arial"/>
        </w:rPr>
        <w:t xml:space="preserve"> </w:t>
      </w:r>
      <w:r>
        <w:rPr>
          <w:rFonts w:ascii="Arial" w:hAnsi="Arial" w:cs="Arial"/>
        </w:rPr>
        <w:t xml:space="preserve"> día</w:t>
      </w:r>
      <w:r w:rsidR="002A0EAB">
        <w:rPr>
          <w:rFonts w:ascii="Arial" w:hAnsi="Arial" w:cs="Arial"/>
        </w:rPr>
        <w:t xml:space="preserve"> </w:t>
      </w:r>
      <w:r>
        <w:rPr>
          <w:rFonts w:ascii="Arial" w:hAnsi="Arial" w:cs="Arial"/>
        </w:rPr>
        <w:t xml:space="preserve"> </w:t>
      </w:r>
      <w:r w:rsidR="002A0EAB">
        <w:rPr>
          <w:rFonts w:ascii="Arial" w:hAnsi="Arial" w:cs="Arial"/>
        </w:rPr>
        <w:t>03-10</w:t>
      </w:r>
      <w:r>
        <w:rPr>
          <w:rFonts w:ascii="Arial" w:hAnsi="Arial" w:cs="Arial"/>
        </w:rPr>
        <w:t>-</w:t>
      </w:r>
      <w:r w:rsidR="002A0EAB">
        <w:rPr>
          <w:rFonts w:ascii="Arial" w:hAnsi="Arial" w:cs="Arial"/>
        </w:rPr>
        <w:t>2016   (Folio 4</w:t>
      </w:r>
      <w:r>
        <w:rPr>
          <w:rFonts w:ascii="Arial" w:hAnsi="Arial" w:cs="Arial"/>
        </w:rPr>
        <w:t xml:space="preserve">, ib.), </w:t>
      </w:r>
      <w:r w:rsidR="002A0EAB">
        <w:rPr>
          <w:rFonts w:ascii="Arial" w:hAnsi="Arial" w:cs="Arial"/>
        </w:rPr>
        <w:t xml:space="preserve"> </w:t>
      </w:r>
      <w:r>
        <w:rPr>
          <w:rFonts w:ascii="Arial" w:hAnsi="Arial" w:cs="Arial"/>
        </w:rPr>
        <w:t xml:space="preserve">en </w:t>
      </w:r>
      <w:r w:rsidR="002A0EAB">
        <w:rPr>
          <w:rFonts w:ascii="Arial" w:hAnsi="Arial" w:cs="Arial"/>
        </w:rPr>
        <w:t xml:space="preserve"> </w:t>
      </w:r>
      <w:r>
        <w:rPr>
          <w:rFonts w:ascii="Arial" w:hAnsi="Arial" w:cs="Arial"/>
        </w:rPr>
        <w:t>el</w:t>
      </w:r>
      <w:r w:rsidR="002A0EAB">
        <w:rPr>
          <w:rFonts w:ascii="Arial" w:hAnsi="Arial" w:cs="Arial"/>
        </w:rPr>
        <w:t xml:space="preserve"> </w:t>
      </w:r>
      <w:r>
        <w:rPr>
          <w:rFonts w:ascii="Arial" w:hAnsi="Arial" w:cs="Arial"/>
        </w:rPr>
        <w:t xml:space="preserve"> sentido </w:t>
      </w:r>
      <w:r w:rsidR="002A0EAB">
        <w:rPr>
          <w:rFonts w:ascii="Arial" w:hAnsi="Arial" w:cs="Arial"/>
        </w:rPr>
        <w:t xml:space="preserve"> </w:t>
      </w:r>
      <w:r>
        <w:rPr>
          <w:rFonts w:ascii="Arial" w:hAnsi="Arial" w:cs="Arial"/>
        </w:rPr>
        <w:t>de escanearlas y remitirlas a su correo electrónico, se cumplió dicho pedimento.</w:t>
      </w:r>
      <w:r w:rsidR="0076120B">
        <w:rPr>
          <w:rFonts w:ascii="Arial" w:hAnsi="Arial" w:cs="Arial"/>
        </w:rPr>
        <w:t xml:space="preserve"> </w:t>
      </w:r>
    </w:p>
    <w:p w:rsidR="00FA43DA" w:rsidRPr="002128C2" w:rsidRDefault="00FA43DA" w:rsidP="00067715">
      <w:pPr>
        <w:spacing w:line="360" w:lineRule="auto"/>
        <w:ind w:right="51"/>
        <w:jc w:val="both"/>
        <w:rPr>
          <w:rFonts w:ascii="Arial" w:hAnsi="Arial" w:cs="Arial"/>
        </w:rPr>
      </w:pPr>
    </w:p>
    <w:p w:rsidR="00FF5B57" w:rsidRDefault="00FF5B57" w:rsidP="007B76E6">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1971C0" w:rsidRPr="002128C2" w:rsidRDefault="001971C0" w:rsidP="001971C0">
      <w:pPr>
        <w:pStyle w:val="Textoindependiente"/>
        <w:spacing w:line="360" w:lineRule="auto"/>
        <w:ind w:left="585"/>
        <w:rPr>
          <w:rFonts w:ascii="Arial" w:hAnsi="Arial"/>
          <w:szCs w:val="24"/>
        </w:rPr>
      </w:pPr>
    </w:p>
    <w:p w:rsidR="00502EC8" w:rsidRPr="002A0EAB" w:rsidRDefault="00EE70D2" w:rsidP="002128C2">
      <w:pPr>
        <w:pStyle w:val="Textoindependiente"/>
        <w:tabs>
          <w:tab w:val="clear" w:pos="708"/>
        </w:tabs>
        <w:spacing w:line="360" w:lineRule="auto"/>
        <w:rPr>
          <w:rFonts w:ascii="Arial" w:hAnsi="Arial" w:cs="Arial"/>
          <w:szCs w:val="24"/>
        </w:rPr>
      </w:pPr>
      <w:r w:rsidRPr="00842D42">
        <w:rPr>
          <w:rFonts w:ascii="Arial" w:hAnsi="Arial" w:cs="Arial"/>
          <w:szCs w:val="24"/>
          <w:lang w:val="es-ES"/>
        </w:rPr>
        <w:t>Con fundamento en las consideraciones expuestas</w:t>
      </w:r>
      <w:r>
        <w:rPr>
          <w:rFonts w:ascii="Arial" w:hAnsi="Arial" w:cs="Arial"/>
          <w:szCs w:val="24"/>
          <w:lang w:val="es-ES"/>
        </w:rPr>
        <w:t>: (i) S</w:t>
      </w:r>
      <w:r w:rsidRPr="00A30437">
        <w:rPr>
          <w:rFonts w:ascii="Arial" w:hAnsi="Arial" w:cs="Arial"/>
          <w:szCs w:val="24"/>
          <w:lang w:val="es-ES"/>
        </w:rPr>
        <w:t xml:space="preserve">e </w:t>
      </w:r>
      <w:r w:rsidR="00ED601B">
        <w:rPr>
          <w:rFonts w:ascii="Arial" w:hAnsi="Arial" w:cs="Arial"/>
          <w:szCs w:val="24"/>
          <w:lang w:val="es-ES"/>
        </w:rPr>
        <w:t xml:space="preserve">negará el amparo </w:t>
      </w:r>
      <w:r w:rsidR="00527D67">
        <w:rPr>
          <w:rFonts w:ascii="Arial" w:hAnsi="Arial" w:cs="Arial"/>
          <w:szCs w:val="24"/>
          <w:lang w:val="es-ES"/>
        </w:rPr>
        <w:t xml:space="preserve">constitucional frente al Juzgado </w:t>
      </w:r>
      <w:r w:rsidR="00990DF7">
        <w:rPr>
          <w:rFonts w:ascii="Arial" w:hAnsi="Arial" w:cs="Arial"/>
          <w:szCs w:val="24"/>
          <w:lang w:val="es-ES"/>
        </w:rPr>
        <w:t>Tercero</w:t>
      </w:r>
      <w:r w:rsidR="00527D67">
        <w:rPr>
          <w:rFonts w:ascii="Arial" w:hAnsi="Arial" w:cs="Arial"/>
          <w:szCs w:val="24"/>
          <w:lang w:val="es-ES"/>
        </w:rPr>
        <w:t xml:space="preserve"> Civil del Circuito de Pereira por inexistencia de vulneración o amenaza del derecho fundamental al debido proceso; (ii) </w:t>
      </w:r>
      <w:r w:rsidR="000E3170" w:rsidRPr="002128C2">
        <w:rPr>
          <w:rFonts w:ascii="Arial" w:hAnsi="Arial" w:cs="Arial"/>
          <w:szCs w:val="24"/>
        </w:rPr>
        <w:t xml:space="preserve">Se </w:t>
      </w:r>
      <w:r w:rsidR="002A0EAB">
        <w:rPr>
          <w:rFonts w:ascii="Arial" w:hAnsi="Arial" w:cs="Arial"/>
          <w:szCs w:val="24"/>
        </w:rPr>
        <w:t>declarara improcedente</w:t>
      </w:r>
      <w:r w:rsidR="00357C99" w:rsidRPr="002128C2">
        <w:rPr>
          <w:rFonts w:ascii="Arial" w:hAnsi="Arial" w:cs="Arial"/>
          <w:szCs w:val="24"/>
        </w:rPr>
        <w:t xml:space="preserve"> respecto </w:t>
      </w:r>
      <w:r w:rsidRPr="002128C2">
        <w:rPr>
          <w:rFonts w:ascii="Arial" w:hAnsi="Arial" w:cs="Arial"/>
          <w:szCs w:val="24"/>
        </w:rPr>
        <w:t xml:space="preserve">a </w:t>
      </w:r>
      <w:r w:rsidR="00502EC8" w:rsidRPr="002128C2">
        <w:rPr>
          <w:rFonts w:ascii="Arial" w:hAnsi="Arial" w:cs="Arial"/>
          <w:szCs w:val="24"/>
        </w:rPr>
        <w:t xml:space="preserve">la Defensoría del Pueblo y la Procuraduría General de la Nación, Regionales de Risaralda, y la Alcaldías y Personerías </w:t>
      </w:r>
      <w:r w:rsidR="00502EC8" w:rsidRPr="002128C2">
        <w:rPr>
          <w:rFonts w:ascii="Arial" w:hAnsi="Arial" w:cs="Arial"/>
          <w:spacing w:val="3"/>
          <w:szCs w:val="24"/>
        </w:rPr>
        <w:t xml:space="preserve">de </w:t>
      </w:r>
      <w:r w:rsidR="00527D67" w:rsidRPr="002128C2">
        <w:rPr>
          <w:rFonts w:ascii="Arial" w:hAnsi="Arial" w:cs="Arial"/>
          <w:spacing w:val="3"/>
          <w:szCs w:val="24"/>
        </w:rPr>
        <w:t xml:space="preserve">Pereira </w:t>
      </w:r>
      <w:r w:rsidR="00357C99" w:rsidRPr="002128C2">
        <w:rPr>
          <w:rFonts w:ascii="Arial" w:hAnsi="Arial" w:cs="Arial"/>
          <w:szCs w:val="24"/>
        </w:rPr>
        <w:t>por carecer de legitimación</w:t>
      </w:r>
      <w:r w:rsidR="00502EC8" w:rsidRPr="002128C2">
        <w:rPr>
          <w:rFonts w:ascii="Arial" w:hAnsi="Arial" w:cs="Arial"/>
          <w:szCs w:val="24"/>
          <w:lang w:val="es-ES"/>
        </w:rPr>
        <w:t>; y</w:t>
      </w:r>
      <w:r w:rsidR="00086946">
        <w:rPr>
          <w:rFonts w:ascii="Arial" w:hAnsi="Arial" w:cs="Arial"/>
          <w:szCs w:val="24"/>
          <w:lang w:val="es-ES"/>
        </w:rPr>
        <w:t>,</w:t>
      </w:r>
      <w:r w:rsidR="00502EC8" w:rsidRPr="002128C2">
        <w:rPr>
          <w:rFonts w:ascii="Arial" w:hAnsi="Arial" w:cs="Arial"/>
          <w:szCs w:val="24"/>
          <w:lang w:val="es-ES"/>
        </w:rPr>
        <w:t xml:space="preserve"> (</w:t>
      </w:r>
      <w:r w:rsidR="00086946">
        <w:rPr>
          <w:rFonts w:ascii="Arial" w:hAnsi="Arial" w:cs="Arial"/>
          <w:szCs w:val="24"/>
          <w:lang w:val="es-ES"/>
        </w:rPr>
        <w:t>iii</w:t>
      </w:r>
      <w:r w:rsidR="00502EC8" w:rsidRPr="002128C2">
        <w:rPr>
          <w:rFonts w:ascii="Arial" w:hAnsi="Arial" w:cs="Arial"/>
          <w:szCs w:val="24"/>
          <w:lang w:val="es-ES"/>
        </w:rPr>
        <w:t xml:space="preserve">) Se negarán </w:t>
      </w:r>
      <w:r w:rsidR="00502EC8" w:rsidRPr="002128C2">
        <w:rPr>
          <w:rFonts w:ascii="Arial" w:hAnsi="Arial" w:cs="Arial"/>
          <w:szCs w:val="24"/>
          <w:lang w:val="es-CO"/>
        </w:rPr>
        <w:t xml:space="preserve">frente </w:t>
      </w:r>
      <w:r w:rsidR="00086946">
        <w:rPr>
          <w:rFonts w:ascii="Arial" w:hAnsi="Arial" w:cs="Arial"/>
          <w:szCs w:val="24"/>
          <w:lang w:val="es-CO"/>
        </w:rPr>
        <w:t xml:space="preserve">a los señores Javier Elías Arias </w:t>
      </w:r>
      <w:r w:rsidR="00A030B3">
        <w:rPr>
          <w:rFonts w:ascii="Arial" w:hAnsi="Arial" w:cs="Arial"/>
          <w:szCs w:val="24"/>
          <w:lang w:val="es-CO"/>
        </w:rPr>
        <w:t xml:space="preserve">Idárraga </w:t>
      </w:r>
      <w:r w:rsidR="00086946">
        <w:rPr>
          <w:rFonts w:ascii="Arial" w:hAnsi="Arial" w:cs="Arial"/>
          <w:szCs w:val="24"/>
          <w:lang w:val="es-CO"/>
        </w:rPr>
        <w:t>y Cristian Vásquez, según lo dicho en el acápite de legitimación</w:t>
      </w:r>
      <w:r w:rsidR="00502EC8" w:rsidRPr="002128C2">
        <w:rPr>
          <w:rFonts w:ascii="Arial" w:hAnsi="Arial" w:cs="Arial"/>
          <w:szCs w:val="24"/>
        </w:rPr>
        <w:t>.</w:t>
      </w:r>
    </w:p>
    <w:p w:rsidR="00ED03C4" w:rsidRPr="002128C2" w:rsidRDefault="00ED03C4" w:rsidP="002128C2">
      <w:pPr>
        <w:pStyle w:val="Textoindependiente"/>
        <w:tabs>
          <w:tab w:val="clear" w:pos="708"/>
        </w:tabs>
        <w:spacing w:line="360" w:lineRule="auto"/>
        <w:rPr>
          <w:rFonts w:ascii="Arial" w:hAnsi="Arial" w:cs="Arial"/>
          <w:szCs w:val="24"/>
          <w:lang w:val="es-ES"/>
        </w:rPr>
      </w:pPr>
    </w:p>
    <w:p w:rsidR="00FF5B57" w:rsidRPr="002128C2" w:rsidRDefault="00FF5B57" w:rsidP="002128C2">
      <w:pPr>
        <w:tabs>
          <w:tab w:val="left" w:pos="-720"/>
        </w:tabs>
        <w:suppressAutoHyphens/>
        <w:spacing w:line="360" w:lineRule="auto"/>
        <w:jc w:val="both"/>
        <w:rPr>
          <w:rFonts w:ascii="Arial" w:hAnsi="Arial" w:cs="Arial"/>
        </w:rPr>
      </w:pPr>
      <w:r w:rsidRPr="002128C2">
        <w:rPr>
          <w:rFonts w:ascii="Arial" w:hAnsi="Arial" w:cs="Arial"/>
        </w:rPr>
        <w:t xml:space="preserve">En mérito de lo expuesto, el </w:t>
      </w:r>
      <w:r w:rsidRPr="002128C2">
        <w:rPr>
          <w:rFonts w:ascii="Arial" w:hAnsi="Arial" w:cs="Arial"/>
          <w:bCs/>
          <w:smallCaps/>
        </w:rPr>
        <w:t>Tribunal Superior del Distrito Judicial de Pereira, Risaralda, Sala de Decisión Civil - Familia</w:t>
      </w:r>
      <w:r w:rsidRPr="002128C2">
        <w:rPr>
          <w:rFonts w:ascii="Arial" w:hAnsi="Arial" w:cs="Arial"/>
        </w:rPr>
        <w:t>, administrando Justicia, en nombre de la República y por autoridad de la Ley,</w:t>
      </w:r>
    </w:p>
    <w:p w:rsidR="00FF5B57" w:rsidRPr="002128C2" w:rsidRDefault="00FF5B57" w:rsidP="002128C2">
      <w:pPr>
        <w:tabs>
          <w:tab w:val="left" w:pos="-720"/>
        </w:tabs>
        <w:suppressAutoHyphens/>
        <w:spacing w:line="360" w:lineRule="auto"/>
        <w:jc w:val="both"/>
        <w:rPr>
          <w:rFonts w:ascii="Arial" w:hAnsi="Arial" w:cs="Arial"/>
        </w:rPr>
      </w:pPr>
    </w:p>
    <w:p w:rsidR="00FF5B57" w:rsidRPr="002128C2" w:rsidRDefault="00FF5B57" w:rsidP="002128C2">
      <w:pPr>
        <w:pStyle w:val="Textoindependiente"/>
        <w:spacing w:line="360" w:lineRule="auto"/>
        <w:jc w:val="center"/>
        <w:rPr>
          <w:rFonts w:ascii="Arial" w:hAnsi="Arial" w:cs="Arial"/>
          <w:bCs/>
          <w:smallCaps/>
          <w:szCs w:val="24"/>
        </w:rPr>
      </w:pPr>
      <w:r w:rsidRPr="002128C2">
        <w:rPr>
          <w:rFonts w:ascii="Arial" w:hAnsi="Arial" w:cs="Arial"/>
          <w:bCs/>
          <w:smallCaps/>
          <w:szCs w:val="24"/>
        </w:rPr>
        <w:t xml:space="preserve">F A L </w:t>
      </w:r>
      <w:proofErr w:type="spellStart"/>
      <w:r w:rsidRPr="002128C2">
        <w:rPr>
          <w:rFonts w:ascii="Arial" w:hAnsi="Arial" w:cs="Arial"/>
          <w:bCs/>
          <w:smallCaps/>
          <w:szCs w:val="24"/>
        </w:rPr>
        <w:t>L</w:t>
      </w:r>
      <w:proofErr w:type="spellEnd"/>
      <w:r w:rsidRPr="002128C2">
        <w:rPr>
          <w:rFonts w:ascii="Arial" w:hAnsi="Arial" w:cs="Arial"/>
          <w:bCs/>
          <w:smallCaps/>
          <w:szCs w:val="24"/>
        </w:rPr>
        <w:t xml:space="preserve"> A,</w:t>
      </w:r>
    </w:p>
    <w:p w:rsidR="00FF5B57" w:rsidRPr="002128C2" w:rsidRDefault="00FF5B57" w:rsidP="00212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lang w:val="es-ES_tradnl"/>
        </w:rPr>
      </w:pPr>
    </w:p>
    <w:p w:rsidR="00FF5B57" w:rsidRPr="002128C2" w:rsidRDefault="00357C99" w:rsidP="002128C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2128C2">
        <w:rPr>
          <w:rFonts w:ascii="Arial" w:hAnsi="Arial" w:cs="Arial"/>
        </w:rPr>
        <w:t xml:space="preserve">NEGAR </w:t>
      </w:r>
      <w:r w:rsidR="00527D67" w:rsidRPr="002128C2">
        <w:rPr>
          <w:rFonts w:ascii="Arial" w:hAnsi="Arial" w:cs="Arial"/>
        </w:rPr>
        <w:t>la acción de tutela presentada</w:t>
      </w:r>
      <w:r w:rsidRPr="002128C2">
        <w:rPr>
          <w:rFonts w:ascii="Arial" w:hAnsi="Arial" w:cs="Arial"/>
        </w:rPr>
        <w:t xml:space="preserve"> por el señor </w:t>
      </w:r>
      <w:r w:rsidR="0000599E">
        <w:rPr>
          <w:rFonts w:ascii="Arial" w:hAnsi="Arial" w:cs="Arial"/>
        </w:rPr>
        <w:t xml:space="preserve">Andrés Morales </w:t>
      </w:r>
      <w:r w:rsidRPr="002128C2">
        <w:rPr>
          <w:rFonts w:ascii="Arial" w:hAnsi="Arial" w:cs="Arial"/>
        </w:rPr>
        <w:t xml:space="preserve">contra el </w:t>
      </w:r>
      <w:r w:rsidR="00527D67" w:rsidRPr="002128C2">
        <w:rPr>
          <w:rFonts w:ascii="Arial" w:hAnsi="Arial" w:cs="Arial"/>
        </w:rPr>
        <w:t xml:space="preserve">Juzgado </w:t>
      </w:r>
      <w:r w:rsidR="00990DF7">
        <w:rPr>
          <w:rFonts w:ascii="Arial" w:hAnsi="Arial" w:cs="Arial"/>
        </w:rPr>
        <w:t>Tercero</w:t>
      </w:r>
      <w:r w:rsidR="00527D67" w:rsidRPr="002128C2">
        <w:rPr>
          <w:rFonts w:ascii="Arial" w:hAnsi="Arial" w:cs="Arial"/>
        </w:rPr>
        <w:t xml:space="preserve"> Civil del Circuito de Pereira </w:t>
      </w:r>
      <w:r w:rsidR="00ED03C4" w:rsidRPr="002128C2">
        <w:rPr>
          <w:rFonts w:ascii="Arial" w:hAnsi="Arial" w:cs="Arial"/>
        </w:rPr>
        <w:t xml:space="preserve">por </w:t>
      </w:r>
      <w:r w:rsidRPr="002128C2">
        <w:rPr>
          <w:rFonts w:ascii="Arial" w:hAnsi="Arial" w:cs="Arial"/>
        </w:rPr>
        <w:t>inexistencia de vulneración o amenaza del derecho fundamental al debido proceso</w:t>
      </w:r>
      <w:r w:rsidR="0023296A" w:rsidRPr="002128C2">
        <w:rPr>
          <w:rFonts w:ascii="Arial" w:hAnsi="Arial" w:cs="Arial"/>
        </w:rPr>
        <w:t>.</w:t>
      </w:r>
    </w:p>
    <w:p w:rsidR="007C583C" w:rsidRPr="002128C2" w:rsidRDefault="007C583C" w:rsidP="002128C2">
      <w:pPr>
        <w:pStyle w:val="Textoindependiente"/>
        <w:tabs>
          <w:tab w:val="clear" w:pos="708"/>
        </w:tabs>
        <w:spacing w:line="360" w:lineRule="auto"/>
        <w:ind w:left="360"/>
        <w:rPr>
          <w:rFonts w:ascii="Arial" w:hAnsi="Arial" w:cs="Arial"/>
          <w:szCs w:val="24"/>
        </w:rPr>
      </w:pPr>
    </w:p>
    <w:p w:rsidR="00357C99" w:rsidRPr="002128C2" w:rsidRDefault="00527D67" w:rsidP="002128C2">
      <w:pPr>
        <w:pStyle w:val="Textoindependiente"/>
        <w:numPr>
          <w:ilvl w:val="0"/>
          <w:numId w:val="6"/>
        </w:numPr>
        <w:tabs>
          <w:tab w:val="clear" w:pos="720"/>
        </w:tabs>
        <w:spacing w:line="360" w:lineRule="auto"/>
        <w:ind w:left="360"/>
        <w:rPr>
          <w:rFonts w:ascii="Arial" w:hAnsi="Arial" w:cs="Arial"/>
          <w:szCs w:val="24"/>
        </w:rPr>
      </w:pPr>
      <w:r w:rsidRPr="002128C2">
        <w:rPr>
          <w:rFonts w:ascii="Arial" w:hAnsi="Arial" w:cs="Arial"/>
          <w:szCs w:val="24"/>
        </w:rPr>
        <w:t>DECLARAR improcedente el amparo constitucional frente</w:t>
      </w:r>
      <w:r w:rsidR="00FA43DA" w:rsidRPr="002128C2">
        <w:rPr>
          <w:rFonts w:ascii="Arial" w:hAnsi="Arial" w:cs="Arial"/>
          <w:szCs w:val="24"/>
          <w:lang w:val="es-CO" w:eastAsia="es-CO"/>
        </w:rPr>
        <w:t xml:space="preserve"> a </w:t>
      </w:r>
      <w:r w:rsidR="00357C99" w:rsidRPr="002128C2">
        <w:rPr>
          <w:rFonts w:ascii="Arial" w:hAnsi="Arial" w:cs="Arial"/>
          <w:szCs w:val="24"/>
        </w:rPr>
        <w:t>la Defensoría del Pueblo y la Procuraduría General de la Nación, Regionales de Risaralda</w:t>
      </w:r>
      <w:r w:rsidR="00FA43DA" w:rsidRPr="002128C2">
        <w:rPr>
          <w:rFonts w:ascii="Arial" w:hAnsi="Arial" w:cs="Arial"/>
          <w:szCs w:val="24"/>
        </w:rPr>
        <w:t>,</w:t>
      </w:r>
      <w:r w:rsidR="00357C99" w:rsidRPr="002128C2">
        <w:rPr>
          <w:rFonts w:ascii="Arial" w:hAnsi="Arial" w:cs="Arial"/>
          <w:szCs w:val="24"/>
        </w:rPr>
        <w:t xml:space="preserve"> y</w:t>
      </w:r>
      <w:r w:rsidR="00FA43DA" w:rsidRPr="002128C2">
        <w:rPr>
          <w:rFonts w:ascii="Arial" w:hAnsi="Arial" w:cs="Arial"/>
          <w:szCs w:val="24"/>
        </w:rPr>
        <w:t>,</w:t>
      </w:r>
      <w:r w:rsidR="00357C99" w:rsidRPr="002128C2">
        <w:rPr>
          <w:rFonts w:ascii="Arial" w:hAnsi="Arial" w:cs="Arial"/>
          <w:szCs w:val="24"/>
        </w:rPr>
        <w:t xml:space="preserve"> </w:t>
      </w:r>
      <w:r w:rsidR="00FA43DA" w:rsidRPr="002128C2">
        <w:rPr>
          <w:rFonts w:ascii="Arial" w:hAnsi="Arial" w:cs="Arial"/>
          <w:szCs w:val="24"/>
        </w:rPr>
        <w:t xml:space="preserve">la Alcaldía y </w:t>
      </w:r>
      <w:r w:rsidR="00A030B3">
        <w:rPr>
          <w:rFonts w:ascii="Arial" w:hAnsi="Arial" w:cs="Arial"/>
          <w:szCs w:val="24"/>
        </w:rPr>
        <w:t xml:space="preserve">la </w:t>
      </w:r>
      <w:r w:rsidR="00FA43DA" w:rsidRPr="002128C2">
        <w:rPr>
          <w:rFonts w:ascii="Arial" w:hAnsi="Arial" w:cs="Arial"/>
          <w:szCs w:val="24"/>
        </w:rPr>
        <w:t>Personería</w:t>
      </w:r>
      <w:r w:rsidR="00357C99" w:rsidRPr="002128C2">
        <w:rPr>
          <w:rFonts w:ascii="Arial" w:hAnsi="Arial" w:cs="Arial"/>
          <w:szCs w:val="24"/>
        </w:rPr>
        <w:t xml:space="preserve"> </w:t>
      </w:r>
      <w:r w:rsidR="00357C99" w:rsidRPr="002128C2">
        <w:rPr>
          <w:rFonts w:ascii="Arial" w:hAnsi="Arial" w:cs="Arial"/>
          <w:spacing w:val="3"/>
          <w:szCs w:val="24"/>
        </w:rPr>
        <w:t xml:space="preserve">de </w:t>
      </w:r>
      <w:r w:rsidRPr="002128C2">
        <w:rPr>
          <w:rFonts w:ascii="Arial" w:hAnsi="Arial" w:cs="Arial"/>
          <w:spacing w:val="3"/>
          <w:szCs w:val="24"/>
        </w:rPr>
        <w:t>Pereira</w:t>
      </w:r>
      <w:r w:rsidR="00357C99" w:rsidRPr="002128C2">
        <w:rPr>
          <w:rFonts w:ascii="Arial" w:hAnsi="Arial" w:cs="Arial"/>
          <w:szCs w:val="24"/>
        </w:rPr>
        <w:t>.</w:t>
      </w:r>
    </w:p>
    <w:p w:rsidR="00357C99" w:rsidRPr="002128C2" w:rsidRDefault="00357C99" w:rsidP="002128C2">
      <w:pPr>
        <w:pStyle w:val="Textoindependiente"/>
        <w:tabs>
          <w:tab w:val="clear" w:pos="708"/>
        </w:tabs>
        <w:spacing w:line="360" w:lineRule="auto"/>
        <w:rPr>
          <w:rFonts w:ascii="Arial" w:hAnsi="Arial" w:cs="Arial"/>
          <w:szCs w:val="24"/>
        </w:rPr>
      </w:pPr>
    </w:p>
    <w:p w:rsidR="00357C99" w:rsidRDefault="00357C99" w:rsidP="002128C2">
      <w:pPr>
        <w:pStyle w:val="Textoindependiente"/>
        <w:numPr>
          <w:ilvl w:val="0"/>
          <w:numId w:val="6"/>
        </w:numPr>
        <w:tabs>
          <w:tab w:val="clear" w:pos="720"/>
          <w:tab w:val="num" w:pos="360"/>
        </w:tabs>
        <w:spacing w:line="360" w:lineRule="auto"/>
        <w:ind w:left="360"/>
        <w:rPr>
          <w:rFonts w:ascii="Arial" w:hAnsi="Arial" w:cs="Arial"/>
          <w:szCs w:val="24"/>
        </w:rPr>
      </w:pPr>
      <w:r w:rsidRPr="002128C2">
        <w:rPr>
          <w:rFonts w:ascii="Arial" w:hAnsi="Arial" w:cs="Arial"/>
          <w:szCs w:val="24"/>
        </w:rPr>
        <w:t xml:space="preserve">NEGAR </w:t>
      </w:r>
      <w:r w:rsidR="00527D67" w:rsidRPr="002128C2">
        <w:rPr>
          <w:rFonts w:ascii="Arial" w:hAnsi="Arial" w:cs="Arial"/>
          <w:szCs w:val="24"/>
        </w:rPr>
        <w:t xml:space="preserve">la acción </w:t>
      </w:r>
      <w:r w:rsidRPr="002128C2">
        <w:rPr>
          <w:rFonts w:ascii="Arial" w:hAnsi="Arial" w:cs="Arial"/>
          <w:szCs w:val="24"/>
        </w:rPr>
        <w:t xml:space="preserve">de tutela </w:t>
      </w:r>
      <w:r w:rsidR="00502EC8" w:rsidRPr="002128C2">
        <w:rPr>
          <w:rFonts w:ascii="Arial" w:hAnsi="Arial" w:cs="Arial"/>
          <w:szCs w:val="24"/>
        </w:rPr>
        <w:t xml:space="preserve">contra </w:t>
      </w:r>
      <w:r w:rsidR="00A030B3">
        <w:rPr>
          <w:rFonts w:ascii="Arial" w:hAnsi="Arial" w:cs="Arial"/>
          <w:szCs w:val="24"/>
          <w:lang w:val="es-CO"/>
        </w:rPr>
        <w:t>los señores Javier Elías Arias Idárraga y Cristian Vásquez</w:t>
      </w:r>
      <w:r w:rsidRPr="002128C2">
        <w:rPr>
          <w:rFonts w:ascii="Arial" w:hAnsi="Arial" w:cs="Arial"/>
          <w:szCs w:val="24"/>
        </w:rPr>
        <w:t>.</w:t>
      </w:r>
    </w:p>
    <w:p w:rsidR="00A030B3" w:rsidRDefault="00A030B3" w:rsidP="00A030B3">
      <w:pPr>
        <w:pStyle w:val="Prrafodelista"/>
        <w:rPr>
          <w:rFonts w:ascii="Arial" w:hAnsi="Arial" w:cs="Arial"/>
        </w:rPr>
      </w:pPr>
    </w:p>
    <w:p w:rsidR="00FF5B57" w:rsidRPr="002128C2" w:rsidRDefault="00FF5B57" w:rsidP="002128C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2128C2">
        <w:rPr>
          <w:rFonts w:ascii="Arial" w:hAnsi="Arial" w:cs="Arial"/>
        </w:rPr>
        <w:t>NOTIFICAR esta decisión a todas las partes, por el medio más expedito y eficaz.</w:t>
      </w:r>
    </w:p>
    <w:p w:rsidR="00FF5B57" w:rsidRPr="002128C2" w:rsidRDefault="00FF5B57" w:rsidP="002128C2">
      <w:pPr>
        <w:pStyle w:val="Textoindependiente"/>
        <w:numPr>
          <w:ilvl w:val="0"/>
          <w:numId w:val="6"/>
        </w:numPr>
        <w:tabs>
          <w:tab w:val="clear" w:pos="720"/>
          <w:tab w:val="num" w:pos="360"/>
        </w:tabs>
        <w:spacing w:line="360" w:lineRule="auto"/>
        <w:ind w:left="360"/>
        <w:rPr>
          <w:rFonts w:ascii="Arial" w:hAnsi="Arial" w:cs="Arial"/>
          <w:szCs w:val="24"/>
        </w:rPr>
      </w:pPr>
      <w:r w:rsidRPr="002128C2">
        <w:rPr>
          <w:rFonts w:ascii="Arial" w:hAnsi="Arial" w:cs="Arial"/>
          <w:szCs w:val="24"/>
        </w:rPr>
        <w:t>REMITIR este expediente, a la Corte Constitucional para su eventual revisión, de no ser impugnada.</w:t>
      </w:r>
    </w:p>
    <w:p w:rsidR="00FF5B57" w:rsidRPr="002128C2" w:rsidRDefault="00FF5B57" w:rsidP="002128C2">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2128C2" w:rsidRDefault="00FF5B57" w:rsidP="002128C2">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2128C2">
        <w:rPr>
          <w:rFonts w:ascii="Arial" w:hAnsi="Arial" w:cs="Arial"/>
        </w:rPr>
        <w:t>ORDENAR el archivo del expediente, surtidos los trámites anteriores.</w:t>
      </w:r>
    </w:p>
    <w:p w:rsidR="00FA43DA" w:rsidRPr="002128C2" w:rsidRDefault="00FA43DA" w:rsidP="002128C2">
      <w:pPr>
        <w:pStyle w:val="Textoindependiente"/>
        <w:spacing w:line="360" w:lineRule="auto"/>
        <w:jc w:val="center"/>
        <w:rPr>
          <w:rFonts w:ascii="Arial" w:hAnsi="Arial"/>
          <w:smallCaps/>
          <w:sz w:val="16"/>
          <w:szCs w:val="24"/>
        </w:rPr>
      </w:pPr>
    </w:p>
    <w:p w:rsidR="00126266" w:rsidRPr="002128C2" w:rsidRDefault="00126266" w:rsidP="002128C2">
      <w:pPr>
        <w:pStyle w:val="Textoindependiente"/>
        <w:spacing w:line="360" w:lineRule="auto"/>
        <w:jc w:val="center"/>
        <w:rPr>
          <w:rFonts w:ascii="Arial" w:hAnsi="Arial"/>
          <w:smallCaps/>
          <w:szCs w:val="24"/>
        </w:rPr>
      </w:pPr>
      <w:r w:rsidRPr="002128C2">
        <w:rPr>
          <w:rFonts w:ascii="Arial" w:hAnsi="Arial"/>
          <w:smallCaps/>
          <w:szCs w:val="24"/>
        </w:rPr>
        <w:t>Notifíquese,</w:t>
      </w:r>
    </w:p>
    <w:p w:rsidR="00DA569C" w:rsidRPr="003F6C16" w:rsidRDefault="00DA569C" w:rsidP="00417DA5">
      <w:pPr>
        <w:pStyle w:val="Textoindependiente"/>
        <w:spacing w:line="360" w:lineRule="auto"/>
        <w:jc w:val="center"/>
        <w:rPr>
          <w:rFonts w:ascii="Arial" w:hAnsi="Arial"/>
          <w:sz w:val="2"/>
          <w:szCs w:val="24"/>
        </w:rPr>
      </w:pPr>
    </w:p>
    <w:p w:rsidR="00B30152" w:rsidRPr="00DB4FF1" w:rsidRDefault="00B30152" w:rsidP="00417DA5">
      <w:pPr>
        <w:pStyle w:val="Textoindependiente"/>
        <w:spacing w:line="360" w:lineRule="auto"/>
        <w:jc w:val="center"/>
        <w:rPr>
          <w:rFonts w:ascii="Arial" w:hAnsi="Arial"/>
          <w:szCs w:val="24"/>
        </w:rPr>
      </w:pPr>
    </w:p>
    <w:p w:rsidR="002128C2" w:rsidRDefault="002128C2" w:rsidP="00417DA5">
      <w:pPr>
        <w:pStyle w:val="Textoindependiente"/>
        <w:spacing w:line="360" w:lineRule="auto"/>
        <w:jc w:val="center"/>
        <w:rPr>
          <w:rFonts w:ascii="Arial" w:hAnsi="Arial"/>
          <w:szCs w:val="24"/>
        </w:rPr>
      </w:pPr>
    </w:p>
    <w:p w:rsidR="00DB4FF1" w:rsidRPr="00DB4FF1" w:rsidRDefault="00DB4FF1" w:rsidP="00417DA5">
      <w:pPr>
        <w:pStyle w:val="Textoindependiente"/>
        <w:spacing w:line="360" w:lineRule="auto"/>
        <w:jc w:val="center"/>
        <w:rPr>
          <w:rFonts w:ascii="Arial" w:hAnsi="Arial"/>
          <w:szCs w:val="24"/>
        </w:rPr>
      </w:pPr>
    </w:p>
    <w:p w:rsidR="00951517" w:rsidRPr="00A0021D" w:rsidRDefault="00951517"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A0021D">
        <w:rPr>
          <w:rFonts w:ascii="Arial" w:hAnsi="Arial" w:cs="Arial"/>
          <w:spacing w:val="-3"/>
          <w:w w:val="150"/>
          <w:sz w:val="28"/>
          <w:lang w:val="es-ES_tradnl"/>
        </w:rPr>
        <w:t>D</w:t>
      </w:r>
      <w:r w:rsidRPr="00A0021D">
        <w:rPr>
          <w:rFonts w:ascii="Arial" w:hAnsi="Arial" w:cs="Arial"/>
          <w:spacing w:val="-3"/>
          <w:w w:val="150"/>
          <w:sz w:val="18"/>
          <w:szCs w:val="16"/>
          <w:lang w:val="es-ES_tradnl"/>
        </w:rPr>
        <w:t xml:space="preserve">UBERNEY </w:t>
      </w:r>
      <w:r w:rsidRPr="00A0021D">
        <w:rPr>
          <w:rFonts w:ascii="Arial" w:hAnsi="Arial" w:cs="Arial"/>
          <w:spacing w:val="-3"/>
          <w:w w:val="150"/>
          <w:sz w:val="28"/>
          <w:lang w:val="es-ES_tradnl"/>
        </w:rPr>
        <w:t>G</w:t>
      </w:r>
      <w:r w:rsidRPr="00A0021D">
        <w:rPr>
          <w:rFonts w:ascii="Arial" w:hAnsi="Arial" w:cs="Arial"/>
          <w:spacing w:val="-3"/>
          <w:w w:val="150"/>
          <w:sz w:val="18"/>
          <w:szCs w:val="16"/>
          <w:lang w:val="es-ES_tradnl"/>
        </w:rPr>
        <w:t xml:space="preserve">RISALES </w:t>
      </w:r>
      <w:r w:rsidRPr="00A0021D">
        <w:rPr>
          <w:rFonts w:ascii="Arial" w:hAnsi="Arial" w:cs="Arial"/>
          <w:spacing w:val="-3"/>
          <w:w w:val="150"/>
          <w:sz w:val="28"/>
          <w:lang w:val="es-ES_tradnl"/>
        </w:rPr>
        <w:t>H</w:t>
      </w:r>
      <w:r w:rsidRPr="00A0021D">
        <w:rPr>
          <w:rFonts w:ascii="Arial" w:hAnsi="Arial" w:cs="Arial"/>
          <w:spacing w:val="-3"/>
          <w:w w:val="150"/>
          <w:sz w:val="18"/>
          <w:szCs w:val="16"/>
          <w:lang w:val="es-ES_tradnl"/>
        </w:rPr>
        <w:t>ERRERA</w:t>
      </w:r>
    </w:p>
    <w:p w:rsidR="00951517" w:rsidRPr="00A0021D" w:rsidRDefault="00951517"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A0021D">
        <w:rPr>
          <w:rFonts w:ascii="Arial" w:hAnsi="Arial" w:cs="Arial"/>
          <w:spacing w:val="-3"/>
          <w:w w:val="150"/>
          <w:sz w:val="28"/>
          <w:lang w:val="es-ES_tradnl"/>
        </w:rPr>
        <w:t>M</w:t>
      </w:r>
      <w:r w:rsidRPr="00A0021D">
        <w:rPr>
          <w:rFonts w:ascii="Arial" w:hAnsi="Arial" w:cs="Arial"/>
          <w:spacing w:val="-3"/>
          <w:w w:val="150"/>
          <w:lang w:val="es-ES_tradnl"/>
        </w:rPr>
        <w:t xml:space="preserve"> </w:t>
      </w:r>
      <w:r w:rsidRPr="00A0021D">
        <w:rPr>
          <w:rFonts w:ascii="Arial" w:hAnsi="Arial" w:cs="Arial"/>
          <w:spacing w:val="-3"/>
          <w:w w:val="150"/>
          <w:sz w:val="18"/>
          <w:szCs w:val="20"/>
          <w:lang w:val="es-ES_tradnl"/>
        </w:rPr>
        <w:t>A G I S T R A D O</w:t>
      </w:r>
    </w:p>
    <w:p w:rsidR="00DB4FF1" w:rsidRPr="00DB4FF1" w:rsidRDefault="00DB4FF1" w:rsidP="00DB4FF1">
      <w:pPr>
        <w:pStyle w:val="Textoindependiente"/>
        <w:spacing w:line="360" w:lineRule="auto"/>
        <w:jc w:val="center"/>
        <w:rPr>
          <w:rFonts w:ascii="Arial" w:hAnsi="Arial"/>
          <w:szCs w:val="24"/>
        </w:rPr>
      </w:pPr>
    </w:p>
    <w:p w:rsidR="00DB4FF1" w:rsidRDefault="00DB4FF1" w:rsidP="00DB4FF1">
      <w:pPr>
        <w:pStyle w:val="Textoindependiente"/>
        <w:spacing w:line="360" w:lineRule="auto"/>
        <w:jc w:val="center"/>
        <w:rPr>
          <w:rFonts w:ascii="Arial" w:hAnsi="Arial"/>
          <w:szCs w:val="24"/>
        </w:rPr>
      </w:pPr>
    </w:p>
    <w:p w:rsidR="00DB4FF1" w:rsidRPr="00DB4FF1" w:rsidRDefault="00DB4FF1" w:rsidP="00DB4FF1">
      <w:pPr>
        <w:pStyle w:val="Textoindependiente"/>
        <w:spacing w:line="360" w:lineRule="auto"/>
        <w:jc w:val="center"/>
        <w:rPr>
          <w:rFonts w:ascii="Arial" w:hAnsi="Arial"/>
          <w:szCs w:val="24"/>
        </w:rPr>
      </w:pPr>
    </w:p>
    <w:p w:rsidR="00951517" w:rsidRPr="002128C2" w:rsidRDefault="00951517"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8"/>
          <w:szCs w:val="18"/>
          <w:lang w:val="es-ES_tradnl"/>
        </w:rPr>
      </w:pPr>
      <w:r w:rsidRPr="00A0021D">
        <w:rPr>
          <w:rFonts w:ascii="Arial" w:hAnsi="Arial"/>
          <w:w w:val="150"/>
          <w:sz w:val="28"/>
          <w:szCs w:val="18"/>
          <w:lang w:val="es-ES_tradnl"/>
        </w:rPr>
        <w:t>E</w:t>
      </w:r>
      <w:r w:rsidRPr="00A0021D">
        <w:rPr>
          <w:rFonts w:ascii="Arial" w:hAnsi="Arial"/>
          <w:w w:val="150"/>
          <w:sz w:val="18"/>
          <w:szCs w:val="18"/>
          <w:lang w:val="es-ES_tradnl"/>
        </w:rPr>
        <w:t>DDER</w:t>
      </w:r>
      <w:r w:rsidRPr="00A0021D">
        <w:rPr>
          <w:rFonts w:ascii="Arial" w:hAnsi="Arial"/>
          <w:w w:val="150"/>
          <w:sz w:val="18"/>
          <w:lang w:val="es-ES_tradnl"/>
        </w:rPr>
        <w:t xml:space="preserve"> </w:t>
      </w:r>
      <w:r w:rsidRPr="00A0021D">
        <w:rPr>
          <w:rFonts w:ascii="Arial" w:hAnsi="Arial"/>
          <w:w w:val="150"/>
          <w:sz w:val="28"/>
          <w:lang w:val="es-ES_tradnl"/>
        </w:rPr>
        <w:t>J</w:t>
      </w:r>
      <w:r w:rsidRPr="00A0021D">
        <w:rPr>
          <w:rFonts w:ascii="Arial" w:hAnsi="Arial"/>
          <w:w w:val="150"/>
          <w:sz w:val="18"/>
          <w:szCs w:val="18"/>
          <w:lang w:val="es-ES_tradnl"/>
        </w:rPr>
        <w:t xml:space="preserve">IMMY </w:t>
      </w:r>
      <w:r w:rsidRPr="00A0021D">
        <w:rPr>
          <w:rFonts w:ascii="Arial" w:hAnsi="Arial"/>
          <w:w w:val="150"/>
          <w:sz w:val="28"/>
          <w:lang w:val="es-ES_tradnl"/>
        </w:rPr>
        <w:t>S</w:t>
      </w:r>
      <w:r w:rsidRPr="00A0021D">
        <w:rPr>
          <w:rFonts w:ascii="Arial" w:hAnsi="Arial"/>
          <w:w w:val="150"/>
          <w:sz w:val="18"/>
          <w:szCs w:val="18"/>
          <w:lang w:val="es-ES_tradnl"/>
        </w:rPr>
        <w:t xml:space="preserve">ÁNCHEZ </w:t>
      </w:r>
      <w:r w:rsidRPr="00A0021D">
        <w:rPr>
          <w:rFonts w:ascii="Arial" w:hAnsi="Arial"/>
          <w:w w:val="150"/>
          <w:sz w:val="28"/>
          <w:szCs w:val="18"/>
          <w:lang w:val="es-ES_tradnl"/>
        </w:rPr>
        <w:t>C.</w:t>
      </w:r>
      <w:r w:rsidRPr="00A0021D">
        <w:rPr>
          <w:rFonts w:ascii="Arial" w:hAnsi="Arial"/>
          <w:w w:val="150"/>
          <w:sz w:val="28"/>
          <w:szCs w:val="18"/>
          <w:lang w:val="es-ES_tradnl"/>
        </w:rPr>
        <w:tab/>
      </w:r>
      <w:r w:rsidRPr="00A0021D">
        <w:rPr>
          <w:rFonts w:ascii="Arial" w:hAnsi="Arial"/>
          <w:w w:val="150"/>
          <w:sz w:val="28"/>
          <w:szCs w:val="18"/>
          <w:lang w:val="es-ES_tradnl"/>
        </w:rPr>
        <w:tab/>
      </w:r>
      <w:r w:rsidRPr="00A0021D">
        <w:rPr>
          <w:rFonts w:ascii="Arial" w:hAnsi="Arial" w:cs="Arial"/>
          <w:spacing w:val="-3"/>
          <w:w w:val="150"/>
          <w:sz w:val="28"/>
          <w:szCs w:val="18"/>
        </w:rPr>
        <w:t>J</w:t>
      </w:r>
      <w:r w:rsidRPr="00A0021D">
        <w:rPr>
          <w:rFonts w:ascii="Arial" w:hAnsi="Arial" w:cs="Arial"/>
          <w:spacing w:val="-3"/>
          <w:w w:val="150"/>
          <w:sz w:val="18"/>
          <w:szCs w:val="18"/>
        </w:rPr>
        <w:t xml:space="preserve">AIME </w:t>
      </w:r>
      <w:r w:rsidRPr="00A0021D">
        <w:rPr>
          <w:rFonts w:ascii="Arial" w:hAnsi="Arial" w:cs="Arial"/>
          <w:spacing w:val="-3"/>
          <w:w w:val="150"/>
          <w:sz w:val="28"/>
          <w:szCs w:val="18"/>
        </w:rPr>
        <w:t>A</w:t>
      </w:r>
      <w:r w:rsidRPr="00A0021D">
        <w:rPr>
          <w:rFonts w:ascii="Arial" w:hAnsi="Arial"/>
          <w:w w:val="150"/>
          <w:sz w:val="18"/>
          <w:szCs w:val="18"/>
        </w:rPr>
        <w:t xml:space="preserve">LBERTO </w:t>
      </w:r>
      <w:r w:rsidRPr="00A0021D">
        <w:rPr>
          <w:rFonts w:ascii="Arial" w:hAnsi="Arial" w:cs="Arial"/>
          <w:spacing w:val="-3"/>
          <w:w w:val="150"/>
          <w:sz w:val="28"/>
          <w:szCs w:val="18"/>
        </w:rPr>
        <w:t>S</w:t>
      </w:r>
      <w:r w:rsidRPr="00A0021D">
        <w:rPr>
          <w:rFonts w:ascii="Arial" w:hAnsi="Arial" w:cs="Arial"/>
          <w:spacing w:val="-3"/>
          <w:w w:val="150"/>
          <w:sz w:val="18"/>
          <w:szCs w:val="16"/>
        </w:rPr>
        <w:t xml:space="preserve">ARAZA </w:t>
      </w:r>
      <w:r w:rsidRPr="00A0021D">
        <w:rPr>
          <w:rFonts w:ascii="Arial" w:hAnsi="Arial" w:cs="Arial"/>
          <w:spacing w:val="-3"/>
          <w:w w:val="150"/>
          <w:sz w:val="28"/>
          <w:szCs w:val="18"/>
        </w:rPr>
        <w:t>N.</w:t>
      </w:r>
    </w:p>
    <w:p w:rsidR="002128C2" w:rsidRDefault="00951517"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A0021D">
        <w:rPr>
          <w:rFonts w:ascii="Arial" w:hAnsi="Arial" w:cs="Arial"/>
          <w:w w:val="150"/>
          <w:sz w:val="28"/>
          <w:lang w:val="es-ES_tradnl"/>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2128C2">
        <w:rPr>
          <w:rFonts w:ascii="Arial" w:hAnsi="Arial" w:cs="Arial"/>
          <w:w w:val="150"/>
          <w:sz w:val="18"/>
          <w:lang w:val="en-GB"/>
        </w:rPr>
        <w:t xml:space="preserve">  </w:t>
      </w:r>
    </w:p>
    <w:p w:rsidR="002128C2" w:rsidRDefault="002128C2"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E606C4" w:rsidRDefault="002128C2"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C655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026" w:rsidRDefault="001D3026" w:rsidP="0099045D">
      <w:r>
        <w:separator/>
      </w:r>
    </w:p>
  </w:endnote>
  <w:endnote w:type="continuationSeparator" w:id="0">
    <w:p w:rsidR="001D3026" w:rsidRDefault="001D302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1B" w:rsidRDefault="00ED601B"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ED601B" w:rsidRDefault="00ED601B" w:rsidP="0013771A">
    <w:pPr>
      <w:pStyle w:val="Piedepgina"/>
      <w:spacing w:line="360" w:lineRule="auto"/>
      <w:jc w:val="right"/>
      <w:rPr>
        <w:rFonts w:ascii="Arial" w:hAnsi="Arial" w:cs="Arial"/>
        <w:spacing w:val="20"/>
        <w:w w:val="200"/>
        <w:sz w:val="14"/>
        <w:szCs w:val="10"/>
        <w:lang w:val="es-CO"/>
      </w:rPr>
    </w:pPr>
  </w:p>
  <w:p w:rsidR="00ED601B" w:rsidRPr="003E18D8" w:rsidRDefault="00ED601B"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ED601B" w:rsidRPr="007F7D49" w:rsidRDefault="00ED601B"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026" w:rsidRDefault="001D3026" w:rsidP="0099045D">
      <w:r>
        <w:separator/>
      </w:r>
    </w:p>
  </w:footnote>
  <w:footnote w:type="continuationSeparator" w:id="0">
    <w:p w:rsidR="001D3026" w:rsidRDefault="001D3026" w:rsidP="0099045D">
      <w:r>
        <w:continuationSeparator/>
      </w:r>
    </w:p>
  </w:footnote>
  <w:footnote w:id="1">
    <w:p w:rsidR="00F42D41" w:rsidRDefault="00F42D41" w:rsidP="00F42D41">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42D41" w:rsidRPr="00567558" w:rsidRDefault="00F42D41" w:rsidP="00F42D41">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002A0EAB">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F42D41" w:rsidRPr="00567558" w:rsidRDefault="00F42D41" w:rsidP="00F42D41">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w:t>
      </w:r>
      <w:r w:rsidR="002A0EAB">
        <w:rPr>
          <w:rFonts w:ascii="Calibri" w:hAnsi="Calibri" w:cs="Calibri"/>
          <w:lang w:val="es-MX"/>
        </w:rPr>
        <w:t>CC</w:t>
      </w:r>
      <w:r w:rsidRPr="00567558">
        <w:rPr>
          <w:rFonts w:ascii="Calibri" w:hAnsi="Calibri" w:cs="Calibri"/>
          <w:lang w:val="es-MX"/>
        </w:rPr>
        <w:t>. Sentencia C-590 de 2005.</w:t>
      </w:r>
    </w:p>
  </w:footnote>
  <w:footnote w:id="4">
    <w:p w:rsidR="00F42D41" w:rsidRPr="00FF68BE" w:rsidRDefault="00F42D41" w:rsidP="00F42D41">
      <w:pPr>
        <w:pStyle w:val="Textonotapie"/>
        <w:jc w:val="both"/>
        <w:rPr>
          <w:rFonts w:ascii="Calibri" w:hAnsi="Calibri" w:cs="Calibri"/>
        </w:rPr>
      </w:pPr>
      <w:r w:rsidRPr="00567558">
        <w:rPr>
          <w:rStyle w:val="Refdenotaalpie"/>
          <w:rFonts w:ascii="Calibri" w:hAnsi="Calibri" w:cs="Calibri"/>
        </w:rPr>
        <w:footnoteRef/>
      </w:r>
      <w:r w:rsidRPr="00567558">
        <w:rPr>
          <w:rFonts w:ascii="Calibri" w:hAnsi="Calibri" w:cs="Calibri"/>
          <w:lang w:val="es-MX"/>
        </w:rPr>
        <w:t xml:space="preserve"> </w:t>
      </w:r>
      <w:r w:rsidR="002A0EAB">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F42D41" w:rsidRPr="005D1B2D" w:rsidRDefault="00F42D41" w:rsidP="00F42D41">
      <w:pPr>
        <w:pStyle w:val="Textonotapie"/>
        <w:rPr>
          <w:lang w:val="es-CO"/>
        </w:rPr>
      </w:pPr>
      <w:r>
        <w:rPr>
          <w:rStyle w:val="Refdenotaalpie"/>
        </w:rPr>
        <w:footnoteRef/>
      </w:r>
      <w:r>
        <w:t xml:space="preserve"> </w:t>
      </w:r>
      <w:r w:rsidR="002A0EAB">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42D41" w:rsidRPr="00567558" w:rsidRDefault="00F42D41" w:rsidP="00F42D41">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42D41" w:rsidRDefault="00F42D41" w:rsidP="00F42D41">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0E73B3" w:rsidRPr="00052412" w:rsidRDefault="000E73B3" w:rsidP="000E73B3">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lang w:val="es-MX"/>
        </w:rPr>
        <w:t xml:space="preserve"> </w:t>
      </w:r>
      <w:r w:rsidR="002A0EAB">
        <w:rPr>
          <w:rFonts w:asciiTheme="minorHAnsi" w:hAnsiTheme="minorHAnsi" w:cs="Calibri"/>
          <w:lang w:val="es-MX"/>
        </w:rPr>
        <w:t>CC</w:t>
      </w:r>
      <w:r w:rsidRPr="00052412">
        <w:rPr>
          <w:rFonts w:asciiTheme="minorHAnsi" w:hAnsiTheme="minorHAnsi" w:cs="Calibri"/>
          <w:lang w:val="es-MX"/>
        </w:rPr>
        <w:t>. Sentencia T-231 de 1994.</w:t>
      </w:r>
    </w:p>
  </w:footnote>
  <w:footnote w:id="9">
    <w:p w:rsidR="000E73B3" w:rsidRPr="00052412" w:rsidRDefault="000E73B3" w:rsidP="000E73B3">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w:t>
      </w:r>
      <w:r w:rsidR="002A0EAB">
        <w:rPr>
          <w:rFonts w:asciiTheme="minorHAnsi" w:hAnsiTheme="minorHAnsi" w:cs="Calibri"/>
          <w:lang w:val="es-MX"/>
        </w:rPr>
        <w:t>CC</w:t>
      </w:r>
      <w:r w:rsidRPr="00052412">
        <w:rPr>
          <w:rFonts w:asciiTheme="minorHAnsi" w:hAnsiTheme="minorHAnsi" w:cs="Calibri"/>
          <w:lang w:val="es-MX"/>
        </w:rPr>
        <w:t>. Sentencia T-831 de 2012</w:t>
      </w:r>
      <w:r>
        <w:rPr>
          <w:rFonts w:asciiTheme="minorHAnsi" w:hAnsiTheme="minorHAnsi" w:cs="Calibri"/>
          <w:lang w:val="es-MX"/>
        </w:rPr>
        <w:t>.</w:t>
      </w:r>
    </w:p>
  </w:footnote>
  <w:footnote w:id="10">
    <w:p w:rsidR="000E73B3" w:rsidRPr="00052412" w:rsidRDefault="000E73B3" w:rsidP="000E73B3">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1">
    <w:p w:rsidR="000E73B3" w:rsidRPr="000A1B5D" w:rsidRDefault="000E73B3" w:rsidP="000E73B3">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002A0EAB">
        <w:rPr>
          <w:rFonts w:asciiTheme="minorHAnsi" w:hAnsiTheme="minorHAnsi" w:cs="Calibri"/>
          <w:lang w:val="es-MX"/>
        </w:rPr>
        <w:t>CC</w:t>
      </w:r>
      <w:r w:rsidRPr="000A1B5D">
        <w:rPr>
          <w:rFonts w:asciiTheme="minorHAnsi" w:hAnsiTheme="minorHAnsi"/>
          <w:lang w:val="es-CO"/>
        </w:rPr>
        <w:t>. Sentencia T-573 de 1997</w:t>
      </w:r>
      <w:r>
        <w:rPr>
          <w:rFonts w:asciiTheme="minorHAnsi" w:hAnsiTheme="minorHAnsi"/>
          <w:lang w:val="es-CO"/>
        </w:rPr>
        <w:t>.</w:t>
      </w:r>
    </w:p>
  </w:footnote>
  <w:footnote w:id="12">
    <w:p w:rsidR="000E73B3" w:rsidRPr="000A1B5D" w:rsidRDefault="000E73B3" w:rsidP="000E73B3">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002A0EAB">
        <w:rPr>
          <w:rFonts w:asciiTheme="minorHAnsi" w:hAnsiTheme="minorHAnsi" w:cs="Calibri"/>
          <w:lang w:val="es-MX"/>
        </w:rPr>
        <w:t>CC</w:t>
      </w:r>
      <w:r w:rsidRPr="000A1B5D">
        <w:rPr>
          <w:rFonts w:asciiTheme="minorHAnsi" w:hAnsiTheme="minorHAnsi"/>
          <w:lang w:val="es-CO"/>
        </w:rPr>
        <w:t>. Sentencia T-567 de 1998.</w:t>
      </w:r>
    </w:p>
  </w:footnote>
  <w:footnote w:id="13">
    <w:p w:rsidR="000E73B3" w:rsidRPr="000A1B5D" w:rsidRDefault="000E73B3" w:rsidP="000E73B3">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002A0EAB">
        <w:rPr>
          <w:rFonts w:asciiTheme="minorHAnsi" w:hAnsiTheme="minorHAnsi" w:cs="Calibri"/>
          <w:lang w:val="es-MX"/>
        </w:rPr>
        <w:t>CC</w:t>
      </w:r>
      <w:r w:rsidRPr="000A1B5D">
        <w:rPr>
          <w:rFonts w:asciiTheme="minorHAnsi" w:hAnsiTheme="minorHAnsi"/>
          <w:lang w:val="es-CO"/>
        </w:rPr>
        <w:t>. Sentencia T-001 de 1999.</w:t>
      </w:r>
    </w:p>
  </w:footnote>
  <w:footnote w:id="14">
    <w:p w:rsidR="000E73B3" w:rsidRPr="000A1B5D" w:rsidRDefault="000E73B3" w:rsidP="000E73B3">
      <w:pPr>
        <w:pStyle w:val="Textonotapie"/>
        <w:rPr>
          <w:rFonts w:asciiTheme="minorHAnsi" w:hAnsiTheme="minorHAnsi"/>
          <w:lang w:val="es-CO"/>
        </w:rPr>
      </w:pPr>
      <w:r w:rsidRPr="000A1B5D">
        <w:rPr>
          <w:rStyle w:val="Refdenotaalpie"/>
          <w:rFonts w:asciiTheme="minorHAnsi" w:hAnsiTheme="minorHAnsi"/>
        </w:rPr>
        <w:footnoteRef/>
      </w:r>
      <w:r w:rsidRPr="000A1B5D">
        <w:rPr>
          <w:rFonts w:asciiTheme="minorHAnsi" w:hAnsiTheme="minorHAnsi"/>
        </w:rPr>
        <w:t xml:space="preserve"> </w:t>
      </w:r>
      <w:r w:rsidR="002A0EAB">
        <w:rPr>
          <w:rFonts w:asciiTheme="minorHAnsi" w:hAnsiTheme="minorHAnsi" w:cs="Calibri"/>
          <w:lang w:val="es-MX"/>
        </w:rPr>
        <w:t>CC</w:t>
      </w:r>
      <w:r w:rsidRPr="000A1B5D">
        <w:rPr>
          <w:rFonts w:asciiTheme="minorHAnsi" w:hAnsiTheme="minorHAnsi" w:cs="Calibri"/>
          <w:lang w:val="es-MX"/>
        </w:rPr>
        <w:t xml:space="preserve">. Sentencia SU-949 </w:t>
      </w:r>
      <w:r>
        <w:rPr>
          <w:rFonts w:asciiTheme="minorHAnsi" w:hAnsiTheme="minorHAnsi" w:cs="Calibri"/>
          <w:lang w:val="es-MX"/>
        </w:rPr>
        <w:t xml:space="preserve">de </w:t>
      </w:r>
      <w:r w:rsidRPr="000A1B5D">
        <w:rPr>
          <w:rFonts w:asciiTheme="minorHAnsi" w:hAnsiTheme="minorHAnsi" w:cs="Calibri"/>
          <w:lang w:val="es-MX"/>
        </w:rPr>
        <w:t>2014.</w:t>
      </w:r>
    </w:p>
  </w:footnote>
  <w:footnote w:id="15">
    <w:p w:rsidR="000E73B3" w:rsidRPr="00993BE7" w:rsidRDefault="000E73B3" w:rsidP="000E73B3">
      <w:pPr>
        <w:pStyle w:val="Textonotapie"/>
        <w:rPr>
          <w:rFonts w:asciiTheme="minorHAnsi" w:hAnsiTheme="minorHAnsi" w:cs="Calibri"/>
          <w:lang w:val="es-MX"/>
        </w:rPr>
      </w:pPr>
      <w:r>
        <w:rPr>
          <w:rStyle w:val="Refdenotaalpie"/>
        </w:rPr>
        <w:footnoteRef/>
      </w:r>
      <w:r>
        <w:t xml:space="preserve"> </w:t>
      </w:r>
      <w:r w:rsidR="002A0EAB">
        <w:rPr>
          <w:rFonts w:asciiTheme="minorHAnsi" w:hAnsiTheme="minorHAnsi" w:cs="Calibri"/>
          <w:lang w:val="es-MX"/>
        </w:rPr>
        <w:t>CC</w:t>
      </w:r>
      <w:r w:rsidRPr="000A1B5D">
        <w:rPr>
          <w:rFonts w:asciiTheme="minorHAnsi" w:hAnsiTheme="minorHAnsi" w:cs="Calibri"/>
          <w:lang w:val="es-MX"/>
        </w:rPr>
        <w:t xml:space="preserve">.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Pr>
          <w:rFonts w:asciiTheme="minorHAnsi" w:hAnsiTheme="minorHAnsi" w:cs="Calibri"/>
          <w:lang w:val="es-MX"/>
        </w:rPr>
        <w:t xml:space="preserve"> 2015</w:t>
      </w:r>
      <w:r w:rsidRPr="000A1B5D">
        <w:rPr>
          <w:rFonts w:asciiTheme="minorHAnsi" w:hAnsiTheme="minorHAnsi" w:cs="Calibri"/>
          <w:lang w:val="es-MX"/>
        </w:rPr>
        <w:t>.</w:t>
      </w:r>
    </w:p>
  </w:footnote>
  <w:footnote w:id="16">
    <w:p w:rsidR="000E73B3" w:rsidRPr="003F120A" w:rsidRDefault="000E73B3" w:rsidP="000E73B3">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sidR="002A0EAB">
        <w:rPr>
          <w:rFonts w:asciiTheme="minorHAnsi" w:hAnsiTheme="minorHAnsi" w:cs="Calibri"/>
          <w:lang w:val="es-MX"/>
        </w:rPr>
        <w:t>CC</w:t>
      </w:r>
      <w:r w:rsidRPr="000A1B5D">
        <w:rPr>
          <w:rFonts w:asciiTheme="minorHAnsi" w:hAnsiTheme="minorHAnsi" w:cs="Calibri"/>
          <w:lang w:val="es-MX"/>
        </w:rPr>
        <w:t>. Sentencia SU-949 de</w:t>
      </w:r>
      <w:r>
        <w:rPr>
          <w:rFonts w:asciiTheme="minorHAnsi" w:hAnsiTheme="minorHAnsi" w:cs="Calibri"/>
          <w:lang w:val="es-MX"/>
        </w:rPr>
        <w:t xml:space="preserve"> </w:t>
      </w:r>
      <w:r w:rsidRPr="000A1B5D">
        <w:rPr>
          <w:rFonts w:asciiTheme="minorHAnsi" w:hAnsiTheme="minorHAnsi" w:cs="Calibri"/>
          <w:lang w:val="es-MX"/>
        </w:rPr>
        <w:t>2014</w:t>
      </w:r>
      <w:r>
        <w:rPr>
          <w:rFonts w:asciiTheme="minorHAnsi" w:hAnsiTheme="minorHAnsi" w:cs="Calibri"/>
          <w:lang w:val="es-MX"/>
        </w:rPr>
        <w:t>.</w:t>
      </w:r>
      <w:r w:rsidRPr="003F120A">
        <w:rPr>
          <w:rFonts w:asciiTheme="minorHAnsi" w:hAnsiTheme="minorHAnsi"/>
          <w:lang w:val="es-CO"/>
        </w:rPr>
        <w:t xml:space="preserve"> </w:t>
      </w:r>
    </w:p>
  </w:footnote>
  <w:footnote w:id="17">
    <w:p w:rsidR="000E73B3" w:rsidRPr="000D1189" w:rsidRDefault="000E73B3" w:rsidP="000E73B3">
      <w:pPr>
        <w:pStyle w:val="Default"/>
        <w:jc w:val="both"/>
        <w:rPr>
          <w:rFonts w:asciiTheme="minorHAnsi" w:hAnsiTheme="minorHAnsi"/>
          <w:sz w:val="20"/>
          <w:szCs w:val="20"/>
        </w:rPr>
      </w:pPr>
      <w:r w:rsidRPr="000D1189">
        <w:rPr>
          <w:rStyle w:val="Refdenotaalpie"/>
          <w:rFonts w:asciiTheme="minorHAnsi" w:hAnsiTheme="minorHAnsi"/>
          <w:sz w:val="20"/>
          <w:szCs w:val="20"/>
        </w:rPr>
        <w:footnoteRef/>
      </w:r>
      <w:r w:rsidRPr="000D1189">
        <w:rPr>
          <w:rFonts w:asciiTheme="minorHAnsi" w:hAnsiTheme="minorHAnsi"/>
          <w:sz w:val="20"/>
          <w:szCs w:val="20"/>
        </w:rPr>
        <w:t xml:space="preserve"> </w:t>
      </w:r>
      <w:r w:rsidR="002A0EAB">
        <w:rPr>
          <w:rFonts w:asciiTheme="minorHAnsi" w:hAnsiTheme="minorHAnsi" w:cs="Calibri"/>
          <w:sz w:val="20"/>
          <w:szCs w:val="20"/>
        </w:rPr>
        <w:t>CE</w:t>
      </w:r>
      <w:r>
        <w:rPr>
          <w:rFonts w:asciiTheme="minorHAnsi" w:hAnsiTheme="minorHAnsi" w:cs="Calibri"/>
          <w:sz w:val="20"/>
          <w:szCs w:val="20"/>
        </w:rPr>
        <w:t>,</w:t>
      </w:r>
      <w:r w:rsidRPr="000D1189">
        <w:rPr>
          <w:rFonts w:asciiTheme="minorHAnsi" w:hAnsiTheme="minorHAnsi" w:cs="Calibri"/>
          <w:sz w:val="20"/>
          <w:szCs w:val="20"/>
        </w:rPr>
        <w:t xml:space="preserve"> Sala de lo Contencioso Administrativo, Sección Primera</w:t>
      </w:r>
      <w:r>
        <w:rPr>
          <w:rFonts w:asciiTheme="minorHAnsi" w:hAnsiTheme="minorHAnsi" w:cs="Calibri"/>
          <w:sz w:val="20"/>
          <w:szCs w:val="20"/>
        </w:rPr>
        <w:t>.</w:t>
      </w:r>
      <w:r w:rsidR="00891F6A">
        <w:rPr>
          <w:rFonts w:asciiTheme="minorHAnsi" w:hAnsiTheme="minorHAnsi" w:cs="Calibri"/>
          <w:sz w:val="20"/>
          <w:szCs w:val="20"/>
        </w:rPr>
        <w:t xml:space="preserve"> Sentencia 19-11-2009, CP </w:t>
      </w:r>
      <w:r w:rsidRPr="000D1189">
        <w:rPr>
          <w:rFonts w:asciiTheme="minorHAnsi" w:hAnsiTheme="minorHAnsi" w:cs="Calibri"/>
          <w:sz w:val="20"/>
          <w:szCs w:val="20"/>
        </w:rPr>
        <w:t xml:space="preserve">(E): María </w:t>
      </w:r>
      <w:r w:rsidR="00891F6A">
        <w:rPr>
          <w:rFonts w:asciiTheme="minorHAnsi" w:hAnsiTheme="minorHAnsi" w:cs="Calibri"/>
          <w:sz w:val="20"/>
          <w:szCs w:val="20"/>
        </w:rPr>
        <w:t xml:space="preserve">C. </w:t>
      </w:r>
      <w:r w:rsidRPr="000D1189">
        <w:rPr>
          <w:rFonts w:asciiTheme="minorHAnsi" w:hAnsiTheme="minorHAnsi" w:cs="Calibri"/>
          <w:sz w:val="20"/>
          <w:szCs w:val="20"/>
        </w:rPr>
        <w:t xml:space="preserve">Rojas </w:t>
      </w:r>
      <w:r w:rsidR="00891F6A">
        <w:rPr>
          <w:rFonts w:asciiTheme="minorHAnsi" w:hAnsiTheme="minorHAnsi" w:cs="Calibri"/>
          <w:sz w:val="20"/>
          <w:szCs w:val="20"/>
        </w:rPr>
        <w:t xml:space="preserve">L. </w:t>
      </w:r>
      <w:proofErr w:type="spellStart"/>
      <w:r w:rsidRPr="000D1189">
        <w:rPr>
          <w:rFonts w:asciiTheme="minorHAnsi" w:hAnsiTheme="minorHAnsi"/>
          <w:sz w:val="20"/>
          <w:szCs w:val="20"/>
        </w:rPr>
        <w:t>exp</w:t>
      </w:r>
      <w:proofErr w:type="spellEnd"/>
      <w:r w:rsidRPr="000D1189">
        <w:rPr>
          <w:rFonts w:asciiTheme="minorHAnsi" w:hAnsiTheme="minorHAnsi"/>
          <w:sz w:val="20"/>
          <w:szCs w:val="20"/>
        </w:rPr>
        <w:t xml:space="preserve">. </w:t>
      </w:r>
      <w:r w:rsidR="00891F6A">
        <w:rPr>
          <w:rFonts w:asciiTheme="minorHAnsi" w:hAnsiTheme="minorHAnsi"/>
          <w:sz w:val="20"/>
          <w:szCs w:val="20"/>
        </w:rPr>
        <w:t>No.</w:t>
      </w:r>
      <w:r w:rsidRPr="000D1189">
        <w:rPr>
          <w:rFonts w:asciiTheme="minorHAnsi" w:hAnsiTheme="minorHAnsi" w:cs="Times New Roman"/>
          <w:color w:val="auto"/>
          <w:sz w:val="20"/>
          <w:szCs w:val="20"/>
        </w:rPr>
        <w:t>41001-23-31-000-2004-01175-01(AP).</w:t>
      </w:r>
      <w:r w:rsidRPr="000D1189">
        <w:rPr>
          <w:rFonts w:asciiTheme="minorHAnsi" w:hAnsiTheme="minorHAnsi"/>
          <w:b/>
          <w:bCs/>
          <w:sz w:val="20"/>
          <w:szCs w:val="20"/>
        </w:rPr>
        <w:t xml:space="preserve"> </w:t>
      </w:r>
    </w:p>
  </w:footnote>
  <w:footnote w:id="18">
    <w:p w:rsidR="000E73B3" w:rsidRPr="000D1189" w:rsidRDefault="000E73B3" w:rsidP="000E73B3">
      <w:pPr>
        <w:jc w:val="both"/>
        <w:rPr>
          <w:rFonts w:asciiTheme="minorHAnsi" w:hAnsiTheme="minorHAnsi" w:cs="Arial"/>
          <w:sz w:val="20"/>
          <w:szCs w:val="20"/>
          <w:lang w:val="es-CO"/>
        </w:rPr>
      </w:pPr>
      <w:r w:rsidRPr="000D1189">
        <w:rPr>
          <w:rStyle w:val="Refdenotaalpie"/>
          <w:rFonts w:asciiTheme="minorHAnsi" w:hAnsiTheme="minorHAnsi" w:cs="Arial"/>
          <w:sz w:val="20"/>
          <w:szCs w:val="20"/>
        </w:rPr>
        <w:footnoteRef/>
      </w:r>
      <w:r w:rsidRPr="000D1189">
        <w:rPr>
          <w:rFonts w:asciiTheme="minorHAnsi" w:hAnsiTheme="minorHAnsi" w:cs="Arial"/>
          <w:sz w:val="20"/>
          <w:szCs w:val="20"/>
        </w:rPr>
        <w:t xml:space="preserve"> </w:t>
      </w:r>
      <w:r w:rsidR="002A0EAB">
        <w:rPr>
          <w:rFonts w:asciiTheme="minorHAnsi" w:hAnsiTheme="minorHAnsi" w:cs="Arial"/>
          <w:sz w:val="20"/>
          <w:szCs w:val="20"/>
          <w:lang w:val="es-CO"/>
        </w:rPr>
        <w:t>CSJ</w:t>
      </w:r>
      <w:r w:rsidRPr="000D1189">
        <w:rPr>
          <w:rFonts w:asciiTheme="minorHAnsi" w:hAnsiTheme="minorHAnsi" w:cs="Arial"/>
          <w:sz w:val="20"/>
          <w:szCs w:val="20"/>
          <w:lang w:val="es-CO"/>
        </w:rPr>
        <w:t xml:space="preserve">, Sala Civil; Sentencia del 03-03-2011, MP: Arturo Solarte Rodríguez; </w:t>
      </w:r>
      <w:proofErr w:type="spellStart"/>
      <w:r w:rsidRPr="000D1189">
        <w:rPr>
          <w:rFonts w:asciiTheme="minorHAnsi" w:hAnsiTheme="minorHAnsi" w:cs="Arial"/>
          <w:sz w:val="20"/>
          <w:szCs w:val="20"/>
          <w:lang w:val="es-CO"/>
        </w:rPr>
        <w:t>exp</w:t>
      </w:r>
      <w:proofErr w:type="spellEnd"/>
      <w:r w:rsidRPr="000D1189">
        <w:rPr>
          <w:rFonts w:asciiTheme="minorHAnsi" w:hAnsiTheme="minorHAnsi" w:cs="Arial"/>
          <w:sz w:val="20"/>
          <w:szCs w:val="20"/>
          <w:lang w:val="es-CO"/>
        </w:rPr>
        <w:t>. No. 11001-22-03-000-2011-00029-01.</w:t>
      </w:r>
    </w:p>
  </w:footnote>
  <w:footnote w:id="19">
    <w:p w:rsidR="000E73B3" w:rsidRPr="000D1189" w:rsidRDefault="000E73B3" w:rsidP="000E73B3">
      <w:pPr>
        <w:pStyle w:val="Textonotapie"/>
        <w:rPr>
          <w:rFonts w:asciiTheme="minorHAnsi" w:hAnsiTheme="minorHAnsi"/>
          <w:lang w:val="es-CO"/>
        </w:rPr>
      </w:pPr>
      <w:r w:rsidRPr="000D1189">
        <w:rPr>
          <w:rStyle w:val="Refdenotaalpie"/>
          <w:rFonts w:asciiTheme="minorHAnsi" w:hAnsiTheme="minorHAnsi"/>
        </w:rPr>
        <w:footnoteRef/>
      </w:r>
      <w:r w:rsidRPr="000D1189">
        <w:rPr>
          <w:rFonts w:asciiTheme="minorHAnsi" w:hAnsiTheme="minorHAnsi"/>
        </w:rPr>
        <w:t xml:space="preserve"> </w:t>
      </w:r>
      <w:r w:rsidR="002A0EAB">
        <w:rPr>
          <w:rFonts w:asciiTheme="minorHAnsi" w:hAnsiTheme="minorHAnsi" w:cs="Calibri"/>
        </w:rPr>
        <w:t>CE</w:t>
      </w:r>
      <w:r>
        <w:rPr>
          <w:rFonts w:asciiTheme="minorHAnsi" w:hAnsiTheme="minorHAnsi" w:cs="Calibri"/>
        </w:rPr>
        <w:t>,</w:t>
      </w:r>
      <w:r w:rsidRPr="000D1189">
        <w:rPr>
          <w:rFonts w:asciiTheme="minorHAnsi" w:hAnsiTheme="minorHAnsi" w:cs="Calibri"/>
        </w:rPr>
        <w:t xml:space="preserve"> Sala de lo Contencioso Administrativo</w:t>
      </w:r>
      <w:r w:rsidRPr="000D1189">
        <w:rPr>
          <w:rFonts w:asciiTheme="minorHAnsi" w:hAnsiTheme="minorHAnsi"/>
          <w:lang w:val="es-CO"/>
        </w:rPr>
        <w:t xml:space="preserve">, Sección Primera, </w:t>
      </w:r>
      <w:proofErr w:type="spellStart"/>
      <w:r w:rsidRPr="000D1189">
        <w:rPr>
          <w:rFonts w:asciiTheme="minorHAnsi" w:hAnsiTheme="minorHAnsi"/>
          <w:lang w:val="es-CO"/>
        </w:rPr>
        <w:t>exp</w:t>
      </w:r>
      <w:proofErr w:type="spellEnd"/>
      <w:r w:rsidRPr="000D1189">
        <w:rPr>
          <w:rFonts w:asciiTheme="minorHAnsi" w:hAnsiTheme="minorHAnsi"/>
          <w:lang w:val="es-CO"/>
        </w:rPr>
        <w:t xml:space="preserve">. </w:t>
      </w:r>
      <w:r w:rsidR="00891F6A">
        <w:rPr>
          <w:rFonts w:asciiTheme="minorHAnsi" w:hAnsiTheme="minorHAnsi"/>
          <w:lang w:val="es-CO"/>
        </w:rPr>
        <w:t>No.</w:t>
      </w:r>
      <w:r w:rsidRPr="000D1189">
        <w:rPr>
          <w:rFonts w:asciiTheme="minorHAnsi" w:hAnsiTheme="minorHAnsi"/>
          <w:lang w:val="es-CO"/>
        </w:rPr>
        <w:t>2002-01521-01 (AP)</w:t>
      </w:r>
    </w:p>
  </w:footnote>
  <w:footnote w:id="20">
    <w:p w:rsidR="000E73B3" w:rsidRPr="00B7649D" w:rsidRDefault="000E73B3" w:rsidP="000E73B3">
      <w:pPr>
        <w:pStyle w:val="Textonotapie"/>
        <w:jc w:val="both"/>
        <w:rPr>
          <w:rFonts w:asciiTheme="minorHAnsi" w:hAnsiTheme="minorHAnsi" w:cs="Calibri"/>
          <w:b/>
          <w:bCs/>
        </w:rPr>
      </w:pPr>
      <w:r w:rsidRPr="00140D59">
        <w:rPr>
          <w:rStyle w:val="Refdenotaalpie"/>
          <w:rFonts w:asciiTheme="minorHAnsi" w:hAnsiTheme="minorHAnsi"/>
        </w:rPr>
        <w:footnoteRef/>
      </w:r>
      <w:r w:rsidRPr="00140D59">
        <w:rPr>
          <w:rFonts w:asciiTheme="minorHAnsi" w:hAnsiTheme="minorHAnsi"/>
        </w:rPr>
        <w:t xml:space="preserve"> </w:t>
      </w:r>
      <w:r w:rsidR="00A030B3">
        <w:rPr>
          <w:rFonts w:asciiTheme="minorHAnsi" w:hAnsiTheme="minorHAnsi" w:cs="Calibri"/>
          <w:lang w:val="es-CO"/>
        </w:rPr>
        <w:t>TSP</w:t>
      </w:r>
      <w:r w:rsidRPr="0063543E">
        <w:rPr>
          <w:rFonts w:asciiTheme="minorHAnsi" w:hAnsiTheme="minorHAnsi" w:cs="Calibri"/>
          <w:lang w:val="es-CO"/>
        </w:rPr>
        <w:t xml:space="preserve">, Sala Civil – Familia. </w:t>
      </w:r>
      <w:r>
        <w:rPr>
          <w:rFonts w:asciiTheme="minorHAnsi" w:hAnsiTheme="minorHAnsi" w:cs="Calibri"/>
          <w:lang w:val="es-CO"/>
        </w:rPr>
        <w:t xml:space="preserve">Sentencias </w:t>
      </w:r>
      <w:r w:rsidRPr="0063543E">
        <w:rPr>
          <w:rFonts w:asciiTheme="minorHAnsi" w:hAnsiTheme="minorHAnsi" w:cs="Calibri"/>
          <w:lang w:val="es-CO"/>
        </w:rPr>
        <w:t>del</w:t>
      </w:r>
      <w:r w:rsidRPr="0063543E">
        <w:rPr>
          <w:rFonts w:asciiTheme="minorHAnsi" w:hAnsiTheme="minorHAnsi" w:cs="Calibri"/>
        </w:rPr>
        <w:t xml:space="preserve"> 19-03-2015</w:t>
      </w:r>
      <w:r w:rsidR="002A0EAB">
        <w:rPr>
          <w:rFonts w:asciiTheme="minorHAnsi" w:hAnsiTheme="minorHAnsi" w:cs="Calibri"/>
        </w:rPr>
        <w:t>,</w:t>
      </w:r>
      <w:r>
        <w:rPr>
          <w:rFonts w:asciiTheme="minorHAnsi" w:hAnsiTheme="minorHAnsi" w:cs="Calibri"/>
        </w:rPr>
        <w:t xml:space="preserve"> 13-05-2015</w:t>
      </w:r>
      <w:r w:rsidR="002A0EAB">
        <w:rPr>
          <w:rFonts w:asciiTheme="minorHAnsi" w:hAnsiTheme="minorHAnsi" w:cs="Calibri"/>
        </w:rPr>
        <w:t xml:space="preserve"> y 16-02-2016</w:t>
      </w:r>
      <w:r w:rsidRPr="0063543E">
        <w:rPr>
          <w:rFonts w:asciiTheme="minorHAnsi" w:hAnsiTheme="minorHAnsi" w:cs="Calibri"/>
        </w:rPr>
        <w:t xml:space="preserve">; </w:t>
      </w:r>
      <w:proofErr w:type="spellStart"/>
      <w:r w:rsidRPr="0063543E">
        <w:rPr>
          <w:rFonts w:asciiTheme="minorHAnsi" w:hAnsiTheme="minorHAnsi" w:cs="Calibri"/>
        </w:rPr>
        <w:t>MP</w:t>
      </w:r>
      <w:proofErr w:type="spellEnd"/>
      <w:r w:rsidRPr="0063543E">
        <w:rPr>
          <w:rFonts w:asciiTheme="minorHAnsi" w:hAnsiTheme="minorHAnsi" w:cs="Calibri"/>
        </w:rPr>
        <w:t xml:space="preserve">: </w:t>
      </w:r>
      <w:proofErr w:type="spellStart"/>
      <w:r w:rsidRPr="0063543E">
        <w:rPr>
          <w:rFonts w:asciiTheme="minorHAnsi" w:hAnsiTheme="minorHAnsi" w:cs="Calibri"/>
        </w:rPr>
        <w:t>Duberney</w:t>
      </w:r>
      <w:proofErr w:type="spellEnd"/>
      <w:r w:rsidRPr="0063543E">
        <w:rPr>
          <w:rFonts w:asciiTheme="minorHAnsi" w:hAnsiTheme="minorHAnsi" w:cs="Calibri"/>
        </w:rPr>
        <w:t xml:space="preserve"> Grisales Herrera, </w:t>
      </w:r>
      <w:proofErr w:type="spellStart"/>
      <w:r w:rsidRPr="00140D59">
        <w:rPr>
          <w:rFonts w:asciiTheme="minorHAnsi" w:hAnsiTheme="minorHAnsi" w:cs="Calibri"/>
        </w:rPr>
        <w:t>exp</w:t>
      </w:r>
      <w:proofErr w:type="spellEnd"/>
      <w:r w:rsidR="002A0EAB">
        <w:rPr>
          <w:rFonts w:asciiTheme="minorHAnsi" w:hAnsiTheme="minorHAnsi" w:cs="Calibri"/>
        </w:rPr>
        <w:t>.</w:t>
      </w:r>
      <w:r w:rsidRPr="00140D59">
        <w:rPr>
          <w:rFonts w:asciiTheme="minorHAnsi" w:hAnsiTheme="minorHAnsi" w:cs="Calibri"/>
        </w:rPr>
        <w:t xml:space="preserve"> No</w:t>
      </w:r>
      <w:r w:rsidR="002A0EAB">
        <w:rPr>
          <w:rFonts w:asciiTheme="minorHAnsi" w:hAnsiTheme="minorHAnsi" w:cs="Calibri"/>
        </w:rPr>
        <w:t>s</w:t>
      </w:r>
      <w:r w:rsidRPr="00140D59">
        <w:rPr>
          <w:rFonts w:asciiTheme="minorHAnsi" w:hAnsiTheme="minorHAnsi" w:cs="Calibri"/>
        </w:rPr>
        <w:t>.2015-000</w:t>
      </w:r>
      <w:r>
        <w:rPr>
          <w:rFonts w:asciiTheme="minorHAnsi" w:hAnsiTheme="minorHAnsi" w:cs="Calibri"/>
        </w:rPr>
        <w:t>67</w:t>
      </w:r>
      <w:r w:rsidRPr="00140D59">
        <w:rPr>
          <w:rFonts w:asciiTheme="minorHAnsi" w:hAnsiTheme="minorHAnsi" w:cs="Calibri"/>
        </w:rPr>
        <w:t>-00</w:t>
      </w:r>
      <w:r w:rsidR="002A0EAB">
        <w:rPr>
          <w:rFonts w:asciiTheme="minorHAnsi" w:hAnsiTheme="minorHAnsi" w:cs="Calibri"/>
        </w:rPr>
        <w:t xml:space="preserve">, </w:t>
      </w:r>
      <w:r w:rsidRPr="00B7649D">
        <w:rPr>
          <w:rFonts w:asciiTheme="minorHAnsi" w:hAnsiTheme="minorHAnsi" w:cs="Calibri"/>
        </w:rPr>
        <w:t>2015-00133-00</w:t>
      </w:r>
      <w:r w:rsidR="002A0EAB">
        <w:rPr>
          <w:rFonts w:asciiTheme="minorHAnsi" w:hAnsiTheme="minorHAnsi" w:cs="Calibri"/>
        </w:rPr>
        <w:t xml:space="preserve"> y 2016-00182-00</w:t>
      </w:r>
      <w:r>
        <w:rPr>
          <w:rFonts w:asciiTheme="minorHAnsi" w:hAnsiTheme="minorHAnsi" w:cs="Calibri"/>
        </w:rPr>
        <w:t xml:space="preserve">, entre otras. </w:t>
      </w:r>
    </w:p>
  </w:footnote>
  <w:footnote w:id="21">
    <w:p w:rsidR="000E73B3" w:rsidRPr="008C138F" w:rsidRDefault="000E73B3" w:rsidP="000E73B3">
      <w:pPr>
        <w:pStyle w:val="Textonotapie"/>
        <w:jc w:val="both"/>
        <w:rPr>
          <w:rFonts w:ascii="Calibri" w:hAnsi="Calibri"/>
          <w:lang w:val="es-CO"/>
        </w:rPr>
      </w:pPr>
      <w:r>
        <w:rPr>
          <w:rStyle w:val="Refdenotaalpie"/>
        </w:rPr>
        <w:footnoteRef/>
      </w:r>
      <w:r>
        <w:t xml:space="preserve"> </w:t>
      </w:r>
      <w:r w:rsidR="002A0EAB">
        <w:rPr>
          <w:rFonts w:asciiTheme="minorHAnsi" w:hAnsiTheme="minorHAnsi" w:cs="Calibri"/>
        </w:rPr>
        <w:t>CSJ</w:t>
      </w:r>
      <w:r w:rsidRPr="00140D59">
        <w:rPr>
          <w:rFonts w:asciiTheme="minorHAnsi" w:hAnsiTheme="minorHAnsi" w:cs="Calibri"/>
        </w:rPr>
        <w:t xml:space="preserve">, Sala </w:t>
      </w:r>
      <w:r>
        <w:rPr>
          <w:rFonts w:asciiTheme="minorHAnsi" w:hAnsiTheme="minorHAnsi" w:cs="Calibri"/>
        </w:rPr>
        <w:t>Civil</w:t>
      </w:r>
      <w:r w:rsidR="00891F6A">
        <w:rPr>
          <w:rFonts w:asciiTheme="minorHAnsi" w:hAnsiTheme="minorHAnsi" w:cs="Calibri"/>
        </w:rPr>
        <w:t xml:space="preserve">. </w:t>
      </w:r>
      <w:r w:rsidRPr="00140D59">
        <w:rPr>
          <w:rFonts w:asciiTheme="minorHAnsi" w:hAnsiTheme="minorHAnsi" w:cs="Calibri"/>
        </w:rPr>
        <w:t>Providencia</w:t>
      </w:r>
      <w:r w:rsidR="002A0EAB">
        <w:rPr>
          <w:rFonts w:asciiTheme="minorHAnsi" w:hAnsiTheme="minorHAnsi" w:cs="Calibri"/>
        </w:rPr>
        <w:t>s</w:t>
      </w:r>
      <w:r w:rsidRPr="00140D59">
        <w:rPr>
          <w:rFonts w:asciiTheme="minorHAnsi" w:hAnsiTheme="minorHAnsi" w:cs="Calibri"/>
        </w:rPr>
        <w:t xml:space="preserve"> </w:t>
      </w:r>
      <w:r>
        <w:rPr>
          <w:rFonts w:asciiTheme="minorHAnsi" w:hAnsiTheme="minorHAnsi" w:cs="Calibri"/>
        </w:rPr>
        <w:t>STC5116-2015</w:t>
      </w:r>
      <w:r w:rsidR="002A0EAB">
        <w:rPr>
          <w:rFonts w:asciiTheme="minorHAnsi" w:hAnsiTheme="minorHAnsi" w:cs="Calibri"/>
        </w:rPr>
        <w:t xml:space="preserve">, </w:t>
      </w:r>
      <w:r w:rsidR="002A0EAB" w:rsidRPr="00A73176">
        <w:rPr>
          <w:rFonts w:asciiTheme="minorHAnsi" w:hAnsiTheme="minorHAnsi" w:cs="Calibri"/>
          <w:lang w:val="es-ES_tradnl"/>
        </w:rPr>
        <w:t>STC10743-2015</w:t>
      </w:r>
      <w:r w:rsidR="002A0EAB">
        <w:rPr>
          <w:rFonts w:asciiTheme="minorHAnsi" w:hAnsiTheme="minorHAnsi" w:cs="Calibri"/>
          <w:lang w:val="es-ES_tradnl"/>
        </w:rPr>
        <w:t xml:space="preserve"> y </w:t>
      </w:r>
      <w:r w:rsidR="002A0EAB" w:rsidRPr="00B67A5A">
        <w:rPr>
          <w:rFonts w:ascii="Calibri" w:hAnsi="Calibri" w:cs="Arial"/>
        </w:rPr>
        <w:t>STC3947-2016</w:t>
      </w:r>
      <w:r w:rsidRPr="00140D59">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1B" w:rsidRPr="006414F7" w:rsidRDefault="00ED601B">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67211A">
      <w:rPr>
        <w:rFonts w:ascii="Calibri" w:hAnsi="Calibri" w:cs="Calibri"/>
        <w:i/>
        <w:noProof/>
        <w:sz w:val="20"/>
      </w:rPr>
      <w:t>1</w:t>
    </w:r>
    <w:r w:rsidRPr="006414F7">
      <w:rPr>
        <w:rFonts w:ascii="Calibri" w:hAnsi="Calibri" w:cs="Calibri"/>
        <w:i/>
        <w:sz w:val="20"/>
      </w:rPr>
      <w:fldChar w:fldCharType="end"/>
    </w:r>
  </w:p>
  <w:p w:rsidR="00ED601B" w:rsidRPr="006414F7" w:rsidRDefault="00ED601B"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3B2A36">
      <w:rPr>
        <w:rFonts w:ascii="Calibri" w:hAnsi="Calibri" w:cs="Calibri"/>
        <w:i/>
        <w:sz w:val="20"/>
        <w:szCs w:val="22"/>
      </w:rPr>
      <w:t>00929</w:t>
    </w:r>
    <w:r>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39A2360"/>
    <w:multiLevelType w:val="multilevel"/>
    <w:tmpl w:val="BFFA55FE"/>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3"/>
  </w:num>
  <w:num w:numId="5">
    <w:abstractNumId w:val="23"/>
  </w:num>
  <w:num w:numId="6">
    <w:abstractNumId w:val="0"/>
  </w:num>
  <w:num w:numId="7">
    <w:abstractNumId w:val="19"/>
  </w:num>
  <w:num w:numId="8">
    <w:abstractNumId w:val="1"/>
  </w:num>
  <w:num w:numId="9">
    <w:abstractNumId w:val="25"/>
  </w:num>
  <w:num w:numId="10">
    <w:abstractNumId w:val="20"/>
  </w:num>
  <w:num w:numId="11">
    <w:abstractNumId w:val="17"/>
  </w:num>
  <w:num w:numId="12">
    <w:abstractNumId w:val="22"/>
  </w:num>
  <w:num w:numId="13">
    <w:abstractNumId w:val="9"/>
  </w:num>
  <w:num w:numId="14">
    <w:abstractNumId w:val="11"/>
  </w:num>
  <w:num w:numId="15">
    <w:abstractNumId w:val="15"/>
  </w:num>
  <w:num w:numId="16">
    <w:abstractNumId w:val="4"/>
  </w:num>
  <w:num w:numId="17">
    <w:abstractNumId w:val="16"/>
  </w:num>
  <w:num w:numId="18">
    <w:abstractNumId w:val="8"/>
  </w:num>
  <w:num w:numId="19">
    <w:abstractNumId w:val="5"/>
  </w:num>
  <w:num w:numId="20">
    <w:abstractNumId w:val="12"/>
  </w:num>
  <w:num w:numId="21">
    <w:abstractNumId w:val="18"/>
  </w:num>
  <w:num w:numId="22">
    <w:abstractNumId w:val="21"/>
  </w:num>
  <w:num w:numId="23">
    <w:abstractNumId w:val="7"/>
  </w:num>
  <w:num w:numId="24">
    <w:abstractNumId w:val="10"/>
  </w:num>
  <w:num w:numId="2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6"/>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9E"/>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77C68"/>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946"/>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6EBC"/>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09A5"/>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E73B3"/>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313"/>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2B32"/>
    <w:rsid w:val="0019341E"/>
    <w:rsid w:val="00193995"/>
    <w:rsid w:val="00193D37"/>
    <w:rsid w:val="0019525B"/>
    <w:rsid w:val="00195D5E"/>
    <w:rsid w:val="001971C0"/>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026"/>
    <w:rsid w:val="001D33DC"/>
    <w:rsid w:val="001D3AEC"/>
    <w:rsid w:val="001D48C5"/>
    <w:rsid w:val="001D4BF9"/>
    <w:rsid w:val="001D5671"/>
    <w:rsid w:val="001D644E"/>
    <w:rsid w:val="001D687C"/>
    <w:rsid w:val="001D6AA0"/>
    <w:rsid w:val="001D6F12"/>
    <w:rsid w:val="001D7253"/>
    <w:rsid w:val="001D7D12"/>
    <w:rsid w:val="001E0127"/>
    <w:rsid w:val="001E115F"/>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28C2"/>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85E"/>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6FAC"/>
    <w:rsid w:val="0028757D"/>
    <w:rsid w:val="002877D0"/>
    <w:rsid w:val="00287A79"/>
    <w:rsid w:val="00287DB4"/>
    <w:rsid w:val="00290DB8"/>
    <w:rsid w:val="0029114D"/>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0EAB"/>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ABA"/>
    <w:rsid w:val="002F5CFC"/>
    <w:rsid w:val="002F6CFE"/>
    <w:rsid w:val="0030086F"/>
    <w:rsid w:val="00301345"/>
    <w:rsid w:val="00301387"/>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DE9"/>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1E33"/>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A36"/>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72B"/>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78D"/>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27D67"/>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33"/>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8F4"/>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11A"/>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413"/>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2296"/>
    <w:rsid w:val="0075358D"/>
    <w:rsid w:val="00754365"/>
    <w:rsid w:val="007547A7"/>
    <w:rsid w:val="00754C5E"/>
    <w:rsid w:val="00754D42"/>
    <w:rsid w:val="00755273"/>
    <w:rsid w:val="007561FF"/>
    <w:rsid w:val="00756584"/>
    <w:rsid w:val="00756756"/>
    <w:rsid w:val="00757AEF"/>
    <w:rsid w:val="00757EF4"/>
    <w:rsid w:val="00760440"/>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E6"/>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1F6A"/>
    <w:rsid w:val="00892529"/>
    <w:rsid w:val="0089260E"/>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535"/>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5C"/>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8E7"/>
    <w:rsid w:val="00932CAA"/>
    <w:rsid w:val="009345B8"/>
    <w:rsid w:val="00934829"/>
    <w:rsid w:val="0093486D"/>
    <w:rsid w:val="00934911"/>
    <w:rsid w:val="009363CF"/>
    <w:rsid w:val="0093690C"/>
    <w:rsid w:val="00936BEB"/>
    <w:rsid w:val="00936EB9"/>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DF7"/>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4D5"/>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0B3"/>
    <w:rsid w:val="00A039B2"/>
    <w:rsid w:val="00A03A22"/>
    <w:rsid w:val="00A03FD8"/>
    <w:rsid w:val="00A042BA"/>
    <w:rsid w:val="00A04E12"/>
    <w:rsid w:val="00A054D8"/>
    <w:rsid w:val="00A056E0"/>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0C7"/>
    <w:rsid w:val="00A67F54"/>
    <w:rsid w:val="00A7037C"/>
    <w:rsid w:val="00A7096D"/>
    <w:rsid w:val="00A7163A"/>
    <w:rsid w:val="00A71827"/>
    <w:rsid w:val="00A72360"/>
    <w:rsid w:val="00A72986"/>
    <w:rsid w:val="00A729C3"/>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491A"/>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0D8E"/>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EDA"/>
    <w:rsid w:val="00B41F3E"/>
    <w:rsid w:val="00B42816"/>
    <w:rsid w:val="00B431A9"/>
    <w:rsid w:val="00B435AF"/>
    <w:rsid w:val="00B43B6B"/>
    <w:rsid w:val="00B44CD8"/>
    <w:rsid w:val="00B44EBF"/>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43CF"/>
    <w:rsid w:val="00C847EA"/>
    <w:rsid w:val="00C864B7"/>
    <w:rsid w:val="00C86DA6"/>
    <w:rsid w:val="00C87118"/>
    <w:rsid w:val="00C87EC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A62"/>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86DE5"/>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D38"/>
    <w:rsid w:val="00DB4EE6"/>
    <w:rsid w:val="00DB4F9E"/>
    <w:rsid w:val="00DB4FEB"/>
    <w:rsid w:val="00DB4FF1"/>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DC9"/>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9C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885"/>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3F4"/>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1B"/>
    <w:rsid w:val="00ED60D0"/>
    <w:rsid w:val="00ED6E3C"/>
    <w:rsid w:val="00ED73B0"/>
    <w:rsid w:val="00ED749D"/>
    <w:rsid w:val="00ED7F33"/>
    <w:rsid w:val="00EE056E"/>
    <w:rsid w:val="00EE0BFD"/>
    <w:rsid w:val="00EE1268"/>
    <w:rsid w:val="00EE1777"/>
    <w:rsid w:val="00EE1A0F"/>
    <w:rsid w:val="00EE1C51"/>
    <w:rsid w:val="00EE2420"/>
    <w:rsid w:val="00EE2673"/>
    <w:rsid w:val="00EE28E7"/>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2D41"/>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3DA"/>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5389D-D049-45D8-99A9-F8D903A5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3469</Words>
  <Characters>19081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10</cp:revision>
  <cp:lastPrinted>2016-10-10T18:43:00Z</cp:lastPrinted>
  <dcterms:created xsi:type="dcterms:W3CDTF">2016-10-07T15:36:00Z</dcterms:created>
  <dcterms:modified xsi:type="dcterms:W3CDTF">2017-01-11T20:33:00Z</dcterms:modified>
</cp:coreProperties>
</file>