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DB" w:rsidRPr="00B32804" w:rsidRDefault="00515BDB" w:rsidP="00515BDB">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515BDB" w:rsidRDefault="00515BDB" w:rsidP="0068600A">
      <w:pPr>
        <w:pStyle w:val="Sinespaciado"/>
        <w:rPr>
          <w:rFonts w:asciiTheme="minorHAnsi" w:hAnsiTheme="minorHAnsi" w:cstheme="minorHAnsi"/>
          <w:sz w:val="18"/>
          <w:szCs w:val="18"/>
        </w:rPr>
      </w:pPr>
    </w:p>
    <w:p w:rsidR="0068600A" w:rsidRPr="0068600A" w:rsidRDefault="0068600A" w:rsidP="0068600A">
      <w:pPr>
        <w:pStyle w:val="Sinespaciado"/>
        <w:rPr>
          <w:rFonts w:asciiTheme="minorHAnsi" w:hAnsiTheme="minorHAnsi" w:cstheme="minorHAnsi"/>
          <w:sz w:val="18"/>
          <w:szCs w:val="18"/>
        </w:rPr>
      </w:pPr>
      <w:r w:rsidRPr="0068600A">
        <w:rPr>
          <w:rFonts w:asciiTheme="minorHAnsi" w:hAnsiTheme="minorHAnsi" w:cstheme="minorHAnsi"/>
          <w:sz w:val="18"/>
          <w:szCs w:val="18"/>
        </w:rPr>
        <w:t xml:space="preserve">Asunto: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F106CF" w:rsidRPr="0068600A">
        <w:rPr>
          <w:rFonts w:asciiTheme="minorHAnsi" w:hAnsiTheme="minorHAnsi" w:cstheme="minorHAnsi"/>
          <w:sz w:val="18"/>
          <w:szCs w:val="18"/>
          <w:lang w:val="es-CO"/>
        </w:rPr>
        <w:t>Sentencia de tutela</w:t>
      </w:r>
      <w:r w:rsidRPr="0068600A">
        <w:rPr>
          <w:rFonts w:asciiTheme="minorHAnsi" w:hAnsiTheme="minorHAnsi" w:cstheme="minorHAnsi"/>
          <w:sz w:val="18"/>
          <w:szCs w:val="18"/>
          <w:lang w:val="es-CO"/>
        </w:rPr>
        <w:t xml:space="preserve"> – 1ª </w:t>
      </w:r>
      <w:r w:rsidR="00F106CF" w:rsidRPr="0068600A">
        <w:rPr>
          <w:rFonts w:asciiTheme="minorHAnsi" w:hAnsiTheme="minorHAnsi" w:cstheme="minorHAnsi"/>
          <w:sz w:val="18"/>
          <w:szCs w:val="18"/>
          <w:lang w:val="es-CO"/>
        </w:rPr>
        <w:t xml:space="preserve"> instancia</w:t>
      </w:r>
      <w:r w:rsidRPr="0068600A">
        <w:rPr>
          <w:rFonts w:asciiTheme="minorHAnsi" w:hAnsiTheme="minorHAnsi" w:cstheme="minorHAnsi"/>
          <w:sz w:val="18"/>
          <w:szCs w:val="18"/>
          <w:lang w:val="es-CO"/>
        </w:rPr>
        <w:t xml:space="preserve"> – 2 de noviembre de 2016</w:t>
      </w:r>
    </w:p>
    <w:p w:rsidR="0068600A" w:rsidRDefault="0068600A" w:rsidP="0068600A">
      <w:pPr>
        <w:pStyle w:val="Sinespaciado"/>
        <w:rPr>
          <w:rFonts w:asciiTheme="minorHAnsi" w:hAnsiTheme="minorHAnsi" w:cstheme="minorHAnsi"/>
          <w:sz w:val="18"/>
          <w:szCs w:val="18"/>
        </w:rPr>
      </w:pPr>
      <w:r>
        <w:rPr>
          <w:rFonts w:asciiTheme="minorHAnsi" w:hAnsiTheme="minorHAnsi" w:cstheme="minorHAnsi"/>
          <w:sz w:val="18"/>
          <w:szCs w:val="18"/>
        </w:rPr>
        <w:t>Radicación</w:t>
      </w:r>
      <w:r w:rsidRPr="0068600A">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68600A">
        <w:rPr>
          <w:rFonts w:asciiTheme="minorHAnsi" w:hAnsiTheme="minorHAnsi" w:cstheme="minorHAnsi"/>
          <w:sz w:val="18"/>
          <w:szCs w:val="18"/>
        </w:rPr>
        <w:t>2016-00962-00 (Interno No.962)</w:t>
      </w:r>
    </w:p>
    <w:p w:rsidR="0068600A" w:rsidRPr="0068600A" w:rsidRDefault="0068600A" w:rsidP="0068600A">
      <w:pPr>
        <w:pStyle w:val="Sinespaciado"/>
        <w:rPr>
          <w:rFonts w:asciiTheme="minorHAnsi" w:hAnsiTheme="minorHAnsi" w:cstheme="minorHAnsi"/>
          <w:sz w:val="18"/>
          <w:szCs w:val="18"/>
        </w:rPr>
      </w:pPr>
      <w:r>
        <w:rPr>
          <w:rFonts w:asciiTheme="minorHAnsi" w:hAnsiTheme="minorHAnsi" w:cstheme="minorHAnsi"/>
          <w:sz w:val="18"/>
          <w:szCs w:val="18"/>
        </w:rPr>
        <w:t>Accionante</w:t>
      </w:r>
      <w:r w:rsidRPr="0068600A">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00242321" w:rsidRPr="0068600A">
        <w:rPr>
          <w:rFonts w:asciiTheme="minorHAnsi" w:hAnsiTheme="minorHAnsi" w:cstheme="minorHAnsi"/>
          <w:sz w:val="18"/>
          <w:szCs w:val="18"/>
        </w:rPr>
        <w:t>JAVIER ELÍAS ARIAS IDÁRRAGA</w:t>
      </w:r>
    </w:p>
    <w:p w:rsidR="0068600A" w:rsidRDefault="0068600A" w:rsidP="0068600A">
      <w:pPr>
        <w:pStyle w:val="Sinespaciado"/>
        <w:rPr>
          <w:rFonts w:asciiTheme="minorHAnsi" w:hAnsiTheme="minorHAnsi" w:cstheme="minorHAnsi"/>
          <w:sz w:val="18"/>
          <w:szCs w:val="18"/>
        </w:rPr>
      </w:pPr>
      <w:r w:rsidRPr="0068600A">
        <w:rPr>
          <w:rFonts w:asciiTheme="minorHAnsi" w:hAnsiTheme="minorHAnsi" w:cstheme="minorHAnsi"/>
          <w:sz w:val="18"/>
          <w:szCs w:val="18"/>
        </w:rPr>
        <w:t xml:space="preserve">Accionado: </w:t>
      </w:r>
      <w:r>
        <w:rPr>
          <w:rFonts w:asciiTheme="minorHAnsi" w:hAnsiTheme="minorHAnsi" w:cstheme="minorHAnsi"/>
          <w:sz w:val="18"/>
          <w:szCs w:val="18"/>
        </w:rPr>
        <w:tab/>
      </w:r>
      <w:r>
        <w:rPr>
          <w:rFonts w:asciiTheme="minorHAnsi" w:hAnsiTheme="minorHAnsi" w:cstheme="minorHAnsi"/>
          <w:sz w:val="18"/>
          <w:szCs w:val="18"/>
        </w:rPr>
        <w:tab/>
      </w:r>
      <w:r w:rsidR="00242321" w:rsidRPr="0068600A">
        <w:rPr>
          <w:rFonts w:asciiTheme="minorHAnsi" w:hAnsiTheme="minorHAnsi" w:cstheme="minorHAnsi"/>
          <w:sz w:val="18"/>
          <w:szCs w:val="18"/>
        </w:rPr>
        <w:t>JUZGADO TERCERO CIVIL DEL CIRCUITO DE PEREIRA Y OTRA</w:t>
      </w:r>
    </w:p>
    <w:p w:rsidR="00596382" w:rsidRPr="0068600A" w:rsidRDefault="00630542" w:rsidP="0068600A">
      <w:pPr>
        <w:pStyle w:val="Sinespaciado"/>
        <w:rPr>
          <w:rFonts w:asciiTheme="minorHAnsi" w:hAnsiTheme="minorHAnsi" w:cstheme="minorHAnsi"/>
          <w:sz w:val="18"/>
          <w:szCs w:val="18"/>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00596382" w:rsidRPr="00B32804">
        <w:rPr>
          <w:rFonts w:ascii="Calibri" w:hAnsi="Calibri" w:cs="Calibri"/>
          <w:color w:val="222222"/>
          <w:sz w:val="18"/>
          <w:szCs w:val="18"/>
          <w:lang w:val="es-CO" w:eastAsia="fr-FR"/>
        </w:rPr>
        <w:t>Acción de Tutela – Sentencia que niega el amparo solicitado</w:t>
      </w:r>
    </w:p>
    <w:p w:rsidR="0068600A" w:rsidRPr="0068600A" w:rsidRDefault="0068600A" w:rsidP="0068600A">
      <w:pPr>
        <w:pStyle w:val="Sinespaciado"/>
        <w:rPr>
          <w:rFonts w:asciiTheme="minorHAnsi" w:hAnsiTheme="minorHAnsi" w:cstheme="minorHAnsi"/>
          <w:sz w:val="18"/>
          <w:szCs w:val="18"/>
        </w:rPr>
      </w:pPr>
      <w:r>
        <w:rPr>
          <w:rFonts w:asciiTheme="minorHAnsi" w:hAnsiTheme="minorHAnsi" w:cstheme="minorHAnsi"/>
          <w:sz w:val="18"/>
          <w:szCs w:val="18"/>
        </w:rPr>
        <w:t>Magistrado Ponente</w:t>
      </w:r>
      <w:r w:rsidRPr="0068600A">
        <w:rPr>
          <w:rFonts w:asciiTheme="minorHAnsi" w:hAnsiTheme="minorHAnsi" w:cstheme="minorHAnsi"/>
          <w:sz w:val="18"/>
          <w:szCs w:val="18"/>
        </w:rPr>
        <w:t xml:space="preserve">: </w:t>
      </w:r>
      <w:r>
        <w:rPr>
          <w:rFonts w:asciiTheme="minorHAnsi" w:hAnsiTheme="minorHAnsi" w:cstheme="minorHAnsi"/>
          <w:sz w:val="18"/>
          <w:szCs w:val="18"/>
        </w:rPr>
        <w:tab/>
      </w:r>
      <w:r w:rsidR="00242321" w:rsidRPr="0068600A">
        <w:rPr>
          <w:rFonts w:asciiTheme="minorHAnsi" w:hAnsiTheme="minorHAnsi" w:cstheme="minorHAnsi"/>
          <w:smallCaps/>
          <w:sz w:val="18"/>
          <w:szCs w:val="18"/>
        </w:rPr>
        <w:t>DUBERNEY GRISALES HERRERA</w:t>
      </w:r>
    </w:p>
    <w:p w:rsidR="00204D7B" w:rsidRDefault="00204D7B" w:rsidP="00596382">
      <w:pPr>
        <w:pStyle w:val="Textonotapie"/>
        <w:jc w:val="both"/>
        <w:rPr>
          <w:rFonts w:asciiTheme="minorHAnsi" w:hAnsiTheme="minorHAnsi" w:cstheme="minorHAnsi"/>
          <w:b/>
          <w:bCs/>
          <w:sz w:val="18"/>
          <w:szCs w:val="18"/>
          <w:lang w:val="es-CO"/>
        </w:rPr>
      </w:pPr>
    </w:p>
    <w:p w:rsidR="00596382" w:rsidRPr="00596382" w:rsidRDefault="00596382" w:rsidP="00596382">
      <w:pPr>
        <w:pStyle w:val="Textonotapie"/>
        <w:jc w:val="both"/>
        <w:rPr>
          <w:rFonts w:asciiTheme="minorHAnsi" w:hAnsiTheme="minorHAnsi" w:cstheme="minorHAnsi"/>
          <w:sz w:val="18"/>
          <w:szCs w:val="18"/>
          <w:lang w:val="es-CO" w:eastAsia="fr-FR"/>
        </w:rPr>
      </w:pPr>
      <w:r>
        <w:rPr>
          <w:rFonts w:asciiTheme="minorHAnsi" w:hAnsiTheme="minorHAnsi" w:cstheme="minorHAnsi"/>
          <w:b/>
          <w:bCs/>
          <w:sz w:val="18"/>
          <w:szCs w:val="18"/>
          <w:lang w:val="es-CO"/>
        </w:rPr>
        <w:t>Tema</w:t>
      </w:r>
      <w:r w:rsidR="00204D7B">
        <w:rPr>
          <w:rFonts w:asciiTheme="minorHAnsi" w:hAnsiTheme="minorHAnsi" w:cstheme="minorHAnsi"/>
          <w:b/>
          <w:bCs/>
          <w:sz w:val="18"/>
          <w:szCs w:val="18"/>
          <w:lang w:val="es-CO"/>
        </w:rPr>
        <w:t>s</w:t>
      </w:r>
      <w:r>
        <w:rPr>
          <w:rFonts w:asciiTheme="minorHAnsi" w:hAnsiTheme="minorHAnsi" w:cstheme="minorHAnsi"/>
          <w:b/>
          <w:bCs/>
          <w:sz w:val="18"/>
          <w:szCs w:val="18"/>
          <w:lang w:val="es-CO"/>
        </w:rPr>
        <w:t xml:space="preserve">: </w:t>
      </w:r>
      <w:r>
        <w:rPr>
          <w:rFonts w:asciiTheme="minorHAnsi" w:hAnsiTheme="minorHAnsi" w:cstheme="minorHAnsi"/>
          <w:b/>
          <w:bCs/>
          <w:sz w:val="18"/>
          <w:szCs w:val="18"/>
          <w:lang w:val="es-CO"/>
        </w:rPr>
        <w:tab/>
      </w:r>
      <w:r>
        <w:rPr>
          <w:rFonts w:asciiTheme="minorHAnsi" w:hAnsiTheme="minorHAnsi" w:cstheme="minorHAnsi"/>
          <w:b/>
          <w:bCs/>
          <w:sz w:val="18"/>
          <w:szCs w:val="18"/>
          <w:lang w:val="es-CO"/>
        </w:rPr>
        <w:tab/>
      </w:r>
      <w:r>
        <w:rPr>
          <w:rFonts w:asciiTheme="minorHAnsi" w:hAnsiTheme="minorHAnsi" w:cstheme="minorHAnsi"/>
          <w:b/>
          <w:bCs/>
          <w:sz w:val="18"/>
          <w:szCs w:val="18"/>
          <w:lang w:val="es-CO"/>
        </w:rPr>
        <w:tab/>
      </w:r>
      <w:r w:rsidRPr="00596382">
        <w:rPr>
          <w:rFonts w:asciiTheme="minorHAnsi" w:hAnsiTheme="minorHAnsi" w:cstheme="minorHAnsi"/>
          <w:b/>
          <w:bCs/>
          <w:sz w:val="18"/>
          <w:szCs w:val="18"/>
          <w:lang w:val="es-CO"/>
        </w:rPr>
        <w:t xml:space="preserve">DEBIDO PROCESO / TUTELA CONTRA PROVIDENCIA JUDICIAL / NIEGA / NO EXISTE DECISIÓN ARBITRARIA AL DECLARAR EL DESISTIMIENTO TÁCITO EN ACCIÓN POPULAR / SUBSIDIARIDAD / Imposibilidad de solicitar el amparo constitucional de manera simultánea con los recursos ordinarios. </w:t>
      </w:r>
      <w:r w:rsidRPr="00596382">
        <w:rPr>
          <w:rFonts w:asciiTheme="minorHAnsi" w:hAnsiTheme="minorHAnsi" w:cstheme="minorHAnsi"/>
          <w:bCs/>
          <w:sz w:val="18"/>
          <w:szCs w:val="18"/>
          <w:lang w:val="es-CO"/>
        </w:rPr>
        <w:t>“[E]s inexistente la</w:t>
      </w:r>
      <w:r w:rsidRPr="00596382">
        <w:rPr>
          <w:rFonts w:asciiTheme="minorHAnsi" w:hAnsiTheme="minorHAnsi" w:cstheme="minorHAnsi"/>
          <w:bCs/>
          <w:sz w:val="18"/>
          <w:szCs w:val="18"/>
        </w:rPr>
        <w:t xml:space="preserve"> vulneración o amenaza a los derechos invocados por el tutelante, puesto que no se advierte arbitraria ni antojadiza la decisión controvertida. Comparta o no la Sala la posición de la jueza accionada, es evidente que se sostiene en un fundamento jurídico claro, es decir, en normas vigentes aplicables a las acciones populares (Artículo 44 de la Ley 472). Tampoco se refleja una acción tendiente a esquivar el impulso oficioso, por el contrario el requerimiento que se hizo con base en el artículo 317 del CGP, refiere un interés en la jueza de conocimiento de agotar el trámite de las acciones populares con celeridad y eficacia, que nunca pudo lograr producto de la renuencia del actor en asumir con diligencia la mínima carga procesal impuesta. Téngase presente que como no existe caducidad o figura semejante, nada obsta para que la promueva nuevamente. (…) [S]e tiene que el accionante pretermitió recurrir en reposición (Artículo 36, Ley 472), frente al proveído que negó la concesión de la alzada presentada</w:t>
      </w:r>
      <w:r w:rsidRPr="00596382">
        <w:rPr>
          <w:rFonts w:asciiTheme="minorHAnsi" w:hAnsiTheme="minorHAnsi" w:cstheme="minorHAnsi"/>
          <w:bCs/>
          <w:sz w:val="18"/>
          <w:szCs w:val="18"/>
          <w:lang w:val="es-CO"/>
        </w:rPr>
        <w:t xml:space="preserve">, </w:t>
      </w:r>
      <w:r w:rsidRPr="00596382">
        <w:rPr>
          <w:rFonts w:asciiTheme="minorHAnsi" w:hAnsiTheme="minorHAnsi" w:cstheme="minorHAnsi"/>
          <w:bCs/>
          <w:sz w:val="18"/>
          <w:szCs w:val="18"/>
        </w:rPr>
        <w:t xml:space="preserve">cuando ese era el mecanismo ordinario y expedito que tenía para procurar que el estrado judicial accionado reconsiderara aquella determinación. Hay que decir que el actor fue precoz al formular el amparo, dado que lo hizo mientras corría la ejecutoria; prefirió presentar el amparo antes de promover los recursos ordinarios. </w:t>
      </w:r>
      <w:r w:rsidRPr="00596382">
        <w:rPr>
          <w:rFonts w:asciiTheme="minorHAnsi" w:hAnsiTheme="minorHAnsi" w:cstheme="minorHAnsi"/>
          <w:bCs/>
          <w:sz w:val="18"/>
          <w:szCs w:val="18"/>
          <w:lang w:val="es-ES_tradnl"/>
        </w:rPr>
        <w:t xml:space="preserve">Evidente, entonces, es la falta de agotamiento del supuesto de subsidiariedad, como ha explicado </w:t>
      </w:r>
      <w:r w:rsidRPr="00596382">
        <w:rPr>
          <w:rFonts w:asciiTheme="minorHAnsi" w:hAnsiTheme="minorHAnsi" w:cstheme="minorHAnsi"/>
          <w:bCs/>
          <w:sz w:val="18"/>
          <w:szCs w:val="18"/>
        </w:rPr>
        <w:t>la Corte Constitucional, que reiteradamente ha re</w:t>
      </w:r>
      <w:bookmarkStart w:id="0" w:name="_GoBack"/>
      <w:bookmarkEnd w:id="0"/>
      <w:r w:rsidRPr="00596382">
        <w:rPr>
          <w:rFonts w:asciiTheme="minorHAnsi" w:hAnsiTheme="minorHAnsi" w:cstheme="minorHAnsi"/>
          <w:bCs/>
          <w:sz w:val="18"/>
          <w:szCs w:val="18"/>
        </w:rPr>
        <w:t xml:space="preserve">ferido que la acción de tutela mal puede implementarse como medio para sustituir los mecanismos ordinarios de defensa, cuando por negligencia, descuido o incuria no fueron utilizados. Cabe acotar que nada se arguyó y menos acreditó por parte del accionante, de forma que pudiera estimarse </w:t>
      </w:r>
      <w:r w:rsidRPr="00596382">
        <w:rPr>
          <w:rFonts w:asciiTheme="minorHAnsi" w:hAnsiTheme="minorHAnsi" w:cstheme="minorHAnsi"/>
          <w:bCs/>
          <w:sz w:val="18"/>
          <w:szCs w:val="18"/>
          <w:lang w:val="es-CO"/>
        </w:rPr>
        <w:t xml:space="preserve">que es una persona que requiere de protección reforzada o que estaba en una situación de imposibilidad para recurrir los mencionados autos, de tal modo que amerite un análisis flexible del requisito de procedibilidad echado de menos, </w:t>
      </w:r>
      <w:r w:rsidRPr="00596382">
        <w:rPr>
          <w:rFonts w:asciiTheme="minorHAnsi" w:hAnsiTheme="minorHAnsi" w:cstheme="minorHAnsi"/>
          <w:bCs/>
          <w:sz w:val="18"/>
          <w:szCs w:val="18"/>
        </w:rPr>
        <w:t>por ende solo a la parte le es imputable tal descuido.”.</w:t>
      </w:r>
    </w:p>
    <w:p w:rsidR="00204D7B" w:rsidRDefault="00204D7B" w:rsidP="00596382">
      <w:pPr>
        <w:pStyle w:val="Textonotapie"/>
        <w:jc w:val="both"/>
        <w:rPr>
          <w:rFonts w:asciiTheme="minorHAnsi" w:hAnsiTheme="minorHAnsi" w:cstheme="minorHAnsi"/>
          <w:b/>
          <w:sz w:val="18"/>
          <w:szCs w:val="18"/>
          <w:lang w:val="es-CO" w:eastAsia="fr-FR"/>
        </w:rPr>
      </w:pPr>
    </w:p>
    <w:p w:rsidR="00596382" w:rsidRPr="00596382" w:rsidRDefault="00596382" w:rsidP="00596382">
      <w:pPr>
        <w:pStyle w:val="Textonotapie"/>
        <w:jc w:val="both"/>
        <w:rPr>
          <w:rFonts w:asciiTheme="minorHAnsi" w:hAnsiTheme="minorHAnsi" w:cstheme="minorHAnsi"/>
          <w:sz w:val="18"/>
          <w:szCs w:val="18"/>
          <w:lang w:val="es-CO"/>
        </w:rPr>
      </w:pPr>
      <w:r w:rsidRPr="00596382">
        <w:rPr>
          <w:rFonts w:asciiTheme="minorHAnsi" w:hAnsiTheme="minorHAnsi" w:cstheme="minorHAnsi"/>
          <w:b/>
          <w:sz w:val="18"/>
          <w:szCs w:val="18"/>
          <w:lang w:val="es-CO" w:eastAsia="fr-FR"/>
        </w:rPr>
        <w:t xml:space="preserve">Citación jurisprudencial: </w:t>
      </w:r>
      <w:r w:rsidRPr="00596382">
        <w:rPr>
          <w:rFonts w:asciiTheme="minorHAnsi" w:hAnsiTheme="minorHAnsi" w:cstheme="minorHAnsi"/>
          <w:sz w:val="18"/>
          <w:szCs w:val="18"/>
          <w:lang w:val="es-MX"/>
        </w:rPr>
        <w:t xml:space="preserve">CORTE CONSTITUCIONAL, Sentencia T-917 de 2011, Sentencia C-590 de 2005, Sentencias </w:t>
      </w:r>
      <w:r w:rsidRPr="00596382">
        <w:rPr>
          <w:rFonts w:asciiTheme="minorHAnsi" w:hAnsiTheme="minorHAnsi" w:cstheme="minorHAnsi"/>
          <w:bCs/>
          <w:sz w:val="18"/>
          <w:szCs w:val="18"/>
          <w:lang w:val="es-CO"/>
        </w:rPr>
        <w:t xml:space="preserve">T-107 de 2016, Sentencia </w:t>
      </w:r>
      <w:r w:rsidRPr="00596382">
        <w:rPr>
          <w:rFonts w:asciiTheme="minorHAnsi" w:hAnsiTheme="minorHAnsi" w:cstheme="minorHAnsi"/>
          <w:sz w:val="18"/>
          <w:szCs w:val="18"/>
          <w:lang w:val="es-MX"/>
        </w:rPr>
        <w:t xml:space="preserve">T-064 de 2015, Sentencia T-307 de 2015, </w:t>
      </w:r>
      <w:r w:rsidRPr="00596382">
        <w:rPr>
          <w:rFonts w:asciiTheme="minorHAnsi" w:hAnsiTheme="minorHAnsi" w:cstheme="minorHAnsi"/>
          <w:sz w:val="18"/>
          <w:szCs w:val="18"/>
          <w:lang w:val="es-CO"/>
        </w:rPr>
        <w:t>Sentencia T-134 de 1994 / Sentencia T-103 de 2014 / Sentencia T-567 de 1998 / Sentencia T-662 de 2013 /</w:t>
      </w:r>
      <w:r w:rsidRPr="00596382">
        <w:rPr>
          <w:rFonts w:asciiTheme="minorHAnsi" w:hAnsiTheme="minorHAnsi" w:cstheme="minorHAnsi"/>
          <w:b/>
          <w:bCs/>
          <w:color w:val="2D2D2D"/>
          <w:sz w:val="18"/>
          <w:szCs w:val="18"/>
          <w:bdr w:val="none" w:sz="0" w:space="0" w:color="auto" w:frame="1"/>
          <w:shd w:val="clear" w:color="auto" w:fill="FFFFFF"/>
          <w:lang w:val="es-CO"/>
        </w:rPr>
        <w:t xml:space="preserve"> </w:t>
      </w:r>
      <w:r w:rsidRPr="00596382">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596382">
        <w:rPr>
          <w:rFonts w:asciiTheme="minorHAnsi" w:hAnsiTheme="minorHAnsi" w:cstheme="minorHAnsi"/>
          <w:sz w:val="18"/>
          <w:szCs w:val="18"/>
          <w:lang w:val="es-CO"/>
        </w:rPr>
        <w:t>Sentencia T-231 de 1994 / Sentencia T-831 de 2012 / Sentencia T-573 de 1997 / Sentencia T-001 de 1999 / S</w:t>
      </w:r>
      <w:r w:rsidRPr="00596382">
        <w:rPr>
          <w:rFonts w:asciiTheme="minorHAnsi" w:hAnsiTheme="minorHAnsi" w:cstheme="minorHAnsi"/>
          <w:sz w:val="18"/>
          <w:szCs w:val="18"/>
          <w:lang w:val="es-MX"/>
        </w:rPr>
        <w:t xml:space="preserve">entencia SU-949 de 2014 / Sentencia T-192 de 2015 / </w:t>
      </w:r>
      <w:r w:rsidRPr="00596382">
        <w:rPr>
          <w:rFonts w:asciiTheme="minorHAnsi" w:hAnsiTheme="minorHAnsi" w:cstheme="minorHAnsi"/>
          <w:sz w:val="18"/>
          <w:szCs w:val="18"/>
          <w:lang w:val="es-CO"/>
        </w:rPr>
        <w:t xml:space="preserve">Sentencia T-193 de 2008 / Sentencia T-185 de 2013 / Sentencia </w:t>
      </w:r>
      <w:r w:rsidRPr="00596382">
        <w:rPr>
          <w:rFonts w:asciiTheme="minorHAnsi" w:hAnsiTheme="minorHAnsi" w:cstheme="minorHAnsi"/>
          <w:bCs/>
          <w:sz w:val="18"/>
          <w:szCs w:val="18"/>
          <w:lang w:val="es-CO"/>
        </w:rPr>
        <w:t>SU-240 de 2015</w:t>
      </w:r>
      <w:r w:rsidRPr="00596382">
        <w:rPr>
          <w:rFonts w:asciiTheme="minorHAnsi" w:hAnsiTheme="minorHAnsi" w:cstheme="minorHAnsi"/>
          <w:sz w:val="18"/>
          <w:szCs w:val="18"/>
          <w:lang w:val="es-CO"/>
        </w:rPr>
        <w:t xml:space="preserve"> / Sentencia </w:t>
      </w:r>
      <w:r w:rsidRPr="00596382">
        <w:rPr>
          <w:rFonts w:asciiTheme="minorHAnsi" w:hAnsiTheme="minorHAnsi" w:cstheme="minorHAnsi"/>
          <w:bCs/>
          <w:sz w:val="18"/>
          <w:szCs w:val="18"/>
          <w:lang w:val="es-CO"/>
        </w:rPr>
        <w:t>T-001 de 2016 /</w:t>
      </w:r>
      <w:r w:rsidRPr="00596382">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Sentencia T-308 de 1995 / Sentencia T-001 de 1997 / Sentencia T-560 de 2009.</w:t>
      </w:r>
    </w:p>
    <w:p w:rsidR="00596382" w:rsidRPr="00596382" w:rsidRDefault="00596382" w:rsidP="00596382">
      <w:pPr>
        <w:pStyle w:val="Textonotapie"/>
        <w:jc w:val="both"/>
        <w:rPr>
          <w:rFonts w:asciiTheme="minorHAnsi" w:hAnsiTheme="minorHAnsi" w:cstheme="minorHAnsi"/>
          <w:sz w:val="18"/>
          <w:szCs w:val="18"/>
          <w:lang w:val="es-CO"/>
        </w:rPr>
      </w:pPr>
      <w:r w:rsidRPr="00596382">
        <w:rPr>
          <w:rFonts w:asciiTheme="minorHAnsi" w:hAnsiTheme="minorHAnsi" w:cstheme="minorHAnsi"/>
          <w:sz w:val="18"/>
          <w:szCs w:val="18"/>
          <w:lang w:val="es-CO"/>
        </w:rPr>
        <w:t xml:space="preserve"> </w:t>
      </w:r>
    </w:p>
    <w:p w:rsidR="00596382" w:rsidRPr="00596382" w:rsidRDefault="00596382" w:rsidP="00596382">
      <w:pPr>
        <w:pStyle w:val="Textonotapie"/>
        <w:jc w:val="both"/>
        <w:rPr>
          <w:rFonts w:asciiTheme="minorHAnsi" w:hAnsiTheme="minorHAnsi" w:cstheme="minorHAnsi"/>
          <w:sz w:val="18"/>
          <w:szCs w:val="18"/>
          <w:lang w:val="es-CO"/>
        </w:rPr>
      </w:pPr>
      <w:r w:rsidRPr="00596382">
        <w:rPr>
          <w:rFonts w:asciiTheme="minorHAnsi" w:hAnsiTheme="minorHAnsi" w:cstheme="minorHAnsi"/>
          <w:sz w:val="18"/>
          <w:szCs w:val="18"/>
          <w:lang w:val="es-CO"/>
        </w:rPr>
        <w:t>CORTE SUPREMA DE JUSTICIA, SCC, Sentencia del 02 de septiembre de 2014, Rad. 23001-22-14-000-2014-00097-01</w:t>
      </w:r>
      <w:r w:rsidRPr="00596382">
        <w:rPr>
          <w:rFonts w:asciiTheme="minorHAnsi" w:hAnsiTheme="minorHAnsi" w:cstheme="minorHAnsi"/>
          <w:w w:val="110"/>
          <w:sz w:val="18"/>
          <w:szCs w:val="18"/>
          <w:lang w:val="es-CO"/>
        </w:rPr>
        <w:t xml:space="preserve"> /</w:t>
      </w:r>
      <w:r w:rsidRPr="00596382">
        <w:rPr>
          <w:rFonts w:asciiTheme="minorHAnsi" w:hAnsiTheme="minorHAnsi" w:cstheme="minorHAnsi"/>
          <w:sz w:val="18"/>
          <w:szCs w:val="18"/>
          <w:lang w:val="es-CO"/>
        </w:rPr>
        <w:t xml:space="preserve"> Providencia STC6121-2015 / Providencia STC3931-2016 / Sentencia STC6596-2016 / Sentencia STC7600-2016.</w:t>
      </w:r>
    </w:p>
    <w:p w:rsidR="00596382" w:rsidRPr="00596382" w:rsidRDefault="00596382" w:rsidP="00596382">
      <w:pPr>
        <w:pStyle w:val="Textonotapie"/>
        <w:jc w:val="both"/>
        <w:rPr>
          <w:rFonts w:asciiTheme="minorHAnsi" w:hAnsiTheme="minorHAnsi" w:cstheme="minorHAnsi"/>
          <w:sz w:val="18"/>
          <w:szCs w:val="18"/>
          <w:lang w:val="es-CO"/>
        </w:rPr>
      </w:pPr>
    </w:p>
    <w:p w:rsidR="00596382" w:rsidRDefault="00596382" w:rsidP="00596382">
      <w:pPr>
        <w:pStyle w:val="Textonotapie"/>
        <w:jc w:val="both"/>
        <w:rPr>
          <w:rFonts w:asciiTheme="minorHAnsi" w:hAnsiTheme="minorHAnsi" w:cstheme="minorHAnsi"/>
          <w:sz w:val="18"/>
          <w:szCs w:val="18"/>
          <w:lang w:val="es-CO"/>
        </w:rPr>
      </w:pPr>
      <w:r w:rsidRPr="00596382">
        <w:rPr>
          <w:rFonts w:asciiTheme="minorHAnsi" w:hAnsiTheme="minorHAnsi" w:cstheme="minorHAnsi"/>
          <w:sz w:val="18"/>
          <w:szCs w:val="18"/>
          <w:lang w:val="es-CO"/>
        </w:rPr>
        <w:t>TRIBUNAL SUPERIOR DE PEREIRA, Sala Civil-Familia, Sentencia del 10 de agosto de 2016, Rad.2016-00730-00 / Sentencia del 23 de agosto de 2016, Rad. 2016-00794-00 / Sentencia del 30 de junio de 2016, Rad. 2016-00554-00 / Sentencia del 11 de agosto 2016, Rad. 2016-00750-00 / Sentencia del 28 de marzo de 2016, Rad. 2016-00289-00.</w:t>
      </w:r>
    </w:p>
    <w:p w:rsidR="00630542" w:rsidRPr="00596382" w:rsidRDefault="00630542" w:rsidP="00596382">
      <w:pPr>
        <w:pStyle w:val="Textonotapie"/>
        <w:jc w:val="both"/>
        <w:rPr>
          <w:rFonts w:asciiTheme="minorHAnsi" w:hAnsiTheme="minorHAnsi" w:cstheme="minorHAnsi"/>
          <w:b/>
          <w:sz w:val="18"/>
          <w:szCs w:val="18"/>
          <w:lang w:val="es-CO" w:eastAsia="fr-FR"/>
        </w:rPr>
      </w:pPr>
    </w:p>
    <w:p w:rsidR="0068600A" w:rsidRPr="00596382" w:rsidRDefault="00630542" w:rsidP="002403C8">
      <w:pPr>
        <w:pStyle w:val="Sinespaciado"/>
        <w:tabs>
          <w:tab w:val="left" w:pos="3579"/>
        </w:tabs>
        <w:spacing w:line="360" w:lineRule="auto"/>
        <w:jc w:val="center"/>
        <w:rPr>
          <w:rFonts w:ascii="Arial" w:hAnsi="Arial" w:cs="Arial"/>
          <w:w w:val="140"/>
          <w:sz w:val="14"/>
          <w:lang w:val="es-CO"/>
        </w:rPr>
      </w:pPr>
      <w:r>
        <w:rPr>
          <w:rFonts w:ascii="Arial" w:hAnsi="Arial" w:cs="Arial"/>
          <w:w w:val="140"/>
          <w:sz w:val="14"/>
          <w:lang w:val="es-CO"/>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596382" w:rsidRDefault="00596382" w:rsidP="00F560C3">
      <w:pPr>
        <w:pStyle w:val="Textoindependiente"/>
        <w:spacing w:line="360" w:lineRule="auto"/>
        <w:rPr>
          <w:rFonts w:ascii="Arial" w:hAnsi="Arial" w:cs="Arial"/>
          <w:sz w:val="22"/>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F009CB">
        <w:rPr>
          <w:rFonts w:ascii="Arial" w:hAnsi="Arial" w:cs="Arial"/>
          <w:sz w:val="22"/>
        </w:rPr>
        <w:t>00962</w:t>
      </w:r>
      <w:r w:rsidR="005118AB">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F009CB">
        <w:rPr>
          <w:rFonts w:ascii="Arial" w:hAnsi="Arial" w:cs="Arial"/>
          <w:sz w:val="22"/>
        </w:rPr>
        <w:t>962</w:t>
      </w:r>
      <w:r w:rsidR="005118AB">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F325F0">
        <w:rPr>
          <w:rFonts w:ascii="Arial" w:hAnsi="Arial" w:cs="Arial"/>
          <w:sz w:val="20"/>
          <w:szCs w:val="22"/>
        </w:rPr>
        <w:t>Defecto sustantivo</w:t>
      </w:r>
      <w:r w:rsidR="00F325F0" w:rsidRPr="00F325F0">
        <w:rPr>
          <w:rFonts w:ascii="Arial" w:hAnsi="Arial" w:cs="Arial"/>
          <w:sz w:val="20"/>
          <w:szCs w:val="22"/>
        </w:rPr>
        <w:t xml:space="preserve"> - Subsidiariedad -</w:t>
      </w:r>
      <w:r w:rsidR="00907AF0" w:rsidRPr="00F325F0">
        <w:rPr>
          <w:rFonts w:ascii="Arial" w:hAnsi="Arial" w:cs="Arial"/>
          <w:sz w:val="20"/>
          <w:szCs w:val="22"/>
        </w:rPr>
        <w:t xml:space="preserve">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5847FF">
        <w:rPr>
          <w:rFonts w:ascii="Arial" w:hAnsi="Arial"/>
          <w:sz w:val="22"/>
          <w:szCs w:val="22"/>
        </w:rPr>
        <w:t>522 del 02-11-2016</w:t>
      </w: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5847FF">
        <w:rPr>
          <w:rFonts w:ascii="Arial" w:hAnsi="Arial" w:cs="Arial"/>
          <w:iCs/>
          <w:smallCaps/>
          <w:sz w:val="28"/>
          <w:szCs w:val="28"/>
          <w:lang w:val="es-CO"/>
        </w:rPr>
        <w:t xml:space="preserve">dos </w:t>
      </w:r>
      <w:r w:rsidRPr="00BC082A">
        <w:rPr>
          <w:rFonts w:ascii="Arial" w:hAnsi="Arial" w:cs="Arial"/>
          <w:iCs/>
          <w:smallCaps/>
          <w:sz w:val="28"/>
          <w:szCs w:val="28"/>
          <w:lang w:val="es-CO"/>
        </w:rPr>
        <w:t>(</w:t>
      </w:r>
      <w:r w:rsidR="005847FF">
        <w:rPr>
          <w:rFonts w:ascii="Arial" w:hAnsi="Arial" w:cs="Arial"/>
          <w:iCs/>
          <w:smallCaps/>
          <w:sz w:val="28"/>
          <w:szCs w:val="28"/>
          <w:lang w:val="es-CO"/>
        </w:rPr>
        <w:t>2</w:t>
      </w:r>
      <w:r w:rsidRPr="00BC082A">
        <w:rPr>
          <w:rFonts w:ascii="Arial" w:hAnsi="Arial" w:cs="Arial"/>
          <w:iCs/>
          <w:smallCaps/>
          <w:sz w:val="28"/>
          <w:szCs w:val="28"/>
          <w:lang w:val="es-CO"/>
        </w:rPr>
        <w:t xml:space="preserve">) de </w:t>
      </w:r>
      <w:r w:rsidR="005847FF">
        <w:rPr>
          <w:rFonts w:ascii="Arial" w:hAnsi="Arial" w:cs="Arial"/>
          <w:iCs/>
          <w:smallCaps/>
          <w:sz w:val="28"/>
          <w:szCs w:val="28"/>
          <w:lang w:val="es-CO"/>
        </w:rPr>
        <w:t xml:space="preserve">noviembre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Textoindependien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Textoindependiente"/>
        <w:spacing w:line="360" w:lineRule="auto"/>
        <w:rPr>
          <w:rFonts w:ascii="Arial" w:hAnsi="Arial"/>
          <w:sz w:val="20"/>
          <w:szCs w:val="24"/>
        </w:rPr>
      </w:pPr>
    </w:p>
    <w:p w:rsidR="00DB41DC" w:rsidRDefault="00DB41DC" w:rsidP="00DB41DC">
      <w:pPr>
        <w:pStyle w:val="Textoindependiente"/>
        <w:spacing w:line="360" w:lineRule="auto"/>
        <w:rPr>
          <w:rFonts w:ascii="Arial" w:hAnsi="Arial"/>
          <w:szCs w:val="24"/>
        </w:rPr>
      </w:pPr>
      <w:r>
        <w:rPr>
          <w:rFonts w:ascii="Arial" w:hAnsi="Arial"/>
          <w:szCs w:val="24"/>
        </w:rPr>
        <w:t>Las acciones constitucionales de la referencia, adelantadas las debidas actuaciones con el trámite preferente y sumario, sin que se evidencien causales de nulidad que las invaliden.</w:t>
      </w:r>
    </w:p>
    <w:p w:rsidR="00DB41DC" w:rsidRPr="00F009CB" w:rsidRDefault="00DB41DC" w:rsidP="00DB41DC">
      <w:pPr>
        <w:pStyle w:val="Textoindependiente"/>
        <w:spacing w:line="360" w:lineRule="auto"/>
        <w:rPr>
          <w:rFonts w:ascii="Arial" w:hAnsi="Arial"/>
          <w:sz w:val="20"/>
          <w:szCs w:val="24"/>
        </w:rPr>
      </w:pPr>
    </w:p>
    <w:p w:rsidR="00DB41DC" w:rsidRPr="00C57632" w:rsidRDefault="00C57632" w:rsidP="00DB41DC">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Textoindependien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la </w:t>
      </w:r>
      <w:r w:rsidR="00F009CB">
        <w:rPr>
          <w:rFonts w:ascii="Arial" w:hAnsi="Arial" w:cs="Arial"/>
        </w:rPr>
        <w:t>acción popular</w:t>
      </w:r>
      <w:r>
        <w:rPr>
          <w:rFonts w:ascii="Arial" w:hAnsi="Arial" w:cs="Arial"/>
        </w:rPr>
        <w:t xml:space="preserve"> No.</w:t>
      </w:r>
      <w:r w:rsidR="00F009CB">
        <w:rPr>
          <w:rFonts w:ascii="Arial" w:hAnsi="Arial" w:cs="Arial"/>
        </w:rPr>
        <w:t>2015-00406-00, que se declaró terminada</w:t>
      </w:r>
      <w:r>
        <w:rPr>
          <w:rFonts w:ascii="Arial" w:hAnsi="Arial" w:cs="Arial"/>
        </w:rPr>
        <w:t xml:space="preserve"> por desistimiento tácito, a pesar de que la Ley 472 no lo contempla. Refirió que el juzgado vulneró el debido proceso pues aplic</w:t>
      </w:r>
      <w:r w:rsidR="00F009CB">
        <w:rPr>
          <w:rFonts w:ascii="Arial" w:hAnsi="Arial" w:cs="Arial"/>
        </w:rPr>
        <w:t>ó una figura inexistente (Folio</w:t>
      </w:r>
      <w:r>
        <w:rPr>
          <w:rFonts w:ascii="Arial" w:hAnsi="Arial" w:cs="Arial"/>
        </w:rPr>
        <w:t xml:space="preserve"> 1,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Textoindependiente"/>
        <w:spacing w:line="360" w:lineRule="auto"/>
        <w:ind w:left="360"/>
        <w:rPr>
          <w:rFonts w:ascii="Arial" w:hAnsi="Arial"/>
          <w:sz w:val="2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F009CB">
        <w:rPr>
          <w:rFonts w:ascii="Arial" w:hAnsi="Arial" w:cs="Arial"/>
          <w:szCs w:val="24"/>
        </w:rPr>
        <w:t xml:space="preserve">tramitar </w:t>
      </w:r>
      <w:r w:rsidR="00BC760D">
        <w:rPr>
          <w:rFonts w:ascii="Arial" w:hAnsi="Arial" w:cs="Arial"/>
          <w:szCs w:val="24"/>
        </w:rPr>
        <w:t xml:space="preserve">la </w:t>
      </w:r>
      <w:r w:rsidR="00F009CB">
        <w:rPr>
          <w:rFonts w:ascii="Arial" w:hAnsi="Arial" w:cs="Arial"/>
          <w:szCs w:val="24"/>
        </w:rPr>
        <w:t>apelación presentada, informar por intermedio de la emisora de la Policía Nacional y dejar sin efecto el desistimiento tácito declarado</w:t>
      </w:r>
      <w:r w:rsidR="00AD2BA8" w:rsidRPr="005C4C0F">
        <w:rPr>
          <w:rFonts w:ascii="Arial" w:hAnsi="Arial" w:cs="Arial"/>
          <w:szCs w:val="24"/>
        </w:rPr>
        <w:t>;</w:t>
      </w:r>
      <w:r w:rsidR="00F009CB">
        <w:rPr>
          <w:rFonts w:ascii="Arial" w:hAnsi="Arial" w:cs="Arial"/>
          <w:szCs w:val="24"/>
        </w:rPr>
        <w:t xml:space="preserve"> </w:t>
      </w:r>
      <w:r w:rsidR="00AD2BA8" w:rsidRPr="005C4C0F">
        <w:rPr>
          <w:rFonts w:ascii="Arial" w:hAnsi="Arial" w:cs="Arial"/>
          <w:szCs w:val="24"/>
        </w:rPr>
        <w:t>(</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F009CB">
        <w:rPr>
          <w:rFonts w:ascii="Arial" w:hAnsi="Arial" w:cs="Arial"/>
          <w:szCs w:val="24"/>
        </w:rPr>
        <w:t xml:space="preserve"> </w:t>
      </w:r>
      <w:r w:rsidR="00B1245A">
        <w:rPr>
          <w:rFonts w:ascii="Arial" w:hAnsi="Arial" w:cs="Arial"/>
          <w:szCs w:val="24"/>
        </w:rPr>
        <w:t xml:space="preserve">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inespaciado"/>
        <w:spacing w:line="360" w:lineRule="auto"/>
        <w:jc w:val="both"/>
        <w:rPr>
          <w:rFonts w:ascii="Arial" w:hAnsi="Arial" w:cs="Arial"/>
          <w:sz w:val="20"/>
          <w:szCs w:val="24"/>
        </w:rPr>
      </w:pPr>
    </w:p>
    <w:p w:rsidR="0099045D" w:rsidRPr="00C57632" w:rsidRDefault="00C57632" w:rsidP="00101AE0">
      <w:pPr>
        <w:pStyle w:val="Sinespaciado"/>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inespaciado"/>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F009CB">
        <w:rPr>
          <w:rFonts w:ascii="Arial" w:hAnsi="Arial"/>
        </w:rPr>
        <w:t>20</w:t>
      </w:r>
      <w:r w:rsidR="00DB41DC">
        <w:rPr>
          <w:rFonts w:ascii="Arial" w:hAnsi="Arial"/>
        </w:rPr>
        <w:t>-</w:t>
      </w:r>
      <w:r w:rsidR="00F009CB">
        <w:rPr>
          <w:rFonts w:ascii="Arial" w:hAnsi="Arial"/>
        </w:rPr>
        <w:t>10</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F009CB">
        <w:rPr>
          <w:rFonts w:ascii="Arial" w:hAnsi="Arial"/>
        </w:rPr>
        <w:t xml:space="preserve">mismo </w:t>
      </w:r>
      <w:r w:rsidR="008E6CF4">
        <w:rPr>
          <w:rFonts w:ascii="Arial" w:hAnsi="Arial"/>
        </w:rPr>
        <w:t>día</w:t>
      </w:r>
      <w:r w:rsidR="008E6CF4" w:rsidRPr="008E5A62">
        <w:rPr>
          <w:rFonts w:ascii="Arial" w:hAnsi="Arial"/>
        </w:rPr>
        <w:t xml:space="preserve">, se </w:t>
      </w:r>
      <w:r w:rsidR="00F009CB">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F009CB">
        <w:rPr>
          <w:rFonts w:ascii="Arial" w:hAnsi="Arial"/>
        </w:rPr>
        <w:t>4 y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F009CB">
        <w:rPr>
          <w:rFonts w:ascii="Arial" w:hAnsi="Arial"/>
        </w:rPr>
        <w:t>6 y 7</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Pr>
          <w:rFonts w:ascii="Arial" w:hAnsi="Arial"/>
        </w:rPr>
        <w:t xml:space="preserve">la Personería de Pereira </w:t>
      </w:r>
      <w:r w:rsidR="00A2178F">
        <w:rPr>
          <w:rFonts w:ascii="Arial" w:hAnsi="Arial"/>
        </w:rPr>
        <w:t xml:space="preserve">(Folios </w:t>
      </w:r>
      <w:r w:rsidR="00F009CB">
        <w:rPr>
          <w:rFonts w:ascii="Arial" w:hAnsi="Arial"/>
        </w:rPr>
        <w:t>17 a 19</w:t>
      </w:r>
      <w:r w:rsidR="00A2178F">
        <w:rPr>
          <w:rFonts w:ascii="Arial" w:hAnsi="Arial"/>
        </w:rPr>
        <w:t>, ib.),</w:t>
      </w:r>
      <w:r w:rsidR="008E6CF4">
        <w:rPr>
          <w:rFonts w:ascii="Arial" w:hAnsi="Arial"/>
        </w:rPr>
        <w:t xml:space="preserve"> 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F009CB">
        <w:rPr>
          <w:rFonts w:ascii="Arial" w:hAnsi="Arial"/>
        </w:rPr>
        <w:t>23 y 24</w:t>
      </w:r>
      <w:r w:rsidR="00A2178F">
        <w:rPr>
          <w:rFonts w:ascii="Arial" w:hAnsi="Arial"/>
        </w:rPr>
        <w:t>, ib.)</w:t>
      </w:r>
      <w:r w:rsidR="001123F4">
        <w:rPr>
          <w:rFonts w:ascii="Arial" w:hAnsi="Arial"/>
        </w:rPr>
        <w:t xml:space="preserve"> </w:t>
      </w:r>
      <w:r w:rsidR="00FE52BE">
        <w:rPr>
          <w:rFonts w:ascii="Arial" w:hAnsi="Arial"/>
        </w:rPr>
        <w:t xml:space="preserve">y </w:t>
      </w:r>
      <w:r w:rsidR="00F009CB">
        <w:rPr>
          <w:rFonts w:ascii="Arial" w:hAnsi="Arial"/>
        </w:rPr>
        <w:t xml:space="preserve">la </w:t>
      </w:r>
      <w:r w:rsidR="00F009CB" w:rsidRPr="003B7741">
        <w:rPr>
          <w:rFonts w:ascii="Arial" w:hAnsi="Arial" w:cs="Arial"/>
        </w:rPr>
        <w:t>Procuraduría General de la Nación</w:t>
      </w:r>
      <w:r w:rsidR="00F009CB">
        <w:rPr>
          <w:rFonts w:ascii="Arial" w:hAnsi="Arial" w:cs="Arial"/>
        </w:rPr>
        <w:t>,</w:t>
      </w:r>
      <w:r w:rsidR="00F009CB" w:rsidRPr="003B7741">
        <w:rPr>
          <w:rFonts w:ascii="Arial" w:hAnsi="Arial" w:cs="Arial"/>
        </w:rPr>
        <w:t xml:space="preserve"> Regional Risaralda</w:t>
      </w:r>
      <w:r w:rsidR="00F009CB">
        <w:rPr>
          <w:rFonts w:ascii="Arial" w:hAnsi="Arial" w:cs="Arial"/>
        </w:rPr>
        <w:t xml:space="preserve"> (Folio 32, </w:t>
      </w:r>
      <w:r w:rsidR="00C57632">
        <w:rPr>
          <w:rFonts w:ascii="Arial" w:hAnsi="Arial" w:cs="Arial"/>
        </w:rPr>
        <w:t>ib.</w:t>
      </w:r>
      <w:r w:rsidR="00F009CB">
        <w:rPr>
          <w:rFonts w:ascii="Arial" w:hAnsi="Arial" w:cs="Arial"/>
        </w:rPr>
        <w:t>)</w:t>
      </w:r>
      <w:r w:rsidR="008E6CF4" w:rsidRPr="003B6DD2">
        <w:rPr>
          <w:rFonts w:ascii="Arial" w:hAnsi="Arial"/>
        </w:rPr>
        <w:t>.</w:t>
      </w:r>
      <w:r>
        <w:rPr>
          <w:rFonts w:ascii="Arial" w:hAnsi="Arial"/>
        </w:rPr>
        <w:t xml:space="preserve"> El accionado arrimó las copias requeridas (Folios </w:t>
      </w:r>
      <w:r w:rsidR="00F325F0">
        <w:rPr>
          <w:rFonts w:ascii="Arial" w:hAnsi="Arial"/>
        </w:rPr>
        <w:t>8 a 16</w:t>
      </w:r>
      <w:r>
        <w:rPr>
          <w:rFonts w:ascii="Arial" w:hAnsi="Arial"/>
        </w:rPr>
        <w:t>, ib.)</w:t>
      </w:r>
      <w:r w:rsidR="00C57632">
        <w:rPr>
          <w:rFonts w:ascii="Arial" w:hAnsi="Arial"/>
        </w:rPr>
        <w:t>. Seguidamente con proveído de 28-10-2016 se hicieron otras vinculaciones (Folio 36, ib.).</w:t>
      </w:r>
    </w:p>
    <w:p w:rsidR="00687FAC" w:rsidRPr="00C57632" w:rsidRDefault="00687FAC" w:rsidP="00687FAC">
      <w:pPr>
        <w:pStyle w:val="Sinespaciado"/>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C57632" w:rsidRDefault="006F4450" w:rsidP="006F4450">
      <w:pPr>
        <w:spacing w:line="360" w:lineRule="auto"/>
        <w:jc w:val="both"/>
        <w:rPr>
          <w:rFonts w:ascii="Arial" w:hAnsi="Arial"/>
          <w:sz w:val="20"/>
        </w:rPr>
      </w:pPr>
    </w:p>
    <w:p w:rsidR="00A538AF" w:rsidRPr="00C57632" w:rsidRDefault="00A538AF" w:rsidP="00A538AF">
      <w:pPr>
        <w:pStyle w:val="Prrafodelista"/>
        <w:numPr>
          <w:ilvl w:val="1"/>
          <w:numId w:val="25"/>
        </w:numPr>
        <w:spacing w:line="360" w:lineRule="auto"/>
        <w:jc w:val="both"/>
        <w:rPr>
          <w:rFonts w:ascii="Arial" w:hAnsi="Arial"/>
          <w:smallCaps/>
          <w:sz w:val="26"/>
          <w:szCs w:val="26"/>
        </w:rPr>
      </w:pPr>
      <w:r w:rsidRPr="00C57632">
        <w:rPr>
          <w:rFonts w:ascii="Arial" w:hAnsi="Arial"/>
          <w:smallCaps/>
          <w:sz w:val="26"/>
          <w:szCs w:val="26"/>
        </w:rPr>
        <w:t>La Personería Municipal de Pereira</w:t>
      </w:r>
    </w:p>
    <w:p w:rsidR="00A538AF" w:rsidRPr="00C57632" w:rsidRDefault="00A538AF" w:rsidP="00A538AF">
      <w:pPr>
        <w:pStyle w:val="Prrafodelista"/>
        <w:spacing w:line="360" w:lineRule="auto"/>
        <w:ind w:left="720"/>
        <w:jc w:val="both"/>
        <w:rPr>
          <w:rFonts w:ascii="Arial" w:hAnsi="Arial"/>
          <w:sz w:val="20"/>
        </w:rPr>
      </w:pPr>
    </w:p>
    <w:p w:rsidR="00A538AF" w:rsidRDefault="00A538AF" w:rsidP="00A538AF">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C57632">
        <w:rPr>
          <w:rFonts w:ascii="Arial" w:hAnsi="Arial"/>
          <w:lang w:val="es-CO"/>
        </w:rPr>
        <w:t xml:space="preserve">17 a </w:t>
      </w:r>
      <w:r w:rsidR="00DB562D">
        <w:rPr>
          <w:rFonts w:ascii="Arial" w:hAnsi="Arial"/>
          <w:lang w:val="es-CO"/>
        </w:rPr>
        <w:t>19</w:t>
      </w:r>
      <w:r>
        <w:rPr>
          <w:rFonts w:ascii="Arial" w:hAnsi="Arial"/>
        </w:rPr>
        <w:t>, ib.).</w:t>
      </w:r>
    </w:p>
    <w:p w:rsidR="00A538AF" w:rsidRPr="00C57632" w:rsidRDefault="00A538AF" w:rsidP="006F4450">
      <w:pPr>
        <w:spacing w:line="360" w:lineRule="auto"/>
        <w:jc w:val="both"/>
        <w:rPr>
          <w:rFonts w:ascii="Arial" w:hAnsi="Arial"/>
          <w:sz w:val="20"/>
        </w:rPr>
      </w:pPr>
    </w:p>
    <w:p w:rsidR="00EE2E34" w:rsidRPr="00C57632" w:rsidRDefault="00EE2E34" w:rsidP="00EE2E34">
      <w:pPr>
        <w:pStyle w:val="Prrafodelista"/>
        <w:numPr>
          <w:ilvl w:val="1"/>
          <w:numId w:val="18"/>
        </w:numPr>
        <w:spacing w:line="360" w:lineRule="auto"/>
        <w:jc w:val="both"/>
        <w:rPr>
          <w:rFonts w:ascii="Arial" w:hAnsi="Arial"/>
          <w:smallCaps/>
          <w:sz w:val="26"/>
          <w:szCs w:val="26"/>
        </w:rPr>
      </w:pPr>
      <w:r w:rsidRPr="00C57632">
        <w:rPr>
          <w:rFonts w:ascii="Arial" w:hAnsi="Arial"/>
          <w:smallCaps/>
          <w:sz w:val="26"/>
          <w:szCs w:val="26"/>
        </w:rPr>
        <w:t>La Alcaldía de Pereira</w:t>
      </w:r>
    </w:p>
    <w:p w:rsidR="00EE2E34" w:rsidRPr="00C57632" w:rsidRDefault="00EE2E34" w:rsidP="00EE2E34">
      <w:pPr>
        <w:spacing w:line="360" w:lineRule="auto"/>
        <w:jc w:val="both"/>
        <w:rPr>
          <w:rFonts w:ascii="Arial" w:hAnsi="Arial"/>
          <w:sz w:val="20"/>
        </w:rPr>
      </w:pPr>
    </w:p>
    <w:p w:rsidR="00EE2E34" w:rsidRDefault="00DB562D" w:rsidP="00DB562D">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y, en esas condiciones pidió su desvinculación y condenar en costas al accionante por temeridad </w:t>
      </w:r>
      <w:r w:rsidR="00C57632">
        <w:rPr>
          <w:rFonts w:ascii="Arial" w:hAnsi="Arial"/>
        </w:rPr>
        <w:t>(Folios 23 y 24</w:t>
      </w:r>
      <w:r w:rsidR="00EE2E34">
        <w:rPr>
          <w:rFonts w:ascii="Arial" w:hAnsi="Arial"/>
        </w:rPr>
        <w:t>, ib.)</w:t>
      </w:r>
      <w:r w:rsidR="00A538AF">
        <w:rPr>
          <w:rFonts w:ascii="Arial" w:hAnsi="Arial"/>
        </w:rPr>
        <w:t>.</w:t>
      </w:r>
    </w:p>
    <w:p w:rsidR="00EE2E34" w:rsidRPr="00C57632" w:rsidRDefault="00EE2E34" w:rsidP="006F4450">
      <w:pPr>
        <w:spacing w:line="360" w:lineRule="auto"/>
        <w:jc w:val="both"/>
        <w:rPr>
          <w:rFonts w:ascii="Arial" w:hAnsi="Arial"/>
          <w:sz w:val="20"/>
        </w:rPr>
      </w:pPr>
    </w:p>
    <w:p w:rsidR="00C57632" w:rsidRPr="00C57632" w:rsidRDefault="00C57632" w:rsidP="00C57632">
      <w:pPr>
        <w:pStyle w:val="Prrafodelista"/>
        <w:numPr>
          <w:ilvl w:val="1"/>
          <w:numId w:val="25"/>
        </w:numPr>
        <w:spacing w:line="360" w:lineRule="auto"/>
        <w:jc w:val="both"/>
        <w:rPr>
          <w:rFonts w:ascii="Arial" w:hAnsi="Arial"/>
          <w:smallCaps/>
          <w:sz w:val="26"/>
          <w:szCs w:val="26"/>
        </w:rPr>
      </w:pPr>
      <w:r w:rsidRPr="00C57632">
        <w:rPr>
          <w:rFonts w:ascii="Arial" w:hAnsi="Arial"/>
          <w:smallCaps/>
          <w:sz w:val="26"/>
          <w:szCs w:val="26"/>
        </w:rPr>
        <w:t xml:space="preserve">La </w:t>
      </w:r>
      <w:r w:rsidRPr="00C57632">
        <w:rPr>
          <w:rFonts w:ascii="Arial" w:hAnsi="Arial" w:cs="Arial"/>
          <w:smallCaps/>
          <w:sz w:val="26"/>
          <w:szCs w:val="26"/>
        </w:rPr>
        <w:t>Procuraduría General de la Nación, Regional Risaralda</w:t>
      </w:r>
    </w:p>
    <w:p w:rsidR="00C57632" w:rsidRPr="00C57632" w:rsidRDefault="00C57632" w:rsidP="00C57632">
      <w:pPr>
        <w:spacing w:line="360" w:lineRule="auto"/>
        <w:jc w:val="both"/>
        <w:rPr>
          <w:rFonts w:ascii="Arial" w:hAnsi="Arial"/>
          <w:sz w:val="20"/>
        </w:rPr>
      </w:pPr>
    </w:p>
    <w:p w:rsidR="00C57632" w:rsidRDefault="00C57632" w:rsidP="00C57632">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(Folio 32, ib.)</w:t>
      </w:r>
      <w:r>
        <w:rPr>
          <w:rFonts w:ascii="Arial" w:hAnsi="Arial"/>
        </w:rPr>
        <w:t xml:space="preserve">. </w:t>
      </w:r>
    </w:p>
    <w:p w:rsidR="00E04790" w:rsidRPr="00C57632" w:rsidRDefault="00E04790" w:rsidP="00264032">
      <w:pPr>
        <w:spacing w:line="360" w:lineRule="auto"/>
        <w:jc w:val="both"/>
        <w:rPr>
          <w:rFonts w:ascii="Arial" w:hAnsi="Arial"/>
          <w:sz w:val="20"/>
        </w:rPr>
      </w:pPr>
    </w:p>
    <w:p w:rsidR="00CF429F" w:rsidRPr="00C57632" w:rsidRDefault="00C57632" w:rsidP="00CF429F">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Textoindependiente"/>
        <w:spacing w:line="360" w:lineRule="auto"/>
        <w:ind w:left="400"/>
        <w:rPr>
          <w:rFonts w:ascii="Arial" w:hAnsi="Arial"/>
          <w:sz w:val="20"/>
          <w:szCs w:val="24"/>
        </w:rPr>
      </w:pPr>
    </w:p>
    <w:p w:rsidR="00CF429F" w:rsidRPr="00C57632" w:rsidRDefault="00CF429F" w:rsidP="00CF429F">
      <w:pPr>
        <w:pStyle w:val="Textoindependien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C57632" w:rsidRDefault="00D8627D" w:rsidP="00CF429F">
      <w:pPr>
        <w:pStyle w:val="Sangra2detindependiente"/>
        <w:spacing w:after="0" w:line="360" w:lineRule="auto"/>
        <w:ind w:left="0"/>
        <w:jc w:val="both"/>
        <w:rPr>
          <w:rFonts w:ascii="Arial" w:hAnsi="Arial" w:cs="Arial"/>
          <w:szCs w:val="24"/>
        </w:rPr>
      </w:pPr>
    </w:p>
    <w:p w:rsidR="00CF429F" w:rsidRPr="00C57632" w:rsidRDefault="00CF429F" w:rsidP="00CF429F">
      <w:pPr>
        <w:pStyle w:val="Textoindependien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Textoindependien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Textoindependien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Textoindependien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inespaciado"/>
        <w:spacing w:line="360" w:lineRule="auto"/>
        <w:jc w:val="both"/>
        <w:rPr>
          <w:rFonts w:ascii="Arial" w:hAnsi="Arial" w:cs="Arial"/>
          <w:sz w:val="20"/>
        </w:rPr>
      </w:pPr>
    </w:p>
    <w:p w:rsidR="00A538AF" w:rsidRDefault="00C57632" w:rsidP="00C57632">
      <w:pPr>
        <w:pStyle w:val="Textoindependien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Textoindependien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538AF" w:rsidP="00A538AF">
      <w:pPr>
        <w:pStyle w:val="Textoindependiente"/>
        <w:spacing w:line="360" w:lineRule="auto"/>
        <w:rPr>
          <w:rFonts w:ascii="Arial" w:hAnsi="Arial" w:cs="Arial"/>
          <w:szCs w:val="24"/>
        </w:rPr>
      </w:pPr>
      <w:r w:rsidRPr="00765006">
        <w:rPr>
          <w:rFonts w:ascii="Arial" w:hAnsi="Arial" w:cs="Arial"/>
          <w:szCs w:val="24"/>
        </w:rPr>
        <w:lastRenderedPageBreak/>
        <w:t xml:space="preserve">Se cumple la legitimación por activa dado que el actor </w:t>
      </w:r>
      <w:r w:rsidR="00C57632">
        <w:rPr>
          <w:rFonts w:ascii="Arial" w:hAnsi="Arial" w:cs="Arial"/>
          <w:szCs w:val="24"/>
        </w:rPr>
        <w:t xml:space="preserve">es parte activa </w:t>
      </w:r>
      <w:r w:rsidRPr="00765006">
        <w:rPr>
          <w:rFonts w:ascii="Arial" w:hAnsi="Arial" w:cs="Arial"/>
          <w:szCs w:val="24"/>
        </w:rPr>
        <w:t>en el amparo constitucional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Pr="00765006">
        <w:rPr>
          <w:rFonts w:ascii="Arial" w:hAnsi="Arial" w:cs="Arial"/>
          <w:szCs w:val="24"/>
        </w:rPr>
        <w:t xml:space="preserve">. Y por pasiva, lo es el Juzgado </w:t>
      </w:r>
      <w:r w:rsidR="00C57632">
        <w:rPr>
          <w:rFonts w:ascii="Arial" w:hAnsi="Arial" w:cs="Arial"/>
          <w:szCs w:val="24"/>
        </w:rPr>
        <w:t>Tercero</w:t>
      </w:r>
      <w:r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Pr="00765006">
        <w:rPr>
          <w:rFonts w:ascii="Arial" w:hAnsi="Arial" w:cs="Arial"/>
          <w:szCs w:val="24"/>
        </w:rPr>
        <w:t xml:space="preserve"> </w:t>
      </w:r>
      <w:r w:rsidR="001E5C81">
        <w:rPr>
          <w:rFonts w:ascii="Arial" w:hAnsi="Arial" w:cs="Arial"/>
          <w:szCs w:val="24"/>
        </w:rPr>
        <w:t>juicio</w:t>
      </w:r>
      <w:r w:rsidRPr="00765006">
        <w:rPr>
          <w:rFonts w:ascii="Arial" w:hAnsi="Arial" w:cs="Arial"/>
          <w:szCs w:val="24"/>
        </w:rPr>
        <w:t>.</w:t>
      </w:r>
    </w:p>
    <w:p w:rsidR="00A538AF" w:rsidRPr="00C57632" w:rsidRDefault="00A538AF" w:rsidP="00A538AF">
      <w:pPr>
        <w:pStyle w:val="Textoindependiente"/>
        <w:spacing w:line="360" w:lineRule="auto"/>
        <w:rPr>
          <w:rFonts w:ascii="Arial" w:hAnsi="Arial" w:cs="Arial"/>
          <w:sz w:val="20"/>
          <w:szCs w:val="24"/>
          <w:highlight w:val="yellow"/>
        </w:rPr>
      </w:pPr>
    </w:p>
    <w:p w:rsidR="00A538AF" w:rsidRDefault="00A538AF" w:rsidP="00A538AF">
      <w:pPr>
        <w:widowControl/>
        <w:spacing w:line="360" w:lineRule="auto"/>
        <w:jc w:val="both"/>
        <w:rPr>
          <w:rFonts w:ascii="Arial" w:hAnsi="Arial" w:cs="Arial"/>
        </w:rPr>
      </w:pPr>
      <w:r w:rsidRPr="00765006">
        <w:rPr>
          <w:rFonts w:ascii="Arial" w:hAnsi="Arial" w:cs="Arial"/>
        </w:rPr>
        <w:t>Como los litisconsortes vinculados a este trámite, eventuales afectados con la acción constitucional, no incurrieron en violación o amenaza alguna, se negará la tutela frente a ellos.</w:t>
      </w:r>
    </w:p>
    <w:p w:rsidR="00A538AF" w:rsidRPr="00C57632"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C57632">
      <w:pPr>
        <w:pStyle w:val="Textoindependien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Pr="00C5763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C57632" w:rsidRDefault="00C57632" w:rsidP="00CD3E18">
      <w:pPr>
        <w:pStyle w:val="Textoindependiente"/>
        <w:spacing w:line="360" w:lineRule="auto"/>
        <w:rPr>
          <w:rFonts w:ascii="Arial" w:hAnsi="Arial" w:cs="Arial"/>
          <w:szCs w:val="24"/>
        </w:rPr>
      </w:pPr>
    </w:p>
    <w:p w:rsidR="00CD3E18" w:rsidRPr="006A3AB9" w:rsidRDefault="00CD3E18" w:rsidP="00CD3E18">
      <w:pPr>
        <w:pStyle w:val="Textoindependien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CD3E18" w:rsidRPr="007251E6"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6A3AB9">
        <w:rPr>
          <w:rFonts w:ascii="Arial" w:hAnsi="Arial" w:cs="Arial"/>
          <w:szCs w:val="24"/>
        </w:rPr>
        <w:lastRenderedPageBreak/>
        <w:t>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CD3E18" w:rsidRPr="00C57632"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243795" w:rsidRPr="00243795" w:rsidRDefault="00243795" w:rsidP="00CD3E18">
      <w:pPr>
        <w:pStyle w:val="Textoindependiente"/>
        <w:spacing w:line="360" w:lineRule="auto"/>
        <w:rPr>
          <w:rFonts w:ascii="Arial" w:hAnsi="Arial" w:cs="Arial"/>
          <w:sz w:val="20"/>
          <w:szCs w:val="24"/>
        </w:rPr>
      </w:pPr>
    </w:p>
    <w:p w:rsidR="00243795" w:rsidRDefault="00243795" w:rsidP="00243795">
      <w:pPr>
        <w:pStyle w:val="Textoindependiente"/>
        <w:numPr>
          <w:ilvl w:val="3"/>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243795" w:rsidRPr="00243795" w:rsidRDefault="00243795" w:rsidP="00243795">
      <w:pPr>
        <w:pStyle w:val="Textoindependiente"/>
        <w:tabs>
          <w:tab w:val="clear" w:pos="0"/>
        </w:tabs>
        <w:spacing w:line="360" w:lineRule="auto"/>
        <w:rPr>
          <w:rFonts w:ascii="Arial" w:hAnsi="Arial" w:cs="Arial"/>
          <w:sz w:val="20"/>
          <w:szCs w:val="24"/>
        </w:rPr>
      </w:pPr>
    </w:p>
    <w:p w:rsidR="00243795" w:rsidRDefault="00243795" w:rsidP="00243795">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243795" w:rsidRPr="00243795" w:rsidRDefault="00243795" w:rsidP="00243795">
      <w:pPr>
        <w:pStyle w:val="Textoindependiente"/>
        <w:tabs>
          <w:tab w:val="clear" w:pos="0"/>
        </w:tabs>
        <w:spacing w:line="360" w:lineRule="auto"/>
        <w:rPr>
          <w:rFonts w:ascii="Arial" w:hAnsi="Arial" w:cs="Arial"/>
          <w:sz w:val="20"/>
          <w:szCs w:val="24"/>
          <w:u w:val="single"/>
        </w:rPr>
      </w:pPr>
    </w:p>
    <w:p w:rsidR="00243795" w:rsidRDefault="00243795" w:rsidP="00243795">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243795" w:rsidRPr="00243795" w:rsidRDefault="00243795" w:rsidP="00243795">
      <w:pPr>
        <w:widowControl/>
        <w:autoSpaceDE/>
        <w:adjustRightInd/>
        <w:spacing w:line="360" w:lineRule="auto"/>
        <w:jc w:val="both"/>
        <w:rPr>
          <w:rFonts w:ascii="Arial" w:hAnsi="Arial" w:cs="Arial"/>
          <w:sz w:val="20"/>
          <w:szCs w:val="22"/>
          <w:lang w:val="es-ES_tradnl"/>
        </w:rPr>
      </w:pPr>
    </w:p>
    <w:p w:rsidR="00243795" w:rsidRDefault="00243795" w:rsidP="00243795">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243795" w:rsidRPr="00636F79" w:rsidRDefault="00243795" w:rsidP="00243795">
      <w:pPr>
        <w:widowControl/>
        <w:overflowPunct w:val="0"/>
        <w:spacing w:line="360" w:lineRule="auto"/>
        <w:ind w:left="540" w:right="560"/>
        <w:jc w:val="both"/>
        <w:textAlignment w:val="baseline"/>
        <w:rPr>
          <w:rFonts w:ascii="Arial" w:hAnsi="Arial" w:cs="Arial"/>
          <w:i/>
          <w:iCs/>
          <w:sz w:val="20"/>
          <w:lang w:val="es-ES_tradnl"/>
        </w:rPr>
      </w:pPr>
    </w:p>
    <w:p w:rsidR="00243795" w:rsidRDefault="00243795" w:rsidP="00243795">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w:t>
      </w:r>
      <w:r>
        <w:rPr>
          <w:rFonts w:ascii="Arial" w:hAnsi="Arial" w:cs="Arial"/>
          <w:color w:val="000000"/>
          <w:szCs w:val="24"/>
          <w:shd w:val="clear" w:color="auto" w:fill="FFFFFF"/>
        </w:rPr>
        <w:lastRenderedPageBreak/>
        <w:t>deviene en la improcedencia del mecanismo de amparo establecido en el artículo 86 Superior.</w:t>
      </w:r>
    </w:p>
    <w:p w:rsidR="00243795" w:rsidRDefault="00243795" w:rsidP="00243795">
      <w:pPr>
        <w:pStyle w:val="Textoindependiente"/>
        <w:tabs>
          <w:tab w:val="clear" w:pos="0"/>
        </w:tabs>
        <w:spacing w:line="360" w:lineRule="auto"/>
        <w:rPr>
          <w:rFonts w:ascii="Arial" w:hAnsi="Arial" w:cs="Arial"/>
          <w:szCs w:val="24"/>
        </w:rPr>
      </w:pPr>
    </w:p>
    <w:p w:rsidR="00243795" w:rsidRDefault="00243795" w:rsidP="00243795">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243795" w:rsidRPr="00243795" w:rsidRDefault="00243795" w:rsidP="00243795">
      <w:pPr>
        <w:pStyle w:val="Textoindependiente"/>
        <w:tabs>
          <w:tab w:val="clear" w:pos="0"/>
        </w:tabs>
        <w:spacing w:line="360" w:lineRule="auto"/>
        <w:rPr>
          <w:rFonts w:ascii="Arial" w:hAnsi="Arial" w:cs="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prohija la improcedencia de la tutela por aplicación del principio de subsidiariedad.</w:t>
      </w:r>
    </w:p>
    <w:p w:rsidR="008215CB" w:rsidRPr="00C57632" w:rsidRDefault="008215CB" w:rsidP="00FF5B57">
      <w:pPr>
        <w:pStyle w:val="Textoindependiente"/>
        <w:spacing w:line="360" w:lineRule="auto"/>
        <w:rPr>
          <w:rFonts w:ascii="Arial" w:hAnsi="Arial" w:cs="Arial"/>
          <w:sz w:val="20"/>
          <w:szCs w:val="24"/>
        </w:rPr>
      </w:pPr>
    </w:p>
    <w:p w:rsidR="00765006" w:rsidRPr="00FE5FF3" w:rsidRDefault="00765006" w:rsidP="00765006">
      <w:pPr>
        <w:pStyle w:val="Prrafodelista"/>
        <w:numPr>
          <w:ilvl w:val="2"/>
          <w:numId w:val="18"/>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16"/>
      </w:r>
      <w:r>
        <w:rPr>
          <w:rFonts w:ascii="Arial" w:hAnsi="Arial" w:cs="Arial"/>
          <w:szCs w:val="22"/>
          <w:lang w:val="es-ES_tradnl"/>
        </w:rPr>
        <w:t>, luego en otra decisión</w:t>
      </w:r>
      <w:r>
        <w:rPr>
          <w:rStyle w:val="Refdenotaalpie"/>
          <w:rFonts w:ascii="Arial" w:hAnsi="Arial"/>
          <w:szCs w:val="22"/>
          <w:lang w:val="es-ES_tradnl"/>
        </w:rPr>
        <w:footnoteReference w:id="17"/>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Refdenotaalpie"/>
          <w:rFonts w:ascii="Arial" w:hAnsi="Arial"/>
          <w:szCs w:val="22"/>
          <w:lang w:val="es-ES_tradnl"/>
        </w:rPr>
        <w:footnoteReference w:id="18"/>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9"/>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0"/>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1"/>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w:t>
      </w:r>
      <w:r w:rsidRPr="000A1B5D">
        <w:rPr>
          <w:rFonts w:ascii="Arial" w:hAnsi="Arial" w:cs="Arial"/>
        </w:rPr>
        <w:lastRenderedPageBreak/>
        <w:t xml:space="preserve">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22"/>
      </w:r>
      <w:r>
        <w:rPr>
          <w:rFonts w:ascii="Arial" w:hAnsi="Arial" w:cs="Arial"/>
          <w:iCs/>
          <w:vertAlign w:val="superscript"/>
        </w:rPr>
        <w:t>-</w:t>
      </w:r>
      <w:r>
        <w:rPr>
          <w:rStyle w:val="Refdenotaalpie"/>
          <w:rFonts w:ascii="Arial" w:hAnsi="Arial"/>
          <w:iCs/>
        </w:rPr>
        <w:footnoteReference w:id="23"/>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Textoindependiente"/>
        <w:spacing w:line="360" w:lineRule="auto"/>
        <w:rPr>
          <w:rFonts w:ascii="Arial" w:hAnsi="Arial" w:cs="Arial"/>
          <w:sz w:val="20"/>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24"/>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(Sublínea fuera de texto).</w:t>
      </w:r>
    </w:p>
    <w:p w:rsidR="00CB1C55" w:rsidRDefault="00CB1C55" w:rsidP="0062273B">
      <w:pPr>
        <w:spacing w:line="360" w:lineRule="auto"/>
        <w:jc w:val="both"/>
        <w:rPr>
          <w:rFonts w:ascii="Arial" w:hAnsi="Arial" w:cs="Arial"/>
          <w:lang w:val="es-ES_tradnl"/>
        </w:rPr>
      </w:pPr>
    </w:p>
    <w:p w:rsidR="00AA1E03" w:rsidRPr="00FE5FF3" w:rsidRDefault="00AA1E03" w:rsidP="00AA1E03">
      <w:pPr>
        <w:pStyle w:val="Textoindependien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394B4A" w:rsidRPr="00FE5FF3" w:rsidRDefault="00394B4A" w:rsidP="00AA1E03">
      <w:pPr>
        <w:pStyle w:val="Textoindependiente"/>
        <w:tabs>
          <w:tab w:val="clear" w:pos="0"/>
          <w:tab w:val="clear" w:pos="708"/>
          <w:tab w:val="left" w:pos="709"/>
        </w:tabs>
        <w:spacing w:line="360" w:lineRule="auto"/>
        <w:rPr>
          <w:rFonts w:ascii="Arial" w:hAnsi="Arial" w:cs="Arial"/>
          <w:sz w:val="20"/>
          <w:szCs w:val="22"/>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25"/>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Refdenotaalpie"/>
          <w:rFonts w:ascii="Arial" w:hAnsi="Arial"/>
          <w:szCs w:val="22"/>
        </w:rPr>
        <w:footnoteReference w:id="26"/>
      </w:r>
      <w:r w:rsidRPr="00833A61">
        <w:rPr>
          <w:rFonts w:ascii="Arial" w:hAnsi="Arial" w:cs="Arial"/>
          <w:szCs w:val="22"/>
          <w:vertAlign w:val="superscript"/>
        </w:rPr>
        <w:t>-</w:t>
      </w:r>
      <w:r w:rsidRPr="00556F7F">
        <w:rPr>
          <w:rStyle w:val="Refdenotaalpie"/>
          <w:rFonts w:ascii="Arial" w:hAnsi="Arial"/>
          <w:szCs w:val="22"/>
          <w:lang w:val="es-ES"/>
        </w:rPr>
        <w:footnoteReference w:id="27"/>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28"/>
      </w:r>
      <w:r w:rsidRPr="00556F7F">
        <w:rPr>
          <w:rFonts w:ascii="Arial" w:hAnsi="Arial" w:cs="Arial"/>
          <w:szCs w:val="22"/>
        </w:rPr>
        <w:t>, pues sostiene:</w:t>
      </w:r>
    </w:p>
    <w:p w:rsidR="00AA1E03" w:rsidRPr="00FE5FF3" w:rsidRDefault="00AA1E03" w:rsidP="00AA1E03">
      <w:pPr>
        <w:pStyle w:val="Textoindependiente"/>
        <w:tabs>
          <w:tab w:val="clear" w:pos="0"/>
          <w:tab w:val="clear" w:pos="708"/>
          <w:tab w:val="left" w:pos="709"/>
        </w:tabs>
        <w:spacing w:line="360" w:lineRule="auto"/>
        <w:rPr>
          <w:rFonts w:ascii="Arial" w:hAnsi="Arial" w:cs="Arial"/>
          <w:sz w:val="16"/>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w:t>
      </w:r>
      <w:r w:rsidRPr="00556F7F">
        <w:rPr>
          <w:rFonts w:ascii="Arial" w:hAnsi="Arial" w:cs="Arial"/>
          <w:i/>
          <w:iCs/>
          <w:color w:val="000000"/>
        </w:rPr>
        <w:lastRenderedPageBreak/>
        <w:t>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Pr="00FE5FF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9"/>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30"/>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31"/>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32"/>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33"/>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8E1295" w:rsidRPr="00FE5FF3" w:rsidRDefault="00FE5FF3" w:rsidP="00952597">
      <w:pPr>
        <w:pStyle w:val="Textoindependiente"/>
        <w:numPr>
          <w:ilvl w:val="0"/>
          <w:numId w:val="18"/>
        </w:numPr>
        <w:spacing w:line="360" w:lineRule="auto"/>
        <w:rPr>
          <w:rFonts w:ascii="Arial" w:hAnsi="Arial"/>
          <w:smallCaps/>
          <w:sz w:val="28"/>
          <w:szCs w:val="24"/>
        </w:rPr>
      </w:pPr>
      <w:r>
        <w:rPr>
          <w:rFonts w:ascii="Arial" w:hAnsi="Arial"/>
          <w:smallCaps/>
          <w:sz w:val="28"/>
          <w:szCs w:val="24"/>
        </w:rPr>
        <w:lastRenderedPageBreak/>
        <w:t>E</w:t>
      </w:r>
      <w:r w:rsidRPr="00FE5FF3">
        <w:rPr>
          <w:rFonts w:ascii="Arial" w:hAnsi="Arial"/>
          <w:smallCaps/>
          <w:sz w:val="28"/>
          <w:szCs w:val="24"/>
        </w:rPr>
        <w:t>l caso concreto que se analiza</w:t>
      </w:r>
    </w:p>
    <w:p w:rsidR="008139F4" w:rsidRPr="00FE5FF3" w:rsidRDefault="008139F4" w:rsidP="00AA1E03">
      <w:pPr>
        <w:pStyle w:val="Textoindependiente"/>
        <w:spacing w:line="360" w:lineRule="auto"/>
        <w:rPr>
          <w:rFonts w:ascii="Arial" w:hAnsi="Arial"/>
          <w:sz w:val="20"/>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En la metodología enseñada por la doctrina constitucional, el primer examen consiste en verificar los presupuestos generales de procedibilidad,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la </w:t>
      </w:r>
      <w:r w:rsidR="00855788">
        <w:rPr>
          <w:rFonts w:ascii="Arial" w:hAnsi="Arial"/>
          <w:szCs w:val="24"/>
        </w:rPr>
        <w:t xml:space="preserve">decisión </w:t>
      </w:r>
      <w:r w:rsidRPr="00F54A43">
        <w:rPr>
          <w:rFonts w:ascii="Arial" w:hAnsi="Arial"/>
          <w:szCs w:val="24"/>
        </w:rPr>
        <w:t xml:space="preserve">que </w:t>
      </w:r>
      <w:r w:rsidR="00855788">
        <w:rPr>
          <w:rFonts w:ascii="Arial" w:hAnsi="Arial"/>
          <w:szCs w:val="24"/>
        </w:rPr>
        <w:t>resolvió</w:t>
      </w:r>
      <w:r w:rsidR="005A6EF5" w:rsidRPr="00F54A43">
        <w:rPr>
          <w:rFonts w:ascii="Arial" w:hAnsi="Arial"/>
          <w:szCs w:val="24"/>
        </w:rPr>
        <w:t xml:space="preserve"> la </w:t>
      </w:r>
      <w:r w:rsidR="00855788">
        <w:rPr>
          <w:rFonts w:ascii="Arial" w:hAnsi="Arial"/>
          <w:szCs w:val="24"/>
        </w:rPr>
        <w:t>reposición presentada</w:t>
      </w:r>
      <w:r w:rsidR="00CD3E18">
        <w:rPr>
          <w:rFonts w:ascii="Arial" w:hAnsi="Arial"/>
          <w:szCs w:val="24"/>
        </w:rPr>
        <w:t xml:space="preserve"> </w:t>
      </w:r>
      <w:r w:rsidR="005A6EF5" w:rsidRPr="00F54A43">
        <w:rPr>
          <w:rFonts w:ascii="Arial" w:hAnsi="Arial"/>
          <w:szCs w:val="24"/>
        </w:rPr>
        <w:t>data</w:t>
      </w:r>
      <w:r w:rsidRPr="00F54A43">
        <w:rPr>
          <w:rFonts w:ascii="Arial" w:hAnsi="Arial"/>
          <w:szCs w:val="24"/>
        </w:rPr>
        <w:t xml:space="preserve"> del día </w:t>
      </w:r>
      <w:r w:rsidR="00855788">
        <w:rPr>
          <w:rFonts w:ascii="Arial" w:hAnsi="Arial"/>
          <w:szCs w:val="24"/>
        </w:rPr>
        <w:t xml:space="preserve">19-10-2016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855788">
        <w:rPr>
          <w:rFonts w:ascii="Arial" w:hAnsi="Arial"/>
          <w:szCs w:val="24"/>
        </w:rPr>
        <w:t>15</w:t>
      </w:r>
      <w:r w:rsidRPr="00F54A43">
        <w:rPr>
          <w:rFonts w:ascii="Arial" w:hAnsi="Arial"/>
          <w:szCs w:val="24"/>
        </w:rPr>
        <w:t xml:space="preserve">, ib.) y </w:t>
      </w:r>
      <w:r w:rsidR="00855788">
        <w:rPr>
          <w:rFonts w:ascii="Arial" w:hAnsi="Arial"/>
          <w:szCs w:val="24"/>
        </w:rPr>
        <w:t xml:space="preserve">la acción </w:t>
      </w:r>
      <w:r w:rsidR="005A6EF5" w:rsidRPr="00F54A43">
        <w:rPr>
          <w:rFonts w:ascii="Arial" w:hAnsi="Arial"/>
          <w:szCs w:val="24"/>
        </w:rPr>
        <w:t xml:space="preserve">fue </w:t>
      </w:r>
      <w:r w:rsidRPr="00F54A43">
        <w:rPr>
          <w:rFonts w:ascii="Arial" w:hAnsi="Arial"/>
          <w:szCs w:val="24"/>
        </w:rPr>
        <w:t xml:space="preserve">instaurada el </w:t>
      </w:r>
      <w:r w:rsidR="00855788">
        <w:rPr>
          <w:rFonts w:ascii="Arial" w:hAnsi="Arial"/>
          <w:szCs w:val="24"/>
        </w:rPr>
        <w:t>20-10</w:t>
      </w:r>
      <w:r w:rsidR="00CD3E18">
        <w:rPr>
          <w:rFonts w:ascii="Arial" w:hAnsi="Arial"/>
          <w:szCs w:val="24"/>
        </w:rPr>
        <w:t>-</w:t>
      </w:r>
      <w:r w:rsidR="005A6EF5" w:rsidRPr="00F54A43">
        <w:rPr>
          <w:rFonts w:ascii="Arial" w:hAnsi="Arial"/>
          <w:szCs w:val="24"/>
        </w:rPr>
        <w:t xml:space="preserve">2016 </w:t>
      </w:r>
      <w:r w:rsidR="00855788">
        <w:rPr>
          <w:rFonts w:ascii="Arial" w:hAnsi="Arial"/>
          <w:szCs w:val="24"/>
        </w:rPr>
        <w:t>(Folio</w:t>
      </w:r>
      <w:r w:rsidR="00CD3E18">
        <w:rPr>
          <w:rFonts w:ascii="Arial" w:hAnsi="Arial"/>
          <w:szCs w:val="24"/>
        </w:rPr>
        <w:t xml:space="preserve"> </w:t>
      </w:r>
      <w:r w:rsidR="00855788">
        <w:rPr>
          <w:rFonts w:ascii="Arial" w:hAnsi="Arial"/>
          <w:szCs w:val="24"/>
        </w:rPr>
        <w:t>2</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la irregularidad realzada por la parte, resulta ser trascendente para el desarrollo de la litis.</w:t>
      </w:r>
    </w:p>
    <w:p w:rsidR="001E5C81" w:rsidRPr="00855788" w:rsidRDefault="001E5C81" w:rsidP="00F54A43">
      <w:pPr>
        <w:pStyle w:val="Textoindependiente"/>
        <w:spacing w:line="360" w:lineRule="auto"/>
        <w:rPr>
          <w:rFonts w:ascii="Arial" w:hAnsi="Arial"/>
          <w:sz w:val="20"/>
          <w:szCs w:val="24"/>
        </w:rPr>
      </w:pPr>
    </w:p>
    <w:p w:rsidR="001E5C81" w:rsidRPr="00FE5FF3" w:rsidRDefault="001E5C81" w:rsidP="001E5C81">
      <w:pPr>
        <w:pStyle w:val="Prrafodelista"/>
        <w:numPr>
          <w:ilvl w:val="1"/>
          <w:numId w:val="18"/>
        </w:numPr>
        <w:spacing w:line="360" w:lineRule="auto"/>
        <w:ind w:right="22"/>
        <w:jc w:val="both"/>
        <w:rPr>
          <w:rFonts w:ascii="Arial" w:hAnsi="Arial" w:cs="Arial"/>
          <w:smallCaps/>
          <w:sz w:val="26"/>
          <w:szCs w:val="26"/>
          <w:lang w:val="es-ES_tradnl"/>
        </w:rPr>
      </w:pPr>
      <w:r w:rsidRPr="00FE5FF3">
        <w:rPr>
          <w:rFonts w:ascii="Arial" w:hAnsi="Arial" w:cs="Arial"/>
          <w:smallCaps/>
          <w:sz w:val="26"/>
          <w:szCs w:val="26"/>
          <w:lang w:val="es-ES_tradnl"/>
        </w:rPr>
        <w:t>El defecto sustantivo o material</w:t>
      </w:r>
    </w:p>
    <w:p w:rsidR="00993BE7" w:rsidRPr="00855788" w:rsidRDefault="00993BE7" w:rsidP="00F54A43">
      <w:pPr>
        <w:pStyle w:val="Textoindependiente"/>
        <w:spacing w:line="360" w:lineRule="auto"/>
        <w:rPr>
          <w:rFonts w:ascii="Arial" w:hAnsi="Arial"/>
          <w:sz w:val="20"/>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no debió aplicar el desistimiento tácito porque la Ley </w:t>
      </w:r>
      <w:r w:rsidR="00BA67C3" w:rsidRPr="00F54A43">
        <w:rPr>
          <w:rFonts w:ascii="Arial" w:hAnsi="Arial" w:cs="Arial"/>
          <w:color w:val="000000"/>
        </w:rPr>
        <w:t xml:space="preserve">especial </w:t>
      </w:r>
      <w:r w:rsidR="00F64B96">
        <w:rPr>
          <w:rFonts w:ascii="Arial" w:hAnsi="Arial" w:cs="Arial"/>
          <w:color w:val="000000"/>
        </w:rPr>
        <w:t xml:space="preserve">carece de esta </w:t>
      </w:r>
      <w:r w:rsidR="00F64B96" w:rsidRPr="00F54A43">
        <w:rPr>
          <w:rFonts w:ascii="Arial" w:hAnsi="Arial" w:cs="Arial"/>
          <w:color w:val="000000"/>
        </w:rPr>
        <w:t>figura</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Pr="00855788" w:rsidRDefault="00993BE7"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ED7146" w:rsidRDefault="00ED7146" w:rsidP="00F54A43">
      <w:pPr>
        <w:spacing w:line="360" w:lineRule="auto"/>
        <w:jc w:val="both"/>
        <w:rPr>
          <w:rFonts w:ascii="Arial" w:hAnsi="Arial" w:cs="Arial"/>
          <w:lang w:val="es-CO"/>
        </w:rPr>
      </w:pPr>
      <w:r w:rsidRPr="00F54A43">
        <w:rPr>
          <w:rFonts w:ascii="Arial" w:hAnsi="Arial" w:cs="Arial"/>
          <w:lang w:val="es-CO"/>
        </w:rPr>
        <w:t>En la</w:t>
      </w:r>
      <w:r w:rsidR="00CD3E18">
        <w:rPr>
          <w:rFonts w:ascii="Arial" w:hAnsi="Arial" w:cs="Arial"/>
          <w:lang w:val="es-CO"/>
        </w:rPr>
        <w:t>s</w:t>
      </w:r>
      <w:r w:rsidRPr="00F54A43">
        <w:rPr>
          <w:rFonts w:ascii="Arial" w:hAnsi="Arial" w:cs="Arial"/>
          <w:lang w:val="es-CO"/>
        </w:rPr>
        <w:t xml:space="preserve"> </w:t>
      </w:r>
      <w:r w:rsidR="00CD3E18">
        <w:rPr>
          <w:rFonts w:ascii="Arial" w:hAnsi="Arial" w:cs="Arial"/>
          <w:lang w:val="es-CO"/>
        </w:rPr>
        <w:t xml:space="preserve">dos acciones </w:t>
      </w:r>
      <w:r w:rsidRPr="00F54A43">
        <w:rPr>
          <w:rFonts w:ascii="Arial" w:hAnsi="Arial" w:cs="Arial"/>
          <w:lang w:val="es-CO"/>
        </w:rPr>
        <w:t>popular</w:t>
      </w:r>
      <w:r w:rsidR="00CD3E18">
        <w:rPr>
          <w:rFonts w:ascii="Arial" w:hAnsi="Arial" w:cs="Arial"/>
          <w:lang w:val="es-CO"/>
        </w:rPr>
        <w:t>es</w:t>
      </w:r>
      <w:r w:rsidRPr="00F54A43">
        <w:rPr>
          <w:rFonts w:ascii="Arial" w:hAnsi="Arial" w:cs="Arial"/>
          <w:lang w:val="es-CO"/>
        </w:rPr>
        <w:t xml:space="preserve"> la </w:t>
      </w:r>
      <w:r w:rsidRPr="00F54A43">
        <w:rPr>
          <w:rFonts w:ascii="Arial" w:hAnsi="Arial" w:cs="Arial"/>
          <w:i/>
          <w:lang w:val="es-CO"/>
        </w:rPr>
        <w:t xml:space="preserve">a quo </w:t>
      </w:r>
      <w:r w:rsidRPr="00F54A43">
        <w:rPr>
          <w:rFonts w:ascii="Arial" w:hAnsi="Arial" w:cs="Arial"/>
          <w:lang w:val="es-CO"/>
        </w:rPr>
        <w:t xml:space="preserve">accionada con proveído del </w:t>
      </w:r>
      <w:r w:rsidR="00855788">
        <w:rPr>
          <w:rFonts w:ascii="Arial" w:hAnsi="Arial" w:cs="Arial"/>
          <w:lang w:val="es-CO"/>
        </w:rPr>
        <w:t xml:space="preserve">09-08-2016 </w:t>
      </w:r>
      <w:r w:rsidRPr="00F54A43">
        <w:rPr>
          <w:rFonts w:ascii="Arial" w:hAnsi="Arial" w:cs="Arial"/>
          <w:lang w:val="es-CO"/>
        </w:rPr>
        <w:t xml:space="preserve">(Folio </w:t>
      </w:r>
      <w:r w:rsidR="00855788">
        <w:rPr>
          <w:rFonts w:ascii="Arial" w:hAnsi="Arial" w:cs="Arial"/>
          <w:lang w:val="es-CO"/>
        </w:rPr>
        <w:t>10</w:t>
      </w:r>
      <w:r w:rsidRPr="00F54A43">
        <w:rPr>
          <w:rFonts w:ascii="Arial" w:hAnsi="Arial" w:cs="Arial"/>
          <w:lang w:val="es-CO"/>
        </w:rPr>
        <w:t>, ib.) y con fundamento en el artículo 317 del CGP, requirió al actor para que efectuara la publicación del aviso a la comunidad</w:t>
      </w:r>
      <w:r w:rsidR="00855788">
        <w:rPr>
          <w:rFonts w:ascii="Arial" w:hAnsi="Arial" w:cs="Arial"/>
          <w:lang w:val="es-CO"/>
        </w:rPr>
        <w:t xml:space="preserve"> y notificará a la entidad accionada</w:t>
      </w:r>
      <w:r w:rsidRPr="00F54A43">
        <w:rPr>
          <w:rFonts w:ascii="Arial" w:hAnsi="Arial" w:cs="Arial"/>
          <w:lang w:val="es-CO"/>
        </w:rPr>
        <w:t>, seguidamente y como quiera que dejó vencer el plazo sin atender la orden</w:t>
      </w:r>
      <w:r w:rsidR="002E2B16" w:rsidRPr="00F54A43">
        <w:rPr>
          <w:rFonts w:ascii="Arial" w:hAnsi="Arial" w:cs="Arial"/>
          <w:lang w:val="es-CO"/>
        </w:rPr>
        <w:t>,</w:t>
      </w:r>
      <w:r w:rsidRPr="00F54A43">
        <w:rPr>
          <w:rFonts w:ascii="Arial" w:hAnsi="Arial" w:cs="Arial"/>
          <w:lang w:val="es-CO"/>
        </w:rPr>
        <w:t xml:space="preserve"> mediante providencia del </w:t>
      </w:r>
      <w:r w:rsidR="00855788">
        <w:rPr>
          <w:rFonts w:ascii="Arial" w:hAnsi="Arial" w:cs="Arial"/>
          <w:lang w:val="es-CO"/>
        </w:rPr>
        <w:t>06-10-2016</w:t>
      </w:r>
      <w:r w:rsidR="002E2B16" w:rsidRPr="00F54A43">
        <w:rPr>
          <w:rFonts w:ascii="Arial" w:hAnsi="Arial" w:cs="Arial"/>
          <w:lang w:val="es-CO"/>
        </w:rPr>
        <w:t>,</w:t>
      </w:r>
      <w:r w:rsidRPr="00F54A43">
        <w:rPr>
          <w:rFonts w:ascii="Arial" w:hAnsi="Arial" w:cs="Arial"/>
          <w:lang w:val="es-CO"/>
        </w:rPr>
        <w:t xml:space="preserve"> declaró terminado </w:t>
      </w:r>
      <w:r w:rsidR="00855788">
        <w:rPr>
          <w:rFonts w:ascii="Arial" w:hAnsi="Arial" w:cs="Arial"/>
          <w:lang w:val="es-CO"/>
        </w:rPr>
        <w:t xml:space="preserve">el </w:t>
      </w:r>
      <w:r w:rsidRPr="00F54A43">
        <w:rPr>
          <w:rFonts w:ascii="Arial" w:hAnsi="Arial" w:cs="Arial"/>
          <w:lang w:val="es-CO"/>
        </w:rPr>
        <w:t xml:space="preserve">amparo por desistimiento tácito (Folio </w:t>
      </w:r>
      <w:r w:rsidR="00855788">
        <w:rPr>
          <w:rFonts w:ascii="Arial" w:hAnsi="Arial" w:cs="Arial"/>
          <w:lang w:val="es-CO"/>
        </w:rPr>
        <w:t>13</w:t>
      </w:r>
      <w:r w:rsidRPr="00F54A43">
        <w:rPr>
          <w:rFonts w:ascii="Arial" w:hAnsi="Arial" w:cs="Arial"/>
          <w:lang w:val="es-CO"/>
        </w:rPr>
        <w:t>, ib.); finalmente, con aut</w:t>
      </w:r>
      <w:r w:rsidR="00855788">
        <w:rPr>
          <w:rFonts w:ascii="Arial" w:hAnsi="Arial" w:cs="Arial"/>
          <w:lang w:val="es-CO"/>
        </w:rPr>
        <w:t>o</w:t>
      </w:r>
      <w:r w:rsidRPr="00F54A43">
        <w:rPr>
          <w:rFonts w:ascii="Arial" w:hAnsi="Arial" w:cs="Arial"/>
          <w:lang w:val="es-CO"/>
        </w:rPr>
        <w:t xml:space="preserve"> del </w:t>
      </w:r>
      <w:r w:rsidR="00855788">
        <w:rPr>
          <w:rFonts w:ascii="Arial" w:hAnsi="Arial" w:cs="Arial"/>
          <w:lang w:val="es-CO"/>
        </w:rPr>
        <w:t>19-10-</w:t>
      </w:r>
      <w:r w:rsidR="0078274D">
        <w:rPr>
          <w:rFonts w:ascii="Arial" w:hAnsi="Arial" w:cs="Arial"/>
          <w:lang w:val="es-CO"/>
        </w:rPr>
        <w:t>2016</w:t>
      </w:r>
      <w:r w:rsidR="00F325F0">
        <w:rPr>
          <w:rFonts w:ascii="Arial" w:hAnsi="Arial" w:cs="Arial"/>
          <w:lang w:val="es-CO"/>
        </w:rPr>
        <w:t xml:space="preserve"> </w:t>
      </w:r>
      <w:r w:rsidR="00F325F0" w:rsidRPr="00F54A43">
        <w:rPr>
          <w:rFonts w:ascii="Arial" w:hAnsi="Arial" w:cs="Arial"/>
          <w:lang w:val="es-CO"/>
        </w:rPr>
        <w:t xml:space="preserve">desató </w:t>
      </w:r>
      <w:r w:rsidR="00F325F0">
        <w:rPr>
          <w:rFonts w:ascii="Arial" w:hAnsi="Arial" w:cs="Arial"/>
          <w:lang w:val="es-CO"/>
        </w:rPr>
        <w:t xml:space="preserve">la reposición </w:t>
      </w:r>
      <w:r w:rsidR="00F325F0" w:rsidRPr="00F54A43">
        <w:rPr>
          <w:rFonts w:ascii="Arial" w:hAnsi="Arial" w:cs="Arial"/>
          <w:lang w:val="es-CO"/>
        </w:rPr>
        <w:t xml:space="preserve">formulada y expuso al recurrente que </w:t>
      </w:r>
      <w:r w:rsidR="00F325F0">
        <w:rPr>
          <w:rFonts w:ascii="Arial" w:hAnsi="Arial" w:cs="Arial"/>
          <w:lang w:val="es-CO"/>
        </w:rPr>
        <w:t>es su obligación asumir ciertas cargas procesales, por lo que resulta viable la aplicación del artículo 317 del CGP</w:t>
      </w:r>
      <w:r w:rsidRPr="00F54A43">
        <w:rPr>
          <w:rFonts w:ascii="Arial" w:hAnsi="Arial" w:cs="Arial"/>
          <w:lang w:val="es-CO"/>
        </w:rPr>
        <w:t xml:space="preserve"> (Folio</w:t>
      </w:r>
      <w:r w:rsidR="00855788">
        <w:rPr>
          <w:rFonts w:ascii="Arial" w:hAnsi="Arial" w:cs="Arial"/>
          <w:lang w:val="es-CO"/>
        </w:rPr>
        <w:t>s</w:t>
      </w:r>
      <w:r w:rsidRPr="00F54A43">
        <w:rPr>
          <w:rFonts w:ascii="Arial" w:hAnsi="Arial" w:cs="Arial"/>
          <w:lang w:val="es-CO"/>
        </w:rPr>
        <w:t xml:space="preserve"> </w:t>
      </w:r>
      <w:r w:rsidR="00855788">
        <w:rPr>
          <w:rFonts w:ascii="Arial" w:hAnsi="Arial" w:cs="Arial"/>
          <w:lang w:val="es-CO"/>
        </w:rPr>
        <w:t>15 y 16</w:t>
      </w:r>
      <w:r w:rsidRPr="00F54A43">
        <w:rPr>
          <w:rFonts w:ascii="Arial" w:hAnsi="Arial" w:cs="Arial"/>
          <w:lang w:val="es-CO"/>
        </w:rPr>
        <w:t>, ib.).</w:t>
      </w:r>
    </w:p>
    <w:p w:rsidR="00243795" w:rsidRPr="00243795" w:rsidRDefault="00243795" w:rsidP="00F54A43">
      <w:pPr>
        <w:spacing w:line="360" w:lineRule="auto"/>
        <w:jc w:val="both"/>
        <w:rPr>
          <w:rFonts w:ascii="Arial" w:hAnsi="Arial" w:cs="Arial"/>
          <w:sz w:val="20"/>
          <w:lang w:val="es-CO"/>
        </w:rPr>
      </w:pPr>
    </w:p>
    <w:p w:rsidR="00F54A43" w:rsidRPr="00F54A43" w:rsidRDefault="003F7ED1" w:rsidP="00F54A43">
      <w:pPr>
        <w:pStyle w:val="Sangradetextonormal"/>
        <w:spacing w:after="0" w:line="360" w:lineRule="auto"/>
        <w:ind w:left="0"/>
        <w:jc w:val="both"/>
        <w:rPr>
          <w:rFonts w:ascii="Arial" w:hAnsi="Arial" w:cs="Arial"/>
        </w:rPr>
      </w:pPr>
      <w:r w:rsidRPr="00F54A43">
        <w:rPr>
          <w:rFonts w:ascii="Arial" w:hAnsi="Arial" w:cs="Arial"/>
          <w:color w:val="000000"/>
        </w:rPr>
        <w:t xml:space="preserve">A partir de lo dicho, </w:t>
      </w:r>
      <w:r w:rsidR="00ED7146" w:rsidRPr="00F54A43">
        <w:rPr>
          <w:rFonts w:ascii="Arial" w:hAnsi="Arial" w:cs="Arial"/>
          <w:lang w:val="es-CO"/>
        </w:rPr>
        <w:t>se considera que es inexistente la</w:t>
      </w:r>
      <w:r w:rsidR="00ED7146" w:rsidRPr="00F54A43">
        <w:rPr>
          <w:rFonts w:ascii="Arial" w:hAnsi="Arial"/>
        </w:rPr>
        <w:t xml:space="preserve"> vulneración o amenaza a los derechos invocados por el tutelante,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 xml:space="preserve">es </w:t>
      </w:r>
      <w:r w:rsidR="001E5C81">
        <w:rPr>
          <w:rFonts w:ascii="Arial" w:hAnsi="Arial"/>
        </w:rPr>
        <w:lastRenderedPageBreak/>
        <w:t>evidente</w:t>
      </w:r>
      <w:r w:rsidR="00ED7146" w:rsidRPr="00F54A43">
        <w:rPr>
          <w:rFonts w:ascii="Arial" w:hAnsi="Arial"/>
        </w:rPr>
        <w:t xml:space="preserve"> </w:t>
      </w:r>
      <w:r w:rsidR="002E2B16" w:rsidRPr="00F54A43">
        <w:rPr>
          <w:rFonts w:ascii="Arial" w:hAnsi="Arial"/>
        </w:rPr>
        <w:t xml:space="preserve">que </w:t>
      </w:r>
      <w:r w:rsidR="00ED7146" w:rsidRPr="00F54A43">
        <w:rPr>
          <w:rFonts w:ascii="Arial" w:hAnsi="Arial"/>
        </w:rPr>
        <w:t xml:space="preserve">se sostiene </w:t>
      </w:r>
      <w:r w:rsidR="00494C58" w:rsidRPr="00F54A43">
        <w:rPr>
          <w:rFonts w:ascii="Arial" w:hAnsi="Arial"/>
        </w:rPr>
        <w:t xml:space="preserve">en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la</w:t>
      </w:r>
      <w:r w:rsidR="0078274D">
        <w:rPr>
          <w:rFonts w:ascii="Arial" w:hAnsi="Arial" w:cs="Arial"/>
        </w:rPr>
        <w:t>s</w:t>
      </w:r>
      <w:r w:rsidR="00F54A43" w:rsidRPr="00F54A43">
        <w:rPr>
          <w:rFonts w:ascii="Arial" w:hAnsi="Arial" w:cs="Arial"/>
        </w:rPr>
        <w:t xml:space="preserve"> </w:t>
      </w:r>
      <w:r w:rsidR="0078274D">
        <w:rPr>
          <w:rFonts w:ascii="Arial" w:hAnsi="Arial" w:cs="Arial"/>
        </w:rPr>
        <w:t xml:space="preserve">acciones </w:t>
      </w:r>
      <w:r w:rsidR="00F54A43" w:rsidRPr="00F54A43">
        <w:rPr>
          <w:rFonts w:ascii="Arial" w:hAnsi="Arial" w:cs="Arial"/>
        </w:rPr>
        <w:t>popular</w:t>
      </w:r>
      <w:r w:rsidR="0078274D">
        <w:rPr>
          <w:rFonts w:ascii="Arial" w:hAnsi="Arial" w:cs="Arial"/>
        </w:rPr>
        <w:t>es</w:t>
      </w:r>
      <w:r w:rsidR="00F54A43" w:rsidRPr="00F54A43">
        <w:rPr>
          <w:rFonts w:ascii="Arial" w:hAnsi="Arial" w:cs="Arial"/>
        </w:rPr>
        <w:t xml:space="preserve"> con celeridad y eficacia, que </w:t>
      </w:r>
      <w:r w:rsidR="001E5C81">
        <w:rPr>
          <w:rFonts w:ascii="Arial" w:hAnsi="Arial" w:cs="Arial"/>
        </w:rPr>
        <w:t xml:space="preserve">nunca </w:t>
      </w:r>
      <w:r w:rsidR="00F54A43" w:rsidRPr="00F54A43">
        <w:rPr>
          <w:rFonts w:ascii="Arial" w:hAnsi="Arial" w:cs="Arial"/>
        </w:rPr>
        <w:t xml:space="preserve">pudo lograr producto de la renuencia del actor en asumir con diligencia la mínima carga procesal impuesta. </w:t>
      </w:r>
      <w:r w:rsidR="001E5C81">
        <w:rPr>
          <w:rFonts w:ascii="Arial" w:hAnsi="Arial" w:cs="Arial"/>
        </w:rPr>
        <w:t>Téngase presente que como no existe caducidad o figura semejante, nada obsta para que la promueva nuevamente.</w:t>
      </w:r>
    </w:p>
    <w:p w:rsidR="00F54A43" w:rsidRPr="00194D63" w:rsidRDefault="00F54A43" w:rsidP="00F54A43">
      <w:pPr>
        <w:pStyle w:val="Sangradetextonormal"/>
        <w:spacing w:after="0" w:line="360" w:lineRule="auto"/>
        <w:ind w:left="0"/>
        <w:jc w:val="both"/>
        <w:rPr>
          <w:rFonts w:ascii="Arial" w:hAnsi="Arial" w:cs="Arial"/>
          <w:sz w:val="20"/>
        </w:rPr>
      </w:pPr>
    </w:p>
    <w:p w:rsidR="00993BE7" w:rsidRPr="001E5C81" w:rsidRDefault="00993BE7" w:rsidP="00F54A43">
      <w:pPr>
        <w:pStyle w:val="Sangradetextonormal"/>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Refdenotaalpie"/>
          <w:rFonts w:ascii="Arial" w:hAnsi="Arial"/>
          <w:color w:val="000000"/>
        </w:rPr>
        <w:footnoteReference w:id="34"/>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194D63" w:rsidRDefault="00993BE7" w:rsidP="00993BE7">
      <w:pPr>
        <w:widowControl/>
        <w:spacing w:line="360" w:lineRule="auto"/>
        <w:jc w:val="both"/>
        <w:rPr>
          <w:rFonts w:ascii="Arial" w:hAnsi="Arial" w:cs="Arial"/>
          <w:color w:val="000000"/>
          <w:sz w:val="18"/>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94D63" w:rsidRPr="00194D63" w:rsidRDefault="00194D63" w:rsidP="00194D63">
      <w:pPr>
        <w:widowControl/>
        <w:spacing w:line="360" w:lineRule="auto"/>
        <w:jc w:val="both"/>
        <w:rPr>
          <w:rFonts w:ascii="Arial" w:hAnsi="Arial" w:cs="Arial"/>
          <w:color w:val="000000"/>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En suma, luce evidente que es inexistente vulneración o amenaza a los derechos invocados por el tutelante y así será declarado</w:t>
      </w:r>
      <w:r w:rsidR="00AA1E03">
        <w:rPr>
          <w:rFonts w:ascii="Arial" w:hAnsi="Arial"/>
          <w:szCs w:val="24"/>
        </w:rPr>
        <w:t>. No sobra acotar que este criterio ya ha sido expuesto por esta Corporación</w:t>
      </w:r>
      <w:r w:rsidRPr="003A2B28">
        <w:rPr>
          <w:rStyle w:val="Refdenotaalpie"/>
          <w:rFonts w:ascii="Arial" w:eastAsia="Yu Gothic Light" w:hAnsi="Arial"/>
          <w:szCs w:val="24"/>
        </w:rPr>
        <w:footnoteReference w:id="35"/>
      </w:r>
      <w:r w:rsidRPr="0026679E">
        <w:rPr>
          <w:rFonts w:ascii="Arial" w:hAnsi="Arial" w:cs="Arial"/>
          <w:spacing w:val="3"/>
        </w:rPr>
        <w:t>.</w:t>
      </w:r>
    </w:p>
    <w:p w:rsidR="003E032C" w:rsidRDefault="003E032C" w:rsidP="003E032C">
      <w:pPr>
        <w:pStyle w:val="Textoindependiente"/>
        <w:spacing w:line="360" w:lineRule="auto"/>
        <w:rPr>
          <w:rFonts w:ascii="Arial" w:hAnsi="Arial" w:cs="Arial"/>
          <w:spacing w:val="3"/>
        </w:rPr>
      </w:pPr>
    </w:p>
    <w:p w:rsidR="00927F25" w:rsidRPr="00927F25" w:rsidRDefault="00927F25" w:rsidP="00927F25">
      <w:pPr>
        <w:pStyle w:val="Textoindependiente"/>
        <w:numPr>
          <w:ilvl w:val="1"/>
          <w:numId w:val="18"/>
        </w:numPr>
        <w:spacing w:line="360" w:lineRule="auto"/>
        <w:rPr>
          <w:rFonts w:ascii="Arial" w:hAnsi="Arial" w:cs="Arial"/>
          <w:smallCaps/>
          <w:spacing w:val="3"/>
          <w:sz w:val="26"/>
          <w:szCs w:val="26"/>
        </w:rPr>
      </w:pPr>
      <w:r w:rsidRPr="00927F25">
        <w:rPr>
          <w:rFonts w:ascii="Arial" w:hAnsi="Arial" w:cs="Arial"/>
          <w:smallCaps/>
          <w:spacing w:val="3"/>
          <w:sz w:val="26"/>
          <w:szCs w:val="26"/>
        </w:rPr>
        <w:t>La subsidiariedad</w:t>
      </w:r>
    </w:p>
    <w:p w:rsidR="00927F25" w:rsidRPr="00927F25" w:rsidRDefault="00927F25" w:rsidP="00927F25">
      <w:pPr>
        <w:pStyle w:val="Textoindependiente"/>
        <w:spacing w:line="360" w:lineRule="auto"/>
        <w:rPr>
          <w:rFonts w:ascii="Arial" w:hAnsi="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 xml:space="preserve">Ahora, el accionante también </w:t>
      </w:r>
      <w:r w:rsidRPr="004802FE">
        <w:rPr>
          <w:rFonts w:ascii="Arial" w:hAnsi="Arial" w:cs="Arial"/>
          <w:lang w:val="es-ES_tradnl"/>
        </w:rPr>
        <w:t>se duele porque el</w:t>
      </w:r>
      <w:r>
        <w:rPr>
          <w:rFonts w:ascii="Arial" w:hAnsi="Arial" w:cs="Arial"/>
          <w:lang w:val="es-ES_tradnl"/>
        </w:rPr>
        <w:t xml:space="preserve"> juzgado se negó a conceder la alzada contra el proveído que declaró el desistimiento tácito, pese a que se trata de una acción de doble instancia y es procedente conforme el CGP.</w:t>
      </w:r>
    </w:p>
    <w:p w:rsidR="00243795" w:rsidRPr="00243795" w:rsidRDefault="00243795" w:rsidP="00927F25">
      <w:pPr>
        <w:spacing w:line="360" w:lineRule="auto"/>
        <w:jc w:val="both"/>
        <w:rPr>
          <w:rFonts w:ascii="Arial" w:hAnsi="Arial" w:cs="Arial"/>
          <w:sz w:val="20"/>
          <w:lang w:val="es-ES_tradnl"/>
        </w:rPr>
      </w:pPr>
    </w:p>
    <w:p w:rsidR="00927F25" w:rsidRDefault="00243795" w:rsidP="00927F25">
      <w:pPr>
        <w:spacing w:line="360" w:lineRule="auto"/>
        <w:jc w:val="both"/>
        <w:rPr>
          <w:rFonts w:ascii="Arial" w:hAnsi="Arial" w:cs="Arial"/>
          <w:lang w:val="es-ES_tradnl"/>
        </w:rPr>
      </w:pPr>
      <w:r>
        <w:rPr>
          <w:rFonts w:ascii="Arial" w:hAnsi="Arial" w:cs="Arial"/>
          <w:lang w:val="es-ES_tradnl"/>
        </w:rPr>
        <w:t xml:space="preserve">En este punto en particular, teniendo en cuenta </w:t>
      </w:r>
      <w:r w:rsidR="00927F25">
        <w:rPr>
          <w:rFonts w:ascii="Arial" w:hAnsi="Arial" w:cs="Arial"/>
          <w:lang w:val="es-ES_tradnl"/>
        </w:rPr>
        <w:t xml:space="preserve">que los requisitos generales de procedibilidad son concurrentes, esto es, incumplido uno, se torna inane el examen de los demás, menos podrían revisarse los supuestos especiales, el análisis que sigue se concentrará en la </w:t>
      </w:r>
      <w:r w:rsidR="00927F25" w:rsidRPr="00243795">
        <w:rPr>
          <w:rFonts w:ascii="Arial" w:hAnsi="Arial" w:cs="Arial"/>
          <w:u w:val="single"/>
          <w:lang w:val="es-ES_tradnl"/>
        </w:rPr>
        <w:t>subsidiariedad</w:t>
      </w:r>
      <w:r w:rsidR="00927F25">
        <w:rPr>
          <w:rFonts w:ascii="Arial" w:hAnsi="Arial" w:cs="Arial"/>
          <w:lang w:val="es-ES_tradnl"/>
        </w:rPr>
        <w:t xml:space="preserve">, porque es el elemento que se echa de menos y resulta suficiente </w:t>
      </w:r>
      <w:r>
        <w:rPr>
          <w:rFonts w:ascii="Arial" w:hAnsi="Arial" w:cs="Arial"/>
          <w:lang w:val="es-ES_tradnl"/>
        </w:rPr>
        <w:t>para el fracaso de esta pretensión</w:t>
      </w:r>
      <w:r w:rsidR="00927F25">
        <w:rPr>
          <w:rFonts w:ascii="Arial" w:hAnsi="Arial" w:cs="Arial"/>
          <w:lang w:val="es-ES_tradnl"/>
        </w:rPr>
        <w:t>.</w:t>
      </w:r>
    </w:p>
    <w:p w:rsidR="00927F25" w:rsidRPr="002C127D" w:rsidRDefault="00243795" w:rsidP="002C127D">
      <w:pPr>
        <w:spacing w:line="360" w:lineRule="auto"/>
        <w:jc w:val="both"/>
        <w:rPr>
          <w:rFonts w:ascii="Arial" w:hAnsi="Arial" w:cs="Arial"/>
          <w:lang w:val="es-CO"/>
        </w:rPr>
      </w:pPr>
      <w:r>
        <w:rPr>
          <w:rFonts w:ascii="Arial" w:hAnsi="Arial" w:cs="Arial"/>
        </w:rPr>
        <w:lastRenderedPageBreak/>
        <w:t xml:space="preserve">Según se expuso previamente, la </w:t>
      </w:r>
      <w:r w:rsidR="00927F25" w:rsidRPr="00401990">
        <w:rPr>
          <w:rFonts w:ascii="Arial" w:hAnsi="Arial" w:cs="Arial"/>
          <w:i/>
        </w:rPr>
        <w:t>a</w:t>
      </w:r>
      <w:r w:rsidR="00927F25">
        <w:rPr>
          <w:rFonts w:ascii="Arial" w:hAnsi="Arial" w:cs="Arial"/>
          <w:i/>
        </w:rPr>
        <w:t xml:space="preserve"> </w:t>
      </w:r>
      <w:r w:rsidR="00927F25" w:rsidRPr="00401990">
        <w:rPr>
          <w:rFonts w:ascii="Arial" w:hAnsi="Arial" w:cs="Arial"/>
          <w:i/>
        </w:rPr>
        <w:t>quo</w:t>
      </w:r>
      <w:r w:rsidR="00927F25">
        <w:rPr>
          <w:rFonts w:ascii="Arial" w:hAnsi="Arial" w:cs="Arial"/>
        </w:rPr>
        <w:t xml:space="preserve"> </w:t>
      </w:r>
      <w:r w:rsidRPr="00F54A43">
        <w:rPr>
          <w:rFonts w:ascii="Arial" w:hAnsi="Arial" w:cs="Arial"/>
          <w:lang w:val="es-CO"/>
        </w:rPr>
        <w:t xml:space="preserve">mediante providencia del </w:t>
      </w:r>
      <w:r>
        <w:rPr>
          <w:rFonts w:ascii="Arial" w:hAnsi="Arial" w:cs="Arial"/>
          <w:lang w:val="es-CO"/>
        </w:rPr>
        <w:t>06-10-2016</w:t>
      </w:r>
      <w:r w:rsidRPr="00F54A43">
        <w:rPr>
          <w:rFonts w:ascii="Arial" w:hAnsi="Arial" w:cs="Arial"/>
          <w:lang w:val="es-CO"/>
        </w:rPr>
        <w:t xml:space="preserve">, declaró terminado </w:t>
      </w:r>
      <w:r>
        <w:rPr>
          <w:rFonts w:ascii="Arial" w:hAnsi="Arial" w:cs="Arial"/>
          <w:lang w:val="es-CO"/>
        </w:rPr>
        <w:t xml:space="preserve">el </w:t>
      </w:r>
      <w:r w:rsidRPr="00F54A43">
        <w:rPr>
          <w:rFonts w:ascii="Arial" w:hAnsi="Arial" w:cs="Arial"/>
          <w:lang w:val="es-CO"/>
        </w:rPr>
        <w:t xml:space="preserve">amparo por desistimiento tácito (Folio </w:t>
      </w:r>
      <w:r>
        <w:rPr>
          <w:rFonts w:ascii="Arial" w:hAnsi="Arial" w:cs="Arial"/>
          <w:lang w:val="es-CO"/>
        </w:rPr>
        <w:t>13</w:t>
      </w:r>
      <w:r w:rsidRPr="00F54A43">
        <w:rPr>
          <w:rFonts w:ascii="Arial" w:hAnsi="Arial" w:cs="Arial"/>
          <w:lang w:val="es-CO"/>
        </w:rPr>
        <w:t>, ib.)</w:t>
      </w:r>
      <w:r>
        <w:rPr>
          <w:rFonts w:ascii="Arial" w:hAnsi="Arial" w:cs="Arial"/>
          <w:lang w:val="es-CO"/>
        </w:rPr>
        <w:t xml:space="preserve">, recurrido en reposición en subsidio apelación por el actor (Folio 14, ib.), se resolvió </w:t>
      </w:r>
      <w:r w:rsidRPr="00F54A43">
        <w:rPr>
          <w:rFonts w:ascii="Arial" w:hAnsi="Arial" w:cs="Arial"/>
          <w:lang w:val="es-CO"/>
        </w:rPr>
        <w:t>con aut</w:t>
      </w:r>
      <w:r>
        <w:rPr>
          <w:rFonts w:ascii="Arial" w:hAnsi="Arial" w:cs="Arial"/>
          <w:lang w:val="es-CO"/>
        </w:rPr>
        <w:t>o</w:t>
      </w:r>
      <w:r w:rsidRPr="00F54A43">
        <w:rPr>
          <w:rFonts w:ascii="Arial" w:hAnsi="Arial" w:cs="Arial"/>
          <w:lang w:val="es-CO"/>
        </w:rPr>
        <w:t xml:space="preserve"> del </w:t>
      </w:r>
      <w:r>
        <w:rPr>
          <w:rFonts w:ascii="Arial" w:hAnsi="Arial" w:cs="Arial"/>
          <w:lang w:val="es-CO"/>
        </w:rPr>
        <w:t xml:space="preserve">19-10-2016, mediante el cual mantuvo su decisión y no concedió la alzada </w:t>
      </w:r>
      <w:r w:rsidRPr="00F54A43">
        <w:rPr>
          <w:rFonts w:ascii="Arial" w:hAnsi="Arial" w:cs="Arial"/>
          <w:lang w:val="es-CO"/>
        </w:rPr>
        <w:t>(Folio</w:t>
      </w:r>
      <w:r>
        <w:rPr>
          <w:rFonts w:ascii="Arial" w:hAnsi="Arial" w:cs="Arial"/>
          <w:lang w:val="es-CO"/>
        </w:rPr>
        <w:t>s</w:t>
      </w:r>
      <w:r w:rsidRPr="00F54A43">
        <w:rPr>
          <w:rFonts w:ascii="Arial" w:hAnsi="Arial" w:cs="Arial"/>
          <w:lang w:val="es-CO"/>
        </w:rPr>
        <w:t xml:space="preserve"> </w:t>
      </w:r>
      <w:r>
        <w:rPr>
          <w:rFonts w:ascii="Arial" w:hAnsi="Arial" w:cs="Arial"/>
          <w:lang w:val="es-CO"/>
        </w:rPr>
        <w:t>15 y 16</w:t>
      </w:r>
      <w:r w:rsidRPr="00F54A43">
        <w:rPr>
          <w:rFonts w:ascii="Arial" w:hAnsi="Arial" w:cs="Arial"/>
          <w:lang w:val="es-CO"/>
        </w:rPr>
        <w:t>, ib.)</w:t>
      </w:r>
      <w:r>
        <w:rPr>
          <w:rFonts w:ascii="Arial" w:hAnsi="Arial" w:cs="Arial"/>
          <w:lang w:val="es-CO"/>
        </w:rPr>
        <w:t xml:space="preserve">, </w:t>
      </w:r>
      <w:r w:rsidR="002C127D">
        <w:rPr>
          <w:rFonts w:ascii="Arial" w:hAnsi="Arial" w:cs="Arial"/>
          <w:lang w:val="es-CO"/>
        </w:rPr>
        <w:t xml:space="preserve">notificado por estado del 20-10-2016 y debidamente ejecutoriado el día 25-10-2016, sin que se recurriera </w:t>
      </w:r>
      <w:r w:rsidR="00927F25">
        <w:rPr>
          <w:rFonts w:ascii="Arial" w:hAnsi="Arial" w:cs="Arial"/>
        </w:rPr>
        <w:t xml:space="preserve">(Folio </w:t>
      </w:r>
      <w:r w:rsidR="00F64B96">
        <w:rPr>
          <w:rFonts w:ascii="Arial" w:hAnsi="Arial" w:cs="Arial"/>
        </w:rPr>
        <w:t>38 vto.</w:t>
      </w:r>
      <w:r w:rsidR="002C127D">
        <w:rPr>
          <w:rFonts w:ascii="Arial" w:hAnsi="Arial" w:cs="Arial"/>
        </w:rPr>
        <w:t>,</w:t>
      </w:r>
      <w:r w:rsidR="00927F25">
        <w:rPr>
          <w:rFonts w:ascii="Arial" w:hAnsi="Arial" w:cs="Arial"/>
        </w:rPr>
        <w:t xml:space="preserve"> ib.). </w:t>
      </w:r>
    </w:p>
    <w:p w:rsidR="00927F25" w:rsidRPr="002C127D" w:rsidRDefault="00927F25" w:rsidP="00927F25">
      <w:pPr>
        <w:spacing w:line="360" w:lineRule="auto"/>
        <w:jc w:val="both"/>
        <w:rPr>
          <w:rFonts w:ascii="Arial" w:hAnsi="Arial" w:cs="Arial"/>
          <w:sz w:val="20"/>
        </w:rPr>
      </w:pPr>
    </w:p>
    <w:p w:rsidR="00927F25" w:rsidRDefault="00927F25" w:rsidP="00927F25">
      <w:pPr>
        <w:spacing w:line="360" w:lineRule="auto"/>
        <w:jc w:val="both"/>
        <w:rPr>
          <w:rFonts w:ascii="Arial" w:hAnsi="Arial" w:cs="Arial"/>
        </w:rPr>
      </w:pPr>
      <w:r>
        <w:rPr>
          <w:rFonts w:ascii="Arial" w:hAnsi="Arial" w:cs="Arial"/>
        </w:rPr>
        <w:t xml:space="preserve">En ese orden de ideas, se tiene que el accionante pretermitió </w:t>
      </w:r>
      <w:r w:rsidR="00F64B96">
        <w:rPr>
          <w:rFonts w:ascii="Arial" w:hAnsi="Arial" w:cs="Arial"/>
        </w:rPr>
        <w:t xml:space="preserve">recurrir en </w:t>
      </w:r>
      <w:r>
        <w:rPr>
          <w:rFonts w:ascii="Arial" w:hAnsi="Arial" w:cs="Arial"/>
        </w:rPr>
        <w:t xml:space="preserve">reposición (Artículo 36, Ley 472), frente </w:t>
      </w:r>
      <w:r w:rsidR="002C127D">
        <w:rPr>
          <w:rFonts w:ascii="Arial" w:hAnsi="Arial" w:cs="Arial"/>
        </w:rPr>
        <w:t>al proveído</w:t>
      </w:r>
      <w:r>
        <w:rPr>
          <w:rFonts w:ascii="Arial" w:hAnsi="Arial" w:cs="Arial"/>
        </w:rPr>
        <w:t xml:space="preserve"> que </w:t>
      </w:r>
      <w:r w:rsidR="002C127D">
        <w:rPr>
          <w:rFonts w:ascii="Arial" w:hAnsi="Arial" w:cs="Arial"/>
        </w:rPr>
        <w:t>negó la concesión de la alzada presentada</w:t>
      </w:r>
      <w:r>
        <w:rPr>
          <w:rFonts w:ascii="Arial" w:hAnsi="Arial" w:cs="Arial"/>
          <w:bCs/>
          <w:lang w:val="es-CO"/>
        </w:rPr>
        <w:t xml:space="preserve">, </w:t>
      </w:r>
      <w:r w:rsidRPr="00483001">
        <w:rPr>
          <w:rFonts w:ascii="Arial" w:hAnsi="Arial" w:cs="Arial"/>
        </w:rPr>
        <w:t xml:space="preserve">cuando </w:t>
      </w:r>
      <w:r>
        <w:rPr>
          <w:rFonts w:ascii="Arial" w:hAnsi="Arial" w:cs="Arial"/>
        </w:rPr>
        <w:t>ese</w:t>
      </w:r>
      <w:r w:rsidRPr="00483001">
        <w:rPr>
          <w:rFonts w:ascii="Arial" w:hAnsi="Arial" w:cs="Arial"/>
        </w:rPr>
        <w:t xml:space="preserve"> era el mecanismo ordinario y expedito que tenía para </w:t>
      </w:r>
      <w:r>
        <w:rPr>
          <w:rFonts w:ascii="Arial" w:hAnsi="Arial" w:cs="Arial"/>
        </w:rPr>
        <w:t xml:space="preserve">procurar que el estrado judicial accionado reconsiderara aquella </w:t>
      </w:r>
      <w:r w:rsidR="002C127D">
        <w:rPr>
          <w:rFonts w:ascii="Arial" w:hAnsi="Arial" w:cs="Arial"/>
        </w:rPr>
        <w:t>determinación</w:t>
      </w:r>
      <w:r>
        <w:rPr>
          <w:rFonts w:ascii="Arial" w:hAnsi="Arial" w:cs="Arial"/>
        </w:rPr>
        <w:t xml:space="preserve">. </w:t>
      </w:r>
      <w:r w:rsidR="002C127D">
        <w:rPr>
          <w:rFonts w:ascii="Arial" w:hAnsi="Arial" w:cs="Arial"/>
        </w:rPr>
        <w:t xml:space="preserve">Hay que decir que el actor fue precoz al formular el amparo, dado que lo hizo mientras corría la ejecutoria; prefirió </w:t>
      </w:r>
      <w:r w:rsidR="00F64B96">
        <w:rPr>
          <w:rFonts w:ascii="Arial" w:hAnsi="Arial" w:cs="Arial"/>
        </w:rPr>
        <w:t>presentar</w:t>
      </w:r>
      <w:r w:rsidR="002C127D">
        <w:rPr>
          <w:rFonts w:ascii="Arial" w:hAnsi="Arial" w:cs="Arial"/>
        </w:rPr>
        <w:t xml:space="preserve"> el amparo antes de </w:t>
      </w:r>
      <w:r w:rsidR="00F64B96">
        <w:rPr>
          <w:rFonts w:ascii="Arial" w:hAnsi="Arial" w:cs="Arial"/>
        </w:rPr>
        <w:t xml:space="preserve">promover </w:t>
      </w:r>
      <w:r w:rsidR="002C127D">
        <w:rPr>
          <w:rFonts w:ascii="Arial" w:hAnsi="Arial" w:cs="Arial"/>
        </w:rPr>
        <w:t xml:space="preserve">los recursos ordinarios. </w:t>
      </w:r>
    </w:p>
    <w:p w:rsidR="00927F25" w:rsidRPr="002C127D" w:rsidRDefault="00927F25" w:rsidP="00927F25">
      <w:pPr>
        <w:spacing w:line="360" w:lineRule="auto"/>
        <w:jc w:val="both"/>
        <w:rPr>
          <w:rFonts w:ascii="Arial" w:hAnsi="Arial" w:cs="Arial"/>
          <w:sz w:val="20"/>
        </w:rPr>
      </w:pPr>
    </w:p>
    <w:p w:rsidR="00927F25" w:rsidRDefault="00927F25" w:rsidP="00927F25">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mal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36"/>
      </w:r>
      <w:r w:rsidRPr="00FF4929">
        <w:rPr>
          <w:rFonts w:ascii="Arial" w:hAnsi="Arial" w:cs="Arial"/>
          <w:sz w:val="22"/>
          <w:szCs w:val="22"/>
        </w:rPr>
        <w:t>.</w:t>
      </w:r>
    </w:p>
    <w:p w:rsidR="00927F25" w:rsidRPr="00D54497" w:rsidRDefault="00927F25" w:rsidP="00927F25">
      <w:pPr>
        <w:spacing w:line="360" w:lineRule="auto"/>
        <w:jc w:val="both"/>
        <w:rPr>
          <w:rFonts w:ascii="Arial" w:hAnsi="Arial" w:cs="Arial"/>
          <w:bCs/>
          <w:sz w:val="20"/>
          <w:lang w:val="es-CO"/>
        </w:rPr>
      </w:pPr>
    </w:p>
    <w:p w:rsidR="00927F25" w:rsidRDefault="00927F25" w:rsidP="00927F25">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3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3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927F25" w:rsidRPr="00D54497" w:rsidRDefault="00927F25" w:rsidP="00927F25">
      <w:pPr>
        <w:spacing w:line="360" w:lineRule="auto"/>
        <w:ind w:right="51"/>
        <w:jc w:val="both"/>
        <w:rPr>
          <w:rFonts w:ascii="Arial" w:hAnsi="Arial"/>
          <w:sz w:val="20"/>
        </w:rPr>
      </w:pPr>
    </w:p>
    <w:p w:rsidR="00927F25" w:rsidRDefault="00927F25" w:rsidP="00927F25">
      <w:pPr>
        <w:spacing w:line="360" w:lineRule="auto"/>
        <w:ind w:right="51"/>
        <w:jc w:val="both"/>
        <w:rPr>
          <w:rFonts w:ascii="Arial" w:hAnsi="Arial"/>
        </w:rPr>
      </w:pPr>
      <w:r w:rsidRPr="00F572A7">
        <w:rPr>
          <w:rFonts w:ascii="Arial" w:hAnsi="Arial" w:cs="Arial"/>
          <w:lang w:val="es-ES_tradnl"/>
        </w:rPr>
        <w:t xml:space="preserve">En ese contexto, </w:t>
      </w:r>
      <w:r w:rsidR="002C127D">
        <w:rPr>
          <w:rFonts w:ascii="Arial" w:hAnsi="Arial"/>
        </w:rPr>
        <w:t xml:space="preserve">la </w:t>
      </w:r>
      <w:r w:rsidRPr="00486763">
        <w:rPr>
          <w:rFonts w:ascii="Arial" w:hAnsi="Arial"/>
        </w:rPr>
        <w:t xml:space="preserve">presente </w:t>
      </w:r>
      <w:r w:rsidR="002C127D">
        <w:rPr>
          <w:rFonts w:ascii="Arial" w:hAnsi="Arial"/>
        </w:rPr>
        <w:t xml:space="preserve">acción </w:t>
      </w:r>
      <w:r w:rsidRPr="00486763">
        <w:rPr>
          <w:rFonts w:ascii="Arial" w:hAnsi="Arial"/>
        </w:rPr>
        <w:t xml:space="preserve">de tutela </w:t>
      </w:r>
      <w:r w:rsidR="002C127D">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F325F0" w:rsidRPr="00F325F0" w:rsidRDefault="00F325F0" w:rsidP="00927F25">
      <w:pPr>
        <w:spacing w:line="360" w:lineRule="auto"/>
        <w:ind w:right="51"/>
        <w:jc w:val="both"/>
        <w:rPr>
          <w:rFonts w:ascii="Arial" w:hAnsi="Arial"/>
          <w:sz w:val="20"/>
        </w:rPr>
      </w:pPr>
    </w:p>
    <w:p w:rsidR="00AA1E03" w:rsidRPr="00927F25" w:rsidRDefault="00AA1E03" w:rsidP="00866FB0">
      <w:pPr>
        <w:pStyle w:val="Textoindependiente"/>
        <w:numPr>
          <w:ilvl w:val="1"/>
          <w:numId w:val="18"/>
        </w:numPr>
        <w:spacing w:line="360" w:lineRule="auto"/>
        <w:rPr>
          <w:rFonts w:ascii="Arial" w:hAnsi="Arial" w:cs="Arial"/>
          <w:smallCaps/>
          <w:sz w:val="26"/>
          <w:szCs w:val="26"/>
        </w:rPr>
      </w:pPr>
      <w:r w:rsidRPr="00927F25">
        <w:rPr>
          <w:rFonts w:ascii="Arial" w:hAnsi="Arial" w:cs="Arial"/>
          <w:smallCaps/>
          <w:sz w:val="26"/>
          <w:szCs w:val="26"/>
        </w:rPr>
        <w:t>La temeridad y la cosa juzgada constitucional</w:t>
      </w:r>
    </w:p>
    <w:p w:rsidR="00AA1E03" w:rsidRPr="007B7681" w:rsidRDefault="00AA1E03" w:rsidP="00AA1E03">
      <w:pPr>
        <w:pStyle w:val="Textoindependiente"/>
        <w:spacing w:line="360" w:lineRule="auto"/>
        <w:rPr>
          <w:rFonts w:ascii="Arial" w:hAnsi="Arial" w:cs="Arial"/>
          <w:sz w:val="20"/>
          <w:szCs w:val="24"/>
          <w:lang w:val="es-CO"/>
        </w:rPr>
      </w:pPr>
    </w:p>
    <w:p w:rsidR="00AA1E03" w:rsidRPr="002128C2" w:rsidRDefault="00AA1E03" w:rsidP="00AA1E03">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7B7681" w:rsidRDefault="00AA1E03" w:rsidP="00AA1E03">
      <w:pPr>
        <w:pStyle w:val="Textoindependiente"/>
        <w:spacing w:line="360" w:lineRule="auto"/>
        <w:rPr>
          <w:rFonts w:ascii="Arial" w:hAnsi="Arial" w:cs="Arial"/>
          <w:sz w:val="20"/>
          <w:szCs w:val="24"/>
        </w:rPr>
      </w:pPr>
    </w:p>
    <w:p w:rsidR="00AA1E03" w:rsidRDefault="00AA1E03" w:rsidP="00AA1E03">
      <w:pPr>
        <w:pStyle w:val="Textoindependiente"/>
        <w:spacing w:line="360" w:lineRule="auto"/>
        <w:rPr>
          <w:rFonts w:ascii="Arial" w:hAnsi="Arial"/>
          <w:b/>
          <w:szCs w:val="24"/>
          <w:lang w:val="es-ES"/>
        </w:rPr>
      </w:pPr>
      <w:r w:rsidRPr="002128C2">
        <w:rPr>
          <w:rFonts w:ascii="Arial" w:hAnsi="Arial"/>
          <w:szCs w:val="24"/>
        </w:rPr>
        <w:lastRenderedPageBreak/>
        <w:t>Necesario es advertir que no es del caso estudiar de fondo el asunto puesto que previamente y en varias acciones de tutela, esta Corporación se ha pronunciado respecto de idénticas causas, pretensiones, derechos y partes, formuladas por el accionante. Entre ellas la</w:t>
      </w:r>
      <w:r w:rsidR="00C16F88">
        <w:rPr>
          <w:rFonts w:ascii="Arial" w:hAnsi="Arial"/>
          <w:szCs w:val="24"/>
        </w:rPr>
        <w:t>s</w:t>
      </w:r>
      <w:r w:rsidRPr="002128C2">
        <w:rPr>
          <w:rFonts w:ascii="Arial" w:hAnsi="Arial"/>
          <w:szCs w:val="24"/>
        </w:rPr>
        <w:t xml:space="preserve"> radicada</w:t>
      </w:r>
      <w:r w:rsidR="00C16F88">
        <w:rPr>
          <w:rFonts w:ascii="Arial" w:hAnsi="Arial"/>
          <w:szCs w:val="24"/>
        </w:rPr>
        <w:t>s</w:t>
      </w:r>
      <w:r w:rsidR="000B0D03">
        <w:rPr>
          <w:rFonts w:ascii="Arial" w:hAnsi="Arial"/>
          <w:szCs w:val="24"/>
        </w:rPr>
        <w:t xml:space="preserve"> 2016-00526-00,</w:t>
      </w:r>
      <w:r w:rsidR="00C16F88">
        <w:rPr>
          <w:rFonts w:ascii="Arial" w:hAnsi="Arial"/>
          <w:szCs w:val="24"/>
        </w:rPr>
        <w:t xml:space="preserve"> </w:t>
      </w:r>
      <w:r w:rsidR="00C16F88" w:rsidRPr="00C16F88">
        <w:rPr>
          <w:rFonts w:ascii="Arial" w:hAnsi="Arial"/>
          <w:szCs w:val="24"/>
        </w:rPr>
        <w:t>2016</w:t>
      </w:r>
      <w:r w:rsidR="00C16F88">
        <w:rPr>
          <w:rFonts w:ascii="Arial" w:hAnsi="Arial"/>
          <w:szCs w:val="24"/>
        </w:rPr>
        <w:t>-</w:t>
      </w:r>
      <w:r w:rsidR="00C16F88" w:rsidRPr="00C16F88">
        <w:rPr>
          <w:rFonts w:ascii="Arial" w:hAnsi="Arial"/>
          <w:szCs w:val="24"/>
        </w:rPr>
        <w:t>00554</w:t>
      </w:r>
      <w:r w:rsidR="00C16F88">
        <w:rPr>
          <w:rFonts w:ascii="Arial" w:hAnsi="Arial"/>
          <w:szCs w:val="24"/>
        </w:rPr>
        <w:t>-00</w:t>
      </w:r>
      <w:r w:rsidR="000B0D03">
        <w:rPr>
          <w:rFonts w:ascii="Arial" w:hAnsi="Arial"/>
          <w:szCs w:val="24"/>
        </w:rPr>
        <w:t xml:space="preserve"> y 2016-00750-00</w:t>
      </w:r>
      <w:r w:rsidR="00C16F88">
        <w:rPr>
          <w:rFonts w:ascii="Arial" w:hAnsi="Arial"/>
          <w:szCs w:val="24"/>
        </w:rPr>
        <w:t xml:space="preserve"> </w:t>
      </w:r>
      <w:r w:rsidRPr="002128C2">
        <w:rPr>
          <w:rFonts w:ascii="Arial" w:hAnsi="Arial"/>
          <w:szCs w:val="24"/>
        </w:rPr>
        <w:t>con sentencia</w:t>
      </w:r>
      <w:r w:rsidR="00C16F88">
        <w:rPr>
          <w:rFonts w:ascii="Arial" w:hAnsi="Arial"/>
          <w:szCs w:val="24"/>
        </w:rPr>
        <w:t>s</w:t>
      </w:r>
      <w:r w:rsidRPr="002128C2">
        <w:rPr>
          <w:rFonts w:ascii="Arial" w:hAnsi="Arial"/>
          <w:szCs w:val="24"/>
        </w:rPr>
        <w:t xml:space="preserve"> de primera instancia </w:t>
      </w:r>
      <w:r w:rsidR="00C16F88">
        <w:rPr>
          <w:rFonts w:ascii="Arial" w:hAnsi="Arial"/>
          <w:szCs w:val="24"/>
        </w:rPr>
        <w:t xml:space="preserve">de los días </w:t>
      </w:r>
      <w:r w:rsidRPr="002128C2">
        <w:rPr>
          <w:rFonts w:ascii="Arial" w:hAnsi="Arial"/>
          <w:szCs w:val="24"/>
        </w:rPr>
        <w:t>11-05-2016</w:t>
      </w:r>
      <w:r w:rsidR="000B0D03">
        <w:rPr>
          <w:rFonts w:ascii="Arial" w:hAnsi="Arial"/>
          <w:szCs w:val="24"/>
        </w:rPr>
        <w:t xml:space="preserve">, </w:t>
      </w:r>
      <w:r w:rsidR="00C16F88">
        <w:rPr>
          <w:rFonts w:ascii="Arial" w:hAnsi="Arial"/>
          <w:szCs w:val="24"/>
        </w:rPr>
        <w:t>30-06-2016</w:t>
      </w:r>
      <w:r w:rsidR="000B0D03">
        <w:rPr>
          <w:rFonts w:ascii="Arial" w:hAnsi="Arial"/>
          <w:szCs w:val="24"/>
        </w:rPr>
        <w:t xml:space="preserve"> y 11-08-2016</w:t>
      </w:r>
      <w:r w:rsidRPr="002128C2">
        <w:rPr>
          <w:rFonts w:ascii="Arial" w:hAnsi="Arial"/>
          <w:szCs w:val="24"/>
        </w:rPr>
        <w:t>, confirmada</w:t>
      </w:r>
      <w:r w:rsidR="00C16F88">
        <w:rPr>
          <w:rFonts w:ascii="Arial" w:hAnsi="Arial"/>
          <w:szCs w:val="24"/>
        </w:rPr>
        <w:t>s</w:t>
      </w:r>
      <w:r w:rsidRPr="002128C2">
        <w:rPr>
          <w:rFonts w:ascii="Arial" w:hAnsi="Arial"/>
          <w:szCs w:val="24"/>
        </w:rPr>
        <w:t xml:space="preserve"> por la CSJ con </w:t>
      </w:r>
      <w:r w:rsidR="00C16F88">
        <w:rPr>
          <w:rFonts w:ascii="Arial" w:hAnsi="Arial"/>
          <w:szCs w:val="24"/>
        </w:rPr>
        <w:t xml:space="preserve">las decisiones </w:t>
      </w:r>
      <w:r w:rsidRPr="002128C2">
        <w:rPr>
          <w:rFonts w:ascii="Arial" w:hAnsi="Arial"/>
          <w:szCs w:val="24"/>
        </w:rPr>
        <w:t>STC7545-2016</w:t>
      </w:r>
      <w:r w:rsidR="000B0D03">
        <w:rPr>
          <w:rFonts w:ascii="Arial" w:hAnsi="Arial"/>
          <w:szCs w:val="24"/>
        </w:rPr>
        <w:t>,</w:t>
      </w:r>
      <w:r w:rsidR="00C16F88">
        <w:rPr>
          <w:rFonts w:ascii="Arial" w:hAnsi="Arial"/>
          <w:szCs w:val="24"/>
        </w:rPr>
        <w:t xml:space="preserve"> </w:t>
      </w:r>
      <w:r w:rsidR="00C16F88" w:rsidRPr="00C16F88">
        <w:rPr>
          <w:rFonts w:ascii="Arial" w:hAnsi="Arial"/>
          <w:szCs w:val="24"/>
          <w:lang w:val="es-ES"/>
        </w:rPr>
        <w:t>STC10685-2016</w:t>
      </w:r>
      <w:r w:rsidR="000B0D03">
        <w:rPr>
          <w:rFonts w:ascii="Arial" w:hAnsi="Arial"/>
          <w:szCs w:val="24"/>
          <w:lang w:val="es-ES"/>
        </w:rPr>
        <w:t xml:space="preserve"> y </w:t>
      </w:r>
      <w:r w:rsidR="000B0D03" w:rsidRPr="000B0D03">
        <w:rPr>
          <w:rFonts w:ascii="Arial" w:hAnsi="Arial"/>
          <w:szCs w:val="24"/>
          <w:lang w:val="es-ES"/>
        </w:rPr>
        <w:t>STC12859-2016</w:t>
      </w:r>
      <w:r w:rsidR="00C16F88" w:rsidRPr="00C16F88">
        <w:rPr>
          <w:rFonts w:ascii="Arial" w:hAnsi="Arial"/>
          <w:szCs w:val="24"/>
          <w:lang w:val="es-ES"/>
        </w:rPr>
        <w:t>, respectivamente.</w:t>
      </w:r>
      <w:r w:rsidR="00C16F88">
        <w:rPr>
          <w:rFonts w:ascii="Arial" w:hAnsi="Arial"/>
          <w:b/>
          <w:szCs w:val="24"/>
          <w:lang w:val="es-ES"/>
        </w:rPr>
        <w:t xml:space="preserve"> </w:t>
      </w:r>
    </w:p>
    <w:p w:rsidR="00036E0E" w:rsidRPr="007B7681" w:rsidRDefault="00036E0E" w:rsidP="00AA1E03">
      <w:pPr>
        <w:pStyle w:val="Textoindependiente"/>
        <w:spacing w:line="360" w:lineRule="auto"/>
        <w:rPr>
          <w:rFonts w:ascii="Arial" w:hAnsi="Arial"/>
          <w:sz w:val="20"/>
          <w:szCs w:val="24"/>
        </w:rPr>
      </w:pPr>
    </w:p>
    <w:p w:rsidR="00AA1E03" w:rsidRDefault="00AA1E03" w:rsidP="00AA1E03">
      <w:pPr>
        <w:pStyle w:val="Textoindependiente"/>
        <w:spacing w:line="360" w:lineRule="auto"/>
        <w:rPr>
          <w:rFonts w:ascii="Arial" w:hAnsi="Arial"/>
          <w:iCs/>
          <w:szCs w:val="24"/>
        </w:rPr>
      </w:pPr>
      <w:r>
        <w:rPr>
          <w:rFonts w:ascii="Arial" w:hAnsi="Arial"/>
          <w:szCs w:val="24"/>
        </w:rPr>
        <w:t xml:space="preserve">Confrontados </w:t>
      </w:r>
      <w:r w:rsidR="007B7681">
        <w:rPr>
          <w:rFonts w:ascii="Arial" w:hAnsi="Arial"/>
          <w:szCs w:val="24"/>
        </w:rPr>
        <w:t xml:space="preserve">el </w:t>
      </w:r>
      <w:r>
        <w:rPr>
          <w:rFonts w:ascii="Arial" w:hAnsi="Arial"/>
          <w:szCs w:val="24"/>
        </w:rPr>
        <w:t>escrito petitorio (Folio</w:t>
      </w:r>
      <w:r w:rsidR="00256833">
        <w:rPr>
          <w:rFonts w:ascii="Arial" w:hAnsi="Arial"/>
          <w:szCs w:val="24"/>
        </w:rPr>
        <w:t>s</w:t>
      </w:r>
      <w:r>
        <w:rPr>
          <w:rFonts w:ascii="Arial" w:hAnsi="Arial"/>
          <w:szCs w:val="24"/>
        </w:rPr>
        <w:t xml:space="preserve"> 1</w:t>
      </w:r>
      <w:r w:rsidR="00256833">
        <w:rPr>
          <w:rFonts w:ascii="Arial" w:hAnsi="Arial"/>
          <w:szCs w:val="24"/>
        </w:rPr>
        <w:t xml:space="preserve"> y 3</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sidR="00D75C31">
        <w:rPr>
          <w:rFonts w:ascii="Arial" w:hAnsi="Arial"/>
          <w:iCs/>
          <w:szCs w:val="24"/>
        </w:rPr>
        <w:t xml:space="preserve"> </w:t>
      </w:r>
    </w:p>
    <w:p w:rsidR="00D75C31" w:rsidRPr="007B7681" w:rsidRDefault="00D75C31" w:rsidP="00AA1E03">
      <w:pPr>
        <w:pStyle w:val="Textoindependiente"/>
        <w:spacing w:line="360" w:lineRule="auto"/>
        <w:rPr>
          <w:rFonts w:ascii="Arial" w:hAnsi="Arial"/>
          <w:sz w:val="20"/>
          <w:szCs w:val="24"/>
        </w:rPr>
      </w:pPr>
    </w:p>
    <w:p w:rsidR="00AA1E03" w:rsidRPr="00F2155F" w:rsidRDefault="00AA1E03" w:rsidP="00AA1E03">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39"/>
      </w:r>
      <w:r w:rsidRPr="00F2155F">
        <w:rPr>
          <w:rFonts w:ascii="Arial" w:hAnsi="Arial"/>
        </w:rPr>
        <w:t xml:space="preserve"> reiterada recientemente (2016)</w:t>
      </w:r>
      <w:r w:rsidRPr="00F2155F">
        <w:rPr>
          <w:rStyle w:val="Refdenotaalpie"/>
          <w:rFonts w:ascii="Arial" w:hAnsi="Arial"/>
        </w:rPr>
        <w:footnoteReference w:id="40"/>
      </w:r>
      <w:r w:rsidRPr="00F2155F">
        <w:rPr>
          <w:rFonts w:ascii="Arial" w:hAnsi="Arial"/>
        </w:rPr>
        <w:t>, así:</w:t>
      </w:r>
    </w:p>
    <w:p w:rsidR="00AA1E03" w:rsidRPr="000848B7" w:rsidRDefault="00AA1E03" w:rsidP="00AA1E03">
      <w:pPr>
        <w:ind w:left="567" w:right="567"/>
        <w:jc w:val="both"/>
        <w:rPr>
          <w:rFonts w:ascii="Arial" w:hAnsi="Arial" w:cs="Arial"/>
          <w:b/>
          <w:bCs/>
          <w:sz w:val="2"/>
          <w:szCs w:val="22"/>
        </w:rPr>
      </w:pPr>
    </w:p>
    <w:p w:rsidR="00AA1E03" w:rsidRPr="00D54497" w:rsidRDefault="00AA1E03" w:rsidP="00AA1E03">
      <w:pPr>
        <w:ind w:left="567" w:right="567"/>
        <w:jc w:val="both"/>
        <w:rPr>
          <w:rFonts w:ascii="Arial" w:hAnsi="Arial" w:cs="Arial"/>
          <w:b/>
          <w:bCs/>
          <w:sz w:val="22"/>
        </w:rPr>
      </w:pPr>
    </w:p>
    <w:p w:rsidR="00AA1E03" w:rsidRPr="00F2155F" w:rsidRDefault="00AA1E03" w:rsidP="00AA1E0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41"/>
      </w:r>
      <w:r w:rsidRPr="00F2155F">
        <w:rPr>
          <w:rFonts w:ascii="Arial" w:hAnsi="Arial" w:cs="Arial"/>
        </w:rPr>
        <w:t>-,  para sancionar pecuniariamente a los responsables</w:t>
      </w:r>
      <w:r w:rsidRPr="00F2155F">
        <w:rPr>
          <w:rStyle w:val="Refdenotaalpie"/>
          <w:rFonts w:ascii="Arial" w:hAnsi="Arial" w:cs="Arial"/>
        </w:rPr>
        <w:footnoteReference w:id="42"/>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43"/>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44"/>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45"/>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46"/>
      </w:r>
      <w:r w:rsidRPr="00F2155F">
        <w:rPr>
          <w:rFonts w:ascii="Arial" w:hAnsi="Arial" w:cs="Arial"/>
          <w:i/>
          <w:iCs/>
        </w:rPr>
        <w:t>.</w:t>
      </w:r>
      <w:r w:rsidRPr="00F2155F">
        <w:rPr>
          <w:rFonts w:ascii="Arial" w:hAnsi="Arial" w:cs="Arial"/>
          <w:iCs/>
        </w:rPr>
        <w:t xml:space="preserve">  El resaltado es propio de esta Colegiatura.</w:t>
      </w:r>
    </w:p>
    <w:p w:rsidR="00D75C31"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F2155F">
        <w:rPr>
          <w:rFonts w:ascii="Arial" w:hAnsi="Arial"/>
        </w:rPr>
        <w:lastRenderedPageBreak/>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AA1E03" w:rsidRPr="007B7681" w:rsidRDefault="00AA1E03" w:rsidP="00AA1E03">
      <w:pPr>
        <w:pStyle w:val="Textoindependiente"/>
        <w:spacing w:line="360" w:lineRule="auto"/>
        <w:rPr>
          <w:rFonts w:ascii="Arial" w:hAnsi="Arial" w:cs="Arial"/>
          <w:sz w:val="20"/>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47"/>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48"/>
      </w:r>
      <w:r>
        <w:rPr>
          <w:rFonts w:ascii="Arial" w:hAnsi="Arial" w:cs="Arial"/>
        </w:rPr>
        <w:t xml:space="preserve"> comparte en su jurisprudencia. También precedente horizontal de esta Corporación</w:t>
      </w:r>
      <w:r>
        <w:rPr>
          <w:rStyle w:val="Refdenotaalpie"/>
          <w:rFonts w:ascii="Arial" w:hAnsi="Arial"/>
        </w:rPr>
        <w:footnoteReference w:id="49"/>
      </w:r>
      <w:r>
        <w:rPr>
          <w:rFonts w:ascii="Arial" w:hAnsi="Arial" w:cs="Arial"/>
          <w:vertAlign w:val="superscript"/>
        </w:rPr>
        <w:t>-</w:t>
      </w:r>
      <w:r>
        <w:rPr>
          <w:rStyle w:val="Refdenotaalpie"/>
          <w:rFonts w:ascii="Arial" w:hAnsi="Arial"/>
        </w:rPr>
        <w:footnoteReference w:id="50"/>
      </w:r>
      <w:r>
        <w:rPr>
          <w:rFonts w:ascii="Arial" w:hAnsi="Arial" w:cs="Arial"/>
        </w:rPr>
        <w:t xml:space="preserve">. </w:t>
      </w:r>
    </w:p>
    <w:p w:rsidR="00AA1E03" w:rsidRPr="007B7681" w:rsidRDefault="00AA1E03" w:rsidP="00AA1E03">
      <w:pPr>
        <w:pStyle w:val="Textopredeterminado"/>
        <w:spacing w:line="360" w:lineRule="auto"/>
        <w:jc w:val="both"/>
        <w:rPr>
          <w:rFonts w:ascii="Arial" w:hAnsi="Arial" w:cs="Arial"/>
          <w:color w:val="auto"/>
          <w:spacing w:val="-3"/>
          <w:sz w:val="20"/>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256833">
        <w:rPr>
          <w:rFonts w:ascii="Arial" w:hAnsi="Arial" w:cs="Arial"/>
        </w:rPr>
        <w:t>03-10-</w:t>
      </w:r>
      <w:r>
        <w:rPr>
          <w:rFonts w:ascii="Arial" w:hAnsi="Arial" w:cs="Arial"/>
        </w:rPr>
        <w:t xml:space="preserve">2016 </w:t>
      </w:r>
      <w:r>
        <w:rPr>
          <w:rFonts w:ascii="Arial" w:hAnsi="Arial" w:cs="Arial"/>
          <w:iCs/>
          <w:color w:val="000000"/>
          <w:lang w:eastAsia="es-CO"/>
        </w:rPr>
        <w:t xml:space="preserve">(Folios </w:t>
      </w:r>
      <w:r w:rsidR="00256833">
        <w:rPr>
          <w:rFonts w:ascii="Arial" w:hAnsi="Arial" w:cs="Arial"/>
          <w:iCs/>
          <w:color w:val="000000"/>
          <w:lang w:eastAsia="es-CO"/>
        </w:rPr>
        <w:t>6 y 7</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1D69AE" w:rsidRPr="007B7681" w:rsidRDefault="001D69AE" w:rsidP="00EA7B29">
      <w:pPr>
        <w:spacing w:line="360" w:lineRule="auto"/>
        <w:ind w:right="51"/>
        <w:jc w:val="both"/>
        <w:rPr>
          <w:rFonts w:ascii="Arial" w:hAnsi="Arial"/>
          <w:sz w:val="20"/>
          <w:lang w:val="es-CO"/>
        </w:rPr>
      </w:pPr>
    </w:p>
    <w:p w:rsidR="00FF5B57" w:rsidRPr="007B7681" w:rsidRDefault="007B7681" w:rsidP="00FF5B57">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Textoindependiente"/>
        <w:spacing w:line="360" w:lineRule="auto"/>
        <w:ind w:left="400"/>
        <w:rPr>
          <w:rFonts w:ascii="Arial" w:hAnsi="Arial"/>
          <w:sz w:val="20"/>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w:t>
      </w:r>
      <w:r w:rsidR="007B7681">
        <w:rPr>
          <w:rFonts w:ascii="Arial" w:hAnsi="Arial" w:cs="Arial"/>
        </w:rPr>
        <w:t xml:space="preserve">el </w:t>
      </w:r>
      <w:r w:rsidR="00D75C31">
        <w:rPr>
          <w:rFonts w:ascii="Arial" w:hAnsi="Arial" w:cs="Arial"/>
        </w:rPr>
        <w:t xml:space="preserve">amparo constitucional 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443C1C">
        <w:rPr>
          <w:rFonts w:ascii="Arial" w:hAnsi="Arial" w:cs="Arial"/>
        </w:rPr>
        <w:t xml:space="preserve"> en lo relacionado con la declaración de desistimiento tácito</w:t>
      </w:r>
      <w:r w:rsidR="00D75C31">
        <w:rPr>
          <w:rFonts w:ascii="Arial" w:hAnsi="Arial" w:cs="Arial"/>
        </w:rPr>
        <w:t xml:space="preserve">; </w:t>
      </w:r>
      <w:r w:rsidR="007B7681">
        <w:rPr>
          <w:rFonts w:ascii="Arial" w:hAnsi="Arial" w:cs="Arial"/>
        </w:rPr>
        <w:t>(ii) Se declarará improcedente</w:t>
      </w:r>
      <w:r w:rsidR="00443C1C">
        <w:rPr>
          <w:rFonts w:ascii="Arial" w:hAnsi="Arial" w:cs="Arial"/>
        </w:rPr>
        <w:t>,</w:t>
      </w:r>
      <w:r w:rsidR="007B7681">
        <w:rPr>
          <w:rFonts w:ascii="Arial" w:hAnsi="Arial" w:cs="Arial"/>
        </w:rPr>
        <w:t xml:space="preserve"> </w:t>
      </w:r>
      <w:r w:rsidR="00443C1C">
        <w:rPr>
          <w:rFonts w:ascii="Arial" w:hAnsi="Arial" w:cs="Arial"/>
        </w:rPr>
        <w:t xml:space="preserve">también, </w:t>
      </w:r>
      <w:r w:rsidR="007B7681">
        <w:rPr>
          <w:rFonts w:ascii="Arial" w:hAnsi="Arial" w:cs="Arial"/>
        </w:rPr>
        <w:t xml:space="preserve">respecto </w:t>
      </w:r>
      <w:r w:rsidR="00443C1C">
        <w:rPr>
          <w:rFonts w:ascii="Arial" w:hAnsi="Arial" w:cs="Arial"/>
        </w:rPr>
        <w:t xml:space="preserve">del aludido despacho judicial, en cuanto a la </w:t>
      </w:r>
      <w:r w:rsidR="007B7681">
        <w:rPr>
          <w:rFonts w:ascii="Arial" w:hAnsi="Arial" w:cs="Arial"/>
        </w:rPr>
        <w:t xml:space="preserve">negativa en la concesión de alzada; </w:t>
      </w:r>
      <w:r w:rsidR="00D75C31">
        <w:rPr>
          <w:rFonts w:ascii="Arial" w:hAnsi="Arial" w:cs="Arial"/>
        </w:rPr>
        <w:t>(</w:t>
      </w:r>
      <w:r w:rsidR="007B7681">
        <w:rPr>
          <w:rFonts w:ascii="Arial" w:hAnsi="Arial" w:cs="Arial"/>
        </w:rPr>
        <w:t>i</w:t>
      </w:r>
      <w:r w:rsidR="00D75C31">
        <w:rPr>
          <w:rFonts w:ascii="Arial" w:hAnsi="Arial" w:cs="Arial"/>
        </w:rPr>
        <w:t>ii) Se declarará</w:t>
      </w:r>
      <w:r w:rsidR="00394B4A">
        <w:rPr>
          <w:rFonts w:ascii="Arial" w:hAnsi="Arial" w:cs="Arial"/>
        </w:rPr>
        <w:t>n</w:t>
      </w:r>
      <w:r w:rsidR="00D75C31">
        <w:rPr>
          <w:rFonts w:ascii="Arial" w:hAnsi="Arial" w:cs="Arial"/>
        </w:rPr>
        <w:t xml:space="preserve"> improcedente</w:t>
      </w:r>
      <w:r w:rsidR="00394B4A">
        <w:rPr>
          <w:rFonts w:ascii="Arial" w:hAnsi="Arial" w:cs="Arial"/>
        </w:rPr>
        <w:t>s</w:t>
      </w:r>
      <w:r w:rsidR="00D75C31">
        <w:rPr>
          <w:rFonts w:ascii="Arial" w:hAnsi="Arial" w:cs="Arial"/>
        </w:rPr>
        <w:t xml:space="preserv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w:t>
      </w:r>
      <w:r w:rsidR="00C16F88">
        <w:rPr>
          <w:rFonts w:ascii="Arial" w:hAnsi="Arial" w:cs="Arial"/>
        </w:rPr>
        <w:t xml:space="preserve"> y,</w:t>
      </w:r>
      <w:r w:rsidR="009102BF">
        <w:rPr>
          <w:rFonts w:ascii="Arial" w:hAnsi="Arial" w:cs="Arial"/>
        </w:rPr>
        <w:t xml:space="preserve"> (</w:t>
      </w:r>
      <w:r w:rsidR="00D46557">
        <w:rPr>
          <w:rFonts w:ascii="Arial" w:hAnsi="Arial" w:cs="Arial"/>
        </w:rPr>
        <w:t>iv</w:t>
      </w:r>
      <w:r w:rsidR="009102BF">
        <w:rPr>
          <w:rFonts w:ascii="Arial" w:hAnsi="Arial" w:cs="Arial"/>
        </w:rPr>
        <w:t>)</w:t>
      </w:r>
      <w:r>
        <w:rPr>
          <w:rFonts w:ascii="Arial" w:hAnsi="Arial" w:cs="Arial"/>
        </w:rPr>
        <w:t xml:space="preserve"> </w:t>
      </w:r>
      <w:r w:rsidR="00D75C31" w:rsidRPr="00E538DC">
        <w:rPr>
          <w:rFonts w:ascii="Arial" w:hAnsi="Arial" w:cs="Arial"/>
        </w:rPr>
        <w:t>Se declarará</w:t>
      </w:r>
      <w:r w:rsidR="00394B4A">
        <w:rPr>
          <w:rFonts w:ascii="Arial" w:hAnsi="Arial" w:cs="Arial"/>
        </w:rPr>
        <w:t>n</w:t>
      </w:r>
      <w:r w:rsidR="00D75C31" w:rsidRPr="00E538DC">
        <w:rPr>
          <w:rFonts w:ascii="Arial" w:hAnsi="Arial" w:cs="Arial"/>
        </w:rPr>
        <w:t xml:space="preserve"> improcedente</w:t>
      </w:r>
      <w:r w:rsidR="00394B4A">
        <w:rPr>
          <w:rFonts w:ascii="Arial" w:hAnsi="Arial" w:cs="Arial"/>
        </w:rPr>
        <w:t>s</w:t>
      </w:r>
      <w:r w:rsidR="00D75C31" w:rsidRPr="00E538DC">
        <w:rPr>
          <w:rFonts w:ascii="Arial" w:hAnsi="Arial" w:cs="Arial"/>
        </w:rPr>
        <w:t xml:space="preserve"> con relación a la Procuraduría General de la Nación y la Defensoría del Pueblo, Regionales de </w:t>
      </w:r>
      <w:r w:rsidR="00D75C31">
        <w:rPr>
          <w:rFonts w:ascii="Arial" w:hAnsi="Arial" w:cs="Arial"/>
        </w:rPr>
        <w:t>Risaralda</w:t>
      </w:r>
      <w:r w:rsidR="00443C1C">
        <w:rPr>
          <w:rFonts w:ascii="Arial" w:hAnsi="Arial" w:cs="Arial"/>
        </w:rPr>
        <w:t xml:space="preserve"> y Antioquia</w:t>
      </w:r>
      <w:r w:rsidR="00D75C31" w:rsidRPr="00E538DC">
        <w:rPr>
          <w:rFonts w:ascii="Arial" w:hAnsi="Arial" w:cs="Arial"/>
        </w:rPr>
        <w:t>, y, la</w:t>
      </w:r>
      <w:r w:rsidR="00443C1C">
        <w:rPr>
          <w:rFonts w:ascii="Arial" w:hAnsi="Arial" w:cs="Arial"/>
        </w:rPr>
        <w:t>s</w:t>
      </w:r>
      <w:r w:rsidR="00D75C31" w:rsidRPr="00E538DC">
        <w:rPr>
          <w:rFonts w:ascii="Arial" w:hAnsi="Arial" w:cs="Arial"/>
        </w:rPr>
        <w:t xml:space="preserve"> Alcaldía</w:t>
      </w:r>
      <w:r w:rsidR="00443C1C">
        <w:rPr>
          <w:rFonts w:ascii="Arial" w:hAnsi="Arial" w:cs="Arial"/>
        </w:rPr>
        <w:t>s</w:t>
      </w:r>
      <w:r w:rsidR="00D75C31" w:rsidRPr="00E538DC">
        <w:rPr>
          <w:rFonts w:ascii="Arial" w:hAnsi="Arial" w:cs="Arial"/>
        </w:rPr>
        <w:t xml:space="preserve"> y Personería</w:t>
      </w:r>
      <w:r w:rsidR="00443C1C">
        <w:rPr>
          <w:rFonts w:ascii="Arial" w:hAnsi="Arial" w:cs="Arial"/>
        </w:rPr>
        <w:t>s</w:t>
      </w:r>
      <w:r w:rsidR="00D75C31" w:rsidRPr="00E538DC">
        <w:rPr>
          <w:rFonts w:ascii="Arial" w:hAnsi="Arial" w:cs="Arial"/>
        </w:rPr>
        <w:t xml:space="preserve"> de </w:t>
      </w:r>
      <w:r w:rsidR="00D75C31">
        <w:rPr>
          <w:rFonts w:ascii="Arial" w:hAnsi="Arial" w:cs="Arial"/>
        </w:rPr>
        <w:t>Pereira</w:t>
      </w:r>
      <w:r w:rsidR="00443C1C">
        <w:rPr>
          <w:rFonts w:ascii="Arial" w:hAnsi="Arial" w:cs="Arial"/>
        </w:rPr>
        <w:t xml:space="preserve"> y Medellín</w:t>
      </w:r>
      <w:r w:rsidR="00D75C31">
        <w:rPr>
          <w:rFonts w:ascii="Arial" w:hAnsi="Arial" w:cs="Arial"/>
        </w:rPr>
        <w:t xml:space="preserve">, por carecer de legitimación.  </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596382" w:rsidRDefault="00596382" w:rsidP="00FF5B57">
      <w:pPr>
        <w:pStyle w:val="Textoindependiente"/>
        <w:spacing w:line="360" w:lineRule="auto"/>
        <w:jc w:val="center"/>
        <w:rPr>
          <w:rFonts w:ascii="Arial" w:hAnsi="Arial" w:cs="Arial"/>
          <w:bCs/>
          <w:smallCaps/>
          <w:szCs w:val="24"/>
        </w:rPr>
      </w:pPr>
    </w:p>
    <w:p w:rsidR="00596382" w:rsidRDefault="00596382" w:rsidP="00FF5B57">
      <w:pPr>
        <w:pStyle w:val="Textoindependiente"/>
        <w:spacing w:line="360" w:lineRule="auto"/>
        <w:jc w:val="center"/>
        <w:rPr>
          <w:rFonts w:ascii="Arial" w:hAnsi="Arial" w:cs="Arial"/>
          <w:bCs/>
          <w:smallCaps/>
          <w:szCs w:val="24"/>
        </w:rPr>
      </w:pPr>
    </w:p>
    <w:p w:rsidR="00596382" w:rsidRDefault="00596382" w:rsidP="00FF5B57">
      <w:pPr>
        <w:pStyle w:val="Textoindependiente"/>
        <w:spacing w:line="360" w:lineRule="auto"/>
        <w:jc w:val="center"/>
        <w:rPr>
          <w:rFonts w:ascii="Arial" w:hAnsi="Arial" w:cs="Arial"/>
          <w:bCs/>
          <w:smallCaps/>
          <w:szCs w:val="2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lastRenderedPageBreak/>
        <w:t>F A L L A,</w:t>
      </w:r>
    </w:p>
    <w:p w:rsidR="00A67757" w:rsidRPr="001E5C81" w:rsidRDefault="00A67757" w:rsidP="00FF5B57">
      <w:pPr>
        <w:pStyle w:val="Textoindependiente"/>
        <w:spacing w:line="360" w:lineRule="auto"/>
        <w:jc w:val="center"/>
        <w:rPr>
          <w:rFonts w:ascii="Arial" w:hAnsi="Arial" w:cs="Arial"/>
          <w:bCs/>
          <w:smallCaps/>
          <w:sz w:val="22"/>
          <w:szCs w:val="24"/>
        </w:rPr>
      </w:pPr>
    </w:p>
    <w:p w:rsidR="002C127D" w:rsidRPr="002C127D" w:rsidRDefault="002C127D"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Idárraga contra el Juzgado </w:t>
      </w:r>
      <w:r>
        <w:rPr>
          <w:rFonts w:ascii="Arial" w:hAnsi="Arial" w:cs="Arial"/>
          <w:lang w:val="es-CO"/>
        </w:rPr>
        <w:t xml:space="preserve">Tercero </w:t>
      </w:r>
      <w:r w:rsidRPr="002C127D">
        <w:rPr>
          <w:rFonts w:ascii="Arial" w:hAnsi="Arial" w:cs="Arial"/>
          <w:lang w:val="es-CO"/>
        </w:rPr>
        <w:t>Civil del Circuito de Pereira</w:t>
      </w:r>
      <w:r>
        <w:rPr>
          <w:rFonts w:ascii="Arial" w:hAnsi="Arial" w:cs="Arial"/>
          <w:lang w:val="es-CO"/>
        </w:rPr>
        <w:t>, según lo expuesto</w:t>
      </w:r>
      <w:r w:rsidRPr="002C127D">
        <w:rPr>
          <w:rFonts w:ascii="Arial" w:hAnsi="Arial" w:cs="Arial"/>
        </w:rPr>
        <w:t>.</w:t>
      </w:r>
    </w:p>
    <w:p w:rsidR="002C127D" w:rsidRPr="002C127D" w:rsidRDefault="002C127D" w:rsidP="002C127D">
      <w:pPr>
        <w:pStyle w:val="Textoindependiente"/>
        <w:tabs>
          <w:tab w:val="clear" w:pos="708"/>
        </w:tabs>
        <w:spacing w:line="360" w:lineRule="auto"/>
        <w:ind w:left="360"/>
        <w:textAlignment w:val="auto"/>
        <w:rPr>
          <w:rFonts w:ascii="Arial" w:hAnsi="Arial" w:cs="Arial"/>
          <w:szCs w:val="24"/>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sidR="002C127D">
        <w:rPr>
          <w:rFonts w:ascii="Arial" w:hAnsi="Arial" w:cs="Arial"/>
          <w:szCs w:val="24"/>
        </w:rPr>
        <w:t xml:space="preserve">el </w:t>
      </w:r>
      <w:r>
        <w:rPr>
          <w:rFonts w:ascii="Arial" w:hAnsi="Arial" w:cs="Arial"/>
          <w:szCs w:val="24"/>
        </w:rPr>
        <w:t xml:space="preserve">amparo constitucional </w:t>
      </w:r>
      <w:r w:rsidR="009102BF">
        <w:rPr>
          <w:rFonts w:ascii="Arial" w:hAnsi="Arial" w:cs="Arial"/>
          <w:szCs w:val="24"/>
        </w:rPr>
        <w:t xml:space="preserve">frente </w:t>
      </w:r>
      <w:r w:rsidR="002C127D">
        <w:rPr>
          <w:rFonts w:ascii="Arial" w:hAnsi="Arial" w:cs="Arial"/>
          <w:szCs w:val="24"/>
        </w:rPr>
        <w:t xml:space="preserve">al Juzgado Tercero Civil del Circuito de Pereira, </w:t>
      </w:r>
      <w:r w:rsidR="00F8430A">
        <w:rPr>
          <w:rFonts w:ascii="Arial" w:hAnsi="Arial" w:cs="Arial"/>
          <w:szCs w:val="24"/>
        </w:rPr>
        <w:t xml:space="preserve">a la </w:t>
      </w:r>
      <w:r>
        <w:rPr>
          <w:rFonts w:ascii="Arial" w:hAnsi="Arial" w:cs="Arial"/>
          <w:szCs w:val="24"/>
        </w:rPr>
        <w:t>Defensoría del Pueblo, Regional Caladas; a la</w:t>
      </w:r>
      <w:r w:rsidR="002C127D">
        <w:rPr>
          <w:rFonts w:ascii="Arial" w:hAnsi="Arial" w:cs="Arial"/>
          <w:szCs w:val="24"/>
        </w:rPr>
        <w:t>s</w:t>
      </w:r>
      <w:r>
        <w:rPr>
          <w:rFonts w:ascii="Arial" w:hAnsi="Arial" w:cs="Arial"/>
          <w:szCs w:val="24"/>
        </w:rPr>
        <w:t xml:space="preserve"> </w:t>
      </w:r>
      <w:r w:rsidR="00F8430A">
        <w:rPr>
          <w:rFonts w:ascii="Arial" w:hAnsi="Arial" w:cs="Arial"/>
          <w:szCs w:val="24"/>
        </w:rPr>
        <w:t>Defensoría</w:t>
      </w:r>
      <w:r w:rsidR="002C127D">
        <w:rPr>
          <w:rFonts w:ascii="Arial" w:hAnsi="Arial" w:cs="Arial"/>
          <w:szCs w:val="24"/>
        </w:rPr>
        <w:t>s</w:t>
      </w:r>
      <w:r w:rsidR="00F8430A">
        <w:rPr>
          <w:rFonts w:ascii="Arial" w:hAnsi="Arial" w:cs="Arial"/>
          <w:szCs w:val="24"/>
        </w:rPr>
        <w:t xml:space="preserve"> del Pueblo y </w:t>
      </w:r>
      <w:r>
        <w:rPr>
          <w:rFonts w:ascii="Arial" w:hAnsi="Arial" w:cs="Arial"/>
          <w:szCs w:val="24"/>
        </w:rPr>
        <w:t xml:space="preserve">a </w:t>
      </w:r>
      <w:r w:rsidR="009102BF">
        <w:rPr>
          <w:rFonts w:ascii="Arial" w:hAnsi="Arial" w:cs="Arial"/>
          <w:szCs w:val="24"/>
        </w:rPr>
        <w:t>la</w:t>
      </w:r>
      <w:r w:rsidR="002C127D">
        <w:rPr>
          <w:rFonts w:ascii="Arial" w:hAnsi="Arial" w:cs="Arial"/>
          <w:szCs w:val="24"/>
        </w:rPr>
        <w:t>s</w:t>
      </w:r>
      <w:r w:rsidR="009102BF">
        <w:rPr>
          <w:rFonts w:ascii="Arial" w:hAnsi="Arial" w:cs="Arial"/>
          <w:szCs w:val="24"/>
        </w:rPr>
        <w:t xml:space="preserve"> Procuraduría</w:t>
      </w:r>
      <w:r w:rsidR="002C127D">
        <w:rPr>
          <w:rFonts w:ascii="Arial" w:hAnsi="Arial" w:cs="Arial"/>
          <w:szCs w:val="24"/>
        </w:rPr>
        <w:t>s</w:t>
      </w:r>
      <w:r w:rsidR="009102BF">
        <w:rPr>
          <w:rFonts w:ascii="Arial" w:hAnsi="Arial" w:cs="Arial"/>
          <w:szCs w:val="24"/>
        </w:rPr>
        <w:t xml:space="preserve"> General</w:t>
      </w:r>
      <w:r w:rsidR="002C127D">
        <w:rPr>
          <w:rFonts w:ascii="Arial" w:hAnsi="Arial" w:cs="Arial"/>
          <w:szCs w:val="24"/>
        </w:rPr>
        <w:t>es</w:t>
      </w:r>
      <w:r w:rsidR="009102BF">
        <w:rPr>
          <w:rFonts w:ascii="Arial" w:hAnsi="Arial" w:cs="Arial"/>
          <w:szCs w:val="24"/>
        </w:rPr>
        <w:t xml:space="preserve"> de la Nación, Regionales de Risaral</w:t>
      </w:r>
      <w:r w:rsidR="005A7ACC">
        <w:rPr>
          <w:rFonts w:ascii="Arial" w:hAnsi="Arial" w:cs="Arial"/>
          <w:szCs w:val="24"/>
        </w:rPr>
        <w:t>da</w:t>
      </w:r>
      <w:r w:rsidR="002C127D">
        <w:rPr>
          <w:rFonts w:ascii="Arial" w:hAnsi="Arial" w:cs="Arial"/>
          <w:szCs w:val="24"/>
        </w:rPr>
        <w:t xml:space="preserve"> y Antioquia</w:t>
      </w:r>
      <w:r w:rsidR="005A7ACC">
        <w:rPr>
          <w:rFonts w:ascii="Arial" w:hAnsi="Arial" w:cs="Arial"/>
          <w:szCs w:val="24"/>
        </w:rPr>
        <w:t xml:space="preserve">; </w:t>
      </w:r>
      <w:r>
        <w:rPr>
          <w:rFonts w:ascii="Arial" w:hAnsi="Arial" w:cs="Arial"/>
          <w:szCs w:val="24"/>
        </w:rPr>
        <w:t xml:space="preserve">y, </w:t>
      </w:r>
      <w:r w:rsidR="005A7ACC">
        <w:rPr>
          <w:rFonts w:ascii="Arial" w:hAnsi="Arial" w:cs="Arial"/>
          <w:szCs w:val="24"/>
        </w:rPr>
        <w:t>la</w:t>
      </w:r>
      <w:r w:rsidR="002C127D">
        <w:rPr>
          <w:rFonts w:ascii="Arial" w:hAnsi="Arial" w:cs="Arial"/>
          <w:szCs w:val="24"/>
        </w:rPr>
        <w:t>s</w:t>
      </w:r>
      <w:r w:rsidR="005A7ACC">
        <w:rPr>
          <w:rFonts w:ascii="Arial" w:hAnsi="Arial" w:cs="Arial"/>
          <w:szCs w:val="24"/>
        </w:rPr>
        <w:t xml:space="preserve"> Alcaldía</w:t>
      </w:r>
      <w:r w:rsidR="002C127D">
        <w:rPr>
          <w:rFonts w:ascii="Arial" w:hAnsi="Arial" w:cs="Arial"/>
          <w:szCs w:val="24"/>
        </w:rPr>
        <w:t>s</w:t>
      </w:r>
      <w:r w:rsidR="005A7ACC">
        <w:rPr>
          <w:rFonts w:ascii="Arial" w:hAnsi="Arial" w:cs="Arial"/>
          <w:szCs w:val="24"/>
        </w:rPr>
        <w:t xml:space="preserve"> y Personería</w:t>
      </w:r>
      <w:r w:rsidR="002C127D">
        <w:rPr>
          <w:rFonts w:ascii="Arial" w:hAnsi="Arial" w:cs="Arial"/>
          <w:szCs w:val="24"/>
        </w:rPr>
        <w:t>s</w:t>
      </w:r>
      <w:r w:rsidR="009102BF">
        <w:rPr>
          <w:rFonts w:ascii="Arial" w:hAnsi="Arial" w:cs="Arial"/>
          <w:szCs w:val="24"/>
        </w:rPr>
        <w:t xml:space="preserve"> </w:t>
      </w:r>
      <w:r w:rsidR="009102BF">
        <w:rPr>
          <w:rFonts w:ascii="Arial" w:hAnsi="Arial" w:cs="Arial"/>
          <w:spacing w:val="3"/>
          <w:szCs w:val="24"/>
        </w:rPr>
        <w:t>de Pereira</w:t>
      </w:r>
      <w:r w:rsidR="002C127D">
        <w:rPr>
          <w:rFonts w:ascii="Arial" w:hAnsi="Arial" w:cs="Arial"/>
          <w:spacing w:val="3"/>
          <w:szCs w:val="24"/>
        </w:rPr>
        <w:t xml:space="preserve"> y Medellín</w:t>
      </w:r>
      <w:r w:rsidR="009102BF">
        <w:rPr>
          <w:rFonts w:ascii="Arial" w:hAnsi="Arial" w:cs="Arial"/>
          <w:szCs w:val="24"/>
        </w:rPr>
        <w:t>.</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68600A" w:rsidRDefault="00126266" w:rsidP="00126266">
      <w:pPr>
        <w:pStyle w:val="Textoindependiente"/>
        <w:spacing w:line="360" w:lineRule="auto"/>
        <w:jc w:val="center"/>
        <w:rPr>
          <w:rFonts w:ascii="Arial" w:hAnsi="Arial"/>
          <w:smallCaps/>
          <w:szCs w:val="24"/>
          <w:lang w:val="en-GB"/>
        </w:rPr>
      </w:pPr>
      <w:r w:rsidRPr="0068600A">
        <w:rPr>
          <w:rFonts w:ascii="Arial" w:hAnsi="Arial"/>
          <w:smallCaps/>
          <w:szCs w:val="24"/>
          <w:lang w:val="en-GB"/>
        </w:rPr>
        <w:t>Notifíquese,</w:t>
      </w:r>
    </w:p>
    <w:p w:rsidR="00DA569C" w:rsidRPr="0068600A" w:rsidRDefault="00DA569C" w:rsidP="00417DA5">
      <w:pPr>
        <w:pStyle w:val="Textoindependiente"/>
        <w:spacing w:line="360" w:lineRule="auto"/>
        <w:jc w:val="center"/>
        <w:rPr>
          <w:rFonts w:ascii="Arial" w:hAnsi="Arial"/>
          <w:sz w:val="22"/>
          <w:szCs w:val="24"/>
          <w:lang w:val="en-GB"/>
        </w:rPr>
      </w:pPr>
    </w:p>
    <w:p w:rsidR="003E66CE" w:rsidRPr="0068600A" w:rsidRDefault="003E66CE" w:rsidP="00417DA5">
      <w:pPr>
        <w:pStyle w:val="Textoindependiente"/>
        <w:spacing w:line="360" w:lineRule="auto"/>
        <w:jc w:val="center"/>
        <w:rPr>
          <w:rFonts w:ascii="Arial" w:hAnsi="Arial"/>
          <w:sz w:val="22"/>
          <w:szCs w:val="24"/>
          <w:lang w:val="en-GB"/>
        </w:rPr>
      </w:pPr>
    </w:p>
    <w:p w:rsidR="00B30152" w:rsidRPr="0068600A" w:rsidRDefault="00B30152" w:rsidP="00417DA5">
      <w:pPr>
        <w:pStyle w:val="Textoindependiente"/>
        <w:spacing w:line="360" w:lineRule="auto"/>
        <w:jc w:val="center"/>
        <w:rPr>
          <w:rFonts w:ascii="Arial" w:hAnsi="Arial"/>
          <w:sz w:val="22"/>
          <w:szCs w:val="24"/>
          <w:lang w:val="en-GB"/>
        </w:rPr>
      </w:pPr>
    </w:p>
    <w:p w:rsidR="00951517" w:rsidRPr="0068600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r w:rsidRPr="0068600A">
        <w:rPr>
          <w:rFonts w:ascii="Arial" w:hAnsi="Arial" w:cs="Arial"/>
          <w:i/>
          <w:spacing w:val="-3"/>
          <w:w w:val="150"/>
          <w:sz w:val="28"/>
          <w:lang w:val="en-GB"/>
        </w:rPr>
        <w:t>D</w:t>
      </w:r>
      <w:r w:rsidRPr="0068600A">
        <w:rPr>
          <w:rFonts w:ascii="Arial" w:hAnsi="Arial" w:cs="Arial"/>
          <w:i/>
          <w:spacing w:val="-3"/>
          <w:w w:val="150"/>
          <w:sz w:val="18"/>
          <w:szCs w:val="16"/>
          <w:lang w:val="en-GB"/>
        </w:rPr>
        <w:t xml:space="preserve">UBERNEY </w:t>
      </w:r>
      <w:r w:rsidRPr="0068600A">
        <w:rPr>
          <w:rFonts w:ascii="Arial" w:hAnsi="Arial" w:cs="Arial"/>
          <w:i/>
          <w:spacing w:val="-3"/>
          <w:w w:val="150"/>
          <w:sz w:val="28"/>
          <w:lang w:val="en-GB"/>
        </w:rPr>
        <w:t>G</w:t>
      </w:r>
      <w:r w:rsidRPr="0068600A">
        <w:rPr>
          <w:rFonts w:ascii="Arial" w:hAnsi="Arial" w:cs="Arial"/>
          <w:i/>
          <w:spacing w:val="-3"/>
          <w:w w:val="150"/>
          <w:sz w:val="18"/>
          <w:szCs w:val="16"/>
          <w:lang w:val="en-GB"/>
        </w:rPr>
        <w:t xml:space="preserve">RISALES </w:t>
      </w:r>
      <w:r w:rsidRPr="0068600A">
        <w:rPr>
          <w:rFonts w:ascii="Arial" w:hAnsi="Arial" w:cs="Arial"/>
          <w:i/>
          <w:spacing w:val="-3"/>
          <w:w w:val="150"/>
          <w:sz w:val="28"/>
          <w:lang w:val="en-GB"/>
        </w:rPr>
        <w:t>H</w:t>
      </w:r>
      <w:r w:rsidRPr="0068600A">
        <w:rPr>
          <w:rFonts w:ascii="Arial" w:hAnsi="Arial" w:cs="Arial"/>
          <w:i/>
          <w:spacing w:val="-3"/>
          <w:w w:val="150"/>
          <w:sz w:val="18"/>
          <w:szCs w:val="16"/>
          <w:lang w:val="en-GB"/>
        </w:rPr>
        <w:t>ERRERA</w:t>
      </w:r>
    </w:p>
    <w:p w:rsidR="00951517" w:rsidRPr="0068600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68600A">
        <w:rPr>
          <w:rFonts w:ascii="Arial" w:hAnsi="Arial" w:cs="Arial"/>
          <w:i/>
          <w:spacing w:val="-3"/>
          <w:w w:val="150"/>
          <w:sz w:val="28"/>
          <w:lang w:val="en-GB"/>
        </w:rPr>
        <w:t>M</w:t>
      </w:r>
      <w:r w:rsidRPr="0068600A">
        <w:rPr>
          <w:rFonts w:ascii="Arial" w:hAnsi="Arial" w:cs="Arial"/>
          <w:i/>
          <w:spacing w:val="-3"/>
          <w:w w:val="150"/>
          <w:lang w:val="en-GB"/>
        </w:rPr>
        <w:t xml:space="preserve"> </w:t>
      </w:r>
      <w:r w:rsidRPr="0068600A">
        <w:rPr>
          <w:rFonts w:ascii="Arial" w:hAnsi="Arial" w:cs="Arial"/>
          <w:i/>
          <w:spacing w:val="-3"/>
          <w:w w:val="150"/>
          <w:sz w:val="18"/>
          <w:szCs w:val="20"/>
          <w:lang w:val="en-GB"/>
        </w:rPr>
        <w:t>A G I S T R A D O</w:t>
      </w:r>
    </w:p>
    <w:p w:rsidR="00C136DB" w:rsidRPr="0068600A"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5C4C0F" w:rsidRPr="0068600A"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5C4C0F" w:rsidRPr="0068600A"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951517" w:rsidRPr="0068600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r w:rsidRPr="0068600A">
        <w:rPr>
          <w:rFonts w:ascii="Arial" w:hAnsi="Arial"/>
          <w:i/>
          <w:w w:val="150"/>
          <w:sz w:val="28"/>
          <w:szCs w:val="18"/>
          <w:lang w:val="en-GB"/>
        </w:rPr>
        <w:t>E</w:t>
      </w:r>
      <w:r w:rsidRPr="0068600A">
        <w:rPr>
          <w:rFonts w:ascii="Arial" w:hAnsi="Arial"/>
          <w:i/>
          <w:w w:val="150"/>
          <w:sz w:val="18"/>
          <w:szCs w:val="18"/>
          <w:lang w:val="en-GB"/>
        </w:rPr>
        <w:t>DDER</w:t>
      </w:r>
      <w:r w:rsidRPr="0068600A">
        <w:rPr>
          <w:rFonts w:ascii="Arial" w:hAnsi="Arial"/>
          <w:i/>
          <w:w w:val="150"/>
          <w:sz w:val="18"/>
          <w:lang w:val="en-GB"/>
        </w:rPr>
        <w:t xml:space="preserve"> </w:t>
      </w:r>
      <w:r w:rsidRPr="0068600A">
        <w:rPr>
          <w:rFonts w:ascii="Arial" w:hAnsi="Arial"/>
          <w:i/>
          <w:w w:val="150"/>
          <w:sz w:val="28"/>
          <w:lang w:val="en-GB"/>
        </w:rPr>
        <w:t>J</w:t>
      </w:r>
      <w:r w:rsidRPr="0068600A">
        <w:rPr>
          <w:rFonts w:ascii="Arial" w:hAnsi="Arial"/>
          <w:i/>
          <w:w w:val="150"/>
          <w:sz w:val="18"/>
          <w:szCs w:val="18"/>
          <w:lang w:val="en-GB"/>
        </w:rPr>
        <w:t xml:space="preserve">IMMY </w:t>
      </w:r>
      <w:r w:rsidRPr="0068600A">
        <w:rPr>
          <w:rFonts w:ascii="Arial" w:hAnsi="Arial"/>
          <w:i/>
          <w:w w:val="150"/>
          <w:sz w:val="28"/>
          <w:lang w:val="en-GB"/>
        </w:rPr>
        <w:t>S</w:t>
      </w:r>
      <w:r w:rsidRPr="0068600A">
        <w:rPr>
          <w:rFonts w:ascii="Arial" w:hAnsi="Arial"/>
          <w:i/>
          <w:w w:val="150"/>
          <w:sz w:val="18"/>
          <w:szCs w:val="18"/>
          <w:lang w:val="en-GB"/>
        </w:rPr>
        <w:t xml:space="preserve">ÁNCHEZ </w:t>
      </w:r>
      <w:r w:rsidRPr="0068600A">
        <w:rPr>
          <w:rFonts w:ascii="Arial" w:hAnsi="Arial"/>
          <w:i/>
          <w:w w:val="150"/>
          <w:sz w:val="28"/>
          <w:szCs w:val="18"/>
          <w:lang w:val="en-GB"/>
        </w:rPr>
        <w:t>C.</w:t>
      </w:r>
      <w:r w:rsidRPr="0068600A">
        <w:rPr>
          <w:rFonts w:ascii="Arial" w:hAnsi="Arial"/>
          <w:i/>
          <w:w w:val="150"/>
          <w:sz w:val="28"/>
          <w:szCs w:val="18"/>
          <w:lang w:val="en-GB"/>
        </w:rPr>
        <w:tab/>
      </w:r>
      <w:r w:rsidRPr="0068600A">
        <w:rPr>
          <w:rFonts w:ascii="Arial" w:hAnsi="Arial"/>
          <w:i/>
          <w:w w:val="150"/>
          <w:sz w:val="28"/>
          <w:szCs w:val="18"/>
          <w:lang w:val="en-GB"/>
        </w:rPr>
        <w:tab/>
      </w:r>
      <w:r w:rsidRPr="0068600A">
        <w:rPr>
          <w:rFonts w:ascii="Arial" w:hAnsi="Arial" w:cs="Arial"/>
          <w:i/>
          <w:spacing w:val="-3"/>
          <w:w w:val="150"/>
          <w:sz w:val="28"/>
          <w:szCs w:val="18"/>
          <w:lang w:val="en-GB"/>
        </w:rPr>
        <w:t>J</w:t>
      </w:r>
      <w:r w:rsidRPr="0068600A">
        <w:rPr>
          <w:rFonts w:ascii="Arial" w:hAnsi="Arial" w:cs="Arial"/>
          <w:i/>
          <w:spacing w:val="-3"/>
          <w:w w:val="150"/>
          <w:sz w:val="18"/>
          <w:szCs w:val="18"/>
          <w:lang w:val="en-GB"/>
        </w:rPr>
        <w:t xml:space="preserve">AIME </w:t>
      </w:r>
      <w:r w:rsidRPr="0068600A">
        <w:rPr>
          <w:rFonts w:ascii="Arial" w:hAnsi="Arial" w:cs="Arial"/>
          <w:i/>
          <w:spacing w:val="-3"/>
          <w:w w:val="150"/>
          <w:sz w:val="28"/>
          <w:szCs w:val="18"/>
          <w:lang w:val="en-GB"/>
        </w:rPr>
        <w:t>A</w:t>
      </w:r>
      <w:r w:rsidRPr="0068600A">
        <w:rPr>
          <w:rFonts w:ascii="Arial" w:hAnsi="Arial"/>
          <w:i/>
          <w:w w:val="150"/>
          <w:sz w:val="18"/>
          <w:szCs w:val="18"/>
          <w:lang w:val="en-GB"/>
        </w:rPr>
        <w:t xml:space="preserve">LBERTO </w:t>
      </w:r>
      <w:r w:rsidRPr="0068600A">
        <w:rPr>
          <w:rFonts w:ascii="Arial" w:hAnsi="Arial" w:cs="Arial"/>
          <w:i/>
          <w:spacing w:val="-3"/>
          <w:w w:val="150"/>
          <w:sz w:val="28"/>
          <w:szCs w:val="18"/>
          <w:lang w:val="en-GB"/>
        </w:rPr>
        <w:t>S</w:t>
      </w:r>
      <w:r w:rsidRPr="0068600A">
        <w:rPr>
          <w:rFonts w:ascii="Arial" w:hAnsi="Arial" w:cs="Arial"/>
          <w:i/>
          <w:spacing w:val="-3"/>
          <w:w w:val="150"/>
          <w:sz w:val="18"/>
          <w:szCs w:val="16"/>
          <w:lang w:val="en-GB"/>
        </w:rPr>
        <w:t xml:space="preserve">ARAZA </w:t>
      </w:r>
      <w:r w:rsidRPr="0068600A">
        <w:rPr>
          <w:rFonts w:ascii="Arial" w:hAnsi="Arial" w:cs="Arial"/>
          <w:i/>
          <w:spacing w:val="-3"/>
          <w:w w:val="150"/>
          <w:sz w:val="28"/>
          <w:szCs w:val="18"/>
          <w:lang w:val="en-GB"/>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8600A">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502D4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D4" w:rsidRDefault="00EA06D4" w:rsidP="0099045D">
      <w:r>
        <w:separator/>
      </w:r>
    </w:p>
  </w:endnote>
  <w:endnote w:type="continuationSeparator" w:id="0">
    <w:p w:rsidR="00EA06D4" w:rsidRDefault="00EA06D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D4" w:rsidRDefault="00EA06D4" w:rsidP="0099045D">
      <w:r>
        <w:separator/>
      </w:r>
    </w:p>
  </w:footnote>
  <w:footnote w:type="continuationSeparator" w:id="0">
    <w:p w:rsidR="00EA06D4" w:rsidRDefault="00EA06D4" w:rsidP="0099045D">
      <w:r>
        <w:continuationSeparator/>
      </w:r>
    </w:p>
  </w:footnote>
  <w:footnote w:id="1">
    <w:p w:rsidR="00CD3E18" w:rsidRDefault="00CD3E1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CD3E18" w:rsidRPr="00567558" w:rsidRDefault="00CD3E1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394B4A">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CD3E18" w:rsidRPr="00567558" w:rsidRDefault="00CD3E1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 C-590 de 2005.</w:t>
      </w:r>
    </w:p>
  </w:footnote>
  <w:footnote w:id="4">
    <w:p w:rsidR="00CD3E18" w:rsidRPr="00FF68BE" w:rsidRDefault="00CD3E18" w:rsidP="00CD3E18">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CD3E18" w:rsidRPr="005D1B2D" w:rsidRDefault="00CD3E18" w:rsidP="00CD3E18">
      <w:pPr>
        <w:pStyle w:val="Textonotapie"/>
        <w:rPr>
          <w:lang w:val="es-CO"/>
        </w:rPr>
      </w:pPr>
      <w:r>
        <w:rPr>
          <w:rStyle w:val="Refdenotaalpie"/>
        </w:rPr>
        <w:footnoteRef/>
      </w:r>
      <w:r>
        <w:t xml:space="preserve"> </w:t>
      </w:r>
      <w:r w:rsidR="00394B4A">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CD3E18" w:rsidRPr="00567558" w:rsidRDefault="00CD3E18" w:rsidP="00CD3E1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CD3E18" w:rsidRDefault="00CD3E1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243795" w:rsidRPr="0068600A" w:rsidRDefault="00243795" w:rsidP="00243795">
      <w:pPr>
        <w:pStyle w:val="Textonotapie"/>
        <w:jc w:val="both"/>
        <w:rPr>
          <w:lang w:val="fr-FR"/>
        </w:rPr>
      </w:pPr>
      <w:r>
        <w:rPr>
          <w:rStyle w:val="Refdenotaalpie"/>
          <w:rFonts w:asciiTheme="minorHAnsi" w:hAnsiTheme="minorHAnsi"/>
        </w:rPr>
        <w:footnoteRef/>
      </w:r>
      <w:r w:rsidRPr="0068600A">
        <w:rPr>
          <w:rFonts w:asciiTheme="minorHAnsi" w:hAnsiTheme="minorHAnsi"/>
          <w:lang w:val="fr-FR"/>
        </w:rPr>
        <w:t xml:space="preserve"> </w:t>
      </w:r>
      <w:r w:rsidRPr="0068600A">
        <w:rPr>
          <w:rFonts w:asciiTheme="minorHAnsi" w:hAnsiTheme="minorHAnsi" w:cs="Calibri"/>
          <w:lang w:val="fr-FR"/>
        </w:rPr>
        <w:t xml:space="preserve">CC. Sentencia T-134 de 1994. </w:t>
      </w:r>
    </w:p>
  </w:footnote>
  <w:footnote w:id="9">
    <w:p w:rsidR="00243795" w:rsidRPr="0068600A" w:rsidRDefault="00243795" w:rsidP="00243795">
      <w:pPr>
        <w:pStyle w:val="Textonotapie"/>
        <w:rPr>
          <w:lang w:val="fr-FR"/>
        </w:rPr>
      </w:pPr>
      <w:r>
        <w:rPr>
          <w:rStyle w:val="Refdenotaalpie"/>
        </w:rPr>
        <w:footnoteRef/>
      </w:r>
      <w:r w:rsidRPr="0068600A">
        <w:rPr>
          <w:lang w:val="fr-FR"/>
        </w:rPr>
        <w:t xml:space="preserve"> </w:t>
      </w:r>
      <w:r w:rsidRPr="0068600A">
        <w:rPr>
          <w:rFonts w:asciiTheme="minorHAnsi" w:hAnsiTheme="minorHAnsi" w:cs="Calibri"/>
          <w:lang w:val="fr-FR"/>
        </w:rPr>
        <w:t>CC. Sentencia T-103 de 2014.</w:t>
      </w:r>
    </w:p>
  </w:footnote>
  <w:footnote w:id="10">
    <w:p w:rsidR="00243795" w:rsidRPr="0068600A" w:rsidRDefault="00243795" w:rsidP="00243795">
      <w:pPr>
        <w:pStyle w:val="Textonotapie"/>
        <w:jc w:val="both"/>
        <w:rPr>
          <w:lang w:val="fr-FR"/>
        </w:rPr>
      </w:pPr>
      <w:r>
        <w:rPr>
          <w:rStyle w:val="Refdenotaalpie"/>
          <w:rFonts w:asciiTheme="minorHAnsi" w:hAnsiTheme="minorHAnsi" w:cs="Calibri"/>
        </w:rPr>
        <w:footnoteRef/>
      </w:r>
      <w:r w:rsidRPr="0068600A">
        <w:rPr>
          <w:rFonts w:asciiTheme="minorHAnsi" w:hAnsiTheme="minorHAnsi" w:cs="Calibri"/>
          <w:lang w:val="fr-FR"/>
        </w:rPr>
        <w:t xml:space="preserve"> CC. Sentencia T-567 de 1998.</w:t>
      </w:r>
    </w:p>
  </w:footnote>
  <w:footnote w:id="11">
    <w:p w:rsidR="00243795" w:rsidRPr="0068600A" w:rsidRDefault="00243795" w:rsidP="00243795">
      <w:pPr>
        <w:pStyle w:val="Textonotapie"/>
        <w:jc w:val="both"/>
        <w:rPr>
          <w:lang w:val="fr-FR"/>
        </w:rPr>
      </w:pPr>
      <w:r>
        <w:rPr>
          <w:rStyle w:val="Refdenotaalpie"/>
          <w:rFonts w:asciiTheme="minorHAnsi" w:hAnsiTheme="minorHAnsi"/>
        </w:rPr>
        <w:footnoteRef/>
      </w:r>
      <w:r w:rsidRPr="0068600A">
        <w:rPr>
          <w:rFonts w:asciiTheme="minorHAnsi" w:hAnsiTheme="minorHAnsi"/>
          <w:lang w:val="fr-FR"/>
        </w:rPr>
        <w:t xml:space="preserve"> </w:t>
      </w:r>
      <w:r w:rsidRPr="0068600A">
        <w:rPr>
          <w:rFonts w:asciiTheme="minorHAnsi" w:hAnsiTheme="minorHAnsi" w:cs="Calibri"/>
          <w:lang w:val="fr-FR"/>
        </w:rPr>
        <w:t>CC. Sentencia T-662 de 2013.</w:t>
      </w:r>
      <w:r w:rsidRPr="0068600A">
        <w:rPr>
          <w:b/>
          <w:bCs/>
          <w:color w:val="2D2D2D"/>
          <w:sz w:val="28"/>
          <w:szCs w:val="28"/>
          <w:bdr w:val="none" w:sz="0" w:space="0" w:color="auto" w:frame="1"/>
          <w:shd w:val="clear" w:color="auto" w:fill="FFFFFF"/>
          <w:lang w:val="fr-FR"/>
        </w:rPr>
        <w:t xml:space="preserve"> </w:t>
      </w:r>
    </w:p>
  </w:footnote>
  <w:footnote w:id="12">
    <w:p w:rsidR="00243795" w:rsidRPr="0068600A" w:rsidRDefault="00243795" w:rsidP="00243795">
      <w:pPr>
        <w:pStyle w:val="Textonotapie"/>
        <w:jc w:val="both"/>
        <w:rPr>
          <w:lang w:val="fr-FR"/>
        </w:rPr>
      </w:pPr>
      <w:r>
        <w:rPr>
          <w:rStyle w:val="Refdenotaalpie"/>
        </w:rPr>
        <w:footnoteRef/>
      </w:r>
      <w:r w:rsidRPr="0068600A">
        <w:rPr>
          <w:lang w:val="fr-FR"/>
        </w:rPr>
        <w:t xml:space="preserve"> </w:t>
      </w:r>
      <w:r w:rsidRPr="0068600A">
        <w:rPr>
          <w:rFonts w:asciiTheme="minorHAnsi" w:hAnsiTheme="minorHAnsi" w:cs="Calibri"/>
          <w:lang w:val="fr-FR"/>
        </w:rPr>
        <w:t xml:space="preserve">CC. </w:t>
      </w:r>
      <w:r w:rsidRPr="0068600A">
        <w:rPr>
          <w:rFonts w:ascii="Calibri" w:hAnsi="Calibri"/>
          <w:bCs/>
          <w:bdr w:val="none" w:sz="0" w:space="0" w:color="auto" w:frame="1"/>
          <w:shd w:val="clear" w:color="auto" w:fill="FFFFFF"/>
          <w:lang w:val="fr-FR"/>
        </w:rPr>
        <w:t>Sentencia T-037 de 2016 y T-120 de 2016.</w:t>
      </w:r>
    </w:p>
  </w:footnote>
  <w:footnote w:id="13">
    <w:p w:rsidR="00243795" w:rsidRDefault="00243795" w:rsidP="00243795">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CSJ, Sala Civil. Sentencia del 02-09-2014, MP: Margarita Cabello Blanco, exp. No.23001-22-14-000-2014-00097-01</w:t>
      </w:r>
      <w:r>
        <w:rPr>
          <w:rFonts w:asciiTheme="minorHAnsi" w:hAnsiTheme="minorHAnsi" w:cs="Calibri"/>
          <w:w w:val="110"/>
          <w:lang w:val="es-CO"/>
        </w:rPr>
        <w:t>.</w:t>
      </w:r>
    </w:p>
  </w:footnote>
  <w:footnote w:id="14">
    <w:p w:rsidR="00243795" w:rsidRDefault="00243795" w:rsidP="00243795">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5">
    <w:p w:rsidR="00243795" w:rsidRDefault="00243795" w:rsidP="00243795">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6">
    <w:p w:rsidR="00765006" w:rsidRPr="0068600A" w:rsidRDefault="00765006" w:rsidP="00765006">
      <w:pPr>
        <w:pStyle w:val="Textonotapie"/>
        <w:jc w:val="both"/>
        <w:rPr>
          <w:rFonts w:asciiTheme="minorHAnsi" w:hAnsiTheme="minorHAnsi"/>
          <w:lang w:val="fr-FR"/>
        </w:rPr>
      </w:pPr>
      <w:r w:rsidRPr="00052412">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T-231 de 1994.</w:t>
      </w:r>
    </w:p>
  </w:footnote>
  <w:footnote w:id="17">
    <w:p w:rsidR="00765006" w:rsidRPr="0068600A" w:rsidRDefault="00765006" w:rsidP="00765006">
      <w:pPr>
        <w:pStyle w:val="Textonotapie"/>
        <w:jc w:val="both"/>
        <w:rPr>
          <w:rFonts w:asciiTheme="minorHAnsi" w:hAnsiTheme="minorHAnsi"/>
          <w:lang w:val="fr-FR"/>
        </w:rPr>
      </w:pPr>
      <w:r w:rsidRPr="00052412">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T-831 de 2012</w:t>
      </w:r>
      <w:r w:rsidR="00993BE7" w:rsidRPr="0068600A">
        <w:rPr>
          <w:rFonts w:asciiTheme="minorHAnsi" w:hAnsiTheme="minorHAnsi" w:cs="Calibri"/>
          <w:lang w:val="fr-FR"/>
        </w:rPr>
        <w:t>.</w:t>
      </w:r>
    </w:p>
  </w:footnote>
  <w:footnote w:id="18">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9">
    <w:p w:rsidR="00765006" w:rsidRPr="0068600A" w:rsidRDefault="00765006" w:rsidP="00765006">
      <w:pPr>
        <w:pStyle w:val="Textonotapie"/>
        <w:jc w:val="both"/>
        <w:rPr>
          <w:rFonts w:asciiTheme="minorHAnsi" w:hAnsiTheme="minorHAnsi"/>
          <w:lang w:val="fr-FR"/>
        </w:rPr>
      </w:pPr>
      <w:r w:rsidRPr="000A1B5D">
        <w:rPr>
          <w:rFonts w:asciiTheme="minorHAnsi" w:hAnsiTheme="minorHAnsi"/>
          <w:vertAlign w:val="superscript"/>
        </w:rPr>
        <w:footnoteRef/>
      </w:r>
      <w:r w:rsidRPr="0068600A">
        <w:rPr>
          <w:rFonts w:asciiTheme="minorHAnsi" w:hAnsiTheme="minorHAnsi"/>
          <w:lang w:val="fr-FR"/>
        </w:rPr>
        <w:t xml:space="preserve"> </w:t>
      </w:r>
      <w:r w:rsidR="00394B4A" w:rsidRPr="0068600A">
        <w:rPr>
          <w:rFonts w:asciiTheme="minorHAnsi" w:hAnsiTheme="minorHAnsi" w:cs="Calibri"/>
          <w:lang w:val="fr-FR"/>
        </w:rPr>
        <w:t>CC</w:t>
      </w:r>
      <w:r w:rsidRPr="0068600A">
        <w:rPr>
          <w:rFonts w:asciiTheme="minorHAnsi" w:hAnsiTheme="minorHAnsi"/>
          <w:lang w:val="fr-FR"/>
        </w:rPr>
        <w:t>. Sentencia T-573 de 1997</w:t>
      </w:r>
      <w:r w:rsidR="00993BE7" w:rsidRPr="0068600A">
        <w:rPr>
          <w:rFonts w:asciiTheme="minorHAnsi" w:hAnsiTheme="minorHAnsi"/>
          <w:lang w:val="fr-FR"/>
        </w:rPr>
        <w:t>.</w:t>
      </w:r>
    </w:p>
  </w:footnote>
  <w:footnote w:id="20">
    <w:p w:rsidR="00765006" w:rsidRPr="0068600A" w:rsidRDefault="00765006" w:rsidP="00765006">
      <w:pPr>
        <w:pStyle w:val="Textonotapie"/>
        <w:jc w:val="both"/>
        <w:rPr>
          <w:rFonts w:asciiTheme="minorHAnsi" w:hAnsiTheme="minorHAnsi"/>
          <w:lang w:val="fr-FR"/>
        </w:rPr>
      </w:pPr>
      <w:r w:rsidRPr="000A1B5D">
        <w:rPr>
          <w:rFonts w:asciiTheme="minorHAnsi" w:hAnsiTheme="minorHAnsi"/>
          <w:vertAlign w:val="superscript"/>
        </w:rPr>
        <w:footnoteRef/>
      </w:r>
      <w:r w:rsidRPr="0068600A">
        <w:rPr>
          <w:rFonts w:asciiTheme="minorHAnsi" w:hAnsiTheme="minorHAnsi"/>
          <w:lang w:val="fr-FR"/>
        </w:rPr>
        <w:t xml:space="preserve"> </w:t>
      </w:r>
      <w:r w:rsidR="00394B4A" w:rsidRPr="0068600A">
        <w:rPr>
          <w:rFonts w:asciiTheme="minorHAnsi" w:hAnsiTheme="minorHAnsi" w:cs="Calibri"/>
          <w:lang w:val="fr-FR"/>
        </w:rPr>
        <w:t>CC</w:t>
      </w:r>
      <w:r w:rsidRPr="0068600A">
        <w:rPr>
          <w:rFonts w:asciiTheme="minorHAnsi" w:hAnsiTheme="minorHAnsi"/>
          <w:lang w:val="fr-FR"/>
        </w:rPr>
        <w:t>. Sentencia T-567 de 1998.</w:t>
      </w:r>
    </w:p>
  </w:footnote>
  <w:footnote w:id="21">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394B4A">
        <w:rPr>
          <w:rFonts w:asciiTheme="minorHAnsi" w:hAnsiTheme="minorHAnsi" w:cs="Calibri"/>
          <w:lang w:val="es-MX"/>
        </w:rPr>
        <w:t>CC</w:t>
      </w:r>
      <w:r w:rsidRPr="000A1B5D">
        <w:rPr>
          <w:rFonts w:asciiTheme="minorHAnsi" w:hAnsiTheme="minorHAnsi"/>
          <w:lang w:val="es-CO"/>
        </w:rPr>
        <w:t>. Sentencia T-001 de 1999.</w:t>
      </w:r>
    </w:p>
  </w:footnote>
  <w:footnote w:id="22">
    <w:p w:rsidR="00765006" w:rsidRPr="000A1B5D" w:rsidRDefault="00765006"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SU-949 </w:t>
      </w:r>
      <w:r w:rsidR="00993BE7">
        <w:rPr>
          <w:rFonts w:asciiTheme="minorHAnsi" w:hAnsiTheme="minorHAnsi" w:cs="Calibri"/>
          <w:lang w:val="es-MX"/>
        </w:rPr>
        <w:t xml:space="preserve">de </w:t>
      </w:r>
      <w:r w:rsidRPr="000A1B5D">
        <w:rPr>
          <w:rFonts w:asciiTheme="minorHAnsi" w:hAnsiTheme="minorHAnsi" w:cs="Calibri"/>
          <w:lang w:val="es-MX"/>
        </w:rPr>
        <w:t>2014.</w:t>
      </w:r>
    </w:p>
  </w:footnote>
  <w:footnote w:id="23">
    <w:p w:rsidR="00765006" w:rsidRPr="00993BE7" w:rsidRDefault="00765006" w:rsidP="00765006">
      <w:pPr>
        <w:pStyle w:val="Textonotapie"/>
        <w:rPr>
          <w:rFonts w:asciiTheme="minorHAnsi" w:hAnsiTheme="minorHAnsi" w:cs="Calibri"/>
          <w:lang w:val="es-MX"/>
        </w:rPr>
      </w:pPr>
      <w:r>
        <w:rPr>
          <w:rStyle w:val="Refdenotaalpie"/>
        </w:rPr>
        <w:footnoteRef/>
      </w:r>
      <w: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sidR="00993BE7">
        <w:rPr>
          <w:rFonts w:asciiTheme="minorHAnsi" w:hAnsiTheme="minorHAnsi" w:cs="Calibri"/>
          <w:lang w:val="es-MX"/>
        </w:rPr>
        <w:t xml:space="preserve"> </w:t>
      </w:r>
      <w:r>
        <w:rPr>
          <w:rFonts w:asciiTheme="minorHAnsi" w:hAnsiTheme="minorHAnsi" w:cs="Calibri"/>
          <w:lang w:val="es-MX"/>
        </w:rPr>
        <w:t>2015</w:t>
      </w:r>
      <w:r w:rsidRPr="000A1B5D">
        <w:rPr>
          <w:rFonts w:asciiTheme="minorHAnsi" w:hAnsiTheme="minorHAnsi" w:cs="Calibri"/>
          <w:lang w:val="es-MX"/>
        </w:rPr>
        <w:t>.</w:t>
      </w:r>
    </w:p>
  </w:footnote>
  <w:footnote w:id="24">
    <w:p w:rsidR="00765006" w:rsidRPr="003F120A" w:rsidRDefault="00765006"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Sentencia SU-949 de</w:t>
      </w:r>
      <w:r w:rsidR="00993BE7">
        <w:rPr>
          <w:rFonts w:asciiTheme="minorHAnsi" w:hAnsiTheme="minorHAnsi" w:cs="Calibri"/>
          <w:lang w:val="es-MX"/>
        </w:rPr>
        <w:t xml:space="preserve"> </w:t>
      </w:r>
      <w:r w:rsidRPr="000A1B5D">
        <w:rPr>
          <w:rFonts w:asciiTheme="minorHAnsi" w:hAnsiTheme="minorHAnsi" w:cs="Calibri"/>
          <w:lang w:val="es-MX"/>
        </w:rPr>
        <w:t>2014</w:t>
      </w:r>
      <w:r w:rsidR="00993BE7">
        <w:rPr>
          <w:rFonts w:asciiTheme="minorHAnsi" w:hAnsiTheme="minorHAnsi" w:cs="Calibri"/>
          <w:lang w:val="es-MX"/>
        </w:rPr>
        <w:t>.</w:t>
      </w:r>
      <w:r w:rsidRPr="003F120A">
        <w:rPr>
          <w:rFonts w:asciiTheme="minorHAnsi" w:hAnsiTheme="minorHAnsi"/>
          <w:lang w:val="es-CO"/>
        </w:rPr>
        <w:t xml:space="preserve"> </w:t>
      </w:r>
    </w:p>
  </w:footnote>
  <w:footnote w:id="25">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T-193 de 2008.</w:t>
      </w:r>
    </w:p>
  </w:footnote>
  <w:footnote w:id="26">
    <w:p w:rsidR="00AA1E03" w:rsidRPr="0068600A" w:rsidRDefault="00AA1E03" w:rsidP="00AA1E03">
      <w:pPr>
        <w:pStyle w:val="Textonotapie"/>
        <w:rPr>
          <w:lang w:val="fr-FR"/>
        </w:rPr>
      </w:pPr>
      <w:r>
        <w:rPr>
          <w:rStyle w:val="Refdenotaalpie"/>
        </w:rPr>
        <w:footnoteRef/>
      </w:r>
      <w:r w:rsidRPr="0068600A">
        <w:rPr>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T-185 de 2013.</w:t>
      </w:r>
    </w:p>
  </w:footnote>
  <w:footnote w:id="27">
    <w:p w:rsidR="00AA1E03" w:rsidRPr="007B0994" w:rsidRDefault="00AA1E03" w:rsidP="00AA1E03">
      <w:pPr>
        <w:pStyle w:val="Textonotapie"/>
        <w:rPr>
          <w:lang w:val="es-CO"/>
        </w:rPr>
      </w:pPr>
      <w:r>
        <w:rPr>
          <w:rStyle w:val="Refdenotaalpie"/>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8">
    <w:p w:rsidR="00AA1E03" w:rsidRPr="00833A61" w:rsidRDefault="00AA1E03" w:rsidP="00AA1E03">
      <w:pPr>
        <w:pStyle w:val="Textonotapie"/>
        <w:rPr>
          <w:lang w:val="es-CO"/>
        </w:rPr>
      </w:pPr>
      <w:r>
        <w:rPr>
          <w:rStyle w:val="Refdenotaalpie"/>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9">
    <w:p w:rsidR="00AA1E03" w:rsidRPr="00104D5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Ediprime Ltda, Bogotá, </w:t>
      </w:r>
      <w:r w:rsidRPr="00104D5D">
        <w:rPr>
          <w:rFonts w:ascii="Calibri" w:hAnsi="Calibri" w:cs="Calibri"/>
        </w:rPr>
        <w:t>2006, p.120.</w:t>
      </w:r>
    </w:p>
  </w:footnote>
  <w:footnote w:id="30">
    <w:p w:rsidR="00AA1E03" w:rsidRPr="00104D5D" w:rsidRDefault="00AA1E03"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00394B4A">
        <w:rPr>
          <w:rFonts w:ascii="Calibri" w:hAnsi="Calibri"/>
          <w:lang w:val="es-CO"/>
        </w:rPr>
        <w:t>TSP</w:t>
      </w:r>
      <w:r w:rsidRPr="00104D5D">
        <w:rPr>
          <w:rFonts w:ascii="Calibri" w:hAnsi="Calibri"/>
          <w:lang w:val="es-CO"/>
        </w:rPr>
        <w:t>, Sala Civil-Familia. Sentencia del 28-03-2016, MP Dubermey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31">
    <w:p w:rsidR="00AA1E03" w:rsidRPr="0068600A" w:rsidRDefault="00AA1E03" w:rsidP="00AA1E03">
      <w:pPr>
        <w:pStyle w:val="Textonotapie"/>
        <w:jc w:val="both"/>
        <w:rPr>
          <w:rFonts w:ascii="Calibri" w:hAnsi="Calibri"/>
          <w:lang w:val="fr-FR"/>
        </w:rPr>
      </w:pPr>
      <w:r w:rsidRPr="008C531D">
        <w:rPr>
          <w:rStyle w:val="Refdenotaalpie"/>
          <w:rFonts w:ascii="Calibri" w:hAnsi="Calibri"/>
        </w:rPr>
        <w:footnoteRef/>
      </w:r>
      <w:r w:rsidRPr="0068600A">
        <w:rPr>
          <w:rFonts w:ascii="Calibri" w:hAnsi="Calibri"/>
          <w:lang w:val="fr-FR"/>
        </w:rPr>
        <w:t xml:space="preserve"> </w:t>
      </w:r>
      <w:r w:rsidR="00394B4A" w:rsidRPr="0068600A">
        <w:rPr>
          <w:rFonts w:ascii="Calibri" w:hAnsi="Calibri"/>
          <w:lang w:val="fr-FR"/>
        </w:rPr>
        <w:t>CC</w:t>
      </w:r>
      <w:r w:rsidRPr="0068600A">
        <w:rPr>
          <w:rFonts w:ascii="Calibri" w:hAnsi="Calibri"/>
          <w:lang w:val="fr-FR"/>
        </w:rPr>
        <w:t>. Sentencia T-057 de 2016.</w:t>
      </w:r>
    </w:p>
  </w:footnote>
  <w:footnote w:id="32">
    <w:p w:rsidR="00AA1E03" w:rsidRPr="0068600A" w:rsidRDefault="00AA1E03" w:rsidP="00AA1E03">
      <w:pPr>
        <w:pStyle w:val="Textonotapie"/>
        <w:jc w:val="both"/>
        <w:rPr>
          <w:rFonts w:ascii="Calibri" w:hAnsi="Calibri"/>
          <w:lang w:val="fr-FR"/>
        </w:rPr>
      </w:pPr>
      <w:r w:rsidRPr="008C531D">
        <w:rPr>
          <w:rStyle w:val="Refdenotaalpie"/>
          <w:rFonts w:ascii="Calibri" w:hAnsi="Calibri"/>
        </w:rPr>
        <w:footnoteRef/>
      </w:r>
      <w:r w:rsidRPr="0068600A">
        <w:rPr>
          <w:rFonts w:ascii="Calibri" w:hAnsi="Calibri"/>
          <w:lang w:val="fr-FR"/>
        </w:rPr>
        <w:t xml:space="preserve"> </w:t>
      </w:r>
      <w:r w:rsidR="00394B4A" w:rsidRPr="0068600A">
        <w:rPr>
          <w:rFonts w:ascii="Calibri" w:hAnsi="Calibri"/>
          <w:lang w:val="fr-FR"/>
        </w:rPr>
        <w:t>CC</w:t>
      </w:r>
      <w:r w:rsidRPr="0068600A">
        <w:rPr>
          <w:rFonts w:ascii="Calibri" w:hAnsi="Calibri"/>
          <w:lang w:val="fr-FR"/>
        </w:rPr>
        <w:t>. Sentencia T-095 de 2015.</w:t>
      </w:r>
    </w:p>
  </w:footnote>
  <w:footnote w:id="33">
    <w:p w:rsidR="00AA1E03" w:rsidRPr="00A4402B" w:rsidRDefault="00AA1E03"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sidR="00394B4A">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34">
    <w:p w:rsidR="00993BE7" w:rsidRPr="003C7774" w:rsidRDefault="00993BE7" w:rsidP="00993BE7">
      <w:pPr>
        <w:jc w:val="both"/>
        <w:rPr>
          <w:rFonts w:asciiTheme="minorHAnsi" w:hAnsiTheme="minorHAnsi" w:cs="Arial"/>
          <w:b/>
          <w:sz w:val="20"/>
          <w:szCs w:val="20"/>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00394B4A">
        <w:rPr>
          <w:rFonts w:asciiTheme="minorHAnsi" w:hAnsiTheme="minorHAnsi" w:cs="Arial"/>
          <w:sz w:val="20"/>
          <w:szCs w:val="20"/>
          <w:lang w:val="es-CO"/>
        </w:rPr>
        <w:t>CSJ</w:t>
      </w:r>
      <w:r w:rsidRPr="000D1189">
        <w:rPr>
          <w:rFonts w:asciiTheme="minorHAnsi" w:hAnsiTheme="minorHAnsi" w:cs="Arial"/>
          <w:sz w:val="20"/>
          <w:szCs w:val="20"/>
          <w:lang w:val="es-CO"/>
        </w:rPr>
        <w:t>, Civil</w:t>
      </w:r>
      <w:r w:rsidR="003C7774">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003C7774"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35">
    <w:p w:rsidR="00993BE7" w:rsidRPr="00D75C31" w:rsidRDefault="00993BE7" w:rsidP="00993BE7">
      <w:pPr>
        <w:pStyle w:val="Textonotapie"/>
        <w:jc w:val="both"/>
        <w:rPr>
          <w:rFonts w:ascii="Calibri" w:hAnsi="Calibri" w:cs="Calibri"/>
          <w:b/>
          <w:bCs/>
        </w:rPr>
      </w:pPr>
      <w:r w:rsidRPr="00140D59">
        <w:rPr>
          <w:rStyle w:val="Refdenotaalpie"/>
          <w:rFonts w:asciiTheme="minorHAnsi" w:hAnsiTheme="minorHAnsi"/>
        </w:rPr>
        <w:footnoteRef/>
      </w:r>
      <w:r w:rsidRPr="00140D59">
        <w:rPr>
          <w:rFonts w:asciiTheme="minorHAnsi" w:hAnsiTheme="minorHAnsi"/>
        </w:rPr>
        <w:t xml:space="preserve"> </w:t>
      </w:r>
      <w:r w:rsidR="00394B4A">
        <w:rPr>
          <w:rFonts w:ascii="Calibri" w:hAnsi="Calibri" w:cs="Calibri"/>
          <w:lang w:val="es-CO"/>
        </w:rPr>
        <w:t>TSP</w:t>
      </w:r>
      <w:r w:rsidRPr="00D75C31">
        <w:rPr>
          <w:rFonts w:ascii="Calibri" w:hAnsi="Calibri" w:cs="Calibri"/>
          <w:lang w:val="es-CO"/>
        </w:rPr>
        <w:t xml:space="preserve">, Civil – Familia. </w:t>
      </w:r>
      <w:r w:rsidR="00D75C31" w:rsidRPr="00D75C31">
        <w:rPr>
          <w:rFonts w:ascii="Calibri" w:hAnsi="Calibri" w:cs="Calibri"/>
          <w:lang w:val="es-CO"/>
        </w:rPr>
        <w:t>Sentencia</w:t>
      </w:r>
      <w:r w:rsidR="00F7431B">
        <w:rPr>
          <w:rFonts w:ascii="Calibri" w:hAnsi="Calibri" w:cs="Calibri"/>
          <w:lang w:val="es-CO"/>
        </w:rPr>
        <w:t>s</w:t>
      </w:r>
      <w:r w:rsidRPr="00D75C31">
        <w:rPr>
          <w:rFonts w:ascii="Calibri" w:hAnsi="Calibri" w:cs="Calibri"/>
          <w:lang w:val="es-CO"/>
        </w:rPr>
        <w:t xml:space="preserve"> </w:t>
      </w:r>
      <w:r w:rsidR="00F7431B">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w:t>
      </w:r>
      <w:r w:rsidR="00AA1E03" w:rsidRPr="00D75C31">
        <w:rPr>
          <w:rFonts w:ascii="Calibri" w:hAnsi="Calibri" w:cs="Calibri"/>
        </w:rPr>
        <w:t>10-08-2016</w:t>
      </w:r>
      <w:r w:rsidRPr="00D75C31">
        <w:rPr>
          <w:rFonts w:ascii="Calibri" w:hAnsi="Calibri" w:cs="Calibri"/>
        </w:rPr>
        <w:t xml:space="preserve">; MP: </w:t>
      </w:r>
      <w:r w:rsidR="00AA1E03" w:rsidRPr="00D75C31">
        <w:rPr>
          <w:rFonts w:ascii="Calibri" w:hAnsi="Calibri" w:cs="Calibri"/>
        </w:rPr>
        <w:t xml:space="preserve">Jaime </w:t>
      </w:r>
      <w:r w:rsidR="00F7431B">
        <w:rPr>
          <w:rFonts w:ascii="Calibri" w:hAnsi="Calibri" w:cs="Calibri"/>
        </w:rPr>
        <w:t xml:space="preserve">A. </w:t>
      </w:r>
      <w:r w:rsidR="00AA1E03" w:rsidRPr="00D75C31">
        <w:rPr>
          <w:rFonts w:ascii="Calibri" w:hAnsi="Calibri" w:cs="Calibri"/>
        </w:rPr>
        <w:t xml:space="preserve">Saraza </w:t>
      </w:r>
      <w:r w:rsidR="00F7431B">
        <w:rPr>
          <w:rFonts w:ascii="Calibri" w:hAnsi="Calibri" w:cs="Calibri"/>
        </w:rPr>
        <w:t>N.</w:t>
      </w:r>
      <w:r w:rsidRPr="00D75C31">
        <w:rPr>
          <w:rFonts w:ascii="Calibri" w:hAnsi="Calibri" w:cs="Calibri"/>
        </w:rPr>
        <w:t>, exp</w:t>
      </w:r>
      <w:r w:rsidR="00F7431B">
        <w:rPr>
          <w:rFonts w:ascii="Calibri" w:hAnsi="Calibri" w:cs="Calibri"/>
        </w:rPr>
        <w:t xml:space="preserve">. </w:t>
      </w:r>
      <w:r w:rsidRPr="00D75C31">
        <w:rPr>
          <w:rFonts w:ascii="Calibri" w:hAnsi="Calibri" w:cs="Calibri"/>
        </w:rPr>
        <w:t>No.</w:t>
      </w:r>
      <w:r w:rsidR="00AA1E03" w:rsidRPr="00D75C31">
        <w:rPr>
          <w:rFonts w:ascii="Calibri" w:hAnsi="Calibri" w:cs="Calibri"/>
        </w:rPr>
        <w:t>2016-00730-00</w:t>
      </w:r>
      <w:r w:rsidR="00F7431B">
        <w:rPr>
          <w:rFonts w:ascii="Calibri" w:hAnsi="Calibri" w:cs="Calibri"/>
        </w:rPr>
        <w:t>;</w:t>
      </w:r>
      <w:r w:rsidR="0078274D">
        <w:rPr>
          <w:rFonts w:ascii="Calibri" w:hAnsi="Calibri" w:cs="Calibri"/>
        </w:rPr>
        <w:t xml:space="preserve"> </w:t>
      </w:r>
      <w:r w:rsidR="00F7431B">
        <w:rPr>
          <w:rFonts w:ascii="Calibri" w:hAnsi="Calibri" w:cs="Calibri"/>
        </w:rPr>
        <w:t>y, ii) D</w:t>
      </w:r>
      <w:r w:rsidR="0078274D" w:rsidRPr="00D75C31">
        <w:rPr>
          <w:rFonts w:ascii="Calibri" w:hAnsi="Calibri" w:cs="Calibri"/>
          <w:lang w:val="es-CO"/>
        </w:rPr>
        <w:t>el</w:t>
      </w:r>
      <w:r w:rsidR="0078274D" w:rsidRPr="00D75C31">
        <w:rPr>
          <w:rFonts w:ascii="Calibri" w:hAnsi="Calibri" w:cs="Calibri"/>
        </w:rPr>
        <w:t xml:space="preserve"> </w:t>
      </w:r>
      <w:r w:rsidR="0078274D">
        <w:rPr>
          <w:rFonts w:ascii="Calibri" w:hAnsi="Calibri" w:cs="Calibri"/>
        </w:rPr>
        <w:t>23</w:t>
      </w:r>
      <w:r w:rsidR="0078274D" w:rsidRPr="00D75C31">
        <w:rPr>
          <w:rFonts w:ascii="Calibri" w:hAnsi="Calibri" w:cs="Calibri"/>
        </w:rPr>
        <w:t xml:space="preserve">-08-2016; MP: </w:t>
      </w:r>
      <w:r w:rsidR="0078274D">
        <w:rPr>
          <w:rFonts w:ascii="Calibri" w:hAnsi="Calibri" w:cs="Calibri"/>
        </w:rPr>
        <w:t>Duberney Grisales H</w:t>
      </w:r>
      <w:r w:rsidR="00194D63">
        <w:rPr>
          <w:rFonts w:ascii="Calibri" w:hAnsi="Calibri" w:cs="Calibri"/>
        </w:rPr>
        <w:t>.</w:t>
      </w:r>
      <w:r w:rsidR="0078274D" w:rsidRPr="00D75C31">
        <w:rPr>
          <w:rFonts w:ascii="Calibri" w:hAnsi="Calibri" w:cs="Calibri"/>
        </w:rPr>
        <w:t xml:space="preserve">, </w:t>
      </w:r>
      <w:r w:rsidR="00F7431B">
        <w:rPr>
          <w:rFonts w:ascii="Calibri" w:hAnsi="Calibri" w:cs="Calibri"/>
        </w:rPr>
        <w:t xml:space="preserve">exp. </w:t>
      </w:r>
      <w:r w:rsidR="0078274D" w:rsidRPr="00D75C31">
        <w:rPr>
          <w:rFonts w:ascii="Calibri" w:hAnsi="Calibri" w:cs="Calibri"/>
        </w:rPr>
        <w:t>No.2016-</w:t>
      </w:r>
      <w:r w:rsidR="0078274D">
        <w:rPr>
          <w:rFonts w:ascii="Calibri" w:hAnsi="Calibri" w:cs="Calibri"/>
        </w:rPr>
        <w:t>00794</w:t>
      </w:r>
      <w:r w:rsidR="0078274D" w:rsidRPr="00D75C31">
        <w:rPr>
          <w:rFonts w:ascii="Calibri" w:hAnsi="Calibri" w:cs="Calibri"/>
        </w:rPr>
        <w:t>-00</w:t>
      </w:r>
      <w:r w:rsidR="00194D63">
        <w:rPr>
          <w:rFonts w:ascii="Calibri" w:hAnsi="Calibri" w:cs="Calibri"/>
        </w:rPr>
        <w:t>, entre otras.</w:t>
      </w:r>
    </w:p>
  </w:footnote>
  <w:footnote w:id="36">
    <w:p w:rsidR="00927F25" w:rsidRPr="0068600A" w:rsidRDefault="00927F25" w:rsidP="00927F25">
      <w:pPr>
        <w:pStyle w:val="Textonotapie"/>
        <w:jc w:val="both"/>
        <w:rPr>
          <w:lang w:val="fr-FR"/>
        </w:rPr>
      </w:pPr>
      <w:r w:rsidRPr="0088104A">
        <w:rPr>
          <w:rStyle w:val="Refdenotaalpie"/>
          <w:rFonts w:asciiTheme="minorHAnsi" w:hAnsiTheme="minorHAnsi" w:cs="Calibri"/>
        </w:rPr>
        <w:footnoteRef/>
      </w:r>
      <w:r w:rsidRPr="0068600A">
        <w:rPr>
          <w:rFonts w:asciiTheme="minorHAnsi" w:hAnsiTheme="minorHAnsi" w:cs="Calibri"/>
          <w:lang w:val="fr-FR"/>
        </w:rPr>
        <w:t xml:space="preserve"> CC.  Sentencia T-567 de 1998.</w:t>
      </w:r>
    </w:p>
  </w:footnote>
  <w:footnote w:id="37">
    <w:p w:rsidR="00927F25" w:rsidRPr="0068600A" w:rsidRDefault="00927F25" w:rsidP="00927F25">
      <w:pPr>
        <w:pStyle w:val="Textonotapie"/>
        <w:rPr>
          <w:lang w:val="fr-FR"/>
        </w:rPr>
      </w:pPr>
      <w:r>
        <w:rPr>
          <w:rStyle w:val="Refdenotaalpie"/>
        </w:rPr>
        <w:footnoteRef/>
      </w:r>
      <w:r w:rsidRPr="0068600A">
        <w:rPr>
          <w:lang w:val="fr-FR"/>
        </w:rPr>
        <w:t xml:space="preserve"> </w:t>
      </w:r>
      <w:r w:rsidRPr="0068600A">
        <w:rPr>
          <w:rFonts w:asciiTheme="minorHAnsi" w:hAnsiTheme="minorHAnsi" w:cs="Calibri"/>
          <w:lang w:val="fr-FR"/>
        </w:rPr>
        <w:t>CC.  Sentencia T-717 de 22-09-2011.</w:t>
      </w:r>
    </w:p>
  </w:footnote>
  <w:footnote w:id="38">
    <w:p w:rsidR="00927F25" w:rsidRPr="00515BDB" w:rsidRDefault="00927F25" w:rsidP="00927F25">
      <w:pPr>
        <w:pStyle w:val="Textonotapie"/>
        <w:rPr>
          <w:lang w:val="fr-FR"/>
        </w:rPr>
      </w:pPr>
      <w:r>
        <w:rPr>
          <w:rStyle w:val="Refdenotaalpie"/>
        </w:rPr>
        <w:footnoteRef/>
      </w:r>
      <w:r w:rsidRPr="00515BDB">
        <w:rPr>
          <w:lang w:val="fr-FR"/>
        </w:rPr>
        <w:t xml:space="preserve"> </w:t>
      </w:r>
      <w:r w:rsidRPr="00515BDB">
        <w:rPr>
          <w:rFonts w:asciiTheme="minorHAnsi" w:hAnsiTheme="minorHAnsi" w:cs="Calibri"/>
          <w:lang w:val="fr-FR"/>
        </w:rPr>
        <w:t>CC.  Sentencia T-429 de 19-05-2011.</w:t>
      </w:r>
    </w:p>
  </w:footnote>
  <w:footnote w:id="39">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0078274D" w:rsidRPr="0068600A">
        <w:rPr>
          <w:rFonts w:asciiTheme="minorHAnsi" w:hAnsiTheme="minorHAnsi" w:cs="Calibri"/>
          <w:lang w:val="fr-FR"/>
        </w:rPr>
        <w:t>.</w:t>
      </w:r>
      <w:r w:rsidRPr="0068600A">
        <w:rPr>
          <w:rFonts w:asciiTheme="minorHAnsi" w:hAnsiTheme="minorHAnsi" w:cs="Calibri"/>
          <w:lang w:val="fr-FR"/>
        </w:rPr>
        <w:t xml:space="preserve"> Sentencia T-184 de 2005.</w:t>
      </w:r>
    </w:p>
  </w:footnote>
  <w:footnote w:id="40">
    <w:p w:rsidR="00AA1E03" w:rsidRPr="0068600A" w:rsidRDefault="00AA1E03" w:rsidP="00AA1E03">
      <w:pPr>
        <w:pStyle w:val="Textonotapie"/>
        <w:rPr>
          <w:lang w:val="fr-FR"/>
        </w:rPr>
      </w:pPr>
      <w:r>
        <w:rPr>
          <w:rStyle w:val="Refdenotaalpie"/>
        </w:rPr>
        <w:footnoteRef/>
      </w:r>
      <w:r w:rsidRPr="0068600A">
        <w:rPr>
          <w:lang w:val="fr-FR"/>
        </w:rPr>
        <w:t xml:space="preserve"> </w:t>
      </w:r>
      <w:r w:rsidR="00394B4A" w:rsidRPr="0068600A">
        <w:rPr>
          <w:rFonts w:asciiTheme="minorHAnsi" w:hAnsiTheme="minorHAnsi" w:cs="Calibri"/>
          <w:lang w:val="fr-FR"/>
        </w:rPr>
        <w:t>CC</w:t>
      </w:r>
      <w:r w:rsidR="0078274D" w:rsidRPr="0068600A">
        <w:rPr>
          <w:rFonts w:asciiTheme="minorHAnsi" w:hAnsiTheme="minorHAnsi" w:cs="Calibri"/>
          <w:lang w:val="fr-FR"/>
        </w:rPr>
        <w:t>.</w:t>
      </w:r>
      <w:r w:rsidRPr="0068600A">
        <w:rPr>
          <w:rFonts w:asciiTheme="minorHAnsi" w:hAnsiTheme="minorHAnsi" w:cs="Calibri"/>
          <w:lang w:val="fr-FR"/>
        </w:rPr>
        <w:t xml:space="preserve"> Sentencia T-001 de 2016</w:t>
      </w:r>
      <w:r w:rsidRPr="0068600A">
        <w:rPr>
          <w:rFonts w:ascii="Verdana" w:hAnsi="Verdana"/>
          <w:bCs/>
          <w:color w:val="000000"/>
          <w:sz w:val="22"/>
          <w:szCs w:val="22"/>
          <w:lang w:val="fr-FR"/>
        </w:rPr>
        <w:t>.</w:t>
      </w:r>
    </w:p>
  </w:footnote>
  <w:footnote w:id="41">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42">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T-443 de 1995.</w:t>
      </w:r>
    </w:p>
  </w:footnote>
  <w:footnote w:id="43">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T-149 de 1995.</w:t>
      </w:r>
    </w:p>
  </w:footnote>
  <w:footnote w:id="44">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T-308 de 1995.</w:t>
      </w:r>
    </w:p>
  </w:footnote>
  <w:footnote w:id="45">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T-443 de 1995.</w:t>
      </w:r>
    </w:p>
  </w:footnote>
  <w:footnote w:id="46">
    <w:p w:rsidR="00AA1E03" w:rsidRPr="0068600A" w:rsidRDefault="00AA1E03" w:rsidP="00AA1E03">
      <w:pPr>
        <w:pStyle w:val="Textonotapie"/>
        <w:jc w:val="both"/>
        <w:rPr>
          <w:lang w:val="fr-FR"/>
        </w:rPr>
      </w:pPr>
      <w:r w:rsidRPr="00623B4F">
        <w:rPr>
          <w:rStyle w:val="Refdenotaalpie"/>
          <w:rFonts w:asciiTheme="minorHAnsi" w:hAnsiTheme="minorHAnsi" w:cs="Calibri"/>
        </w:rPr>
        <w:footnoteRef/>
      </w:r>
      <w:r w:rsidRPr="0068600A">
        <w:rPr>
          <w:rFonts w:asciiTheme="minorHAnsi" w:hAnsiTheme="minorHAnsi" w:cs="Calibri"/>
          <w:lang w:val="fr-FR"/>
        </w:rPr>
        <w:t xml:space="preserve"> </w:t>
      </w:r>
      <w:r w:rsidR="00394B4A" w:rsidRPr="0068600A">
        <w:rPr>
          <w:rFonts w:asciiTheme="minorHAnsi" w:hAnsiTheme="minorHAnsi" w:cs="Calibri"/>
          <w:lang w:val="fr-FR"/>
        </w:rPr>
        <w:t>CC</w:t>
      </w:r>
      <w:r w:rsidRPr="0068600A">
        <w:rPr>
          <w:rFonts w:asciiTheme="minorHAnsi" w:hAnsiTheme="minorHAnsi" w:cs="Calibri"/>
          <w:lang w:val="fr-FR"/>
        </w:rPr>
        <w:t>. Sentencia T-001 de 1997.</w:t>
      </w:r>
    </w:p>
  </w:footnote>
  <w:footnote w:id="47">
    <w:p w:rsidR="00AA1E03" w:rsidRPr="0068600A" w:rsidRDefault="00AA1E03" w:rsidP="00AA1E03">
      <w:pPr>
        <w:pStyle w:val="Textonotapie"/>
        <w:jc w:val="both"/>
        <w:rPr>
          <w:rFonts w:ascii="Calibri" w:hAnsi="Calibri"/>
          <w:lang w:val="fr-FR"/>
        </w:rPr>
      </w:pPr>
      <w:r w:rsidRPr="00D54497">
        <w:rPr>
          <w:rStyle w:val="Refdenotaalpie"/>
          <w:rFonts w:ascii="Calibri" w:hAnsi="Calibri" w:cs="Calibri"/>
        </w:rPr>
        <w:footnoteRef/>
      </w:r>
      <w:r w:rsidRPr="0068600A">
        <w:rPr>
          <w:rFonts w:ascii="Calibri" w:hAnsi="Calibri" w:cs="Calibri"/>
          <w:lang w:val="fr-FR"/>
        </w:rPr>
        <w:t xml:space="preserve"> </w:t>
      </w:r>
      <w:r w:rsidR="00394B4A" w:rsidRPr="0068600A">
        <w:rPr>
          <w:rFonts w:ascii="Calibri" w:hAnsi="Calibri" w:cs="Calibri"/>
          <w:lang w:val="fr-FR"/>
        </w:rPr>
        <w:t>CC</w:t>
      </w:r>
      <w:r w:rsidRPr="0068600A">
        <w:rPr>
          <w:rFonts w:ascii="Calibri" w:hAnsi="Calibri" w:cs="Calibri"/>
          <w:lang w:val="fr-FR"/>
        </w:rPr>
        <w:t>. Sentencia T-184 de 2005.</w:t>
      </w:r>
    </w:p>
  </w:footnote>
  <w:footnote w:id="48">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CSJ</w:t>
      </w:r>
      <w:r w:rsidR="00F7431B">
        <w:rPr>
          <w:rFonts w:ascii="Calibri" w:hAnsi="Calibri"/>
          <w:lang w:val="es-CO"/>
        </w:rPr>
        <w:t xml:space="preserve">, Sala </w:t>
      </w:r>
      <w:r w:rsidRPr="00D54497">
        <w:rPr>
          <w:rFonts w:ascii="Calibri" w:hAnsi="Calibri"/>
          <w:lang w:val="es-CO"/>
        </w:rPr>
        <w:t>Civil. Sentencia STC7600-2016.</w:t>
      </w:r>
    </w:p>
  </w:footnote>
  <w:footnote w:id="49">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Sala Civil – Familia. Sentencia del 30-06-2016, exp.</w:t>
      </w:r>
      <w:r w:rsidRPr="00D54497">
        <w:rPr>
          <w:rFonts w:ascii="Calibri" w:hAnsi="Calibri" w:cs="Arial"/>
          <w:sz w:val="22"/>
          <w:szCs w:val="22"/>
        </w:rPr>
        <w:t xml:space="preserve"> </w:t>
      </w:r>
      <w:r w:rsidR="00F7431B">
        <w:rPr>
          <w:rFonts w:ascii="Calibri" w:hAnsi="Calibri" w:cs="Arial"/>
          <w:sz w:val="22"/>
          <w:szCs w:val="22"/>
        </w:rPr>
        <w:t>No.</w:t>
      </w:r>
      <w:r w:rsidRPr="00D54497">
        <w:rPr>
          <w:rFonts w:ascii="Calibri" w:hAnsi="Calibri"/>
        </w:rPr>
        <w:t>2016-00554-00, MP</w:t>
      </w:r>
      <w:r w:rsidR="00F7431B">
        <w:rPr>
          <w:rFonts w:ascii="Calibri" w:hAnsi="Calibri"/>
        </w:rPr>
        <w:t>:</w:t>
      </w:r>
      <w:r w:rsidRPr="00D54497">
        <w:rPr>
          <w:rFonts w:ascii="Calibri" w:hAnsi="Calibri"/>
        </w:rPr>
        <w:t xml:space="preserve"> Duberney Grisales Herrera.</w:t>
      </w:r>
    </w:p>
  </w:footnote>
  <w:footnote w:id="50">
    <w:p w:rsidR="00AA1E03" w:rsidRPr="00D54497" w:rsidRDefault="00AA1E03" w:rsidP="00AA1E03">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Sala Civil – Familia. Sentencia del 11-08-2016, exp.</w:t>
      </w:r>
      <w:r w:rsidRPr="00D54497">
        <w:rPr>
          <w:rFonts w:ascii="Calibri" w:hAnsi="Calibri" w:cs="Arial"/>
          <w:sz w:val="22"/>
          <w:szCs w:val="22"/>
        </w:rPr>
        <w:t xml:space="preserve"> </w:t>
      </w:r>
      <w:r w:rsidR="00F7431B">
        <w:rPr>
          <w:rFonts w:ascii="Calibri" w:hAnsi="Calibri" w:cs="Arial"/>
          <w:sz w:val="22"/>
          <w:szCs w:val="22"/>
        </w:rPr>
        <w:t>No.</w:t>
      </w:r>
      <w:r w:rsidRPr="00D54497">
        <w:rPr>
          <w:rFonts w:ascii="Calibri" w:hAnsi="Calibri"/>
        </w:rPr>
        <w:t>2016-00750-00, MP</w:t>
      </w:r>
      <w:r w:rsidR="00F7431B">
        <w:rPr>
          <w:rFonts w:ascii="Calibri" w:hAnsi="Calibri"/>
        </w:rPr>
        <w:t>:</w:t>
      </w:r>
      <w:r w:rsidRPr="00D54497">
        <w:rPr>
          <w:rFonts w:ascii="Calibri" w:hAnsi="Calibri"/>
        </w:rPr>
        <w:t xml:space="preserve"> Duberney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30542">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F009CB">
      <w:rPr>
        <w:rFonts w:ascii="Calibri" w:hAnsi="Calibri" w:cs="Calibri"/>
        <w:i/>
        <w:sz w:val="20"/>
        <w:szCs w:val="22"/>
      </w:rPr>
      <w:t>00962</w:t>
    </w:r>
    <w:r w:rsidR="0028706E">
      <w:rPr>
        <w:rFonts w:ascii="Calibri" w:hAnsi="Calibri" w:cs="Calibri"/>
        <w:i/>
        <w:sz w:val="20"/>
        <w:szCs w:val="22"/>
      </w:rPr>
      <w:t>-00</w:t>
    </w:r>
    <w:r w:rsidR="005118AB">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2"/>
  </w:num>
  <w:num w:numId="5">
    <w:abstractNumId w:val="25"/>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2"/>
  </w:num>
  <w:num w:numId="13">
    <w:abstractNumId w:val="8"/>
  </w:num>
  <w:num w:numId="14">
    <w:abstractNumId w:val="10"/>
  </w:num>
  <w:num w:numId="15">
    <w:abstractNumId w:val="15"/>
  </w:num>
  <w:num w:numId="16">
    <w:abstractNumId w:val="3"/>
  </w:num>
  <w:num w:numId="17">
    <w:abstractNumId w:val="16"/>
  </w:num>
  <w:num w:numId="18">
    <w:abstractNumId w:val="6"/>
  </w:num>
  <w:num w:numId="19">
    <w:abstractNumId w:val="4"/>
  </w:num>
  <w:num w:numId="20">
    <w:abstractNumId w:val="11"/>
  </w:num>
  <w:num w:numId="21">
    <w:abstractNumId w:val="18"/>
  </w:num>
  <w:num w:numId="22">
    <w:abstractNumId w:val="21"/>
  </w:num>
  <w:num w:numId="23">
    <w:abstractNumId w:val="5"/>
  </w:num>
  <w:num w:numId="24">
    <w:abstractNumId w:val="9"/>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D7B"/>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1"/>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3F0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5BDB"/>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382"/>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542"/>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0A"/>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0B9"/>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BC2"/>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06D4"/>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6CF"/>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387FDBF-39F1-47C3-9B8C-2A88CB89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AFDD-3053-404F-8A9A-9145607E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5066</Words>
  <Characters>27866</Characters>
  <Application>Microsoft Office Word</Application>
  <DocSecurity>0</DocSecurity>
  <Lines>232</Lines>
  <Paragraphs>65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32867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19</cp:revision>
  <cp:lastPrinted>2016-11-02T12:19:00Z</cp:lastPrinted>
  <dcterms:created xsi:type="dcterms:W3CDTF">2016-10-28T13:04:00Z</dcterms:created>
  <dcterms:modified xsi:type="dcterms:W3CDTF">2017-02-13T16:31:00Z</dcterms:modified>
</cp:coreProperties>
</file>