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68" w:rsidRPr="00B32804" w:rsidRDefault="00CC1068" w:rsidP="00CC1068">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CC1068" w:rsidRDefault="00CC1068" w:rsidP="00AB45C8">
      <w:pPr>
        <w:pStyle w:val="Corpsdetexte"/>
        <w:spacing w:line="240" w:lineRule="auto"/>
        <w:rPr>
          <w:rFonts w:asciiTheme="minorHAnsi" w:hAnsiTheme="minorHAnsi" w:cstheme="minorHAnsi"/>
          <w:sz w:val="18"/>
          <w:szCs w:val="18"/>
        </w:rPr>
      </w:pPr>
    </w:p>
    <w:p w:rsidR="00AB45C8" w:rsidRDefault="00AB45C8" w:rsidP="00AB45C8">
      <w:pPr>
        <w:pStyle w:val="Corpsdetexte"/>
        <w:spacing w:line="240" w:lineRule="auto"/>
        <w:rPr>
          <w:rFonts w:asciiTheme="minorHAnsi" w:hAnsiTheme="minorHAnsi" w:cstheme="minorHAnsi"/>
          <w:sz w:val="18"/>
          <w:szCs w:val="18"/>
          <w:lang w:val="es-CO"/>
        </w:rPr>
      </w:pPr>
      <w:r w:rsidRPr="00AB45C8">
        <w:rPr>
          <w:rFonts w:asciiTheme="minorHAnsi" w:hAnsiTheme="minorHAnsi" w:cstheme="minorHAnsi"/>
          <w:sz w:val="18"/>
          <w:szCs w:val="18"/>
        </w:rPr>
        <w:t xml:space="preserve">Asunto: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862D66" w:rsidRPr="00AB45C8">
        <w:rPr>
          <w:rFonts w:asciiTheme="minorHAnsi" w:hAnsiTheme="minorHAnsi" w:cstheme="minorHAnsi"/>
          <w:sz w:val="18"/>
          <w:szCs w:val="18"/>
          <w:lang w:val="es-CO"/>
        </w:rPr>
        <w:t>Sentencia de tutela</w:t>
      </w:r>
      <w:r w:rsidRPr="00AB45C8">
        <w:rPr>
          <w:rFonts w:asciiTheme="minorHAnsi" w:hAnsiTheme="minorHAnsi" w:cstheme="minorHAnsi"/>
          <w:sz w:val="18"/>
          <w:szCs w:val="18"/>
          <w:lang w:val="es-CO"/>
        </w:rPr>
        <w:t xml:space="preserve"> – 1ª </w:t>
      </w:r>
      <w:r w:rsidR="00862D66" w:rsidRPr="00AB45C8">
        <w:rPr>
          <w:rFonts w:asciiTheme="minorHAnsi" w:hAnsiTheme="minorHAnsi" w:cstheme="minorHAnsi"/>
          <w:sz w:val="18"/>
          <w:szCs w:val="18"/>
          <w:lang w:val="es-CO"/>
        </w:rPr>
        <w:t xml:space="preserve"> instancia</w:t>
      </w:r>
      <w:r w:rsidRPr="00AB45C8">
        <w:rPr>
          <w:rFonts w:asciiTheme="minorHAnsi" w:hAnsiTheme="minorHAnsi" w:cstheme="minorHAnsi"/>
          <w:sz w:val="18"/>
          <w:szCs w:val="18"/>
          <w:lang w:val="es-CO"/>
        </w:rPr>
        <w:t xml:space="preserve"> – 28 de noviembre de 2016</w:t>
      </w:r>
    </w:p>
    <w:p w:rsidR="00AB45C8" w:rsidRPr="00AB45C8" w:rsidRDefault="00AB45C8" w:rsidP="00AB45C8">
      <w:pPr>
        <w:pStyle w:val="Corpsdetexte"/>
        <w:spacing w:line="240" w:lineRule="auto"/>
        <w:rPr>
          <w:rFonts w:asciiTheme="minorHAnsi" w:hAnsiTheme="minorHAnsi" w:cstheme="minorHAnsi"/>
          <w:sz w:val="18"/>
          <w:szCs w:val="18"/>
        </w:rPr>
      </w:pPr>
      <w:r>
        <w:rPr>
          <w:rFonts w:asciiTheme="minorHAnsi" w:hAnsiTheme="minorHAnsi" w:cstheme="minorHAnsi"/>
          <w:sz w:val="18"/>
          <w:szCs w:val="18"/>
        </w:rPr>
        <w:t>Radicaciones</w:t>
      </w:r>
      <w:r w:rsidRPr="00AB45C8">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AB45C8">
        <w:rPr>
          <w:rFonts w:asciiTheme="minorHAnsi" w:hAnsiTheme="minorHAnsi" w:cstheme="minorHAnsi"/>
          <w:sz w:val="18"/>
          <w:szCs w:val="18"/>
        </w:rPr>
        <w:t xml:space="preserve">2016-01000-00 / 2016-01004-00 / 2016-01006-00 / 2016-01015-00 </w:t>
      </w:r>
    </w:p>
    <w:p w:rsidR="00AB45C8" w:rsidRPr="00AB45C8" w:rsidRDefault="00AB45C8" w:rsidP="00AB45C8">
      <w:pPr>
        <w:pStyle w:val="Corpsdetexte"/>
        <w:spacing w:line="240" w:lineRule="auto"/>
        <w:rPr>
          <w:rFonts w:asciiTheme="minorHAnsi" w:hAnsiTheme="minorHAnsi" w:cstheme="minorHAnsi"/>
          <w:sz w:val="18"/>
          <w:szCs w:val="18"/>
        </w:rPr>
      </w:pPr>
      <w:r w:rsidRPr="00AB45C8">
        <w:rPr>
          <w:rFonts w:asciiTheme="minorHAnsi" w:hAnsiTheme="minorHAnsi" w:cstheme="minorHAnsi"/>
          <w:sz w:val="18"/>
          <w:szCs w:val="18"/>
        </w:rPr>
        <w:t xml:space="preserve">Accionante: </w:t>
      </w:r>
      <w:r>
        <w:rPr>
          <w:rFonts w:asciiTheme="minorHAnsi" w:hAnsiTheme="minorHAnsi" w:cstheme="minorHAnsi"/>
          <w:sz w:val="18"/>
          <w:szCs w:val="18"/>
        </w:rPr>
        <w:tab/>
      </w:r>
      <w:r>
        <w:rPr>
          <w:rFonts w:asciiTheme="minorHAnsi" w:hAnsiTheme="minorHAnsi" w:cstheme="minorHAnsi"/>
          <w:sz w:val="18"/>
          <w:szCs w:val="18"/>
        </w:rPr>
        <w:tab/>
      </w:r>
      <w:r w:rsidRPr="00AB45C8">
        <w:rPr>
          <w:rFonts w:asciiTheme="minorHAnsi" w:hAnsiTheme="minorHAnsi" w:cstheme="minorHAnsi"/>
          <w:sz w:val="18"/>
          <w:szCs w:val="18"/>
        </w:rPr>
        <w:t xml:space="preserve">JAVIER ELÍAS ARIAS </w:t>
      </w:r>
      <w:proofErr w:type="spellStart"/>
      <w:r w:rsidRPr="00AB45C8">
        <w:rPr>
          <w:rFonts w:asciiTheme="minorHAnsi" w:hAnsiTheme="minorHAnsi" w:cstheme="minorHAnsi"/>
          <w:sz w:val="18"/>
          <w:szCs w:val="18"/>
        </w:rPr>
        <w:t>IDÁRRAGA</w:t>
      </w:r>
      <w:proofErr w:type="spellEnd"/>
    </w:p>
    <w:p w:rsidR="00AB45C8" w:rsidRPr="00AB45C8" w:rsidRDefault="00AB45C8" w:rsidP="00AB45C8">
      <w:pPr>
        <w:pStyle w:val="Corpsdetexte"/>
        <w:spacing w:line="240" w:lineRule="auto"/>
        <w:rPr>
          <w:rFonts w:asciiTheme="minorHAnsi" w:hAnsiTheme="minorHAnsi" w:cstheme="minorHAnsi"/>
          <w:sz w:val="18"/>
          <w:szCs w:val="18"/>
        </w:rPr>
      </w:pPr>
      <w:r w:rsidRPr="00AB45C8">
        <w:rPr>
          <w:rFonts w:asciiTheme="minorHAnsi" w:hAnsiTheme="minorHAnsi" w:cstheme="minorHAnsi"/>
          <w:sz w:val="18"/>
          <w:szCs w:val="18"/>
        </w:rPr>
        <w:t>Accionado:</w:t>
      </w:r>
      <w:r>
        <w:rPr>
          <w:rFonts w:asciiTheme="minorHAnsi" w:hAnsiTheme="minorHAnsi" w:cstheme="minorHAnsi"/>
          <w:sz w:val="18"/>
          <w:szCs w:val="18"/>
        </w:rPr>
        <w:tab/>
      </w:r>
      <w:r>
        <w:rPr>
          <w:rFonts w:asciiTheme="minorHAnsi" w:hAnsiTheme="minorHAnsi" w:cstheme="minorHAnsi"/>
          <w:sz w:val="18"/>
          <w:szCs w:val="18"/>
        </w:rPr>
        <w:tab/>
      </w:r>
      <w:r w:rsidRPr="00AB45C8">
        <w:rPr>
          <w:rFonts w:asciiTheme="minorHAnsi" w:hAnsiTheme="minorHAnsi" w:cstheme="minorHAnsi"/>
          <w:sz w:val="18"/>
          <w:szCs w:val="18"/>
        </w:rPr>
        <w:t>JUZGADO TERCERO CIVIL DEL CIRCUITO DE PEREIRA Y OTRA</w:t>
      </w:r>
    </w:p>
    <w:p w:rsidR="00203E42" w:rsidRPr="00CC1068" w:rsidRDefault="00203E42" w:rsidP="00AB45C8">
      <w:pPr>
        <w:pStyle w:val="Corpsdetexte"/>
        <w:spacing w:line="240" w:lineRule="auto"/>
        <w:rPr>
          <w:rFonts w:asciiTheme="minorHAnsi" w:hAnsiTheme="minorHAnsi" w:cstheme="minorHAnsi"/>
          <w:sz w:val="18"/>
          <w:szCs w:val="18"/>
          <w:lang w:val="es-CO"/>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spellStart"/>
      <w:r w:rsidR="00CC1068">
        <w:rPr>
          <w:rFonts w:asciiTheme="minorHAnsi" w:hAnsiTheme="minorHAnsi" w:cstheme="minorHAnsi"/>
          <w:sz w:val="18"/>
          <w:szCs w:val="18"/>
        </w:rPr>
        <w:t>Acci</w:t>
      </w:r>
      <w:r w:rsidR="00CC1068" w:rsidRPr="00CC1068">
        <w:rPr>
          <w:rFonts w:asciiTheme="minorHAnsi" w:hAnsiTheme="minorHAnsi" w:cstheme="minorHAnsi"/>
          <w:sz w:val="18"/>
          <w:szCs w:val="18"/>
          <w:lang w:val="es-CO"/>
        </w:rPr>
        <w:t>ón</w:t>
      </w:r>
      <w:proofErr w:type="spellEnd"/>
      <w:r w:rsidR="00CC1068" w:rsidRPr="00CC1068">
        <w:rPr>
          <w:rFonts w:asciiTheme="minorHAnsi" w:hAnsiTheme="minorHAnsi" w:cstheme="minorHAnsi"/>
          <w:sz w:val="18"/>
          <w:szCs w:val="18"/>
          <w:lang w:val="es-CO"/>
        </w:rPr>
        <w:t xml:space="preserve"> de tutela – Declara hecho superado</w:t>
      </w:r>
    </w:p>
    <w:p w:rsidR="00AB45C8" w:rsidRDefault="00AB45C8" w:rsidP="00AB45C8">
      <w:pPr>
        <w:pStyle w:val="Corpsdetexte"/>
        <w:spacing w:line="240" w:lineRule="auto"/>
        <w:rPr>
          <w:rFonts w:asciiTheme="minorHAnsi" w:hAnsiTheme="minorHAnsi" w:cstheme="minorHAnsi"/>
          <w:smallCaps/>
          <w:sz w:val="18"/>
          <w:szCs w:val="18"/>
        </w:rPr>
      </w:pPr>
      <w:r w:rsidRPr="00AB45C8">
        <w:rPr>
          <w:rFonts w:asciiTheme="minorHAnsi" w:hAnsiTheme="minorHAnsi" w:cstheme="minorHAnsi"/>
          <w:sz w:val="18"/>
          <w:szCs w:val="18"/>
        </w:rPr>
        <w:t xml:space="preserve">Magistrado Ponente: </w:t>
      </w:r>
      <w:r>
        <w:rPr>
          <w:rFonts w:asciiTheme="minorHAnsi" w:hAnsiTheme="minorHAnsi" w:cstheme="minorHAnsi"/>
          <w:sz w:val="18"/>
          <w:szCs w:val="18"/>
        </w:rPr>
        <w:tab/>
      </w:r>
      <w:proofErr w:type="spellStart"/>
      <w:r w:rsidRPr="00AB45C8">
        <w:rPr>
          <w:rFonts w:asciiTheme="minorHAnsi" w:hAnsiTheme="minorHAnsi" w:cstheme="minorHAnsi"/>
          <w:smallCaps/>
          <w:sz w:val="18"/>
          <w:szCs w:val="18"/>
        </w:rPr>
        <w:t>DUBERNEY</w:t>
      </w:r>
      <w:proofErr w:type="spellEnd"/>
      <w:r w:rsidRPr="00AB45C8">
        <w:rPr>
          <w:rFonts w:asciiTheme="minorHAnsi" w:hAnsiTheme="minorHAnsi" w:cstheme="minorHAnsi"/>
          <w:smallCaps/>
          <w:sz w:val="18"/>
          <w:szCs w:val="18"/>
        </w:rPr>
        <w:t xml:space="preserve"> GRISALES HERRERA</w:t>
      </w:r>
    </w:p>
    <w:p w:rsidR="00CC1068" w:rsidRDefault="00CC1068" w:rsidP="00AB45C8">
      <w:pPr>
        <w:pStyle w:val="Corpsdetexte"/>
        <w:spacing w:line="240" w:lineRule="auto"/>
        <w:rPr>
          <w:rFonts w:asciiTheme="minorHAnsi" w:hAnsiTheme="minorHAnsi" w:cstheme="minorHAnsi"/>
          <w:smallCaps/>
          <w:sz w:val="18"/>
          <w:szCs w:val="18"/>
        </w:rPr>
      </w:pPr>
    </w:p>
    <w:p w:rsidR="009207C9" w:rsidRPr="009207C9" w:rsidRDefault="009207C9" w:rsidP="009207C9">
      <w:pPr>
        <w:pStyle w:val="Notedebasdepage"/>
        <w:jc w:val="both"/>
        <w:rPr>
          <w:rFonts w:asciiTheme="minorHAnsi" w:hAnsiTheme="minorHAnsi" w:cstheme="minorHAnsi"/>
          <w:bCs/>
          <w:sz w:val="18"/>
          <w:szCs w:val="18"/>
        </w:rPr>
      </w:pPr>
      <w:r w:rsidRPr="009207C9">
        <w:rPr>
          <w:rFonts w:asciiTheme="minorHAnsi" w:hAnsiTheme="minorHAnsi" w:cstheme="minorHAnsi"/>
          <w:b/>
          <w:sz w:val="18"/>
          <w:szCs w:val="18"/>
          <w:lang w:val="es-CO"/>
        </w:rPr>
        <w:t xml:space="preserve">Temas:  </w:t>
      </w:r>
      <w:r>
        <w:rPr>
          <w:rFonts w:asciiTheme="minorHAnsi" w:hAnsiTheme="minorHAnsi" w:cstheme="minorHAnsi"/>
          <w:b/>
          <w:sz w:val="18"/>
          <w:szCs w:val="18"/>
          <w:lang w:val="es-CO"/>
        </w:rPr>
        <w:tab/>
      </w:r>
      <w:r>
        <w:rPr>
          <w:rFonts w:asciiTheme="minorHAnsi" w:hAnsiTheme="minorHAnsi" w:cstheme="minorHAnsi"/>
          <w:b/>
          <w:sz w:val="18"/>
          <w:szCs w:val="18"/>
          <w:lang w:val="es-CO"/>
        </w:rPr>
        <w:tab/>
      </w:r>
      <w:r>
        <w:rPr>
          <w:rFonts w:asciiTheme="minorHAnsi" w:hAnsiTheme="minorHAnsi" w:cstheme="minorHAnsi"/>
          <w:b/>
          <w:sz w:val="18"/>
          <w:szCs w:val="18"/>
          <w:lang w:val="es-CO"/>
        </w:rPr>
        <w:tab/>
      </w:r>
      <w:r w:rsidRPr="009207C9">
        <w:rPr>
          <w:rFonts w:asciiTheme="minorHAnsi" w:hAnsiTheme="minorHAnsi" w:cstheme="minorHAnsi"/>
          <w:b/>
          <w:sz w:val="18"/>
          <w:szCs w:val="18"/>
          <w:lang w:val="es-CO"/>
        </w:rPr>
        <w:t xml:space="preserve">DEBIDO PROCESO / HECHO SUPERADO / ACCIONES POPULARES RECHAZADAS A LA FECHA DE DICTAR SENTENCIA DE TUTELA. </w:t>
      </w:r>
      <w:r w:rsidRPr="009207C9">
        <w:rPr>
          <w:rFonts w:asciiTheme="minorHAnsi" w:hAnsiTheme="minorHAnsi" w:cstheme="minorHAnsi"/>
          <w:bCs/>
          <w:sz w:val="18"/>
          <w:szCs w:val="18"/>
          <w:lang w:val="es-CO"/>
        </w:rPr>
        <w:t>“</w:t>
      </w:r>
      <w:r w:rsidRPr="009207C9">
        <w:rPr>
          <w:rFonts w:asciiTheme="minorHAnsi" w:eastAsiaTheme="minorHAnsi" w:hAnsiTheme="minorHAnsi" w:cstheme="minorHAnsi"/>
          <w:bCs/>
          <w:sz w:val="18"/>
          <w:szCs w:val="18"/>
          <w:lang w:val="es-ES_tradnl" w:eastAsia="en-US"/>
        </w:rPr>
        <w:t xml:space="preserve">Pretendía el accionante que se resolviera sobre la admisión de las acciones populares atrás referenciadas, y según se desprende de las copias arrimadas por la </w:t>
      </w:r>
      <w:r w:rsidRPr="009207C9">
        <w:rPr>
          <w:rFonts w:asciiTheme="minorHAnsi" w:eastAsiaTheme="minorHAnsi" w:hAnsiTheme="minorHAnsi" w:cstheme="minorHAnsi"/>
          <w:bCs/>
          <w:i/>
          <w:sz w:val="18"/>
          <w:szCs w:val="18"/>
          <w:lang w:val="es-ES_tradnl" w:eastAsia="en-US"/>
        </w:rPr>
        <w:t>a quo,</w:t>
      </w:r>
      <w:r w:rsidRPr="009207C9">
        <w:rPr>
          <w:rFonts w:asciiTheme="minorHAnsi" w:eastAsiaTheme="minorHAnsi" w:hAnsiTheme="minorHAnsi" w:cstheme="minorHAnsi"/>
          <w:bCs/>
          <w:sz w:val="18"/>
          <w:szCs w:val="18"/>
          <w:lang w:val="es-ES_tradnl" w:eastAsia="en-US"/>
        </w:rPr>
        <w:t xml:space="preserve"> fueron rechazadas con sendos proveídos dictados el día 31-10-2016 (Folios 22, 25, 28 y 31, ib.), posteriormente a la presentación de los amparos (28-10-2016). </w:t>
      </w:r>
      <w:r w:rsidRPr="009207C9">
        <w:rPr>
          <w:rFonts w:asciiTheme="minorHAnsi" w:hAnsiTheme="minorHAnsi" w:cstheme="minorHAnsi"/>
          <w:bCs/>
          <w:sz w:val="18"/>
          <w:szCs w:val="18"/>
          <w:lang w:val="es-ES_tradnl"/>
        </w:rPr>
        <w:t xml:space="preserve">Advierte la Sala que, si bien no lo hizo dentro de los plazos ley (Artículo 20 de la Ley 472), pues, las acciones fueron repartidas el día 21-10-2016 (Folios 21,  24 vto., 27 vto. y 30 vto., ib.) y el término para decidir venció el día 26-10-2016, se observa que cesó la vulneración o amenazada al debido proceso. </w:t>
      </w:r>
      <w:r w:rsidRPr="009207C9">
        <w:rPr>
          <w:rFonts w:asciiTheme="minorHAnsi" w:hAnsiTheme="minorHAnsi" w:cstheme="minorHAnsi"/>
          <w:bCs/>
          <w:sz w:val="18"/>
          <w:szCs w:val="18"/>
          <w:lang w:val="es-CO"/>
        </w:rPr>
        <w:t xml:space="preserve">Por lo tanto, </w:t>
      </w:r>
      <w:r w:rsidRPr="009207C9">
        <w:rPr>
          <w:rFonts w:asciiTheme="minorHAnsi" w:hAnsiTheme="minorHAnsi" w:cstheme="minorHAnsi"/>
          <w:bCs/>
          <w:sz w:val="18"/>
          <w:szCs w:val="18"/>
        </w:rPr>
        <w:t>no hay objeto jurídico sobre el cual fallar y la decisión que se adopte resultará inocua. De esta manera, se configura el hecho superado, pues las pretensiones del actor se encuentran satisfechas y sus derechos a salvo.”.</w:t>
      </w:r>
    </w:p>
    <w:p w:rsidR="009207C9" w:rsidRPr="009207C9" w:rsidRDefault="00CC1068" w:rsidP="009207C9">
      <w:pPr>
        <w:pStyle w:val="Notedebasdepage"/>
        <w:jc w:val="both"/>
        <w:rPr>
          <w:rFonts w:asciiTheme="minorHAnsi" w:hAnsiTheme="minorHAnsi" w:cstheme="minorHAnsi"/>
          <w:sz w:val="18"/>
          <w:szCs w:val="18"/>
        </w:rPr>
      </w:pPr>
      <w:r w:rsidRPr="009207C9">
        <w:rPr>
          <w:rFonts w:asciiTheme="minorHAnsi" w:hAnsiTheme="minorHAnsi" w:cstheme="minorHAnsi"/>
          <w:sz w:val="18"/>
          <w:szCs w:val="18"/>
        </w:rPr>
        <w:tab/>
      </w:r>
      <w:r w:rsidRPr="009207C9">
        <w:rPr>
          <w:rFonts w:asciiTheme="minorHAnsi" w:hAnsiTheme="minorHAnsi" w:cstheme="minorHAnsi"/>
          <w:sz w:val="18"/>
          <w:szCs w:val="18"/>
        </w:rPr>
        <w:tab/>
      </w:r>
      <w:r w:rsidRPr="009207C9">
        <w:rPr>
          <w:rFonts w:asciiTheme="minorHAnsi" w:hAnsiTheme="minorHAnsi" w:cstheme="minorHAnsi"/>
          <w:sz w:val="18"/>
          <w:szCs w:val="18"/>
        </w:rPr>
        <w:tab/>
      </w:r>
    </w:p>
    <w:p w:rsidR="009207C9" w:rsidRPr="007077EC" w:rsidRDefault="009207C9" w:rsidP="009207C9">
      <w:pPr>
        <w:pStyle w:val="Notedebasdepage"/>
        <w:jc w:val="both"/>
        <w:rPr>
          <w:rFonts w:asciiTheme="minorHAnsi" w:hAnsiTheme="minorHAnsi" w:cstheme="minorHAnsi"/>
          <w:sz w:val="18"/>
          <w:szCs w:val="18"/>
        </w:rPr>
      </w:pPr>
      <w:r w:rsidRPr="009207C9">
        <w:rPr>
          <w:rFonts w:asciiTheme="minorHAnsi" w:hAnsiTheme="minorHAnsi" w:cstheme="minorHAnsi"/>
          <w:b/>
          <w:bCs/>
          <w:sz w:val="18"/>
          <w:szCs w:val="18"/>
        </w:rPr>
        <w:t xml:space="preserve">Citación jurisprudencial: </w:t>
      </w:r>
      <w:r w:rsidRPr="009207C9">
        <w:rPr>
          <w:rFonts w:asciiTheme="minorHAnsi" w:hAnsiTheme="minorHAnsi" w:cstheme="minorHAnsi"/>
          <w:bCs/>
          <w:sz w:val="18"/>
          <w:szCs w:val="18"/>
        </w:rPr>
        <w:t xml:space="preserve">CORTE CONSTITUCIONAL, </w:t>
      </w:r>
      <w:r w:rsidRPr="009207C9">
        <w:rPr>
          <w:rFonts w:asciiTheme="minorHAnsi" w:hAnsiTheme="minorHAnsi" w:cstheme="minorHAnsi"/>
          <w:bCs/>
          <w:sz w:val="18"/>
          <w:szCs w:val="18"/>
          <w:lang w:val="es-CO"/>
        </w:rPr>
        <w:t xml:space="preserve">Sentencia T-970 de 2014 / Sentencia T-011 de 2016 / Sentencia SU-540 de </w:t>
      </w:r>
      <w:r w:rsidRPr="007077EC">
        <w:rPr>
          <w:rFonts w:asciiTheme="minorHAnsi" w:hAnsiTheme="minorHAnsi" w:cstheme="minorHAnsi"/>
          <w:bCs/>
          <w:sz w:val="18"/>
          <w:szCs w:val="18"/>
          <w:lang w:val="es-CO"/>
        </w:rPr>
        <w:t xml:space="preserve">2007 / Sentencia T-062 de 2016 / Sentencia T-414 de 2005 / Sentencia T-1038 de 2005 / Sentencia T-539 de 2003 / Sentencia T-011 de 2016 / Sentencia T-045 de 2008 / Sentencia T-059 de 2016 / </w:t>
      </w:r>
      <w:r w:rsidRPr="007077EC">
        <w:rPr>
          <w:rFonts w:asciiTheme="minorHAnsi" w:hAnsiTheme="minorHAnsi" w:cstheme="minorHAnsi"/>
          <w:color w:val="000000" w:themeColor="text1"/>
          <w:sz w:val="18"/>
          <w:szCs w:val="18"/>
          <w:bdr w:val="none" w:sz="0" w:space="0" w:color="auto" w:frame="1"/>
          <w:lang w:val="es-CO"/>
        </w:rPr>
        <w:t xml:space="preserve">Sentencia T-041 de 2016 / </w:t>
      </w:r>
      <w:r w:rsidRPr="007077EC">
        <w:rPr>
          <w:rFonts w:asciiTheme="minorHAnsi" w:hAnsiTheme="minorHAnsi" w:cstheme="minorHAnsi"/>
          <w:color w:val="000000" w:themeColor="text1"/>
          <w:sz w:val="18"/>
          <w:szCs w:val="18"/>
          <w:lang w:val="es-CO"/>
        </w:rPr>
        <w:t xml:space="preserve">Sentencia T-728 de 2014 / </w:t>
      </w:r>
      <w:r w:rsidRPr="007077EC">
        <w:rPr>
          <w:rFonts w:asciiTheme="minorHAnsi" w:hAnsiTheme="minorHAnsi" w:cstheme="minorHAnsi"/>
          <w:color w:val="000000" w:themeColor="text1"/>
          <w:sz w:val="18"/>
          <w:szCs w:val="18"/>
          <w:lang w:val="es-AR"/>
        </w:rPr>
        <w:t xml:space="preserve">Sentencia </w:t>
      </w:r>
      <w:r w:rsidRPr="007077EC">
        <w:rPr>
          <w:rFonts w:asciiTheme="minorHAnsi" w:hAnsiTheme="minorHAnsi" w:cstheme="minorHAnsi"/>
          <w:color w:val="000000" w:themeColor="text1"/>
          <w:sz w:val="18"/>
          <w:szCs w:val="18"/>
          <w:lang w:val="es-CO"/>
        </w:rPr>
        <w:t>T-142 de 2016</w:t>
      </w:r>
      <w:r w:rsidRPr="007077EC">
        <w:rPr>
          <w:rFonts w:asciiTheme="minorHAnsi" w:hAnsiTheme="minorHAnsi" w:cstheme="minorHAnsi"/>
          <w:bCs/>
          <w:sz w:val="18"/>
          <w:szCs w:val="18"/>
          <w:lang w:val="es-CO"/>
        </w:rPr>
        <w:t xml:space="preserve"> / Sentencia</w:t>
      </w:r>
      <w:r w:rsidRPr="007077EC">
        <w:rPr>
          <w:rFonts w:asciiTheme="minorHAnsi" w:hAnsiTheme="minorHAnsi" w:cstheme="minorHAnsi"/>
          <w:sz w:val="18"/>
          <w:szCs w:val="18"/>
        </w:rPr>
        <w:t xml:space="preserve"> </w:t>
      </w:r>
      <w:hyperlink r:id="rId9" w:tooltip="Haga clic para abrir la Sentencia SU-540 de 2007" w:history="1">
        <w:r w:rsidRPr="007077EC">
          <w:rPr>
            <w:rStyle w:val="Lienhypertexte"/>
            <w:rFonts w:asciiTheme="minorHAnsi" w:hAnsiTheme="minorHAnsi" w:cstheme="minorHAnsi"/>
            <w:color w:val="000000" w:themeColor="text1"/>
            <w:sz w:val="18"/>
            <w:szCs w:val="18"/>
            <w:u w:val="none"/>
            <w:lang w:val="es-CO"/>
          </w:rPr>
          <w:t>SU-540 de 2007</w:t>
        </w:r>
      </w:hyperlink>
      <w:r w:rsidRPr="007077EC">
        <w:rPr>
          <w:rStyle w:val="Lienhypertexte"/>
          <w:rFonts w:asciiTheme="minorHAnsi" w:hAnsiTheme="minorHAnsi" w:cstheme="minorHAnsi"/>
          <w:color w:val="000000" w:themeColor="text1"/>
          <w:sz w:val="18"/>
          <w:szCs w:val="18"/>
          <w:u w:val="none"/>
        </w:rPr>
        <w:t xml:space="preserve"> </w:t>
      </w:r>
      <w:r w:rsidRPr="007077EC">
        <w:rPr>
          <w:rFonts w:asciiTheme="minorHAnsi" w:hAnsiTheme="minorHAnsi" w:cstheme="minorHAnsi"/>
          <w:color w:val="000000" w:themeColor="text1"/>
          <w:sz w:val="18"/>
          <w:szCs w:val="18"/>
          <w:lang w:val="es-CO"/>
        </w:rPr>
        <w:t>/</w:t>
      </w:r>
      <w:r w:rsidRPr="007077EC">
        <w:rPr>
          <w:rFonts w:asciiTheme="minorHAnsi" w:hAnsiTheme="minorHAnsi" w:cstheme="minorHAnsi"/>
          <w:bCs/>
          <w:sz w:val="18"/>
          <w:szCs w:val="18"/>
          <w:lang w:val="es-CO"/>
        </w:rPr>
        <w:t xml:space="preserve"> Sentencia</w:t>
      </w:r>
      <w:r w:rsidRPr="007077EC">
        <w:rPr>
          <w:rFonts w:asciiTheme="minorHAnsi" w:hAnsiTheme="minorHAnsi" w:cstheme="minorHAnsi"/>
          <w:color w:val="000000" w:themeColor="text1"/>
          <w:sz w:val="18"/>
          <w:szCs w:val="18"/>
          <w:lang w:val="es-CO"/>
        </w:rPr>
        <w:t> </w:t>
      </w:r>
      <w:hyperlink r:id="rId10" w:tooltip="Haga clic para abrir la Sentencia T-200 de 2013" w:history="1">
        <w:r w:rsidRPr="007077EC">
          <w:rPr>
            <w:rStyle w:val="Lienhypertexte"/>
            <w:rFonts w:asciiTheme="minorHAnsi" w:hAnsiTheme="minorHAnsi" w:cstheme="minorHAnsi"/>
            <w:color w:val="000000" w:themeColor="text1"/>
            <w:sz w:val="18"/>
            <w:szCs w:val="18"/>
            <w:u w:val="none"/>
            <w:lang w:val="es-CO"/>
          </w:rPr>
          <w:t>T-200 de 2013</w:t>
        </w:r>
      </w:hyperlink>
      <w:r w:rsidRPr="007077EC">
        <w:rPr>
          <w:rFonts w:asciiTheme="minorHAnsi" w:hAnsiTheme="minorHAnsi" w:cstheme="minorHAnsi"/>
          <w:color w:val="000000" w:themeColor="text1"/>
          <w:sz w:val="18"/>
          <w:szCs w:val="18"/>
          <w:lang w:val="es-CO"/>
        </w:rPr>
        <w:t xml:space="preserve"> / </w:t>
      </w:r>
      <w:r w:rsidRPr="007077EC">
        <w:rPr>
          <w:rFonts w:asciiTheme="minorHAnsi" w:hAnsiTheme="minorHAnsi" w:cstheme="minorHAnsi"/>
          <w:bCs/>
          <w:sz w:val="18"/>
          <w:szCs w:val="18"/>
          <w:lang w:val="es-CO"/>
        </w:rPr>
        <w:t>Sentencia</w:t>
      </w:r>
      <w:r w:rsidRPr="007077EC">
        <w:rPr>
          <w:rFonts w:asciiTheme="minorHAnsi" w:hAnsiTheme="minorHAnsi" w:cstheme="minorHAnsi"/>
          <w:sz w:val="18"/>
          <w:szCs w:val="18"/>
        </w:rPr>
        <w:t xml:space="preserve"> </w:t>
      </w:r>
      <w:hyperlink r:id="rId11" w:tooltip="Haga clic para abrir la Sentencia T-358 de 2014" w:history="1">
        <w:r w:rsidRPr="007077EC">
          <w:rPr>
            <w:rStyle w:val="Lienhypertexte"/>
            <w:rFonts w:asciiTheme="minorHAnsi" w:hAnsiTheme="minorHAnsi" w:cstheme="minorHAnsi"/>
            <w:color w:val="000000" w:themeColor="text1"/>
            <w:sz w:val="18"/>
            <w:szCs w:val="18"/>
            <w:u w:val="none"/>
            <w:lang w:val="es-CO"/>
          </w:rPr>
          <w:t>T-358 de 2014</w:t>
        </w:r>
      </w:hyperlink>
      <w:r w:rsidRPr="007077EC">
        <w:rPr>
          <w:rStyle w:val="Lienhypertexte"/>
          <w:rFonts w:asciiTheme="minorHAnsi" w:hAnsiTheme="minorHAnsi" w:cstheme="minorHAnsi"/>
          <w:color w:val="000000" w:themeColor="text1"/>
          <w:sz w:val="18"/>
          <w:szCs w:val="18"/>
          <w:u w:val="none"/>
        </w:rPr>
        <w:t xml:space="preserve"> </w:t>
      </w:r>
      <w:r w:rsidRPr="007077EC">
        <w:rPr>
          <w:rFonts w:asciiTheme="minorHAnsi" w:hAnsiTheme="minorHAnsi" w:cstheme="minorHAnsi"/>
          <w:color w:val="000000" w:themeColor="text1"/>
          <w:sz w:val="18"/>
          <w:szCs w:val="18"/>
          <w:lang w:val="es-CO"/>
        </w:rPr>
        <w:t xml:space="preserve">/ </w:t>
      </w:r>
      <w:r w:rsidRPr="007077EC">
        <w:rPr>
          <w:rFonts w:asciiTheme="minorHAnsi" w:hAnsiTheme="minorHAnsi" w:cstheme="minorHAnsi"/>
          <w:color w:val="000000" w:themeColor="text1"/>
          <w:sz w:val="18"/>
          <w:szCs w:val="18"/>
          <w:lang w:val="es-AR"/>
        </w:rPr>
        <w:t xml:space="preserve">Sentencia </w:t>
      </w:r>
      <w:hyperlink r:id="rId12" w:tooltip="Haga clic para abrir la Sentencia T-309 de 2006" w:history="1">
        <w:r w:rsidRPr="007077EC">
          <w:rPr>
            <w:rStyle w:val="Lienhypertexte"/>
            <w:rFonts w:asciiTheme="minorHAnsi" w:hAnsiTheme="minorHAnsi" w:cstheme="minorHAnsi"/>
            <w:color w:val="000000" w:themeColor="text1"/>
            <w:sz w:val="18"/>
            <w:szCs w:val="18"/>
            <w:u w:val="none"/>
            <w:lang w:val="es-CO"/>
          </w:rPr>
          <w:t>T-309 de 2006</w:t>
        </w:r>
      </w:hyperlink>
      <w:r w:rsidRPr="007077EC">
        <w:rPr>
          <w:rFonts w:asciiTheme="minorHAnsi" w:hAnsiTheme="minorHAnsi" w:cstheme="minorHAnsi"/>
          <w:color w:val="000000" w:themeColor="text1"/>
          <w:sz w:val="18"/>
          <w:szCs w:val="18"/>
          <w:lang w:val="es-CO"/>
        </w:rPr>
        <w:t xml:space="preserve"> / T-142 de 2016 / </w:t>
      </w:r>
      <w:r w:rsidRPr="007077EC">
        <w:rPr>
          <w:rFonts w:asciiTheme="minorHAnsi" w:hAnsiTheme="minorHAnsi" w:cstheme="minorHAnsi"/>
          <w:color w:val="000000" w:themeColor="text1"/>
          <w:sz w:val="18"/>
          <w:szCs w:val="18"/>
        </w:rPr>
        <w:t>T-728 de 2014 /</w:t>
      </w:r>
      <w:r w:rsidRPr="007077EC">
        <w:rPr>
          <w:rFonts w:asciiTheme="minorHAnsi" w:hAnsiTheme="minorHAnsi" w:cstheme="minorHAnsi"/>
          <w:sz w:val="18"/>
          <w:szCs w:val="18"/>
        </w:rPr>
        <w:t xml:space="preserve"> Sentencia T-193 de 2008 / Sentencia T-185 de 2013 / </w:t>
      </w:r>
      <w:r w:rsidRPr="007077EC">
        <w:rPr>
          <w:rFonts w:asciiTheme="minorHAnsi" w:hAnsiTheme="minorHAnsi" w:cstheme="minorHAnsi"/>
          <w:sz w:val="18"/>
          <w:szCs w:val="18"/>
          <w:lang w:val="es-CO"/>
        </w:rPr>
        <w:t xml:space="preserve">Sentencia </w:t>
      </w:r>
      <w:r w:rsidRPr="007077EC">
        <w:rPr>
          <w:rFonts w:asciiTheme="minorHAnsi" w:hAnsiTheme="minorHAnsi" w:cstheme="minorHAnsi"/>
          <w:bCs/>
          <w:sz w:val="18"/>
          <w:szCs w:val="18"/>
          <w:lang w:val="es-CO"/>
        </w:rPr>
        <w:t xml:space="preserve">SU-240 de 2015 </w:t>
      </w:r>
      <w:r w:rsidRPr="007077EC">
        <w:rPr>
          <w:rFonts w:asciiTheme="minorHAnsi" w:hAnsiTheme="minorHAnsi" w:cstheme="minorHAnsi"/>
          <w:sz w:val="18"/>
          <w:szCs w:val="18"/>
          <w:lang w:val="es-CO"/>
        </w:rPr>
        <w:t xml:space="preserve">/ </w:t>
      </w:r>
      <w:r w:rsidRPr="007077EC">
        <w:rPr>
          <w:rFonts w:asciiTheme="minorHAnsi" w:hAnsiTheme="minorHAnsi" w:cstheme="minorHAnsi"/>
          <w:sz w:val="18"/>
          <w:szCs w:val="18"/>
        </w:rPr>
        <w:t xml:space="preserve">Sentencia </w:t>
      </w:r>
      <w:r w:rsidRPr="007077EC">
        <w:rPr>
          <w:rFonts w:asciiTheme="minorHAnsi" w:hAnsiTheme="minorHAnsi" w:cstheme="minorHAnsi"/>
          <w:bCs/>
          <w:sz w:val="18"/>
          <w:szCs w:val="18"/>
        </w:rPr>
        <w:t xml:space="preserve">T-001 de 2016 / </w:t>
      </w:r>
      <w:r w:rsidRPr="007077EC">
        <w:rPr>
          <w:rFonts w:asciiTheme="minorHAnsi" w:hAnsiTheme="minorHAnsi" w:cstheme="minorHAnsi"/>
          <w:sz w:val="18"/>
          <w:szCs w:val="18"/>
        </w:rPr>
        <w:t xml:space="preserve">Sentencia T-057 de 2016 / </w:t>
      </w:r>
      <w:r w:rsidRPr="007077EC">
        <w:rPr>
          <w:rFonts w:asciiTheme="minorHAnsi" w:hAnsiTheme="minorHAnsi" w:cstheme="minorHAnsi"/>
          <w:sz w:val="18"/>
          <w:szCs w:val="18"/>
          <w:lang w:val="es-CO"/>
        </w:rPr>
        <w:t xml:space="preserve">Sentencia T-095 de 2015 / Sentencia T-560 de 2009 / </w:t>
      </w:r>
      <w:r w:rsidRPr="007077EC">
        <w:rPr>
          <w:rFonts w:asciiTheme="minorHAnsi" w:hAnsiTheme="minorHAnsi" w:cstheme="minorHAnsi"/>
          <w:bCs/>
          <w:sz w:val="18"/>
          <w:szCs w:val="18"/>
          <w:lang w:val="es-CO"/>
        </w:rPr>
        <w:t>Sentencia</w:t>
      </w:r>
      <w:r w:rsidRPr="007077EC">
        <w:rPr>
          <w:rFonts w:asciiTheme="minorHAnsi" w:hAnsiTheme="minorHAnsi" w:cstheme="minorHAnsi"/>
          <w:sz w:val="18"/>
          <w:szCs w:val="18"/>
          <w:lang w:val="es-CO"/>
        </w:rPr>
        <w:t xml:space="preserve"> T-185 de 2013 / T-001 de 2016 / </w:t>
      </w:r>
      <w:r w:rsidRPr="007077EC">
        <w:rPr>
          <w:rFonts w:asciiTheme="minorHAnsi" w:hAnsiTheme="minorHAnsi" w:cstheme="minorHAnsi"/>
          <w:sz w:val="18"/>
          <w:szCs w:val="18"/>
        </w:rPr>
        <w:t xml:space="preserve">Sentencia T-184 de 2005 / Sentencia T-001 de 2016 </w:t>
      </w:r>
      <w:r w:rsidRPr="007077EC">
        <w:rPr>
          <w:rFonts w:asciiTheme="minorHAnsi" w:hAnsiTheme="minorHAnsi" w:cstheme="minorHAnsi"/>
          <w:bCs/>
          <w:color w:val="000000"/>
          <w:sz w:val="18"/>
          <w:szCs w:val="18"/>
        </w:rPr>
        <w:t>/</w:t>
      </w:r>
      <w:r w:rsidRPr="007077EC">
        <w:rPr>
          <w:rFonts w:asciiTheme="minorHAnsi" w:hAnsiTheme="minorHAnsi" w:cstheme="minorHAnsi"/>
          <w:sz w:val="18"/>
          <w:szCs w:val="18"/>
        </w:rPr>
        <w:t>Sentencia T-443 de 1995 / Sentencia T-149 de 1995/ Sentencia T-308 de 1995 / Sentencia T-443 de 1995 / Sentencia T-001 de 1997 / Sentencia T-184 de 2005.</w:t>
      </w:r>
    </w:p>
    <w:p w:rsidR="009207C9" w:rsidRDefault="009207C9" w:rsidP="009207C9">
      <w:pPr>
        <w:pStyle w:val="Notedebasdepage"/>
        <w:jc w:val="both"/>
        <w:rPr>
          <w:rFonts w:asciiTheme="minorHAnsi" w:hAnsiTheme="minorHAnsi" w:cstheme="minorHAnsi"/>
          <w:sz w:val="18"/>
          <w:szCs w:val="18"/>
          <w:lang w:val="es-CO"/>
        </w:rPr>
      </w:pPr>
    </w:p>
    <w:p w:rsidR="009207C9" w:rsidRPr="007077EC" w:rsidRDefault="009207C9" w:rsidP="009207C9">
      <w:pPr>
        <w:pStyle w:val="Notedebasdepage"/>
        <w:jc w:val="both"/>
        <w:rPr>
          <w:rFonts w:asciiTheme="minorHAnsi" w:hAnsiTheme="minorHAnsi" w:cstheme="minorHAnsi"/>
          <w:sz w:val="18"/>
          <w:szCs w:val="18"/>
          <w:lang w:val="es-CO"/>
        </w:rPr>
      </w:pPr>
      <w:r w:rsidRPr="007077EC">
        <w:rPr>
          <w:rFonts w:asciiTheme="minorHAnsi" w:hAnsiTheme="minorHAnsi" w:cstheme="minorHAnsi"/>
          <w:sz w:val="18"/>
          <w:szCs w:val="18"/>
          <w:lang w:val="es-CO"/>
        </w:rPr>
        <w:t xml:space="preserve">CORTE SUPREMA DE JUSTICIA, </w:t>
      </w:r>
      <w:proofErr w:type="spellStart"/>
      <w:r w:rsidRPr="007077EC">
        <w:rPr>
          <w:rFonts w:asciiTheme="minorHAnsi" w:hAnsiTheme="minorHAnsi" w:cstheme="minorHAnsi"/>
          <w:sz w:val="18"/>
          <w:szCs w:val="18"/>
          <w:lang w:val="es-CO"/>
        </w:rPr>
        <w:t>SCC</w:t>
      </w:r>
      <w:proofErr w:type="spellEnd"/>
      <w:r w:rsidRPr="007077EC">
        <w:rPr>
          <w:rFonts w:asciiTheme="minorHAnsi" w:hAnsiTheme="minorHAnsi" w:cstheme="minorHAnsi"/>
          <w:sz w:val="18"/>
          <w:szCs w:val="18"/>
          <w:lang w:val="es-CO"/>
        </w:rPr>
        <w:t xml:space="preserve">, Sentencia </w:t>
      </w:r>
      <w:proofErr w:type="spellStart"/>
      <w:r w:rsidRPr="007077EC">
        <w:rPr>
          <w:rFonts w:asciiTheme="minorHAnsi" w:hAnsiTheme="minorHAnsi" w:cstheme="minorHAnsi"/>
          <w:sz w:val="18"/>
          <w:szCs w:val="18"/>
          <w:lang w:val="es-CO"/>
        </w:rPr>
        <w:t>STC7600</w:t>
      </w:r>
      <w:proofErr w:type="spellEnd"/>
      <w:r w:rsidRPr="007077EC">
        <w:rPr>
          <w:rFonts w:asciiTheme="minorHAnsi" w:hAnsiTheme="minorHAnsi" w:cstheme="minorHAnsi"/>
          <w:sz w:val="18"/>
          <w:szCs w:val="18"/>
          <w:lang w:val="es-CO"/>
        </w:rPr>
        <w:t>-2016.</w:t>
      </w:r>
    </w:p>
    <w:p w:rsidR="009207C9" w:rsidRDefault="009207C9" w:rsidP="009207C9">
      <w:pPr>
        <w:pStyle w:val="Notedebasdepage"/>
        <w:jc w:val="both"/>
        <w:rPr>
          <w:rFonts w:asciiTheme="minorHAnsi" w:hAnsiTheme="minorHAnsi" w:cstheme="minorHAnsi"/>
          <w:sz w:val="18"/>
          <w:szCs w:val="18"/>
          <w:lang w:val="es-CO"/>
        </w:rPr>
      </w:pPr>
    </w:p>
    <w:p w:rsidR="009207C9" w:rsidRDefault="009207C9" w:rsidP="009207C9">
      <w:pPr>
        <w:pStyle w:val="Notedebasdepage"/>
        <w:jc w:val="both"/>
        <w:rPr>
          <w:rFonts w:asciiTheme="minorHAnsi" w:hAnsiTheme="minorHAnsi" w:cstheme="minorHAnsi"/>
          <w:sz w:val="18"/>
          <w:szCs w:val="18"/>
          <w:lang w:val="es-CO"/>
        </w:rPr>
      </w:pPr>
      <w:r w:rsidRPr="007077EC">
        <w:rPr>
          <w:rFonts w:asciiTheme="minorHAnsi" w:hAnsiTheme="minorHAnsi" w:cstheme="minorHAnsi"/>
          <w:sz w:val="18"/>
          <w:szCs w:val="18"/>
          <w:lang w:val="es-CO"/>
        </w:rPr>
        <w:t>TRIBUNAL SUPERIOR DE PEREIRA, Sala Civil-Familia, Sentencia del 30 de junio de 2016,  Rad. 2016-00554-00 / Sentencia del 11 de agosto de 2016, Rad. 2016-00750-00.</w:t>
      </w:r>
    </w:p>
    <w:p w:rsidR="009207C9" w:rsidRDefault="009207C9" w:rsidP="009207C9">
      <w:pPr>
        <w:pStyle w:val="Notedebasdepage"/>
        <w:jc w:val="both"/>
        <w:rPr>
          <w:rFonts w:asciiTheme="minorHAnsi" w:hAnsiTheme="minorHAnsi" w:cstheme="minorHAnsi"/>
          <w:sz w:val="18"/>
          <w:szCs w:val="18"/>
          <w:lang w:val="es-CO"/>
        </w:rPr>
      </w:pPr>
    </w:p>
    <w:p w:rsidR="009207C9" w:rsidRPr="007077EC" w:rsidRDefault="009207C9" w:rsidP="009207C9">
      <w:pPr>
        <w:pStyle w:val="Notedebasdepage"/>
        <w:jc w:val="both"/>
        <w:rPr>
          <w:rFonts w:asciiTheme="minorHAnsi" w:hAnsiTheme="minorHAnsi" w:cstheme="minorHAnsi"/>
          <w:sz w:val="18"/>
          <w:szCs w:val="18"/>
          <w:lang w:val="es-CO"/>
        </w:rPr>
      </w:pPr>
    </w:p>
    <w:p w:rsidR="00CC1068" w:rsidRPr="009207C9" w:rsidRDefault="00CC1068" w:rsidP="00AB45C8">
      <w:pPr>
        <w:pStyle w:val="Corpsdetexte"/>
        <w:spacing w:line="240" w:lineRule="auto"/>
        <w:rPr>
          <w:rFonts w:asciiTheme="minorHAnsi" w:hAnsiTheme="minorHAnsi" w:cstheme="minorHAnsi"/>
          <w:sz w:val="18"/>
          <w:szCs w:val="18"/>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921879">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921879">
        <w:rPr>
          <w:rFonts w:ascii="Arial" w:hAnsi="Arial" w:cs="Arial"/>
          <w:sz w:val="22"/>
        </w:rPr>
        <w:t>Tercer</w:t>
      </w:r>
      <w:r w:rsidR="00F7395A">
        <w:rPr>
          <w:rFonts w:ascii="Arial" w:hAnsi="Arial" w:cs="Arial"/>
          <w:sz w:val="22"/>
        </w:rPr>
        <w:t xml:space="preserve">o </w:t>
      </w:r>
      <w:r w:rsidRPr="00964618">
        <w:rPr>
          <w:rFonts w:ascii="Arial" w:hAnsi="Arial" w:cs="Arial"/>
          <w:sz w:val="22"/>
        </w:rPr>
        <w:t>Civil del Circuito de Pereira</w:t>
      </w:r>
      <w:r w:rsidR="00BC590E">
        <w:rPr>
          <w:rFonts w:ascii="Arial" w:hAnsi="Arial" w:cs="Arial"/>
          <w:sz w:val="22"/>
        </w:rPr>
        <w:t xml:space="preserve"> y otra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Defensoría del Pueblo Regional </w:t>
      </w:r>
      <w:r w:rsidR="00BC590E">
        <w:rPr>
          <w:rFonts w:ascii="Arial" w:hAnsi="Arial" w:cs="Arial"/>
          <w:sz w:val="22"/>
          <w:szCs w:val="22"/>
        </w:rPr>
        <w:t>Quindío</w:t>
      </w:r>
      <w:r w:rsidRPr="00964618">
        <w:rPr>
          <w:rFonts w:ascii="Arial" w:hAnsi="Arial" w:cs="Arial"/>
          <w:sz w:val="22"/>
          <w:szCs w:val="22"/>
        </w:rPr>
        <w:t xml:space="preserve">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2016-0</w:t>
      </w:r>
      <w:r w:rsidR="00921879">
        <w:rPr>
          <w:rFonts w:ascii="Arial" w:hAnsi="Arial" w:cs="Arial"/>
          <w:sz w:val="22"/>
        </w:rPr>
        <w:t>100</w:t>
      </w:r>
      <w:r w:rsidR="00F7395A">
        <w:rPr>
          <w:rFonts w:ascii="Arial" w:hAnsi="Arial" w:cs="Arial"/>
          <w:sz w:val="22"/>
        </w:rPr>
        <w:t>0</w:t>
      </w:r>
      <w:r w:rsidRPr="00964618">
        <w:rPr>
          <w:rFonts w:ascii="Arial" w:hAnsi="Arial" w:cs="Arial"/>
          <w:sz w:val="22"/>
        </w:rPr>
        <w:t>-00 (Interno No.</w:t>
      </w:r>
      <w:r w:rsidR="00921879">
        <w:rPr>
          <w:rFonts w:ascii="Arial" w:hAnsi="Arial" w:cs="Arial"/>
          <w:sz w:val="22"/>
        </w:rPr>
        <w:t>1000</w:t>
      </w:r>
      <w:r w:rsidRPr="00964618">
        <w:rPr>
          <w:rFonts w:ascii="Arial" w:hAnsi="Arial" w:cs="Arial"/>
          <w:sz w:val="22"/>
        </w:rPr>
        <w:t xml:space="preserve">) </w:t>
      </w:r>
      <w:r w:rsidR="00CB272A">
        <w:rPr>
          <w:rFonts w:ascii="Arial" w:hAnsi="Arial" w:cs="Arial"/>
          <w:sz w:val="22"/>
        </w:rPr>
        <w:t xml:space="preserve">y otras </w:t>
      </w:r>
      <w:r w:rsidR="00921879">
        <w:rPr>
          <w:rFonts w:ascii="Arial" w:hAnsi="Arial" w:cs="Arial"/>
          <w:sz w:val="22"/>
        </w:rPr>
        <w:t>3</w:t>
      </w:r>
      <w:r w:rsidR="00CB272A">
        <w:rPr>
          <w:rFonts w:ascii="Arial" w:hAnsi="Arial" w:cs="Arial"/>
          <w:sz w:val="22"/>
        </w:rPr>
        <w:t xml:space="preserve"> más</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C86D1F">
        <w:rPr>
          <w:rFonts w:ascii="Arial" w:hAnsi="Arial" w:cs="Arial"/>
          <w:sz w:val="22"/>
          <w:szCs w:val="22"/>
        </w:rPr>
        <w:t>Carencia actual de objeto – Hecho superado</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32165A">
        <w:rPr>
          <w:rFonts w:ascii="Arial" w:hAnsi="Arial"/>
          <w:sz w:val="22"/>
          <w:szCs w:val="22"/>
        </w:rPr>
        <w:t>558 del 28-11-2016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026BFF" w:rsidRPr="00C86D1F" w:rsidRDefault="00026BFF" w:rsidP="000C5EA2">
      <w:pPr>
        <w:spacing w:line="360" w:lineRule="auto"/>
        <w:jc w:val="center"/>
        <w:rPr>
          <w:rFonts w:ascii="Arial" w:hAnsi="Arial" w:cs="Arial"/>
          <w:iCs/>
          <w:smallCaps/>
          <w:sz w:val="28"/>
          <w:szCs w:val="28"/>
          <w:lang w:val="es-CO"/>
        </w:rPr>
      </w:pPr>
      <w:r w:rsidRPr="00C86D1F">
        <w:rPr>
          <w:rFonts w:ascii="Arial" w:hAnsi="Arial" w:cs="Arial"/>
          <w:iCs/>
          <w:smallCaps/>
          <w:sz w:val="28"/>
          <w:szCs w:val="28"/>
          <w:lang w:val="es-CO"/>
        </w:rPr>
        <w:t xml:space="preserve">Pereira, </w:t>
      </w:r>
      <w:r w:rsidR="00F7395A" w:rsidRPr="00C86D1F">
        <w:rPr>
          <w:rFonts w:ascii="Arial" w:hAnsi="Arial" w:cs="Arial"/>
          <w:iCs/>
          <w:smallCaps/>
          <w:sz w:val="28"/>
          <w:szCs w:val="28"/>
          <w:lang w:val="es-CO"/>
        </w:rPr>
        <w:t>R.</w:t>
      </w:r>
      <w:r w:rsidRPr="00C86D1F">
        <w:rPr>
          <w:rFonts w:ascii="Arial" w:hAnsi="Arial" w:cs="Arial"/>
          <w:iCs/>
          <w:smallCaps/>
          <w:sz w:val="28"/>
          <w:szCs w:val="28"/>
          <w:lang w:val="es-CO"/>
        </w:rPr>
        <w:t xml:space="preserve">, </w:t>
      </w:r>
      <w:r w:rsidR="0032165A">
        <w:rPr>
          <w:rFonts w:ascii="Arial" w:hAnsi="Arial" w:cs="Arial"/>
          <w:iCs/>
          <w:smallCaps/>
          <w:sz w:val="28"/>
          <w:szCs w:val="28"/>
          <w:lang w:val="es-CO"/>
        </w:rPr>
        <w:t xml:space="preserve">veintiocho </w:t>
      </w:r>
      <w:r w:rsidRPr="00C86D1F">
        <w:rPr>
          <w:rFonts w:ascii="Arial" w:hAnsi="Arial" w:cs="Arial"/>
          <w:iCs/>
          <w:smallCaps/>
          <w:sz w:val="28"/>
          <w:szCs w:val="28"/>
          <w:lang w:val="es-CO"/>
        </w:rPr>
        <w:t>(</w:t>
      </w:r>
      <w:r w:rsidR="0032165A">
        <w:rPr>
          <w:rFonts w:ascii="Arial" w:hAnsi="Arial" w:cs="Arial"/>
          <w:iCs/>
          <w:smallCaps/>
          <w:sz w:val="28"/>
          <w:szCs w:val="28"/>
          <w:lang w:val="es-CO"/>
        </w:rPr>
        <w:t>28</w:t>
      </w:r>
      <w:r w:rsidRPr="00C86D1F">
        <w:rPr>
          <w:rFonts w:ascii="Arial" w:hAnsi="Arial" w:cs="Arial"/>
          <w:iCs/>
          <w:smallCaps/>
          <w:sz w:val="28"/>
          <w:szCs w:val="28"/>
          <w:lang w:val="es-CO"/>
        </w:rPr>
        <w:t xml:space="preserve">) de </w:t>
      </w:r>
      <w:r w:rsidR="00921879" w:rsidRPr="00C86D1F">
        <w:rPr>
          <w:rFonts w:ascii="Arial" w:hAnsi="Arial" w:cs="Arial"/>
          <w:iCs/>
          <w:smallCaps/>
          <w:sz w:val="28"/>
          <w:szCs w:val="28"/>
          <w:lang w:val="es-CO"/>
        </w:rPr>
        <w:t>noviembre</w:t>
      </w:r>
      <w:r w:rsidR="000C5EA2" w:rsidRPr="00C86D1F">
        <w:rPr>
          <w:rFonts w:ascii="Arial" w:hAnsi="Arial" w:cs="Arial"/>
          <w:iCs/>
          <w:smallCaps/>
          <w:sz w:val="28"/>
          <w:szCs w:val="28"/>
          <w:lang w:val="es-CO"/>
        </w:rPr>
        <w:t xml:space="preserve"> </w:t>
      </w:r>
      <w:r w:rsidRPr="00C86D1F">
        <w:rPr>
          <w:rFonts w:ascii="Arial" w:hAnsi="Arial" w:cs="Arial"/>
          <w:iCs/>
          <w:smallCaps/>
          <w:sz w:val="28"/>
          <w:szCs w:val="28"/>
          <w:lang w:val="es-CO"/>
        </w:rPr>
        <w:t xml:space="preserve">de dos mil </w:t>
      </w:r>
      <w:r w:rsidR="000C5EA2" w:rsidRPr="00C86D1F">
        <w:rPr>
          <w:rFonts w:ascii="Arial" w:hAnsi="Arial" w:cs="Arial"/>
          <w:iCs/>
          <w:smallCaps/>
          <w:sz w:val="28"/>
          <w:szCs w:val="28"/>
          <w:lang w:val="es-CO"/>
        </w:rPr>
        <w:t xml:space="preserve">dieciséis </w:t>
      </w:r>
      <w:r w:rsidRPr="00C86D1F">
        <w:rPr>
          <w:rFonts w:ascii="Arial" w:hAnsi="Arial" w:cs="Arial"/>
          <w:iCs/>
          <w:smallCaps/>
          <w:sz w:val="28"/>
          <w:szCs w:val="28"/>
          <w:lang w:val="es-CO"/>
        </w:rPr>
        <w:t>(</w:t>
      </w:r>
      <w:r w:rsidR="000C5EA2" w:rsidRPr="00C86D1F">
        <w:rPr>
          <w:rFonts w:ascii="Arial" w:hAnsi="Arial" w:cs="Arial"/>
          <w:iCs/>
          <w:smallCaps/>
          <w:sz w:val="28"/>
          <w:szCs w:val="28"/>
          <w:lang w:val="es-CO"/>
        </w:rPr>
        <w:t>2016</w:t>
      </w:r>
      <w:r w:rsidRPr="00C86D1F">
        <w:rPr>
          <w:rFonts w:ascii="Arial" w:hAnsi="Arial" w:cs="Arial"/>
          <w:iCs/>
          <w:smallCaps/>
          <w:sz w:val="28"/>
          <w:szCs w:val="28"/>
          <w:lang w:val="es-CO"/>
        </w:rPr>
        <w:t>)</w:t>
      </w:r>
      <w:r w:rsidRPr="00C86D1F">
        <w:rPr>
          <w:rFonts w:ascii="Arial" w:hAnsi="Arial" w:cs="Arial"/>
          <w:iCs/>
          <w:sz w:val="28"/>
          <w:szCs w:val="28"/>
          <w:lang w:val="es-CO"/>
        </w:rPr>
        <w:t>.</w:t>
      </w:r>
    </w:p>
    <w:p w:rsidR="000147A2" w:rsidRDefault="000147A2" w:rsidP="0099045D">
      <w:pPr>
        <w:spacing w:line="360" w:lineRule="auto"/>
        <w:jc w:val="center"/>
        <w:rPr>
          <w:rFonts w:ascii="Arial" w:hAnsi="Arial" w:cs="Arial"/>
          <w:b/>
          <w:bCs/>
          <w:sz w:val="18"/>
          <w:lang w:val="es-CO"/>
        </w:rPr>
      </w:pPr>
    </w:p>
    <w:p w:rsidR="009207C9" w:rsidRDefault="009207C9" w:rsidP="0099045D">
      <w:pPr>
        <w:spacing w:line="360" w:lineRule="auto"/>
        <w:jc w:val="center"/>
        <w:rPr>
          <w:rFonts w:ascii="Arial" w:hAnsi="Arial" w:cs="Arial"/>
          <w:b/>
          <w:bCs/>
          <w:sz w:val="18"/>
          <w:lang w:val="es-CO"/>
        </w:rPr>
      </w:pPr>
    </w:p>
    <w:p w:rsidR="003879F0" w:rsidRPr="009C04FD" w:rsidRDefault="003879F0" w:rsidP="0099045D">
      <w:pPr>
        <w:spacing w:line="360" w:lineRule="auto"/>
        <w:jc w:val="center"/>
        <w:rPr>
          <w:rFonts w:ascii="Arial" w:hAnsi="Arial" w:cs="Arial"/>
          <w:b/>
          <w:bCs/>
          <w:sz w:val="18"/>
          <w:lang w:val="es-CO"/>
        </w:rPr>
      </w:pPr>
    </w:p>
    <w:p w:rsidR="00CB272A" w:rsidRPr="0017728F" w:rsidRDefault="0017728F"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w:t>
      </w:r>
      <w:r w:rsidRPr="0017728F">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Nos.2016-0</w:t>
      </w:r>
      <w:r w:rsidR="0017728F">
        <w:rPr>
          <w:rFonts w:ascii="Arial" w:hAnsi="Arial"/>
          <w:szCs w:val="24"/>
        </w:rPr>
        <w:t>100</w:t>
      </w:r>
      <w:r>
        <w:rPr>
          <w:rFonts w:ascii="Arial" w:hAnsi="Arial"/>
          <w:szCs w:val="24"/>
        </w:rPr>
        <w:t>0-00, 2016-0</w:t>
      </w:r>
      <w:r w:rsidR="0017728F">
        <w:rPr>
          <w:rFonts w:ascii="Arial" w:hAnsi="Arial"/>
          <w:szCs w:val="24"/>
        </w:rPr>
        <w:t>1</w:t>
      </w:r>
      <w:r>
        <w:rPr>
          <w:rFonts w:ascii="Arial" w:hAnsi="Arial"/>
          <w:szCs w:val="24"/>
        </w:rPr>
        <w:t>0</w:t>
      </w:r>
      <w:r w:rsidR="0017728F">
        <w:rPr>
          <w:rFonts w:ascii="Arial" w:hAnsi="Arial"/>
          <w:szCs w:val="24"/>
        </w:rPr>
        <w:t>0</w:t>
      </w:r>
      <w:r>
        <w:rPr>
          <w:rFonts w:ascii="Arial" w:hAnsi="Arial"/>
          <w:szCs w:val="24"/>
        </w:rPr>
        <w:t>4-00, 2016-0</w:t>
      </w:r>
      <w:r w:rsidR="0017728F">
        <w:rPr>
          <w:rFonts w:ascii="Arial" w:hAnsi="Arial"/>
          <w:szCs w:val="24"/>
        </w:rPr>
        <w:t>1</w:t>
      </w:r>
      <w:r>
        <w:rPr>
          <w:rFonts w:ascii="Arial" w:hAnsi="Arial"/>
          <w:szCs w:val="24"/>
        </w:rPr>
        <w:t>0</w:t>
      </w:r>
      <w:r w:rsidR="0017728F">
        <w:rPr>
          <w:rFonts w:ascii="Arial" w:hAnsi="Arial"/>
          <w:szCs w:val="24"/>
        </w:rPr>
        <w:t>0</w:t>
      </w:r>
      <w:r>
        <w:rPr>
          <w:rFonts w:ascii="Arial" w:hAnsi="Arial"/>
          <w:szCs w:val="24"/>
        </w:rPr>
        <w:t>6-00</w:t>
      </w:r>
      <w:r w:rsidR="0075088B">
        <w:rPr>
          <w:rFonts w:ascii="Arial" w:hAnsi="Arial"/>
          <w:szCs w:val="24"/>
        </w:rPr>
        <w:t xml:space="preserve"> y 2016-0</w:t>
      </w:r>
      <w:r w:rsidR="0017728F">
        <w:rPr>
          <w:rFonts w:ascii="Arial" w:hAnsi="Arial"/>
          <w:szCs w:val="24"/>
        </w:rPr>
        <w:t>1</w:t>
      </w:r>
      <w:r w:rsidR="0075088B">
        <w:rPr>
          <w:rFonts w:ascii="Arial" w:hAnsi="Arial"/>
          <w:szCs w:val="24"/>
        </w:rPr>
        <w:t>0</w:t>
      </w:r>
      <w:r w:rsidR="0017728F">
        <w:rPr>
          <w:rFonts w:ascii="Arial" w:hAnsi="Arial"/>
          <w:szCs w:val="24"/>
        </w:rPr>
        <w:t>15</w:t>
      </w:r>
      <w:r w:rsidR="0075088B">
        <w:rPr>
          <w:rFonts w:ascii="Arial" w:hAnsi="Arial"/>
          <w:szCs w:val="24"/>
        </w:rPr>
        <w:t>-00</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CB272A" w:rsidRPr="00BA69B4" w:rsidRDefault="00CB272A" w:rsidP="00CB272A">
      <w:pPr>
        <w:pStyle w:val="Corpsdetexte"/>
        <w:spacing w:line="360" w:lineRule="auto"/>
        <w:rPr>
          <w:rFonts w:ascii="Arial" w:hAnsi="Arial"/>
          <w:szCs w:val="24"/>
        </w:rPr>
      </w:pPr>
    </w:p>
    <w:p w:rsidR="00CB272A" w:rsidRPr="0017728F" w:rsidRDefault="0017728F"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Indicó el actor que presentó ante el accionado, las acciones populares radicadas a los Nos.</w:t>
      </w:r>
      <w:r w:rsidR="003D0348">
        <w:rPr>
          <w:rFonts w:ascii="Arial" w:hAnsi="Arial" w:cs="Arial"/>
        </w:rPr>
        <w:t xml:space="preserve"> </w:t>
      </w:r>
      <w:r w:rsidR="00BC590E">
        <w:rPr>
          <w:rFonts w:ascii="Arial" w:hAnsi="Arial" w:cs="Arial"/>
        </w:rPr>
        <w:t>2016-00418-00, 2016-00406-00, 2016-00403-00 y 2016-00402-00</w:t>
      </w:r>
      <w:r w:rsidR="0075088B">
        <w:rPr>
          <w:rFonts w:ascii="Arial" w:hAnsi="Arial" w:cs="Arial"/>
        </w:rPr>
        <w:t>,</w:t>
      </w:r>
      <w:r>
        <w:rPr>
          <w:rFonts w:ascii="Arial" w:hAnsi="Arial" w:cs="Arial"/>
        </w:rPr>
        <w:t xml:space="preserve"> a la fecha no </w:t>
      </w:r>
      <w:r w:rsidR="001B6BBA">
        <w:rPr>
          <w:rFonts w:ascii="Arial" w:hAnsi="Arial" w:cs="Arial"/>
        </w:rPr>
        <w:t xml:space="preserve">ha resuelto sobre su admisión </w:t>
      </w:r>
      <w:r>
        <w:rPr>
          <w:rFonts w:ascii="Arial" w:hAnsi="Arial" w:cs="Arial"/>
        </w:rPr>
        <w:t>y los términos se encuentran vencidos</w:t>
      </w:r>
      <w:r w:rsidRPr="00AF753A">
        <w:rPr>
          <w:rFonts w:ascii="Arial" w:hAnsi="Arial" w:cs="Arial"/>
        </w:rPr>
        <w:t xml:space="preserve"> (Folio</w:t>
      </w:r>
      <w:r w:rsidR="001B6BBA">
        <w:rPr>
          <w:rFonts w:ascii="Arial" w:hAnsi="Arial" w:cs="Arial"/>
        </w:rPr>
        <w:t>s</w:t>
      </w:r>
      <w:r>
        <w:rPr>
          <w:rFonts w:ascii="Arial" w:hAnsi="Arial" w:cs="Arial"/>
        </w:rPr>
        <w:t xml:space="preserve"> 1</w:t>
      </w:r>
      <w:r w:rsidR="00BC590E">
        <w:rPr>
          <w:rFonts w:ascii="Arial" w:hAnsi="Arial" w:cs="Arial"/>
        </w:rPr>
        <w:t>, 3, 5 y</w:t>
      </w:r>
      <w:r w:rsidR="001B6BBA">
        <w:rPr>
          <w:rFonts w:ascii="Arial" w:hAnsi="Arial" w:cs="Arial"/>
        </w:rPr>
        <w:t xml:space="preserve"> 7</w:t>
      </w:r>
      <w:r w:rsidRPr="00AF753A">
        <w:rPr>
          <w:rFonts w:ascii="Arial" w:hAnsi="Arial" w:cs="Arial"/>
        </w:rPr>
        <w:t xml:space="preserve">, </w:t>
      </w:r>
      <w:r>
        <w:rPr>
          <w:rFonts w:ascii="Arial" w:hAnsi="Arial" w:cs="Arial"/>
        </w:rPr>
        <w:t>del cuaderno No.</w:t>
      </w:r>
      <w:r w:rsidR="00BC590E">
        <w:rPr>
          <w:rFonts w:ascii="Arial" w:hAnsi="Arial" w:cs="Arial"/>
        </w:rPr>
        <w:t xml:space="preserve"> </w:t>
      </w:r>
      <w:r>
        <w:rPr>
          <w:rFonts w:ascii="Arial" w:hAnsi="Arial" w:cs="Arial"/>
        </w:rPr>
        <w:t>1)</w:t>
      </w:r>
      <w:r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17728F" w:rsidRDefault="0017728F"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C8311A">
        <w:rPr>
          <w:rFonts w:ascii="Arial" w:hAnsi="Arial" w:cs="Arial"/>
          <w:spacing w:val="-3"/>
          <w:lang w:val="es-ES_tradnl"/>
        </w:rPr>
        <w:t>n</w:t>
      </w:r>
      <w:r w:rsidR="008259FB">
        <w:rPr>
          <w:rFonts w:ascii="Arial" w:hAnsi="Arial" w:cs="Arial"/>
          <w:spacing w:val="-3"/>
          <w:lang w:val="es-ES_tradnl"/>
        </w:rPr>
        <w:t xml:space="preserve"> </w:t>
      </w:r>
      <w:r w:rsidR="009C1B3A">
        <w:rPr>
          <w:rFonts w:ascii="Arial" w:hAnsi="Arial" w:cs="Arial"/>
          <w:spacing w:val="-3"/>
          <w:lang w:val="es-ES_tradnl"/>
        </w:rPr>
        <w:t>los derechos fundamentales a</w:t>
      </w:r>
      <w:r w:rsidR="00C8311A">
        <w:rPr>
          <w:rFonts w:ascii="Arial" w:hAnsi="Arial" w:cs="Arial"/>
          <w:spacing w:val="-3"/>
          <w:lang w:val="es-ES_tradnl"/>
        </w:rPr>
        <w:t>l</w:t>
      </w:r>
      <w:r w:rsidR="009C1B3A">
        <w:rPr>
          <w:rFonts w:ascii="Arial" w:hAnsi="Arial" w:cs="Arial"/>
          <w:spacing w:val="-3"/>
          <w:lang w:val="es-ES_tradnl"/>
        </w:rPr>
        <w:t xml:space="preserve"> </w:t>
      </w:r>
      <w:r w:rsidR="00C8311A">
        <w:rPr>
          <w:rFonts w:ascii="Arial" w:hAnsi="Arial" w:cs="Arial"/>
          <w:spacing w:val="-3"/>
          <w:lang w:val="es-ES_tradnl"/>
        </w:rPr>
        <w:t>debido proceso</w:t>
      </w:r>
      <w:r w:rsidR="009C1B3A">
        <w:rPr>
          <w:rFonts w:ascii="Arial" w:hAnsi="Arial" w:cs="Arial"/>
          <w:spacing w:val="-3"/>
          <w:lang w:val="es-ES_tradnl"/>
        </w:rPr>
        <w:t xml:space="preserve">, </w:t>
      </w:r>
      <w:r w:rsidR="000C5128">
        <w:rPr>
          <w:rFonts w:ascii="Arial" w:hAnsi="Arial" w:cs="Arial"/>
          <w:spacing w:val="-3"/>
          <w:lang w:val="es-ES_tradnl"/>
        </w:rPr>
        <w:t>igualdad y</w:t>
      </w:r>
      <w:r w:rsidR="00C8311A">
        <w:rPr>
          <w:rFonts w:ascii="Arial" w:hAnsi="Arial" w:cs="Arial"/>
          <w:spacing w:val="-3"/>
          <w:lang w:val="es-ES_tradnl"/>
        </w:rPr>
        <w:t xml:space="preserve"> la debida administración de justicia</w:t>
      </w:r>
      <w:r w:rsidR="009C1B3A">
        <w:rPr>
          <w:rFonts w:ascii="Arial" w:hAnsi="Arial" w:cs="Arial"/>
          <w:spacing w:val="-3"/>
          <w:lang w:val="es-ES_tradnl"/>
        </w:rPr>
        <w:t xml:space="preserve"> </w:t>
      </w:r>
      <w:r w:rsidR="001B6BBA" w:rsidRPr="00AF753A">
        <w:rPr>
          <w:rFonts w:ascii="Arial" w:hAnsi="Arial" w:cs="Arial"/>
        </w:rPr>
        <w:t>(Folio</w:t>
      </w:r>
      <w:r w:rsidR="00BC590E">
        <w:rPr>
          <w:rFonts w:ascii="Arial" w:hAnsi="Arial" w:cs="Arial"/>
        </w:rPr>
        <w:t>s 1, 3, 5 y</w:t>
      </w:r>
      <w:r w:rsidR="001B6BBA">
        <w:rPr>
          <w:rFonts w:ascii="Arial" w:hAnsi="Arial" w:cs="Arial"/>
        </w:rPr>
        <w:t xml:space="preserve"> 7</w:t>
      </w:r>
      <w:r w:rsidR="001B6BBA" w:rsidRPr="00AF753A">
        <w:rPr>
          <w:rFonts w:ascii="Arial" w:hAnsi="Arial" w:cs="Arial"/>
        </w:rPr>
        <w:t xml:space="preserve">, </w:t>
      </w:r>
      <w:r w:rsidR="001B6BBA">
        <w:rPr>
          <w:rFonts w:ascii="Arial" w:hAnsi="Arial" w:cs="Arial"/>
        </w:rPr>
        <w:t>del cuaderno No.</w:t>
      </w:r>
      <w:r w:rsidR="00BC590E">
        <w:rPr>
          <w:rFonts w:ascii="Arial" w:hAnsi="Arial" w:cs="Arial"/>
        </w:rPr>
        <w:t xml:space="preserve"> </w:t>
      </w:r>
      <w:r w:rsidR="001B6BBA">
        <w:rPr>
          <w:rFonts w:ascii="Arial" w:hAnsi="Arial" w:cs="Arial"/>
        </w:rPr>
        <w:t>1)</w:t>
      </w:r>
      <w:r w:rsidR="001B6BBA" w:rsidRPr="00AF753A">
        <w:rPr>
          <w:rFonts w:ascii="Arial" w:hAnsi="Arial" w:cs="Arial"/>
        </w:rPr>
        <w:t>.</w:t>
      </w:r>
    </w:p>
    <w:p w:rsidR="003879F0" w:rsidRDefault="003879F0"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17728F" w:rsidRDefault="0017728F"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 xml:space="preserve">que: </w:t>
      </w:r>
      <w:r w:rsidR="00C53410">
        <w:rPr>
          <w:rFonts w:ascii="Arial" w:hAnsi="Arial" w:cs="Arial"/>
        </w:rPr>
        <w:t xml:space="preserve">(i) Se tutelen los derechos invocados; </w:t>
      </w:r>
      <w:r w:rsidR="003F77C9">
        <w:rPr>
          <w:rFonts w:ascii="Arial" w:hAnsi="Arial" w:cs="Arial"/>
        </w:rPr>
        <w:t>(</w:t>
      </w:r>
      <w:r w:rsidR="00C53410">
        <w:rPr>
          <w:rFonts w:ascii="Arial" w:hAnsi="Arial" w:cs="Arial"/>
        </w:rPr>
        <w:t>i</w:t>
      </w:r>
      <w:r w:rsidR="003F77C9">
        <w:rPr>
          <w:rFonts w:ascii="Arial" w:hAnsi="Arial" w:cs="Arial"/>
        </w:rPr>
        <w:t xml:space="preserve">i) Se ordene al accionado </w:t>
      </w:r>
      <w:r w:rsidR="00E51070">
        <w:rPr>
          <w:rFonts w:ascii="Arial" w:hAnsi="Arial" w:cs="Arial"/>
        </w:rPr>
        <w:t>resolver de manera inmediata sobre la admisión</w:t>
      </w:r>
      <w:r>
        <w:rPr>
          <w:rFonts w:ascii="Arial" w:hAnsi="Arial" w:cs="Arial"/>
        </w:rPr>
        <w:t xml:space="preserve"> </w:t>
      </w:r>
      <w:r w:rsidR="001B6BBA">
        <w:rPr>
          <w:rFonts w:ascii="Arial" w:hAnsi="Arial" w:cs="Arial"/>
        </w:rPr>
        <w:t>de los procesos</w:t>
      </w:r>
      <w:r w:rsidR="003F77C9">
        <w:rPr>
          <w:rFonts w:ascii="Arial" w:hAnsi="Arial" w:cs="Arial"/>
        </w:rPr>
        <w:t xml:space="preserve">; </w:t>
      </w:r>
      <w:r w:rsidR="00AD5960">
        <w:rPr>
          <w:rFonts w:ascii="Arial" w:hAnsi="Arial" w:cs="Arial"/>
        </w:rPr>
        <w:t xml:space="preserve">(iii) </w:t>
      </w:r>
      <w:r w:rsidR="00AD5960" w:rsidRPr="005C4C0F">
        <w:rPr>
          <w:rFonts w:ascii="Arial" w:hAnsi="Arial" w:cs="Arial"/>
        </w:rPr>
        <w:t xml:space="preserve">Se </w:t>
      </w:r>
      <w:r w:rsidR="00AD5960">
        <w:rPr>
          <w:rFonts w:ascii="Arial" w:hAnsi="Arial" w:cs="Arial"/>
        </w:rPr>
        <w:t>le haga entrega de copia física</w:t>
      </w:r>
      <w:r w:rsidR="00821A7E">
        <w:rPr>
          <w:rFonts w:ascii="Arial" w:hAnsi="Arial" w:cs="Arial"/>
        </w:rPr>
        <w:t xml:space="preserve"> </w:t>
      </w:r>
      <w:r w:rsidR="00821A7E" w:rsidRPr="005C4C0F">
        <w:rPr>
          <w:rFonts w:ascii="Arial" w:hAnsi="Arial" w:cs="Arial"/>
        </w:rPr>
        <w:t>de esta acción</w:t>
      </w:r>
      <w:r w:rsidR="00AD5960">
        <w:rPr>
          <w:rFonts w:ascii="Arial" w:hAnsi="Arial" w:cs="Arial"/>
        </w:rPr>
        <w:t xml:space="preserve">; (iv) Se determine si la Defensoría del Pueblo de Caldas incumple su deber al negarse a impetrar acciones de tutela a su favor; y, (v) </w:t>
      </w:r>
      <w:r w:rsidR="00AD5960" w:rsidRPr="005727CB">
        <w:rPr>
          <w:rFonts w:ascii="Arial" w:hAnsi="Arial" w:cs="Arial"/>
        </w:rPr>
        <w:t xml:space="preserve">Se ordene al Ministerio Público </w:t>
      </w:r>
      <w:r w:rsidR="005727CB" w:rsidRPr="005727CB">
        <w:rPr>
          <w:rFonts w:ascii="Arial" w:hAnsi="Arial" w:cs="Arial"/>
        </w:rPr>
        <w:t>certificar cuál ha sido su función en las acciones populares</w:t>
      </w:r>
      <w:r w:rsidR="00AD5960">
        <w:rPr>
          <w:rFonts w:ascii="Arial" w:hAnsi="Arial" w:cs="Arial"/>
        </w:rPr>
        <w:t xml:space="preserve"> </w:t>
      </w:r>
      <w:r w:rsidR="00006C6E" w:rsidRPr="00AF753A">
        <w:rPr>
          <w:rFonts w:ascii="Arial" w:hAnsi="Arial" w:cs="Arial"/>
        </w:rPr>
        <w:t>(Folio</w:t>
      </w:r>
      <w:r w:rsidR="00BC590E">
        <w:rPr>
          <w:rFonts w:ascii="Arial" w:hAnsi="Arial" w:cs="Arial"/>
        </w:rPr>
        <w:t>s 1, 3, 5 y</w:t>
      </w:r>
      <w:r w:rsidR="00006C6E">
        <w:rPr>
          <w:rFonts w:ascii="Arial" w:hAnsi="Arial" w:cs="Arial"/>
        </w:rPr>
        <w:t xml:space="preserve"> 7, del cuaderno No.</w:t>
      </w:r>
      <w:r w:rsidR="00BC590E">
        <w:rPr>
          <w:rFonts w:ascii="Arial" w:hAnsi="Arial" w:cs="Arial"/>
        </w:rPr>
        <w:t xml:space="preserve"> </w:t>
      </w:r>
      <w:r w:rsidR="00006C6E">
        <w:rPr>
          <w:rFonts w:ascii="Arial" w:hAnsi="Arial" w:cs="Arial"/>
        </w:rPr>
        <w:t>1)</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17728F" w:rsidRDefault="0017728F"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17728F">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B74361">
        <w:rPr>
          <w:rFonts w:ascii="Arial" w:hAnsi="Arial"/>
        </w:rPr>
        <w:t xml:space="preserve">En reparto ordinario del día </w:t>
      </w:r>
      <w:r w:rsidR="006155E4">
        <w:rPr>
          <w:rFonts w:ascii="Arial" w:hAnsi="Arial"/>
        </w:rPr>
        <w:t>28-10</w:t>
      </w:r>
      <w:r>
        <w:rPr>
          <w:rFonts w:ascii="Arial" w:hAnsi="Arial"/>
        </w:rPr>
        <w:t>-2016 correspondieron</w:t>
      </w:r>
      <w:r w:rsidRPr="00B74361">
        <w:rPr>
          <w:rFonts w:ascii="Arial" w:hAnsi="Arial"/>
        </w:rPr>
        <w:t xml:space="preserve"> a este Despacho</w:t>
      </w:r>
      <w:r>
        <w:rPr>
          <w:rFonts w:ascii="Arial" w:hAnsi="Arial"/>
        </w:rPr>
        <w:t xml:space="preserve"> las </w:t>
      </w:r>
      <w:r w:rsidR="006155E4">
        <w:rPr>
          <w:rFonts w:ascii="Arial" w:hAnsi="Arial"/>
        </w:rPr>
        <w:t>cuatro</w:t>
      </w:r>
      <w:r>
        <w:rPr>
          <w:rFonts w:ascii="Arial" w:hAnsi="Arial"/>
        </w:rPr>
        <w:t xml:space="preserve"> (</w:t>
      </w:r>
      <w:r w:rsidR="006155E4">
        <w:rPr>
          <w:rFonts w:ascii="Arial" w:hAnsi="Arial"/>
        </w:rPr>
        <w:t>4</w:t>
      </w:r>
      <w:r>
        <w:rPr>
          <w:rFonts w:ascii="Arial" w:hAnsi="Arial"/>
        </w:rPr>
        <w:t xml:space="preserve">) tutelas aquí acumuladas que </w:t>
      </w:r>
      <w:r w:rsidRPr="00B74361">
        <w:rPr>
          <w:rFonts w:ascii="Arial" w:hAnsi="Arial"/>
        </w:rPr>
        <w:t>con providencia</w:t>
      </w:r>
      <w:r w:rsidRPr="008E5A62">
        <w:rPr>
          <w:rFonts w:ascii="Arial" w:hAnsi="Arial"/>
        </w:rPr>
        <w:t xml:space="preserve"> de</w:t>
      </w:r>
      <w:r>
        <w:rPr>
          <w:rFonts w:ascii="Arial" w:hAnsi="Arial"/>
        </w:rPr>
        <w:t>l día</w:t>
      </w:r>
      <w:r w:rsidR="006155E4">
        <w:rPr>
          <w:rFonts w:ascii="Arial" w:hAnsi="Arial"/>
        </w:rPr>
        <w:t xml:space="preserve">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006C6E">
        <w:rPr>
          <w:rFonts w:ascii="Arial" w:hAnsi="Arial"/>
        </w:rPr>
        <w:t>1</w:t>
      </w:r>
      <w:r w:rsidR="00BC590E">
        <w:rPr>
          <w:rFonts w:ascii="Arial" w:hAnsi="Arial"/>
        </w:rPr>
        <w:t>0</w:t>
      </w:r>
      <w:r w:rsidR="00006C6E">
        <w:rPr>
          <w:rFonts w:ascii="Arial" w:hAnsi="Arial"/>
        </w:rPr>
        <w:t xml:space="preserve"> y 1</w:t>
      </w:r>
      <w:r w:rsidR="00BC590E">
        <w:rPr>
          <w:rFonts w:ascii="Arial" w:hAnsi="Arial"/>
        </w:rPr>
        <w:t>1</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006C6E">
        <w:rPr>
          <w:rFonts w:ascii="Arial" w:hAnsi="Arial"/>
        </w:rPr>
        <w:t>1</w:t>
      </w:r>
      <w:r w:rsidR="00BC590E">
        <w:rPr>
          <w:rFonts w:ascii="Arial" w:hAnsi="Arial"/>
        </w:rPr>
        <w:t>2 a 18</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 xml:space="preserve">Contestaron </w:t>
      </w:r>
      <w:r w:rsidR="0012749A" w:rsidRPr="00E859EA">
        <w:rPr>
          <w:rFonts w:ascii="Arial" w:hAnsi="Arial" w:cs="Arial"/>
          <w:spacing w:val="3"/>
        </w:rPr>
        <w:t xml:space="preserve">la </w:t>
      </w:r>
      <w:r w:rsidR="00006C6E">
        <w:rPr>
          <w:rFonts w:ascii="Arial" w:hAnsi="Arial" w:cs="Arial"/>
          <w:spacing w:val="3"/>
        </w:rPr>
        <w:t xml:space="preserve">Alcaldía de </w:t>
      </w:r>
      <w:r w:rsidR="00BA24AF">
        <w:rPr>
          <w:rFonts w:ascii="Arial" w:hAnsi="Arial" w:cs="Arial"/>
          <w:spacing w:val="3"/>
        </w:rPr>
        <w:t>Armeni</w:t>
      </w:r>
      <w:r w:rsidR="00006C6E">
        <w:rPr>
          <w:rFonts w:ascii="Arial" w:hAnsi="Arial" w:cs="Arial"/>
          <w:spacing w:val="3"/>
        </w:rPr>
        <w:t xml:space="preserve">a (Folios </w:t>
      </w:r>
      <w:r w:rsidR="0051319D">
        <w:rPr>
          <w:rFonts w:ascii="Arial" w:hAnsi="Arial" w:cs="Arial"/>
          <w:spacing w:val="3"/>
        </w:rPr>
        <w:t>33 y 34</w:t>
      </w:r>
      <w:r w:rsidR="00006C6E">
        <w:rPr>
          <w:rFonts w:ascii="Arial" w:hAnsi="Arial" w:cs="Arial"/>
          <w:spacing w:val="3"/>
        </w:rPr>
        <w:t>, ib.);</w:t>
      </w:r>
      <w:r w:rsidR="00C01E52">
        <w:rPr>
          <w:rFonts w:ascii="Arial" w:hAnsi="Arial" w:cs="Arial"/>
          <w:spacing w:val="3"/>
        </w:rPr>
        <w:t xml:space="preserve"> </w:t>
      </w:r>
      <w:r w:rsidR="0051319D">
        <w:rPr>
          <w:rFonts w:ascii="Arial" w:hAnsi="Arial" w:cs="Arial"/>
          <w:spacing w:val="3"/>
        </w:rPr>
        <w:t>la Defensoría del Pueblo</w:t>
      </w:r>
      <w:r w:rsidR="005727CB">
        <w:rPr>
          <w:rFonts w:ascii="Arial" w:hAnsi="Arial" w:cs="Arial"/>
          <w:spacing w:val="3"/>
        </w:rPr>
        <w:t>,</w:t>
      </w:r>
      <w:r w:rsidR="0051319D">
        <w:rPr>
          <w:rFonts w:ascii="Arial" w:hAnsi="Arial" w:cs="Arial"/>
          <w:spacing w:val="3"/>
        </w:rPr>
        <w:t xml:space="preserve"> Regional Huila</w:t>
      </w:r>
      <w:r w:rsidR="00AE4CB4">
        <w:rPr>
          <w:rFonts w:ascii="Arial" w:hAnsi="Arial" w:cs="Arial"/>
          <w:spacing w:val="3"/>
        </w:rPr>
        <w:t xml:space="preserve"> (Folio 36, ib.); la Defensoría del Pueblo</w:t>
      </w:r>
      <w:r w:rsidR="005727CB">
        <w:rPr>
          <w:rFonts w:ascii="Arial" w:hAnsi="Arial" w:cs="Arial"/>
          <w:spacing w:val="3"/>
        </w:rPr>
        <w:t>,</w:t>
      </w:r>
      <w:r w:rsidR="00AE4CB4">
        <w:rPr>
          <w:rFonts w:ascii="Arial" w:hAnsi="Arial" w:cs="Arial"/>
          <w:spacing w:val="3"/>
        </w:rPr>
        <w:t xml:space="preserve"> Regional Quindío (Folio 38, ib.); </w:t>
      </w:r>
      <w:r w:rsidR="00B758FE">
        <w:rPr>
          <w:rFonts w:ascii="Arial" w:hAnsi="Arial" w:cs="Arial"/>
        </w:rPr>
        <w:t xml:space="preserve">y </w:t>
      </w:r>
      <w:r w:rsidR="00B758FE">
        <w:rPr>
          <w:rFonts w:ascii="Arial" w:hAnsi="Arial" w:cs="Arial"/>
          <w:spacing w:val="3"/>
        </w:rPr>
        <w:t xml:space="preserve">la Defensoría del Pueblo, Regional Caldas </w:t>
      </w:r>
      <w:r w:rsidR="00B758FE">
        <w:rPr>
          <w:rFonts w:ascii="Arial" w:hAnsi="Arial" w:cs="Arial"/>
          <w:spacing w:val="3"/>
        </w:rPr>
        <w:lastRenderedPageBreak/>
        <w:t>(</w:t>
      </w:r>
      <w:r w:rsidR="005727CB">
        <w:rPr>
          <w:rFonts w:ascii="Arial" w:hAnsi="Arial" w:cs="Arial"/>
          <w:spacing w:val="3"/>
        </w:rPr>
        <w:t>Disco compacto</w:t>
      </w:r>
      <w:r w:rsidR="00B758FE">
        <w:rPr>
          <w:rFonts w:ascii="Arial" w:hAnsi="Arial" w:cs="Arial"/>
          <w:spacing w:val="3"/>
        </w:rPr>
        <w:t xml:space="preserve"> visible a folio 48, ib.)</w:t>
      </w:r>
      <w:r w:rsidR="00B758FE" w:rsidRPr="003B6DD2">
        <w:rPr>
          <w:rFonts w:ascii="Arial" w:hAnsi="Arial"/>
        </w:rPr>
        <w:t>.</w:t>
      </w:r>
      <w:r w:rsidR="00B758FE">
        <w:rPr>
          <w:rFonts w:ascii="Arial" w:hAnsi="Arial"/>
        </w:rPr>
        <w:t xml:space="preserve"> El </w:t>
      </w:r>
      <w:r w:rsidR="00DF42B6">
        <w:rPr>
          <w:rFonts w:ascii="Arial" w:hAnsi="Arial" w:cs="Arial"/>
          <w:spacing w:val="3"/>
        </w:rPr>
        <w:t xml:space="preserve">Juzgado accionado </w:t>
      </w:r>
      <w:r w:rsidR="00006C6E">
        <w:rPr>
          <w:rFonts w:ascii="Arial" w:hAnsi="Arial" w:cs="Arial"/>
          <w:spacing w:val="3"/>
        </w:rPr>
        <w:t xml:space="preserve">arrimó las copias requeridas </w:t>
      </w:r>
      <w:r w:rsidR="00DF42B6">
        <w:rPr>
          <w:rFonts w:ascii="Arial" w:hAnsi="Arial" w:cs="Arial"/>
          <w:spacing w:val="3"/>
        </w:rPr>
        <w:t xml:space="preserve">(Folios </w:t>
      </w:r>
      <w:r w:rsidR="00006C6E">
        <w:rPr>
          <w:rFonts w:ascii="Arial" w:hAnsi="Arial" w:cs="Arial"/>
          <w:spacing w:val="3"/>
        </w:rPr>
        <w:t>19 a 3</w:t>
      </w:r>
      <w:r w:rsidR="006A042D">
        <w:rPr>
          <w:rFonts w:ascii="Arial" w:hAnsi="Arial" w:cs="Arial"/>
          <w:spacing w:val="3"/>
        </w:rPr>
        <w:t>1</w:t>
      </w:r>
      <w:r w:rsidR="00006C6E">
        <w:rPr>
          <w:rFonts w:ascii="Arial" w:hAnsi="Arial" w:cs="Arial"/>
          <w:spacing w:val="3"/>
        </w:rPr>
        <w:t>,</w:t>
      </w:r>
      <w:r w:rsidR="00DF42B6">
        <w:rPr>
          <w:rFonts w:ascii="Arial" w:hAnsi="Arial" w:cs="Arial"/>
          <w:spacing w:val="3"/>
        </w:rPr>
        <w:t xml:space="preserve"> </w:t>
      </w:r>
      <w:r w:rsidR="00006C6E">
        <w:rPr>
          <w:rFonts w:ascii="Arial" w:hAnsi="Arial" w:cs="Arial"/>
          <w:spacing w:val="3"/>
        </w:rPr>
        <w:t>ib</w:t>
      </w:r>
      <w:r w:rsidR="00DC1B10">
        <w:rPr>
          <w:rFonts w:ascii="Arial" w:hAnsi="Arial" w:cs="Arial"/>
          <w:spacing w:val="3"/>
        </w:rPr>
        <w:t>.</w:t>
      </w:r>
      <w:r w:rsidR="00006C6E">
        <w:rPr>
          <w:rFonts w:ascii="Arial" w:hAnsi="Arial" w:cs="Arial"/>
          <w:spacing w:val="3"/>
        </w:rPr>
        <w:t>)</w:t>
      </w:r>
      <w:r w:rsidR="00C01E52">
        <w:rPr>
          <w:rFonts w:ascii="Arial" w:hAnsi="Arial" w:cs="Arial"/>
          <w:spacing w:val="3"/>
        </w:rPr>
        <w:t>.</w:t>
      </w:r>
      <w:r w:rsidR="00BA24AF">
        <w:rPr>
          <w:rFonts w:ascii="Arial" w:hAnsi="Arial" w:cs="Arial"/>
          <w:spacing w:val="3"/>
        </w:rPr>
        <w:t xml:space="preserve"> </w:t>
      </w:r>
    </w:p>
    <w:p w:rsidR="003A2CB1" w:rsidRPr="009C04FD" w:rsidRDefault="003A2CB1" w:rsidP="00B50331">
      <w:pPr>
        <w:spacing w:line="360" w:lineRule="auto"/>
        <w:jc w:val="both"/>
        <w:rPr>
          <w:rFonts w:ascii="Arial" w:hAnsi="Arial"/>
          <w:sz w:val="22"/>
        </w:rPr>
      </w:pPr>
    </w:p>
    <w:p w:rsidR="003A2CB1" w:rsidRPr="0017728F" w:rsidRDefault="0017728F"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17728F">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DF42B6" w:rsidRPr="0017728F" w:rsidRDefault="0017728F" w:rsidP="00A24CF7">
      <w:pPr>
        <w:pStyle w:val="Paragraphedeliste"/>
        <w:numPr>
          <w:ilvl w:val="1"/>
          <w:numId w:val="18"/>
        </w:numPr>
        <w:spacing w:line="360" w:lineRule="auto"/>
        <w:jc w:val="both"/>
        <w:rPr>
          <w:rFonts w:ascii="Arial" w:hAnsi="Arial"/>
          <w:smallCaps/>
          <w:sz w:val="26"/>
          <w:szCs w:val="26"/>
        </w:rPr>
      </w:pPr>
      <w:r>
        <w:rPr>
          <w:rFonts w:ascii="Arial" w:hAnsi="Arial"/>
          <w:smallCaps/>
          <w:sz w:val="26"/>
          <w:szCs w:val="26"/>
        </w:rPr>
        <w:t>L</w:t>
      </w:r>
      <w:r w:rsidR="00DC1B10" w:rsidRPr="0017728F">
        <w:rPr>
          <w:rFonts w:ascii="Arial" w:hAnsi="Arial"/>
          <w:smallCaps/>
          <w:sz w:val="26"/>
          <w:szCs w:val="26"/>
        </w:rPr>
        <w:t xml:space="preserve">a Alcaldía </w:t>
      </w:r>
      <w:r w:rsidR="00102275">
        <w:rPr>
          <w:rFonts w:ascii="Arial" w:hAnsi="Arial"/>
          <w:smallCaps/>
          <w:sz w:val="26"/>
          <w:szCs w:val="26"/>
        </w:rPr>
        <w:t>de Armenia</w:t>
      </w:r>
    </w:p>
    <w:p w:rsidR="007651F3" w:rsidRDefault="007651F3" w:rsidP="007651F3">
      <w:pPr>
        <w:pStyle w:val="Paragraphedeliste"/>
        <w:spacing w:line="360" w:lineRule="auto"/>
        <w:ind w:left="720"/>
        <w:jc w:val="both"/>
        <w:rPr>
          <w:rFonts w:ascii="Arial" w:hAnsi="Arial"/>
        </w:rPr>
      </w:pPr>
    </w:p>
    <w:p w:rsidR="00F55924" w:rsidRDefault="00DC1B10" w:rsidP="00DF42B6">
      <w:pPr>
        <w:spacing w:line="360" w:lineRule="auto"/>
        <w:jc w:val="both"/>
        <w:rPr>
          <w:rFonts w:ascii="Arial" w:hAnsi="Arial"/>
        </w:rPr>
      </w:pPr>
      <w:r>
        <w:rPr>
          <w:rFonts w:ascii="Arial" w:hAnsi="Arial"/>
        </w:rPr>
        <w:t xml:space="preserve">Consideró que </w:t>
      </w:r>
      <w:r w:rsidR="005727CB">
        <w:rPr>
          <w:rFonts w:ascii="Arial" w:hAnsi="Arial"/>
        </w:rPr>
        <w:t xml:space="preserve">esta Corporación carece de competencia territorial para adelantar la tutela en su contra y solicitó su desvinculación </w:t>
      </w:r>
      <w:r w:rsidR="00DF42B6">
        <w:rPr>
          <w:rFonts w:ascii="Arial" w:hAnsi="Arial"/>
        </w:rPr>
        <w:t>(Folio</w:t>
      </w:r>
      <w:r w:rsidR="000B5596">
        <w:rPr>
          <w:rFonts w:ascii="Arial" w:hAnsi="Arial"/>
        </w:rPr>
        <w:t xml:space="preserve">s </w:t>
      </w:r>
      <w:r w:rsidR="00102275">
        <w:rPr>
          <w:rFonts w:ascii="Arial" w:hAnsi="Arial"/>
        </w:rPr>
        <w:t>33</w:t>
      </w:r>
      <w:r>
        <w:rPr>
          <w:rFonts w:ascii="Arial" w:hAnsi="Arial"/>
        </w:rPr>
        <w:t xml:space="preserve"> </w:t>
      </w:r>
      <w:r w:rsidR="00102275">
        <w:rPr>
          <w:rFonts w:ascii="Arial" w:hAnsi="Arial"/>
        </w:rPr>
        <w:t>y</w:t>
      </w:r>
      <w:r>
        <w:rPr>
          <w:rFonts w:ascii="Arial" w:hAnsi="Arial"/>
        </w:rPr>
        <w:t xml:space="preserve"> </w:t>
      </w:r>
      <w:r w:rsidR="00102275">
        <w:rPr>
          <w:rFonts w:ascii="Arial" w:hAnsi="Arial"/>
        </w:rPr>
        <w:t>34</w:t>
      </w:r>
      <w:r>
        <w:rPr>
          <w:rFonts w:ascii="Arial" w:hAnsi="Arial"/>
        </w:rPr>
        <w:t>, ib.).</w:t>
      </w:r>
    </w:p>
    <w:p w:rsidR="00192C16" w:rsidRDefault="00192C16" w:rsidP="00192C16">
      <w:pPr>
        <w:spacing w:line="360" w:lineRule="auto"/>
        <w:jc w:val="both"/>
        <w:rPr>
          <w:rFonts w:ascii="Arial" w:hAnsi="Arial"/>
          <w:sz w:val="20"/>
        </w:rPr>
      </w:pPr>
    </w:p>
    <w:p w:rsidR="00F55924" w:rsidRDefault="00AA74B1" w:rsidP="00192C16">
      <w:pPr>
        <w:pStyle w:val="Paragraphedeliste"/>
        <w:numPr>
          <w:ilvl w:val="1"/>
          <w:numId w:val="18"/>
        </w:numPr>
        <w:spacing w:line="360" w:lineRule="auto"/>
        <w:jc w:val="both"/>
        <w:rPr>
          <w:rFonts w:ascii="Arial" w:hAnsi="Arial"/>
          <w:smallCaps/>
          <w:sz w:val="26"/>
          <w:szCs w:val="26"/>
        </w:rPr>
      </w:pPr>
      <w:r>
        <w:rPr>
          <w:rFonts w:ascii="Arial" w:hAnsi="Arial"/>
          <w:smallCaps/>
          <w:sz w:val="26"/>
          <w:szCs w:val="26"/>
        </w:rPr>
        <w:t>La Defensoría del Pueblo, Regional Huila</w:t>
      </w:r>
    </w:p>
    <w:p w:rsidR="00AA74B1" w:rsidRDefault="00AA74B1" w:rsidP="00AA74B1">
      <w:pPr>
        <w:spacing w:line="360" w:lineRule="auto"/>
        <w:jc w:val="both"/>
        <w:rPr>
          <w:rFonts w:ascii="Arial" w:hAnsi="Arial"/>
          <w:smallCaps/>
          <w:sz w:val="26"/>
          <w:szCs w:val="26"/>
        </w:rPr>
      </w:pPr>
    </w:p>
    <w:p w:rsidR="00AA74B1" w:rsidRDefault="00AA74B1" w:rsidP="00AA74B1">
      <w:pPr>
        <w:spacing w:line="360" w:lineRule="auto"/>
        <w:jc w:val="both"/>
        <w:rPr>
          <w:rFonts w:ascii="Arial" w:hAnsi="Arial"/>
        </w:rPr>
      </w:pPr>
      <w:r>
        <w:rPr>
          <w:rFonts w:ascii="Arial" w:hAnsi="Arial"/>
        </w:rPr>
        <w:t xml:space="preserve">Indicó que </w:t>
      </w:r>
      <w:r w:rsidR="005727CB">
        <w:rPr>
          <w:rFonts w:ascii="Arial" w:hAnsi="Arial"/>
        </w:rPr>
        <w:t xml:space="preserve">desconoce las </w:t>
      </w:r>
      <w:r>
        <w:rPr>
          <w:rFonts w:ascii="Arial" w:hAnsi="Arial"/>
        </w:rPr>
        <w:t xml:space="preserve">acciones populares </w:t>
      </w:r>
      <w:r w:rsidR="005727CB">
        <w:rPr>
          <w:rFonts w:ascii="Arial" w:hAnsi="Arial"/>
          <w:lang w:val="es-CO"/>
        </w:rPr>
        <w:t xml:space="preserve">y </w:t>
      </w:r>
      <w:r w:rsidR="00300AB0">
        <w:rPr>
          <w:rFonts w:ascii="Arial" w:hAnsi="Arial"/>
        </w:rPr>
        <w:t>tutela</w:t>
      </w:r>
      <w:r w:rsidR="005727CB">
        <w:rPr>
          <w:rFonts w:ascii="Arial" w:hAnsi="Arial"/>
        </w:rPr>
        <w:t>s</w:t>
      </w:r>
      <w:r w:rsidR="00300AB0">
        <w:rPr>
          <w:rFonts w:ascii="Arial" w:hAnsi="Arial"/>
        </w:rPr>
        <w:t xml:space="preserve"> que se tramite</w:t>
      </w:r>
      <w:r>
        <w:rPr>
          <w:rFonts w:ascii="Arial" w:hAnsi="Arial"/>
        </w:rPr>
        <w:t>n en el circuito judicial de Pereira</w:t>
      </w:r>
      <w:r w:rsidR="005727CB">
        <w:rPr>
          <w:rFonts w:ascii="Arial" w:hAnsi="Arial"/>
        </w:rPr>
        <w:t xml:space="preserve">, por lo que no puede pronunciarse al respecto </w:t>
      </w:r>
      <w:r w:rsidR="00C870E2">
        <w:rPr>
          <w:rFonts w:ascii="Arial" w:hAnsi="Arial" w:cs="Arial"/>
          <w:spacing w:val="3"/>
        </w:rPr>
        <w:t>(Folio 36, ib.)</w:t>
      </w:r>
      <w:r>
        <w:rPr>
          <w:rFonts w:ascii="Arial" w:hAnsi="Arial"/>
        </w:rPr>
        <w:t>.</w:t>
      </w:r>
    </w:p>
    <w:p w:rsidR="00AA74B1" w:rsidRPr="00AA74B1" w:rsidRDefault="00AA74B1" w:rsidP="00AA74B1">
      <w:pPr>
        <w:spacing w:line="360" w:lineRule="auto"/>
        <w:jc w:val="both"/>
        <w:rPr>
          <w:rFonts w:ascii="Arial" w:hAnsi="Arial"/>
        </w:rPr>
      </w:pPr>
    </w:p>
    <w:p w:rsidR="00AA74B1" w:rsidRDefault="00AA74B1" w:rsidP="00192C16">
      <w:pPr>
        <w:pStyle w:val="Paragraphedeliste"/>
        <w:numPr>
          <w:ilvl w:val="1"/>
          <w:numId w:val="18"/>
        </w:numPr>
        <w:spacing w:line="360" w:lineRule="auto"/>
        <w:jc w:val="both"/>
        <w:rPr>
          <w:rFonts w:ascii="Arial" w:hAnsi="Arial"/>
          <w:smallCaps/>
          <w:sz w:val="26"/>
          <w:szCs w:val="26"/>
        </w:rPr>
      </w:pPr>
      <w:r>
        <w:rPr>
          <w:rFonts w:ascii="Arial" w:hAnsi="Arial"/>
          <w:smallCaps/>
          <w:sz w:val="26"/>
          <w:szCs w:val="26"/>
        </w:rPr>
        <w:t>La Defensoría del Pueblo, Regional Quindío</w:t>
      </w:r>
    </w:p>
    <w:p w:rsidR="005727CB" w:rsidRDefault="005727CB" w:rsidP="005727CB">
      <w:pPr>
        <w:pStyle w:val="Paragraphedeliste"/>
        <w:spacing w:line="360" w:lineRule="auto"/>
        <w:ind w:left="720"/>
        <w:jc w:val="both"/>
        <w:rPr>
          <w:rFonts w:ascii="Arial" w:hAnsi="Arial"/>
          <w:smallCaps/>
          <w:sz w:val="26"/>
          <w:szCs w:val="26"/>
        </w:rPr>
      </w:pPr>
    </w:p>
    <w:p w:rsidR="00AA74B1" w:rsidRDefault="00052A9B" w:rsidP="00AA74B1">
      <w:pPr>
        <w:spacing w:line="360" w:lineRule="auto"/>
        <w:jc w:val="both"/>
        <w:rPr>
          <w:rFonts w:ascii="Arial" w:hAnsi="Arial"/>
        </w:rPr>
      </w:pPr>
      <w:r>
        <w:rPr>
          <w:rFonts w:ascii="Arial" w:hAnsi="Arial"/>
        </w:rPr>
        <w:t xml:space="preserve">Expuso que revisado su </w:t>
      </w:r>
      <w:r w:rsidR="005727CB">
        <w:rPr>
          <w:rFonts w:ascii="Arial" w:hAnsi="Arial"/>
        </w:rPr>
        <w:t>s</w:t>
      </w:r>
      <w:r>
        <w:rPr>
          <w:rFonts w:ascii="Arial" w:hAnsi="Arial"/>
        </w:rPr>
        <w:t xml:space="preserve">istema de </w:t>
      </w:r>
      <w:r w:rsidR="005727CB">
        <w:rPr>
          <w:rFonts w:ascii="Arial" w:hAnsi="Arial"/>
        </w:rPr>
        <w:t>i</w:t>
      </w:r>
      <w:r>
        <w:rPr>
          <w:rFonts w:ascii="Arial" w:hAnsi="Arial"/>
        </w:rPr>
        <w:t xml:space="preserve">nformación </w:t>
      </w:r>
      <w:r w:rsidR="005727CB">
        <w:rPr>
          <w:rFonts w:ascii="Arial" w:hAnsi="Arial"/>
        </w:rPr>
        <w:t>v</w:t>
      </w:r>
      <w:r>
        <w:rPr>
          <w:rFonts w:ascii="Arial" w:hAnsi="Arial"/>
        </w:rPr>
        <w:t xml:space="preserve">isión </w:t>
      </w:r>
      <w:r w:rsidR="005727CB">
        <w:rPr>
          <w:rFonts w:ascii="Arial" w:hAnsi="Arial"/>
        </w:rPr>
        <w:t>w</w:t>
      </w:r>
      <w:r>
        <w:rPr>
          <w:rFonts w:ascii="Arial" w:hAnsi="Arial"/>
        </w:rPr>
        <w:t>eb, no se encontró solicitud escrita o verbal radicada por parte del accionante ante esa entidad</w:t>
      </w:r>
      <w:r w:rsidR="00C870E2">
        <w:rPr>
          <w:rFonts w:ascii="Arial" w:hAnsi="Arial"/>
        </w:rPr>
        <w:t xml:space="preserve"> </w:t>
      </w:r>
      <w:r w:rsidR="00C870E2">
        <w:rPr>
          <w:rFonts w:ascii="Arial" w:hAnsi="Arial" w:cs="Arial"/>
          <w:spacing w:val="3"/>
        </w:rPr>
        <w:t>(Folio 38, ib.)</w:t>
      </w:r>
      <w:r>
        <w:rPr>
          <w:rFonts w:ascii="Arial" w:hAnsi="Arial"/>
        </w:rPr>
        <w:t>.</w:t>
      </w:r>
    </w:p>
    <w:p w:rsidR="00052A9B" w:rsidRPr="00052A9B" w:rsidRDefault="00052A9B" w:rsidP="00AA74B1">
      <w:pPr>
        <w:spacing w:line="360" w:lineRule="auto"/>
        <w:jc w:val="both"/>
        <w:rPr>
          <w:rFonts w:ascii="Arial" w:hAnsi="Arial"/>
        </w:rPr>
      </w:pPr>
    </w:p>
    <w:p w:rsidR="00192C16" w:rsidRPr="007F4883" w:rsidRDefault="00192C16" w:rsidP="00192C16">
      <w:pPr>
        <w:pStyle w:val="Paragraphedeliste"/>
        <w:numPr>
          <w:ilvl w:val="1"/>
          <w:numId w:val="18"/>
        </w:numPr>
        <w:spacing w:line="360" w:lineRule="auto"/>
        <w:jc w:val="both"/>
        <w:rPr>
          <w:rFonts w:ascii="Arial" w:hAnsi="Arial"/>
          <w:smallCaps/>
          <w:sz w:val="26"/>
          <w:szCs w:val="26"/>
        </w:rPr>
      </w:pPr>
      <w:r w:rsidRPr="007F4883">
        <w:rPr>
          <w:rFonts w:ascii="Arial" w:hAnsi="Arial"/>
          <w:smallCaps/>
          <w:sz w:val="26"/>
          <w:szCs w:val="26"/>
        </w:rPr>
        <w:t>La Defensoría del Pueblo, Regional Caldas</w:t>
      </w:r>
    </w:p>
    <w:p w:rsidR="00192C16" w:rsidRDefault="00192C16" w:rsidP="00192C16">
      <w:pPr>
        <w:spacing w:line="360" w:lineRule="auto"/>
        <w:jc w:val="both"/>
        <w:rPr>
          <w:rFonts w:ascii="Arial" w:hAnsi="Arial"/>
        </w:rPr>
      </w:pPr>
    </w:p>
    <w:p w:rsidR="00DF42B6" w:rsidRDefault="00192C16" w:rsidP="003A2CB1">
      <w:pPr>
        <w:spacing w:line="360" w:lineRule="auto"/>
        <w:jc w:val="both"/>
        <w:rPr>
          <w:rFonts w:ascii="Arial" w:hAnsi="Arial"/>
        </w:rPr>
      </w:pPr>
      <w:r>
        <w:rPr>
          <w:rFonts w:ascii="Arial" w:hAnsi="Arial"/>
        </w:rPr>
        <w:t>Manifestó que desde el año 2014 designó un defensor público para que brindara asesoría al actor, hizo un recuento de las actuaciones adelantadas y de las distintas solicitudes presentadas, para concluir el abuso que se hace de las acciones constitucionales. Asimismo, razonó que el accionante actúa con temeridad y mala fe porque con el amparo pretende el reconocimiento de intereses económicos (</w:t>
      </w:r>
      <w:r w:rsidR="005727CB">
        <w:rPr>
          <w:rFonts w:ascii="Arial" w:hAnsi="Arial"/>
        </w:rPr>
        <w:t>Disco compacto</w:t>
      </w:r>
      <w:r>
        <w:rPr>
          <w:rFonts w:ascii="Arial" w:hAnsi="Arial"/>
        </w:rPr>
        <w:t xml:space="preserve"> visible a folio 48, ib.). </w:t>
      </w:r>
    </w:p>
    <w:p w:rsidR="00840071" w:rsidRDefault="00840071" w:rsidP="003A2CB1">
      <w:pPr>
        <w:spacing w:line="360" w:lineRule="auto"/>
        <w:jc w:val="both"/>
        <w:rPr>
          <w:rFonts w:ascii="Arial" w:hAnsi="Arial"/>
        </w:rPr>
      </w:pPr>
    </w:p>
    <w:p w:rsidR="00CF429F" w:rsidRPr="0017728F" w:rsidRDefault="0017728F"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17728F">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17728F" w:rsidRDefault="0017728F" w:rsidP="00CF429F">
      <w:pPr>
        <w:pStyle w:val="Corpsdetexte"/>
        <w:numPr>
          <w:ilvl w:val="1"/>
          <w:numId w:val="18"/>
        </w:numPr>
        <w:tabs>
          <w:tab w:val="clear" w:pos="708"/>
          <w:tab w:val="left" w:pos="709"/>
        </w:tabs>
        <w:spacing w:line="360" w:lineRule="auto"/>
        <w:rPr>
          <w:rFonts w:ascii="Arial" w:hAnsi="Arial"/>
          <w:smallCaps/>
          <w:sz w:val="26"/>
          <w:szCs w:val="26"/>
        </w:rPr>
      </w:pPr>
      <w:r>
        <w:rPr>
          <w:rFonts w:ascii="Arial" w:hAnsi="Arial"/>
          <w:smallCaps/>
          <w:sz w:val="26"/>
          <w:szCs w:val="26"/>
        </w:rPr>
        <w:t>L</w:t>
      </w:r>
      <w:r w:rsidR="00CF429F" w:rsidRPr="0017728F">
        <w:rPr>
          <w:rFonts w:ascii="Arial" w:hAnsi="Arial"/>
          <w:smallCaps/>
          <w:sz w:val="26"/>
          <w:szCs w:val="26"/>
        </w:rPr>
        <w:t>a competencia</w:t>
      </w:r>
    </w:p>
    <w:p w:rsidR="00A50109" w:rsidRPr="00AE73C7" w:rsidRDefault="00A50109" w:rsidP="00A50109">
      <w:pPr>
        <w:pStyle w:val="Corpsdetexte"/>
        <w:tabs>
          <w:tab w:val="clear" w:pos="708"/>
          <w:tab w:val="left" w:pos="709"/>
        </w:tabs>
        <w:spacing w:line="360" w:lineRule="auto"/>
        <w:ind w:left="720"/>
        <w:rPr>
          <w:rFonts w:ascii="Arial" w:hAnsi="Arial"/>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915519">
        <w:rPr>
          <w:rFonts w:ascii="Arial" w:hAnsi="Arial" w:cs="Arial"/>
          <w:sz w:val="24"/>
          <w:szCs w:val="24"/>
        </w:rPr>
        <w:t>Tercer</w:t>
      </w:r>
      <w:r w:rsidR="00DC1B10">
        <w:rPr>
          <w:rFonts w:ascii="Arial" w:hAnsi="Arial" w:cs="Arial"/>
          <w:sz w:val="24"/>
          <w:szCs w:val="24"/>
        </w:rPr>
        <w: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17728F" w:rsidRDefault="00CF429F" w:rsidP="00CF429F">
      <w:pPr>
        <w:pStyle w:val="Corpsdetexte"/>
        <w:numPr>
          <w:ilvl w:val="1"/>
          <w:numId w:val="18"/>
        </w:numPr>
        <w:tabs>
          <w:tab w:val="clear" w:pos="0"/>
          <w:tab w:val="clear" w:pos="708"/>
          <w:tab w:val="clear" w:pos="1416"/>
          <w:tab w:val="left" w:pos="709"/>
        </w:tabs>
        <w:spacing w:line="360" w:lineRule="auto"/>
        <w:rPr>
          <w:rFonts w:ascii="Arial" w:hAnsi="Arial"/>
          <w:smallCaps/>
          <w:sz w:val="26"/>
          <w:szCs w:val="26"/>
        </w:rPr>
      </w:pPr>
      <w:r w:rsidRPr="0017728F">
        <w:rPr>
          <w:rFonts w:ascii="Arial" w:hAnsi="Arial"/>
          <w:smallCaps/>
          <w:sz w:val="26"/>
          <w:szCs w:val="26"/>
        </w:rPr>
        <w:lastRenderedPageBreak/>
        <w:t>La legitimación en la causa</w:t>
      </w:r>
    </w:p>
    <w:p w:rsidR="00CF429F" w:rsidRPr="00AE73C7" w:rsidRDefault="00CF429F" w:rsidP="00CF429F">
      <w:pPr>
        <w:pStyle w:val="Corpsdetexte"/>
        <w:spacing w:line="360" w:lineRule="auto"/>
        <w:rPr>
          <w:rFonts w:ascii="Arial" w:hAnsi="Arial" w:cs="Arial"/>
          <w:szCs w:val="24"/>
        </w:rPr>
      </w:pPr>
    </w:p>
    <w:p w:rsidR="008F6968" w:rsidRDefault="008F6968" w:rsidP="008F6968">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 los procesos judiciales en los que se reprocha la falta al debido proceso</w:t>
      </w:r>
      <w:r w:rsidRPr="00902F93">
        <w:rPr>
          <w:rFonts w:ascii="Arial" w:hAnsi="Arial" w:cs="Arial"/>
          <w:szCs w:val="24"/>
        </w:rPr>
        <w:t xml:space="preserve">. Y por pasiva, </w:t>
      </w:r>
      <w:r>
        <w:rPr>
          <w:rFonts w:ascii="Arial" w:hAnsi="Arial" w:cs="Arial"/>
          <w:szCs w:val="24"/>
        </w:rPr>
        <w:t xml:space="preserve">lo es el Juzgado </w:t>
      </w:r>
      <w:r w:rsidR="00915519">
        <w:rPr>
          <w:rFonts w:ascii="Arial" w:hAnsi="Arial" w:cs="Arial"/>
          <w:szCs w:val="24"/>
        </w:rPr>
        <w:t>Tercer</w:t>
      </w:r>
      <w:r w:rsidR="00DC1B10">
        <w:rPr>
          <w:rFonts w:ascii="Arial" w:hAnsi="Arial" w:cs="Arial"/>
          <w:szCs w:val="24"/>
        </w:rPr>
        <w:t xml:space="preserve">o </w:t>
      </w:r>
      <w:r>
        <w:rPr>
          <w:rFonts w:ascii="Arial" w:hAnsi="Arial" w:cs="Arial"/>
          <w:szCs w:val="24"/>
        </w:rPr>
        <w:t>Civil del Circuito de Pereira, por ser</w:t>
      </w:r>
      <w:r w:rsidRPr="009A3C9D">
        <w:rPr>
          <w:rFonts w:ascii="Arial" w:hAnsi="Arial" w:cs="Arial"/>
          <w:szCs w:val="24"/>
        </w:rPr>
        <w:t xml:space="preserve"> la autoridad judicial que </w:t>
      </w:r>
      <w:r>
        <w:rPr>
          <w:rFonts w:ascii="Arial" w:hAnsi="Arial" w:cs="Arial"/>
          <w:szCs w:val="24"/>
        </w:rPr>
        <w:t>conoc</w:t>
      </w:r>
      <w:r w:rsidR="0093201B">
        <w:rPr>
          <w:rFonts w:ascii="Arial" w:hAnsi="Arial" w:cs="Arial"/>
          <w:szCs w:val="24"/>
        </w:rPr>
        <w:t>e</w:t>
      </w:r>
      <w:r>
        <w:rPr>
          <w:rFonts w:ascii="Arial" w:hAnsi="Arial" w:cs="Arial"/>
          <w:szCs w:val="24"/>
        </w:rPr>
        <w:t xml:space="preserve"> de los juicios.</w:t>
      </w:r>
    </w:p>
    <w:p w:rsidR="00C52552" w:rsidRPr="00AE73C7" w:rsidRDefault="00C52552" w:rsidP="00DF74B6">
      <w:pPr>
        <w:pStyle w:val="Corpsdetexte"/>
        <w:spacing w:line="360" w:lineRule="auto"/>
        <w:rPr>
          <w:rFonts w:ascii="Arial" w:hAnsi="Arial" w:cs="Arial"/>
          <w:szCs w:val="24"/>
        </w:rPr>
      </w:pPr>
    </w:p>
    <w:p w:rsidR="00C86D1F" w:rsidRDefault="00C86D1F" w:rsidP="00C86D1F">
      <w:pPr>
        <w:pStyle w:val="Corpsdetexte"/>
        <w:spacing w:line="360" w:lineRule="auto"/>
        <w:rPr>
          <w:rFonts w:ascii="Arial" w:hAnsi="Arial" w:cs="Arial"/>
          <w:szCs w:val="24"/>
        </w:rPr>
      </w:pPr>
      <w:r>
        <w:rPr>
          <w:rFonts w:ascii="Arial" w:hAnsi="Arial" w:cs="Arial"/>
          <w:szCs w:val="24"/>
        </w:rPr>
        <w:t>Como los vinculados no participaron en las acciones populares dentro de las cuales se alega la vulneración al debido proceso, carecen de legitimación, se declarará improcedente el amparo en su contra.</w:t>
      </w:r>
    </w:p>
    <w:p w:rsidR="00C86D1F" w:rsidRDefault="00C86D1F" w:rsidP="00C86D1F">
      <w:pPr>
        <w:pStyle w:val="Corpsdetexte"/>
        <w:spacing w:line="360" w:lineRule="auto"/>
        <w:rPr>
          <w:rFonts w:ascii="Arial" w:hAnsi="Arial" w:cs="Arial"/>
          <w:szCs w:val="24"/>
        </w:rPr>
      </w:pPr>
    </w:p>
    <w:p w:rsidR="00CF429F" w:rsidRDefault="00CF429F" w:rsidP="00CF429F">
      <w:pPr>
        <w:pStyle w:val="Corpsdetexte"/>
        <w:numPr>
          <w:ilvl w:val="1"/>
          <w:numId w:val="18"/>
        </w:numPr>
        <w:spacing w:line="360" w:lineRule="auto"/>
        <w:rPr>
          <w:rFonts w:ascii="Arial" w:hAnsi="Arial"/>
          <w:smallCaps/>
          <w:sz w:val="26"/>
          <w:szCs w:val="26"/>
        </w:rPr>
      </w:pPr>
      <w:r w:rsidRPr="0017728F">
        <w:rPr>
          <w:rFonts w:ascii="Arial" w:hAnsi="Arial"/>
          <w:smallCaps/>
          <w:sz w:val="26"/>
          <w:szCs w:val="26"/>
        </w:rPr>
        <w:t>El problema jurídico a resolver</w:t>
      </w:r>
    </w:p>
    <w:p w:rsidR="00E20D05" w:rsidRPr="0017728F" w:rsidRDefault="00E20D05" w:rsidP="00E20D05">
      <w:pPr>
        <w:pStyle w:val="Corpsdetexte"/>
        <w:spacing w:line="360" w:lineRule="auto"/>
        <w:ind w:left="720"/>
        <w:rPr>
          <w:rFonts w:ascii="Arial" w:hAnsi="Arial"/>
          <w:smallCaps/>
          <w:sz w:val="26"/>
          <w:szCs w:val="26"/>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F55924">
        <w:rPr>
          <w:rFonts w:ascii="Arial" w:hAnsi="Arial" w:cs="Arial"/>
        </w:rPr>
        <w:t>Tercer</w:t>
      </w:r>
      <w:r w:rsidR="00DC1B10">
        <w:rPr>
          <w:rFonts w:ascii="Arial" w:hAnsi="Arial" w:cs="Arial"/>
        </w:rPr>
        <w:t>o</w:t>
      </w:r>
      <w:r w:rsidR="000B5596">
        <w:rPr>
          <w:rFonts w:ascii="Arial" w:hAnsi="Arial" w:cs="Arial"/>
        </w:rPr>
        <w:t xml:space="preserve"> </w:t>
      </w:r>
      <w:r w:rsidR="005F0330" w:rsidRPr="00AE73C7">
        <w:rPr>
          <w:rFonts w:ascii="Arial" w:hAnsi="Arial" w:cs="Arial"/>
        </w:rPr>
        <w:t>Civil del Circuito de Pereira</w:t>
      </w:r>
      <w:r w:rsidR="005F0330" w:rsidRPr="00AE73C7">
        <w:rPr>
          <w:rFonts w:ascii="Arial" w:hAnsi="Arial" w:cs="Arial"/>
          <w:spacing w:val="-3"/>
          <w:lang w:val="es-ES_tradnl"/>
        </w:rPr>
        <w:t xml:space="preserve"> </w:t>
      </w:r>
      <w:r w:rsidRPr="00AE73C7">
        <w:rPr>
          <w:rFonts w:ascii="Arial" w:hAnsi="Arial" w:cs="Arial"/>
          <w:spacing w:val="-3"/>
          <w:lang w:val="es-ES_tradnl"/>
        </w:rPr>
        <w:t>ha vulnerado o amenazado los derechos fundamentales del accionante con ocasión de</w:t>
      </w:r>
      <w:r w:rsidR="005F0330" w:rsidRPr="00AE73C7">
        <w:rPr>
          <w:rFonts w:ascii="Arial" w:hAnsi="Arial" w:cs="Arial"/>
          <w:spacing w:val="-3"/>
          <w:lang w:val="es-ES_tradnl"/>
        </w:rPr>
        <w:t xml:space="preserve"> </w:t>
      </w:r>
      <w:r w:rsidR="00703126" w:rsidRPr="00AE73C7">
        <w:rPr>
          <w:rFonts w:ascii="Arial" w:hAnsi="Arial" w:cs="Arial"/>
          <w:spacing w:val="-3"/>
          <w:lang w:val="es-ES_tradnl"/>
        </w:rPr>
        <w:t xml:space="preserve">no haber resuelto </w:t>
      </w:r>
      <w:r w:rsidR="00A44325" w:rsidRPr="00AE73C7">
        <w:rPr>
          <w:rFonts w:ascii="Arial" w:hAnsi="Arial" w:cs="Arial"/>
          <w:spacing w:val="-3"/>
          <w:lang w:val="es-ES_tradnl"/>
        </w:rPr>
        <w:t>sobre la admisi</w:t>
      </w:r>
      <w:r w:rsidR="0093201B">
        <w:rPr>
          <w:rFonts w:ascii="Arial" w:hAnsi="Arial" w:cs="Arial"/>
          <w:spacing w:val="-3"/>
          <w:lang w:val="es-ES_tradnl"/>
        </w:rPr>
        <w:t xml:space="preserve">bilidad </w:t>
      </w:r>
      <w:r w:rsidR="00A44325" w:rsidRPr="00AE73C7">
        <w:rPr>
          <w:rFonts w:ascii="Arial" w:hAnsi="Arial" w:cs="Arial"/>
          <w:spacing w:val="-3"/>
          <w:lang w:val="es-ES_tradnl"/>
        </w:rPr>
        <w:t>de la</w:t>
      </w:r>
      <w:r w:rsidR="008F6968">
        <w:rPr>
          <w:rFonts w:ascii="Arial" w:hAnsi="Arial" w:cs="Arial"/>
          <w:spacing w:val="-3"/>
          <w:lang w:val="es-ES_tradnl"/>
        </w:rPr>
        <w:t>s</w:t>
      </w:r>
      <w:r w:rsidR="00A44325" w:rsidRPr="00AE73C7">
        <w:rPr>
          <w:rFonts w:ascii="Arial" w:hAnsi="Arial" w:cs="Arial"/>
          <w:spacing w:val="-3"/>
          <w:lang w:val="es-ES_tradnl"/>
        </w:rPr>
        <w:t xml:space="preserve"> acci</w:t>
      </w:r>
      <w:r w:rsidR="008F6968">
        <w:rPr>
          <w:rFonts w:ascii="Arial" w:hAnsi="Arial" w:cs="Arial"/>
          <w:spacing w:val="-3"/>
          <w:lang w:val="es-ES_tradnl"/>
        </w:rPr>
        <w:t>ones</w:t>
      </w:r>
      <w:r w:rsidR="00A44325" w:rsidRPr="00AE73C7">
        <w:rPr>
          <w:rFonts w:ascii="Arial" w:hAnsi="Arial" w:cs="Arial"/>
          <w:spacing w:val="-3"/>
          <w:lang w:val="es-ES_tradnl"/>
        </w:rPr>
        <w:t xml:space="preserve"> popular</w:t>
      </w:r>
      <w:r w:rsidR="008F6968">
        <w:rPr>
          <w:rFonts w:ascii="Arial" w:hAnsi="Arial" w:cs="Arial"/>
          <w:spacing w:val="-3"/>
          <w:lang w:val="es-ES_tradnl"/>
        </w:rPr>
        <w:t>es</w:t>
      </w:r>
      <w:r w:rsidRPr="00AE73C7">
        <w:rPr>
          <w:rFonts w:ascii="Arial" w:hAnsi="Arial" w:cs="Arial"/>
          <w:spacing w:val="-3"/>
          <w:lang w:val="es-ES_tradnl"/>
        </w:rPr>
        <w:t>, según lo expuesto en l</w:t>
      </w:r>
      <w:r w:rsidR="008F6968">
        <w:rPr>
          <w:rFonts w:ascii="Arial" w:hAnsi="Arial" w:cs="Arial"/>
          <w:spacing w:val="-3"/>
          <w:lang w:val="es-ES_tradnl"/>
        </w:rPr>
        <w:t>os</w:t>
      </w:r>
      <w:r w:rsidRPr="00AE73C7">
        <w:rPr>
          <w:rFonts w:ascii="Arial" w:hAnsi="Arial" w:cs="Arial"/>
          <w:spacing w:val="-3"/>
          <w:lang w:val="es-ES_tradnl"/>
        </w:rPr>
        <w:t xml:space="preserve"> escrito</w:t>
      </w:r>
      <w:r w:rsidR="008F6968">
        <w:rPr>
          <w:rFonts w:ascii="Arial" w:hAnsi="Arial" w:cs="Arial"/>
          <w:spacing w:val="-3"/>
          <w:lang w:val="es-ES_tradnl"/>
        </w:rPr>
        <w:t>s</w:t>
      </w:r>
      <w:r w:rsidRPr="00AE73C7">
        <w:rPr>
          <w:rFonts w:ascii="Arial" w:hAnsi="Arial" w:cs="Arial"/>
          <w:spacing w:val="-3"/>
          <w:lang w:val="es-ES_tradnl"/>
        </w:rPr>
        <w:t xml:space="preserve"> de tutela?</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17728F"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17728F">
        <w:rPr>
          <w:rFonts w:ascii="Arial" w:hAnsi="Arial"/>
          <w:smallCaps/>
          <w:sz w:val="26"/>
          <w:szCs w:val="26"/>
        </w:rPr>
        <w:t>La resolución del problema jurídico</w:t>
      </w:r>
    </w:p>
    <w:p w:rsidR="0084306F" w:rsidRPr="005041CA"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84306F" w:rsidRPr="00C86D1F" w:rsidRDefault="0086007C" w:rsidP="00300AB0">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C86D1F">
        <w:rPr>
          <w:rFonts w:ascii="Arial" w:hAnsi="Arial" w:cs="Arial"/>
          <w:szCs w:val="24"/>
        </w:rPr>
        <w:t>La carencia actual de objeto en la acción de tutela</w:t>
      </w:r>
    </w:p>
    <w:p w:rsidR="0084306F" w:rsidRPr="005041CA" w:rsidRDefault="0084306F" w:rsidP="0084306F">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 w:val="22"/>
          <w:szCs w:val="24"/>
        </w:rPr>
      </w:pPr>
      <w:r w:rsidRPr="005041CA">
        <w:rPr>
          <w:rFonts w:ascii="Arial" w:hAnsi="Arial" w:cs="Arial"/>
          <w:sz w:val="22"/>
          <w:szCs w:val="24"/>
        </w:rPr>
        <w:tab/>
      </w:r>
    </w:p>
    <w:p w:rsidR="0086007C" w:rsidRPr="00F33A95" w:rsidRDefault="0086007C" w:rsidP="0086007C">
      <w:pPr>
        <w:pStyle w:val="Corpsdetexte"/>
        <w:spacing w:line="360" w:lineRule="auto"/>
        <w:rPr>
          <w:rFonts w:ascii="Arial" w:hAnsi="Arial" w:cs="Arial"/>
          <w:szCs w:val="24"/>
        </w:rPr>
      </w:pPr>
      <w:r w:rsidRPr="00AD4F7B">
        <w:rPr>
          <w:rFonts w:ascii="Arial" w:hAnsi="Arial" w:cs="Arial"/>
          <w:szCs w:val="24"/>
        </w:rPr>
        <w:t>En reiterada jurisprudencia</w:t>
      </w:r>
      <w:r w:rsidRPr="00AD4F7B">
        <w:rPr>
          <w:rStyle w:val="Appelnotedebasdep"/>
          <w:rFonts w:ascii="Arial" w:hAnsi="Arial" w:cs="Arial"/>
          <w:szCs w:val="24"/>
        </w:rPr>
        <w:footnoteReference w:id="1"/>
      </w:r>
      <w:r w:rsidRPr="00AD4F7B">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Cs w:val="24"/>
        </w:rPr>
        <w:footnoteReference w:id="2"/>
      </w:r>
      <w:r w:rsidRPr="00F33A95">
        <w:rPr>
          <w:rFonts w:ascii="Arial" w:hAnsi="Arial" w:cs="Arial"/>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Cs w:val="24"/>
          <w:lang w:val="es-ES"/>
        </w:rPr>
        <w:t>.</w:t>
      </w:r>
      <w:r w:rsidRPr="00F33A95">
        <w:rPr>
          <w:rFonts w:ascii="Arial" w:hAnsi="Arial" w:cs="Arial"/>
          <w:szCs w:val="24"/>
        </w:rPr>
        <w:t xml:space="preserve"> </w:t>
      </w:r>
    </w:p>
    <w:p w:rsidR="0086007C" w:rsidRPr="00F3415E" w:rsidRDefault="0086007C" w:rsidP="0086007C">
      <w:pPr>
        <w:pStyle w:val="Corpsdetexte"/>
        <w:spacing w:line="360" w:lineRule="auto"/>
        <w:rPr>
          <w:rFonts w:ascii="Arial" w:hAnsi="Arial" w:cs="Arial"/>
          <w:sz w:val="20"/>
          <w:szCs w:val="24"/>
        </w:rPr>
      </w:pPr>
    </w:p>
    <w:p w:rsidR="0086007C" w:rsidRPr="00AD4F7B" w:rsidRDefault="0086007C" w:rsidP="0086007C">
      <w:pPr>
        <w:pStyle w:val="Corpsdetexte"/>
        <w:spacing w:line="360" w:lineRule="auto"/>
        <w:rPr>
          <w:rFonts w:ascii="Arial" w:hAnsi="Arial" w:cs="Arial"/>
          <w:szCs w:val="24"/>
          <w:lang w:val="es-ES"/>
        </w:rPr>
      </w:pPr>
      <w:r w:rsidRPr="00AD4F7B">
        <w:rPr>
          <w:rFonts w:ascii="Arial" w:hAnsi="Arial"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AD4F7B">
        <w:rPr>
          <w:rFonts w:ascii="Arial" w:hAnsi="Arial" w:cs="Arial"/>
          <w:szCs w:val="24"/>
          <w:lang w:val="es-ES"/>
        </w:rPr>
        <w:t>(i) El hecho superado y (ii) El daño consumado, con consecuencias diferentes.</w:t>
      </w:r>
    </w:p>
    <w:p w:rsidR="0086007C" w:rsidRPr="00F3415E" w:rsidRDefault="0086007C" w:rsidP="0086007C">
      <w:pPr>
        <w:pStyle w:val="Corpsdetexte"/>
        <w:spacing w:line="360" w:lineRule="auto"/>
        <w:rPr>
          <w:rFonts w:ascii="Arial" w:hAnsi="Arial" w:cs="Arial"/>
          <w:sz w:val="20"/>
          <w:szCs w:val="24"/>
        </w:rPr>
      </w:pPr>
    </w:p>
    <w:p w:rsidR="0086007C" w:rsidRPr="00AD4F7B" w:rsidRDefault="0086007C" w:rsidP="0086007C">
      <w:pPr>
        <w:pStyle w:val="Corpsdetexte"/>
        <w:spacing w:line="360" w:lineRule="auto"/>
        <w:rPr>
          <w:rFonts w:ascii="Arial" w:hAnsi="Arial" w:cs="Arial"/>
          <w:szCs w:val="24"/>
        </w:rPr>
      </w:pPr>
      <w:r w:rsidRPr="00AD4F7B">
        <w:rPr>
          <w:rFonts w:ascii="Arial" w:hAnsi="Arial" w:cs="Arial"/>
          <w:szCs w:val="24"/>
          <w:lang w:val="es-ES"/>
        </w:rPr>
        <w:lastRenderedPageBreak/>
        <w:t>En tratándose de la primera hipótesis dispuso la Corte Constitucional</w:t>
      </w:r>
      <w:r w:rsidRPr="00AD4F7B">
        <w:rPr>
          <w:rStyle w:val="Appelnotedebasdep"/>
          <w:rFonts w:ascii="Arial" w:hAnsi="Arial"/>
          <w:szCs w:val="24"/>
        </w:rPr>
        <w:footnoteReference w:id="3"/>
      </w:r>
      <w:r w:rsidRPr="00AD4F7B">
        <w:rPr>
          <w:rFonts w:ascii="Arial" w:hAnsi="Arial" w:cs="Arial"/>
          <w:szCs w:val="24"/>
          <w:lang w:val="es-ES"/>
        </w:rPr>
        <w:t xml:space="preserve"> que la expresión “hecho superado” debe considerarse en el sentido estricto de las palabras, esto es, que se satisfizo </w:t>
      </w:r>
      <w:r w:rsidRPr="00AD4F7B">
        <w:rPr>
          <w:rFonts w:ascii="Arial" w:hAnsi="Arial" w:cs="Arial"/>
          <w:szCs w:val="24"/>
        </w:rPr>
        <w:t xml:space="preserve">lo pedido en la tutela, así entonces, se presenta </w:t>
      </w:r>
      <w:r w:rsidRPr="00AD4F7B">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sidRPr="00AD4F7B">
        <w:rPr>
          <w:rFonts w:ascii="Arial" w:hAnsi="Arial" w:cs="Arial"/>
          <w:szCs w:val="24"/>
        </w:rPr>
        <w:t>ha indicado que se configura por la ausencia de interés jurídico o sustracción de materia</w:t>
      </w:r>
      <w:r w:rsidRPr="00AD4F7B">
        <w:rPr>
          <w:rStyle w:val="Appelnotedebasdep"/>
          <w:rFonts w:ascii="Arial" w:hAnsi="Arial"/>
          <w:szCs w:val="24"/>
        </w:rPr>
        <w:footnoteReference w:id="4"/>
      </w:r>
      <w:r w:rsidRPr="00AD4F7B">
        <w:rPr>
          <w:rFonts w:ascii="Arial" w:hAnsi="Arial" w:cs="Arial"/>
          <w:szCs w:val="24"/>
        </w:rPr>
        <w:t>.</w:t>
      </w:r>
      <w:r w:rsidRPr="00AD4F7B">
        <w:rPr>
          <w:rFonts w:ascii="Arial" w:hAnsi="Arial" w:cs="Arial"/>
          <w:b/>
          <w:bCs/>
          <w:szCs w:val="24"/>
        </w:rPr>
        <w:t xml:space="preserve"> </w:t>
      </w:r>
    </w:p>
    <w:p w:rsidR="0086007C" w:rsidRPr="00F3415E" w:rsidRDefault="0086007C" w:rsidP="0086007C">
      <w:pPr>
        <w:pStyle w:val="Corpsdetexte"/>
        <w:spacing w:line="360" w:lineRule="auto"/>
        <w:rPr>
          <w:rFonts w:ascii="Arial" w:hAnsi="Arial" w:cs="Arial"/>
          <w:sz w:val="20"/>
          <w:szCs w:val="24"/>
          <w:lang w:val="es-ES"/>
        </w:rPr>
      </w:pPr>
    </w:p>
    <w:p w:rsidR="00E20D05" w:rsidRDefault="0086007C" w:rsidP="0086007C">
      <w:pPr>
        <w:shd w:val="clear" w:color="auto" w:fill="FFFFFF"/>
        <w:spacing w:line="360" w:lineRule="auto"/>
        <w:jc w:val="both"/>
        <w:textAlignment w:val="baseline"/>
        <w:rPr>
          <w:rFonts w:ascii="Arial" w:hAnsi="Arial" w:cs="Arial"/>
        </w:rPr>
      </w:pPr>
      <w:r w:rsidRPr="00AD4F7B">
        <w:rPr>
          <w:rFonts w:ascii="Arial" w:hAnsi="Arial" w:cs="Arial"/>
        </w:rPr>
        <w:t>Así, para determinar si se está en presencia o no de un hecho superado, conforme lo dicho por el máximo ente constitucional</w:t>
      </w:r>
      <w:r w:rsidRPr="00AD4F7B">
        <w:rPr>
          <w:rStyle w:val="Appelnotedebasdep"/>
          <w:rFonts w:ascii="Arial" w:hAnsi="Arial" w:cs="Arial"/>
        </w:rPr>
        <w:footnoteReference w:id="5"/>
      </w:r>
      <w:r w:rsidRPr="00AD4F7B">
        <w:rPr>
          <w:rFonts w:ascii="Arial" w:hAnsi="Arial" w:cs="Arial"/>
        </w:rPr>
        <w:t>: (i) Debe comprobarse que con anterioridad a la interposición de la acción exista un acto u omisión que viole o amenace violar un derecho fundamental; y (ii) Que durante el trámite del amparo se supere el agravio o amenaza.</w:t>
      </w:r>
    </w:p>
    <w:p w:rsidR="0086007C" w:rsidRPr="00AD4F7B" w:rsidRDefault="0086007C" w:rsidP="0086007C">
      <w:pPr>
        <w:shd w:val="clear" w:color="auto" w:fill="FFFFFF"/>
        <w:spacing w:line="360" w:lineRule="auto"/>
        <w:jc w:val="both"/>
        <w:textAlignment w:val="baseline"/>
        <w:rPr>
          <w:rFonts w:ascii="Arial" w:hAnsi="Arial" w:cs="Arial"/>
        </w:rPr>
      </w:pPr>
      <w:r w:rsidRPr="00AD4F7B">
        <w:rPr>
          <w:rFonts w:ascii="Arial" w:hAnsi="Arial" w:cs="Arial"/>
        </w:rPr>
        <w:t xml:space="preserve"> </w:t>
      </w:r>
    </w:p>
    <w:p w:rsidR="0086007C" w:rsidRDefault="0086007C" w:rsidP="0086007C">
      <w:pPr>
        <w:shd w:val="clear" w:color="auto" w:fill="FFFFFF"/>
        <w:spacing w:line="360" w:lineRule="auto"/>
        <w:jc w:val="both"/>
        <w:textAlignment w:val="baseline"/>
        <w:rPr>
          <w:rFonts w:ascii="Arial" w:hAnsi="Arial" w:cs="Arial"/>
          <w:i/>
          <w:lang w:val="es-CO"/>
        </w:rPr>
      </w:pPr>
      <w:r w:rsidRPr="00AD4F7B">
        <w:rPr>
          <w:rFonts w:ascii="Arial" w:hAnsi="Arial" w:cs="Arial"/>
        </w:rPr>
        <w:t>En ese orden de ideas</w:t>
      </w:r>
      <w:r w:rsidRPr="00F33A95">
        <w:rPr>
          <w:rFonts w:ascii="Arial" w:hAnsi="Arial" w:cs="Arial"/>
        </w:rPr>
        <w:t xml:space="preserve">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Appelnotedebasdep"/>
          <w:rFonts w:ascii="Arial" w:hAnsi="Arial"/>
          <w:i/>
          <w:lang w:val="es-CO"/>
        </w:rPr>
        <w:footnoteReference w:id="6"/>
      </w:r>
      <w:r w:rsidRPr="00F33A95">
        <w:rPr>
          <w:rFonts w:ascii="Arial" w:hAnsi="Arial" w:cs="Arial"/>
          <w:i/>
          <w:lang w:val="es-CO"/>
        </w:rPr>
        <w:t>.</w:t>
      </w:r>
    </w:p>
    <w:p w:rsidR="0086007C" w:rsidRPr="00F3415E" w:rsidRDefault="0086007C" w:rsidP="0086007C">
      <w:pPr>
        <w:shd w:val="clear" w:color="auto" w:fill="FFFFFF"/>
        <w:spacing w:line="360" w:lineRule="auto"/>
        <w:jc w:val="both"/>
        <w:textAlignment w:val="baseline"/>
        <w:rPr>
          <w:rFonts w:ascii="Arial" w:hAnsi="Arial" w:cs="Arial"/>
          <w:i/>
          <w:sz w:val="20"/>
          <w:lang w:val="es-CO"/>
        </w:rPr>
      </w:pPr>
    </w:p>
    <w:p w:rsidR="0086007C" w:rsidRPr="00666D58" w:rsidRDefault="0086007C" w:rsidP="0086007C">
      <w:pPr>
        <w:shd w:val="clear" w:color="auto" w:fill="FFFFFF"/>
        <w:spacing w:line="360" w:lineRule="auto"/>
        <w:jc w:val="both"/>
        <w:textAlignment w:val="baseline"/>
        <w:rPr>
          <w:rFonts w:ascii="Arial" w:hAnsi="Arial" w:cs="Arial"/>
          <w:i/>
          <w:lang w:val="es-CO"/>
        </w:rPr>
      </w:pPr>
      <w:r w:rsidRPr="00AD4F7B">
        <w:rPr>
          <w:rFonts w:ascii="Arial" w:hAnsi="Arial" w:cs="Arial"/>
        </w:rPr>
        <w:t xml:space="preserve">Respecto de la segunda hipótesis, esto es, la carencia actual de objeto por daño consumado, ha dicho </w:t>
      </w:r>
      <w:r w:rsidRPr="00AD4F7B">
        <w:rPr>
          <w:rFonts w:ascii="Arial" w:hAnsi="Arial" w:cs="Arial"/>
          <w:lang w:val="es-CO"/>
        </w:rPr>
        <w:t>la Corte Constitucional</w:t>
      </w:r>
      <w:r w:rsidRPr="00AD4F7B">
        <w:rPr>
          <w:rStyle w:val="Appelnotedebasdep"/>
          <w:rFonts w:ascii="Arial" w:hAnsi="Arial" w:cs="Arial"/>
        </w:rPr>
        <w:footnoteReference w:id="7"/>
      </w:r>
      <w:r w:rsidRPr="00AD4F7B">
        <w:rPr>
          <w:rFonts w:ascii="Arial" w:hAnsi="Arial" w:cs="Arial"/>
        </w:rPr>
        <w:t xml:space="preserve"> </w:t>
      </w:r>
      <w:r w:rsidRPr="00AD4F7B">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86007C" w:rsidRPr="00F3415E" w:rsidRDefault="0086007C" w:rsidP="0086007C">
      <w:pPr>
        <w:pStyle w:val="Corpsdetexte"/>
        <w:spacing w:line="360" w:lineRule="auto"/>
        <w:rPr>
          <w:rFonts w:ascii="Arial" w:hAnsi="Arial" w:cs="Arial"/>
          <w:color w:val="000000"/>
          <w:sz w:val="20"/>
          <w:szCs w:val="24"/>
          <w:shd w:val="clear" w:color="auto" w:fill="FFFFFF"/>
        </w:rPr>
      </w:pPr>
    </w:p>
    <w:p w:rsidR="0086007C" w:rsidRDefault="0086007C" w:rsidP="0086007C">
      <w:pPr>
        <w:pStyle w:val="Corpsdetexte"/>
        <w:spacing w:line="360" w:lineRule="auto"/>
        <w:rPr>
          <w:rFonts w:ascii="Arial" w:hAnsi="Arial" w:cs="Arial"/>
          <w:i/>
          <w:color w:val="000000"/>
          <w:sz w:val="22"/>
          <w:szCs w:val="22"/>
        </w:rPr>
      </w:pPr>
      <w:r w:rsidRPr="00AF2B73">
        <w:rPr>
          <w:rFonts w:ascii="Arial" w:hAnsi="Arial" w:cs="Arial"/>
          <w:color w:val="000000"/>
          <w:szCs w:val="24"/>
          <w:shd w:val="clear" w:color="auto" w:fill="FFFFFF"/>
        </w:rPr>
        <w:t xml:space="preserve">Asimismo, expuso el máximo órgano constitucional que, en tratándose del daño consumado, los efectos del fallo de tutela varían dependiendo del momento en que se </w:t>
      </w:r>
      <w:r>
        <w:rPr>
          <w:rFonts w:ascii="Arial" w:hAnsi="Arial" w:cs="Arial"/>
          <w:color w:val="000000"/>
          <w:szCs w:val="24"/>
          <w:shd w:val="clear" w:color="auto" w:fill="FFFFFF"/>
        </w:rPr>
        <w:t>consumó</w:t>
      </w:r>
      <w:r w:rsidRPr="00AF2B73">
        <w:rPr>
          <w:rFonts w:ascii="Arial" w:hAnsi="Arial" w:cs="Arial"/>
          <w:color w:val="000000"/>
          <w:szCs w:val="24"/>
          <w:shd w:val="clear" w:color="auto" w:fill="FFFFFF"/>
        </w:rPr>
        <w:t>, así indicó</w:t>
      </w:r>
      <w:r>
        <w:rPr>
          <w:rStyle w:val="Appelnotedebasdep"/>
          <w:rFonts w:ascii="Arial" w:hAnsi="Arial"/>
          <w:color w:val="000000"/>
          <w:szCs w:val="24"/>
          <w:shd w:val="clear" w:color="auto" w:fill="FFFFFF"/>
        </w:rPr>
        <w:footnoteReference w:id="8"/>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86007C" w:rsidRPr="00F3415E" w:rsidRDefault="0086007C" w:rsidP="0086007C">
      <w:pPr>
        <w:pStyle w:val="Corpsdetexte"/>
        <w:spacing w:line="360" w:lineRule="auto"/>
        <w:rPr>
          <w:rFonts w:ascii="Arial" w:hAnsi="Arial" w:cs="Arial"/>
          <w:color w:val="000000"/>
          <w:sz w:val="20"/>
          <w:szCs w:val="24"/>
          <w:shd w:val="clear" w:color="auto" w:fill="FFFFFF"/>
        </w:rPr>
      </w:pPr>
    </w:p>
    <w:p w:rsidR="0086007C" w:rsidRDefault="0086007C" w:rsidP="0086007C">
      <w:pPr>
        <w:pStyle w:val="Corpsdetexte"/>
        <w:spacing w:line="360" w:lineRule="auto"/>
        <w:rPr>
          <w:i/>
          <w:iCs/>
          <w:color w:val="000000"/>
          <w:sz w:val="22"/>
          <w:szCs w:val="22"/>
        </w:rPr>
      </w:pPr>
      <w:r>
        <w:rPr>
          <w:rFonts w:ascii="Arial" w:hAnsi="Arial" w:cs="Arial"/>
          <w:color w:val="000000"/>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 xml:space="preserve">a través del estudio de fondo sobre la vulneración que se puso en conocimiento de los </w:t>
      </w:r>
      <w:r w:rsidRPr="00A124AD">
        <w:rPr>
          <w:rFonts w:ascii="Arial" w:hAnsi="Arial" w:cs="Arial"/>
          <w:i/>
          <w:color w:val="000000"/>
          <w:sz w:val="22"/>
          <w:szCs w:val="22"/>
        </w:rPr>
        <w:lastRenderedPageBreak/>
        <w:t>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Pr="00B74642">
        <w:rPr>
          <w:rStyle w:val="Appelnotedebasdep"/>
          <w:rFonts w:ascii="Arial" w:hAnsi="Arial"/>
          <w:i/>
          <w:iCs/>
          <w:color w:val="000000"/>
          <w:szCs w:val="22"/>
        </w:rPr>
        <w:footnoteReference w:id="9"/>
      </w:r>
    </w:p>
    <w:p w:rsidR="00E20D05" w:rsidRDefault="00E20D05" w:rsidP="0086007C">
      <w:pPr>
        <w:pStyle w:val="Corpsdetexte"/>
        <w:spacing w:line="360" w:lineRule="auto"/>
        <w:rPr>
          <w:rFonts w:ascii="Arial" w:hAnsi="Arial" w:cs="Arial"/>
          <w:color w:val="000000"/>
          <w:szCs w:val="24"/>
          <w:shd w:val="clear" w:color="auto" w:fill="FFFFFF"/>
        </w:rPr>
      </w:pPr>
    </w:p>
    <w:p w:rsidR="0086007C" w:rsidRPr="000145F0" w:rsidRDefault="0086007C" w:rsidP="0086007C">
      <w:pPr>
        <w:pStyle w:val="Corpsdetexte"/>
        <w:spacing w:line="360" w:lineRule="auto"/>
        <w:rPr>
          <w:rFonts w:ascii="Arial" w:hAnsi="Arial" w:cs="Arial"/>
          <w:i/>
          <w:iCs/>
          <w:color w:val="000000"/>
          <w:szCs w:val="24"/>
          <w:bdr w:val="none" w:sz="0" w:space="0" w:color="auto" w:frame="1"/>
          <w:shd w:val="clear" w:color="auto" w:fill="FFFFFF"/>
        </w:rPr>
      </w:pPr>
      <w:r>
        <w:rPr>
          <w:rFonts w:ascii="Arial" w:hAnsi="Arial" w:cs="Arial"/>
          <w:color w:val="000000"/>
          <w:szCs w:val="24"/>
          <w:shd w:val="clear" w:color="auto" w:fill="FFFFFF"/>
        </w:rPr>
        <w:t>Además de lo anterior</w:t>
      </w:r>
      <w:r w:rsidRPr="00F33A95">
        <w:rPr>
          <w:rFonts w:ascii="Arial" w:hAnsi="Arial" w:cs="Arial"/>
          <w:color w:val="000000"/>
          <w:szCs w:val="24"/>
          <w:shd w:val="clear" w:color="auto" w:fill="FFFFFF"/>
        </w:rPr>
        <w:t>, es preciso reseñar que existen otras formas de materializar la carencia actual de objeto, entre ellas, la sustracción de materia, que según lo refiere la Corte</w:t>
      </w:r>
      <w:r w:rsidRPr="00F33A95">
        <w:rPr>
          <w:rStyle w:val="Appelnotedebasdep"/>
          <w:rFonts w:ascii="Arial" w:hAnsi="Arial"/>
          <w:color w:val="000000"/>
          <w:szCs w:val="24"/>
          <w:shd w:val="clear" w:color="auto" w:fill="FFFFFF"/>
        </w:rPr>
        <w:footnoteReference w:id="10"/>
      </w:r>
      <w:r w:rsidRPr="00F33A95">
        <w:rPr>
          <w:rFonts w:ascii="Arial" w:hAnsi="Arial" w:cs="Arial"/>
          <w:color w:val="000000"/>
          <w:szCs w:val="24"/>
          <w:shd w:val="clear" w:color="auto" w:fill="FFFFFF"/>
        </w:rPr>
        <w:t xml:space="preserve">, se presenta cuando acaece un hecho, que no guarda relación alguna con el objeto de la acción, pero </w:t>
      </w:r>
      <w:r w:rsidRPr="000145F0">
        <w:rPr>
          <w:rFonts w:ascii="Arial" w:hAnsi="Arial" w:cs="Arial"/>
          <w:color w:val="000000"/>
          <w:szCs w:val="24"/>
          <w:shd w:val="clear" w:color="auto" w:fill="FFFFFF"/>
        </w:rPr>
        <w:t>impide que lo pretendido pueda ser satisfecho, de tal suerte, que las órdenes que llegaren a impartirse serían inútiles</w:t>
      </w:r>
      <w:r w:rsidRPr="000145F0">
        <w:rPr>
          <w:rFonts w:ascii="Arial" w:hAnsi="Arial" w:cs="Arial"/>
          <w:i/>
          <w:iCs/>
          <w:color w:val="000000"/>
          <w:szCs w:val="24"/>
          <w:bdr w:val="none" w:sz="0" w:space="0" w:color="auto" w:frame="1"/>
          <w:shd w:val="clear" w:color="auto" w:fill="FFFFFF"/>
        </w:rPr>
        <w:t>.</w:t>
      </w:r>
    </w:p>
    <w:p w:rsidR="0086007C" w:rsidRDefault="0086007C" w:rsidP="007A6772">
      <w:pPr>
        <w:pStyle w:val="Corpsdetexte"/>
        <w:tabs>
          <w:tab w:val="clear" w:pos="708"/>
          <w:tab w:val="left" w:pos="709"/>
        </w:tabs>
        <w:spacing w:line="360" w:lineRule="auto"/>
        <w:rPr>
          <w:rFonts w:ascii="Arial" w:hAnsi="Arial"/>
          <w:smallCaps/>
          <w:szCs w:val="24"/>
        </w:rPr>
      </w:pPr>
    </w:p>
    <w:p w:rsidR="007A6772" w:rsidRPr="00C86D1F" w:rsidRDefault="007A6772" w:rsidP="007A6772">
      <w:pPr>
        <w:pStyle w:val="Corpsdetexte"/>
        <w:tabs>
          <w:tab w:val="clear" w:pos="708"/>
          <w:tab w:val="left" w:pos="709"/>
        </w:tabs>
        <w:spacing w:line="360" w:lineRule="auto"/>
        <w:rPr>
          <w:rFonts w:ascii="Arial" w:hAnsi="Arial"/>
          <w:szCs w:val="24"/>
        </w:rPr>
      </w:pPr>
      <w:r w:rsidRPr="00C86D1F">
        <w:rPr>
          <w:rFonts w:ascii="Arial" w:hAnsi="Arial"/>
          <w:szCs w:val="24"/>
        </w:rPr>
        <w:t>7.4.2</w:t>
      </w:r>
      <w:r w:rsidRPr="00C86D1F">
        <w:rPr>
          <w:rFonts w:ascii="Arial" w:hAnsi="Arial"/>
          <w:szCs w:val="24"/>
        </w:rPr>
        <w:tab/>
        <w:t>Los supuestos de la acción de tutela temeraria y la cosa juzgada constitucional</w:t>
      </w:r>
    </w:p>
    <w:p w:rsidR="007A6772" w:rsidRPr="001971C0" w:rsidRDefault="007A6772" w:rsidP="007A6772">
      <w:pPr>
        <w:pStyle w:val="Corpsdetexte"/>
        <w:tabs>
          <w:tab w:val="clear" w:pos="708"/>
          <w:tab w:val="left" w:pos="709"/>
        </w:tabs>
        <w:spacing w:line="360" w:lineRule="auto"/>
        <w:rPr>
          <w:rFonts w:ascii="Arial" w:hAnsi="Arial"/>
          <w:sz w:val="20"/>
          <w:szCs w:val="24"/>
        </w:rPr>
      </w:pPr>
    </w:p>
    <w:p w:rsidR="007A6772" w:rsidRDefault="007A6772" w:rsidP="007A6772">
      <w:pPr>
        <w:pStyle w:val="Corpsdetex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Pr="00E051C3">
        <w:rPr>
          <w:rStyle w:val="Appelnotedebasdep"/>
          <w:rFonts w:ascii="Arial" w:hAnsi="Arial"/>
        </w:rPr>
        <w:t xml:space="preserve"> </w:t>
      </w:r>
    </w:p>
    <w:p w:rsidR="007A6772" w:rsidRPr="001971C0" w:rsidRDefault="007A6772" w:rsidP="007A6772">
      <w:pPr>
        <w:pStyle w:val="Corpsdetexte"/>
        <w:tabs>
          <w:tab w:val="clear" w:pos="708"/>
          <w:tab w:val="left" w:pos="709"/>
        </w:tabs>
        <w:spacing w:line="360" w:lineRule="auto"/>
        <w:rPr>
          <w:rFonts w:ascii="Arial" w:hAnsi="Arial"/>
          <w:sz w:val="20"/>
          <w:szCs w:val="24"/>
        </w:rPr>
      </w:pPr>
    </w:p>
    <w:p w:rsidR="007A6772" w:rsidRPr="00556F7F" w:rsidRDefault="007A6772" w:rsidP="007A6772">
      <w:pPr>
        <w:pStyle w:val="Corpsdetexte"/>
        <w:tabs>
          <w:tab w:val="clear" w:pos="0"/>
          <w:tab w:val="clear" w:pos="708"/>
          <w:tab w:val="left" w:pos="709"/>
        </w:tabs>
        <w:spacing w:line="360" w:lineRule="auto"/>
        <w:rPr>
          <w:rFonts w:ascii="Arial" w:hAnsi="Arial" w:cs="Arial"/>
          <w:sz w:val="22"/>
          <w:szCs w:val="22"/>
        </w:rPr>
      </w:pPr>
      <w:r w:rsidRPr="00556F7F">
        <w:rPr>
          <w:rFonts w:ascii="Arial" w:hAnsi="Arial" w:cs="Arial"/>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 xml:space="preserve">así ha doctrinado la </w:t>
      </w:r>
      <w:r>
        <w:rPr>
          <w:rFonts w:ascii="Arial" w:hAnsi="Arial" w:cs="Arial"/>
          <w:szCs w:val="22"/>
        </w:rPr>
        <w:t>CC</w:t>
      </w:r>
      <w:r w:rsidRPr="00556F7F">
        <w:rPr>
          <w:rStyle w:val="Appelnotedebasdep"/>
          <w:rFonts w:ascii="Arial" w:hAnsi="Arial"/>
          <w:szCs w:val="22"/>
        </w:rPr>
        <w:footnoteReference w:id="11"/>
      </w:r>
      <w:r w:rsidRPr="00556F7F">
        <w:rPr>
          <w:rFonts w:ascii="Arial" w:hAnsi="Arial" w:cs="Arial"/>
          <w:sz w:val="22"/>
          <w:szCs w:val="22"/>
        </w:rPr>
        <w:t>.</w:t>
      </w:r>
    </w:p>
    <w:p w:rsidR="007A6772" w:rsidRPr="001971C0" w:rsidRDefault="007A6772" w:rsidP="007A6772">
      <w:pPr>
        <w:pStyle w:val="Corpsdetexte"/>
        <w:tabs>
          <w:tab w:val="clear" w:pos="708"/>
          <w:tab w:val="left" w:pos="709"/>
        </w:tabs>
        <w:spacing w:line="360" w:lineRule="auto"/>
        <w:rPr>
          <w:rFonts w:ascii="Arial" w:hAnsi="Arial"/>
          <w:sz w:val="20"/>
          <w:szCs w:val="24"/>
        </w:rPr>
      </w:pPr>
    </w:p>
    <w:p w:rsidR="007A6772" w:rsidRDefault="007A6772" w:rsidP="007A6772">
      <w:pPr>
        <w:pStyle w:val="Corpsdetexte"/>
        <w:tabs>
          <w:tab w:val="clear" w:pos="0"/>
          <w:tab w:val="clear" w:pos="708"/>
          <w:tab w:val="left" w:pos="709"/>
        </w:tabs>
        <w:spacing w:line="360" w:lineRule="auto"/>
        <w:rPr>
          <w:rFonts w:ascii="Arial" w:hAnsi="Arial" w:cs="Arial"/>
          <w:szCs w:val="22"/>
        </w:rPr>
      </w:pPr>
      <w:r w:rsidRPr="00556F7F">
        <w:rPr>
          <w:rFonts w:ascii="Arial" w:hAnsi="Arial" w:cs="Arial"/>
          <w:szCs w:val="22"/>
        </w:rPr>
        <w:t>No obstante lo anterior, también ha dicho la jurisprudencia constitucional que no siempre ante una duplicidad de acciones se presenta la temeridad en el ejercicio de la tutela, criterio reiterado</w:t>
      </w:r>
      <w:r>
        <w:rPr>
          <w:rStyle w:val="Appelnotedebasdep"/>
          <w:rFonts w:ascii="Arial" w:hAnsi="Arial"/>
          <w:szCs w:val="22"/>
        </w:rPr>
        <w:footnoteReference w:id="12"/>
      </w:r>
      <w:r w:rsidRPr="00833A61">
        <w:rPr>
          <w:rFonts w:ascii="Arial" w:hAnsi="Arial" w:cs="Arial"/>
          <w:szCs w:val="22"/>
          <w:vertAlign w:val="superscript"/>
        </w:rPr>
        <w:t>-</w:t>
      </w:r>
      <w:r w:rsidRPr="00556F7F">
        <w:rPr>
          <w:rStyle w:val="Appelnotedebasdep"/>
          <w:rFonts w:ascii="Arial" w:hAnsi="Arial"/>
          <w:szCs w:val="22"/>
          <w:lang w:val="es-ES"/>
        </w:rPr>
        <w:footnoteReference w:id="13"/>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Appelnotedebasdep"/>
          <w:rFonts w:ascii="Arial" w:hAnsi="Arial"/>
          <w:szCs w:val="22"/>
        </w:rPr>
        <w:footnoteReference w:id="14"/>
      </w:r>
      <w:r w:rsidRPr="00556F7F">
        <w:rPr>
          <w:rFonts w:ascii="Arial" w:hAnsi="Arial" w:cs="Arial"/>
          <w:szCs w:val="22"/>
        </w:rPr>
        <w:t>, pues sostiene:</w:t>
      </w:r>
    </w:p>
    <w:p w:rsidR="007A6772" w:rsidRPr="00E051C3" w:rsidRDefault="007A6772" w:rsidP="007A6772">
      <w:pPr>
        <w:pStyle w:val="Corpsdetexte"/>
        <w:tabs>
          <w:tab w:val="clear" w:pos="0"/>
          <w:tab w:val="clear" w:pos="708"/>
          <w:tab w:val="left" w:pos="709"/>
        </w:tabs>
        <w:spacing w:line="360" w:lineRule="auto"/>
        <w:rPr>
          <w:rFonts w:ascii="Arial" w:hAnsi="Arial" w:cs="Arial"/>
          <w:sz w:val="12"/>
          <w:szCs w:val="22"/>
          <w:lang w:val="es-CO"/>
        </w:rPr>
      </w:pPr>
    </w:p>
    <w:p w:rsidR="007A6772" w:rsidRPr="00556F7F" w:rsidRDefault="007A6772" w:rsidP="007A6772">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 xml:space="preserve">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w:t>
      </w:r>
      <w:r w:rsidRPr="00556F7F">
        <w:rPr>
          <w:rFonts w:ascii="Arial" w:hAnsi="Arial" w:cs="Arial"/>
          <w:i/>
          <w:iCs/>
          <w:color w:val="000000"/>
        </w:rPr>
        <w:lastRenderedPageBreak/>
        <w:t>protección de los derechos, y 4) en la presentación de una nueva acción ante la existencia de una sentencia de unificación de la Corte Constituciona</w:t>
      </w:r>
      <w:r w:rsidRPr="00556F7F">
        <w:rPr>
          <w:rFonts w:ascii="Arial" w:hAnsi="Arial" w:cs="Arial"/>
          <w:color w:val="000000"/>
        </w:rPr>
        <w:t>l.”</w:t>
      </w:r>
    </w:p>
    <w:p w:rsidR="007A6772" w:rsidRDefault="007A6772" w:rsidP="007A677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7A6772" w:rsidRDefault="007A6772" w:rsidP="007A677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 es  preciso  señalar  conforme  al  criterio  de  la  doctora  Catalina Botero Marino</w:t>
      </w:r>
      <w:r>
        <w:rPr>
          <w:rStyle w:val="Appelnotedebasdep"/>
          <w:rFonts w:ascii="Arial" w:hAnsi="Arial"/>
          <w:spacing w:val="-3"/>
          <w:szCs w:val="20"/>
          <w:lang w:val="es-ES_tradnl"/>
        </w:rPr>
        <w:footnoteReference w:id="15"/>
      </w:r>
      <w:r>
        <w:rPr>
          <w:rFonts w:ascii="Arial" w:hAnsi="Arial" w:cs="Times New Roman"/>
          <w:spacing w:val="-3"/>
          <w:szCs w:val="20"/>
          <w:lang w:val="es-ES_tradnl"/>
        </w:rPr>
        <w:t xml:space="preserve"> que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Appelnotedebasdep"/>
          <w:rFonts w:ascii="Arial" w:hAnsi="Arial"/>
          <w:spacing w:val="-3"/>
          <w:szCs w:val="20"/>
          <w:lang w:val="es-ES_tradnl"/>
        </w:rPr>
        <w:footnoteReference w:id="16"/>
      </w:r>
      <w:r>
        <w:rPr>
          <w:rFonts w:ascii="Arial" w:hAnsi="Arial" w:cs="Times New Roman"/>
          <w:spacing w:val="-3"/>
          <w:szCs w:val="20"/>
          <w:lang w:val="es-ES_tradnl"/>
        </w:rPr>
        <w:t>.</w:t>
      </w:r>
    </w:p>
    <w:p w:rsidR="007A6772" w:rsidRDefault="007A6772" w:rsidP="007A6772">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
    <w:p w:rsidR="007A6772" w:rsidRDefault="007A6772" w:rsidP="007A6772">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Appelnotedebasdep"/>
          <w:rFonts w:ascii="Arial" w:hAnsi="Arial" w:cs="Arial"/>
          <w:lang w:val="es-ES_tradnl"/>
        </w:rPr>
        <w:footnoteReference w:id="17"/>
      </w:r>
      <w:r w:rsidRPr="007F030F">
        <w:rPr>
          <w:rFonts w:ascii="Arial" w:hAnsi="Arial" w:cs="Arial"/>
          <w:lang w:val="es-ES_tradnl"/>
        </w:rPr>
        <w:t>. Y</w:t>
      </w:r>
      <w:r>
        <w:rPr>
          <w:rFonts w:ascii="Arial" w:hAnsi="Arial" w:cs="Arial"/>
          <w:lang w:val="es-ES_tradnl"/>
        </w:rPr>
        <w:t xml:space="preserve"> en</w:t>
      </w:r>
      <w:r w:rsidRPr="007F030F">
        <w:rPr>
          <w:rFonts w:ascii="Arial" w:hAnsi="Arial" w:cs="Arial"/>
          <w:lang w:val="es-ES_tradnl"/>
        </w:rPr>
        <w:t xml:space="preserve"> ese sentido </w:t>
      </w:r>
      <w:r>
        <w:rPr>
          <w:rFonts w:ascii="Arial" w:hAnsi="Arial" w:cs="Arial"/>
          <w:lang w:val="es-ES_tradnl"/>
        </w:rPr>
        <w:t xml:space="preserve">se </w:t>
      </w:r>
      <w:r w:rsidRPr="007F030F">
        <w:rPr>
          <w:rFonts w:ascii="Arial" w:hAnsi="Arial" w:cs="Arial"/>
          <w:lang w:val="es-ES_tradnl"/>
        </w:rPr>
        <w:t>advirtió</w:t>
      </w:r>
      <w:r w:rsidRPr="007F030F">
        <w:rPr>
          <w:rStyle w:val="Appelnotedebasdep"/>
          <w:rFonts w:ascii="Arial" w:hAnsi="Arial" w:cs="Arial"/>
          <w:i/>
          <w:iCs/>
          <w:color w:val="000000"/>
          <w:sz w:val="22"/>
        </w:rPr>
        <w:footnoteReference w:id="18"/>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7A6772" w:rsidRPr="001971C0" w:rsidRDefault="007A6772" w:rsidP="007A6772">
      <w:pPr>
        <w:pStyle w:val="Corpsdetexte"/>
        <w:spacing w:line="360" w:lineRule="auto"/>
        <w:rPr>
          <w:rFonts w:ascii="Arial" w:hAnsi="Arial"/>
          <w:sz w:val="20"/>
          <w:szCs w:val="24"/>
        </w:rPr>
      </w:pPr>
    </w:p>
    <w:p w:rsidR="007A6772" w:rsidRDefault="007A6772" w:rsidP="007A6772">
      <w:pPr>
        <w:spacing w:line="360" w:lineRule="auto"/>
        <w:ind w:right="51"/>
        <w:jc w:val="both"/>
        <w:rPr>
          <w:rFonts w:ascii="Arial" w:hAnsi="Arial" w:cs="Arial"/>
          <w:iCs/>
          <w:color w:val="000000"/>
        </w:rPr>
      </w:pPr>
      <w:r w:rsidRPr="00A4402B">
        <w:rPr>
          <w:rFonts w:ascii="Arial" w:hAnsi="Arial" w:cs="Arial"/>
          <w:iCs/>
          <w:color w:val="000000"/>
        </w:rPr>
        <w:t>Así entonces existe la pos</w:t>
      </w:r>
      <w:r>
        <w:rPr>
          <w:rFonts w:ascii="Arial" w:hAnsi="Arial" w:cs="Arial"/>
          <w:iCs/>
          <w:color w:val="000000"/>
        </w:rPr>
        <w:t>ibilidad de que se presenten las siguientes situaciones</w:t>
      </w:r>
      <w:r>
        <w:rPr>
          <w:rStyle w:val="Appelnotedebasdep"/>
          <w:rFonts w:ascii="Arial" w:hAnsi="Arial"/>
          <w:iCs/>
          <w:color w:val="000000"/>
        </w:rPr>
        <w:footnoteReference w:id="19"/>
      </w:r>
      <w:r>
        <w:rPr>
          <w:rFonts w:ascii="Arial" w:hAnsi="Arial" w:cs="Arial"/>
          <w:iCs/>
          <w:color w:val="000000"/>
        </w:rPr>
        <w:t xml:space="preserve">: (i) Cosa juzgada </w:t>
      </w:r>
      <w:r w:rsidRPr="00A4402B">
        <w:rPr>
          <w:rFonts w:ascii="Arial" w:hAnsi="Arial" w:cs="Arial"/>
          <w:iCs/>
          <w:color w:val="000000"/>
        </w:rPr>
        <w:t>y temeridad</w:t>
      </w:r>
      <w:r>
        <w:rPr>
          <w:rFonts w:ascii="Arial" w:hAnsi="Arial" w:cs="Arial"/>
          <w:iCs/>
          <w:color w:val="000000"/>
        </w:rPr>
        <w:t xml:space="preserve">, </w:t>
      </w:r>
      <w:r w:rsidRPr="00A4402B">
        <w:rPr>
          <w:rFonts w:ascii="Arial" w:hAnsi="Arial" w:cs="Arial"/>
          <w:iCs/>
          <w:color w:val="000000"/>
        </w:rPr>
        <w:t>cuando se presenta una tutela sobre un asunto ya decidido</w:t>
      </w:r>
      <w:r>
        <w:rPr>
          <w:rFonts w:ascii="Arial" w:hAnsi="Arial" w:cs="Arial"/>
          <w:iCs/>
          <w:color w:val="000000"/>
        </w:rPr>
        <w:t xml:space="preserve"> pero</w:t>
      </w:r>
      <w:r w:rsidRPr="00A4402B">
        <w:rPr>
          <w:rFonts w:ascii="Arial" w:hAnsi="Arial" w:cs="Arial"/>
          <w:iCs/>
          <w:color w:val="000000"/>
        </w:rPr>
        <w:t xml:space="preserve"> sin justificación para su presentación;</w:t>
      </w:r>
      <w:r>
        <w:rPr>
          <w:rFonts w:ascii="Arial" w:hAnsi="Arial" w:cs="Arial"/>
          <w:iCs/>
          <w:color w:val="000000"/>
        </w:rPr>
        <w:t xml:space="preserve"> (ii)</w:t>
      </w:r>
      <w:r w:rsidRPr="00A4402B">
        <w:rPr>
          <w:rFonts w:ascii="Arial" w:hAnsi="Arial" w:cs="Arial"/>
          <w:iCs/>
          <w:color w:val="000000"/>
        </w:rPr>
        <w:t xml:space="preserve"> </w:t>
      </w:r>
      <w:r>
        <w:rPr>
          <w:rFonts w:ascii="Arial" w:hAnsi="Arial" w:cs="Arial"/>
          <w:iCs/>
          <w:color w:val="000000"/>
        </w:rPr>
        <w:t>C</w:t>
      </w:r>
      <w:r w:rsidRPr="00A4402B">
        <w:rPr>
          <w:rFonts w:ascii="Arial" w:hAnsi="Arial" w:cs="Arial"/>
          <w:iCs/>
          <w:color w:val="000000"/>
        </w:rPr>
        <w:t xml:space="preserve">osa juzgada sin temeridad, cuando se interpone el amparo con expresa manifestación de que </w:t>
      </w:r>
      <w:r>
        <w:rPr>
          <w:rFonts w:ascii="Arial" w:hAnsi="Arial" w:cs="Arial"/>
          <w:iCs/>
          <w:color w:val="000000"/>
        </w:rPr>
        <w:t xml:space="preserve">se </w:t>
      </w:r>
      <w:r w:rsidRPr="00A4402B">
        <w:rPr>
          <w:rFonts w:ascii="Arial" w:hAnsi="Arial" w:cs="Arial"/>
          <w:iCs/>
          <w:color w:val="000000"/>
        </w:rPr>
        <w:t xml:space="preserve">hace por segunda vez y con la convicción de que no ha operado el fenómeno de la cosa juzgada; y, </w:t>
      </w:r>
      <w:r>
        <w:rPr>
          <w:rFonts w:ascii="Arial" w:hAnsi="Arial" w:cs="Arial"/>
          <w:iCs/>
          <w:color w:val="000000"/>
        </w:rPr>
        <w:t>(iii) T</w:t>
      </w:r>
      <w:r w:rsidRPr="00A4402B">
        <w:rPr>
          <w:rFonts w:ascii="Arial" w:hAnsi="Arial" w:cs="Arial"/>
          <w:iCs/>
          <w:color w:val="000000"/>
        </w:rPr>
        <w:t>emeridad sin cosa juzgada, cuando se presenta simultaneidad entre dos o más solicitudes de amparo que presentan la trip</w:t>
      </w:r>
      <w:r>
        <w:rPr>
          <w:rFonts w:ascii="Arial" w:hAnsi="Arial" w:cs="Arial"/>
          <w:iCs/>
          <w:color w:val="000000"/>
        </w:rPr>
        <w:t>l</w:t>
      </w:r>
      <w:r w:rsidRPr="00A4402B">
        <w:rPr>
          <w:rFonts w:ascii="Arial" w:hAnsi="Arial" w:cs="Arial"/>
          <w:iCs/>
          <w:color w:val="000000"/>
        </w:rPr>
        <w:t>e identidad (</w:t>
      </w:r>
      <w:r>
        <w:rPr>
          <w:rFonts w:ascii="Arial" w:hAnsi="Arial" w:cs="Arial"/>
          <w:iCs/>
          <w:color w:val="000000"/>
        </w:rPr>
        <w:t>O</w:t>
      </w:r>
      <w:r w:rsidRPr="00A4402B">
        <w:rPr>
          <w:rFonts w:ascii="Arial" w:hAnsi="Arial" w:cs="Arial"/>
          <w:iCs/>
          <w:color w:val="000000"/>
        </w:rPr>
        <w:t xml:space="preserve">bjeto, causa y partes), sin que ninguna haya hecho tránsito a cosa juzgada. </w:t>
      </w:r>
    </w:p>
    <w:p w:rsidR="007A6772" w:rsidRPr="001971C0" w:rsidRDefault="007A6772" w:rsidP="007A6772">
      <w:pPr>
        <w:pStyle w:val="Corpsdetexte"/>
        <w:spacing w:line="360" w:lineRule="auto"/>
        <w:rPr>
          <w:rFonts w:ascii="Arial" w:hAnsi="Arial"/>
          <w:sz w:val="20"/>
          <w:szCs w:val="24"/>
        </w:rPr>
      </w:pPr>
    </w:p>
    <w:p w:rsidR="007A6772" w:rsidRPr="00A4402B" w:rsidRDefault="007A6772" w:rsidP="007A6772">
      <w:pPr>
        <w:spacing w:line="360" w:lineRule="auto"/>
        <w:ind w:right="51"/>
        <w:jc w:val="both"/>
        <w:rPr>
          <w:rFonts w:ascii="Arial" w:hAnsi="Arial" w:cs="Arial"/>
        </w:rPr>
      </w:pPr>
      <w:r>
        <w:rPr>
          <w:rFonts w:ascii="Arial" w:hAnsi="Arial" w:cs="Arial"/>
          <w:iCs/>
          <w:color w:val="000000"/>
        </w:rPr>
        <w:t xml:space="preserve">En síntesis, la concurrencia de la triple identidad </w:t>
      </w:r>
      <w:r>
        <w:rPr>
          <w:rFonts w:ascii="Arial" w:hAnsi="Arial" w:cs="Arial"/>
        </w:rPr>
        <w:t>es in</w:t>
      </w:r>
      <w:r w:rsidRPr="00A4402B">
        <w:rPr>
          <w:rFonts w:ascii="Arial" w:hAnsi="Arial" w:cs="Arial"/>
        </w:rPr>
        <w:t>suficiente para concluir que se trata de una actuación amañada o contraria al principio constitucional de buena fe</w:t>
      </w:r>
      <w:r>
        <w:rPr>
          <w:rFonts w:ascii="Arial" w:hAnsi="Arial" w:cs="Arial"/>
        </w:rPr>
        <w:t xml:space="preserve">, pero sí está afectada de improcedencia por el fenómeno de la </w:t>
      </w:r>
      <w:r w:rsidRPr="00104D5D">
        <w:rPr>
          <w:rFonts w:ascii="Arial" w:hAnsi="Arial" w:cs="Arial"/>
          <w:u w:val="single"/>
        </w:rPr>
        <w:t>cosa juzgada constitucional</w:t>
      </w:r>
      <w:r w:rsidRPr="00A4402B">
        <w:rPr>
          <w:rFonts w:ascii="Arial" w:hAnsi="Arial" w:cs="Arial"/>
        </w:rPr>
        <w:t>.</w:t>
      </w:r>
    </w:p>
    <w:p w:rsidR="007A6772" w:rsidRDefault="007A6772" w:rsidP="007A6772">
      <w:pPr>
        <w:pStyle w:val="Corpsdetexte"/>
        <w:spacing w:line="360" w:lineRule="auto"/>
        <w:rPr>
          <w:rFonts w:ascii="Arial" w:hAnsi="Arial" w:cs="Arial"/>
          <w:szCs w:val="24"/>
        </w:rPr>
      </w:pPr>
    </w:p>
    <w:p w:rsidR="00E20D05" w:rsidRDefault="00E20D05" w:rsidP="007A6772">
      <w:pPr>
        <w:pStyle w:val="Corpsdetexte"/>
        <w:spacing w:line="360" w:lineRule="auto"/>
        <w:rPr>
          <w:rFonts w:ascii="Arial" w:hAnsi="Arial" w:cs="Arial"/>
          <w:szCs w:val="24"/>
        </w:rPr>
      </w:pPr>
    </w:p>
    <w:p w:rsidR="00E20D05" w:rsidRDefault="00E20D05" w:rsidP="007A6772">
      <w:pPr>
        <w:pStyle w:val="Corpsdetexte"/>
        <w:spacing w:line="360" w:lineRule="auto"/>
        <w:rPr>
          <w:rFonts w:ascii="Arial" w:hAnsi="Arial" w:cs="Arial"/>
          <w:szCs w:val="24"/>
        </w:rPr>
      </w:pPr>
    </w:p>
    <w:p w:rsidR="0084306F" w:rsidRPr="007A6772" w:rsidRDefault="0084306F" w:rsidP="007A6772">
      <w:pPr>
        <w:pStyle w:val="Paragraphedeliste"/>
        <w:numPr>
          <w:ilvl w:val="0"/>
          <w:numId w:val="30"/>
        </w:numPr>
        <w:spacing w:line="360" w:lineRule="auto"/>
        <w:jc w:val="both"/>
        <w:rPr>
          <w:rFonts w:ascii="Arial" w:hAnsi="Arial"/>
          <w:smallCaps/>
          <w:vanish/>
        </w:rPr>
      </w:pPr>
    </w:p>
    <w:p w:rsidR="009E4FCD" w:rsidRPr="0086007C" w:rsidRDefault="009E4FCD" w:rsidP="0086007C">
      <w:pPr>
        <w:pStyle w:val="Paragraphedeliste"/>
        <w:numPr>
          <w:ilvl w:val="0"/>
          <w:numId w:val="30"/>
        </w:numPr>
        <w:spacing w:line="360" w:lineRule="auto"/>
        <w:jc w:val="both"/>
        <w:rPr>
          <w:rFonts w:ascii="Arial" w:hAnsi="Arial"/>
          <w:smallCaps/>
          <w:sz w:val="28"/>
          <w:lang w:val="es-ES_tradnl"/>
        </w:rPr>
      </w:pPr>
      <w:r w:rsidRPr="0086007C">
        <w:rPr>
          <w:rFonts w:ascii="Arial" w:hAnsi="Arial"/>
          <w:smallCaps/>
          <w:sz w:val="28"/>
        </w:rPr>
        <w:t>El</w:t>
      </w:r>
      <w:r w:rsidRPr="0086007C">
        <w:rPr>
          <w:rFonts w:ascii="Arial" w:hAnsi="Arial"/>
          <w:smallCaps/>
          <w:sz w:val="28"/>
          <w:lang w:val="es-ES_tradnl"/>
        </w:rPr>
        <w:t xml:space="preserve"> análisis del caso en concreto</w:t>
      </w:r>
    </w:p>
    <w:p w:rsidR="009E4FCD" w:rsidRDefault="009E4FCD" w:rsidP="0086007C">
      <w:pPr>
        <w:spacing w:line="360" w:lineRule="auto"/>
        <w:jc w:val="both"/>
        <w:rPr>
          <w:rFonts w:ascii="Arial" w:hAnsi="Arial"/>
          <w:lang w:val="es-ES_tradnl"/>
        </w:rPr>
      </w:pPr>
    </w:p>
    <w:p w:rsidR="0086007C" w:rsidRDefault="0086007C" w:rsidP="0086007C">
      <w:pPr>
        <w:spacing w:line="360" w:lineRule="auto"/>
        <w:jc w:val="both"/>
        <w:rPr>
          <w:rFonts w:ascii="Arial" w:hAnsi="Arial"/>
          <w:lang w:val="es-ES_tradnl"/>
        </w:rPr>
      </w:pPr>
      <w:r>
        <w:rPr>
          <w:rFonts w:ascii="Arial" w:hAnsi="Arial"/>
          <w:lang w:val="es-ES_tradnl"/>
        </w:rPr>
        <w:t xml:space="preserve">8.1. </w:t>
      </w:r>
      <w:r w:rsidRPr="00B00916">
        <w:rPr>
          <w:rFonts w:ascii="Arial" w:hAnsi="Arial"/>
          <w:smallCaps/>
          <w:lang w:val="es-ES_tradnl"/>
        </w:rPr>
        <w:t>Carencia actual de objeto por el hecho superado</w:t>
      </w:r>
    </w:p>
    <w:p w:rsidR="009207C9" w:rsidRDefault="009207C9" w:rsidP="0086007C">
      <w:pPr>
        <w:pStyle w:val="Corpsdetexte"/>
        <w:spacing w:line="360" w:lineRule="auto"/>
        <w:rPr>
          <w:rFonts w:ascii="Arial" w:hAnsi="Arial"/>
          <w:szCs w:val="24"/>
        </w:rPr>
      </w:pPr>
    </w:p>
    <w:p w:rsidR="0086007C" w:rsidRDefault="0086007C" w:rsidP="0086007C">
      <w:pPr>
        <w:pStyle w:val="Corpsdetexte"/>
        <w:spacing w:line="360" w:lineRule="auto"/>
        <w:rPr>
          <w:rFonts w:ascii="Arial" w:hAnsi="Arial"/>
          <w:szCs w:val="24"/>
        </w:rPr>
      </w:pPr>
      <w:r>
        <w:rPr>
          <w:rFonts w:ascii="Arial" w:hAnsi="Arial"/>
          <w:szCs w:val="24"/>
        </w:rPr>
        <w:t>Pretendía el</w:t>
      </w:r>
      <w:r w:rsidRPr="008D792E">
        <w:rPr>
          <w:rFonts w:ascii="Arial" w:hAnsi="Arial"/>
          <w:szCs w:val="24"/>
        </w:rPr>
        <w:t xml:space="preserve"> ac</w:t>
      </w:r>
      <w:r>
        <w:rPr>
          <w:rFonts w:ascii="Arial" w:hAnsi="Arial"/>
          <w:szCs w:val="24"/>
        </w:rPr>
        <w:t>cionante que se resolviera sobre la admisión de las acciones populares atrás referenciadas</w:t>
      </w:r>
      <w:r w:rsidR="00B00916">
        <w:rPr>
          <w:rFonts w:ascii="Arial" w:hAnsi="Arial"/>
          <w:szCs w:val="24"/>
        </w:rPr>
        <w:t xml:space="preserve">, </w:t>
      </w:r>
      <w:r>
        <w:rPr>
          <w:rFonts w:ascii="Arial" w:hAnsi="Arial"/>
          <w:szCs w:val="24"/>
        </w:rPr>
        <w:t xml:space="preserve">y según se desprende de las copias arrimadas por la </w:t>
      </w:r>
      <w:r w:rsidRPr="00C75445">
        <w:rPr>
          <w:rFonts w:ascii="Arial" w:hAnsi="Arial"/>
          <w:i/>
          <w:szCs w:val="24"/>
        </w:rPr>
        <w:t>a quo</w:t>
      </w:r>
      <w:r>
        <w:rPr>
          <w:rFonts w:ascii="Arial" w:hAnsi="Arial"/>
          <w:i/>
          <w:szCs w:val="24"/>
        </w:rPr>
        <w:t>,</w:t>
      </w:r>
      <w:r>
        <w:rPr>
          <w:rFonts w:ascii="Arial" w:hAnsi="Arial"/>
          <w:szCs w:val="24"/>
        </w:rPr>
        <w:t xml:space="preserve"> fueron </w:t>
      </w:r>
      <w:r w:rsidR="00B00916">
        <w:rPr>
          <w:rFonts w:ascii="Arial" w:hAnsi="Arial"/>
          <w:szCs w:val="24"/>
        </w:rPr>
        <w:t xml:space="preserve">rechazadas </w:t>
      </w:r>
      <w:r>
        <w:rPr>
          <w:rFonts w:ascii="Arial" w:hAnsi="Arial"/>
          <w:szCs w:val="24"/>
        </w:rPr>
        <w:t xml:space="preserve">con sendos proveídos dictados el día </w:t>
      </w:r>
      <w:r w:rsidR="00B00916">
        <w:rPr>
          <w:rFonts w:ascii="Arial" w:hAnsi="Arial"/>
          <w:szCs w:val="24"/>
        </w:rPr>
        <w:t>31-10-2016</w:t>
      </w:r>
      <w:r>
        <w:rPr>
          <w:rFonts w:ascii="Arial" w:hAnsi="Arial"/>
          <w:szCs w:val="24"/>
        </w:rPr>
        <w:t xml:space="preserve"> (Folios </w:t>
      </w:r>
      <w:r w:rsidR="00B00916">
        <w:rPr>
          <w:rFonts w:ascii="Arial" w:hAnsi="Arial"/>
          <w:szCs w:val="24"/>
        </w:rPr>
        <w:t>22</w:t>
      </w:r>
      <w:r>
        <w:rPr>
          <w:rFonts w:ascii="Arial" w:hAnsi="Arial"/>
          <w:szCs w:val="24"/>
        </w:rPr>
        <w:t xml:space="preserve">, </w:t>
      </w:r>
      <w:r w:rsidR="00B00916">
        <w:rPr>
          <w:rFonts w:ascii="Arial" w:hAnsi="Arial"/>
          <w:szCs w:val="24"/>
        </w:rPr>
        <w:t>25</w:t>
      </w:r>
      <w:r>
        <w:rPr>
          <w:rFonts w:ascii="Arial" w:hAnsi="Arial"/>
          <w:szCs w:val="24"/>
        </w:rPr>
        <w:t xml:space="preserve">, </w:t>
      </w:r>
      <w:r w:rsidR="00B00916">
        <w:rPr>
          <w:rFonts w:ascii="Arial" w:hAnsi="Arial"/>
          <w:szCs w:val="24"/>
        </w:rPr>
        <w:t xml:space="preserve">28 </w:t>
      </w:r>
      <w:r>
        <w:rPr>
          <w:rFonts w:ascii="Arial" w:hAnsi="Arial"/>
          <w:szCs w:val="24"/>
        </w:rPr>
        <w:t xml:space="preserve">y </w:t>
      </w:r>
      <w:r w:rsidR="00B00916">
        <w:rPr>
          <w:rFonts w:ascii="Arial" w:hAnsi="Arial"/>
          <w:szCs w:val="24"/>
        </w:rPr>
        <w:t>31</w:t>
      </w:r>
      <w:r>
        <w:rPr>
          <w:rFonts w:ascii="Arial" w:hAnsi="Arial"/>
          <w:szCs w:val="24"/>
        </w:rPr>
        <w:t>, ib.), posteriormente a la presentación de los amparos (</w:t>
      </w:r>
      <w:r w:rsidR="00B00916">
        <w:rPr>
          <w:rFonts w:ascii="Arial" w:hAnsi="Arial"/>
          <w:szCs w:val="24"/>
        </w:rPr>
        <w:t>28-10</w:t>
      </w:r>
      <w:r>
        <w:rPr>
          <w:rFonts w:ascii="Arial" w:hAnsi="Arial"/>
          <w:szCs w:val="24"/>
        </w:rPr>
        <w:t xml:space="preserve">-2016). </w:t>
      </w:r>
    </w:p>
    <w:p w:rsidR="0086007C" w:rsidRPr="00C12187" w:rsidRDefault="0086007C" w:rsidP="0086007C">
      <w:pPr>
        <w:pStyle w:val="Corpsdetexte"/>
        <w:spacing w:line="360" w:lineRule="auto"/>
        <w:rPr>
          <w:rFonts w:ascii="Arial" w:hAnsi="Arial"/>
          <w:sz w:val="20"/>
          <w:szCs w:val="24"/>
        </w:rPr>
      </w:pPr>
    </w:p>
    <w:p w:rsidR="0086007C" w:rsidRDefault="0086007C" w:rsidP="0086007C">
      <w:pPr>
        <w:pStyle w:val="Corpsdetexte"/>
        <w:spacing w:line="360" w:lineRule="auto"/>
        <w:rPr>
          <w:rFonts w:ascii="Arial" w:hAnsi="Arial"/>
          <w:szCs w:val="24"/>
        </w:rPr>
      </w:pPr>
      <w:r>
        <w:rPr>
          <w:rFonts w:ascii="Arial" w:hAnsi="Arial"/>
          <w:szCs w:val="24"/>
        </w:rPr>
        <w:t xml:space="preserve">Advierte la Sala que, si bien no lo hizo dentro de los plazos ley (Artículo 20 de la Ley 472), pues, las </w:t>
      </w:r>
      <w:r w:rsidR="00B00916">
        <w:rPr>
          <w:rFonts w:ascii="Arial" w:hAnsi="Arial"/>
          <w:szCs w:val="24"/>
        </w:rPr>
        <w:t xml:space="preserve">acciones </w:t>
      </w:r>
      <w:r>
        <w:rPr>
          <w:rFonts w:ascii="Arial" w:hAnsi="Arial"/>
          <w:szCs w:val="24"/>
        </w:rPr>
        <w:t xml:space="preserve">fueron </w:t>
      </w:r>
      <w:r w:rsidR="00B00916">
        <w:rPr>
          <w:rFonts w:ascii="Arial" w:hAnsi="Arial"/>
          <w:szCs w:val="24"/>
        </w:rPr>
        <w:t xml:space="preserve">repartidas </w:t>
      </w:r>
      <w:r>
        <w:rPr>
          <w:rFonts w:ascii="Arial" w:hAnsi="Arial"/>
          <w:szCs w:val="24"/>
        </w:rPr>
        <w:t xml:space="preserve">el día </w:t>
      </w:r>
      <w:r w:rsidR="00B00916">
        <w:rPr>
          <w:rFonts w:ascii="Arial" w:hAnsi="Arial"/>
          <w:szCs w:val="24"/>
        </w:rPr>
        <w:t>21</w:t>
      </w:r>
      <w:r>
        <w:rPr>
          <w:rFonts w:ascii="Arial" w:hAnsi="Arial"/>
          <w:szCs w:val="24"/>
        </w:rPr>
        <w:t>-</w:t>
      </w:r>
      <w:r w:rsidR="00B00916">
        <w:rPr>
          <w:rFonts w:ascii="Arial" w:hAnsi="Arial"/>
          <w:szCs w:val="24"/>
        </w:rPr>
        <w:t>10</w:t>
      </w:r>
      <w:r>
        <w:rPr>
          <w:rFonts w:ascii="Arial" w:hAnsi="Arial"/>
          <w:szCs w:val="24"/>
        </w:rPr>
        <w:t xml:space="preserve">-2016 (Folios </w:t>
      </w:r>
      <w:r w:rsidR="00B00916">
        <w:rPr>
          <w:rFonts w:ascii="Arial" w:hAnsi="Arial"/>
          <w:szCs w:val="24"/>
        </w:rPr>
        <w:t>21</w:t>
      </w:r>
      <w:r>
        <w:rPr>
          <w:rFonts w:ascii="Arial" w:hAnsi="Arial"/>
          <w:szCs w:val="24"/>
        </w:rPr>
        <w:t xml:space="preserve">,  </w:t>
      </w:r>
      <w:r w:rsidR="00B00916">
        <w:rPr>
          <w:rFonts w:ascii="Arial" w:hAnsi="Arial"/>
          <w:szCs w:val="24"/>
        </w:rPr>
        <w:t>24 vto.</w:t>
      </w:r>
      <w:r>
        <w:rPr>
          <w:rFonts w:ascii="Arial" w:hAnsi="Arial"/>
          <w:szCs w:val="24"/>
        </w:rPr>
        <w:t xml:space="preserve">, </w:t>
      </w:r>
      <w:r w:rsidR="00B00916">
        <w:rPr>
          <w:rFonts w:ascii="Arial" w:hAnsi="Arial"/>
          <w:szCs w:val="24"/>
        </w:rPr>
        <w:t xml:space="preserve">27 </w:t>
      </w:r>
      <w:r>
        <w:rPr>
          <w:rFonts w:ascii="Arial" w:hAnsi="Arial"/>
          <w:szCs w:val="24"/>
        </w:rPr>
        <w:t xml:space="preserve">vto. y </w:t>
      </w:r>
      <w:r w:rsidR="00B00916">
        <w:rPr>
          <w:rFonts w:ascii="Arial" w:hAnsi="Arial"/>
          <w:szCs w:val="24"/>
        </w:rPr>
        <w:t xml:space="preserve">30 </w:t>
      </w:r>
      <w:r>
        <w:rPr>
          <w:rFonts w:ascii="Arial" w:hAnsi="Arial"/>
          <w:szCs w:val="24"/>
        </w:rPr>
        <w:t xml:space="preserve">vto., ib.) y el término para decidir venció el día </w:t>
      </w:r>
      <w:r w:rsidR="00B00916">
        <w:rPr>
          <w:rFonts w:ascii="Arial" w:hAnsi="Arial"/>
          <w:szCs w:val="24"/>
        </w:rPr>
        <w:t>26</w:t>
      </w:r>
      <w:r>
        <w:rPr>
          <w:rFonts w:ascii="Arial" w:hAnsi="Arial"/>
          <w:szCs w:val="24"/>
        </w:rPr>
        <w:t>-</w:t>
      </w:r>
      <w:r w:rsidR="00B00916">
        <w:rPr>
          <w:rFonts w:ascii="Arial" w:hAnsi="Arial"/>
          <w:szCs w:val="24"/>
        </w:rPr>
        <w:t>10</w:t>
      </w:r>
      <w:r>
        <w:rPr>
          <w:rFonts w:ascii="Arial" w:hAnsi="Arial"/>
          <w:szCs w:val="24"/>
        </w:rPr>
        <w:t xml:space="preserve">-2016, se observa que cesó la vulneración o amenazada al debido proceso. </w:t>
      </w:r>
    </w:p>
    <w:p w:rsidR="00B00916" w:rsidRDefault="00B00916" w:rsidP="0086007C">
      <w:pPr>
        <w:pStyle w:val="Corpsdetexte"/>
        <w:spacing w:line="360" w:lineRule="auto"/>
        <w:rPr>
          <w:rFonts w:ascii="Arial" w:hAnsi="Arial"/>
          <w:szCs w:val="24"/>
        </w:rPr>
      </w:pPr>
    </w:p>
    <w:p w:rsidR="0086007C" w:rsidRDefault="0086007C" w:rsidP="0086007C">
      <w:pPr>
        <w:pStyle w:val="Corpsdetexte"/>
        <w:spacing w:line="360" w:lineRule="auto"/>
        <w:rPr>
          <w:rFonts w:ascii="Arial" w:hAnsi="Arial" w:cs="Arial"/>
          <w:szCs w:val="24"/>
        </w:rPr>
      </w:pPr>
      <w:r w:rsidRPr="00160026">
        <w:rPr>
          <w:rFonts w:ascii="Arial" w:hAnsi="Arial" w:cs="Arial"/>
          <w:szCs w:val="24"/>
          <w:lang w:val="es-CO" w:eastAsia="es-CO"/>
        </w:rPr>
        <w:t xml:space="preserve">Por lo tanto, </w:t>
      </w:r>
      <w:r w:rsidRPr="00160026">
        <w:rPr>
          <w:rFonts w:ascii="Arial" w:hAnsi="Arial" w:cs="Arial"/>
          <w:szCs w:val="24"/>
        </w:rPr>
        <w:t xml:space="preserve">no hay objeto jurídico sobre el cual fallar y la decisión que se adopte resultará inocua. De esta manera, se configura el hecho superado, pues </w:t>
      </w:r>
      <w:r>
        <w:rPr>
          <w:rFonts w:ascii="Arial" w:hAnsi="Arial" w:cs="Arial"/>
          <w:szCs w:val="24"/>
        </w:rPr>
        <w:t xml:space="preserve">las pretensiones </w:t>
      </w:r>
      <w:r w:rsidRPr="00160026">
        <w:rPr>
          <w:rFonts w:ascii="Arial" w:hAnsi="Arial" w:cs="Arial"/>
          <w:szCs w:val="24"/>
        </w:rPr>
        <w:t>del actor se encuentra</w:t>
      </w:r>
      <w:r>
        <w:rPr>
          <w:rFonts w:ascii="Arial" w:hAnsi="Arial" w:cs="Arial"/>
          <w:szCs w:val="24"/>
        </w:rPr>
        <w:t>n</w:t>
      </w:r>
      <w:r w:rsidRPr="00160026">
        <w:rPr>
          <w:rFonts w:ascii="Arial" w:hAnsi="Arial" w:cs="Arial"/>
          <w:szCs w:val="24"/>
        </w:rPr>
        <w:t xml:space="preserve"> satisfecha</w:t>
      </w:r>
      <w:r>
        <w:rPr>
          <w:rFonts w:ascii="Arial" w:hAnsi="Arial" w:cs="Arial"/>
          <w:szCs w:val="24"/>
        </w:rPr>
        <w:t>s</w:t>
      </w:r>
      <w:r w:rsidRPr="00160026">
        <w:rPr>
          <w:rFonts w:ascii="Arial" w:hAnsi="Arial" w:cs="Arial"/>
          <w:szCs w:val="24"/>
        </w:rPr>
        <w:t xml:space="preserve"> y </w:t>
      </w:r>
      <w:r>
        <w:rPr>
          <w:rFonts w:ascii="Arial" w:hAnsi="Arial" w:cs="Arial"/>
          <w:szCs w:val="24"/>
        </w:rPr>
        <w:t xml:space="preserve">sus </w:t>
      </w:r>
      <w:r w:rsidRPr="00160026">
        <w:rPr>
          <w:rFonts w:ascii="Arial" w:hAnsi="Arial" w:cs="Arial"/>
          <w:szCs w:val="24"/>
        </w:rPr>
        <w:t xml:space="preserve">derechos a salvo. </w:t>
      </w:r>
    </w:p>
    <w:p w:rsidR="0086007C" w:rsidRPr="00C12187" w:rsidRDefault="0086007C" w:rsidP="0086007C">
      <w:pPr>
        <w:pStyle w:val="Textopredeterminado"/>
        <w:spacing w:line="360" w:lineRule="auto"/>
        <w:jc w:val="both"/>
        <w:rPr>
          <w:rFonts w:ascii="Arial" w:hAnsi="Arial"/>
          <w:sz w:val="20"/>
          <w:szCs w:val="24"/>
          <w:lang w:val="es-ES_tradnl"/>
        </w:rPr>
      </w:pPr>
    </w:p>
    <w:p w:rsidR="0086007C" w:rsidRDefault="0086007C" w:rsidP="0086007C">
      <w:pPr>
        <w:widowControl/>
        <w:spacing w:line="360" w:lineRule="auto"/>
        <w:jc w:val="both"/>
        <w:rPr>
          <w:rFonts w:ascii="Arial" w:hAnsi="Arial"/>
        </w:rPr>
      </w:pPr>
      <w:r>
        <w:rPr>
          <w:rFonts w:ascii="Arial" w:hAnsi="Arial"/>
        </w:rPr>
        <w:t>De otra parte, se itera que se negarán las acciones frente a las entidades vinculadas, ya que ninguna conducta se les</w:t>
      </w:r>
      <w:r w:rsidR="005D79B5">
        <w:rPr>
          <w:rFonts w:ascii="Arial" w:hAnsi="Arial"/>
        </w:rPr>
        <w:t xml:space="preserve"> imputa, </w:t>
      </w:r>
      <w:r>
        <w:rPr>
          <w:rFonts w:ascii="Arial" w:hAnsi="Arial"/>
        </w:rPr>
        <w:t>por lo tanto, es inexistente vulneración alguna.</w:t>
      </w:r>
      <w:r w:rsidR="00B00916">
        <w:rPr>
          <w:rFonts w:ascii="Arial" w:hAnsi="Arial"/>
        </w:rPr>
        <w:t xml:space="preserve"> </w:t>
      </w:r>
      <w:r w:rsidR="005D79B5">
        <w:rPr>
          <w:rFonts w:ascii="Arial" w:hAnsi="Arial"/>
        </w:rPr>
        <w:t xml:space="preserve">Y puntualmente respeto del </w:t>
      </w:r>
      <w:r w:rsidR="00B00916">
        <w:rPr>
          <w:rFonts w:ascii="Arial" w:hAnsi="Arial"/>
        </w:rPr>
        <w:t xml:space="preserve">Ministerio Público </w:t>
      </w:r>
      <w:r w:rsidR="005D79B5">
        <w:rPr>
          <w:rFonts w:ascii="Arial" w:hAnsi="Arial"/>
        </w:rPr>
        <w:t>porque el accionante no acreditó que le hubiera presentado solicitud para que certificara sobre su actuación en las acciones populares, a más de que ni siquiera ha sido vinculado a los amparos constitucionales.</w:t>
      </w:r>
    </w:p>
    <w:p w:rsidR="007A6772" w:rsidRDefault="007A6772" w:rsidP="00CA5F88">
      <w:pPr>
        <w:widowControl/>
        <w:spacing w:line="360" w:lineRule="auto"/>
        <w:jc w:val="both"/>
        <w:rPr>
          <w:rFonts w:ascii="Arial" w:hAnsi="Arial"/>
        </w:rPr>
      </w:pPr>
    </w:p>
    <w:p w:rsidR="007A6772" w:rsidRPr="00107B16" w:rsidRDefault="007A6772" w:rsidP="00C86D1F">
      <w:pPr>
        <w:pStyle w:val="Corpsdetexte"/>
        <w:numPr>
          <w:ilvl w:val="1"/>
          <w:numId w:val="35"/>
        </w:numPr>
        <w:spacing w:line="360" w:lineRule="auto"/>
        <w:rPr>
          <w:rFonts w:ascii="Arial" w:hAnsi="Arial" w:cs="Arial"/>
          <w:smallCaps/>
          <w:szCs w:val="24"/>
        </w:rPr>
      </w:pPr>
      <w:r w:rsidRPr="00107B16">
        <w:rPr>
          <w:rFonts w:ascii="Arial" w:hAnsi="Arial" w:cs="Arial"/>
          <w:smallCaps/>
          <w:szCs w:val="24"/>
        </w:rPr>
        <w:t>La temeridad y la cosa juzgada constitucional</w:t>
      </w:r>
    </w:p>
    <w:p w:rsidR="007A6772" w:rsidRPr="00D54497" w:rsidRDefault="007A6772" w:rsidP="007A6772">
      <w:pPr>
        <w:pStyle w:val="Corpsdetexte"/>
        <w:spacing w:line="360" w:lineRule="auto"/>
        <w:rPr>
          <w:rFonts w:ascii="Arial" w:hAnsi="Arial" w:cs="Arial"/>
          <w:sz w:val="20"/>
          <w:szCs w:val="24"/>
        </w:rPr>
      </w:pPr>
    </w:p>
    <w:p w:rsidR="007A6772" w:rsidRPr="002128C2" w:rsidRDefault="007A6772" w:rsidP="007A6772">
      <w:pPr>
        <w:pStyle w:val="Corpsdetexte"/>
        <w:spacing w:line="360" w:lineRule="auto"/>
        <w:rPr>
          <w:rFonts w:ascii="Arial" w:hAnsi="Arial" w:cs="Arial"/>
          <w:szCs w:val="24"/>
        </w:rPr>
      </w:pPr>
      <w:r w:rsidRPr="002128C2">
        <w:rPr>
          <w:rFonts w:ascii="Arial" w:hAnsi="Arial" w:cs="Arial"/>
          <w:szCs w:val="24"/>
        </w:rPr>
        <w:t xml:space="preserve">De otro lado, se duele el actor de la renuencia de la Defensoría del Pueblo, Regional de Caldas en la formulación a su nombre de acciones de tutela destinadas a proteger los derechos fundamentales que considera afectados en las acciones populares por él interpuestas. </w:t>
      </w:r>
    </w:p>
    <w:p w:rsidR="007A6772" w:rsidRPr="00D54497" w:rsidRDefault="007A6772" w:rsidP="007A6772">
      <w:pPr>
        <w:pStyle w:val="Corpsdetexte"/>
        <w:spacing w:line="360" w:lineRule="auto"/>
        <w:rPr>
          <w:rFonts w:ascii="Arial" w:hAnsi="Arial" w:cs="Arial"/>
          <w:sz w:val="18"/>
          <w:szCs w:val="24"/>
        </w:rPr>
      </w:pPr>
    </w:p>
    <w:p w:rsidR="007A6772" w:rsidRDefault="007A6772" w:rsidP="007A6772">
      <w:pPr>
        <w:pStyle w:val="Corpsdetexte"/>
        <w:spacing w:line="360" w:lineRule="auto"/>
        <w:rPr>
          <w:rFonts w:ascii="Arial" w:hAnsi="Arial"/>
          <w:b/>
          <w:szCs w:val="24"/>
          <w:lang w:val="es-ES"/>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w:t>
      </w:r>
      <w:r>
        <w:rPr>
          <w:rFonts w:ascii="Arial" w:hAnsi="Arial"/>
          <w:szCs w:val="24"/>
        </w:rPr>
        <w:t>s</w:t>
      </w:r>
      <w:r w:rsidRPr="002128C2">
        <w:rPr>
          <w:rFonts w:ascii="Arial" w:hAnsi="Arial"/>
          <w:szCs w:val="24"/>
        </w:rPr>
        <w:t xml:space="preserve"> radicada</w:t>
      </w:r>
      <w:r>
        <w:rPr>
          <w:rFonts w:ascii="Arial" w:hAnsi="Arial"/>
          <w:szCs w:val="24"/>
        </w:rPr>
        <w:t xml:space="preserve">s 2016-00526-00, </w:t>
      </w:r>
      <w:r w:rsidRPr="00C16F88">
        <w:rPr>
          <w:rFonts w:ascii="Arial" w:hAnsi="Arial"/>
          <w:szCs w:val="24"/>
        </w:rPr>
        <w:t>2016</w:t>
      </w:r>
      <w:r>
        <w:rPr>
          <w:rFonts w:ascii="Arial" w:hAnsi="Arial"/>
          <w:szCs w:val="24"/>
        </w:rPr>
        <w:t>-</w:t>
      </w:r>
      <w:r w:rsidRPr="00C16F88">
        <w:rPr>
          <w:rFonts w:ascii="Arial" w:hAnsi="Arial"/>
          <w:szCs w:val="24"/>
        </w:rPr>
        <w:t>00554</w:t>
      </w:r>
      <w:r>
        <w:rPr>
          <w:rFonts w:ascii="Arial" w:hAnsi="Arial"/>
          <w:szCs w:val="24"/>
        </w:rPr>
        <w:t xml:space="preserve">-00 y 2016-00750-00 </w:t>
      </w:r>
      <w:r w:rsidRPr="002128C2">
        <w:rPr>
          <w:rFonts w:ascii="Arial" w:hAnsi="Arial"/>
          <w:szCs w:val="24"/>
        </w:rPr>
        <w:t>con sentencia</w:t>
      </w:r>
      <w:r>
        <w:rPr>
          <w:rFonts w:ascii="Arial" w:hAnsi="Arial"/>
          <w:szCs w:val="24"/>
        </w:rPr>
        <w:t>s</w:t>
      </w:r>
      <w:r w:rsidRPr="002128C2">
        <w:rPr>
          <w:rFonts w:ascii="Arial" w:hAnsi="Arial"/>
          <w:szCs w:val="24"/>
        </w:rPr>
        <w:t xml:space="preserve"> de primera instancia </w:t>
      </w:r>
      <w:r>
        <w:rPr>
          <w:rFonts w:ascii="Arial" w:hAnsi="Arial"/>
          <w:szCs w:val="24"/>
        </w:rPr>
        <w:t xml:space="preserve">de los días </w:t>
      </w:r>
      <w:r w:rsidRPr="002128C2">
        <w:rPr>
          <w:rFonts w:ascii="Arial" w:hAnsi="Arial"/>
          <w:szCs w:val="24"/>
        </w:rPr>
        <w:t>11-05-2016</w:t>
      </w:r>
      <w:r>
        <w:rPr>
          <w:rFonts w:ascii="Arial" w:hAnsi="Arial"/>
          <w:szCs w:val="24"/>
        </w:rPr>
        <w:t>, 30-06-2016 y 11-08-2016</w:t>
      </w:r>
      <w:r w:rsidRPr="002128C2">
        <w:rPr>
          <w:rFonts w:ascii="Arial" w:hAnsi="Arial"/>
          <w:szCs w:val="24"/>
        </w:rPr>
        <w:t>, confirmada</w:t>
      </w:r>
      <w:r>
        <w:rPr>
          <w:rFonts w:ascii="Arial" w:hAnsi="Arial"/>
          <w:szCs w:val="24"/>
        </w:rPr>
        <w:t>s</w:t>
      </w:r>
      <w:r w:rsidRPr="002128C2">
        <w:rPr>
          <w:rFonts w:ascii="Arial" w:hAnsi="Arial"/>
          <w:szCs w:val="24"/>
        </w:rPr>
        <w:t xml:space="preserve"> por la CSJ con </w:t>
      </w:r>
      <w:r>
        <w:rPr>
          <w:rFonts w:ascii="Arial" w:hAnsi="Arial"/>
          <w:szCs w:val="24"/>
        </w:rPr>
        <w:t xml:space="preserve">las decisiones </w:t>
      </w:r>
      <w:r w:rsidRPr="002128C2">
        <w:rPr>
          <w:rFonts w:ascii="Arial" w:hAnsi="Arial"/>
          <w:szCs w:val="24"/>
        </w:rPr>
        <w:t>STC7545-2016</w:t>
      </w:r>
      <w:r>
        <w:rPr>
          <w:rFonts w:ascii="Arial" w:hAnsi="Arial"/>
          <w:szCs w:val="24"/>
        </w:rPr>
        <w:t xml:space="preserve">, </w:t>
      </w:r>
      <w:r w:rsidRPr="00C16F88">
        <w:rPr>
          <w:rFonts w:ascii="Arial" w:hAnsi="Arial"/>
          <w:szCs w:val="24"/>
          <w:lang w:val="es-ES"/>
        </w:rPr>
        <w:t>STC10685-2016</w:t>
      </w:r>
      <w:r>
        <w:rPr>
          <w:rFonts w:ascii="Arial" w:hAnsi="Arial"/>
          <w:szCs w:val="24"/>
          <w:lang w:val="es-ES"/>
        </w:rPr>
        <w:t xml:space="preserve"> y </w:t>
      </w:r>
      <w:r w:rsidRPr="000B0D03">
        <w:rPr>
          <w:rFonts w:ascii="Arial" w:hAnsi="Arial"/>
          <w:szCs w:val="24"/>
          <w:lang w:val="es-ES"/>
        </w:rPr>
        <w:t>STC12859-2016</w:t>
      </w:r>
      <w:r w:rsidRPr="00C16F88">
        <w:rPr>
          <w:rFonts w:ascii="Arial" w:hAnsi="Arial"/>
          <w:szCs w:val="24"/>
          <w:lang w:val="es-ES"/>
        </w:rPr>
        <w:t>, respectivamente.</w:t>
      </w:r>
      <w:r>
        <w:rPr>
          <w:rFonts w:ascii="Arial" w:hAnsi="Arial"/>
          <w:b/>
          <w:szCs w:val="24"/>
          <w:lang w:val="es-ES"/>
        </w:rPr>
        <w:t xml:space="preserve"> </w:t>
      </w:r>
    </w:p>
    <w:p w:rsidR="007A6772" w:rsidRPr="00BF72EF" w:rsidRDefault="007A6772" w:rsidP="007A6772">
      <w:pPr>
        <w:pStyle w:val="Corpsdetexte"/>
        <w:spacing w:line="360" w:lineRule="auto"/>
        <w:rPr>
          <w:rFonts w:ascii="Arial" w:hAnsi="Arial"/>
          <w:sz w:val="22"/>
          <w:szCs w:val="24"/>
        </w:rPr>
      </w:pPr>
    </w:p>
    <w:p w:rsidR="007A6772" w:rsidRDefault="007A6772" w:rsidP="007A6772">
      <w:pPr>
        <w:pStyle w:val="Corpsdetexte"/>
        <w:spacing w:line="360" w:lineRule="auto"/>
        <w:rPr>
          <w:rFonts w:ascii="Arial" w:hAnsi="Arial"/>
          <w:iCs/>
          <w:szCs w:val="24"/>
        </w:rPr>
      </w:pPr>
      <w:r>
        <w:rPr>
          <w:rFonts w:ascii="Arial" w:hAnsi="Arial"/>
          <w:szCs w:val="24"/>
        </w:rPr>
        <w:lastRenderedPageBreak/>
        <w:t>Confrontados l</w:t>
      </w:r>
      <w:r w:rsidR="00107B16">
        <w:rPr>
          <w:rFonts w:ascii="Arial" w:hAnsi="Arial"/>
          <w:szCs w:val="24"/>
        </w:rPr>
        <w:t>os</w:t>
      </w:r>
      <w:r>
        <w:rPr>
          <w:rFonts w:ascii="Arial" w:hAnsi="Arial"/>
          <w:szCs w:val="24"/>
        </w:rPr>
        <w:t xml:space="preserve"> escrito</w:t>
      </w:r>
      <w:r w:rsidR="00107B16">
        <w:rPr>
          <w:rFonts w:ascii="Arial" w:hAnsi="Arial"/>
          <w:szCs w:val="24"/>
        </w:rPr>
        <w:t>s</w:t>
      </w:r>
      <w:r>
        <w:rPr>
          <w:rFonts w:ascii="Arial" w:hAnsi="Arial"/>
          <w:szCs w:val="24"/>
        </w:rPr>
        <w:t xml:space="preserve"> petitorio</w:t>
      </w:r>
      <w:r w:rsidR="00107B16">
        <w:rPr>
          <w:rFonts w:ascii="Arial" w:hAnsi="Arial"/>
          <w:szCs w:val="24"/>
        </w:rPr>
        <w:t>s</w:t>
      </w:r>
      <w:r>
        <w:rPr>
          <w:rFonts w:ascii="Arial" w:hAnsi="Arial"/>
          <w:szCs w:val="24"/>
        </w:rPr>
        <w:t xml:space="preserve"> (Folio</w:t>
      </w:r>
      <w:r w:rsidR="00107B16">
        <w:rPr>
          <w:rFonts w:ascii="Arial" w:hAnsi="Arial"/>
          <w:szCs w:val="24"/>
        </w:rPr>
        <w:t>s</w:t>
      </w:r>
      <w:r>
        <w:rPr>
          <w:rFonts w:ascii="Arial" w:hAnsi="Arial"/>
          <w:szCs w:val="24"/>
        </w:rPr>
        <w:t xml:space="preserve"> 1,</w:t>
      </w:r>
      <w:r w:rsidR="00107B16">
        <w:rPr>
          <w:rFonts w:ascii="Arial" w:hAnsi="Arial"/>
          <w:szCs w:val="24"/>
        </w:rPr>
        <w:t xml:space="preserve"> 3, 5 y 7,</w:t>
      </w:r>
      <w:r>
        <w:rPr>
          <w:rFonts w:ascii="Arial" w:hAnsi="Arial"/>
          <w:szCs w:val="24"/>
        </w:rPr>
        <w:t xml:space="preserve">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r>
        <w:rPr>
          <w:rFonts w:ascii="Arial" w:hAnsi="Arial"/>
          <w:iCs/>
          <w:szCs w:val="24"/>
        </w:rPr>
        <w:t xml:space="preserve"> </w:t>
      </w:r>
    </w:p>
    <w:p w:rsidR="007A6772" w:rsidRPr="00BF72EF" w:rsidRDefault="007A6772" w:rsidP="007A6772">
      <w:pPr>
        <w:pStyle w:val="Corpsdetexte"/>
        <w:spacing w:line="360" w:lineRule="auto"/>
        <w:rPr>
          <w:rFonts w:ascii="Arial" w:hAnsi="Arial"/>
          <w:sz w:val="22"/>
          <w:szCs w:val="24"/>
        </w:rPr>
      </w:pPr>
    </w:p>
    <w:p w:rsidR="007A6772" w:rsidRPr="00F2155F" w:rsidRDefault="007A6772" w:rsidP="007A6772">
      <w:pPr>
        <w:spacing w:line="360" w:lineRule="auto"/>
        <w:jc w:val="both"/>
        <w:rPr>
          <w:rFonts w:ascii="Arial" w:hAnsi="Arial"/>
        </w:rPr>
      </w:pPr>
      <w:r w:rsidRPr="00F2155F">
        <w:rPr>
          <w:rFonts w:ascii="Arial" w:hAnsi="Arial"/>
        </w:rPr>
        <w:t xml:space="preserve">Pero el análisis para declarar la existencia de la temeridad, impone que se verifique la ausencia de las siguientes situaciones, ya previstas por la </w:t>
      </w:r>
      <w:r>
        <w:rPr>
          <w:rFonts w:ascii="Arial" w:hAnsi="Arial"/>
        </w:rPr>
        <w:t>CC</w:t>
      </w:r>
      <w:r w:rsidRPr="00F2155F">
        <w:rPr>
          <w:rStyle w:val="Appelnotedebasdep"/>
          <w:rFonts w:ascii="Arial" w:hAnsi="Arial"/>
        </w:rPr>
        <w:footnoteReference w:id="20"/>
      </w:r>
      <w:r w:rsidRPr="00F2155F">
        <w:rPr>
          <w:rFonts w:ascii="Arial" w:hAnsi="Arial"/>
        </w:rPr>
        <w:t xml:space="preserve"> reiterada recientemente (2016)</w:t>
      </w:r>
      <w:r w:rsidRPr="00F2155F">
        <w:rPr>
          <w:rStyle w:val="Appelnotedebasdep"/>
          <w:rFonts w:ascii="Arial" w:hAnsi="Arial"/>
        </w:rPr>
        <w:footnoteReference w:id="21"/>
      </w:r>
      <w:r w:rsidRPr="00F2155F">
        <w:rPr>
          <w:rFonts w:ascii="Arial" w:hAnsi="Arial"/>
        </w:rPr>
        <w:t>, así:</w:t>
      </w:r>
    </w:p>
    <w:p w:rsidR="007A6772" w:rsidRPr="000848B7" w:rsidRDefault="007A6772" w:rsidP="007A6772">
      <w:pPr>
        <w:ind w:left="567" w:right="567"/>
        <w:jc w:val="both"/>
        <w:rPr>
          <w:rFonts w:ascii="Arial" w:hAnsi="Arial" w:cs="Arial"/>
          <w:b/>
          <w:bCs/>
          <w:sz w:val="2"/>
          <w:szCs w:val="22"/>
        </w:rPr>
      </w:pPr>
    </w:p>
    <w:p w:rsidR="007A6772" w:rsidRPr="00D54497" w:rsidRDefault="007A6772" w:rsidP="007A6772">
      <w:pPr>
        <w:ind w:left="567" w:right="567"/>
        <w:jc w:val="both"/>
        <w:rPr>
          <w:rFonts w:ascii="Arial" w:hAnsi="Arial" w:cs="Arial"/>
          <w:b/>
          <w:bCs/>
          <w:sz w:val="22"/>
        </w:rPr>
      </w:pPr>
    </w:p>
    <w:p w:rsidR="007A6772" w:rsidRPr="00F2155F" w:rsidRDefault="007A6772" w:rsidP="007A6772">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Appelnotedebasdep"/>
          <w:rFonts w:ascii="Arial" w:hAnsi="Arial" w:cs="Arial"/>
        </w:rPr>
        <w:footnoteReference w:id="22"/>
      </w:r>
      <w:r w:rsidRPr="00F2155F">
        <w:rPr>
          <w:rFonts w:ascii="Arial" w:hAnsi="Arial" w:cs="Arial"/>
        </w:rPr>
        <w:t>-,  para sancionar pecuniariamente a los responsables</w:t>
      </w:r>
      <w:r w:rsidRPr="00F2155F">
        <w:rPr>
          <w:rStyle w:val="Appelnotedebasdep"/>
          <w:rFonts w:ascii="Arial" w:hAnsi="Arial" w:cs="Arial"/>
        </w:rPr>
        <w:footnoteReference w:id="23"/>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Appelnotedebasdep"/>
          <w:rFonts w:ascii="Arial" w:hAnsi="Arial" w:cs="Arial"/>
          <w:u w:val="single"/>
        </w:rPr>
        <w:footnoteReference w:id="24"/>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Appelnotedebasdep"/>
          <w:rFonts w:ascii="Arial" w:hAnsi="Arial" w:cs="Arial"/>
          <w:u w:val="single"/>
        </w:rPr>
        <w:footnoteReference w:id="25"/>
      </w:r>
      <w:r w:rsidRPr="00F2155F">
        <w:rPr>
          <w:rFonts w:ascii="Arial" w:hAnsi="Arial" w:cs="Arial"/>
          <w:u w:val="single"/>
        </w:rPr>
        <w:t xml:space="preserve">; (iii) deje al descubierto el </w:t>
      </w:r>
      <w:r w:rsidRPr="00F2155F">
        <w:rPr>
          <w:rFonts w:ascii="Arial" w:hAnsi="Arial" w:cs="Arial"/>
          <w:i/>
          <w:iCs/>
          <w:u w:val="single"/>
        </w:rPr>
        <w:t>"abuso del derecho porque deliberadamente y sin tener razón, de mala fe se instaura la acción”</w:t>
      </w:r>
      <w:r w:rsidRPr="00F2155F">
        <w:rPr>
          <w:rStyle w:val="Appelnotedebasdep"/>
          <w:rFonts w:ascii="Arial" w:hAnsi="Arial" w:cs="Arial"/>
          <w:u w:val="single"/>
        </w:rPr>
        <w:footnoteReference w:id="26"/>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Appelnotedebasdep"/>
          <w:rFonts w:ascii="Arial" w:hAnsi="Arial" w:cs="Arial"/>
        </w:rPr>
        <w:footnoteReference w:id="27"/>
      </w:r>
      <w:r w:rsidRPr="00F2155F">
        <w:rPr>
          <w:rFonts w:ascii="Arial" w:hAnsi="Arial" w:cs="Arial"/>
          <w:i/>
          <w:iCs/>
        </w:rPr>
        <w:t>.</w:t>
      </w:r>
      <w:r w:rsidRPr="00F2155F">
        <w:rPr>
          <w:rFonts w:ascii="Arial" w:hAnsi="Arial" w:cs="Arial"/>
          <w:iCs/>
        </w:rPr>
        <w:t xml:space="preserve">  El resaltado es propio de esta Colegiatura.</w:t>
      </w:r>
    </w:p>
    <w:p w:rsidR="007A6772" w:rsidRDefault="007A6772" w:rsidP="007A6772">
      <w:pPr>
        <w:spacing w:line="360" w:lineRule="auto"/>
        <w:ind w:right="51"/>
        <w:jc w:val="both"/>
        <w:rPr>
          <w:rFonts w:ascii="Arial" w:hAnsi="Arial"/>
        </w:rPr>
      </w:pPr>
    </w:p>
    <w:p w:rsidR="007A6772" w:rsidRPr="00F2155F" w:rsidRDefault="007A6772" w:rsidP="007A6772">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7A6772" w:rsidRPr="00D54497" w:rsidRDefault="007A6772" w:rsidP="007A6772">
      <w:pPr>
        <w:pStyle w:val="Corpsdetexte"/>
        <w:spacing w:line="360" w:lineRule="auto"/>
        <w:rPr>
          <w:rFonts w:ascii="Arial" w:hAnsi="Arial" w:cs="Arial"/>
          <w:sz w:val="18"/>
          <w:szCs w:val="24"/>
        </w:rPr>
      </w:pPr>
    </w:p>
    <w:p w:rsidR="007A6772" w:rsidRPr="00104D5D" w:rsidRDefault="007A6772" w:rsidP="007A6772">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Appelnotedebasdep"/>
          <w:rFonts w:ascii="Arial" w:hAnsi="Arial"/>
        </w:rPr>
        <w:footnoteReference w:id="28"/>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w:t>
      </w:r>
      <w:r w:rsidRPr="00F2155F">
        <w:rPr>
          <w:rFonts w:ascii="Arial" w:hAnsi="Arial" w:cs="Arial"/>
          <w:i/>
          <w:sz w:val="22"/>
        </w:rPr>
        <w:lastRenderedPageBreak/>
        <w:t xml:space="preserve">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Appelnotedebasdep"/>
          <w:rFonts w:ascii="Arial" w:hAnsi="Arial"/>
        </w:rPr>
        <w:footnoteReference w:id="29"/>
      </w:r>
      <w:r>
        <w:rPr>
          <w:rFonts w:ascii="Arial" w:hAnsi="Arial" w:cs="Arial"/>
        </w:rPr>
        <w:t xml:space="preserve"> comparte en su jurisprudencia. También precedente horizontal de esta Corporación</w:t>
      </w:r>
      <w:r>
        <w:rPr>
          <w:rStyle w:val="Appelnotedebasdep"/>
          <w:rFonts w:ascii="Arial" w:hAnsi="Arial"/>
        </w:rPr>
        <w:footnoteReference w:id="30"/>
      </w:r>
      <w:r>
        <w:rPr>
          <w:rFonts w:ascii="Arial" w:hAnsi="Arial" w:cs="Arial"/>
          <w:vertAlign w:val="superscript"/>
        </w:rPr>
        <w:t>-</w:t>
      </w:r>
      <w:r>
        <w:rPr>
          <w:rStyle w:val="Appelnotedebasdep"/>
          <w:rFonts w:ascii="Arial" w:hAnsi="Arial"/>
        </w:rPr>
        <w:footnoteReference w:id="31"/>
      </w:r>
      <w:r>
        <w:rPr>
          <w:rFonts w:ascii="Arial" w:hAnsi="Arial" w:cs="Arial"/>
        </w:rPr>
        <w:t xml:space="preserve">. </w:t>
      </w:r>
    </w:p>
    <w:p w:rsidR="007A6772" w:rsidRDefault="007A6772" w:rsidP="007A6772">
      <w:pPr>
        <w:pStyle w:val="Textopredeterminado"/>
        <w:spacing w:line="360" w:lineRule="auto"/>
        <w:jc w:val="both"/>
        <w:rPr>
          <w:rFonts w:ascii="Arial" w:hAnsi="Arial" w:cs="Arial"/>
          <w:color w:val="auto"/>
          <w:spacing w:val="-3"/>
          <w:sz w:val="18"/>
          <w:szCs w:val="24"/>
          <w:lang w:val="es-ES_tradnl"/>
        </w:rPr>
      </w:pPr>
    </w:p>
    <w:p w:rsidR="00EB7683" w:rsidRPr="00C86D1F" w:rsidRDefault="00EB7683" w:rsidP="00EB7683">
      <w:pPr>
        <w:pStyle w:val="Paragraphedeliste"/>
        <w:numPr>
          <w:ilvl w:val="1"/>
          <w:numId w:val="35"/>
        </w:numPr>
        <w:spacing w:line="360" w:lineRule="auto"/>
        <w:ind w:right="51"/>
        <w:jc w:val="both"/>
        <w:rPr>
          <w:rFonts w:ascii="Arial" w:hAnsi="Arial"/>
          <w:smallCaps/>
        </w:rPr>
      </w:pPr>
      <w:r w:rsidRPr="00C86D1F">
        <w:rPr>
          <w:rFonts w:ascii="Arial" w:hAnsi="Arial"/>
          <w:smallCaps/>
        </w:rPr>
        <w:t>Inexistencia de vulneración o amenaza</w:t>
      </w:r>
    </w:p>
    <w:p w:rsidR="00EB7683" w:rsidRDefault="00EB7683" w:rsidP="00EB7683">
      <w:pPr>
        <w:spacing w:line="360" w:lineRule="auto"/>
        <w:ind w:right="51"/>
        <w:jc w:val="both"/>
        <w:rPr>
          <w:rFonts w:ascii="Arial" w:hAnsi="Arial"/>
        </w:rPr>
      </w:pPr>
    </w:p>
    <w:p w:rsidR="00EB7683" w:rsidRDefault="00EB7683" w:rsidP="00EB7683">
      <w:pPr>
        <w:spacing w:line="360" w:lineRule="auto"/>
        <w:ind w:right="51"/>
        <w:jc w:val="both"/>
        <w:rPr>
          <w:rFonts w:ascii="Arial" w:hAnsi="Arial"/>
        </w:rPr>
      </w:pPr>
      <w:r>
        <w:rPr>
          <w:rFonts w:ascii="Arial" w:hAnsi="Arial"/>
        </w:rPr>
        <w:t>También pide el accionante que se ordene al Ministerio Público certificar las funciones que ha adelantado en todas las acciones populares en las que haya participado. A este respecto advierte esta Sala inexistente la vulneración o amenaza de los derechos fundamentales invocados, puesto que el accionante no acreditó que hubiese presentado derecho de petición alguno tendiente a que se respondieran sus inquietudes o por lo menos la manifestación que así lo hizo, de tal suerte que se negará el amparo en su contra.</w:t>
      </w:r>
    </w:p>
    <w:p w:rsidR="00EB7683" w:rsidRPr="00D54497" w:rsidRDefault="00EB7683" w:rsidP="007A6772">
      <w:pPr>
        <w:pStyle w:val="Textopredeterminado"/>
        <w:spacing w:line="360" w:lineRule="auto"/>
        <w:jc w:val="both"/>
        <w:rPr>
          <w:rFonts w:ascii="Arial" w:hAnsi="Arial" w:cs="Arial"/>
          <w:color w:val="auto"/>
          <w:spacing w:val="-3"/>
          <w:sz w:val="18"/>
          <w:szCs w:val="24"/>
          <w:lang w:val="es-ES_tradnl"/>
        </w:rPr>
      </w:pPr>
    </w:p>
    <w:p w:rsidR="007A6772" w:rsidRDefault="007A6772" w:rsidP="007A6772">
      <w:pPr>
        <w:spacing w:line="360" w:lineRule="auto"/>
        <w:ind w:right="51"/>
        <w:jc w:val="both"/>
        <w:rPr>
          <w:rFonts w:ascii="Arial" w:hAnsi="Arial" w:cs="Arial"/>
        </w:rPr>
      </w:pPr>
      <w:r>
        <w:rPr>
          <w:rFonts w:ascii="Arial" w:hAnsi="Arial" w:cs="Arial"/>
        </w:rPr>
        <w:t xml:space="preserve">Finalmente con relación a la entrega de copia física de toda la actuación surtida, se considera que con la orden impartida en el proveído del día 31-10-2016 </w:t>
      </w:r>
      <w:r>
        <w:rPr>
          <w:rFonts w:ascii="Arial" w:hAnsi="Arial" w:cs="Arial"/>
          <w:iCs/>
          <w:color w:val="000000"/>
          <w:lang w:eastAsia="es-CO"/>
        </w:rPr>
        <w:t xml:space="preserve">(Folios </w:t>
      </w:r>
      <w:r w:rsidR="00107B16">
        <w:rPr>
          <w:rFonts w:ascii="Arial" w:hAnsi="Arial" w:cs="Arial"/>
          <w:iCs/>
          <w:color w:val="000000"/>
          <w:lang w:eastAsia="es-CO"/>
        </w:rPr>
        <w:t>10</w:t>
      </w:r>
      <w:r>
        <w:rPr>
          <w:rFonts w:ascii="Arial" w:hAnsi="Arial" w:cs="Arial"/>
          <w:iCs/>
          <w:color w:val="000000"/>
          <w:lang w:eastAsia="es-CO"/>
        </w:rPr>
        <w:t xml:space="preserve"> y </w:t>
      </w:r>
      <w:r w:rsidR="00107B16">
        <w:rPr>
          <w:rFonts w:ascii="Arial" w:hAnsi="Arial" w:cs="Arial"/>
          <w:iCs/>
          <w:color w:val="000000"/>
          <w:lang w:eastAsia="es-CO"/>
        </w:rPr>
        <w:t>11</w:t>
      </w:r>
      <w:r>
        <w:rPr>
          <w:rFonts w:ascii="Arial" w:hAnsi="Arial" w:cs="Arial"/>
          <w:iCs/>
          <w:color w:val="000000"/>
          <w:lang w:eastAsia="es-CO"/>
        </w:rPr>
        <w:t>, ib.)</w:t>
      </w:r>
      <w:r>
        <w:rPr>
          <w:rFonts w:ascii="Arial" w:hAnsi="Arial" w:cs="Arial"/>
        </w:rPr>
        <w:t xml:space="preserve">, en el sentido de escanearlas y remitirlas a su correo electrónico, se cumplió dicho pedimento. </w:t>
      </w:r>
    </w:p>
    <w:p w:rsidR="000B5596" w:rsidRDefault="000B5596" w:rsidP="00BC3C80">
      <w:pPr>
        <w:pStyle w:val="Textopredeterminado"/>
        <w:spacing w:line="360" w:lineRule="auto"/>
        <w:jc w:val="both"/>
        <w:rPr>
          <w:rFonts w:ascii="Arial" w:hAnsi="Arial"/>
          <w:szCs w:val="24"/>
        </w:rPr>
      </w:pPr>
    </w:p>
    <w:p w:rsidR="006E3281" w:rsidRPr="00BB12E8"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Pr>
          <w:rFonts w:ascii="Arial" w:hAnsi="Arial" w:cs="Arial"/>
          <w:szCs w:val="24"/>
        </w:rPr>
        <w:t>8</w:t>
      </w:r>
      <w:r w:rsidRPr="00BB12E8">
        <w:rPr>
          <w:rFonts w:ascii="Arial" w:hAnsi="Arial" w:cs="Arial"/>
          <w:szCs w:val="24"/>
        </w:rPr>
        <w:t>.</w:t>
      </w:r>
      <w:r w:rsidRPr="00BB12E8">
        <w:rPr>
          <w:rFonts w:ascii="Arial" w:hAnsi="Arial" w:cs="Arial"/>
          <w:szCs w:val="24"/>
        </w:rPr>
        <w:tab/>
      </w:r>
      <w:r w:rsidR="0017728F">
        <w:rPr>
          <w:rFonts w:ascii="Arial" w:hAnsi="Arial" w:cs="Arial"/>
          <w:smallCaps/>
          <w:sz w:val="28"/>
          <w:szCs w:val="28"/>
        </w:rPr>
        <w:t>L</w:t>
      </w:r>
      <w:r w:rsidR="0017728F" w:rsidRPr="0017728F">
        <w:rPr>
          <w:rFonts w:ascii="Arial" w:hAnsi="Arial" w:cs="Arial"/>
          <w:smallCaps/>
          <w:sz w:val="28"/>
          <w:szCs w:val="28"/>
        </w:rPr>
        <w:t>as conclusiones</w:t>
      </w:r>
      <w:r w:rsidR="0017728F" w:rsidRPr="00BB12E8">
        <w:rPr>
          <w:rFonts w:ascii="Arial" w:hAnsi="Arial" w:cs="Arial"/>
          <w:szCs w:val="24"/>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D07BE1" w:rsidRPr="00A30437" w:rsidRDefault="006E3281" w:rsidP="00EB7683">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Pr>
          <w:rFonts w:ascii="Arial" w:hAnsi="Arial"/>
        </w:rPr>
        <w:t xml:space="preserve">: (i) </w:t>
      </w:r>
      <w:r w:rsidRPr="00951700">
        <w:rPr>
          <w:rFonts w:ascii="Arial" w:hAnsi="Arial"/>
        </w:rPr>
        <w:t>Se</w:t>
      </w:r>
      <w:r>
        <w:rPr>
          <w:rFonts w:ascii="Arial" w:hAnsi="Arial"/>
        </w:rPr>
        <w:t xml:space="preserve"> </w:t>
      </w:r>
      <w:r w:rsidR="00C86D1F">
        <w:rPr>
          <w:rFonts w:ascii="Arial" w:hAnsi="Arial"/>
        </w:rPr>
        <w:t xml:space="preserve">declarará la carencia actual de objeto por el hecho superado de las acciones de tutela frente al Juzgado </w:t>
      </w:r>
      <w:r w:rsidR="00EB7683">
        <w:rPr>
          <w:rFonts w:ascii="Arial" w:hAnsi="Arial"/>
        </w:rPr>
        <w:t>Tercero Civil del Circuito de Pereira</w:t>
      </w:r>
      <w:r>
        <w:rPr>
          <w:rFonts w:ascii="Arial" w:hAnsi="Arial"/>
        </w:rPr>
        <w:t xml:space="preserve">; </w:t>
      </w:r>
      <w:r w:rsidR="00107B16">
        <w:rPr>
          <w:rFonts w:ascii="Arial" w:hAnsi="Arial" w:cs="Arial"/>
        </w:rPr>
        <w:t xml:space="preserve">(ii) </w:t>
      </w:r>
      <w:r w:rsidR="00107B16" w:rsidRPr="00E538DC">
        <w:rPr>
          <w:rFonts w:ascii="Arial" w:hAnsi="Arial" w:cs="Arial"/>
        </w:rPr>
        <w:t>Se declarará</w:t>
      </w:r>
      <w:r w:rsidR="00E33C71">
        <w:rPr>
          <w:rFonts w:ascii="Arial" w:hAnsi="Arial" w:cs="Arial"/>
        </w:rPr>
        <w:t>n</w:t>
      </w:r>
      <w:r w:rsidR="00107B16" w:rsidRPr="00E538DC">
        <w:rPr>
          <w:rFonts w:ascii="Arial" w:hAnsi="Arial" w:cs="Arial"/>
        </w:rPr>
        <w:t xml:space="preserve"> improcedente</w:t>
      </w:r>
      <w:r w:rsidR="00E33C71">
        <w:rPr>
          <w:rFonts w:ascii="Arial" w:hAnsi="Arial" w:cs="Arial"/>
        </w:rPr>
        <w:t>s</w:t>
      </w:r>
      <w:r w:rsidR="00107B16" w:rsidRPr="00E538DC">
        <w:rPr>
          <w:rFonts w:ascii="Arial" w:hAnsi="Arial" w:cs="Arial"/>
        </w:rPr>
        <w:t xml:space="preserve"> </w:t>
      </w:r>
      <w:r w:rsidR="00EB7683">
        <w:rPr>
          <w:rFonts w:ascii="Arial" w:hAnsi="Arial" w:cs="Arial"/>
        </w:rPr>
        <w:t xml:space="preserve">contra </w:t>
      </w:r>
      <w:r w:rsidR="00107B16">
        <w:rPr>
          <w:rFonts w:ascii="Arial" w:hAnsi="Arial" w:cs="Arial"/>
        </w:rPr>
        <w:t xml:space="preserve">de la Defensoría del Pueblo, Regional Caldas </w:t>
      </w:r>
      <w:r w:rsidR="00107B16" w:rsidRPr="002128C2">
        <w:rPr>
          <w:rFonts w:ascii="Arial" w:hAnsi="Arial"/>
        </w:rPr>
        <w:t>por haberse verificado la duplicidad de la acciones de tutela, sin que haya lugar a imponer multa, según se anotó</w:t>
      </w:r>
      <w:r w:rsidR="00107B16">
        <w:rPr>
          <w:rFonts w:ascii="Arial" w:hAnsi="Arial" w:cs="Arial"/>
        </w:rPr>
        <w:t>;</w:t>
      </w:r>
      <w:r w:rsidR="00E33C71">
        <w:rPr>
          <w:rFonts w:ascii="Arial" w:hAnsi="Arial" w:cs="Arial"/>
        </w:rPr>
        <w:t xml:space="preserve"> </w:t>
      </w:r>
      <w:r w:rsidR="00EB7683">
        <w:rPr>
          <w:rFonts w:ascii="Arial" w:hAnsi="Arial" w:cs="Arial"/>
        </w:rPr>
        <w:t>y, r</w:t>
      </w:r>
      <w:r w:rsidR="00EB7683">
        <w:rPr>
          <w:rFonts w:ascii="Arial" w:hAnsi="Arial"/>
        </w:rPr>
        <w:t xml:space="preserve">especto de </w:t>
      </w:r>
      <w:r w:rsidR="00EB7683">
        <w:rPr>
          <w:rFonts w:ascii="Arial" w:hAnsi="Arial" w:cs="Arial"/>
        </w:rPr>
        <w:t>las Defensorías del Pueblo</w:t>
      </w:r>
      <w:r w:rsidR="00EB7683" w:rsidRPr="004D5812">
        <w:rPr>
          <w:rFonts w:ascii="Arial" w:hAnsi="Arial" w:cs="Arial"/>
        </w:rPr>
        <w:t>, Regional</w:t>
      </w:r>
      <w:r w:rsidR="00EB7683">
        <w:rPr>
          <w:rFonts w:ascii="Arial" w:hAnsi="Arial" w:cs="Arial"/>
        </w:rPr>
        <w:t xml:space="preserve">es </w:t>
      </w:r>
      <w:r w:rsidR="00EB7683" w:rsidRPr="004D5812">
        <w:rPr>
          <w:rFonts w:ascii="Arial" w:hAnsi="Arial" w:cs="Arial"/>
        </w:rPr>
        <w:t>Caldas</w:t>
      </w:r>
      <w:r w:rsidR="00EB7683">
        <w:rPr>
          <w:rFonts w:ascii="Arial" w:hAnsi="Arial" w:cs="Arial"/>
        </w:rPr>
        <w:t xml:space="preserve">, </w:t>
      </w:r>
      <w:r w:rsidR="00EB7683">
        <w:rPr>
          <w:rFonts w:ascii="Arial" w:hAnsi="Arial" w:cs="Arial"/>
          <w:spacing w:val="3"/>
        </w:rPr>
        <w:t xml:space="preserve">Quindío, Huila y Antioquia; y, a </w:t>
      </w:r>
      <w:r w:rsidR="00EB7683" w:rsidRPr="003C1983">
        <w:rPr>
          <w:rFonts w:ascii="Arial" w:hAnsi="Arial" w:cs="Arial"/>
          <w:spacing w:val="3"/>
        </w:rPr>
        <w:t>la</w:t>
      </w:r>
      <w:r w:rsidR="00EB7683">
        <w:rPr>
          <w:rFonts w:ascii="Arial" w:hAnsi="Arial" w:cs="Arial"/>
          <w:spacing w:val="3"/>
        </w:rPr>
        <w:t>s</w:t>
      </w:r>
      <w:r w:rsidR="00EB7683" w:rsidRPr="003C1983">
        <w:rPr>
          <w:rFonts w:ascii="Arial" w:hAnsi="Arial" w:cs="Arial"/>
          <w:spacing w:val="3"/>
        </w:rPr>
        <w:t xml:space="preserve"> Alcaldía</w:t>
      </w:r>
      <w:r w:rsidR="00EB7683">
        <w:rPr>
          <w:rFonts w:ascii="Arial" w:hAnsi="Arial" w:cs="Arial"/>
          <w:spacing w:val="3"/>
        </w:rPr>
        <w:t>s</w:t>
      </w:r>
      <w:r w:rsidR="00EB7683" w:rsidRPr="003C1983">
        <w:rPr>
          <w:rFonts w:ascii="Arial" w:hAnsi="Arial" w:cs="Arial"/>
          <w:spacing w:val="3"/>
        </w:rPr>
        <w:t xml:space="preserve"> </w:t>
      </w:r>
      <w:r w:rsidR="00EB7683">
        <w:rPr>
          <w:rFonts w:ascii="Arial" w:hAnsi="Arial" w:cs="Arial"/>
          <w:spacing w:val="3"/>
        </w:rPr>
        <w:t>y</w:t>
      </w:r>
      <w:r w:rsidR="00EB7683" w:rsidRPr="003C1983">
        <w:rPr>
          <w:rFonts w:ascii="Arial" w:hAnsi="Arial" w:cs="Arial"/>
          <w:spacing w:val="3"/>
        </w:rPr>
        <w:t xml:space="preserve"> a la</w:t>
      </w:r>
      <w:r w:rsidR="00EB7683">
        <w:rPr>
          <w:rFonts w:ascii="Arial" w:hAnsi="Arial" w:cs="Arial"/>
          <w:spacing w:val="3"/>
        </w:rPr>
        <w:t>s</w:t>
      </w:r>
      <w:r w:rsidR="00EB7683" w:rsidRPr="003C1983">
        <w:rPr>
          <w:rFonts w:ascii="Arial" w:hAnsi="Arial" w:cs="Arial"/>
          <w:spacing w:val="3"/>
        </w:rPr>
        <w:t xml:space="preserve"> Personería</w:t>
      </w:r>
      <w:r w:rsidR="00EB7683">
        <w:rPr>
          <w:rFonts w:ascii="Arial" w:hAnsi="Arial" w:cs="Arial"/>
          <w:spacing w:val="3"/>
        </w:rPr>
        <w:t>s</w:t>
      </w:r>
      <w:r w:rsidR="00EB7683" w:rsidRPr="003C1983">
        <w:rPr>
          <w:rFonts w:ascii="Arial" w:hAnsi="Arial" w:cs="Arial"/>
          <w:spacing w:val="3"/>
        </w:rPr>
        <w:t xml:space="preserve"> de </w:t>
      </w:r>
      <w:r w:rsidR="00EB7683">
        <w:rPr>
          <w:rFonts w:ascii="Arial" w:hAnsi="Arial" w:cs="Arial"/>
          <w:spacing w:val="3"/>
        </w:rPr>
        <w:t>Armenia, Calarcá, Garzón y Medellín</w:t>
      </w:r>
      <w:r w:rsidR="00EB7683">
        <w:rPr>
          <w:rFonts w:ascii="Arial" w:hAnsi="Arial" w:cs="Arial"/>
        </w:rPr>
        <w:t>, por carecer de legitimación; y, (iii) Se negarán contra las Procuradurías Regionales vinculadas por inexistencia de vulneración o amenaza de los derechos fundamentales invocados.</w:t>
      </w:r>
    </w:p>
    <w:p w:rsidR="006E3281" w:rsidRPr="00F04FAF"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E20D05" w:rsidRDefault="00E20D05" w:rsidP="006E3281">
      <w:pPr>
        <w:tabs>
          <w:tab w:val="left" w:pos="-720"/>
        </w:tabs>
        <w:suppressAutoHyphens/>
        <w:spacing w:line="360" w:lineRule="auto"/>
        <w:jc w:val="both"/>
        <w:rPr>
          <w:rFonts w:ascii="Arial" w:hAnsi="Arial" w:cs="Arial"/>
        </w:rPr>
      </w:pPr>
    </w:p>
    <w:p w:rsidR="006E3281" w:rsidRPr="006E3281" w:rsidRDefault="006E3281" w:rsidP="006E3281">
      <w:pPr>
        <w:pStyle w:val="Corpsdetexte"/>
        <w:spacing w:line="360" w:lineRule="auto"/>
        <w:jc w:val="center"/>
        <w:rPr>
          <w:rFonts w:ascii="Arial" w:hAnsi="Arial" w:cs="Arial"/>
          <w:bCs/>
          <w:smallCaps/>
          <w:szCs w:val="24"/>
        </w:rPr>
      </w:pPr>
      <w:r w:rsidRPr="006E3281">
        <w:rPr>
          <w:rFonts w:ascii="Arial" w:hAnsi="Arial" w:cs="Arial"/>
          <w:bCs/>
          <w:smallCaps/>
          <w:szCs w:val="24"/>
        </w:rPr>
        <w:lastRenderedPageBreak/>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6E3281" w:rsidRPr="006E3281" w:rsidRDefault="006E3281" w:rsidP="006E3281">
      <w:pPr>
        <w:pStyle w:val="Corpsdetexte"/>
        <w:spacing w:line="360" w:lineRule="auto"/>
        <w:jc w:val="center"/>
        <w:rPr>
          <w:rFonts w:ascii="Arial" w:hAnsi="Arial" w:cs="Arial"/>
          <w:bCs/>
          <w:smallCaps/>
          <w:szCs w:val="24"/>
        </w:rPr>
      </w:pPr>
    </w:p>
    <w:p w:rsidR="006E3281" w:rsidRDefault="00EB7683"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0C2EEA">
        <w:rPr>
          <w:rFonts w:ascii="Arial" w:hAnsi="Arial" w:cs="Arial"/>
        </w:rPr>
        <w:t xml:space="preserve">DECLARAR la carencia actual de objeto por el hecho superado en </w:t>
      </w:r>
      <w:r>
        <w:rPr>
          <w:rFonts w:ascii="Arial" w:hAnsi="Arial" w:cs="Arial"/>
        </w:rPr>
        <w:t xml:space="preserve">las acciones </w:t>
      </w:r>
      <w:r w:rsidRPr="000C2EEA">
        <w:rPr>
          <w:rFonts w:ascii="Arial" w:hAnsi="Arial" w:cs="Arial"/>
        </w:rPr>
        <w:t>de tutela presentada</w:t>
      </w:r>
      <w:r>
        <w:rPr>
          <w:rFonts w:ascii="Arial" w:hAnsi="Arial" w:cs="Arial"/>
        </w:rPr>
        <w:t>s</w:t>
      </w:r>
      <w:r w:rsidRPr="000C2EEA">
        <w:rPr>
          <w:rFonts w:ascii="Arial" w:hAnsi="Arial" w:cs="Arial"/>
        </w:rPr>
        <w:t xml:space="preserve"> por el señor </w:t>
      </w:r>
      <w:r>
        <w:rPr>
          <w:rFonts w:ascii="Arial" w:hAnsi="Arial" w:cs="Arial"/>
        </w:rPr>
        <w:t xml:space="preserve">Javier </w:t>
      </w:r>
      <w:r>
        <w:rPr>
          <w:rFonts w:ascii="Arial" w:hAnsi="Arial" w:cs="Arial"/>
          <w:lang w:val="es-CO"/>
        </w:rPr>
        <w:t xml:space="preserve">Elías Arias </w:t>
      </w:r>
      <w:proofErr w:type="spellStart"/>
      <w:r>
        <w:rPr>
          <w:rFonts w:ascii="Arial" w:hAnsi="Arial" w:cs="Arial"/>
          <w:lang w:val="es-CO"/>
        </w:rPr>
        <w:t>Idárraga</w:t>
      </w:r>
      <w:proofErr w:type="spellEnd"/>
      <w:r>
        <w:rPr>
          <w:rFonts w:ascii="Arial" w:hAnsi="Arial" w:cs="Arial"/>
          <w:lang w:val="es-CO"/>
        </w:rPr>
        <w:t xml:space="preserve"> contra el Juzgado Tercero Civil del Circuito de Pereira</w:t>
      </w:r>
      <w:r w:rsidR="006E3281" w:rsidRPr="00BF1DAC">
        <w:rPr>
          <w:rFonts w:ascii="Arial" w:hAnsi="Arial" w:cs="Arial"/>
        </w:rPr>
        <w:t>.</w:t>
      </w:r>
    </w:p>
    <w:p w:rsidR="00E33C71" w:rsidRDefault="00E33C71" w:rsidP="00E33C71">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E33C71" w:rsidRPr="00F04FAF" w:rsidRDefault="00E33C71"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w:t>
      </w:r>
      <w:r w:rsidRPr="00E538DC">
        <w:rPr>
          <w:rFonts w:ascii="Arial" w:hAnsi="Arial" w:cs="Arial"/>
        </w:rPr>
        <w:t>improcedente</w:t>
      </w:r>
      <w:r>
        <w:rPr>
          <w:rFonts w:ascii="Arial" w:hAnsi="Arial" w:cs="Arial"/>
        </w:rPr>
        <w:t>s</w:t>
      </w:r>
      <w:r w:rsidRPr="00E538DC">
        <w:rPr>
          <w:rFonts w:ascii="Arial" w:hAnsi="Arial" w:cs="Arial"/>
        </w:rPr>
        <w:t xml:space="preserve"> </w:t>
      </w:r>
      <w:r>
        <w:rPr>
          <w:rFonts w:ascii="Arial" w:hAnsi="Arial" w:cs="Arial"/>
        </w:rPr>
        <w:t xml:space="preserve">las acciones </w:t>
      </w:r>
      <w:r w:rsidRPr="00E538DC">
        <w:rPr>
          <w:rFonts w:ascii="Arial" w:hAnsi="Arial" w:cs="Arial"/>
        </w:rPr>
        <w:t>constitucional</w:t>
      </w:r>
      <w:r>
        <w:rPr>
          <w:rFonts w:ascii="Arial" w:hAnsi="Arial" w:cs="Arial"/>
        </w:rPr>
        <w:t>es</w:t>
      </w:r>
      <w:r w:rsidRPr="00E538DC">
        <w:rPr>
          <w:rFonts w:ascii="Arial" w:hAnsi="Arial" w:cs="Arial"/>
        </w:rPr>
        <w:t xml:space="preserve"> </w:t>
      </w:r>
      <w:r>
        <w:rPr>
          <w:rFonts w:ascii="Arial" w:hAnsi="Arial" w:cs="Arial"/>
        </w:rPr>
        <w:t>respecto de la</w:t>
      </w:r>
      <w:r w:rsidR="00EB7683">
        <w:rPr>
          <w:rFonts w:ascii="Arial" w:hAnsi="Arial" w:cs="Arial"/>
        </w:rPr>
        <w:t>s</w:t>
      </w:r>
      <w:r>
        <w:rPr>
          <w:rFonts w:ascii="Arial" w:hAnsi="Arial" w:cs="Arial"/>
        </w:rPr>
        <w:t xml:space="preserve"> Defensoría</w:t>
      </w:r>
      <w:r w:rsidR="00EB7683">
        <w:rPr>
          <w:rFonts w:ascii="Arial" w:hAnsi="Arial" w:cs="Arial"/>
        </w:rPr>
        <w:t>s</w:t>
      </w:r>
      <w:r>
        <w:rPr>
          <w:rFonts w:ascii="Arial" w:hAnsi="Arial" w:cs="Arial"/>
        </w:rPr>
        <w:t xml:space="preserve"> del Pueblo</w:t>
      </w:r>
      <w:r w:rsidRPr="004D5812">
        <w:rPr>
          <w:rFonts w:ascii="Arial" w:hAnsi="Arial" w:cs="Arial"/>
        </w:rPr>
        <w:t>, Regional</w:t>
      </w:r>
      <w:r w:rsidR="00EB7683">
        <w:rPr>
          <w:rFonts w:ascii="Arial" w:hAnsi="Arial" w:cs="Arial"/>
        </w:rPr>
        <w:t xml:space="preserve">es </w:t>
      </w:r>
      <w:r w:rsidRPr="004D5812">
        <w:rPr>
          <w:rFonts w:ascii="Arial" w:hAnsi="Arial" w:cs="Arial"/>
        </w:rPr>
        <w:t>Caldas</w:t>
      </w:r>
      <w:r w:rsidR="00EB7683">
        <w:rPr>
          <w:rFonts w:ascii="Arial" w:hAnsi="Arial" w:cs="Arial"/>
        </w:rPr>
        <w:t xml:space="preserve">, </w:t>
      </w:r>
      <w:r w:rsidR="00EB7683">
        <w:rPr>
          <w:rFonts w:ascii="Arial" w:hAnsi="Arial" w:cs="Arial"/>
          <w:spacing w:val="3"/>
        </w:rPr>
        <w:t xml:space="preserve">Quindío, Huila y Antioquia; y, a </w:t>
      </w:r>
      <w:r w:rsidR="00EB7683" w:rsidRPr="003C1983">
        <w:rPr>
          <w:rFonts w:ascii="Arial" w:hAnsi="Arial" w:cs="Arial"/>
          <w:spacing w:val="3"/>
        </w:rPr>
        <w:t>la</w:t>
      </w:r>
      <w:r w:rsidR="00EB7683">
        <w:rPr>
          <w:rFonts w:ascii="Arial" w:hAnsi="Arial" w:cs="Arial"/>
          <w:spacing w:val="3"/>
        </w:rPr>
        <w:t>s</w:t>
      </w:r>
      <w:r w:rsidR="00EB7683" w:rsidRPr="003C1983">
        <w:rPr>
          <w:rFonts w:ascii="Arial" w:hAnsi="Arial" w:cs="Arial"/>
          <w:spacing w:val="3"/>
        </w:rPr>
        <w:t xml:space="preserve"> Alcaldía</w:t>
      </w:r>
      <w:r w:rsidR="00EB7683">
        <w:rPr>
          <w:rFonts w:ascii="Arial" w:hAnsi="Arial" w:cs="Arial"/>
          <w:spacing w:val="3"/>
        </w:rPr>
        <w:t>s</w:t>
      </w:r>
      <w:r w:rsidR="00EB7683" w:rsidRPr="003C1983">
        <w:rPr>
          <w:rFonts w:ascii="Arial" w:hAnsi="Arial" w:cs="Arial"/>
          <w:spacing w:val="3"/>
        </w:rPr>
        <w:t xml:space="preserve"> </w:t>
      </w:r>
      <w:r w:rsidR="00EB7683">
        <w:rPr>
          <w:rFonts w:ascii="Arial" w:hAnsi="Arial" w:cs="Arial"/>
          <w:spacing w:val="3"/>
        </w:rPr>
        <w:t>y</w:t>
      </w:r>
      <w:r w:rsidR="00EB7683" w:rsidRPr="003C1983">
        <w:rPr>
          <w:rFonts w:ascii="Arial" w:hAnsi="Arial" w:cs="Arial"/>
          <w:spacing w:val="3"/>
        </w:rPr>
        <w:t xml:space="preserve"> a la</w:t>
      </w:r>
      <w:r w:rsidR="00EB7683">
        <w:rPr>
          <w:rFonts w:ascii="Arial" w:hAnsi="Arial" w:cs="Arial"/>
          <w:spacing w:val="3"/>
        </w:rPr>
        <w:t>s</w:t>
      </w:r>
      <w:r w:rsidR="00EB7683" w:rsidRPr="003C1983">
        <w:rPr>
          <w:rFonts w:ascii="Arial" w:hAnsi="Arial" w:cs="Arial"/>
          <w:spacing w:val="3"/>
        </w:rPr>
        <w:t xml:space="preserve"> Personería</w:t>
      </w:r>
      <w:r w:rsidR="00EB7683">
        <w:rPr>
          <w:rFonts w:ascii="Arial" w:hAnsi="Arial" w:cs="Arial"/>
          <w:spacing w:val="3"/>
        </w:rPr>
        <w:t>s</w:t>
      </w:r>
      <w:r w:rsidR="00EB7683" w:rsidRPr="003C1983">
        <w:rPr>
          <w:rFonts w:ascii="Arial" w:hAnsi="Arial" w:cs="Arial"/>
          <w:spacing w:val="3"/>
        </w:rPr>
        <w:t xml:space="preserve"> de </w:t>
      </w:r>
      <w:r w:rsidR="00EB7683">
        <w:rPr>
          <w:rFonts w:ascii="Arial" w:hAnsi="Arial" w:cs="Arial"/>
          <w:spacing w:val="3"/>
        </w:rPr>
        <w:t>Armenia, Calarcá, Garzón y Medellín</w:t>
      </w:r>
      <w:r>
        <w:rPr>
          <w:rFonts w:ascii="Arial" w:hAnsi="Arial" w:cs="Arial"/>
        </w:rPr>
        <w:t>.</w:t>
      </w:r>
    </w:p>
    <w:p w:rsidR="00976AB5" w:rsidRPr="000F5F85"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976AB5" w:rsidRPr="003C1983" w:rsidRDefault="00976AB5" w:rsidP="00976AB5">
      <w:pPr>
        <w:pStyle w:val="Corpsdetexte"/>
        <w:numPr>
          <w:ilvl w:val="0"/>
          <w:numId w:val="6"/>
        </w:numPr>
        <w:tabs>
          <w:tab w:val="clear" w:pos="708"/>
          <w:tab w:val="clear" w:pos="786"/>
          <w:tab w:val="num" w:pos="360"/>
        </w:tabs>
        <w:spacing w:line="360" w:lineRule="auto"/>
        <w:ind w:left="360"/>
        <w:rPr>
          <w:rFonts w:ascii="Arial" w:hAnsi="Arial" w:cs="Arial"/>
          <w:szCs w:val="24"/>
        </w:rPr>
      </w:pPr>
      <w:r w:rsidRPr="003C1983">
        <w:rPr>
          <w:rFonts w:ascii="Arial" w:hAnsi="Arial" w:cs="Arial"/>
          <w:szCs w:val="24"/>
        </w:rPr>
        <w:t>NEGAR la</w:t>
      </w:r>
      <w:r w:rsidR="00F04FAF">
        <w:rPr>
          <w:rFonts w:ascii="Arial" w:hAnsi="Arial" w:cs="Arial"/>
          <w:szCs w:val="24"/>
        </w:rPr>
        <w:t>s</w:t>
      </w:r>
      <w:r w:rsidRPr="003C1983">
        <w:rPr>
          <w:rFonts w:ascii="Arial" w:hAnsi="Arial" w:cs="Arial"/>
          <w:szCs w:val="24"/>
        </w:rPr>
        <w:t xml:space="preserve"> </w:t>
      </w:r>
      <w:r w:rsidR="00F04FAF">
        <w:rPr>
          <w:rFonts w:ascii="Arial" w:hAnsi="Arial" w:cs="Arial"/>
          <w:szCs w:val="24"/>
        </w:rPr>
        <w:t>acciones</w:t>
      </w:r>
      <w:r w:rsidRPr="003C1983">
        <w:rPr>
          <w:rFonts w:ascii="Arial" w:hAnsi="Arial" w:cs="Arial"/>
          <w:szCs w:val="24"/>
        </w:rPr>
        <w:t xml:space="preserve"> de tutela frente </w:t>
      </w:r>
      <w:r w:rsidRPr="003C1983">
        <w:rPr>
          <w:rFonts w:ascii="Arial" w:hAnsi="Arial" w:cs="Arial"/>
          <w:spacing w:val="3"/>
          <w:szCs w:val="24"/>
        </w:rPr>
        <w:t>a la</w:t>
      </w:r>
      <w:r w:rsidR="000C2B70">
        <w:rPr>
          <w:rFonts w:ascii="Arial" w:hAnsi="Arial" w:cs="Arial"/>
          <w:spacing w:val="3"/>
          <w:szCs w:val="24"/>
        </w:rPr>
        <w:t xml:space="preserve">s Procuradurías </w:t>
      </w:r>
      <w:r w:rsidR="00EB7683" w:rsidRPr="004D5812">
        <w:rPr>
          <w:rFonts w:ascii="Arial" w:hAnsi="Arial" w:cs="Arial"/>
        </w:rPr>
        <w:t>Regional</w:t>
      </w:r>
      <w:r w:rsidR="00EB7683">
        <w:rPr>
          <w:rFonts w:ascii="Arial" w:hAnsi="Arial" w:cs="Arial"/>
        </w:rPr>
        <w:t xml:space="preserve">es </w:t>
      </w:r>
      <w:r w:rsidR="00EB7683" w:rsidRPr="004D5812">
        <w:rPr>
          <w:rFonts w:ascii="Arial" w:hAnsi="Arial" w:cs="Arial"/>
        </w:rPr>
        <w:t>Caldas</w:t>
      </w:r>
      <w:r w:rsidR="00EB7683">
        <w:rPr>
          <w:rFonts w:ascii="Arial" w:hAnsi="Arial" w:cs="Arial"/>
        </w:rPr>
        <w:t xml:space="preserve">, </w:t>
      </w:r>
      <w:r w:rsidR="00EB7683">
        <w:rPr>
          <w:rFonts w:ascii="Arial" w:hAnsi="Arial" w:cs="Arial"/>
          <w:spacing w:val="3"/>
          <w:szCs w:val="24"/>
        </w:rPr>
        <w:t>Quindío, Huila y Antioquia</w:t>
      </w:r>
      <w:r w:rsidRPr="003C1983">
        <w:rPr>
          <w:rFonts w:ascii="Arial" w:hAnsi="Arial" w:cs="Arial"/>
          <w:szCs w:val="24"/>
        </w:rPr>
        <w:t>.</w:t>
      </w:r>
    </w:p>
    <w:p w:rsidR="000827E2" w:rsidRPr="00F04FAF" w:rsidRDefault="000827E2" w:rsidP="00F04FAF">
      <w:pPr>
        <w:rPr>
          <w:rFonts w:ascii="Arial" w:hAnsi="Arial" w:cs="Arial"/>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0F5F85"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2"/>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023B2D" w:rsidRDefault="00023B2D" w:rsidP="00023B2D">
      <w:pPr>
        <w:pStyle w:val="Paragraphedeliste"/>
        <w:rPr>
          <w:rFonts w:ascii="Arial" w:hAnsi="Arial"/>
          <w:spacing w:val="-3"/>
          <w:lang w:val="es-ES_tradnl"/>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B72A5" w:rsidRDefault="00984EE4" w:rsidP="00126266">
      <w:pPr>
        <w:pStyle w:val="Corpsdetexte"/>
        <w:spacing w:line="360" w:lineRule="auto"/>
        <w:jc w:val="center"/>
        <w:rPr>
          <w:rFonts w:ascii="Arial" w:hAnsi="Arial"/>
          <w:smallCaps/>
          <w:sz w:val="20"/>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EB7683" w:rsidRDefault="000006D6" w:rsidP="00017666">
      <w:pPr>
        <w:pStyle w:val="Corpsdetexte"/>
        <w:spacing w:line="360" w:lineRule="auto"/>
        <w:rPr>
          <w:rFonts w:ascii="Arial" w:hAnsi="Arial"/>
          <w:sz w:val="40"/>
          <w:lang w:val="en-US"/>
        </w:rPr>
      </w:pPr>
      <w:bookmarkStart w:id="0" w:name="_GoBack"/>
      <w:bookmarkEnd w:id="0"/>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F04FAF" w:rsidRPr="001B6BBA"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E33C71" w:rsidRDefault="00C16956" w:rsidP="00E33C71">
      <w:pPr>
        <w:pStyle w:val="Corpsdetexte"/>
        <w:spacing w:line="360" w:lineRule="auto"/>
        <w:jc w:val="right"/>
        <w:rPr>
          <w:rFonts w:ascii="Arial" w:hAnsi="Arial"/>
          <w:sz w:val="22"/>
        </w:rPr>
      </w:pPr>
      <w:r w:rsidRPr="003C77B1">
        <w:rPr>
          <w:rFonts w:ascii="Arial" w:hAnsi="Arial"/>
          <w:w w:val="150"/>
          <w:sz w:val="8"/>
          <w:szCs w:val="10"/>
          <w:lang w:val="es-CO"/>
        </w:rPr>
        <w:t>DGH/</w:t>
      </w:r>
      <w:r w:rsidR="00F04FAF" w:rsidRPr="003C77B1">
        <w:rPr>
          <w:rFonts w:ascii="Arial" w:hAnsi="Arial"/>
          <w:w w:val="150"/>
          <w:sz w:val="8"/>
          <w:szCs w:val="10"/>
          <w:lang w:val="es-CO"/>
        </w:rPr>
        <w:t>ODCD</w:t>
      </w:r>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E33C71" w:rsidSect="00C52552">
      <w:headerReference w:type="default" r:id="rId14"/>
      <w:footerReference w:type="default" r:id="rId15"/>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1C" w:rsidRDefault="00F8251C" w:rsidP="0099045D">
      <w:r>
        <w:separator/>
      </w:r>
    </w:p>
  </w:endnote>
  <w:endnote w:type="continuationSeparator" w:id="0">
    <w:p w:rsidR="00F8251C" w:rsidRDefault="00F8251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1C" w:rsidRDefault="00F8251C" w:rsidP="0099045D">
      <w:r>
        <w:separator/>
      </w:r>
    </w:p>
  </w:footnote>
  <w:footnote w:type="continuationSeparator" w:id="0">
    <w:p w:rsidR="00F8251C" w:rsidRDefault="00F8251C" w:rsidP="0099045D">
      <w:r>
        <w:continuationSeparator/>
      </w:r>
    </w:p>
  </w:footnote>
  <w:footnote w:id="1">
    <w:p w:rsidR="0086007C" w:rsidRPr="00AB45C8" w:rsidRDefault="0086007C" w:rsidP="0086007C">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AB45C8">
        <w:rPr>
          <w:rFonts w:asciiTheme="minorHAnsi" w:hAnsiTheme="minorHAnsi"/>
          <w:lang w:val="fr-FR"/>
        </w:rPr>
        <w:t xml:space="preserve"> </w:t>
      </w:r>
      <w:r w:rsidR="00B00916" w:rsidRPr="00AB45C8">
        <w:rPr>
          <w:rFonts w:asciiTheme="minorHAnsi" w:hAnsiTheme="minorHAnsi"/>
          <w:lang w:val="fr-FR"/>
        </w:rPr>
        <w:t>CC</w:t>
      </w:r>
      <w:r w:rsidRPr="00AB45C8">
        <w:rPr>
          <w:rFonts w:asciiTheme="minorHAnsi" w:hAnsiTheme="minorHAnsi"/>
          <w:lang w:val="fr-FR"/>
        </w:rPr>
        <w:t>. Sentencia T-970 de 2014.</w:t>
      </w:r>
    </w:p>
  </w:footnote>
  <w:footnote w:id="2">
    <w:p w:rsidR="0086007C" w:rsidRPr="00AB45C8" w:rsidRDefault="0086007C" w:rsidP="0086007C">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AB45C8">
        <w:rPr>
          <w:rFonts w:asciiTheme="minorHAnsi" w:hAnsiTheme="minorHAnsi"/>
          <w:lang w:val="fr-FR"/>
        </w:rPr>
        <w:t xml:space="preserve"> </w:t>
      </w:r>
      <w:r w:rsidR="00B00916" w:rsidRPr="00AB45C8">
        <w:rPr>
          <w:rFonts w:asciiTheme="minorHAnsi" w:hAnsiTheme="minorHAnsi"/>
          <w:lang w:val="fr-FR"/>
        </w:rPr>
        <w:t>CC</w:t>
      </w:r>
      <w:r w:rsidRPr="00AB45C8">
        <w:rPr>
          <w:rFonts w:asciiTheme="minorHAnsi" w:hAnsiTheme="minorHAnsi"/>
          <w:lang w:val="fr-FR"/>
        </w:rPr>
        <w:t xml:space="preserve">. </w:t>
      </w:r>
      <w:r w:rsidRPr="00AB45C8">
        <w:rPr>
          <w:rFonts w:asciiTheme="minorHAnsi" w:hAnsiTheme="minorHAnsi"/>
          <w:bCs/>
          <w:lang w:val="fr-FR"/>
        </w:rPr>
        <w:t>Sentencia T-011 de 2016.</w:t>
      </w:r>
    </w:p>
  </w:footnote>
  <w:footnote w:id="3">
    <w:p w:rsidR="0086007C" w:rsidRPr="00A124AD" w:rsidRDefault="0086007C" w:rsidP="0086007C">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B00916">
        <w:rPr>
          <w:rFonts w:asciiTheme="minorHAnsi" w:hAnsiTheme="minorHAnsi"/>
          <w:lang w:val="es-CO"/>
        </w:rPr>
        <w:t>CC</w:t>
      </w:r>
      <w:r w:rsidRPr="00A124AD">
        <w:rPr>
          <w:rFonts w:asciiTheme="minorHAnsi" w:hAnsiTheme="minorHAnsi"/>
          <w:lang w:val="es-CO"/>
        </w:rPr>
        <w:t xml:space="preserve">. Sentencia SU-540 de 2007, reiterada en la sentencia </w:t>
      </w:r>
      <w:r w:rsidRPr="00A124AD">
        <w:rPr>
          <w:rFonts w:asciiTheme="minorHAnsi" w:hAnsiTheme="minorHAnsi"/>
          <w:bCs/>
          <w:lang w:val="es-CO"/>
        </w:rPr>
        <w:t>T-062 de 2016, entre otras.</w:t>
      </w:r>
    </w:p>
  </w:footnote>
  <w:footnote w:id="4">
    <w:p w:rsidR="0086007C" w:rsidRPr="00A124AD" w:rsidRDefault="0086007C" w:rsidP="0086007C">
      <w:pPr>
        <w:pStyle w:val="Notedebasdepage"/>
        <w:jc w:val="both"/>
        <w:rPr>
          <w:rFonts w:asciiTheme="minorHAnsi" w:hAnsiTheme="minorHAnsi"/>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B00916">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5">
    <w:p w:rsidR="0086007C" w:rsidRPr="00A124AD" w:rsidRDefault="0086007C" w:rsidP="0086007C">
      <w:pPr>
        <w:pStyle w:val="Notedebasdepage"/>
        <w:jc w:val="both"/>
        <w:rPr>
          <w:rFonts w:asciiTheme="minorHAnsi" w:hAnsiTheme="minorHAnsi"/>
          <w:color w:val="000000"/>
          <w:bdr w:val="none" w:sz="0" w:space="0" w:color="auto" w:frame="1"/>
          <w:lang w:val="es-CO"/>
        </w:rPr>
      </w:pPr>
      <w:r w:rsidRPr="00A124AD">
        <w:rPr>
          <w:rStyle w:val="Appelnotedebasdep"/>
          <w:rFonts w:asciiTheme="minorHAnsi" w:hAnsiTheme="minorHAnsi"/>
          <w:lang w:val="es-CO"/>
        </w:rPr>
        <w:footnoteRef/>
      </w:r>
      <w:r w:rsidRPr="00A124AD">
        <w:rPr>
          <w:rFonts w:asciiTheme="minorHAnsi" w:hAnsiTheme="minorHAnsi"/>
          <w:lang w:val="es-CO"/>
        </w:rPr>
        <w:t xml:space="preserve"> </w:t>
      </w:r>
      <w:r w:rsidR="00B00916">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6">
    <w:p w:rsidR="0086007C" w:rsidRPr="00AB45C8" w:rsidRDefault="0086007C" w:rsidP="0086007C">
      <w:pPr>
        <w:pStyle w:val="Notedebasdepage"/>
        <w:jc w:val="both"/>
        <w:rPr>
          <w:rFonts w:ascii="Calibri" w:hAnsi="Calibri"/>
          <w:b/>
          <w:color w:val="000000" w:themeColor="text1"/>
          <w:bdr w:val="none" w:sz="0" w:space="0" w:color="auto" w:frame="1"/>
          <w:lang w:val="fr-FR"/>
        </w:rPr>
      </w:pPr>
      <w:r w:rsidRPr="00D43BC9">
        <w:rPr>
          <w:rStyle w:val="Appelnotedebasdep"/>
          <w:rFonts w:ascii="Calibri" w:hAnsi="Calibri"/>
          <w:color w:val="000000" w:themeColor="text1"/>
          <w:lang w:val="es-CO"/>
        </w:rPr>
        <w:footnoteRef/>
      </w:r>
      <w:r w:rsidRPr="00AB45C8">
        <w:rPr>
          <w:rFonts w:ascii="Calibri" w:hAnsi="Calibri"/>
          <w:color w:val="000000" w:themeColor="text1"/>
          <w:lang w:val="fr-FR"/>
        </w:rPr>
        <w:t xml:space="preserve"> </w:t>
      </w:r>
      <w:r w:rsidR="00B00916" w:rsidRPr="00AB45C8">
        <w:rPr>
          <w:rFonts w:ascii="Calibri" w:hAnsi="Calibri"/>
          <w:color w:val="000000" w:themeColor="text1"/>
          <w:lang w:val="fr-FR"/>
        </w:rPr>
        <w:t>CC</w:t>
      </w:r>
      <w:r w:rsidRPr="00AB45C8">
        <w:rPr>
          <w:rFonts w:ascii="Calibri" w:hAnsi="Calibri"/>
          <w:color w:val="000000" w:themeColor="text1"/>
          <w:bdr w:val="none" w:sz="0" w:space="0" w:color="auto" w:frame="1"/>
          <w:lang w:val="fr-FR"/>
        </w:rPr>
        <w:t>. Sentencia T-041 de 2016.</w:t>
      </w:r>
    </w:p>
  </w:footnote>
  <w:footnote w:id="7">
    <w:p w:rsidR="0086007C" w:rsidRPr="00AB45C8" w:rsidRDefault="0086007C" w:rsidP="0086007C">
      <w:pPr>
        <w:pStyle w:val="Notedebasdepage"/>
        <w:jc w:val="both"/>
        <w:rPr>
          <w:rFonts w:ascii="Calibri" w:hAnsi="Calibri" w:cs="Calibri"/>
          <w:color w:val="000000" w:themeColor="text1"/>
          <w:lang w:val="fr-FR"/>
        </w:rPr>
      </w:pPr>
      <w:r w:rsidRPr="00D43BC9">
        <w:rPr>
          <w:rStyle w:val="Appelnotedebasdep"/>
          <w:rFonts w:ascii="Calibri" w:hAnsi="Calibri"/>
          <w:color w:val="000000" w:themeColor="text1"/>
          <w:lang w:val="es-AR"/>
        </w:rPr>
        <w:footnoteRef/>
      </w:r>
      <w:r w:rsidRPr="00AB45C8">
        <w:rPr>
          <w:rFonts w:ascii="Calibri" w:hAnsi="Calibri"/>
          <w:color w:val="000000" w:themeColor="text1"/>
          <w:lang w:val="fr-FR"/>
        </w:rPr>
        <w:t xml:space="preserve"> </w:t>
      </w:r>
      <w:r w:rsidR="00B00916" w:rsidRPr="00AB45C8">
        <w:rPr>
          <w:rFonts w:ascii="Calibri" w:hAnsi="Calibri" w:cs="Calibri"/>
          <w:color w:val="000000" w:themeColor="text1"/>
          <w:lang w:val="fr-FR"/>
        </w:rPr>
        <w:t>CC</w:t>
      </w:r>
      <w:r w:rsidRPr="00AB45C8">
        <w:rPr>
          <w:rFonts w:ascii="Calibri" w:hAnsi="Calibri" w:cs="Calibri"/>
          <w:color w:val="000000" w:themeColor="text1"/>
          <w:lang w:val="fr-FR"/>
        </w:rPr>
        <w:t xml:space="preserve">. Sentencia T-728 de 2014. </w:t>
      </w:r>
    </w:p>
  </w:footnote>
  <w:footnote w:id="8">
    <w:p w:rsidR="0086007C" w:rsidRPr="00D43BC9" w:rsidRDefault="0086007C" w:rsidP="0086007C">
      <w:pPr>
        <w:pStyle w:val="Notedebasdepage"/>
        <w:jc w:val="both"/>
        <w:rPr>
          <w:rFonts w:ascii="Calibri" w:hAnsi="Calibri"/>
          <w:color w:val="000000" w:themeColor="text1"/>
          <w:lang w:val="es-CO"/>
        </w:rPr>
      </w:pPr>
      <w:r w:rsidRPr="00D43BC9">
        <w:rPr>
          <w:rStyle w:val="Appelnotedebasdep"/>
          <w:rFonts w:ascii="Calibri" w:hAnsi="Calibri"/>
          <w:color w:val="000000" w:themeColor="text1"/>
        </w:rPr>
        <w:footnoteRef/>
      </w:r>
      <w:r w:rsidRPr="00D43BC9">
        <w:rPr>
          <w:rFonts w:ascii="Calibri" w:hAnsi="Calibri"/>
          <w:color w:val="000000" w:themeColor="text1"/>
        </w:rPr>
        <w:t xml:space="preserve"> </w:t>
      </w:r>
      <w:r w:rsidR="00B00916">
        <w:rPr>
          <w:rFonts w:ascii="Calibri" w:hAnsi="Calibri" w:cs="Calibri"/>
          <w:color w:val="000000" w:themeColor="text1"/>
          <w:lang w:val="es-AR"/>
        </w:rPr>
        <w:t>CC</w:t>
      </w:r>
      <w:r w:rsidRPr="00D43BC9">
        <w:rPr>
          <w:rFonts w:ascii="Calibri" w:hAnsi="Calibri" w:cs="Calibri"/>
          <w:color w:val="000000" w:themeColor="text1"/>
          <w:lang w:val="es-AR"/>
        </w:rPr>
        <w:t xml:space="preserve">. Sentencia </w:t>
      </w:r>
      <w:r w:rsidRPr="00D43BC9">
        <w:rPr>
          <w:rFonts w:ascii="Calibri" w:hAnsi="Calibri" w:cs="Calibri"/>
          <w:color w:val="000000" w:themeColor="text1"/>
        </w:rPr>
        <w:t xml:space="preserve">T-142 de 2016, reafirmando las sentencias </w:t>
      </w:r>
      <w:hyperlink r:id="rId1" w:tooltip="Haga clic para abrir la Sentencia SU-540 de 2007" w:history="1">
        <w:r w:rsidRPr="00D43BC9">
          <w:rPr>
            <w:rStyle w:val="Lienhypertexte"/>
            <w:rFonts w:ascii="Calibri" w:hAnsi="Calibri" w:cs="Calibri"/>
            <w:color w:val="000000" w:themeColor="text1"/>
            <w:u w:val="none"/>
          </w:rPr>
          <w:t>SU-540 de 2007</w:t>
        </w:r>
      </w:hyperlink>
      <w:r w:rsidRPr="00D43BC9">
        <w:rPr>
          <w:rFonts w:ascii="Calibri" w:hAnsi="Calibri" w:cs="Calibri"/>
          <w:color w:val="000000" w:themeColor="text1"/>
        </w:rPr>
        <w:t>, </w:t>
      </w:r>
      <w:hyperlink r:id="rId2" w:tooltip="Haga clic para abrir la Sentencia T-200 de 2013" w:history="1">
        <w:r w:rsidRPr="00D43BC9">
          <w:rPr>
            <w:rStyle w:val="Lienhypertexte"/>
            <w:rFonts w:ascii="Calibri" w:hAnsi="Calibri" w:cs="Calibri"/>
            <w:color w:val="000000" w:themeColor="text1"/>
            <w:u w:val="none"/>
          </w:rPr>
          <w:t>T-200 de 2013</w:t>
        </w:r>
      </w:hyperlink>
      <w:r w:rsidRPr="00D43BC9">
        <w:rPr>
          <w:rFonts w:ascii="Calibri" w:hAnsi="Calibri" w:cs="Calibri"/>
          <w:color w:val="000000" w:themeColor="text1"/>
        </w:rPr>
        <w:t xml:space="preserve"> y </w:t>
      </w:r>
      <w:hyperlink r:id="rId3" w:tooltip="Haga clic para abrir la Sentencia T-358 de 2014" w:history="1">
        <w:r w:rsidRPr="00D43BC9">
          <w:rPr>
            <w:rStyle w:val="Lienhypertexte"/>
            <w:rFonts w:ascii="Calibri" w:hAnsi="Calibri" w:cs="Calibri"/>
            <w:color w:val="000000" w:themeColor="text1"/>
            <w:u w:val="none"/>
          </w:rPr>
          <w:t>T-358 de 2014</w:t>
        </w:r>
      </w:hyperlink>
      <w:r w:rsidRPr="00D43BC9">
        <w:rPr>
          <w:rFonts w:ascii="Calibri" w:hAnsi="Calibri" w:cs="Calibri"/>
          <w:color w:val="000000" w:themeColor="text1"/>
        </w:rPr>
        <w:t>.</w:t>
      </w:r>
    </w:p>
  </w:footnote>
  <w:footnote w:id="9">
    <w:p w:rsidR="0086007C" w:rsidRPr="00D43BC9" w:rsidRDefault="0086007C" w:rsidP="0086007C">
      <w:pPr>
        <w:pStyle w:val="Notedebasdepage"/>
        <w:jc w:val="both"/>
        <w:rPr>
          <w:rFonts w:ascii="Calibri" w:hAnsi="Calibri"/>
          <w:color w:val="000000" w:themeColor="text1"/>
          <w:lang w:val="es-CO"/>
        </w:rPr>
      </w:pPr>
      <w:r w:rsidRPr="00D43BC9">
        <w:rPr>
          <w:rStyle w:val="Appelnotedebasdep"/>
          <w:rFonts w:ascii="Calibri" w:hAnsi="Calibri"/>
          <w:color w:val="000000" w:themeColor="text1"/>
        </w:rPr>
        <w:footnoteRef/>
      </w:r>
      <w:r w:rsidRPr="00D43BC9">
        <w:rPr>
          <w:rFonts w:ascii="Calibri" w:hAnsi="Calibri"/>
          <w:color w:val="000000" w:themeColor="text1"/>
        </w:rPr>
        <w:t xml:space="preserve"> </w:t>
      </w:r>
      <w:r w:rsidR="00B00916">
        <w:rPr>
          <w:rFonts w:ascii="Calibri" w:hAnsi="Calibri" w:cs="Calibri"/>
          <w:color w:val="000000" w:themeColor="text1"/>
          <w:lang w:val="es-AR"/>
        </w:rPr>
        <w:t>CC</w:t>
      </w:r>
      <w:r w:rsidRPr="00D43BC9">
        <w:rPr>
          <w:rFonts w:ascii="Calibri" w:hAnsi="Calibri" w:cs="Calibri"/>
          <w:color w:val="000000" w:themeColor="text1"/>
          <w:lang w:val="es-AR"/>
        </w:rPr>
        <w:t xml:space="preserve">. Sentencia </w:t>
      </w:r>
      <w:hyperlink r:id="rId4" w:tooltip="Haga clic para abrir la Sentencia T-309 de 2006" w:history="1">
        <w:r w:rsidRPr="00D43BC9">
          <w:rPr>
            <w:rStyle w:val="Lienhypertexte"/>
            <w:rFonts w:ascii="Calibri" w:hAnsi="Calibri" w:cs="Calibri"/>
            <w:color w:val="000000" w:themeColor="text1"/>
            <w:u w:val="none"/>
          </w:rPr>
          <w:t>T-309 de 2006</w:t>
        </w:r>
      </w:hyperlink>
      <w:r w:rsidRPr="00D43BC9">
        <w:rPr>
          <w:rFonts w:ascii="Calibri" w:hAnsi="Calibri" w:cs="Calibri"/>
          <w:color w:val="000000" w:themeColor="text1"/>
        </w:rPr>
        <w:t xml:space="preserve">, reiterada en la sentencia T-142 de 2016. </w:t>
      </w:r>
    </w:p>
  </w:footnote>
  <w:footnote w:id="10">
    <w:p w:rsidR="0086007C" w:rsidRPr="00AB45C8" w:rsidRDefault="0086007C" w:rsidP="0086007C">
      <w:pPr>
        <w:pStyle w:val="Notedebasdepage"/>
        <w:jc w:val="both"/>
        <w:rPr>
          <w:lang w:val="fr-FR"/>
        </w:rPr>
      </w:pPr>
      <w:r w:rsidRPr="00D43BC9">
        <w:rPr>
          <w:rStyle w:val="Appelnotedebasdep"/>
          <w:rFonts w:ascii="Calibri" w:hAnsi="Calibri"/>
          <w:color w:val="000000" w:themeColor="text1"/>
          <w:lang w:val="es-AR"/>
        </w:rPr>
        <w:footnoteRef/>
      </w:r>
      <w:r w:rsidRPr="00AB45C8">
        <w:rPr>
          <w:rFonts w:ascii="Calibri" w:hAnsi="Calibri"/>
          <w:color w:val="000000" w:themeColor="text1"/>
          <w:lang w:val="fr-FR"/>
        </w:rPr>
        <w:t xml:space="preserve"> </w:t>
      </w:r>
      <w:r w:rsidR="00B00916" w:rsidRPr="00AB45C8">
        <w:rPr>
          <w:rFonts w:ascii="Calibri" w:hAnsi="Calibri" w:cs="Calibri"/>
          <w:color w:val="000000" w:themeColor="text1"/>
          <w:lang w:val="fr-FR"/>
        </w:rPr>
        <w:t>CC</w:t>
      </w:r>
      <w:r w:rsidRPr="00AB45C8">
        <w:rPr>
          <w:rFonts w:ascii="Calibri" w:hAnsi="Calibri" w:cs="Calibri"/>
          <w:color w:val="000000" w:themeColor="text1"/>
          <w:lang w:val="fr-FR"/>
        </w:rPr>
        <w:t>. Sentencia T-728 de 2014.</w:t>
      </w:r>
    </w:p>
  </w:footnote>
  <w:footnote w:id="11">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T-193 de 2008.</w:t>
      </w:r>
    </w:p>
  </w:footnote>
  <w:footnote w:id="12">
    <w:p w:rsidR="007A6772" w:rsidRPr="00AB45C8" w:rsidRDefault="007A6772" w:rsidP="007A6772">
      <w:pPr>
        <w:pStyle w:val="Notedebasdepage"/>
        <w:rPr>
          <w:lang w:val="fr-FR"/>
        </w:rPr>
      </w:pPr>
      <w:r>
        <w:rPr>
          <w:rStyle w:val="Appelnotedebasdep"/>
        </w:rPr>
        <w:footnoteRef/>
      </w:r>
      <w:r w:rsidRPr="00AB45C8">
        <w:rPr>
          <w:lang w:val="fr-FR"/>
        </w:rPr>
        <w:t xml:space="preserve"> </w:t>
      </w:r>
      <w:r w:rsidRPr="00AB45C8">
        <w:rPr>
          <w:rFonts w:asciiTheme="minorHAnsi" w:hAnsiTheme="minorHAnsi" w:cs="Calibri"/>
          <w:lang w:val="fr-FR"/>
        </w:rPr>
        <w:t>CC.  Sentencia T-185 de 2013.</w:t>
      </w:r>
    </w:p>
  </w:footnote>
  <w:footnote w:id="13">
    <w:p w:rsidR="007A6772" w:rsidRPr="007B0994" w:rsidRDefault="007A6772" w:rsidP="007A6772">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4">
    <w:p w:rsidR="007A6772" w:rsidRPr="00833A61" w:rsidRDefault="007A6772" w:rsidP="007A6772">
      <w:pPr>
        <w:pStyle w:val="Notedebasdepage"/>
        <w:rPr>
          <w:lang w:val="es-CO"/>
        </w:rPr>
      </w:pPr>
      <w:r>
        <w:rPr>
          <w:rStyle w:val="Appelnotedebasdep"/>
        </w:rPr>
        <w:footnoteRef/>
      </w:r>
      <w:r>
        <w:t xml:space="preserve"> </w:t>
      </w:r>
      <w:r>
        <w:rPr>
          <w:rFonts w:asciiTheme="minorHAnsi" w:hAnsiTheme="minorHAnsi"/>
        </w:rPr>
        <w:t>CC</w:t>
      </w:r>
      <w:r w:rsidRPr="00CA12C8">
        <w:rPr>
          <w:rFonts w:asciiTheme="minorHAnsi" w:hAnsiTheme="minorHAnsi"/>
        </w:rPr>
        <w:t xml:space="preserve">.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5">
    <w:p w:rsidR="007A6772" w:rsidRPr="00104D5D" w:rsidRDefault="007A6772" w:rsidP="007A6772">
      <w:pPr>
        <w:pStyle w:val="Notedebasdepage"/>
        <w:jc w:val="both"/>
        <w:rPr>
          <w:rFonts w:ascii="Calibri" w:hAnsi="Calibri"/>
          <w:lang w:val="es-CO"/>
        </w:rPr>
      </w:pPr>
      <w:r w:rsidRPr="008C531D">
        <w:rPr>
          <w:rStyle w:val="Appelnotedebasdep"/>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6">
    <w:p w:rsidR="007A6772" w:rsidRPr="00104D5D" w:rsidRDefault="007A6772" w:rsidP="007A6772">
      <w:pPr>
        <w:pStyle w:val="Notedebasdepage"/>
        <w:jc w:val="both"/>
        <w:rPr>
          <w:lang w:val="es-CO"/>
        </w:rPr>
      </w:pPr>
      <w:r w:rsidRPr="00104D5D">
        <w:rPr>
          <w:rStyle w:val="Appelnotedebasdep"/>
          <w:rFonts w:ascii="Calibri" w:hAnsi="Calibri"/>
        </w:rPr>
        <w:footnoteRef/>
      </w:r>
      <w:r w:rsidRPr="00104D5D">
        <w:rPr>
          <w:rFonts w:ascii="Calibri" w:hAnsi="Calibri"/>
        </w:rPr>
        <w:t xml:space="preserve"> </w:t>
      </w:r>
      <w:r>
        <w:rPr>
          <w:rFonts w:ascii="Calibri" w:hAnsi="Calibri"/>
          <w:lang w:val="es-CO"/>
        </w:rPr>
        <w:t>TSP</w:t>
      </w:r>
      <w:r w:rsidRPr="00104D5D">
        <w:rPr>
          <w:rFonts w:ascii="Calibri" w:hAnsi="Calibri"/>
          <w:lang w:val="es-CO"/>
        </w:rPr>
        <w:t xml:space="preserve">, Sala Civil-Familia. Sentencia del 28-03-2016, </w:t>
      </w:r>
      <w:proofErr w:type="spellStart"/>
      <w:r w:rsidRPr="00104D5D">
        <w:rPr>
          <w:rFonts w:ascii="Calibri" w:hAnsi="Calibri"/>
          <w:lang w:val="es-CO"/>
        </w:rPr>
        <w:t>MP</w:t>
      </w:r>
      <w:proofErr w:type="spellEnd"/>
      <w:r w:rsidRPr="00104D5D">
        <w:rPr>
          <w:rFonts w:ascii="Calibri" w:hAnsi="Calibri"/>
          <w:lang w:val="es-CO"/>
        </w:rPr>
        <w:t xml:space="preserve">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7">
    <w:p w:rsidR="007A6772" w:rsidRPr="00AB45C8" w:rsidRDefault="007A6772" w:rsidP="007A6772">
      <w:pPr>
        <w:pStyle w:val="Notedebasdepage"/>
        <w:jc w:val="both"/>
        <w:rPr>
          <w:rFonts w:ascii="Calibri" w:hAnsi="Calibri"/>
          <w:lang w:val="fr-FR"/>
        </w:rPr>
      </w:pPr>
      <w:r w:rsidRPr="008C531D">
        <w:rPr>
          <w:rStyle w:val="Appelnotedebasdep"/>
          <w:rFonts w:ascii="Calibri" w:hAnsi="Calibri"/>
        </w:rPr>
        <w:footnoteRef/>
      </w:r>
      <w:r w:rsidRPr="00AB45C8">
        <w:rPr>
          <w:rFonts w:ascii="Calibri" w:hAnsi="Calibri"/>
          <w:lang w:val="fr-FR"/>
        </w:rPr>
        <w:t xml:space="preserve"> CC. Sentencia T-057 de 2016.</w:t>
      </w:r>
    </w:p>
  </w:footnote>
  <w:footnote w:id="18">
    <w:p w:rsidR="007A6772" w:rsidRPr="00AB45C8" w:rsidRDefault="007A6772" w:rsidP="007A6772">
      <w:pPr>
        <w:pStyle w:val="Notedebasdepage"/>
        <w:jc w:val="both"/>
        <w:rPr>
          <w:rFonts w:ascii="Calibri" w:hAnsi="Calibri"/>
          <w:lang w:val="fr-FR"/>
        </w:rPr>
      </w:pPr>
      <w:r w:rsidRPr="008C531D">
        <w:rPr>
          <w:rStyle w:val="Appelnotedebasdep"/>
          <w:rFonts w:ascii="Calibri" w:hAnsi="Calibri"/>
        </w:rPr>
        <w:footnoteRef/>
      </w:r>
      <w:r w:rsidRPr="00AB45C8">
        <w:rPr>
          <w:rFonts w:ascii="Calibri" w:hAnsi="Calibri"/>
          <w:lang w:val="fr-FR"/>
        </w:rPr>
        <w:t xml:space="preserve"> CC. Sentencia T-095 de 2015.</w:t>
      </w:r>
    </w:p>
  </w:footnote>
  <w:footnote w:id="19">
    <w:p w:rsidR="007A6772" w:rsidRPr="00A4402B" w:rsidRDefault="007A6772" w:rsidP="007A6772">
      <w:pPr>
        <w:pStyle w:val="Notedebasdepage"/>
        <w:jc w:val="both"/>
        <w:rPr>
          <w:lang w:val="es-CO"/>
        </w:rPr>
      </w:pPr>
      <w:r w:rsidRPr="008C531D">
        <w:rPr>
          <w:rStyle w:val="Appelnotedebasdep"/>
          <w:rFonts w:ascii="Calibri" w:hAnsi="Calibri"/>
        </w:rPr>
        <w:footnoteRef/>
      </w:r>
      <w:r w:rsidRPr="008C531D">
        <w:rPr>
          <w:rFonts w:ascii="Calibri" w:hAnsi="Calibri"/>
        </w:rPr>
        <w:t xml:space="preserve"> </w:t>
      </w:r>
      <w:r>
        <w:rPr>
          <w:rFonts w:ascii="Calibri" w:hAnsi="Calibri"/>
        </w:rPr>
        <w:t>CC</w:t>
      </w:r>
      <w:r w:rsidRPr="008C531D">
        <w:rPr>
          <w:rFonts w:ascii="Calibri" w:hAnsi="Calibri"/>
        </w:rPr>
        <w:t>. Sentencia</w:t>
      </w:r>
      <w:r w:rsidRPr="008C531D">
        <w:rPr>
          <w:rFonts w:ascii="Calibri" w:hAnsi="Calibri"/>
          <w:lang w:val="es-CO"/>
        </w:rPr>
        <w:t xml:space="preserve"> T-560 de 2009, reiterada en las sentencias T-185 de 2013 y T-001 de 2016, entre otras.</w:t>
      </w:r>
    </w:p>
  </w:footnote>
  <w:footnote w:id="20">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T-184 de 2005.</w:t>
      </w:r>
    </w:p>
  </w:footnote>
  <w:footnote w:id="21">
    <w:p w:rsidR="007A6772" w:rsidRPr="00AB45C8" w:rsidRDefault="007A6772" w:rsidP="007A6772">
      <w:pPr>
        <w:pStyle w:val="Notedebasdepage"/>
        <w:rPr>
          <w:lang w:val="fr-FR"/>
        </w:rPr>
      </w:pPr>
      <w:r>
        <w:rPr>
          <w:rStyle w:val="Appelnotedebasdep"/>
        </w:rPr>
        <w:footnoteRef/>
      </w:r>
      <w:r w:rsidRPr="00AB45C8">
        <w:rPr>
          <w:lang w:val="fr-FR"/>
        </w:rPr>
        <w:t xml:space="preserve"> </w:t>
      </w:r>
      <w:r w:rsidRPr="00AB45C8">
        <w:rPr>
          <w:rFonts w:asciiTheme="minorHAnsi" w:hAnsiTheme="minorHAnsi" w:cs="Calibri"/>
          <w:lang w:val="fr-FR"/>
        </w:rPr>
        <w:t>CC. Sentencia T-001 de 2016</w:t>
      </w:r>
      <w:r w:rsidRPr="00AB45C8">
        <w:rPr>
          <w:rFonts w:ascii="Verdana" w:hAnsi="Verdana"/>
          <w:bCs/>
          <w:color w:val="000000"/>
          <w:sz w:val="22"/>
          <w:szCs w:val="22"/>
          <w:lang w:val="fr-FR"/>
        </w:rPr>
        <w:t>.</w:t>
      </w:r>
    </w:p>
  </w:footnote>
  <w:footnote w:id="22">
    <w:p w:rsidR="007A6772" w:rsidRDefault="007A6772" w:rsidP="007A6772">
      <w:pPr>
        <w:pStyle w:val="Notedebasdepage"/>
        <w:jc w:val="both"/>
      </w:pPr>
      <w:r w:rsidRPr="00623B4F">
        <w:rPr>
          <w:rStyle w:val="Appelnotedebasdep"/>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3">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T-443 de 1995.</w:t>
      </w:r>
    </w:p>
  </w:footnote>
  <w:footnote w:id="24">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T-149 de 1995.</w:t>
      </w:r>
    </w:p>
  </w:footnote>
  <w:footnote w:id="25">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T-308 de 1995.</w:t>
      </w:r>
    </w:p>
  </w:footnote>
  <w:footnote w:id="26">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T-443 de 1995.</w:t>
      </w:r>
    </w:p>
  </w:footnote>
  <w:footnote w:id="27">
    <w:p w:rsidR="007A6772" w:rsidRPr="00AB45C8" w:rsidRDefault="007A6772" w:rsidP="007A6772">
      <w:pPr>
        <w:pStyle w:val="Notedebasdepage"/>
        <w:jc w:val="both"/>
        <w:rPr>
          <w:lang w:val="fr-FR"/>
        </w:rPr>
      </w:pPr>
      <w:r w:rsidRPr="00623B4F">
        <w:rPr>
          <w:rStyle w:val="Appelnotedebasdep"/>
          <w:rFonts w:asciiTheme="minorHAnsi" w:hAnsiTheme="minorHAnsi" w:cs="Calibri"/>
        </w:rPr>
        <w:footnoteRef/>
      </w:r>
      <w:r w:rsidRPr="00AB45C8">
        <w:rPr>
          <w:rFonts w:asciiTheme="minorHAnsi" w:hAnsiTheme="minorHAnsi" w:cs="Calibri"/>
          <w:lang w:val="fr-FR"/>
        </w:rPr>
        <w:t xml:space="preserve"> CC. Sentencia T-001 de 1997.</w:t>
      </w:r>
    </w:p>
  </w:footnote>
  <w:footnote w:id="28">
    <w:p w:rsidR="007A6772" w:rsidRPr="00AB45C8" w:rsidRDefault="007A6772" w:rsidP="007A6772">
      <w:pPr>
        <w:pStyle w:val="Notedebasdepage"/>
        <w:jc w:val="both"/>
        <w:rPr>
          <w:rFonts w:ascii="Calibri" w:hAnsi="Calibri"/>
          <w:lang w:val="fr-FR"/>
        </w:rPr>
      </w:pPr>
      <w:r w:rsidRPr="00D54497">
        <w:rPr>
          <w:rStyle w:val="Appelnotedebasdep"/>
          <w:rFonts w:ascii="Calibri" w:hAnsi="Calibri" w:cs="Calibri"/>
        </w:rPr>
        <w:footnoteRef/>
      </w:r>
      <w:r w:rsidRPr="00AB45C8">
        <w:rPr>
          <w:rFonts w:ascii="Calibri" w:hAnsi="Calibri" w:cs="Calibri"/>
          <w:lang w:val="fr-FR"/>
        </w:rPr>
        <w:t xml:space="preserve"> CC. Sentencia T-184 de 2005.</w:t>
      </w:r>
    </w:p>
  </w:footnote>
  <w:footnote w:id="29">
    <w:p w:rsidR="007A6772" w:rsidRPr="00D54497" w:rsidRDefault="007A6772" w:rsidP="007A6772">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CSJ</w:t>
      </w:r>
      <w:r w:rsidRPr="00D54497">
        <w:rPr>
          <w:rFonts w:ascii="Calibri" w:hAnsi="Calibri"/>
          <w:lang w:val="es-CO"/>
        </w:rPr>
        <w:t>, Sala de Casación Civil. Sentencia STC7600-2016.</w:t>
      </w:r>
    </w:p>
  </w:footnote>
  <w:footnote w:id="30">
    <w:p w:rsidR="007A6772" w:rsidRPr="00D54497" w:rsidRDefault="007A6772" w:rsidP="007A6772">
      <w:pPr>
        <w:pStyle w:val="Notedebasdepage"/>
        <w:jc w:val="both"/>
        <w:rPr>
          <w:rFonts w:ascii="Calibri" w:hAnsi="Calibri"/>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30-06-2016,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proofErr w:type="spellStart"/>
      <w:r>
        <w:rPr>
          <w:rFonts w:ascii="Calibri" w:hAnsi="Calibri" w:cs="Arial"/>
          <w:sz w:val="22"/>
          <w:szCs w:val="22"/>
        </w:rPr>
        <w:t>No.</w:t>
      </w:r>
      <w:r w:rsidRPr="00D54497">
        <w:rPr>
          <w:rFonts w:ascii="Calibri" w:hAnsi="Calibri"/>
        </w:rPr>
        <w:t>2016</w:t>
      </w:r>
      <w:proofErr w:type="spellEnd"/>
      <w:r w:rsidRPr="00D54497">
        <w:rPr>
          <w:rFonts w:ascii="Calibri" w:hAnsi="Calibri"/>
        </w:rPr>
        <w:t xml:space="preserve">-00554-00, </w:t>
      </w:r>
      <w:proofErr w:type="spellStart"/>
      <w:r w:rsidRPr="00D54497">
        <w:rPr>
          <w:rFonts w:ascii="Calibri" w:hAnsi="Calibri"/>
        </w:rPr>
        <w:t>MP</w:t>
      </w:r>
      <w:proofErr w:type="spellEnd"/>
      <w:r>
        <w:rPr>
          <w:rFonts w:ascii="Calibri" w:hAnsi="Calibri"/>
        </w:rPr>
        <w:t>:</w:t>
      </w:r>
      <w:r w:rsidRPr="00D54497">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 w:id="31">
    <w:p w:rsidR="007A6772" w:rsidRPr="00D54497" w:rsidRDefault="007A6772" w:rsidP="007A6772">
      <w:pPr>
        <w:pStyle w:val="Notedebasdepage"/>
        <w:jc w:val="both"/>
        <w:rPr>
          <w:lang w:val="es-CO"/>
        </w:rPr>
      </w:pPr>
      <w:r w:rsidRPr="00D54497">
        <w:rPr>
          <w:rStyle w:val="Appelnotedebasdep"/>
          <w:rFonts w:ascii="Calibri" w:hAnsi="Calibri"/>
        </w:rPr>
        <w:footnoteRef/>
      </w:r>
      <w:r w:rsidRPr="00D54497">
        <w:rPr>
          <w:rFonts w:ascii="Calibri" w:hAnsi="Calibri"/>
        </w:rPr>
        <w:t xml:space="preserve"> </w:t>
      </w:r>
      <w:r>
        <w:rPr>
          <w:rFonts w:ascii="Calibri" w:hAnsi="Calibri"/>
          <w:lang w:val="es-CO"/>
        </w:rPr>
        <w:t>TSP</w:t>
      </w:r>
      <w:r w:rsidRPr="00D54497">
        <w:rPr>
          <w:rFonts w:ascii="Calibri" w:hAnsi="Calibri"/>
          <w:lang w:val="es-CO"/>
        </w:rPr>
        <w:t xml:space="preserve">, Sala Civil – Familia. Sentencia del 11-08-2016, </w:t>
      </w:r>
      <w:proofErr w:type="spellStart"/>
      <w:r w:rsidRPr="00D54497">
        <w:rPr>
          <w:rFonts w:ascii="Calibri" w:hAnsi="Calibri"/>
          <w:lang w:val="es-CO"/>
        </w:rPr>
        <w:t>exp</w:t>
      </w:r>
      <w:proofErr w:type="spellEnd"/>
      <w:r w:rsidRPr="00D54497">
        <w:rPr>
          <w:rFonts w:ascii="Calibri" w:hAnsi="Calibri"/>
          <w:lang w:val="es-CO"/>
        </w:rPr>
        <w:t>.</w:t>
      </w:r>
      <w:r w:rsidRPr="00D54497">
        <w:rPr>
          <w:rFonts w:ascii="Calibri" w:hAnsi="Calibri" w:cs="Arial"/>
          <w:sz w:val="22"/>
          <w:szCs w:val="22"/>
        </w:rPr>
        <w:t xml:space="preserve"> </w:t>
      </w:r>
      <w:r>
        <w:rPr>
          <w:rFonts w:ascii="Calibri" w:hAnsi="Calibri" w:cs="Arial"/>
          <w:sz w:val="22"/>
          <w:szCs w:val="22"/>
        </w:rPr>
        <w:t xml:space="preserve">No. </w:t>
      </w:r>
      <w:r w:rsidRPr="00D54497">
        <w:rPr>
          <w:rFonts w:ascii="Calibri" w:hAnsi="Calibri"/>
        </w:rPr>
        <w:t xml:space="preserve">2016-00750-00, </w:t>
      </w:r>
      <w:proofErr w:type="spellStart"/>
      <w:r w:rsidRPr="00D54497">
        <w:rPr>
          <w:rFonts w:ascii="Calibri" w:hAnsi="Calibri"/>
        </w:rPr>
        <w:t>MP</w:t>
      </w:r>
      <w:proofErr w:type="spellEnd"/>
      <w:r>
        <w:rPr>
          <w:rFonts w:ascii="Calibri" w:hAnsi="Calibri"/>
        </w:rPr>
        <w:t xml:space="preserve">: </w:t>
      </w:r>
      <w:proofErr w:type="spellStart"/>
      <w:r w:rsidRPr="00D54497">
        <w:rPr>
          <w:rFonts w:ascii="Calibri" w:hAnsi="Calibri"/>
        </w:rPr>
        <w:t>Duberney</w:t>
      </w:r>
      <w:proofErr w:type="spellEnd"/>
      <w:r w:rsidRPr="00D54497">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E20D05">
      <w:rPr>
        <w:rFonts w:ascii="Calibri" w:hAnsi="Calibri" w:cs="Calibri"/>
        <w:i/>
        <w:noProof/>
        <w:sz w:val="20"/>
      </w:rPr>
      <w:t>11</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921879">
      <w:rPr>
        <w:rFonts w:ascii="Calibri" w:hAnsi="Calibri" w:cs="Calibri"/>
        <w:i/>
        <w:sz w:val="20"/>
        <w:szCs w:val="22"/>
      </w:rPr>
      <w:t xml:space="preserve"> </w:t>
    </w:r>
    <w:r w:rsidR="00F7395A">
      <w:rPr>
        <w:rFonts w:ascii="Calibri" w:hAnsi="Calibri" w:cs="Calibri"/>
        <w:i/>
        <w:sz w:val="20"/>
        <w:szCs w:val="22"/>
      </w:rPr>
      <w:t>2016-0</w:t>
    </w:r>
    <w:r w:rsidR="00921879">
      <w:rPr>
        <w:rFonts w:ascii="Calibri" w:hAnsi="Calibri" w:cs="Calibri"/>
        <w:i/>
        <w:sz w:val="20"/>
        <w:szCs w:val="22"/>
      </w:rPr>
      <w:t>1</w:t>
    </w:r>
    <w:r w:rsidR="00F7395A">
      <w:rPr>
        <w:rFonts w:ascii="Calibri" w:hAnsi="Calibri" w:cs="Calibri"/>
        <w:i/>
        <w:sz w:val="20"/>
        <w:szCs w:val="22"/>
      </w:rPr>
      <w:t>0</w:t>
    </w:r>
    <w:r w:rsidR="00921879">
      <w:rPr>
        <w:rFonts w:ascii="Calibri" w:hAnsi="Calibri" w:cs="Calibri"/>
        <w:i/>
        <w:sz w:val="20"/>
        <w:szCs w:val="22"/>
      </w:rPr>
      <w:t>00</w:t>
    </w:r>
    <w:r w:rsidR="00F7395A">
      <w:rPr>
        <w:rFonts w:ascii="Calibri" w:hAnsi="Calibri" w:cs="Calibri"/>
        <w:i/>
        <w:sz w:val="20"/>
        <w:szCs w:val="22"/>
      </w:rPr>
      <w:t xml:space="preserve">-00 - ACUMULADAS </w:t>
    </w:r>
    <w:r w:rsidR="00921879">
      <w:rPr>
        <w:rFonts w:ascii="Calibri" w:hAnsi="Calibri" w:cs="Calibri"/>
        <w:i/>
        <w:sz w:val="20"/>
        <w:szCs w:val="22"/>
      </w:rPr>
      <w:t>3</w:t>
    </w:r>
    <w:r w:rsidR="00F7395A">
      <w:rPr>
        <w:rFonts w:ascii="Calibri" w:hAnsi="Calibri" w:cs="Calibri"/>
        <w:i/>
        <w:sz w:val="20"/>
        <w:szCs w:val="22"/>
      </w:rPr>
      <w:t xml:space="preserve"> ACCIONES </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5D3466A"/>
    <w:multiLevelType w:val="multilevel"/>
    <w:tmpl w:val="D3A0412A"/>
    <w:lvl w:ilvl="0">
      <w:start w:val="7"/>
      <w:numFmt w:val="decimal"/>
      <w:lvlText w:val="%1."/>
      <w:lvlJc w:val="left"/>
      <w:pPr>
        <w:ind w:left="400" w:hanging="400"/>
      </w:pPr>
      <w:rPr>
        <w:rFonts w:cs="Times New Roman" w:hint="default"/>
      </w:rPr>
    </w:lvl>
    <w:lvl w:ilvl="1">
      <w:start w:val="4"/>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5E87C83"/>
    <w:multiLevelType w:val="multilevel"/>
    <w:tmpl w:val="D3A0412A"/>
    <w:lvl w:ilvl="0">
      <w:start w:val="7"/>
      <w:numFmt w:val="decimal"/>
      <w:lvlText w:val="%1."/>
      <w:lvlJc w:val="left"/>
      <w:pPr>
        <w:ind w:left="400" w:hanging="400"/>
      </w:pPr>
      <w:rPr>
        <w:rFonts w:cs="Times New Roman" w:hint="default"/>
      </w:rPr>
    </w:lvl>
    <w:lvl w:ilvl="1">
      <w:start w:val="4"/>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9D2DF6"/>
    <w:multiLevelType w:val="multilevel"/>
    <w:tmpl w:val="7F02DBFA"/>
    <w:lvl w:ilvl="0">
      <w:start w:val="7"/>
      <w:numFmt w:val="decimal"/>
      <w:lvlText w:val="%1."/>
      <w:lvlJc w:val="left"/>
      <w:pPr>
        <w:ind w:left="400" w:hanging="400"/>
      </w:pPr>
      <w:rPr>
        <w:rFonts w:cs="Times New Roman" w:hint="default"/>
      </w:rPr>
    </w:lvl>
    <w:lvl w:ilvl="1">
      <w:start w:val="5"/>
      <w:numFmt w:val="decimal"/>
      <w:lvlText w:val="%1.%2."/>
      <w:lvlJc w:val="left"/>
      <w:pPr>
        <w:ind w:left="720" w:hanging="720"/>
      </w:pPr>
      <w:rPr>
        <w:rFonts w:cs="Times New Roman" w:hint="default"/>
        <w:sz w:val="24"/>
        <w:szCs w:val="24"/>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B0D1763"/>
    <w:multiLevelType w:val="multilevel"/>
    <w:tmpl w:val="EDCC35C8"/>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5CEB706F"/>
    <w:multiLevelType w:val="multilevel"/>
    <w:tmpl w:val="1DD49A0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9"/>
  </w:num>
  <w:num w:numId="3">
    <w:abstractNumId w:val="16"/>
  </w:num>
  <w:num w:numId="4">
    <w:abstractNumId w:val="2"/>
  </w:num>
  <w:num w:numId="5">
    <w:abstractNumId w:val="31"/>
  </w:num>
  <w:num w:numId="6">
    <w:abstractNumId w:val="0"/>
  </w:num>
  <w:num w:numId="7">
    <w:abstractNumId w:val="24"/>
  </w:num>
  <w:num w:numId="8">
    <w:abstractNumId w:val="1"/>
  </w:num>
  <w:num w:numId="9">
    <w:abstractNumId w:val="32"/>
  </w:num>
  <w:num w:numId="10">
    <w:abstractNumId w:val="25"/>
  </w:num>
  <w:num w:numId="11">
    <w:abstractNumId w:val="22"/>
  </w:num>
  <w:num w:numId="12">
    <w:abstractNumId w:val="29"/>
  </w:num>
  <w:num w:numId="13">
    <w:abstractNumId w:val="11"/>
  </w:num>
  <w:num w:numId="14">
    <w:abstractNumId w:val="12"/>
  </w:num>
  <w:num w:numId="15">
    <w:abstractNumId w:val="20"/>
  </w:num>
  <w:num w:numId="16">
    <w:abstractNumId w:val="4"/>
  </w:num>
  <w:num w:numId="17">
    <w:abstractNumId w:val="21"/>
  </w:num>
  <w:num w:numId="18">
    <w:abstractNumId w:val="9"/>
  </w:num>
  <w:num w:numId="19">
    <w:abstractNumId w:val="5"/>
  </w:num>
  <w:num w:numId="20">
    <w:abstractNumId w:val="13"/>
  </w:num>
  <w:num w:numId="21">
    <w:abstractNumId w:val="23"/>
  </w:num>
  <w:num w:numId="22">
    <w:abstractNumId w:val="28"/>
  </w:num>
  <w:num w:numId="23">
    <w:abstractNumId w:val="8"/>
  </w:num>
  <w:num w:numId="24">
    <w:abstractNumId w:val="26"/>
  </w:num>
  <w:num w:numId="25">
    <w:abstractNumId w:val="3"/>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0"/>
  </w:num>
  <w:num w:numId="31">
    <w:abstractNumId w:val="6"/>
  </w:num>
  <w:num w:numId="32">
    <w:abstractNumId w:val="7"/>
  </w:num>
  <w:num w:numId="33">
    <w:abstractNumId w:val="15"/>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299C"/>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A9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2B70"/>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75"/>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B16"/>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28F"/>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C16"/>
    <w:rsid w:val="00193995"/>
    <w:rsid w:val="00193D37"/>
    <w:rsid w:val="0019525B"/>
    <w:rsid w:val="00195D5E"/>
    <w:rsid w:val="0019739B"/>
    <w:rsid w:val="00197941"/>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3E4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0AB0"/>
    <w:rsid w:val="00301345"/>
    <w:rsid w:val="00301699"/>
    <w:rsid w:val="00302001"/>
    <w:rsid w:val="00302228"/>
    <w:rsid w:val="0030262F"/>
    <w:rsid w:val="00303DD9"/>
    <w:rsid w:val="003042AB"/>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F5D"/>
    <w:rsid w:val="00316088"/>
    <w:rsid w:val="00316ABE"/>
    <w:rsid w:val="00316CAE"/>
    <w:rsid w:val="0031797D"/>
    <w:rsid w:val="0032018C"/>
    <w:rsid w:val="00320355"/>
    <w:rsid w:val="00320C23"/>
    <w:rsid w:val="00321495"/>
    <w:rsid w:val="0032165A"/>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D91"/>
    <w:rsid w:val="00383E2F"/>
    <w:rsid w:val="00384827"/>
    <w:rsid w:val="00384DBF"/>
    <w:rsid w:val="00384EE7"/>
    <w:rsid w:val="003857BC"/>
    <w:rsid w:val="00385E43"/>
    <w:rsid w:val="003860A0"/>
    <w:rsid w:val="00386A62"/>
    <w:rsid w:val="0038712D"/>
    <w:rsid w:val="003879F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348"/>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6C14"/>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530F"/>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319D"/>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D09"/>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CB"/>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0CB"/>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9B5"/>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55E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42D"/>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747"/>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772"/>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1A7E"/>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937"/>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7C"/>
    <w:rsid w:val="008600A6"/>
    <w:rsid w:val="0086077D"/>
    <w:rsid w:val="008608EB"/>
    <w:rsid w:val="008608FF"/>
    <w:rsid w:val="0086177C"/>
    <w:rsid w:val="00862643"/>
    <w:rsid w:val="00862D66"/>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19"/>
    <w:rsid w:val="009155CD"/>
    <w:rsid w:val="009161AF"/>
    <w:rsid w:val="00916382"/>
    <w:rsid w:val="00920533"/>
    <w:rsid w:val="009207C9"/>
    <w:rsid w:val="00920BD9"/>
    <w:rsid w:val="009217C1"/>
    <w:rsid w:val="00921879"/>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7E"/>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AC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4B1"/>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5C8"/>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960"/>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CB4"/>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0916"/>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8FE"/>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4AF"/>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90E"/>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26E"/>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1F"/>
    <w:rsid w:val="00C86DA6"/>
    <w:rsid w:val="00C870E2"/>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068"/>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5FFB"/>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D0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C71"/>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683"/>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5924"/>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51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base.biz/lexbase/jurisprudencia/tutelas/corte%20constitucional/2006/T0309de20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base.biz/lexbase/jurisprudencia/tutelas/corte%20constitucional/2014/T0358de2014.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xbase.biz/lexbase/jurisprudencia/tutelas/corte%20constitucional/2013/T0200de2013.htm" TargetMode="External"/><Relationship Id="rId4" Type="http://schemas.microsoft.com/office/2007/relationships/stylesWithEffects" Target="stylesWithEffects.xml"/><Relationship Id="rId9" Type="http://schemas.openxmlformats.org/officeDocument/2006/relationships/hyperlink" Target="http://www.lexbase.biz/lexbase/jurisprudencia/tutelas/sentencias%20unificacion/2007/SU0540de2007.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1D53-4283-4C0E-A5E2-89AFDDE2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3758</Words>
  <Characters>20671</Characters>
  <Application>Microsoft Office Word</Application>
  <DocSecurity>0</DocSecurity>
  <Lines>172</Lines>
  <Paragraphs>48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Luffi</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30</cp:revision>
  <cp:lastPrinted>2016-04-12T16:21:00Z</cp:lastPrinted>
  <dcterms:created xsi:type="dcterms:W3CDTF">2016-11-22T16:49:00Z</dcterms:created>
  <dcterms:modified xsi:type="dcterms:W3CDTF">2017-02-09T21:35:00Z</dcterms:modified>
</cp:coreProperties>
</file>