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B0" w:rsidRPr="008D33B0" w:rsidRDefault="008D33B0" w:rsidP="008D33B0">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lang w:val="es-CO"/>
        </w:rPr>
      </w:pPr>
      <w:r w:rsidRPr="008D33B0">
        <w:rPr>
          <w:rFonts w:ascii="Arial Narrow" w:hAnsi="Arial Narrow" w:cs="Tahoma"/>
          <w:color w:val="FF0000"/>
          <w:sz w:val="16"/>
          <w:szCs w:val="18"/>
          <w:lang w:val="es-CO"/>
        </w:rPr>
        <w:t>El siguiente es el documento presentado por el Magistrado Ponente que sirvió de base para proferir la providencia dentro del presente proceso. El contenido total y fiel de la decisión debe ser verificado en la Secretaría de esta Corporación.</w:t>
      </w:r>
    </w:p>
    <w:p w:rsidR="008D33B0" w:rsidRPr="00CE7F14" w:rsidRDefault="008D33B0" w:rsidP="008D33B0">
      <w:pPr>
        <w:pStyle w:val="Sinespaciado"/>
        <w:jc w:val="both"/>
        <w:rPr>
          <w:rFonts w:asciiTheme="minorHAnsi" w:hAnsiTheme="minorHAnsi"/>
          <w:sz w:val="18"/>
          <w:szCs w:val="18"/>
          <w:lang w:val="es-CO"/>
        </w:rPr>
      </w:pPr>
    </w:p>
    <w:p w:rsidR="00CE7F14" w:rsidRPr="00CE7F14" w:rsidRDefault="00CE7F14" w:rsidP="00CE7F14">
      <w:pPr>
        <w:jc w:val="both"/>
        <w:rPr>
          <w:rFonts w:asciiTheme="minorHAnsi" w:hAnsiTheme="minorHAnsi"/>
          <w:sz w:val="18"/>
          <w:szCs w:val="18"/>
          <w:lang w:val="es-CO"/>
        </w:rPr>
      </w:pPr>
      <w:r w:rsidRPr="00CE7F14">
        <w:rPr>
          <w:rFonts w:asciiTheme="minorHAnsi" w:hAnsiTheme="minorHAnsi"/>
          <w:b/>
          <w:sz w:val="18"/>
          <w:szCs w:val="18"/>
          <w:lang w:val="es-CO"/>
        </w:rPr>
        <w:t xml:space="preserve">Tema: </w:t>
      </w:r>
      <w:r w:rsidRPr="00CE7F14">
        <w:rPr>
          <w:rFonts w:asciiTheme="minorHAnsi" w:hAnsiTheme="minorHAnsi"/>
          <w:b/>
          <w:sz w:val="18"/>
          <w:szCs w:val="18"/>
          <w:lang w:val="es-CO"/>
        </w:rPr>
        <w:tab/>
      </w:r>
      <w:r w:rsidRPr="00CE7F14">
        <w:rPr>
          <w:rFonts w:asciiTheme="minorHAnsi" w:hAnsiTheme="minorHAnsi"/>
          <w:b/>
          <w:sz w:val="18"/>
          <w:szCs w:val="18"/>
          <w:lang w:val="es-CO"/>
        </w:rPr>
        <w:tab/>
      </w:r>
      <w:r w:rsidRPr="00CE7F14">
        <w:rPr>
          <w:rFonts w:asciiTheme="minorHAnsi" w:hAnsiTheme="minorHAnsi"/>
          <w:b/>
          <w:sz w:val="18"/>
          <w:szCs w:val="18"/>
          <w:lang w:val="es-CO"/>
        </w:rPr>
        <w:tab/>
        <w:t xml:space="preserve">APELACIÓN DE LA SENTENCIA / HOMICIDIO AGRAVADO / SISTEMA DE RESPONSABILIDAD PENAL PARA ADOLECENTES / VALORACIÓN DEL TESTIMONIO DEL ÚNICO TESTIGO / PRUEBA NECESARIA PARA CONDENAR / PRUEBA DE REFERENCIA </w:t>
      </w:r>
      <w:proofErr w:type="spellStart"/>
      <w:r w:rsidRPr="00CE7F14">
        <w:rPr>
          <w:rFonts w:asciiTheme="minorHAnsi" w:hAnsiTheme="minorHAnsi"/>
          <w:b/>
          <w:sz w:val="18"/>
          <w:szCs w:val="18"/>
          <w:lang w:val="es-CO"/>
        </w:rPr>
        <w:t>SUBREGLAS</w:t>
      </w:r>
      <w:proofErr w:type="spellEnd"/>
      <w:r w:rsidRPr="00CE7F14">
        <w:rPr>
          <w:rFonts w:asciiTheme="minorHAnsi" w:hAnsiTheme="minorHAnsi"/>
          <w:b/>
          <w:sz w:val="18"/>
          <w:szCs w:val="18"/>
          <w:lang w:val="es-CO"/>
        </w:rPr>
        <w:t xml:space="preserve"> / “</w:t>
      </w:r>
      <w:r w:rsidRPr="00CE7F14">
        <w:rPr>
          <w:rFonts w:asciiTheme="minorHAnsi" w:hAnsiTheme="minorHAnsi"/>
          <w:sz w:val="18"/>
          <w:szCs w:val="18"/>
          <w:lang w:val="es-CO"/>
        </w:rPr>
        <w:t xml:space="preserve">Estimó el juzgador de primer grado, que la atestación de Andrés Felipe Vanegas Betancur, como testigo presencial ofrece credibilidad y esa prueba sumada con las demás aportadas (Testimonios de Gildardo de Jesús Rodas Osorio, </w:t>
      </w:r>
      <w:proofErr w:type="spellStart"/>
      <w:r w:rsidRPr="00CE7F14">
        <w:rPr>
          <w:rFonts w:asciiTheme="minorHAnsi" w:hAnsiTheme="minorHAnsi"/>
          <w:sz w:val="18"/>
          <w:szCs w:val="18"/>
          <w:lang w:val="es-CO"/>
        </w:rPr>
        <w:t>Jhon</w:t>
      </w:r>
      <w:proofErr w:type="spellEnd"/>
      <w:r w:rsidRPr="00CE7F14">
        <w:rPr>
          <w:rFonts w:asciiTheme="minorHAnsi" w:hAnsiTheme="minorHAnsi"/>
          <w:sz w:val="18"/>
          <w:szCs w:val="18"/>
          <w:lang w:val="es-CO"/>
        </w:rPr>
        <w:t xml:space="preserve"> Faber Toro Duque), son suficientes para que se pueda inferir más allá de toda duda, que existe responsabilidad del menor </w:t>
      </w:r>
      <w:proofErr w:type="spellStart"/>
      <w:r w:rsidRPr="00CE7F14">
        <w:rPr>
          <w:rFonts w:asciiTheme="minorHAnsi" w:eastAsia="Microsoft YaHei" w:hAnsiTheme="minorHAnsi"/>
          <w:sz w:val="18"/>
          <w:szCs w:val="18"/>
          <w:lang w:val="es-CO"/>
        </w:rPr>
        <w:t>ETM</w:t>
      </w:r>
      <w:proofErr w:type="spellEnd"/>
      <w:r w:rsidRPr="00CE7F14">
        <w:rPr>
          <w:rFonts w:asciiTheme="minorHAnsi" w:eastAsia="Microsoft YaHei" w:hAnsiTheme="minorHAnsi"/>
          <w:sz w:val="18"/>
          <w:szCs w:val="18"/>
          <w:lang w:val="es-CO"/>
        </w:rPr>
        <w:t>, a título de coautor, en la muerte del señor Restrepo Trejos.”</w:t>
      </w:r>
    </w:p>
    <w:p w:rsidR="00CE7F14" w:rsidRPr="00CE7F14" w:rsidRDefault="00CE7F14" w:rsidP="00CE7F14">
      <w:pPr>
        <w:jc w:val="both"/>
        <w:rPr>
          <w:rFonts w:asciiTheme="minorHAnsi" w:hAnsiTheme="minorHAnsi"/>
          <w:sz w:val="18"/>
          <w:szCs w:val="18"/>
          <w:lang w:val="es-CO"/>
        </w:rPr>
      </w:pPr>
      <w:r w:rsidRPr="00CE7F14">
        <w:rPr>
          <w:rFonts w:asciiTheme="minorHAnsi" w:hAnsiTheme="minorHAnsi"/>
          <w:sz w:val="18"/>
          <w:szCs w:val="18"/>
          <w:lang w:val="es-CO"/>
        </w:rPr>
        <w:t>(…)</w:t>
      </w:r>
    </w:p>
    <w:p w:rsidR="00CE7F14" w:rsidRPr="00CE7F14" w:rsidRDefault="00CE7F14" w:rsidP="00CE7F14">
      <w:pPr>
        <w:jc w:val="both"/>
        <w:rPr>
          <w:rFonts w:asciiTheme="minorHAnsi" w:hAnsiTheme="minorHAnsi"/>
          <w:sz w:val="18"/>
          <w:szCs w:val="18"/>
          <w:lang w:val="es-CO"/>
        </w:rPr>
      </w:pPr>
    </w:p>
    <w:p w:rsidR="00CE7F14" w:rsidRPr="00CE7F14" w:rsidRDefault="00CE7F14" w:rsidP="00CE7F14">
      <w:pPr>
        <w:jc w:val="both"/>
        <w:rPr>
          <w:rFonts w:asciiTheme="minorHAnsi" w:hAnsiTheme="minorHAnsi"/>
          <w:sz w:val="18"/>
          <w:szCs w:val="18"/>
          <w:lang w:val="es-CO"/>
        </w:rPr>
      </w:pPr>
      <w:r w:rsidRPr="00CE7F14">
        <w:rPr>
          <w:rFonts w:asciiTheme="minorHAnsi" w:hAnsiTheme="minorHAnsi"/>
          <w:sz w:val="18"/>
          <w:szCs w:val="18"/>
          <w:lang w:val="es-CO"/>
        </w:rPr>
        <w:t xml:space="preserve">“En lo atinente a la declaración e informe del subintendente Edwin Fernando Chilito </w:t>
      </w:r>
      <w:proofErr w:type="spellStart"/>
      <w:r w:rsidRPr="00CE7F14">
        <w:rPr>
          <w:rFonts w:asciiTheme="minorHAnsi" w:hAnsiTheme="minorHAnsi"/>
          <w:sz w:val="18"/>
          <w:szCs w:val="18"/>
          <w:lang w:val="es-CO"/>
        </w:rPr>
        <w:t>Zemanate</w:t>
      </w:r>
      <w:proofErr w:type="spellEnd"/>
      <w:r w:rsidRPr="00CE7F14">
        <w:rPr>
          <w:rFonts w:asciiTheme="minorHAnsi" w:hAnsiTheme="minorHAnsi"/>
          <w:sz w:val="18"/>
          <w:szCs w:val="18"/>
          <w:lang w:val="es-CO"/>
        </w:rPr>
        <w:t xml:space="preserve">, quien como primer respondiente, dijo: “(…) ayer 03-oct 2015, fue visto por última vez por sus familiares (…)” (Folio 31, contentivo de estipulaciones, es necesario recordar y dar cabal comprensión a la noción de la prueba de referencia, que es admisible de manera excepcional, en los precisos eventos, previstos por el artículo 438 del </w:t>
      </w:r>
      <w:proofErr w:type="spellStart"/>
      <w:r w:rsidRPr="00CE7F14">
        <w:rPr>
          <w:rFonts w:asciiTheme="minorHAnsi" w:hAnsiTheme="minorHAnsi"/>
          <w:sz w:val="18"/>
          <w:szCs w:val="18"/>
          <w:lang w:val="es-CO"/>
        </w:rPr>
        <w:t>CPP</w:t>
      </w:r>
      <w:proofErr w:type="spellEnd"/>
      <w:r w:rsidRPr="00CE7F14">
        <w:rPr>
          <w:rFonts w:asciiTheme="minorHAnsi" w:hAnsiTheme="minorHAnsi"/>
          <w:sz w:val="18"/>
          <w:szCs w:val="18"/>
          <w:lang w:val="es-CO"/>
        </w:rPr>
        <w:t>, explicados por la doctrina jurisprudencial del órgano cierre de la especialidad. Y es que aunque esa prueba no puede ser tratada siempre como ilegal, ni ilícita, sí se impone una ponderación más rigurosa, atendido el valor de convicción menguado o restringido, que manda el artículo 381 ob. cit., así lo entiende la doctrina penal de esa Corporación.  Lo que existe, dice la Corte, es una tarifa legal negativa al reglarse la improcedencia de fundar una condena, únicamente con apoyo en esa prueba.”</w:t>
      </w:r>
    </w:p>
    <w:p w:rsidR="00CE7F14" w:rsidRPr="00CE7F14" w:rsidRDefault="00CE7F14" w:rsidP="00CE7F14">
      <w:pPr>
        <w:jc w:val="both"/>
        <w:rPr>
          <w:rFonts w:asciiTheme="minorHAnsi" w:hAnsiTheme="minorHAnsi"/>
          <w:sz w:val="18"/>
          <w:szCs w:val="18"/>
          <w:lang w:val="es-CO"/>
        </w:rPr>
      </w:pPr>
      <w:r w:rsidRPr="00CE7F14">
        <w:rPr>
          <w:rFonts w:asciiTheme="minorHAnsi" w:hAnsiTheme="minorHAnsi"/>
          <w:sz w:val="18"/>
          <w:szCs w:val="18"/>
          <w:lang w:val="es-CO"/>
        </w:rPr>
        <w:t>(…)</w:t>
      </w:r>
    </w:p>
    <w:p w:rsidR="00CE7F14" w:rsidRPr="00CE7F14" w:rsidRDefault="00CE7F14" w:rsidP="00CE7F14">
      <w:pPr>
        <w:jc w:val="both"/>
        <w:rPr>
          <w:rFonts w:asciiTheme="minorHAnsi" w:hAnsiTheme="minorHAnsi"/>
          <w:sz w:val="18"/>
          <w:szCs w:val="18"/>
          <w:lang w:val="es-CO"/>
        </w:rPr>
      </w:pPr>
    </w:p>
    <w:p w:rsidR="00CE7F14" w:rsidRPr="00CE7F14" w:rsidRDefault="00CE7F14" w:rsidP="00CE7F14">
      <w:pPr>
        <w:jc w:val="both"/>
        <w:rPr>
          <w:rFonts w:asciiTheme="minorHAnsi" w:hAnsiTheme="minorHAnsi"/>
          <w:sz w:val="18"/>
          <w:szCs w:val="18"/>
          <w:lang w:val="es-CO"/>
        </w:rPr>
      </w:pPr>
      <w:r w:rsidRPr="00CE7F14">
        <w:rPr>
          <w:rFonts w:asciiTheme="minorHAnsi" w:hAnsiTheme="minorHAnsi"/>
          <w:sz w:val="18"/>
          <w:szCs w:val="18"/>
          <w:lang w:val="es-CO"/>
        </w:rPr>
        <w:t xml:space="preserve">“En ese orden de ideas, la tesis defensiva articulada en la impugnación, deviene infundada para servir de base a la revocatoria pedida con estribo en el cuestionamiento del testimonio de cargo vertido en el juicio, tampoco genera la duda razonable a favor del acusado, que se predicara, </w:t>
      </w:r>
      <w:proofErr w:type="spellStart"/>
      <w:r w:rsidRPr="00CE7F14">
        <w:rPr>
          <w:rFonts w:asciiTheme="minorHAnsi" w:hAnsiTheme="minorHAnsi"/>
          <w:sz w:val="18"/>
          <w:szCs w:val="18"/>
          <w:lang w:val="es-CO"/>
        </w:rPr>
        <w:t>pue</w:t>
      </w:r>
      <w:proofErr w:type="spellEnd"/>
      <w:r w:rsidRPr="00CE7F14">
        <w:rPr>
          <w:rFonts w:asciiTheme="minorHAnsi" w:hAnsiTheme="minorHAnsi"/>
          <w:sz w:val="18"/>
          <w:szCs w:val="18"/>
          <w:lang w:val="es-CO"/>
        </w:rPr>
        <w:t xml:space="preserve"> no fue únicamente la versión testifical sino también el reconocimiento en fila de personas, que valga decirlo, la aparente contradicción a</w:t>
      </w:r>
      <w:bookmarkStart w:id="0" w:name="_GoBack"/>
      <w:bookmarkEnd w:id="0"/>
      <w:r w:rsidRPr="00CE7F14">
        <w:rPr>
          <w:rFonts w:asciiTheme="minorHAnsi" w:hAnsiTheme="minorHAnsi"/>
          <w:sz w:val="18"/>
          <w:szCs w:val="18"/>
          <w:lang w:val="es-CO"/>
        </w:rPr>
        <w:t>legada se supera en debida forma con una contextualización de las aseveraciones hechas y no con una interpretación fraccionada. Se mantiene incólume la fuerza de convicción derivada de la tasación testimonial, porque ni siquiera en el contrainterrogatorio de la defensa al referido testigo, que se inadvirtió con la vehemencia reclamada por el abogado, se logró desacreditarlo o al menos mostrarlo inconsistente, al contrario, en parecer de esta Sala, solventó razonablemente los reparos enrostrados.</w:t>
      </w:r>
    </w:p>
    <w:p w:rsidR="00CE7F14" w:rsidRPr="00CE7F14" w:rsidRDefault="00CE7F14" w:rsidP="00CE7F14">
      <w:pPr>
        <w:jc w:val="both"/>
        <w:rPr>
          <w:rFonts w:asciiTheme="minorHAnsi" w:hAnsiTheme="minorHAnsi"/>
          <w:sz w:val="18"/>
          <w:szCs w:val="18"/>
          <w:lang w:val="es-CO"/>
        </w:rPr>
      </w:pPr>
    </w:p>
    <w:p w:rsidR="00CE7F14" w:rsidRPr="00CE7F14" w:rsidRDefault="00CE7F14" w:rsidP="00CE7F14">
      <w:pPr>
        <w:jc w:val="both"/>
        <w:rPr>
          <w:rFonts w:asciiTheme="minorHAnsi" w:hAnsiTheme="minorHAnsi"/>
          <w:sz w:val="18"/>
          <w:szCs w:val="18"/>
          <w:lang w:val="es-CO"/>
        </w:rPr>
      </w:pPr>
      <w:r w:rsidRPr="00CE7F14">
        <w:rPr>
          <w:rFonts w:asciiTheme="minorHAnsi" w:hAnsiTheme="minorHAnsi"/>
          <w:sz w:val="18"/>
          <w:szCs w:val="18"/>
          <w:lang w:val="es-CO"/>
        </w:rPr>
        <w:t xml:space="preserve">Antes de finalizar, no huelga apuntar que como se hicieron estipulaciones probatorias, vale la pena recordar que esa figura se utiliza cuando es posible que, con ellas, se eviten debates sobre los hechos consensuados por las partes, su principal propósito es excluir hechos y no medios probatorios o </w:t>
      </w:r>
      <w:proofErr w:type="spellStart"/>
      <w:r w:rsidRPr="00CE7F14">
        <w:rPr>
          <w:rFonts w:asciiTheme="minorHAnsi" w:hAnsiTheme="minorHAnsi"/>
          <w:sz w:val="18"/>
          <w:szCs w:val="18"/>
          <w:lang w:val="es-CO"/>
        </w:rPr>
        <w:t>EMP</w:t>
      </w:r>
      <w:proofErr w:type="spellEnd"/>
      <w:r w:rsidRPr="00CE7F14">
        <w:rPr>
          <w:rFonts w:asciiTheme="minorHAnsi" w:hAnsiTheme="minorHAnsi"/>
          <w:sz w:val="18"/>
          <w:szCs w:val="18"/>
          <w:lang w:val="es-CO"/>
        </w:rPr>
        <w:t xml:space="preserve">, </w:t>
      </w:r>
      <w:proofErr w:type="spellStart"/>
      <w:r w:rsidRPr="00CE7F14">
        <w:rPr>
          <w:rFonts w:asciiTheme="minorHAnsi" w:hAnsiTheme="minorHAnsi"/>
          <w:sz w:val="18"/>
          <w:szCs w:val="18"/>
          <w:lang w:val="es-CO"/>
        </w:rPr>
        <w:t>EF</w:t>
      </w:r>
      <w:proofErr w:type="spellEnd"/>
      <w:r w:rsidRPr="00CE7F14">
        <w:rPr>
          <w:rFonts w:asciiTheme="minorHAnsi" w:hAnsiTheme="minorHAnsi"/>
          <w:sz w:val="18"/>
          <w:szCs w:val="18"/>
          <w:lang w:val="es-CO"/>
        </w:rPr>
        <w:t xml:space="preserve"> etc., por tal razón es innecesario allegar “soportes o respaldos” de las estipulaciones.”</w:t>
      </w:r>
    </w:p>
    <w:p w:rsidR="00CE7F14" w:rsidRPr="00CE7F14" w:rsidRDefault="00CE7F14" w:rsidP="00CE7F14">
      <w:pPr>
        <w:jc w:val="both"/>
        <w:rPr>
          <w:rFonts w:asciiTheme="minorHAnsi" w:hAnsiTheme="minorHAnsi"/>
          <w:sz w:val="18"/>
          <w:szCs w:val="18"/>
          <w:lang w:val="es-CO"/>
        </w:rPr>
      </w:pPr>
    </w:p>
    <w:p w:rsidR="00CE7F14" w:rsidRPr="00CE7F14" w:rsidRDefault="00CE7F14" w:rsidP="00CE7F14">
      <w:pPr>
        <w:jc w:val="both"/>
        <w:rPr>
          <w:rFonts w:asciiTheme="minorHAnsi" w:hAnsiTheme="minorHAnsi"/>
          <w:sz w:val="18"/>
          <w:szCs w:val="18"/>
          <w:lang w:val="es-CO"/>
        </w:rPr>
      </w:pPr>
      <w:r w:rsidRPr="00CE7F14">
        <w:rPr>
          <w:rFonts w:asciiTheme="minorHAnsi" w:hAnsiTheme="minorHAnsi"/>
          <w:b/>
          <w:sz w:val="18"/>
          <w:szCs w:val="18"/>
          <w:lang w:val="es-CO"/>
        </w:rPr>
        <w:t xml:space="preserve">Citación jurisprudencial: </w:t>
      </w:r>
      <w:r w:rsidRPr="00CE7F14">
        <w:rPr>
          <w:rFonts w:asciiTheme="minorHAnsi" w:hAnsiTheme="minorHAnsi"/>
          <w:sz w:val="18"/>
          <w:szCs w:val="18"/>
          <w:lang w:val="es-CO"/>
        </w:rPr>
        <w:t xml:space="preserve">CSJ, Penal.  (i) Sentencia del 11-04-2007,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Jorge Luis Quintero Milanés, expediente No.26.128.  (ii) Sentencia del 26-11-2007;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Yesid Ramírez Bastidas, radicado 23.068. / CSJ, Penal.  Sentencia del 11-12-2011;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María del Rosario González Muñoz, radicado No.37.044. / CSJ, Penal. Sentencia del 27-02-2013;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María del Rosario González Muñoz, radicado No.38.773. / CSJ, Penal. Sentencia del 06-03-2008;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Augusto J. Ibáñez Guzmán, radicado No.24.477. / CSJ, Penal. Sentencia SP14844-2015;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Patricia Salazar Cuéllar, radicado No.44.056. / CSJ, Penal. Sentencia del 06-03-2008;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Augusto J. Ibáñez G., radicado No.27.477. / CSJ, Penal. Sentencia del 21-09-2011;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Fernando Alberto Castro C., radicado No.36.023. / CSJ, Penal. Sentencia del 27-02-2013; ob. cit. / CSJ, Penal. Sentencia SP8611-2014;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José </w:t>
      </w:r>
      <w:proofErr w:type="spellStart"/>
      <w:r w:rsidRPr="00CE7F14">
        <w:rPr>
          <w:rFonts w:asciiTheme="minorHAnsi" w:hAnsiTheme="minorHAnsi"/>
          <w:sz w:val="18"/>
          <w:szCs w:val="18"/>
          <w:lang w:val="es-CO"/>
        </w:rPr>
        <w:t>Leonidas</w:t>
      </w:r>
      <w:proofErr w:type="spellEnd"/>
      <w:r w:rsidRPr="00CE7F14">
        <w:rPr>
          <w:rFonts w:asciiTheme="minorHAnsi" w:hAnsiTheme="minorHAnsi"/>
          <w:sz w:val="18"/>
          <w:szCs w:val="18"/>
          <w:lang w:val="es-CO"/>
        </w:rPr>
        <w:t xml:space="preserve"> Bustos M., radicado No.34.131. / CSJ, Penal. Providencia del 06-03-2013;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José </w:t>
      </w:r>
      <w:proofErr w:type="spellStart"/>
      <w:r w:rsidRPr="00CE7F14">
        <w:rPr>
          <w:rFonts w:asciiTheme="minorHAnsi" w:hAnsiTheme="minorHAnsi"/>
          <w:sz w:val="18"/>
          <w:szCs w:val="18"/>
          <w:lang w:val="es-CO"/>
        </w:rPr>
        <w:t>Leonidas</w:t>
      </w:r>
      <w:proofErr w:type="spellEnd"/>
      <w:r w:rsidRPr="00CE7F14">
        <w:rPr>
          <w:rFonts w:asciiTheme="minorHAnsi" w:hAnsiTheme="minorHAnsi"/>
          <w:sz w:val="18"/>
          <w:szCs w:val="18"/>
          <w:lang w:val="es-CO"/>
        </w:rPr>
        <w:t xml:space="preserve"> Bustos M., radicado No.34.509. / CSJ, Penal. Sentencia del 19-08-2009;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w:t>
      </w:r>
      <w:proofErr w:type="spellStart"/>
      <w:r w:rsidRPr="00CE7F14">
        <w:rPr>
          <w:rFonts w:asciiTheme="minorHAnsi" w:hAnsiTheme="minorHAnsi"/>
          <w:sz w:val="18"/>
          <w:szCs w:val="18"/>
          <w:lang w:val="es-CO"/>
        </w:rPr>
        <w:t>Sigifredo</w:t>
      </w:r>
      <w:proofErr w:type="spellEnd"/>
      <w:r w:rsidRPr="00CE7F14">
        <w:rPr>
          <w:rFonts w:asciiTheme="minorHAnsi" w:hAnsiTheme="minorHAnsi"/>
          <w:sz w:val="18"/>
          <w:szCs w:val="18"/>
          <w:lang w:val="es-CO"/>
        </w:rPr>
        <w:t xml:space="preserve"> Espinosa P., radicado No.31.950. / CSJ, Penal. Sentencia del 04-06-2013;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Fernando Alberto Castro C., radicado No.40.893. / CSJ, Penal. Sentencia del 30-03-2006;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Édgar </w:t>
      </w:r>
      <w:proofErr w:type="spellStart"/>
      <w:r w:rsidRPr="00CE7F14">
        <w:rPr>
          <w:rFonts w:asciiTheme="minorHAnsi" w:hAnsiTheme="minorHAnsi"/>
          <w:sz w:val="18"/>
          <w:szCs w:val="18"/>
          <w:lang w:val="es-CO"/>
        </w:rPr>
        <w:t>Lombana</w:t>
      </w:r>
      <w:proofErr w:type="spellEnd"/>
      <w:r w:rsidRPr="00CE7F14">
        <w:rPr>
          <w:rFonts w:asciiTheme="minorHAnsi" w:hAnsiTheme="minorHAnsi"/>
          <w:sz w:val="18"/>
          <w:szCs w:val="18"/>
          <w:lang w:val="es-CO"/>
        </w:rPr>
        <w:t xml:space="preserve"> T., radicado No.24.468.  Reiterada en sentencia del 21-02-2007;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Javier Zapata O., radicado No.25.920. / CSJ, Penal.  Sentencia del 26-10-2011, radicado No.36.445. / CSJ, Penal.  Sentencia del 06-02-2013;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xml:space="preserve">: José Luis Barceló Camacho, radicado No.38.975. / CSJ, Penal.  Sentencia del 15-06-2016; </w:t>
      </w:r>
      <w:proofErr w:type="spellStart"/>
      <w:r w:rsidRPr="00CE7F14">
        <w:rPr>
          <w:rFonts w:asciiTheme="minorHAnsi" w:hAnsiTheme="minorHAnsi"/>
          <w:sz w:val="18"/>
          <w:szCs w:val="18"/>
          <w:lang w:val="es-CO"/>
        </w:rPr>
        <w:t>MP</w:t>
      </w:r>
      <w:proofErr w:type="spellEnd"/>
      <w:r w:rsidRPr="00CE7F14">
        <w:rPr>
          <w:rFonts w:asciiTheme="minorHAnsi" w:hAnsiTheme="minorHAnsi"/>
          <w:sz w:val="18"/>
          <w:szCs w:val="18"/>
          <w:lang w:val="es-CO"/>
        </w:rPr>
        <w:t>: José Luis Barceló Camacho, radicado No.47.666.</w:t>
      </w:r>
    </w:p>
    <w:p w:rsidR="00CE7F14" w:rsidRPr="00CE7F14" w:rsidRDefault="00CE7F14" w:rsidP="00CE7F14">
      <w:pPr>
        <w:jc w:val="both"/>
        <w:rPr>
          <w:rFonts w:asciiTheme="minorHAnsi" w:hAnsiTheme="minorHAnsi"/>
          <w:sz w:val="18"/>
          <w:szCs w:val="18"/>
          <w:lang w:val="es-CO"/>
        </w:rPr>
      </w:pPr>
    </w:p>
    <w:p w:rsidR="008D33B0" w:rsidRDefault="00CE7F14" w:rsidP="004841E1">
      <w:pPr>
        <w:pStyle w:val="Sinespaciado"/>
        <w:spacing w:line="360" w:lineRule="auto"/>
        <w:jc w:val="center"/>
        <w:rPr>
          <w:rFonts w:ascii="Arial" w:hAnsi="Arial" w:cs="Arial"/>
          <w:w w:val="140"/>
          <w:sz w:val="14"/>
          <w:lang w:val="es-CO"/>
        </w:rPr>
      </w:pPr>
      <w:r>
        <w:rPr>
          <w:rFonts w:ascii="Arial" w:hAnsi="Arial" w:cs="Arial"/>
          <w:w w:val="140"/>
          <w:sz w:val="14"/>
          <w:lang w:val="es-CO"/>
        </w:rPr>
        <w:t>--------------------------------------------</w:t>
      </w:r>
    </w:p>
    <w:p w:rsidR="008D33B0" w:rsidRDefault="008D33B0" w:rsidP="004841E1">
      <w:pPr>
        <w:pStyle w:val="Sinespaciado"/>
        <w:spacing w:line="360" w:lineRule="auto"/>
        <w:jc w:val="center"/>
        <w:rPr>
          <w:rFonts w:ascii="Arial" w:hAnsi="Arial" w:cs="Arial"/>
          <w:w w:val="140"/>
          <w:sz w:val="14"/>
          <w:lang w:val="es-CO"/>
        </w:rPr>
      </w:pPr>
    </w:p>
    <w:p w:rsidR="004841E1" w:rsidRPr="00E6598C" w:rsidRDefault="00096B6D" w:rsidP="004841E1">
      <w:pPr>
        <w:pStyle w:val="Sinespaciado"/>
        <w:spacing w:line="360" w:lineRule="auto"/>
        <w:jc w:val="center"/>
        <w:rPr>
          <w:rFonts w:ascii="Arial" w:hAnsi="Arial" w:cs="Arial"/>
          <w:w w:val="140"/>
          <w:sz w:val="14"/>
          <w:lang w:val="es-CO"/>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B7E">
        <w:rPr>
          <w:rFonts w:ascii="Arial" w:hAnsi="Arial" w:cs="Arial"/>
          <w:w w:val="140"/>
          <w:sz w:val="14"/>
          <w:lang w:val="es-CO"/>
        </w:rPr>
        <w:t>44</w:t>
      </w:r>
      <w:r w:rsidR="002955A9" w:rsidRPr="00E6598C">
        <w:rPr>
          <w:rFonts w:ascii="Arial" w:hAnsi="Arial" w:cs="Arial"/>
          <w:w w:val="140"/>
          <w:sz w:val="14"/>
          <w:lang w:val="es-CO"/>
        </w:rPr>
        <w:t>GG</w:t>
      </w:r>
    </w:p>
    <w:p w:rsidR="004841E1" w:rsidRPr="00E6598C" w:rsidRDefault="004841E1" w:rsidP="004841E1">
      <w:pPr>
        <w:pStyle w:val="Sinespaciado"/>
        <w:spacing w:line="360" w:lineRule="auto"/>
        <w:jc w:val="center"/>
        <w:rPr>
          <w:rFonts w:ascii="Arial" w:hAnsi="Arial" w:cs="Arial"/>
          <w:w w:val="140"/>
          <w:sz w:val="14"/>
          <w:lang w:val="es-CO"/>
        </w:rPr>
      </w:pPr>
    </w:p>
    <w:p w:rsidR="004841E1" w:rsidRPr="00E6598C" w:rsidRDefault="004841E1" w:rsidP="004841E1">
      <w:pPr>
        <w:pStyle w:val="Sinespaciado"/>
        <w:spacing w:line="360" w:lineRule="auto"/>
        <w:jc w:val="center"/>
        <w:rPr>
          <w:rFonts w:ascii="Arial" w:hAnsi="Arial" w:cs="Arial"/>
          <w:w w:val="140"/>
          <w:sz w:val="14"/>
          <w:lang w:val="es-CO"/>
        </w:rPr>
      </w:pPr>
      <w:r w:rsidRPr="00E6598C">
        <w:rPr>
          <w:rFonts w:ascii="Arial" w:hAnsi="Arial" w:cs="Arial"/>
          <w:w w:val="140"/>
          <w:sz w:val="14"/>
          <w:lang w:val="es-CO"/>
        </w:rPr>
        <w:t>REPUBLICA DE COLOMBIA</w:t>
      </w:r>
    </w:p>
    <w:p w:rsidR="004841E1" w:rsidRPr="00E6598C" w:rsidRDefault="004841E1" w:rsidP="004841E1">
      <w:pPr>
        <w:pStyle w:val="Sinespaciado"/>
        <w:tabs>
          <w:tab w:val="center" w:pos="4987"/>
          <w:tab w:val="left" w:pos="8449"/>
        </w:tabs>
        <w:spacing w:line="360" w:lineRule="auto"/>
        <w:jc w:val="center"/>
        <w:rPr>
          <w:rFonts w:ascii="Arial" w:hAnsi="Arial" w:cs="Arial"/>
          <w:w w:val="140"/>
          <w:lang w:val="es-CO"/>
        </w:rPr>
      </w:pPr>
      <w:r w:rsidRPr="00E6598C">
        <w:rPr>
          <w:rFonts w:ascii="Arial" w:hAnsi="Arial" w:cs="Arial"/>
          <w:w w:val="140"/>
          <w:sz w:val="14"/>
          <w:lang w:val="es-CO"/>
        </w:rPr>
        <w:t>RAMA JUDICIAL DEL PODER PÚBLICO</w:t>
      </w:r>
    </w:p>
    <w:p w:rsidR="004841E1" w:rsidRPr="007B3EC0" w:rsidRDefault="004841E1" w:rsidP="004841E1">
      <w:pPr>
        <w:pStyle w:val="Sinespaciado"/>
        <w:spacing w:line="360" w:lineRule="auto"/>
        <w:jc w:val="center"/>
        <w:rPr>
          <w:rStyle w:val="nfasis"/>
        </w:rPr>
      </w:pPr>
      <w:r w:rsidRPr="00E6598C">
        <w:rPr>
          <w:rFonts w:ascii="Arial" w:hAnsi="Arial" w:cs="Arial"/>
          <w:w w:val="140"/>
          <w:sz w:val="18"/>
          <w:lang w:val="es-CO"/>
        </w:rPr>
        <w:t>T</w:t>
      </w:r>
      <w:r w:rsidRPr="00E6598C">
        <w:rPr>
          <w:rFonts w:ascii="Arial" w:hAnsi="Arial" w:cs="Arial"/>
          <w:w w:val="140"/>
          <w:sz w:val="16"/>
          <w:lang w:val="es-CO"/>
        </w:rPr>
        <w:t>RIBUNAL</w:t>
      </w:r>
      <w:r w:rsidRPr="00E6598C">
        <w:rPr>
          <w:rFonts w:ascii="Arial" w:hAnsi="Arial" w:cs="Arial"/>
          <w:w w:val="140"/>
          <w:sz w:val="18"/>
          <w:lang w:val="es-CO"/>
        </w:rPr>
        <w:t xml:space="preserve"> S</w:t>
      </w:r>
      <w:r w:rsidRPr="00E6598C">
        <w:rPr>
          <w:rFonts w:ascii="Arial" w:hAnsi="Arial" w:cs="Arial"/>
          <w:w w:val="140"/>
          <w:sz w:val="16"/>
          <w:lang w:val="es-CO"/>
        </w:rPr>
        <w:t xml:space="preserve">UPERIOR DEL </w:t>
      </w:r>
      <w:r w:rsidRPr="00E6598C">
        <w:rPr>
          <w:rFonts w:ascii="Arial" w:hAnsi="Arial" w:cs="Arial"/>
          <w:w w:val="140"/>
          <w:sz w:val="18"/>
          <w:lang w:val="es-CO"/>
        </w:rPr>
        <w:t>D</w:t>
      </w:r>
      <w:r w:rsidRPr="00E6598C">
        <w:rPr>
          <w:rFonts w:ascii="Arial" w:hAnsi="Arial" w:cs="Arial"/>
          <w:w w:val="140"/>
          <w:sz w:val="16"/>
          <w:lang w:val="es-CO"/>
        </w:rPr>
        <w:t>ISTRITO</w:t>
      </w:r>
      <w:r w:rsidRPr="00E6598C">
        <w:rPr>
          <w:rFonts w:ascii="Arial" w:hAnsi="Arial" w:cs="Arial"/>
          <w:w w:val="140"/>
          <w:sz w:val="18"/>
          <w:lang w:val="es-CO"/>
        </w:rPr>
        <w:t xml:space="preserve"> J</w:t>
      </w:r>
      <w:r w:rsidRPr="00E6598C">
        <w:rPr>
          <w:rFonts w:ascii="Arial" w:hAnsi="Arial" w:cs="Arial"/>
          <w:w w:val="140"/>
          <w:sz w:val="16"/>
          <w:lang w:val="es-CO"/>
        </w:rPr>
        <w:t xml:space="preserve">UDICIAL </w:t>
      </w:r>
      <w:r w:rsidR="00B841BD" w:rsidRPr="00E6598C">
        <w:rPr>
          <w:rFonts w:ascii="Arial" w:hAnsi="Arial" w:cs="Arial"/>
          <w:w w:val="140"/>
          <w:sz w:val="16"/>
          <w:lang w:val="es-CO"/>
        </w:rPr>
        <w:t xml:space="preserve">DE </w:t>
      </w:r>
      <w:r w:rsidRPr="00E6598C">
        <w:rPr>
          <w:rFonts w:ascii="Arial" w:hAnsi="Arial" w:cs="Arial"/>
          <w:w w:val="140"/>
          <w:sz w:val="16"/>
          <w:lang w:val="es-CO"/>
        </w:rPr>
        <w:t>PEREIRA</w:t>
      </w:r>
    </w:p>
    <w:p w:rsidR="004841E1" w:rsidRPr="00E6598C" w:rsidRDefault="004841E1" w:rsidP="004841E1">
      <w:pPr>
        <w:pStyle w:val="Sinespaciado"/>
        <w:spacing w:line="360" w:lineRule="auto"/>
        <w:jc w:val="center"/>
        <w:rPr>
          <w:rFonts w:ascii="Arial" w:hAnsi="Arial" w:cs="Arial"/>
          <w:w w:val="140"/>
          <w:sz w:val="16"/>
          <w:szCs w:val="18"/>
          <w:lang w:val="es-CO"/>
        </w:rPr>
      </w:pPr>
      <w:r w:rsidRPr="00E6598C">
        <w:rPr>
          <w:rFonts w:ascii="Arial" w:hAnsi="Arial" w:cs="Arial"/>
          <w:w w:val="140"/>
          <w:sz w:val="16"/>
          <w:szCs w:val="18"/>
          <w:lang w:val="es-CO"/>
        </w:rPr>
        <w:t>S</w:t>
      </w:r>
      <w:r w:rsidRPr="00E6598C">
        <w:rPr>
          <w:rFonts w:ascii="Arial" w:hAnsi="Arial" w:cs="Arial"/>
          <w:w w:val="140"/>
          <w:sz w:val="14"/>
          <w:szCs w:val="18"/>
          <w:lang w:val="es-CO"/>
        </w:rPr>
        <w:t>ALA</w:t>
      </w:r>
      <w:r w:rsidRPr="00E6598C">
        <w:rPr>
          <w:rFonts w:ascii="Arial" w:hAnsi="Arial" w:cs="Arial"/>
          <w:w w:val="140"/>
          <w:sz w:val="12"/>
          <w:szCs w:val="18"/>
          <w:lang w:val="es-CO"/>
        </w:rPr>
        <w:t xml:space="preserve"> </w:t>
      </w:r>
      <w:r w:rsidRPr="00E6598C">
        <w:rPr>
          <w:rFonts w:ascii="Arial" w:hAnsi="Arial" w:cs="Arial"/>
          <w:w w:val="140"/>
          <w:sz w:val="14"/>
          <w:szCs w:val="18"/>
          <w:lang w:val="es-CO"/>
        </w:rPr>
        <w:t xml:space="preserve">DE </w:t>
      </w:r>
      <w:r w:rsidRPr="00E6598C">
        <w:rPr>
          <w:rFonts w:ascii="Arial" w:hAnsi="Arial" w:cs="Arial"/>
          <w:w w:val="140"/>
          <w:sz w:val="16"/>
          <w:szCs w:val="18"/>
          <w:lang w:val="es-CO"/>
        </w:rPr>
        <w:t>A</w:t>
      </w:r>
      <w:r w:rsidRPr="00E6598C">
        <w:rPr>
          <w:rFonts w:ascii="Arial" w:hAnsi="Arial" w:cs="Arial"/>
          <w:w w:val="140"/>
          <w:sz w:val="14"/>
          <w:szCs w:val="18"/>
          <w:lang w:val="es-CO"/>
        </w:rPr>
        <w:t xml:space="preserve">SUNTOS </w:t>
      </w:r>
      <w:r w:rsidRPr="00E6598C">
        <w:rPr>
          <w:rFonts w:ascii="Arial" w:hAnsi="Arial" w:cs="Arial"/>
          <w:w w:val="140"/>
          <w:sz w:val="16"/>
          <w:szCs w:val="18"/>
          <w:lang w:val="es-CO"/>
        </w:rPr>
        <w:t>P</w:t>
      </w:r>
      <w:r w:rsidRPr="00E6598C">
        <w:rPr>
          <w:rFonts w:ascii="Arial" w:hAnsi="Arial" w:cs="Arial"/>
          <w:w w:val="140"/>
          <w:sz w:val="14"/>
          <w:szCs w:val="18"/>
          <w:lang w:val="es-CO"/>
        </w:rPr>
        <w:t xml:space="preserve">ENALES </w:t>
      </w:r>
      <w:r w:rsidRPr="00E6598C">
        <w:rPr>
          <w:rFonts w:ascii="Arial" w:hAnsi="Arial" w:cs="Arial"/>
          <w:w w:val="140"/>
          <w:sz w:val="16"/>
          <w:szCs w:val="18"/>
          <w:lang w:val="es-CO"/>
        </w:rPr>
        <w:t>P</w:t>
      </w:r>
      <w:r w:rsidRPr="00E6598C">
        <w:rPr>
          <w:rFonts w:ascii="Arial" w:hAnsi="Arial" w:cs="Arial"/>
          <w:w w:val="140"/>
          <w:sz w:val="14"/>
          <w:szCs w:val="18"/>
          <w:lang w:val="es-CO"/>
        </w:rPr>
        <w:t xml:space="preserve">ARA </w:t>
      </w:r>
      <w:r w:rsidRPr="00E6598C">
        <w:rPr>
          <w:rFonts w:ascii="Arial" w:hAnsi="Arial" w:cs="Arial"/>
          <w:w w:val="140"/>
          <w:sz w:val="16"/>
          <w:szCs w:val="18"/>
          <w:lang w:val="es-CO"/>
        </w:rPr>
        <w:t>A</w:t>
      </w:r>
      <w:r w:rsidRPr="00E6598C">
        <w:rPr>
          <w:rFonts w:ascii="Arial" w:hAnsi="Arial" w:cs="Arial"/>
          <w:w w:val="140"/>
          <w:sz w:val="14"/>
          <w:szCs w:val="18"/>
          <w:lang w:val="es-CO"/>
        </w:rPr>
        <w:t xml:space="preserve">DOLESCENTES </w:t>
      </w:r>
      <w:r w:rsidRPr="00E6598C">
        <w:rPr>
          <w:rFonts w:ascii="Arial" w:hAnsi="Arial" w:cs="Arial"/>
          <w:w w:val="140"/>
          <w:sz w:val="16"/>
          <w:szCs w:val="18"/>
          <w:lang w:val="es-CO"/>
        </w:rPr>
        <w:t>No.</w:t>
      </w:r>
      <w:r w:rsidR="00486DD1">
        <w:rPr>
          <w:rFonts w:ascii="Arial" w:hAnsi="Arial" w:cs="Arial"/>
          <w:w w:val="140"/>
          <w:sz w:val="14"/>
          <w:szCs w:val="18"/>
          <w:lang w:val="es-CO"/>
        </w:rPr>
        <w:t>04</w:t>
      </w:r>
    </w:p>
    <w:p w:rsidR="004841E1" w:rsidRPr="00E6598C" w:rsidRDefault="004841E1" w:rsidP="004841E1">
      <w:pPr>
        <w:pStyle w:val="Sinespaciado"/>
        <w:spacing w:line="360" w:lineRule="auto"/>
        <w:jc w:val="center"/>
        <w:rPr>
          <w:rFonts w:ascii="Arial" w:hAnsi="Arial" w:cs="Arial"/>
          <w:w w:val="140"/>
          <w:sz w:val="16"/>
          <w:szCs w:val="18"/>
          <w:lang w:val="es-CO"/>
        </w:rPr>
      </w:pPr>
      <w:r w:rsidRPr="00E6598C">
        <w:rPr>
          <w:rFonts w:ascii="Arial" w:hAnsi="Arial" w:cs="Arial"/>
          <w:w w:val="140"/>
          <w:sz w:val="18"/>
          <w:szCs w:val="18"/>
          <w:lang w:val="es-CO"/>
        </w:rPr>
        <w:t>D</w:t>
      </w:r>
      <w:r w:rsidRPr="00E6598C">
        <w:rPr>
          <w:rFonts w:ascii="Arial" w:hAnsi="Arial" w:cs="Arial"/>
          <w:w w:val="140"/>
          <w:sz w:val="14"/>
          <w:szCs w:val="18"/>
          <w:lang w:val="es-CO"/>
        </w:rPr>
        <w:t xml:space="preserve">EPARTAMENTO </w:t>
      </w:r>
      <w:r w:rsidRPr="00E6598C">
        <w:rPr>
          <w:rFonts w:ascii="Arial" w:hAnsi="Arial" w:cs="Arial"/>
          <w:w w:val="140"/>
          <w:sz w:val="16"/>
          <w:szCs w:val="18"/>
          <w:lang w:val="es-CO"/>
        </w:rPr>
        <w:t>D</w:t>
      </w:r>
      <w:r w:rsidRPr="00E6598C">
        <w:rPr>
          <w:rFonts w:ascii="Arial" w:hAnsi="Arial" w:cs="Arial"/>
          <w:w w:val="140"/>
          <w:sz w:val="14"/>
          <w:szCs w:val="18"/>
          <w:lang w:val="es-CO"/>
        </w:rPr>
        <w:t xml:space="preserve">EL </w:t>
      </w:r>
      <w:r w:rsidRPr="00E6598C">
        <w:rPr>
          <w:rFonts w:ascii="Arial" w:hAnsi="Arial" w:cs="Arial"/>
          <w:w w:val="140"/>
          <w:sz w:val="18"/>
          <w:szCs w:val="18"/>
          <w:lang w:val="es-CO"/>
        </w:rPr>
        <w:t>R</w:t>
      </w:r>
      <w:r w:rsidRPr="00E6598C">
        <w:rPr>
          <w:rFonts w:ascii="Arial" w:hAnsi="Arial" w:cs="Arial"/>
          <w:w w:val="140"/>
          <w:sz w:val="14"/>
          <w:szCs w:val="18"/>
          <w:lang w:val="es-CO"/>
        </w:rPr>
        <w:t>ISARALDA</w:t>
      </w:r>
    </w:p>
    <w:p w:rsidR="00E4735C" w:rsidRPr="00E6598C" w:rsidRDefault="00E4735C" w:rsidP="00E4735C">
      <w:pPr>
        <w:spacing w:line="360" w:lineRule="auto"/>
        <w:jc w:val="center"/>
        <w:rPr>
          <w:rFonts w:ascii="Arial" w:hAnsi="Arial" w:cs="Arial"/>
          <w:bCs/>
          <w:sz w:val="22"/>
          <w:szCs w:val="22"/>
          <w:lang w:val="es-CO"/>
        </w:rPr>
      </w:pPr>
    </w:p>
    <w:p w:rsidR="00E4735C" w:rsidRPr="00E6598C" w:rsidRDefault="00E4735C" w:rsidP="00E4735C">
      <w:pPr>
        <w:pStyle w:val="Textoindependiente"/>
        <w:spacing w:line="360" w:lineRule="auto"/>
        <w:rPr>
          <w:rFonts w:ascii="Arial" w:hAnsi="Arial" w:cs="Arial"/>
          <w:sz w:val="22"/>
          <w:szCs w:val="22"/>
          <w:lang w:val="es-CO"/>
        </w:rPr>
      </w:pPr>
      <w:r w:rsidRPr="00E6598C">
        <w:rPr>
          <w:rFonts w:ascii="Arial" w:hAnsi="Arial" w:cs="Arial"/>
          <w:sz w:val="22"/>
          <w:szCs w:val="22"/>
          <w:lang w:val="es-CO"/>
        </w:rPr>
        <w:tab/>
        <w:t>Asunto</w:t>
      </w:r>
      <w:r w:rsidRPr="00E6598C">
        <w:rPr>
          <w:rFonts w:ascii="Arial" w:hAnsi="Arial" w:cs="Arial"/>
          <w:sz w:val="22"/>
          <w:szCs w:val="22"/>
          <w:lang w:val="es-CO"/>
        </w:rPr>
        <w:tab/>
      </w:r>
      <w:r w:rsidRPr="00E6598C">
        <w:rPr>
          <w:rFonts w:ascii="Arial" w:hAnsi="Arial" w:cs="Arial"/>
          <w:sz w:val="22"/>
          <w:szCs w:val="22"/>
          <w:lang w:val="es-CO"/>
        </w:rPr>
        <w:tab/>
      </w:r>
      <w:r w:rsidRPr="00E6598C">
        <w:rPr>
          <w:rFonts w:ascii="Arial" w:hAnsi="Arial" w:cs="Arial"/>
          <w:sz w:val="22"/>
          <w:szCs w:val="22"/>
          <w:lang w:val="es-CO"/>
        </w:rPr>
        <w:tab/>
      </w:r>
      <w:r w:rsidRPr="00E6598C">
        <w:rPr>
          <w:rFonts w:ascii="Arial" w:hAnsi="Arial" w:cs="Arial"/>
          <w:sz w:val="22"/>
          <w:szCs w:val="22"/>
          <w:lang w:val="es-CO"/>
        </w:rPr>
        <w:tab/>
        <w:t xml:space="preserve">: Apelación sentencia </w:t>
      </w:r>
      <w:r w:rsidR="004841E1" w:rsidRPr="00E6598C">
        <w:rPr>
          <w:rFonts w:ascii="Arial" w:hAnsi="Arial" w:cs="Arial"/>
          <w:sz w:val="22"/>
          <w:szCs w:val="22"/>
          <w:lang w:val="es-CO"/>
        </w:rPr>
        <w:t>–</w:t>
      </w:r>
      <w:r w:rsidRPr="00E6598C">
        <w:rPr>
          <w:rFonts w:ascii="Arial" w:hAnsi="Arial" w:cs="Arial"/>
          <w:sz w:val="22"/>
          <w:szCs w:val="22"/>
          <w:lang w:val="es-CO"/>
        </w:rPr>
        <w:t xml:space="preserve"> </w:t>
      </w:r>
      <w:r w:rsidR="004841E1" w:rsidRPr="00E6598C">
        <w:rPr>
          <w:rFonts w:ascii="Arial" w:hAnsi="Arial" w:cs="Arial"/>
          <w:sz w:val="22"/>
          <w:szCs w:val="22"/>
          <w:lang w:val="es-CO"/>
        </w:rPr>
        <w:t>Juicio oral</w:t>
      </w:r>
    </w:p>
    <w:p w:rsidR="00E4735C" w:rsidRPr="00E6598C" w:rsidRDefault="00E4735C" w:rsidP="00E4735C">
      <w:pPr>
        <w:pStyle w:val="Textoindependiente"/>
        <w:spacing w:line="360" w:lineRule="auto"/>
        <w:rPr>
          <w:rFonts w:ascii="Arial" w:hAnsi="Arial" w:cs="Arial"/>
          <w:sz w:val="22"/>
          <w:szCs w:val="22"/>
          <w:lang w:val="es-CO"/>
        </w:rPr>
      </w:pPr>
      <w:r w:rsidRPr="00E6598C">
        <w:rPr>
          <w:rFonts w:ascii="Arial" w:hAnsi="Arial" w:cs="Arial"/>
          <w:sz w:val="22"/>
          <w:szCs w:val="22"/>
          <w:lang w:val="es-CO"/>
        </w:rPr>
        <w:tab/>
      </w:r>
      <w:r w:rsidR="008268C3">
        <w:rPr>
          <w:rFonts w:ascii="Arial" w:hAnsi="Arial" w:cs="Arial"/>
          <w:sz w:val="22"/>
          <w:szCs w:val="22"/>
          <w:lang w:val="es-CO"/>
        </w:rPr>
        <w:t>Procesado</w:t>
      </w:r>
      <w:r w:rsidRPr="00E6598C">
        <w:rPr>
          <w:rFonts w:ascii="Arial" w:hAnsi="Arial" w:cs="Arial"/>
          <w:sz w:val="22"/>
          <w:szCs w:val="22"/>
          <w:lang w:val="es-CO"/>
        </w:rPr>
        <w:tab/>
      </w:r>
      <w:r w:rsidRPr="00E6598C">
        <w:rPr>
          <w:rFonts w:ascii="Arial" w:hAnsi="Arial" w:cs="Arial"/>
          <w:sz w:val="22"/>
          <w:szCs w:val="22"/>
          <w:lang w:val="es-CO"/>
        </w:rPr>
        <w:tab/>
      </w:r>
      <w:r w:rsidRPr="00E6598C">
        <w:rPr>
          <w:rFonts w:ascii="Arial" w:hAnsi="Arial" w:cs="Arial"/>
          <w:sz w:val="22"/>
          <w:szCs w:val="22"/>
          <w:lang w:val="es-CO"/>
        </w:rPr>
        <w:tab/>
        <w:t xml:space="preserve">: </w:t>
      </w:r>
      <w:r w:rsidR="002A5D36">
        <w:rPr>
          <w:rFonts w:ascii="Arial" w:hAnsi="Arial" w:cs="Arial"/>
          <w:sz w:val="22"/>
          <w:szCs w:val="22"/>
          <w:lang w:val="es-CO"/>
        </w:rPr>
        <w:t>ETM</w:t>
      </w:r>
    </w:p>
    <w:p w:rsidR="00E4735C" w:rsidRPr="00E6598C" w:rsidRDefault="00E4735C" w:rsidP="00E4735C">
      <w:pPr>
        <w:pStyle w:val="Textoindependiente"/>
        <w:spacing w:line="360" w:lineRule="auto"/>
        <w:rPr>
          <w:rFonts w:ascii="Arial" w:hAnsi="Arial" w:cs="Arial"/>
          <w:sz w:val="22"/>
          <w:szCs w:val="22"/>
          <w:lang w:val="es-CO"/>
        </w:rPr>
      </w:pPr>
      <w:r w:rsidRPr="00E6598C">
        <w:rPr>
          <w:rFonts w:ascii="Arial" w:hAnsi="Arial" w:cs="Arial"/>
          <w:sz w:val="22"/>
          <w:szCs w:val="22"/>
          <w:lang w:val="es-CO"/>
        </w:rPr>
        <w:tab/>
        <w:t>Delito</w:t>
      </w:r>
      <w:r w:rsidRPr="00E6598C">
        <w:rPr>
          <w:rFonts w:ascii="Arial" w:hAnsi="Arial" w:cs="Arial"/>
          <w:sz w:val="22"/>
          <w:szCs w:val="22"/>
          <w:lang w:val="es-CO"/>
        </w:rPr>
        <w:tab/>
      </w:r>
      <w:r w:rsidRPr="00E6598C">
        <w:rPr>
          <w:rFonts w:ascii="Arial" w:hAnsi="Arial" w:cs="Arial"/>
          <w:sz w:val="22"/>
          <w:szCs w:val="22"/>
          <w:lang w:val="es-CO"/>
        </w:rPr>
        <w:tab/>
      </w:r>
      <w:r w:rsidRPr="00E6598C">
        <w:rPr>
          <w:rFonts w:ascii="Arial" w:hAnsi="Arial" w:cs="Arial"/>
          <w:sz w:val="22"/>
          <w:szCs w:val="22"/>
          <w:lang w:val="es-CO"/>
        </w:rPr>
        <w:tab/>
      </w:r>
      <w:r w:rsidRPr="00E6598C">
        <w:rPr>
          <w:rFonts w:ascii="Arial" w:hAnsi="Arial" w:cs="Arial"/>
          <w:sz w:val="22"/>
          <w:szCs w:val="22"/>
          <w:lang w:val="es-CO"/>
        </w:rPr>
        <w:tab/>
        <w:t>:</w:t>
      </w:r>
      <w:r w:rsidR="004841E1" w:rsidRPr="00E6598C">
        <w:rPr>
          <w:rFonts w:ascii="Arial" w:hAnsi="Arial" w:cs="Arial"/>
          <w:sz w:val="22"/>
          <w:szCs w:val="22"/>
          <w:lang w:val="es-CO"/>
        </w:rPr>
        <w:t xml:space="preserve"> </w:t>
      </w:r>
      <w:r w:rsidR="000F236A" w:rsidRPr="00E6598C">
        <w:rPr>
          <w:rFonts w:ascii="Arial" w:hAnsi="Arial" w:cs="Arial"/>
          <w:sz w:val="22"/>
          <w:szCs w:val="22"/>
          <w:lang w:val="es-CO"/>
        </w:rPr>
        <w:t xml:space="preserve">Homicidio </w:t>
      </w:r>
      <w:r w:rsidR="002A5D36">
        <w:rPr>
          <w:rFonts w:ascii="Arial" w:hAnsi="Arial" w:cs="Arial"/>
          <w:sz w:val="22"/>
          <w:szCs w:val="22"/>
          <w:lang w:val="es-CO"/>
        </w:rPr>
        <w:t>agravado</w:t>
      </w:r>
    </w:p>
    <w:p w:rsidR="00E4735C" w:rsidRPr="00E6598C" w:rsidRDefault="000F236A" w:rsidP="00E4735C">
      <w:pPr>
        <w:spacing w:line="360" w:lineRule="auto"/>
        <w:ind w:firstLine="708"/>
        <w:rPr>
          <w:rFonts w:ascii="Arial" w:hAnsi="Arial" w:cs="Arial"/>
          <w:sz w:val="22"/>
          <w:szCs w:val="22"/>
          <w:lang w:val="es-CO"/>
        </w:rPr>
      </w:pPr>
      <w:r w:rsidRPr="00E6598C">
        <w:rPr>
          <w:rFonts w:ascii="Arial" w:hAnsi="Arial" w:cs="Arial"/>
          <w:sz w:val="22"/>
          <w:szCs w:val="22"/>
          <w:lang w:val="es-CO"/>
        </w:rPr>
        <w:t>Radicado</w:t>
      </w:r>
      <w:r w:rsidR="00E4735C" w:rsidRPr="00E6598C">
        <w:rPr>
          <w:rFonts w:ascii="Arial" w:hAnsi="Arial" w:cs="Arial"/>
          <w:sz w:val="22"/>
          <w:szCs w:val="22"/>
          <w:lang w:val="es-CO"/>
        </w:rPr>
        <w:tab/>
      </w:r>
      <w:r w:rsidR="00E4735C" w:rsidRPr="00E6598C">
        <w:rPr>
          <w:rFonts w:ascii="Arial" w:hAnsi="Arial" w:cs="Arial"/>
          <w:sz w:val="22"/>
          <w:szCs w:val="22"/>
          <w:lang w:val="es-CO"/>
        </w:rPr>
        <w:tab/>
      </w:r>
      <w:r w:rsidR="00E4735C" w:rsidRPr="00E6598C">
        <w:rPr>
          <w:rFonts w:ascii="Arial" w:hAnsi="Arial" w:cs="Arial"/>
          <w:sz w:val="22"/>
          <w:szCs w:val="22"/>
          <w:lang w:val="es-CO"/>
        </w:rPr>
        <w:tab/>
        <w:t xml:space="preserve">: </w:t>
      </w:r>
      <w:r w:rsidRPr="00E6598C">
        <w:rPr>
          <w:rFonts w:ascii="Arial" w:hAnsi="Arial" w:cs="Arial"/>
          <w:sz w:val="22"/>
          <w:szCs w:val="22"/>
          <w:lang w:val="es-CO"/>
        </w:rPr>
        <w:t>66</w:t>
      </w:r>
      <w:r w:rsidR="002A5D36">
        <w:rPr>
          <w:rFonts w:ascii="Arial" w:hAnsi="Arial" w:cs="Arial"/>
          <w:sz w:val="22"/>
          <w:szCs w:val="22"/>
          <w:lang w:val="es-CO"/>
        </w:rPr>
        <w:t>594</w:t>
      </w:r>
      <w:r w:rsidRPr="00E6598C">
        <w:rPr>
          <w:rFonts w:ascii="Arial" w:hAnsi="Arial" w:cs="Arial"/>
          <w:sz w:val="22"/>
          <w:szCs w:val="22"/>
          <w:lang w:val="es-CO"/>
        </w:rPr>
        <w:t>-60-0</w:t>
      </w:r>
      <w:r w:rsidR="002A5D36">
        <w:rPr>
          <w:rFonts w:ascii="Arial" w:hAnsi="Arial" w:cs="Arial"/>
          <w:sz w:val="22"/>
          <w:szCs w:val="22"/>
          <w:lang w:val="es-CO"/>
        </w:rPr>
        <w:t>0063</w:t>
      </w:r>
      <w:r w:rsidRPr="00E6598C">
        <w:rPr>
          <w:rFonts w:ascii="Arial" w:hAnsi="Arial" w:cs="Arial"/>
          <w:sz w:val="22"/>
          <w:szCs w:val="22"/>
          <w:lang w:val="es-CO"/>
        </w:rPr>
        <w:t>-</w:t>
      </w:r>
      <w:r w:rsidR="00097C5E" w:rsidRPr="00E6598C">
        <w:rPr>
          <w:rFonts w:ascii="Arial" w:hAnsi="Arial" w:cs="Arial"/>
          <w:sz w:val="22"/>
          <w:szCs w:val="22"/>
          <w:lang w:val="es-CO"/>
        </w:rPr>
        <w:t>201</w:t>
      </w:r>
      <w:r w:rsidR="002A5D36">
        <w:rPr>
          <w:rFonts w:ascii="Arial" w:hAnsi="Arial" w:cs="Arial"/>
          <w:sz w:val="22"/>
          <w:szCs w:val="22"/>
          <w:lang w:val="es-CO"/>
        </w:rPr>
        <w:t>5</w:t>
      </w:r>
      <w:r w:rsidR="00097C5E" w:rsidRPr="00E6598C">
        <w:rPr>
          <w:rFonts w:ascii="Arial" w:hAnsi="Arial" w:cs="Arial"/>
          <w:sz w:val="22"/>
          <w:szCs w:val="22"/>
          <w:lang w:val="es-CO"/>
        </w:rPr>
        <w:t>-</w:t>
      </w:r>
      <w:r w:rsidRPr="00E6598C">
        <w:rPr>
          <w:rFonts w:ascii="Arial" w:hAnsi="Arial" w:cs="Arial"/>
          <w:sz w:val="22"/>
          <w:szCs w:val="22"/>
          <w:lang w:val="es-CO"/>
        </w:rPr>
        <w:t>00</w:t>
      </w:r>
      <w:r w:rsidR="002A5D36">
        <w:rPr>
          <w:rFonts w:ascii="Arial" w:hAnsi="Arial" w:cs="Arial"/>
          <w:sz w:val="22"/>
          <w:szCs w:val="22"/>
          <w:lang w:val="es-CO"/>
        </w:rPr>
        <w:t>305</w:t>
      </w:r>
      <w:r w:rsidR="00097C5E" w:rsidRPr="00E6598C">
        <w:rPr>
          <w:rFonts w:ascii="Arial" w:hAnsi="Arial" w:cs="Arial"/>
          <w:sz w:val="22"/>
          <w:szCs w:val="22"/>
          <w:lang w:val="es-CO"/>
        </w:rPr>
        <w:t xml:space="preserve">-01 </w:t>
      </w:r>
    </w:p>
    <w:p w:rsidR="00097C5E" w:rsidRPr="00E6598C" w:rsidRDefault="00E4735C" w:rsidP="007C558D">
      <w:pPr>
        <w:spacing w:line="360" w:lineRule="auto"/>
        <w:ind w:firstLine="708"/>
        <w:rPr>
          <w:rFonts w:ascii="Arial" w:hAnsi="Arial" w:cs="Arial"/>
          <w:sz w:val="22"/>
          <w:szCs w:val="22"/>
          <w:lang w:val="es-CO"/>
        </w:rPr>
      </w:pPr>
      <w:r w:rsidRPr="00E6598C">
        <w:rPr>
          <w:rFonts w:ascii="Arial" w:hAnsi="Arial" w:cs="Arial"/>
          <w:sz w:val="22"/>
          <w:szCs w:val="22"/>
          <w:lang w:val="es-CO"/>
        </w:rPr>
        <w:t>Juzgado de conocimiento</w:t>
      </w:r>
      <w:r w:rsidRPr="00E6598C">
        <w:rPr>
          <w:rFonts w:ascii="Arial" w:hAnsi="Arial" w:cs="Arial"/>
          <w:sz w:val="22"/>
          <w:szCs w:val="22"/>
          <w:lang w:val="es-CO"/>
        </w:rPr>
        <w:tab/>
        <w:t xml:space="preserve">: Juzgado </w:t>
      </w:r>
      <w:r w:rsidR="002A5D36">
        <w:rPr>
          <w:rFonts w:ascii="Arial" w:hAnsi="Arial" w:cs="Arial"/>
          <w:sz w:val="22"/>
          <w:szCs w:val="22"/>
          <w:lang w:val="es-CO"/>
        </w:rPr>
        <w:t>1</w:t>
      </w:r>
      <w:r w:rsidR="007C558D" w:rsidRPr="00E6598C">
        <w:rPr>
          <w:rFonts w:ascii="Arial" w:hAnsi="Arial" w:cs="Arial"/>
          <w:sz w:val="22"/>
          <w:szCs w:val="22"/>
          <w:lang w:val="es-CO"/>
        </w:rPr>
        <w:t>º</w:t>
      </w:r>
      <w:r w:rsidR="00097C5E" w:rsidRPr="00E6598C">
        <w:rPr>
          <w:rFonts w:ascii="Arial" w:hAnsi="Arial" w:cs="Arial"/>
          <w:sz w:val="22"/>
          <w:szCs w:val="22"/>
          <w:lang w:val="es-CO"/>
        </w:rPr>
        <w:t xml:space="preserve"> Penal del Circuito Adolescentes </w:t>
      </w:r>
      <w:r w:rsidR="00442F47" w:rsidRPr="00E6598C">
        <w:rPr>
          <w:rFonts w:ascii="Arial" w:hAnsi="Arial" w:cs="Arial"/>
          <w:sz w:val="22"/>
          <w:szCs w:val="22"/>
          <w:lang w:val="es-CO"/>
        </w:rPr>
        <w:t xml:space="preserve">- </w:t>
      </w:r>
      <w:r w:rsidR="000F236A" w:rsidRPr="00E6598C">
        <w:rPr>
          <w:rFonts w:ascii="Arial" w:hAnsi="Arial" w:cs="Arial"/>
          <w:sz w:val="22"/>
          <w:szCs w:val="22"/>
          <w:lang w:val="es-CO"/>
        </w:rPr>
        <w:t>Pereira</w:t>
      </w:r>
    </w:p>
    <w:p w:rsidR="000F236A" w:rsidRPr="00E6598C" w:rsidRDefault="000F236A" w:rsidP="00E4735C">
      <w:pPr>
        <w:spacing w:line="360" w:lineRule="auto"/>
        <w:ind w:firstLine="708"/>
        <w:rPr>
          <w:rFonts w:ascii="Arial" w:hAnsi="Arial" w:cs="Arial"/>
          <w:sz w:val="22"/>
          <w:szCs w:val="22"/>
          <w:lang w:val="es-CO"/>
        </w:rPr>
      </w:pPr>
      <w:r w:rsidRPr="00E6598C">
        <w:rPr>
          <w:rFonts w:ascii="Arial" w:hAnsi="Arial" w:cs="Arial"/>
          <w:sz w:val="22"/>
          <w:szCs w:val="22"/>
          <w:lang w:val="es-CO"/>
        </w:rPr>
        <w:t>Tema (s)</w:t>
      </w:r>
      <w:r w:rsidRPr="00E6598C">
        <w:rPr>
          <w:rFonts w:ascii="Arial" w:hAnsi="Arial" w:cs="Arial"/>
          <w:sz w:val="22"/>
          <w:szCs w:val="22"/>
          <w:lang w:val="es-CO"/>
        </w:rPr>
        <w:tab/>
      </w:r>
      <w:r w:rsidRPr="00E6598C">
        <w:rPr>
          <w:rFonts w:ascii="Arial" w:hAnsi="Arial" w:cs="Arial"/>
          <w:sz w:val="22"/>
          <w:szCs w:val="22"/>
          <w:lang w:val="es-CO"/>
        </w:rPr>
        <w:tab/>
      </w:r>
      <w:r w:rsidRPr="00E6598C">
        <w:rPr>
          <w:rFonts w:ascii="Arial" w:hAnsi="Arial" w:cs="Arial"/>
          <w:sz w:val="22"/>
          <w:szCs w:val="22"/>
          <w:lang w:val="es-CO"/>
        </w:rPr>
        <w:tab/>
        <w:t xml:space="preserve">: </w:t>
      </w:r>
      <w:r w:rsidR="003138FD">
        <w:rPr>
          <w:rFonts w:ascii="Arial" w:hAnsi="Arial" w:cs="Arial"/>
          <w:sz w:val="22"/>
          <w:szCs w:val="22"/>
          <w:lang w:val="es-CO"/>
        </w:rPr>
        <w:t>Valoración testimonial – Testigo único</w:t>
      </w:r>
    </w:p>
    <w:p w:rsidR="00BA7013" w:rsidRDefault="00BA7013" w:rsidP="00E4735C">
      <w:pPr>
        <w:spacing w:line="360" w:lineRule="auto"/>
        <w:ind w:firstLine="708"/>
        <w:rPr>
          <w:rFonts w:ascii="Arial" w:hAnsi="Arial" w:cs="Arial"/>
          <w:sz w:val="22"/>
          <w:szCs w:val="22"/>
          <w:lang w:val="es-CO"/>
        </w:rPr>
      </w:pPr>
      <w:r>
        <w:rPr>
          <w:rFonts w:ascii="Arial" w:hAnsi="Arial" w:cs="Arial"/>
          <w:sz w:val="22"/>
          <w:szCs w:val="22"/>
          <w:lang w:val="es-CO"/>
        </w:rPr>
        <w:lastRenderedPageBreak/>
        <w:t>Fecha lectura</w:t>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w:t>
      </w:r>
      <w:r w:rsidR="00E412C1">
        <w:rPr>
          <w:rFonts w:ascii="Arial" w:hAnsi="Arial" w:cs="Arial"/>
          <w:sz w:val="22"/>
          <w:szCs w:val="22"/>
          <w:lang w:val="es-CO"/>
        </w:rPr>
        <w:t>29-11-2016</w:t>
      </w:r>
    </w:p>
    <w:p w:rsidR="00FD5DD9" w:rsidRDefault="00FD5DD9" w:rsidP="00E4735C">
      <w:pPr>
        <w:spacing w:line="360" w:lineRule="auto"/>
        <w:ind w:firstLine="708"/>
        <w:rPr>
          <w:rFonts w:ascii="Arial" w:hAnsi="Arial" w:cs="Arial"/>
          <w:sz w:val="22"/>
          <w:szCs w:val="22"/>
          <w:lang w:val="es-CO"/>
        </w:rPr>
      </w:pPr>
      <w:r>
        <w:rPr>
          <w:rFonts w:ascii="Arial" w:hAnsi="Arial" w:cs="Arial"/>
          <w:sz w:val="22"/>
          <w:szCs w:val="22"/>
          <w:lang w:val="es-CO"/>
        </w:rPr>
        <w:t>Hora de lectura</w:t>
      </w:r>
      <w:r>
        <w:rPr>
          <w:rFonts w:ascii="Arial" w:hAnsi="Arial" w:cs="Arial"/>
          <w:sz w:val="22"/>
          <w:szCs w:val="22"/>
          <w:lang w:val="es-CO"/>
        </w:rPr>
        <w:tab/>
      </w:r>
      <w:r>
        <w:rPr>
          <w:rFonts w:ascii="Arial" w:hAnsi="Arial" w:cs="Arial"/>
          <w:sz w:val="22"/>
          <w:szCs w:val="22"/>
          <w:lang w:val="es-CO"/>
        </w:rPr>
        <w:tab/>
        <w:t xml:space="preserve">: </w:t>
      </w:r>
      <w:r w:rsidR="00E412C1">
        <w:rPr>
          <w:rFonts w:ascii="Arial" w:hAnsi="Arial" w:cs="Arial"/>
          <w:sz w:val="22"/>
          <w:szCs w:val="22"/>
          <w:lang w:val="es-CO"/>
        </w:rPr>
        <w:t>11:00 a.m.</w:t>
      </w:r>
    </w:p>
    <w:p w:rsidR="00E4735C" w:rsidRPr="00E6598C" w:rsidRDefault="00E4735C" w:rsidP="00E4735C">
      <w:pPr>
        <w:spacing w:line="360" w:lineRule="auto"/>
        <w:ind w:firstLine="708"/>
        <w:rPr>
          <w:rFonts w:ascii="Arial" w:hAnsi="Arial" w:cs="Arial"/>
          <w:sz w:val="22"/>
          <w:szCs w:val="22"/>
          <w:lang w:val="es-CO"/>
        </w:rPr>
      </w:pPr>
      <w:r w:rsidRPr="00E6598C">
        <w:rPr>
          <w:rFonts w:ascii="Arial" w:hAnsi="Arial" w:cs="Arial"/>
          <w:sz w:val="22"/>
          <w:szCs w:val="22"/>
          <w:lang w:val="es-CO"/>
        </w:rPr>
        <w:t>Magistrado Ponente</w:t>
      </w:r>
      <w:r w:rsidRPr="00E6598C">
        <w:rPr>
          <w:rFonts w:ascii="Arial" w:hAnsi="Arial" w:cs="Arial"/>
          <w:sz w:val="22"/>
          <w:szCs w:val="22"/>
          <w:lang w:val="es-CO"/>
        </w:rPr>
        <w:tab/>
      </w:r>
      <w:r w:rsidRPr="00E6598C">
        <w:rPr>
          <w:rFonts w:ascii="Arial" w:hAnsi="Arial" w:cs="Arial"/>
          <w:sz w:val="22"/>
          <w:szCs w:val="22"/>
          <w:lang w:val="es-CO"/>
        </w:rPr>
        <w:tab/>
        <w:t xml:space="preserve">: </w:t>
      </w:r>
      <w:r w:rsidRPr="00E6598C">
        <w:rPr>
          <w:rFonts w:ascii="Arial" w:hAnsi="Arial" w:cs="Arial"/>
          <w:smallCaps/>
          <w:sz w:val="22"/>
          <w:szCs w:val="22"/>
          <w:lang w:val="es-CO"/>
        </w:rPr>
        <w:t>Duberney Grisales Herrera</w:t>
      </w:r>
    </w:p>
    <w:p w:rsidR="00E4735C" w:rsidRPr="00E6598C" w:rsidRDefault="00E4735C" w:rsidP="00E4735C">
      <w:pPr>
        <w:spacing w:line="360" w:lineRule="auto"/>
        <w:ind w:firstLine="708"/>
        <w:rPr>
          <w:rFonts w:ascii="Arial" w:hAnsi="Arial" w:cs="Arial"/>
          <w:bCs/>
          <w:sz w:val="22"/>
          <w:szCs w:val="22"/>
          <w:lang w:val="es-CO"/>
        </w:rPr>
      </w:pPr>
      <w:r w:rsidRPr="00E6598C">
        <w:rPr>
          <w:rFonts w:ascii="Arial" w:hAnsi="Arial" w:cs="Arial"/>
          <w:sz w:val="22"/>
          <w:szCs w:val="22"/>
          <w:lang w:val="es-CO"/>
        </w:rPr>
        <w:t>Acta</w:t>
      </w:r>
      <w:r w:rsidRPr="00E6598C">
        <w:rPr>
          <w:rFonts w:ascii="Arial" w:hAnsi="Arial" w:cs="Arial"/>
          <w:sz w:val="22"/>
          <w:szCs w:val="22"/>
          <w:lang w:val="es-CO"/>
        </w:rPr>
        <w:tab/>
      </w:r>
      <w:r w:rsidR="000F236A" w:rsidRPr="00E6598C">
        <w:rPr>
          <w:rFonts w:ascii="Arial" w:hAnsi="Arial" w:cs="Arial"/>
          <w:sz w:val="22"/>
          <w:szCs w:val="22"/>
          <w:lang w:val="es-CO"/>
        </w:rPr>
        <w:tab/>
      </w:r>
      <w:r w:rsidR="000F236A" w:rsidRPr="00E6598C">
        <w:rPr>
          <w:rFonts w:ascii="Arial" w:hAnsi="Arial" w:cs="Arial"/>
          <w:sz w:val="22"/>
          <w:szCs w:val="22"/>
          <w:lang w:val="es-CO"/>
        </w:rPr>
        <w:tab/>
      </w:r>
      <w:r w:rsidR="000F236A" w:rsidRPr="00E6598C">
        <w:rPr>
          <w:rFonts w:ascii="Arial" w:hAnsi="Arial" w:cs="Arial"/>
          <w:sz w:val="22"/>
          <w:szCs w:val="22"/>
          <w:lang w:val="es-CO"/>
        </w:rPr>
        <w:tab/>
      </w:r>
      <w:r w:rsidRPr="00E6598C">
        <w:rPr>
          <w:rFonts w:ascii="Arial" w:hAnsi="Arial" w:cs="Arial"/>
          <w:sz w:val="22"/>
          <w:szCs w:val="22"/>
          <w:lang w:val="es-CO"/>
        </w:rPr>
        <w:t>:</w:t>
      </w:r>
      <w:r w:rsidR="000F236A" w:rsidRPr="00E6598C">
        <w:rPr>
          <w:rFonts w:ascii="Arial" w:hAnsi="Arial" w:cs="Arial"/>
          <w:sz w:val="22"/>
          <w:szCs w:val="22"/>
          <w:lang w:val="es-CO"/>
        </w:rPr>
        <w:t xml:space="preserve"> </w:t>
      </w:r>
      <w:r w:rsidR="00627F1F">
        <w:rPr>
          <w:rFonts w:ascii="Arial" w:hAnsi="Arial" w:cs="Arial"/>
          <w:sz w:val="22"/>
          <w:szCs w:val="22"/>
          <w:lang w:val="es-CO"/>
        </w:rPr>
        <w:t>560 de 29-11-2016</w:t>
      </w:r>
    </w:p>
    <w:p w:rsidR="004841E1" w:rsidRPr="00E6598C" w:rsidRDefault="004841E1" w:rsidP="002053E5">
      <w:pPr>
        <w:pBdr>
          <w:bottom w:val="double" w:sz="6" w:space="1" w:color="auto"/>
        </w:pBdr>
        <w:spacing w:line="360" w:lineRule="auto"/>
        <w:jc w:val="center"/>
        <w:rPr>
          <w:rFonts w:ascii="Arial" w:hAnsi="Arial" w:cs="Arial"/>
          <w:bCs/>
          <w:sz w:val="22"/>
          <w:szCs w:val="22"/>
          <w:lang w:val="es-CO"/>
        </w:rPr>
      </w:pPr>
    </w:p>
    <w:p w:rsidR="002053E5" w:rsidRPr="00E6598C" w:rsidRDefault="002053E5" w:rsidP="002C41E9">
      <w:pPr>
        <w:spacing w:line="360" w:lineRule="auto"/>
        <w:jc w:val="center"/>
        <w:rPr>
          <w:rFonts w:ascii="Arial" w:hAnsi="Arial" w:cs="Arial"/>
          <w:bCs/>
          <w:sz w:val="22"/>
          <w:szCs w:val="22"/>
          <w:lang w:val="es-CO"/>
        </w:rPr>
      </w:pPr>
    </w:p>
    <w:p w:rsidR="00E4735C" w:rsidRPr="00E6598C" w:rsidRDefault="002053E5" w:rsidP="00E4735C">
      <w:pPr>
        <w:spacing w:line="360" w:lineRule="auto"/>
        <w:jc w:val="center"/>
        <w:rPr>
          <w:rFonts w:ascii="Arial" w:hAnsi="Arial" w:cs="Arial"/>
          <w:smallCaps/>
          <w:sz w:val="28"/>
          <w:szCs w:val="22"/>
          <w:lang w:val="es-CO"/>
        </w:rPr>
      </w:pPr>
      <w:r w:rsidRPr="00E6598C">
        <w:rPr>
          <w:rFonts w:ascii="Arial" w:hAnsi="Arial" w:cs="Arial"/>
          <w:bCs/>
          <w:smallCaps/>
          <w:sz w:val="24"/>
          <w:szCs w:val="22"/>
          <w:lang w:val="es-CO"/>
        </w:rPr>
        <w:t>Pereira, R</w:t>
      </w:r>
      <w:r w:rsidR="003F091F">
        <w:rPr>
          <w:rFonts w:ascii="Arial" w:hAnsi="Arial" w:cs="Arial"/>
          <w:bCs/>
          <w:smallCaps/>
          <w:sz w:val="24"/>
          <w:szCs w:val="22"/>
          <w:lang w:val="es-CO"/>
        </w:rPr>
        <w:t>isaralda</w:t>
      </w:r>
      <w:r w:rsidRPr="00E6598C">
        <w:rPr>
          <w:rFonts w:ascii="Arial" w:hAnsi="Arial" w:cs="Arial"/>
          <w:bCs/>
          <w:smallCaps/>
          <w:sz w:val="24"/>
          <w:szCs w:val="22"/>
          <w:lang w:val="es-CO"/>
        </w:rPr>
        <w:t xml:space="preserve">, </w:t>
      </w:r>
      <w:r w:rsidR="00E412C1">
        <w:rPr>
          <w:rFonts w:ascii="Arial" w:hAnsi="Arial" w:cs="Arial"/>
          <w:bCs/>
          <w:smallCaps/>
          <w:sz w:val="24"/>
          <w:szCs w:val="22"/>
          <w:lang w:val="es-CO"/>
        </w:rPr>
        <w:t>veintinueve</w:t>
      </w:r>
      <w:r w:rsidR="00783928">
        <w:rPr>
          <w:rFonts w:ascii="Arial" w:hAnsi="Arial" w:cs="Arial"/>
          <w:bCs/>
          <w:smallCaps/>
          <w:sz w:val="24"/>
          <w:szCs w:val="22"/>
          <w:lang w:val="es-CO"/>
        </w:rPr>
        <w:t xml:space="preserve"> </w:t>
      </w:r>
      <w:r w:rsidR="00E4735C" w:rsidRPr="00E6598C">
        <w:rPr>
          <w:rFonts w:ascii="Arial" w:hAnsi="Arial" w:cs="Arial"/>
          <w:bCs/>
          <w:smallCaps/>
          <w:sz w:val="24"/>
          <w:szCs w:val="22"/>
          <w:lang w:val="es-CO"/>
        </w:rPr>
        <w:t>(</w:t>
      </w:r>
      <w:r w:rsidR="00E412C1">
        <w:rPr>
          <w:rFonts w:ascii="Arial" w:hAnsi="Arial" w:cs="Arial"/>
          <w:bCs/>
          <w:smallCaps/>
          <w:sz w:val="24"/>
          <w:szCs w:val="22"/>
          <w:lang w:val="es-CO"/>
        </w:rPr>
        <w:t>29</w:t>
      </w:r>
      <w:r w:rsidR="00612E52">
        <w:rPr>
          <w:rFonts w:ascii="Arial" w:hAnsi="Arial" w:cs="Arial"/>
          <w:bCs/>
          <w:smallCaps/>
          <w:sz w:val="24"/>
          <w:szCs w:val="22"/>
          <w:lang w:val="es-CO"/>
        </w:rPr>
        <w:t>)</w:t>
      </w:r>
      <w:r w:rsidR="00E4735C" w:rsidRPr="00E6598C">
        <w:rPr>
          <w:rFonts w:ascii="Arial" w:hAnsi="Arial" w:cs="Arial"/>
          <w:bCs/>
          <w:smallCaps/>
          <w:sz w:val="24"/>
          <w:szCs w:val="22"/>
          <w:lang w:val="es-CO"/>
        </w:rPr>
        <w:t xml:space="preserve"> de </w:t>
      </w:r>
      <w:r w:rsidR="00E412C1">
        <w:rPr>
          <w:rFonts w:ascii="Arial" w:hAnsi="Arial" w:cs="Arial"/>
          <w:bCs/>
          <w:smallCaps/>
          <w:sz w:val="24"/>
          <w:szCs w:val="22"/>
          <w:lang w:val="es-CO"/>
        </w:rPr>
        <w:t>noviembre</w:t>
      </w:r>
      <w:r w:rsidR="00783928">
        <w:rPr>
          <w:rFonts w:ascii="Arial" w:hAnsi="Arial" w:cs="Arial"/>
          <w:bCs/>
          <w:smallCaps/>
          <w:sz w:val="24"/>
          <w:szCs w:val="22"/>
          <w:lang w:val="es-CO"/>
        </w:rPr>
        <w:t xml:space="preserve"> </w:t>
      </w:r>
      <w:r w:rsidR="00E4735C" w:rsidRPr="00E6598C">
        <w:rPr>
          <w:rFonts w:ascii="Arial" w:hAnsi="Arial" w:cs="Arial"/>
          <w:bCs/>
          <w:smallCaps/>
          <w:sz w:val="24"/>
          <w:szCs w:val="22"/>
          <w:lang w:val="es-CO"/>
        </w:rPr>
        <w:t xml:space="preserve">de </w:t>
      </w:r>
      <w:r w:rsidR="00097C5E" w:rsidRPr="00E6598C">
        <w:rPr>
          <w:rFonts w:ascii="Arial" w:hAnsi="Arial" w:cs="Arial"/>
          <w:bCs/>
          <w:smallCaps/>
          <w:sz w:val="24"/>
          <w:szCs w:val="22"/>
          <w:lang w:val="es-CO"/>
        </w:rPr>
        <w:t xml:space="preserve">dos mil </w:t>
      </w:r>
      <w:r w:rsidR="002A5D36">
        <w:rPr>
          <w:rFonts w:ascii="Arial" w:hAnsi="Arial" w:cs="Arial"/>
          <w:bCs/>
          <w:smallCaps/>
          <w:sz w:val="24"/>
          <w:szCs w:val="22"/>
          <w:lang w:val="es-CO"/>
        </w:rPr>
        <w:t xml:space="preserve">dieciséis </w:t>
      </w:r>
      <w:r w:rsidR="00097C5E" w:rsidRPr="00E6598C">
        <w:rPr>
          <w:rFonts w:ascii="Arial" w:hAnsi="Arial" w:cs="Arial"/>
          <w:bCs/>
          <w:smallCaps/>
          <w:sz w:val="24"/>
          <w:szCs w:val="22"/>
          <w:lang w:val="es-CO"/>
        </w:rPr>
        <w:t>(201</w:t>
      </w:r>
      <w:r w:rsidR="002A5D36">
        <w:rPr>
          <w:rFonts w:ascii="Arial" w:hAnsi="Arial" w:cs="Arial"/>
          <w:bCs/>
          <w:smallCaps/>
          <w:sz w:val="24"/>
          <w:szCs w:val="22"/>
          <w:lang w:val="es-CO"/>
        </w:rPr>
        <w:t>6</w:t>
      </w:r>
      <w:r w:rsidR="00097C5E" w:rsidRPr="00E6598C">
        <w:rPr>
          <w:rFonts w:ascii="Arial" w:hAnsi="Arial" w:cs="Arial"/>
          <w:bCs/>
          <w:smallCaps/>
          <w:sz w:val="24"/>
          <w:szCs w:val="22"/>
          <w:lang w:val="es-CO"/>
        </w:rPr>
        <w:t>)</w:t>
      </w:r>
      <w:r w:rsidRPr="00E6598C">
        <w:rPr>
          <w:rFonts w:ascii="Arial" w:hAnsi="Arial" w:cs="Arial"/>
          <w:smallCaps/>
          <w:sz w:val="24"/>
          <w:szCs w:val="22"/>
          <w:lang w:val="es-CO"/>
        </w:rPr>
        <w:t>.</w:t>
      </w:r>
    </w:p>
    <w:p w:rsidR="00481D3D" w:rsidRPr="00E6598C" w:rsidRDefault="00481D3D" w:rsidP="00E4735C">
      <w:pPr>
        <w:spacing w:line="360" w:lineRule="auto"/>
        <w:jc w:val="both"/>
        <w:rPr>
          <w:rFonts w:ascii="Arial" w:hAnsi="Arial" w:cs="Arial"/>
          <w:bCs/>
          <w:sz w:val="24"/>
          <w:szCs w:val="22"/>
          <w:lang w:val="es-CO"/>
        </w:rPr>
      </w:pPr>
    </w:p>
    <w:p w:rsidR="00E4735C" w:rsidRPr="00E6598C" w:rsidRDefault="00E4735C" w:rsidP="00E4735C">
      <w:pPr>
        <w:pStyle w:val="Puesto"/>
        <w:numPr>
          <w:ilvl w:val="0"/>
          <w:numId w:val="3"/>
        </w:numPr>
        <w:spacing w:line="360" w:lineRule="auto"/>
        <w:jc w:val="left"/>
        <w:rPr>
          <w:rFonts w:cs="Arial"/>
          <w:b w:val="0"/>
          <w:i w:val="0"/>
          <w:spacing w:val="-3"/>
          <w:szCs w:val="22"/>
          <w:lang w:val="es-CO"/>
        </w:rPr>
      </w:pPr>
      <w:r w:rsidRPr="00E6598C">
        <w:rPr>
          <w:rFonts w:cs="Arial"/>
          <w:b w:val="0"/>
          <w:i w:val="0"/>
          <w:szCs w:val="22"/>
          <w:lang w:val="es-CO"/>
        </w:rPr>
        <w:t>EL ASUNTO POR DECIDIR</w:t>
      </w:r>
    </w:p>
    <w:p w:rsidR="00E4735C" w:rsidRPr="00E6598C" w:rsidRDefault="00E4735C" w:rsidP="00E4735C">
      <w:pPr>
        <w:pStyle w:val="Puesto"/>
        <w:spacing w:line="360" w:lineRule="auto"/>
        <w:jc w:val="left"/>
        <w:rPr>
          <w:rFonts w:cs="Arial"/>
          <w:b w:val="0"/>
          <w:i w:val="0"/>
          <w:spacing w:val="-3"/>
          <w:szCs w:val="22"/>
          <w:lang w:val="es-CO"/>
        </w:rPr>
      </w:pPr>
    </w:p>
    <w:p w:rsidR="00AC35BF" w:rsidRPr="00E6598C" w:rsidRDefault="00AC35BF" w:rsidP="00AC35BF">
      <w:pPr>
        <w:pStyle w:val="Puesto"/>
        <w:spacing w:line="360" w:lineRule="auto"/>
        <w:jc w:val="both"/>
        <w:rPr>
          <w:rFonts w:cs="Arial"/>
          <w:b w:val="0"/>
          <w:i w:val="0"/>
          <w:spacing w:val="-3"/>
          <w:szCs w:val="22"/>
          <w:lang w:val="es-CO"/>
        </w:rPr>
      </w:pPr>
      <w:r w:rsidRPr="00E6598C">
        <w:rPr>
          <w:rFonts w:cs="Arial"/>
          <w:b w:val="0"/>
          <w:i w:val="0"/>
          <w:spacing w:val="-3"/>
          <w:szCs w:val="22"/>
          <w:lang w:val="es-CO"/>
        </w:rPr>
        <w:t>El recurso de apelación interpuesto por</w:t>
      </w:r>
      <w:r>
        <w:rPr>
          <w:rFonts w:cs="Arial"/>
          <w:b w:val="0"/>
          <w:i w:val="0"/>
          <w:spacing w:val="-3"/>
          <w:szCs w:val="22"/>
          <w:lang w:val="es-CO"/>
        </w:rPr>
        <w:t xml:space="preserve"> el apoderado judicial de la defensa</w:t>
      </w:r>
      <w:r w:rsidRPr="00E6598C">
        <w:rPr>
          <w:rFonts w:cs="Arial"/>
          <w:b w:val="0"/>
          <w:i w:val="0"/>
          <w:spacing w:val="-3"/>
          <w:szCs w:val="22"/>
          <w:lang w:val="es-CO"/>
        </w:rPr>
        <w:t xml:space="preserve">, contra la sentencia </w:t>
      </w:r>
      <w:r>
        <w:rPr>
          <w:rFonts w:cs="Arial"/>
          <w:b w:val="0"/>
          <w:i w:val="0"/>
          <w:spacing w:val="-3"/>
          <w:szCs w:val="22"/>
          <w:lang w:val="es-CO"/>
        </w:rPr>
        <w:t xml:space="preserve">condenatoria </w:t>
      </w:r>
      <w:r w:rsidRPr="00E6598C">
        <w:rPr>
          <w:rFonts w:cs="Arial"/>
          <w:b w:val="0"/>
          <w:i w:val="0"/>
          <w:spacing w:val="-3"/>
          <w:szCs w:val="22"/>
          <w:lang w:val="es-CO"/>
        </w:rPr>
        <w:t xml:space="preserve">proferida el día </w:t>
      </w:r>
      <w:r>
        <w:rPr>
          <w:rFonts w:cs="Arial"/>
          <w:b w:val="0"/>
          <w:i w:val="0"/>
          <w:spacing w:val="-3"/>
          <w:szCs w:val="22"/>
          <w:lang w:val="es-CO"/>
        </w:rPr>
        <w:t>14-09-2016,</w:t>
      </w:r>
      <w:r w:rsidRPr="00E6598C">
        <w:rPr>
          <w:rFonts w:cs="Arial"/>
          <w:b w:val="0"/>
          <w:i w:val="0"/>
          <w:spacing w:val="-3"/>
          <w:szCs w:val="22"/>
          <w:lang w:val="es-CO"/>
        </w:rPr>
        <w:t xml:space="preserve"> en el asunto de la referencia.</w:t>
      </w:r>
    </w:p>
    <w:p w:rsidR="00AC35BF" w:rsidRPr="00E6598C" w:rsidRDefault="00AC35BF" w:rsidP="00AC35BF">
      <w:pPr>
        <w:pStyle w:val="Puesto"/>
        <w:spacing w:line="360" w:lineRule="auto"/>
        <w:jc w:val="both"/>
        <w:rPr>
          <w:rFonts w:cs="Arial"/>
          <w:b w:val="0"/>
          <w:i w:val="0"/>
          <w:spacing w:val="-3"/>
          <w:szCs w:val="22"/>
          <w:lang w:val="es-CO"/>
        </w:rPr>
      </w:pPr>
    </w:p>
    <w:p w:rsidR="00AC35BF" w:rsidRPr="00E6598C" w:rsidRDefault="00AC35BF" w:rsidP="00AC35BF">
      <w:pPr>
        <w:pStyle w:val="Puesto"/>
        <w:numPr>
          <w:ilvl w:val="0"/>
          <w:numId w:val="3"/>
        </w:numPr>
        <w:spacing w:line="360" w:lineRule="auto"/>
        <w:jc w:val="both"/>
        <w:rPr>
          <w:rFonts w:cs="Arial"/>
          <w:b w:val="0"/>
          <w:i w:val="0"/>
          <w:spacing w:val="-3"/>
          <w:szCs w:val="22"/>
          <w:lang w:val="es-CO"/>
        </w:rPr>
      </w:pPr>
      <w:r w:rsidRPr="00E6598C">
        <w:rPr>
          <w:rFonts w:cs="Arial"/>
          <w:b w:val="0"/>
          <w:i w:val="0"/>
          <w:lang w:val="es-CO"/>
        </w:rPr>
        <w:t>LOS HECHOS RELEVANTES</w:t>
      </w:r>
    </w:p>
    <w:p w:rsidR="00AC35BF" w:rsidRPr="00E6598C" w:rsidRDefault="00AC35BF" w:rsidP="00AC35BF">
      <w:pPr>
        <w:pStyle w:val="Puesto"/>
        <w:spacing w:line="360" w:lineRule="auto"/>
        <w:jc w:val="both"/>
        <w:rPr>
          <w:rFonts w:cs="Arial"/>
          <w:b w:val="0"/>
          <w:i w:val="0"/>
          <w:spacing w:val="-3"/>
          <w:szCs w:val="22"/>
          <w:lang w:val="es-CO"/>
        </w:rPr>
      </w:pPr>
    </w:p>
    <w:p w:rsidR="00AC35BF" w:rsidRDefault="00AC35BF" w:rsidP="00AC35BF">
      <w:pPr>
        <w:pStyle w:val="Puesto"/>
        <w:spacing w:line="360" w:lineRule="auto"/>
        <w:jc w:val="both"/>
        <w:rPr>
          <w:rFonts w:eastAsia="Microsoft YaHei" w:cs="Arial"/>
          <w:b w:val="0"/>
          <w:i w:val="0"/>
          <w:lang w:val="es-CO"/>
        </w:rPr>
      </w:pPr>
      <w:r w:rsidRPr="00E6598C">
        <w:rPr>
          <w:rFonts w:eastAsia="Microsoft YaHei" w:cs="Arial"/>
          <w:b w:val="0"/>
          <w:i w:val="0"/>
          <w:lang w:val="es-CO"/>
        </w:rPr>
        <w:t>Se in</w:t>
      </w:r>
      <w:r>
        <w:rPr>
          <w:rFonts w:eastAsia="Microsoft YaHei" w:cs="Arial"/>
          <w:b w:val="0"/>
          <w:i w:val="0"/>
          <w:lang w:val="es-CO"/>
        </w:rPr>
        <w:t xml:space="preserve">formó en </w:t>
      </w:r>
      <w:r w:rsidRPr="00E6598C">
        <w:rPr>
          <w:rFonts w:eastAsia="Microsoft YaHei" w:cs="Arial"/>
          <w:b w:val="0"/>
          <w:i w:val="0"/>
          <w:lang w:val="es-CO"/>
        </w:rPr>
        <w:t>los registros que el</w:t>
      </w:r>
      <w:r>
        <w:rPr>
          <w:rFonts w:eastAsia="Microsoft YaHei" w:cs="Arial"/>
          <w:b w:val="0"/>
          <w:i w:val="0"/>
          <w:lang w:val="es-CO"/>
        </w:rPr>
        <w:t xml:space="preserve"> día 04-10-2015 </w:t>
      </w:r>
      <w:r w:rsidRPr="00E6598C">
        <w:rPr>
          <w:rFonts w:eastAsia="Microsoft YaHei" w:cs="Arial"/>
          <w:b w:val="0"/>
          <w:i w:val="0"/>
          <w:lang w:val="es-CO"/>
        </w:rPr>
        <w:t xml:space="preserve">a eso de las </w:t>
      </w:r>
      <w:r>
        <w:rPr>
          <w:rFonts w:eastAsia="Microsoft YaHei" w:cs="Arial"/>
          <w:b w:val="0"/>
          <w:i w:val="0"/>
          <w:lang w:val="es-CO"/>
        </w:rPr>
        <w:t>14:00</w:t>
      </w:r>
      <w:r w:rsidRPr="00E6598C">
        <w:rPr>
          <w:rFonts w:eastAsia="Microsoft YaHei" w:cs="Arial"/>
          <w:b w:val="0"/>
          <w:i w:val="0"/>
          <w:lang w:val="es-CO"/>
        </w:rPr>
        <w:t xml:space="preserve"> horas, </w:t>
      </w:r>
      <w:r>
        <w:rPr>
          <w:rFonts w:eastAsia="Microsoft YaHei" w:cs="Arial"/>
          <w:b w:val="0"/>
          <w:i w:val="0"/>
          <w:lang w:val="es-CO"/>
        </w:rPr>
        <w:t xml:space="preserve">los agentes de policía </w:t>
      </w:r>
      <w:proofErr w:type="spellStart"/>
      <w:r>
        <w:rPr>
          <w:rFonts w:eastAsia="Microsoft YaHei" w:cs="Arial"/>
          <w:b w:val="0"/>
          <w:i w:val="0"/>
          <w:lang w:val="es-CO"/>
        </w:rPr>
        <w:t>Jhon</w:t>
      </w:r>
      <w:proofErr w:type="spellEnd"/>
      <w:r>
        <w:rPr>
          <w:rFonts w:eastAsia="Microsoft YaHei" w:cs="Arial"/>
          <w:b w:val="0"/>
          <w:i w:val="0"/>
          <w:lang w:val="es-CO"/>
        </w:rPr>
        <w:t xml:space="preserve"> Faber Toro Duque y Mario Alberto Guerrero fueron informados sobre el hallazgo de un cuerpo sin vida, de sexo masculino, en la vereda Buenos Aires de </w:t>
      </w:r>
      <w:proofErr w:type="spellStart"/>
      <w:r>
        <w:rPr>
          <w:rFonts w:eastAsia="Microsoft YaHei" w:cs="Arial"/>
          <w:b w:val="0"/>
          <w:i w:val="0"/>
          <w:lang w:val="es-CO"/>
        </w:rPr>
        <w:t>Quinchía</w:t>
      </w:r>
      <w:proofErr w:type="spellEnd"/>
      <w:r>
        <w:rPr>
          <w:rFonts w:eastAsia="Microsoft YaHei" w:cs="Arial"/>
          <w:b w:val="0"/>
          <w:i w:val="0"/>
          <w:lang w:val="es-CO"/>
        </w:rPr>
        <w:t xml:space="preserve"> – Risaralda. Se desplazaron al lugar, donde fueron informados que el cuerpo correspondía a </w:t>
      </w:r>
      <w:proofErr w:type="spellStart"/>
      <w:r>
        <w:rPr>
          <w:rFonts w:eastAsia="Microsoft YaHei" w:cs="Arial"/>
          <w:b w:val="0"/>
          <w:i w:val="0"/>
          <w:lang w:val="es-CO"/>
        </w:rPr>
        <w:t>Jhon</w:t>
      </w:r>
      <w:proofErr w:type="spellEnd"/>
      <w:r>
        <w:rPr>
          <w:rFonts w:eastAsia="Microsoft YaHei" w:cs="Arial"/>
          <w:b w:val="0"/>
          <w:i w:val="0"/>
          <w:lang w:val="es-CO"/>
        </w:rPr>
        <w:t xml:space="preserve"> Augusto Restrepo Trejos y luego de verificar que no tenía signos vitales, fue sometido a cadena de custodia, lo embalaron, rotularon y trasladaron a la morgue.</w:t>
      </w:r>
    </w:p>
    <w:p w:rsidR="00AC35BF" w:rsidRDefault="00AC35BF" w:rsidP="00AC35BF">
      <w:pPr>
        <w:pStyle w:val="Puesto"/>
        <w:spacing w:line="360" w:lineRule="auto"/>
        <w:jc w:val="both"/>
        <w:rPr>
          <w:rFonts w:eastAsia="Microsoft YaHei" w:cs="Arial"/>
          <w:b w:val="0"/>
          <w:i w:val="0"/>
          <w:lang w:val="es-CO"/>
        </w:rPr>
      </w:pPr>
    </w:p>
    <w:p w:rsidR="00AC35BF" w:rsidRDefault="00AC35BF" w:rsidP="00AC35BF">
      <w:pPr>
        <w:pStyle w:val="Puesto"/>
        <w:spacing w:line="360" w:lineRule="auto"/>
        <w:jc w:val="both"/>
        <w:rPr>
          <w:rFonts w:eastAsia="Microsoft YaHei" w:cs="Arial"/>
          <w:b w:val="0"/>
          <w:i w:val="0"/>
          <w:lang w:val="es-CO"/>
        </w:rPr>
      </w:pPr>
      <w:r>
        <w:rPr>
          <w:rFonts w:eastAsia="Microsoft YaHei" w:cs="Arial"/>
          <w:b w:val="0"/>
          <w:i w:val="0"/>
          <w:lang w:val="es-CO"/>
        </w:rPr>
        <w:t xml:space="preserve">También se comunicó que el 19-01-2016 fue recibida declaración al señor Andrés Felipe </w:t>
      </w:r>
      <w:r w:rsidRPr="00080E3E">
        <w:rPr>
          <w:rFonts w:eastAsia="Microsoft YaHei" w:cs="Arial"/>
          <w:b w:val="0"/>
          <w:i w:val="0"/>
          <w:lang w:val="es-CO"/>
        </w:rPr>
        <w:t xml:space="preserve">Vanegas, quien relató que un viernes en horas de la tarde, se desplazaba para una finca </w:t>
      </w:r>
      <w:r w:rsidRPr="00CA4E71">
        <w:rPr>
          <w:rFonts w:eastAsia="Microsoft YaHei" w:cs="Arial"/>
          <w:b w:val="0"/>
          <w:i w:val="0"/>
          <w:lang w:val="es-CO"/>
        </w:rPr>
        <w:t>en la vereda Villar</w:t>
      </w:r>
      <w:r w:rsidR="005E0E0D">
        <w:rPr>
          <w:rFonts w:eastAsia="Microsoft YaHei" w:cs="Arial"/>
          <w:b w:val="0"/>
          <w:i w:val="0"/>
          <w:lang w:val="es-CO"/>
        </w:rPr>
        <w:t>r</w:t>
      </w:r>
      <w:r w:rsidRPr="00CA4E71">
        <w:rPr>
          <w:rFonts w:eastAsia="Microsoft YaHei" w:cs="Arial"/>
          <w:b w:val="0"/>
          <w:i w:val="0"/>
          <w:lang w:val="es-CO"/>
        </w:rPr>
        <w:t>ica y al transitar por una carretera de la vereda Buenos Aires</w:t>
      </w:r>
      <w:r>
        <w:rPr>
          <w:rFonts w:eastAsia="Microsoft YaHei" w:cs="Arial"/>
          <w:b w:val="0"/>
          <w:i w:val="0"/>
          <w:lang w:val="es-CO"/>
        </w:rPr>
        <w:t>, pasaron por su lado dos motos con una diferencia de unos diez (10) minutos y cuando llegó a la curva de la cañada, observó a dos muchachos que tenían en el piso a un señor, y cuando vieron que los había visto, uno de ellos lo tiró al piso y le dijeron que no mirara</w:t>
      </w:r>
      <w:r w:rsidRPr="00CA4E71">
        <w:rPr>
          <w:rFonts w:eastAsia="Microsoft YaHei" w:cs="Arial"/>
          <w:b w:val="0"/>
          <w:i w:val="0"/>
          <w:lang w:val="es-CO"/>
        </w:rPr>
        <w:t>.</w:t>
      </w:r>
      <w:r>
        <w:rPr>
          <w:rFonts w:eastAsia="Microsoft YaHei" w:cs="Arial"/>
          <w:b w:val="0"/>
          <w:i w:val="0"/>
          <w:lang w:val="es-CO"/>
        </w:rPr>
        <w:t xml:space="preserve"> Comentó ese testigo que, reconoció a uno de los muchachos, como ETM</w:t>
      </w:r>
      <w:r>
        <w:rPr>
          <w:rStyle w:val="Refdenotaalpie"/>
          <w:rFonts w:eastAsia="Microsoft YaHei"/>
          <w:b w:val="0"/>
          <w:i w:val="0"/>
          <w:lang w:val="es-CO"/>
        </w:rPr>
        <w:footnoteReference w:id="1"/>
      </w:r>
      <w:r>
        <w:rPr>
          <w:rFonts w:eastAsia="Microsoft YaHei" w:cs="Arial"/>
          <w:b w:val="0"/>
          <w:i w:val="0"/>
          <w:lang w:val="es-CO"/>
        </w:rPr>
        <w:t>, a quién vio darle varias puñaladas a la persona que tenía reducida y luego el testigo fue amenazado de muerte si hablaba.</w:t>
      </w:r>
    </w:p>
    <w:p w:rsidR="00AC35BF" w:rsidRPr="00E6598C" w:rsidRDefault="00AC35BF" w:rsidP="00AC35BF">
      <w:pPr>
        <w:pStyle w:val="Puesto"/>
        <w:spacing w:line="360" w:lineRule="auto"/>
        <w:jc w:val="both"/>
        <w:rPr>
          <w:rFonts w:cs="Arial"/>
          <w:b w:val="0"/>
          <w:i w:val="0"/>
          <w:szCs w:val="24"/>
          <w:lang w:val="es-CO"/>
        </w:rPr>
      </w:pPr>
    </w:p>
    <w:p w:rsidR="00AC35BF" w:rsidRPr="00E6598C" w:rsidRDefault="00AC35BF" w:rsidP="00AC35BF">
      <w:pPr>
        <w:numPr>
          <w:ilvl w:val="0"/>
          <w:numId w:val="3"/>
        </w:numPr>
        <w:spacing w:line="360" w:lineRule="auto"/>
        <w:jc w:val="both"/>
        <w:rPr>
          <w:rFonts w:ascii="Arial" w:hAnsi="Arial" w:cs="Arial"/>
          <w:sz w:val="24"/>
          <w:szCs w:val="22"/>
          <w:lang w:val="es-CO"/>
        </w:rPr>
      </w:pPr>
      <w:r w:rsidRPr="00E6598C">
        <w:rPr>
          <w:rFonts w:ascii="Arial" w:hAnsi="Arial" w:cs="Arial"/>
          <w:sz w:val="24"/>
          <w:szCs w:val="22"/>
          <w:lang w:val="es-CO"/>
        </w:rPr>
        <w:t>LA SÍNTESIS DE LA CRÓNICA PROCESAL</w:t>
      </w:r>
    </w:p>
    <w:p w:rsidR="00AC35BF" w:rsidRDefault="00AC35BF" w:rsidP="00AC35BF">
      <w:pPr>
        <w:pStyle w:val="Textoindependiente"/>
        <w:spacing w:line="360" w:lineRule="auto"/>
        <w:rPr>
          <w:rFonts w:ascii="Arial" w:hAnsi="Arial" w:cs="Arial"/>
          <w:szCs w:val="22"/>
          <w:lang w:val="es-CO"/>
        </w:rPr>
      </w:pPr>
    </w:p>
    <w:p w:rsidR="00AC35BF" w:rsidRDefault="00AC35BF" w:rsidP="00AC35BF">
      <w:pPr>
        <w:pStyle w:val="Textoindependiente"/>
        <w:spacing w:line="360" w:lineRule="auto"/>
        <w:rPr>
          <w:rFonts w:ascii="Arial" w:hAnsi="Arial" w:cs="Arial"/>
          <w:szCs w:val="22"/>
          <w:lang w:val="es-CO"/>
        </w:rPr>
      </w:pPr>
      <w:r>
        <w:rPr>
          <w:rFonts w:ascii="Arial" w:hAnsi="Arial" w:cs="Arial"/>
          <w:szCs w:val="22"/>
          <w:lang w:val="es-CO"/>
        </w:rPr>
        <w:lastRenderedPageBreak/>
        <w:t>El 24-02-2016 se libró orden de aprehensión por el Juzgado Tercero con Función de Control de Garantías y el 03-03-2016 se materializó.</w:t>
      </w:r>
    </w:p>
    <w:p w:rsidR="00AC35BF" w:rsidRPr="00E6598C" w:rsidRDefault="00AC35BF" w:rsidP="00AC35BF">
      <w:pPr>
        <w:pStyle w:val="Textoindependiente"/>
        <w:spacing w:line="360" w:lineRule="auto"/>
        <w:rPr>
          <w:rFonts w:ascii="Arial" w:hAnsi="Arial" w:cs="Arial"/>
          <w:szCs w:val="22"/>
          <w:lang w:val="es-CO"/>
        </w:rPr>
      </w:pPr>
    </w:p>
    <w:p w:rsidR="00AC35BF" w:rsidRDefault="00AC35BF" w:rsidP="00AC35BF">
      <w:pPr>
        <w:pStyle w:val="Textoindependiente"/>
        <w:spacing w:line="360" w:lineRule="auto"/>
        <w:rPr>
          <w:rFonts w:ascii="Arial" w:hAnsi="Arial" w:cs="Arial"/>
          <w:szCs w:val="22"/>
          <w:lang w:val="es-CO"/>
        </w:rPr>
      </w:pPr>
      <w:r w:rsidRPr="00E6598C">
        <w:rPr>
          <w:rFonts w:ascii="Arial" w:hAnsi="Arial" w:cs="Arial"/>
          <w:szCs w:val="22"/>
          <w:lang w:val="es-CO"/>
        </w:rPr>
        <w:t>La</w:t>
      </w:r>
      <w:r>
        <w:rPr>
          <w:rFonts w:ascii="Arial" w:hAnsi="Arial" w:cs="Arial"/>
          <w:szCs w:val="22"/>
          <w:lang w:val="es-CO"/>
        </w:rPr>
        <w:t xml:space="preserve"> audiencia</w:t>
      </w:r>
      <w:r w:rsidRPr="00E6598C">
        <w:rPr>
          <w:rFonts w:ascii="Arial" w:hAnsi="Arial" w:cs="Arial"/>
          <w:szCs w:val="22"/>
          <w:lang w:val="es-CO"/>
        </w:rPr>
        <w:t xml:space="preserve"> </w:t>
      </w:r>
      <w:r>
        <w:rPr>
          <w:rFonts w:ascii="Arial" w:hAnsi="Arial" w:cs="Arial"/>
          <w:szCs w:val="22"/>
          <w:lang w:val="es-CO"/>
        </w:rPr>
        <w:t xml:space="preserve">de legalización de aprehensión se realizó el </w:t>
      </w:r>
      <w:r w:rsidRPr="00E6598C">
        <w:rPr>
          <w:rFonts w:ascii="Arial" w:hAnsi="Arial" w:cs="Arial"/>
          <w:szCs w:val="22"/>
          <w:lang w:val="es-CO"/>
        </w:rPr>
        <w:t xml:space="preserve">día </w:t>
      </w:r>
      <w:r>
        <w:rPr>
          <w:rFonts w:ascii="Arial" w:hAnsi="Arial" w:cs="Arial"/>
          <w:szCs w:val="22"/>
          <w:lang w:val="es-CO"/>
        </w:rPr>
        <w:t xml:space="preserve">04-03-2016 y para el </w:t>
      </w:r>
      <w:r w:rsidRPr="00C456D7">
        <w:rPr>
          <w:rFonts w:ascii="Arial" w:hAnsi="Arial" w:cs="Arial"/>
          <w:szCs w:val="22"/>
          <w:lang w:val="es-CO"/>
        </w:rPr>
        <w:t>día 16-0</w:t>
      </w:r>
      <w:r>
        <w:rPr>
          <w:rFonts w:ascii="Arial" w:hAnsi="Arial" w:cs="Arial"/>
          <w:szCs w:val="22"/>
          <w:lang w:val="es-CO"/>
        </w:rPr>
        <w:t>5</w:t>
      </w:r>
      <w:r w:rsidRPr="00C456D7">
        <w:rPr>
          <w:rFonts w:ascii="Arial" w:hAnsi="Arial" w:cs="Arial"/>
          <w:szCs w:val="22"/>
          <w:lang w:val="es-CO"/>
        </w:rPr>
        <w:t>-201</w:t>
      </w:r>
      <w:r>
        <w:rPr>
          <w:rFonts w:ascii="Arial" w:hAnsi="Arial" w:cs="Arial"/>
          <w:szCs w:val="22"/>
          <w:lang w:val="es-CO"/>
        </w:rPr>
        <w:t>6</w:t>
      </w:r>
      <w:r w:rsidRPr="00C456D7">
        <w:rPr>
          <w:rFonts w:ascii="Arial" w:hAnsi="Arial" w:cs="Arial"/>
          <w:szCs w:val="22"/>
          <w:lang w:val="es-CO"/>
        </w:rPr>
        <w:t xml:space="preserve"> se celebró audiencia de </w:t>
      </w:r>
      <w:r w:rsidRPr="00E6598C">
        <w:rPr>
          <w:rFonts w:ascii="Arial" w:hAnsi="Arial" w:cs="Arial"/>
          <w:szCs w:val="22"/>
          <w:lang w:val="es-CO"/>
        </w:rPr>
        <w:t>formulación de acusación</w:t>
      </w:r>
      <w:r>
        <w:rPr>
          <w:rFonts w:ascii="Arial" w:hAnsi="Arial" w:cs="Arial"/>
          <w:szCs w:val="22"/>
          <w:lang w:val="es-CO"/>
        </w:rPr>
        <w:t xml:space="preserve"> por el ilícito de “</w:t>
      </w:r>
      <w:r w:rsidRPr="00C456D7">
        <w:rPr>
          <w:rFonts w:ascii="Arial" w:hAnsi="Arial" w:cs="Arial"/>
          <w:i/>
          <w:szCs w:val="22"/>
          <w:lang w:val="es-CO"/>
        </w:rPr>
        <w:t xml:space="preserve">homicidio </w:t>
      </w:r>
      <w:r>
        <w:rPr>
          <w:rFonts w:ascii="Arial" w:hAnsi="Arial" w:cs="Arial"/>
          <w:i/>
          <w:szCs w:val="22"/>
          <w:lang w:val="es-CO"/>
        </w:rPr>
        <w:t>agravado</w:t>
      </w:r>
      <w:r>
        <w:rPr>
          <w:rFonts w:ascii="Arial" w:hAnsi="Arial" w:cs="Arial"/>
          <w:szCs w:val="22"/>
          <w:lang w:val="es-CO"/>
        </w:rPr>
        <w:t>” en calidad de coautor (Folio 11, cuaderno de primera instancia)</w:t>
      </w:r>
      <w:r w:rsidRPr="000D3319">
        <w:rPr>
          <w:rFonts w:ascii="Arial" w:hAnsi="Arial" w:cs="Arial"/>
          <w:szCs w:val="22"/>
          <w:lang w:val="es-CO"/>
        </w:rPr>
        <w:t>.</w:t>
      </w:r>
      <w:r>
        <w:rPr>
          <w:rFonts w:ascii="Arial" w:hAnsi="Arial" w:cs="Arial"/>
          <w:szCs w:val="22"/>
          <w:lang w:val="es-CO"/>
        </w:rPr>
        <w:t xml:space="preserve"> Posteriormente, el 01-07-2016 se prorrogó la medida de internamiento privativo, por un mes más, y a partir del 02-07-2016 (Folio 21, cuaderno de primera instancia).</w:t>
      </w:r>
    </w:p>
    <w:p w:rsidR="00AC35BF" w:rsidRDefault="00AC35BF" w:rsidP="00AC35BF">
      <w:pPr>
        <w:pStyle w:val="Textoindependiente"/>
        <w:spacing w:line="360" w:lineRule="auto"/>
        <w:rPr>
          <w:rFonts w:ascii="Arial" w:hAnsi="Arial" w:cs="Arial"/>
          <w:szCs w:val="22"/>
          <w:lang w:val="es-CO"/>
        </w:rPr>
      </w:pPr>
    </w:p>
    <w:p w:rsidR="00AC35BF" w:rsidRPr="00CD17B4" w:rsidRDefault="00AC35BF" w:rsidP="00AC35BF">
      <w:pPr>
        <w:pStyle w:val="Textoindependiente"/>
        <w:spacing w:line="360" w:lineRule="auto"/>
        <w:rPr>
          <w:rFonts w:ascii="Arial" w:hAnsi="Arial" w:cs="Arial"/>
          <w:szCs w:val="22"/>
          <w:lang w:val="es-CO"/>
        </w:rPr>
      </w:pPr>
      <w:r>
        <w:rPr>
          <w:rFonts w:ascii="Arial" w:hAnsi="Arial" w:cs="Arial"/>
          <w:szCs w:val="22"/>
          <w:lang w:val="es-CO"/>
        </w:rPr>
        <w:t xml:space="preserve">Ya el </w:t>
      </w:r>
      <w:r w:rsidRPr="00E6598C">
        <w:rPr>
          <w:rFonts w:ascii="Arial" w:hAnsi="Arial" w:cs="Arial"/>
          <w:szCs w:val="22"/>
          <w:lang w:val="es-CO"/>
        </w:rPr>
        <w:t xml:space="preserve">día </w:t>
      </w:r>
      <w:r>
        <w:rPr>
          <w:rFonts w:ascii="Arial" w:hAnsi="Arial" w:cs="Arial"/>
          <w:szCs w:val="22"/>
          <w:lang w:val="es-CO"/>
        </w:rPr>
        <w:t xml:space="preserve">11-07-2016 se agotó </w:t>
      </w:r>
      <w:r w:rsidRPr="00E6598C">
        <w:rPr>
          <w:rFonts w:ascii="Arial" w:hAnsi="Arial" w:cs="Arial"/>
          <w:szCs w:val="22"/>
          <w:lang w:val="es-CO"/>
        </w:rPr>
        <w:t xml:space="preserve">la </w:t>
      </w:r>
      <w:r>
        <w:rPr>
          <w:rFonts w:ascii="Arial" w:hAnsi="Arial" w:cs="Arial"/>
          <w:szCs w:val="22"/>
          <w:lang w:val="es-CO"/>
        </w:rPr>
        <w:t xml:space="preserve">audiencia </w:t>
      </w:r>
      <w:r w:rsidRPr="00E6598C">
        <w:rPr>
          <w:rFonts w:ascii="Arial" w:hAnsi="Arial" w:cs="Arial"/>
          <w:szCs w:val="22"/>
          <w:lang w:val="es-CO"/>
        </w:rPr>
        <w:t>preparatoria</w:t>
      </w:r>
      <w:r>
        <w:rPr>
          <w:rFonts w:ascii="Arial" w:hAnsi="Arial" w:cs="Arial"/>
          <w:szCs w:val="22"/>
          <w:lang w:val="es-CO"/>
        </w:rPr>
        <w:t xml:space="preserve"> (Folio 23, cuaderno de primera instancia) en la que el menor no aceptó cargos, y</w:t>
      </w:r>
      <w:r w:rsidRPr="00E6598C">
        <w:rPr>
          <w:rFonts w:ascii="Arial" w:hAnsi="Arial" w:cs="Arial"/>
          <w:szCs w:val="22"/>
          <w:lang w:val="es-CO"/>
        </w:rPr>
        <w:t xml:space="preserve"> </w:t>
      </w:r>
      <w:r>
        <w:rPr>
          <w:rFonts w:ascii="Arial" w:hAnsi="Arial" w:cs="Arial"/>
          <w:szCs w:val="22"/>
          <w:lang w:val="es-CO"/>
        </w:rPr>
        <w:t>el día 26-07-2016</w:t>
      </w:r>
      <w:r w:rsidRPr="00E6598C">
        <w:rPr>
          <w:rFonts w:ascii="Arial" w:hAnsi="Arial" w:cs="Arial"/>
          <w:szCs w:val="22"/>
          <w:lang w:val="es-CO"/>
        </w:rPr>
        <w:t xml:space="preserve"> se adelantó el juicio oral</w:t>
      </w:r>
      <w:r>
        <w:rPr>
          <w:rFonts w:ascii="Arial" w:hAnsi="Arial" w:cs="Arial"/>
          <w:szCs w:val="22"/>
          <w:lang w:val="es-CO"/>
        </w:rPr>
        <w:t xml:space="preserve"> y se anunció que el sentido del fallo sería de responsabilidad del adolescente (Folios 28 y 29, ibídem).</w:t>
      </w:r>
      <w:r w:rsidRPr="007F6814">
        <w:rPr>
          <w:rFonts w:ascii="Arial" w:hAnsi="Arial" w:cs="Arial"/>
          <w:szCs w:val="22"/>
          <w:lang w:val="es-CO"/>
        </w:rPr>
        <w:t xml:space="preserve"> </w:t>
      </w:r>
      <w:r>
        <w:rPr>
          <w:rFonts w:ascii="Arial" w:hAnsi="Arial" w:cs="Arial"/>
          <w:szCs w:val="22"/>
          <w:lang w:val="es-CO"/>
        </w:rPr>
        <w:t xml:space="preserve">Más adelante, se celebró la audiencia de imposición de sanción el día 16-08-2016, donde se puso en conocimiento un informe psiquiátrico y se escuchó a los sujetos procesales (Folios 30 a 35, ibídem). El día 14-09-2016 se da lectura al fallo (Folios 36 a 40, ibídem) pero como el vocero judicial del menor quedara inconforme (Folios 42 a 46, ib.), </w:t>
      </w:r>
      <w:r w:rsidRPr="00E6598C">
        <w:rPr>
          <w:rFonts w:ascii="Arial" w:hAnsi="Arial" w:cs="Arial"/>
          <w:szCs w:val="22"/>
          <w:lang w:val="es-CO"/>
        </w:rPr>
        <w:t xml:space="preserve">se concedió ante esta </w:t>
      </w:r>
      <w:r w:rsidRPr="00991034">
        <w:rPr>
          <w:rFonts w:ascii="Arial" w:hAnsi="Arial" w:cs="Arial"/>
          <w:szCs w:val="22"/>
          <w:lang w:val="es-CO"/>
        </w:rPr>
        <w:t xml:space="preserve">Corporación la alzada (Folio </w:t>
      </w:r>
      <w:r>
        <w:rPr>
          <w:rFonts w:ascii="Arial" w:hAnsi="Arial" w:cs="Arial"/>
          <w:szCs w:val="22"/>
          <w:lang w:val="es-CO"/>
        </w:rPr>
        <w:t>51,</w:t>
      </w:r>
      <w:r w:rsidRPr="00991034">
        <w:rPr>
          <w:rFonts w:ascii="Arial" w:hAnsi="Arial" w:cs="Arial"/>
          <w:szCs w:val="22"/>
          <w:lang w:val="es-CO"/>
        </w:rPr>
        <w:t xml:space="preserve"> ib.)</w:t>
      </w:r>
      <w:r>
        <w:rPr>
          <w:rFonts w:ascii="Arial" w:hAnsi="Arial" w:cs="Arial"/>
          <w:szCs w:val="22"/>
          <w:lang w:val="es-CO"/>
        </w:rPr>
        <w:t>.</w:t>
      </w:r>
    </w:p>
    <w:p w:rsidR="00AC35BF" w:rsidRPr="00E6598C" w:rsidRDefault="00AC35BF" w:rsidP="00AC35BF">
      <w:pPr>
        <w:pStyle w:val="Textoindependiente"/>
        <w:spacing w:line="360" w:lineRule="auto"/>
        <w:rPr>
          <w:rFonts w:ascii="Arial" w:hAnsi="Arial" w:cs="Arial"/>
          <w:szCs w:val="22"/>
          <w:lang w:val="es-CO"/>
        </w:rPr>
      </w:pPr>
    </w:p>
    <w:p w:rsidR="00AC35BF" w:rsidRPr="00E6598C" w:rsidRDefault="00AC35BF" w:rsidP="00AC35BF">
      <w:pPr>
        <w:pStyle w:val="Textoindependiente"/>
        <w:numPr>
          <w:ilvl w:val="0"/>
          <w:numId w:val="3"/>
        </w:numPr>
        <w:spacing w:line="360" w:lineRule="auto"/>
        <w:rPr>
          <w:rFonts w:ascii="Arial" w:hAnsi="Arial" w:cs="Arial"/>
          <w:szCs w:val="22"/>
          <w:lang w:val="es-CO"/>
        </w:rPr>
      </w:pPr>
      <w:r w:rsidRPr="00E6598C">
        <w:rPr>
          <w:rFonts w:ascii="Arial" w:hAnsi="Arial" w:cs="Arial"/>
          <w:szCs w:val="22"/>
          <w:lang w:val="es-CO"/>
        </w:rPr>
        <w:t>LA SINÓPSIS DE LA SENTENCIA RECURRIDA</w:t>
      </w:r>
    </w:p>
    <w:p w:rsidR="00AC35BF" w:rsidRPr="00E6598C" w:rsidRDefault="00AC35BF" w:rsidP="00AC35BF">
      <w:pPr>
        <w:pStyle w:val="Textoindependiente"/>
        <w:spacing w:line="360" w:lineRule="auto"/>
        <w:rPr>
          <w:rFonts w:ascii="Arial" w:hAnsi="Arial" w:cs="Arial"/>
          <w:szCs w:val="22"/>
          <w:lang w:val="es-CO"/>
        </w:rPr>
      </w:pPr>
    </w:p>
    <w:p w:rsidR="00AC35BF" w:rsidRDefault="00AC35BF" w:rsidP="00AC35BF">
      <w:pPr>
        <w:pStyle w:val="Textoindependiente"/>
        <w:spacing w:line="360" w:lineRule="auto"/>
        <w:rPr>
          <w:rFonts w:ascii="Arial" w:hAnsi="Arial" w:cs="Arial"/>
          <w:lang w:val="es-CO"/>
        </w:rPr>
      </w:pPr>
      <w:r>
        <w:rPr>
          <w:rFonts w:ascii="Arial" w:hAnsi="Arial" w:cs="Arial"/>
          <w:lang w:val="es-CO"/>
        </w:rPr>
        <w:t xml:space="preserve">Declaró responsable al menor, a título de coautor, de homicidio agravado doloso consumado; y, por consiguiente, lo sancionó con internamiento en institución especializada para el manejo de su </w:t>
      </w:r>
      <w:proofErr w:type="spellStart"/>
      <w:r>
        <w:rPr>
          <w:rFonts w:ascii="Arial" w:hAnsi="Arial" w:cs="Arial"/>
          <w:lang w:val="es-CO"/>
        </w:rPr>
        <w:t>problematica</w:t>
      </w:r>
      <w:proofErr w:type="spellEnd"/>
      <w:r>
        <w:rPr>
          <w:rFonts w:ascii="Arial" w:hAnsi="Arial" w:cs="Arial"/>
          <w:lang w:val="es-CO"/>
        </w:rPr>
        <w:t>, por el término de setenta y cinco (75) meses.  Se hicieron otros pronunciamientos inherentes a la sanción impuesta.</w:t>
      </w:r>
    </w:p>
    <w:p w:rsidR="00AC35BF" w:rsidRPr="00E6598C" w:rsidRDefault="00AC35BF" w:rsidP="00AC35BF">
      <w:pPr>
        <w:pStyle w:val="Textoindependiente"/>
        <w:spacing w:line="360" w:lineRule="auto"/>
        <w:rPr>
          <w:rFonts w:ascii="Arial" w:eastAsia="Microsoft YaHei" w:hAnsi="Arial" w:cs="Arial"/>
          <w:lang w:val="es-CO"/>
        </w:rPr>
      </w:pPr>
    </w:p>
    <w:p w:rsidR="00AC35BF" w:rsidRPr="004D7348" w:rsidRDefault="00AC35BF" w:rsidP="00AC35BF">
      <w:pPr>
        <w:pStyle w:val="Textoindependiente"/>
        <w:spacing w:line="360" w:lineRule="auto"/>
        <w:rPr>
          <w:rFonts w:ascii="Arial" w:hAnsi="Arial" w:cs="Arial"/>
          <w:szCs w:val="24"/>
          <w:lang w:val="es-CO"/>
        </w:rPr>
      </w:pPr>
      <w:r>
        <w:rPr>
          <w:rFonts w:ascii="Arial" w:hAnsi="Arial" w:cs="Arial"/>
          <w:szCs w:val="24"/>
          <w:lang w:val="es-CO"/>
        </w:rPr>
        <w:t xml:space="preserve">Estimó el juzgador de primer grado, que la atestación de Andrés Felipe Vanegas Betancur, como testigo presencial ofrece credibilidad y esa prueba sumada con las demás aportadas (Testimonios de Gildardo de Jesús Rodas Osorio, </w:t>
      </w:r>
      <w:proofErr w:type="spellStart"/>
      <w:r>
        <w:rPr>
          <w:rFonts w:ascii="Arial" w:hAnsi="Arial" w:cs="Arial"/>
          <w:szCs w:val="24"/>
          <w:lang w:val="es-CO"/>
        </w:rPr>
        <w:t>Jhon</w:t>
      </w:r>
      <w:proofErr w:type="spellEnd"/>
      <w:r>
        <w:rPr>
          <w:rFonts w:ascii="Arial" w:hAnsi="Arial" w:cs="Arial"/>
          <w:szCs w:val="24"/>
          <w:lang w:val="es-CO"/>
        </w:rPr>
        <w:t xml:space="preserve"> Faber Toro Duque), son suficientes para que se pueda inferir más allá de toda duda, que existe responsabilidad del menor </w:t>
      </w:r>
      <w:r w:rsidRPr="004D7348">
        <w:rPr>
          <w:rFonts w:ascii="Arial" w:eastAsia="Microsoft YaHei" w:hAnsi="Arial" w:cs="Arial"/>
          <w:lang w:val="es-CO"/>
        </w:rPr>
        <w:t>ETM</w:t>
      </w:r>
      <w:r>
        <w:rPr>
          <w:rFonts w:ascii="Arial" w:eastAsia="Microsoft YaHei" w:hAnsi="Arial" w:cs="Arial"/>
          <w:lang w:val="es-CO"/>
        </w:rPr>
        <w:t xml:space="preserve">, </w:t>
      </w:r>
      <w:r w:rsidRPr="004D7348">
        <w:rPr>
          <w:rFonts w:ascii="Arial" w:eastAsia="Microsoft YaHei" w:hAnsi="Arial" w:cs="Arial"/>
          <w:lang w:val="es-CO"/>
        </w:rPr>
        <w:t>a título de coautor, en la muerte del señor Restrepo Trejos.</w:t>
      </w:r>
    </w:p>
    <w:p w:rsidR="00AC35BF" w:rsidRDefault="00AC35BF" w:rsidP="00AC35BF">
      <w:pPr>
        <w:pStyle w:val="Textoindependiente"/>
        <w:spacing w:line="360" w:lineRule="auto"/>
        <w:rPr>
          <w:rFonts w:ascii="Arial" w:hAnsi="Arial" w:cs="Arial"/>
          <w:szCs w:val="24"/>
          <w:lang w:val="es-CO"/>
        </w:rPr>
      </w:pPr>
    </w:p>
    <w:p w:rsidR="00AC35BF" w:rsidRPr="00E6598C" w:rsidRDefault="00AC35BF" w:rsidP="00AC35BF">
      <w:pPr>
        <w:pStyle w:val="Textoindependiente"/>
        <w:spacing w:line="360" w:lineRule="auto"/>
        <w:rPr>
          <w:rFonts w:ascii="Arial" w:hAnsi="Arial" w:cs="Arial"/>
          <w:szCs w:val="24"/>
          <w:lang w:val="es-CO"/>
        </w:rPr>
      </w:pPr>
      <w:r>
        <w:rPr>
          <w:rFonts w:ascii="Arial" w:hAnsi="Arial" w:cs="Arial"/>
          <w:szCs w:val="24"/>
          <w:lang w:val="es-CO"/>
        </w:rPr>
        <w:t xml:space="preserve">Al individualizar la sanción mencionó que cuando los adolescentes infringen la ley penal, las sanciones deben ser de índole protector, educativo y restaurativo, lo que para el caso concreto significaba que, empero la previsión del artículo 187 del CIA, sobre la privación de la libertad, dado el carácter anotado y las condiciones particulares de </w:t>
      </w:r>
      <w:r w:rsidRPr="004D7348">
        <w:rPr>
          <w:rFonts w:ascii="Arial" w:eastAsia="Microsoft YaHei" w:hAnsi="Arial" w:cs="Arial"/>
          <w:lang w:val="es-CO"/>
        </w:rPr>
        <w:t>ETM</w:t>
      </w:r>
      <w:r>
        <w:rPr>
          <w:rFonts w:ascii="Arial" w:hAnsi="Arial" w:cs="Arial"/>
          <w:szCs w:val="24"/>
          <w:lang w:val="es-CO"/>
        </w:rPr>
        <w:t>, acreditadas con el informe socio-familiar de  la Defensoría de Familia y el dictamen de psiquiatría forense, la sanción que mejor se aviene es el internamiento, el cual se podrá modificar más adelante cuando los programas especializados muestren frutos.</w:t>
      </w:r>
    </w:p>
    <w:p w:rsidR="00AC35BF" w:rsidRPr="00E6598C" w:rsidRDefault="00AC35BF" w:rsidP="00AC35BF">
      <w:pPr>
        <w:pStyle w:val="Textoindependiente"/>
        <w:spacing w:line="360" w:lineRule="auto"/>
        <w:rPr>
          <w:rFonts w:ascii="Arial" w:hAnsi="Arial" w:cs="Arial"/>
          <w:szCs w:val="24"/>
          <w:lang w:val="es-CO"/>
        </w:rPr>
      </w:pPr>
    </w:p>
    <w:p w:rsidR="00AC35BF" w:rsidRPr="00E6598C" w:rsidRDefault="00AC35BF" w:rsidP="00AC35BF">
      <w:pPr>
        <w:pStyle w:val="Textoindependiente"/>
        <w:numPr>
          <w:ilvl w:val="0"/>
          <w:numId w:val="3"/>
        </w:numPr>
        <w:spacing w:line="360" w:lineRule="auto"/>
        <w:rPr>
          <w:rFonts w:ascii="Arial" w:hAnsi="Arial" w:cs="Arial"/>
          <w:bCs/>
          <w:szCs w:val="22"/>
          <w:lang w:val="es-CO"/>
        </w:rPr>
      </w:pPr>
      <w:r w:rsidRPr="00E6598C">
        <w:rPr>
          <w:rFonts w:ascii="Arial" w:hAnsi="Arial" w:cs="Arial"/>
          <w:szCs w:val="22"/>
          <w:lang w:val="es-CO"/>
        </w:rPr>
        <w:t>EL RESUMEN DE LA ALZADA</w:t>
      </w:r>
    </w:p>
    <w:p w:rsidR="00AC35BF" w:rsidRPr="00E6598C" w:rsidRDefault="00AC35BF" w:rsidP="00AC35BF">
      <w:pPr>
        <w:pStyle w:val="Textoindependiente"/>
        <w:spacing w:line="360" w:lineRule="auto"/>
        <w:rPr>
          <w:rFonts w:ascii="Arial" w:hAnsi="Arial" w:cs="Arial"/>
          <w:bCs/>
          <w:szCs w:val="24"/>
          <w:lang w:val="es-CO"/>
        </w:rPr>
      </w:pPr>
    </w:p>
    <w:p w:rsidR="00AC35BF" w:rsidRDefault="00AC35BF" w:rsidP="00AC35BF">
      <w:pPr>
        <w:pStyle w:val="Textoindependiente"/>
        <w:spacing w:line="360" w:lineRule="auto"/>
        <w:rPr>
          <w:rFonts w:ascii="Arial" w:hAnsi="Arial" w:cs="Arial"/>
          <w:bCs/>
          <w:szCs w:val="24"/>
          <w:lang w:val="es-CO"/>
        </w:rPr>
      </w:pPr>
      <w:r w:rsidRPr="00E85347">
        <w:rPr>
          <w:rFonts w:ascii="Arial" w:hAnsi="Arial" w:cs="Arial"/>
          <w:bCs/>
          <w:szCs w:val="24"/>
          <w:lang w:val="es-CO"/>
        </w:rPr>
        <w:t xml:space="preserve">El </w:t>
      </w:r>
      <w:r>
        <w:rPr>
          <w:rFonts w:ascii="Arial" w:hAnsi="Arial" w:cs="Arial"/>
          <w:bCs/>
          <w:szCs w:val="24"/>
          <w:lang w:val="es-CO"/>
        </w:rPr>
        <w:t xml:space="preserve">procurador judicial del acusado </w:t>
      </w:r>
      <w:r w:rsidRPr="00E85347">
        <w:rPr>
          <w:rFonts w:ascii="Arial" w:hAnsi="Arial" w:cs="Arial"/>
          <w:bCs/>
          <w:szCs w:val="24"/>
          <w:lang w:val="es-CO"/>
        </w:rPr>
        <w:t xml:space="preserve">censura la decisión del </w:t>
      </w:r>
      <w:r w:rsidRPr="00E85347">
        <w:rPr>
          <w:rFonts w:ascii="Arial" w:hAnsi="Arial" w:cs="Arial"/>
          <w:bCs/>
          <w:i/>
          <w:szCs w:val="24"/>
          <w:lang w:val="es-CO"/>
        </w:rPr>
        <w:t>a quo</w:t>
      </w:r>
      <w:r w:rsidRPr="00E85347">
        <w:rPr>
          <w:rFonts w:ascii="Arial" w:hAnsi="Arial" w:cs="Arial"/>
          <w:bCs/>
          <w:szCs w:val="24"/>
          <w:lang w:val="es-CO"/>
        </w:rPr>
        <w:t xml:space="preserve"> y pide se revoque, puesto que en su sentir </w:t>
      </w:r>
      <w:r>
        <w:rPr>
          <w:rFonts w:ascii="Arial" w:hAnsi="Arial" w:cs="Arial"/>
          <w:bCs/>
          <w:szCs w:val="24"/>
          <w:lang w:val="es-CO"/>
        </w:rPr>
        <w:t xml:space="preserve">el testimonio del señor </w:t>
      </w:r>
      <w:r>
        <w:rPr>
          <w:rFonts w:ascii="Arial" w:hAnsi="Arial" w:cs="Arial"/>
          <w:szCs w:val="24"/>
          <w:lang w:val="es-CO"/>
        </w:rPr>
        <w:t>Andrés Felipe Vanegas Betancur, como único testigo presencial, y en consecuencia “testigo de cargo”, carece</w:t>
      </w:r>
      <w:r w:rsidRPr="00E85347">
        <w:rPr>
          <w:rFonts w:ascii="Arial" w:hAnsi="Arial" w:cs="Arial"/>
          <w:bCs/>
          <w:szCs w:val="24"/>
          <w:lang w:val="es-CO"/>
        </w:rPr>
        <w:t xml:space="preserve"> </w:t>
      </w:r>
      <w:r>
        <w:rPr>
          <w:rFonts w:ascii="Arial" w:hAnsi="Arial" w:cs="Arial"/>
          <w:bCs/>
          <w:szCs w:val="24"/>
          <w:lang w:val="es-CO"/>
        </w:rPr>
        <w:t xml:space="preserve">de credibilidad, pues tanto en el relato rendido el 19-01-2016 como en el juicio oral, mencionó que los hechos ocurrieron el </w:t>
      </w:r>
      <w:r w:rsidRPr="00642117">
        <w:rPr>
          <w:rFonts w:ascii="Arial" w:hAnsi="Arial" w:cs="Arial"/>
          <w:bCs/>
          <w:szCs w:val="24"/>
          <w:lang w:val="es-CO"/>
        </w:rPr>
        <w:t>día viernes 02-10-2015</w:t>
      </w:r>
      <w:r>
        <w:rPr>
          <w:rFonts w:ascii="Arial" w:hAnsi="Arial" w:cs="Arial"/>
          <w:bCs/>
          <w:szCs w:val="24"/>
          <w:lang w:val="es-CO"/>
        </w:rPr>
        <w:t xml:space="preserve"> cuando en realidad se presentaron el 03-10-2015. </w:t>
      </w:r>
    </w:p>
    <w:p w:rsidR="00AC35BF" w:rsidRDefault="00AC35BF" w:rsidP="00AC35BF">
      <w:pPr>
        <w:pStyle w:val="Textoindependiente"/>
        <w:spacing w:line="360" w:lineRule="auto"/>
        <w:rPr>
          <w:rFonts w:ascii="Arial" w:hAnsi="Arial" w:cs="Arial"/>
          <w:bCs/>
          <w:szCs w:val="24"/>
          <w:lang w:val="es-CO"/>
        </w:rPr>
      </w:pPr>
    </w:p>
    <w:p w:rsidR="00AC35BF" w:rsidRDefault="00AC35BF" w:rsidP="00AC35BF">
      <w:pPr>
        <w:pStyle w:val="Textoindependiente"/>
        <w:spacing w:line="360" w:lineRule="auto"/>
        <w:rPr>
          <w:rFonts w:ascii="Arial" w:hAnsi="Arial" w:cs="Arial"/>
          <w:bCs/>
          <w:szCs w:val="24"/>
          <w:lang w:val="es-CO"/>
        </w:rPr>
      </w:pPr>
      <w:r>
        <w:rPr>
          <w:rFonts w:ascii="Arial" w:hAnsi="Arial" w:cs="Arial"/>
          <w:bCs/>
          <w:szCs w:val="24"/>
          <w:lang w:val="es-CO"/>
        </w:rPr>
        <w:t xml:space="preserve">De lo cual dan cuenta: (i) El relato de la señora </w:t>
      </w:r>
      <w:proofErr w:type="spellStart"/>
      <w:r>
        <w:rPr>
          <w:rFonts w:ascii="Arial" w:hAnsi="Arial" w:cs="Arial"/>
          <w:bCs/>
          <w:szCs w:val="24"/>
          <w:lang w:val="es-CO"/>
        </w:rPr>
        <w:t>Yeni</w:t>
      </w:r>
      <w:proofErr w:type="spellEnd"/>
      <w:r>
        <w:rPr>
          <w:rFonts w:ascii="Arial" w:hAnsi="Arial" w:cs="Arial"/>
          <w:bCs/>
          <w:szCs w:val="24"/>
          <w:lang w:val="es-CO"/>
        </w:rPr>
        <w:t xml:space="preserve"> Paola Chiquito </w:t>
      </w:r>
      <w:proofErr w:type="spellStart"/>
      <w:r>
        <w:rPr>
          <w:rFonts w:ascii="Arial" w:hAnsi="Arial" w:cs="Arial"/>
          <w:bCs/>
          <w:szCs w:val="24"/>
          <w:lang w:val="es-CO"/>
        </w:rPr>
        <w:t>Aricapa</w:t>
      </w:r>
      <w:proofErr w:type="spellEnd"/>
      <w:r>
        <w:rPr>
          <w:rFonts w:ascii="Arial" w:hAnsi="Arial" w:cs="Arial"/>
          <w:bCs/>
          <w:szCs w:val="24"/>
          <w:lang w:val="es-CO"/>
        </w:rPr>
        <w:t>, compañera permanente del occiso, que comentó que aquel estaba vivo el 03-10-2015; (ii) El informe del uniformado Edwin Fernando Chilito</w:t>
      </w:r>
      <w:r w:rsidR="00AB7C26">
        <w:rPr>
          <w:rFonts w:ascii="Arial" w:hAnsi="Arial" w:cs="Arial"/>
          <w:bCs/>
          <w:szCs w:val="24"/>
          <w:lang w:val="es-CO"/>
        </w:rPr>
        <w:t>,</w:t>
      </w:r>
      <w:r>
        <w:rPr>
          <w:rFonts w:ascii="Arial" w:hAnsi="Arial" w:cs="Arial"/>
          <w:bCs/>
          <w:szCs w:val="24"/>
          <w:lang w:val="es-CO"/>
        </w:rPr>
        <w:t xml:space="preserve"> quien manifestó que, varios parientes de la víctima lo vieron por última vez el 03-10-2015 a eso de las 16:30; (iii) El registro civil de defunción y el informe pericial de necropsia, que indican que la fecha de la muerte fue el 03-10-2015. Por otra parte, desestima que le asista claridad al testigo de cargo, en la descripción del lugar de ocurrencia del hecho, porque haya estado allá ese día, pues se debe tener presente que el señor Andrés Felipe, ha residido en ese sector toda la vida. </w:t>
      </w:r>
    </w:p>
    <w:p w:rsidR="00AC35BF" w:rsidRDefault="00AC35BF" w:rsidP="00AC35BF">
      <w:pPr>
        <w:pStyle w:val="Textoindependiente"/>
        <w:spacing w:line="360" w:lineRule="auto"/>
        <w:rPr>
          <w:rFonts w:ascii="Arial" w:hAnsi="Arial" w:cs="Arial"/>
          <w:bCs/>
          <w:szCs w:val="24"/>
          <w:lang w:val="es-CO"/>
        </w:rPr>
      </w:pPr>
    </w:p>
    <w:p w:rsidR="00AC35BF" w:rsidRDefault="00AC35BF" w:rsidP="00AC35BF">
      <w:pPr>
        <w:pStyle w:val="Textoindependiente"/>
        <w:spacing w:line="360" w:lineRule="auto"/>
        <w:rPr>
          <w:rFonts w:ascii="Arial" w:hAnsi="Arial" w:cs="Arial"/>
          <w:bCs/>
          <w:szCs w:val="24"/>
          <w:lang w:val="es-CO"/>
        </w:rPr>
      </w:pPr>
      <w:r>
        <w:rPr>
          <w:rFonts w:ascii="Arial" w:hAnsi="Arial" w:cs="Arial"/>
          <w:bCs/>
          <w:szCs w:val="24"/>
          <w:lang w:val="es-CO"/>
        </w:rPr>
        <w:t xml:space="preserve">Así mismo, considera que la sentencia hizo uso de elementos que no hicieron parte del acervo probatorio, como las entrevistas de Blanca Nieves Manso y Gladys Manso (Tía y madre del menor acusado) en contra </w:t>
      </w:r>
      <w:r w:rsidR="00AB7C26">
        <w:rPr>
          <w:rFonts w:ascii="Arial" w:hAnsi="Arial" w:cs="Arial"/>
          <w:bCs/>
          <w:szCs w:val="24"/>
          <w:lang w:val="es-CO"/>
        </w:rPr>
        <w:t xml:space="preserve">de </w:t>
      </w:r>
      <w:r>
        <w:rPr>
          <w:rFonts w:ascii="Arial" w:hAnsi="Arial" w:cs="Arial"/>
          <w:bCs/>
          <w:szCs w:val="24"/>
          <w:lang w:val="es-CO"/>
        </w:rPr>
        <w:t xml:space="preserve">la defensa; rechaza tajantemente lo dicho por </w:t>
      </w:r>
      <w:proofErr w:type="spellStart"/>
      <w:r>
        <w:rPr>
          <w:rFonts w:ascii="Arial" w:hAnsi="Arial" w:cs="Arial"/>
          <w:bCs/>
          <w:szCs w:val="24"/>
          <w:lang w:val="es-CO"/>
        </w:rPr>
        <w:t>Yeni</w:t>
      </w:r>
      <w:proofErr w:type="spellEnd"/>
      <w:r>
        <w:rPr>
          <w:rFonts w:ascii="Arial" w:hAnsi="Arial" w:cs="Arial"/>
          <w:bCs/>
          <w:szCs w:val="24"/>
          <w:lang w:val="es-CO"/>
        </w:rPr>
        <w:t xml:space="preserve"> Paola Chiquito </w:t>
      </w:r>
      <w:proofErr w:type="spellStart"/>
      <w:r>
        <w:rPr>
          <w:rFonts w:ascii="Arial" w:hAnsi="Arial" w:cs="Arial"/>
          <w:bCs/>
          <w:szCs w:val="24"/>
          <w:lang w:val="es-CO"/>
        </w:rPr>
        <w:t>Aricapa</w:t>
      </w:r>
      <w:proofErr w:type="spellEnd"/>
      <w:r>
        <w:rPr>
          <w:rFonts w:ascii="Arial" w:hAnsi="Arial" w:cs="Arial"/>
          <w:bCs/>
          <w:szCs w:val="24"/>
          <w:lang w:val="es-CO"/>
        </w:rPr>
        <w:t xml:space="preserve">, porque tampoco rindió declaración en el juicio oral, aunque estuvo presente en el Despacho ese día.  </w:t>
      </w:r>
    </w:p>
    <w:p w:rsidR="00AC35BF" w:rsidRDefault="00AC35BF" w:rsidP="00AC35BF">
      <w:pPr>
        <w:pStyle w:val="Textoindependiente"/>
        <w:spacing w:line="360" w:lineRule="auto"/>
        <w:rPr>
          <w:rFonts w:ascii="Arial" w:hAnsi="Arial" w:cs="Arial"/>
          <w:bCs/>
          <w:szCs w:val="24"/>
          <w:lang w:val="es-CO"/>
        </w:rPr>
      </w:pPr>
    </w:p>
    <w:p w:rsidR="00AC35BF" w:rsidRDefault="00AC35BF" w:rsidP="00AC35BF">
      <w:pPr>
        <w:pStyle w:val="Textoindependiente"/>
        <w:spacing w:line="360" w:lineRule="auto"/>
        <w:rPr>
          <w:rFonts w:ascii="Arial" w:hAnsi="Arial" w:cs="Arial"/>
          <w:bCs/>
          <w:szCs w:val="24"/>
          <w:lang w:val="es-CO"/>
        </w:rPr>
      </w:pPr>
      <w:r>
        <w:rPr>
          <w:rFonts w:ascii="Arial" w:hAnsi="Arial" w:cs="Arial"/>
          <w:bCs/>
          <w:szCs w:val="24"/>
          <w:lang w:val="es-CO"/>
        </w:rPr>
        <w:t>En suma, considera que existe una duda razonable e insalvable en la declaración del señor Vanegas Betancur y ello da lugar a desecharla, por lo que la decisión debe ser en sentido contrario.</w:t>
      </w:r>
    </w:p>
    <w:p w:rsidR="00AC35BF" w:rsidRPr="00E6598C" w:rsidRDefault="00AC35BF" w:rsidP="00AC35BF">
      <w:pPr>
        <w:pStyle w:val="Prrafodelista"/>
        <w:numPr>
          <w:ilvl w:val="0"/>
          <w:numId w:val="3"/>
        </w:numPr>
        <w:spacing w:line="360" w:lineRule="auto"/>
        <w:jc w:val="both"/>
        <w:rPr>
          <w:rFonts w:ascii="Arial" w:hAnsi="Arial" w:cs="Arial"/>
          <w:sz w:val="24"/>
          <w:szCs w:val="24"/>
          <w:lang w:val="es-CO"/>
        </w:rPr>
      </w:pPr>
      <w:r w:rsidRPr="00E6598C">
        <w:rPr>
          <w:rFonts w:ascii="Arial" w:hAnsi="Arial" w:cs="Arial"/>
          <w:sz w:val="24"/>
          <w:szCs w:val="24"/>
          <w:lang w:val="es-CO"/>
        </w:rPr>
        <w:t>LA SÍNTESIS DE</w:t>
      </w:r>
      <w:r>
        <w:rPr>
          <w:rFonts w:ascii="Arial" w:hAnsi="Arial" w:cs="Arial"/>
          <w:sz w:val="24"/>
          <w:szCs w:val="24"/>
          <w:lang w:val="es-CO"/>
        </w:rPr>
        <w:t xml:space="preserve"> </w:t>
      </w:r>
      <w:r w:rsidRPr="00E6598C">
        <w:rPr>
          <w:rFonts w:ascii="Arial" w:hAnsi="Arial" w:cs="Arial"/>
          <w:sz w:val="24"/>
          <w:szCs w:val="24"/>
          <w:lang w:val="es-CO"/>
        </w:rPr>
        <w:t>L</w:t>
      </w:r>
      <w:r>
        <w:rPr>
          <w:rFonts w:ascii="Arial" w:hAnsi="Arial" w:cs="Arial"/>
          <w:sz w:val="24"/>
          <w:szCs w:val="24"/>
          <w:lang w:val="es-CO"/>
        </w:rPr>
        <w:t xml:space="preserve">A PARTE </w:t>
      </w:r>
      <w:r w:rsidRPr="00E6598C">
        <w:rPr>
          <w:rFonts w:ascii="Arial" w:hAnsi="Arial" w:cs="Arial"/>
          <w:sz w:val="24"/>
          <w:szCs w:val="24"/>
          <w:lang w:val="es-CO"/>
        </w:rPr>
        <w:t>NO RECURRENTE</w:t>
      </w:r>
    </w:p>
    <w:p w:rsidR="00AC35BF" w:rsidRDefault="00AC35BF" w:rsidP="00AC35BF">
      <w:pPr>
        <w:pStyle w:val="Prrafodelista"/>
        <w:spacing w:line="360" w:lineRule="auto"/>
        <w:ind w:left="0"/>
        <w:jc w:val="both"/>
        <w:rPr>
          <w:rFonts w:ascii="Arial" w:eastAsia="Microsoft YaHei" w:hAnsi="Arial" w:cs="Arial"/>
          <w:spacing w:val="-6"/>
          <w:sz w:val="24"/>
          <w:szCs w:val="24"/>
          <w:lang w:val="es-CO"/>
        </w:rPr>
      </w:pPr>
    </w:p>
    <w:p w:rsidR="00AC35BF" w:rsidRDefault="00AC35BF" w:rsidP="00AC35BF">
      <w:pPr>
        <w:pStyle w:val="Prrafodelista"/>
        <w:spacing w:line="360" w:lineRule="auto"/>
        <w:ind w:left="0"/>
        <w:jc w:val="both"/>
        <w:rPr>
          <w:rFonts w:ascii="Arial" w:eastAsia="Microsoft YaHei" w:hAnsi="Arial" w:cs="Arial"/>
          <w:spacing w:val="-6"/>
          <w:sz w:val="24"/>
          <w:szCs w:val="24"/>
          <w:lang w:val="es-CO"/>
        </w:rPr>
      </w:pPr>
      <w:r>
        <w:rPr>
          <w:rFonts w:ascii="Arial" w:eastAsia="Microsoft YaHei" w:hAnsi="Arial" w:cs="Arial"/>
          <w:spacing w:val="-6"/>
          <w:sz w:val="24"/>
          <w:szCs w:val="24"/>
          <w:lang w:val="es-CO"/>
        </w:rPr>
        <w:t xml:space="preserve">El Ministerio Público mencionó que está de acuerdo con la decisión cuestionada, pues a pesar de que es posible que el testigo de cargo tenga una contradicción en el día de ocurrencia de los hechos, lo cierto es que no se ha presentado ninguna prueba que desacredite lo ocurrido o la identidad del procesado como autor del homicidio. Estimó que, contrario a lo señalado por el recurrente, lo mencionado por los uniformados que testificaron, en forma alguna constituye la introducción de testigos de referencia como lo pueden ser la tía y madre del acusado. </w:t>
      </w:r>
    </w:p>
    <w:p w:rsidR="00AC35BF" w:rsidRDefault="00AC35BF" w:rsidP="00AC35BF">
      <w:pPr>
        <w:pStyle w:val="Prrafodelista"/>
        <w:spacing w:line="360" w:lineRule="auto"/>
        <w:ind w:left="0"/>
        <w:jc w:val="both"/>
        <w:rPr>
          <w:rFonts w:ascii="Arial" w:eastAsia="Microsoft YaHei" w:hAnsi="Arial" w:cs="Arial"/>
          <w:spacing w:val="-6"/>
          <w:sz w:val="24"/>
          <w:szCs w:val="24"/>
          <w:lang w:val="es-CO"/>
        </w:rPr>
      </w:pPr>
    </w:p>
    <w:p w:rsidR="00AC35BF" w:rsidRPr="00E6598C" w:rsidRDefault="00AC35BF" w:rsidP="00AC35BF">
      <w:pPr>
        <w:pStyle w:val="Prrafodelista"/>
        <w:spacing w:line="360" w:lineRule="auto"/>
        <w:ind w:left="0"/>
        <w:jc w:val="both"/>
        <w:rPr>
          <w:rFonts w:ascii="Arial" w:eastAsia="Microsoft YaHei" w:hAnsi="Arial" w:cs="Arial"/>
          <w:spacing w:val="-6"/>
          <w:sz w:val="24"/>
          <w:szCs w:val="24"/>
          <w:lang w:val="es-CO"/>
        </w:rPr>
      </w:pPr>
      <w:r>
        <w:rPr>
          <w:rFonts w:ascii="Arial" w:eastAsia="Microsoft YaHei" w:hAnsi="Arial" w:cs="Arial"/>
          <w:spacing w:val="-6"/>
          <w:sz w:val="24"/>
          <w:szCs w:val="24"/>
          <w:lang w:val="es-CO"/>
        </w:rPr>
        <w:lastRenderedPageBreak/>
        <w:t xml:space="preserve">Considera que la </w:t>
      </w:r>
      <w:r w:rsidRPr="00F02C80">
        <w:rPr>
          <w:rFonts w:ascii="Arial" w:eastAsia="Microsoft YaHei" w:hAnsi="Arial" w:cs="Arial"/>
          <w:spacing w:val="-6"/>
          <w:sz w:val="24"/>
          <w:szCs w:val="24"/>
          <w:lang w:val="es-CO"/>
        </w:rPr>
        <w:t>defensa del acusado</w:t>
      </w:r>
      <w:r>
        <w:rPr>
          <w:rFonts w:ascii="Arial" w:eastAsia="Microsoft YaHei" w:hAnsi="Arial" w:cs="Arial"/>
          <w:spacing w:val="-6"/>
          <w:sz w:val="24"/>
          <w:szCs w:val="24"/>
          <w:lang w:val="es-CO"/>
        </w:rPr>
        <w:t>, desaprovechó la oportunidad para pedir pruebas que acreditaran que el menor ETM, se encontraba en un lugar diferente, el día y a la hora, de la ocurrencia del delito</w:t>
      </w:r>
      <w:r w:rsidRPr="00E6598C">
        <w:rPr>
          <w:rFonts w:ascii="Arial" w:eastAsia="Microsoft YaHei" w:hAnsi="Arial" w:cs="Arial"/>
          <w:spacing w:val="-6"/>
          <w:sz w:val="24"/>
          <w:szCs w:val="24"/>
          <w:lang w:val="es-CO"/>
        </w:rPr>
        <w:t>.</w:t>
      </w:r>
    </w:p>
    <w:p w:rsidR="00AC35BF" w:rsidRPr="00E6598C" w:rsidRDefault="00AC35BF" w:rsidP="00AC35BF">
      <w:pPr>
        <w:pStyle w:val="Prrafodelista"/>
        <w:spacing w:line="360" w:lineRule="auto"/>
        <w:ind w:left="0"/>
        <w:jc w:val="both"/>
        <w:rPr>
          <w:rFonts w:ascii="Arial" w:hAnsi="Arial" w:cs="Arial"/>
          <w:sz w:val="24"/>
          <w:szCs w:val="24"/>
          <w:lang w:val="es-CO"/>
        </w:rPr>
      </w:pPr>
    </w:p>
    <w:p w:rsidR="00AC35BF" w:rsidRPr="007B3EC0" w:rsidRDefault="00AC35BF" w:rsidP="00AC35BF">
      <w:pPr>
        <w:pStyle w:val="Prrafodelista"/>
        <w:numPr>
          <w:ilvl w:val="0"/>
          <w:numId w:val="3"/>
        </w:numPr>
        <w:spacing w:line="360" w:lineRule="auto"/>
        <w:jc w:val="both"/>
        <w:rPr>
          <w:rFonts w:ascii="Arial" w:hAnsi="Arial" w:cs="Arial"/>
          <w:sz w:val="24"/>
          <w:szCs w:val="24"/>
          <w:lang w:val="es-CO"/>
        </w:rPr>
      </w:pPr>
      <w:r w:rsidRPr="007B3EC0">
        <w:rPr>
          <w:rFonts w:ascii="Arial" w:hAnsi="Arial" w:cs="Arial"/>
          <w:sz w:val="24"/>
          <w:szCs w:val="24"/>
          <w:lang w:val="es-CO"/>
        </w:rPr>
        <w:t>LAS FUNDAMENTACIONES JURÍDICAS PARA DECIDIR</w:t>
      </w:r>
    </w:p>
    <w:p w:rsidR="00AC35BF" w:rsidRPr="00E6598C" w:rsidRDefault="00AC35BF" w:rsidP="00AC35BF">
      <w:pPr>
        <w:spacing w:line="360" w:lineRule="auto"/>
        <w:jc w:val="both"/>
        <w:rPr>
          <w:rFonts w:ascii="Arial" w:hAnsi="Arial" w:cs="Arial"/>
          <w:sz w:val="24"/>
          <w:szCs w:val="22"/>
          <w:lang w:val="es-CO"/>
        </w:rPr>
      </w:pPr>
    </w:p>
    <w:p w:rsidR="00AC35BF" w:rsidRPr="00E6598C" w:rsidRDefault="00AC35BF" w:rsidP="00AC35BF">
      <w:pPr>
        <w:pStyle w:val="Textoindependiente"/>
        <w:numPr>
          <w:ilvl w:val="1"/>
          <w:numId w:val="3"/>
        </w:numPr>
        <w:tabs>
          <w:tab w:val="clear" w:pos="0"/>
          <w:tab w:val="clear" w:pos="708"/>
          <w:tab w:val="clear" w:pos="1416"/>
          <w:tab w:val="left" w:pos="709"/>
        </w:tabs>
        <w:spacing w:line="360" w:lineRule="auto"/>
        <w:ind w:left="709" w:hanging="709"/>
        <w:rPr>
          <w:rFonts w:ascii="Arial" w:hAnsi="Arial" w:cs="Arial"/>
          <w:lang w:val="es-CO"/>
        </w:rPr>
      </w:pPr>
      <w:r w:rsidRPr="00E6598C">
        <w:rPr>
          <w:rFonts w:ascii="Arial" w:hAnsi="Arial" w:cs="Arial"/>
          <w:lang w:val="es-CO"/>
        </w:rPr>
        <w:t>La competencia en segundo grado</w:t>
      </w:r>
    </w:p>
    <w:p w:rsidR="00AC35BF" w:rsidRPr="00E6598C" w:rsidRDefault="00AC35BF" w:rsidP="00AC35BF">
      <w:pPr>
        <w:pStyle w:val="Textoindependiente"/>
        <w:spacing w:line="360" w:lineRule="auto"/>
        <w:rPr>
          <w:rFonts w:ascii="Arial" w:hAnsi="Arial" w:cs="Arial"/>
          <w:lang w:val="es-CO"/>
        </w:rPr>
      </w:pPr>
    </w:p>
    <w:p w:rsidR="00AC35BF" w:rsidRPr="00E6598C" w:rsidRDefault="00AC35BF" w:rsidP="00AC35BF">
      <w:pPr>
        <w:pStyle w:val="Textoindependiente"/>
        <w:spacing w:line="360" w:lineRule="auto"/>
        <w:rPr>
          <w:rFonts w:ascii="Arial" w:hAnsi="Arial" w:cs="Arial"/>
          <w:lang w:val="es-CO"/>
        </w:rPr>
      </w:pPr>
      <w:r w:rsidRPr="00E6598C">
        <w:rPr>
          <w:rFonts w:ascii="Arial" w:hAnsi="Arial" w:cs="Arial"/>
          <w:lang w:val="es-CO"/>
        </w:rPr>
        <w:t>Esta instancia judicial tiene facultad legal para resolver la controversia sometida a su consideración en razón de lo dispuesto por los artículos 168 de la Ley 1098 y 34-1º de la Ley 906.</w:t>
      </w:r>
    </w:p>
    <w:p w:rsidR="00AC35BF" w:rsidRPr="00E6598C" w:rsidRDefault="00AC35BF" w:rsidP="00AC35BF">
      <w:pPr>
        <w:pStyle w:val="Textoindependiente"/>
        <w:spacing w:line="360" w:lineRule="auto"/>
        <w:rPr>
          <w:rFonts w:ascii="Arial" w:hAnsi="Arial" w:cs="Arial"/>
          <w:lang w:val="es-CO"/>
        </w:rPr>
      </w:pPr>
    </w:p>
    <w:p w:rsidR="00AC35BF" w:rsidRPr="00E6598C" w:rsidRDefault="00AC35BF" w:rsidP="00AC35BF">
      <w:pPr>
        <w:pStyle w:val="Textoindependiente"/>
        <w:spacing w:line="360" w:lineRule="auto"/>
        <w:rPr>
          <w:rFonts w:ascii="Arial" w:hAnsi="Arial" w:cs="Arial"/>
          <w:szCs w:val="22"/>
          <w:lang w:val="es-CO"/>
        </w:rPr>
      </w:pPr>
      <w:r w:rsidRPr="00E6598C">
        <w:rPr>
          <w:rFonts w:ascii="Arial" w:hAnsi="Arial" w:cs="Arial"/>
          <w:szCs w:val="24"/>
          <w:lang w:val="es-CO"/>
        </w:rPr>
        <w:t>La regla general es que el escrutinio en esta sede, se concreta al tema de disidencia expuesto por el recurrente, salvo asuntos inescindiblemente relacionados</w:t>
      </w:r>
      <w:r w:rsidRPr="00E6598C">
        <w:rPr>
          <w:rStyle w:val="Refdenotaalpie"/>
          <w:rFonts w:ascii="Arial" w:hAnsi="Arial" w:cs="Arial"/>
          <w:szCs w:val="24"/>
          <w:lang w:val="es-CO"/>
        </w:rPr>
        <w:footnoteReference w:id="2"/>
      </w:r>
      <w:r w:rsidRPr="00E6598C">
        <w:rPr>
          <w:rFonts w:ascii="Arial" w:hAnsi="Arial" w:cs="Arial"/>
          <w:szCs w:val="24"/>
          <w:vertAlign w:val="superscript"/>
          <w:lang w:val="es-CO"/>
        </w:rPr>
        <w:t>-</w:t>
      </w:r>
      <w:r w:rsidRPr="00E6598C">
        <w:rPr>
          <w:rStyle w:val="Refdenotaalpie"/>
          <w:rFonts w:ascii="Arial" w:hAnsi="Arial" w:cs="Arial"/>
          <w:szCs w:val="24"/>
          <w:lang w:val="es-CO"/>
        </w:rPr>
        <w:footnoteReference w:id="3"/>
      </w:r>
      <w:r w:rsidRPr="00E6598C">
        <w:rPr>
          <w:rFonts w:ascii="Arial" w:hAnsi="Arial" w:cs="Arial"/>
          <w:szCs w:val="24"/>
          <w:lang w:val="es-CO"/>
        </w:rPr>
        <w:t>, en atención al principio de limitación que informa la segunda instancia.  No obstante, en tratándose de valoración probatoria, dice la Corte Suprema de Justicia</w:t>
      </w:r>
      <w:r w:rsidRPr="00E6598C">
        <w:rPr>
          <w:rStyle w:val="Refdenotaalpie"/>
          <w:rFonts w:ascii="Arial" w:hAnsi="Arial" w:cs="Arial"/>
          <w:szCs w:val="24"/>
          <w:lang w:val="es-CO"/>
        </w:rPr>
        <w:footnoteReference w:id="4"/>
      </w:r>
      <w:r w:rsidRPr="00E6598C">
        <w:rPr>
          <w:rFonts w:ascii="Arial" w:hAnsi="Arial" w:cs="Arial"/>
          <w:szCs w:val="24"/>
          <w:lang w:val="es-CO"/>
        </w:rPr>
        <w:t xml:space="preserve">, el análisis es conjunto y no insular, y como en el </w:t>
      </w:r>
      <w:r w:rsidRPr="00E6598C">
        <w:rPr>
          <w:rFonts w:ascii="Arial" w:hAnsi="Arial" w:cs="Arial"/>
          <w:i/>
          <w:szCs w:val="24"/>
          <w:lang w:val="es-CO"/>
        </w:rPr>
        <w:t>sub judice</w:t>
      </w:r>
      <w:r w:rsidRPr="00E6598C">
        <w:rPr>
          <w:rFonts w:ascii="Arial" w:hAnsi="Arial" w:cs="Arial"/>
          <w:szCs w:val="24"/>
          <w:lang w:val="es-CO"/>
        </w:rPr>
        <w:t xml:space="preserve"> así acontece, habrá de extenderse el estudio a todo el material probatorio acopiado.</w:t>
      </w:r>
    </w:p>
    <w:p w:rsidR="00AC35BF" w:rsidRPr="00E6598C" w:rsidRDefault="00AC35BF" w:rsidP="00AC35BF">
      <w:pPr>
        <w:pStyle w:val="Textoindependiente"/>
        <w:spacing w:line="360" w:lineRule="auto"/>
        <w:rPr>
          <w:rFonts w:ascii="Arial" w:hAnsi="Arial" w:cs="Arial"/>
          <w:lang w:val="es-CO"/>
        </w:rPr>
      </w:pPr>
    </w:p>
    <w:p w:rsidR="00AC35BF" w:rsidRPr="003666A1" w:rsidRDefault="00AC35BF" w:rsidP="00AC35BF">
      <w:pPr>
        <w:pStyle w:val="Textopredeterminado"/>
        <w:numPr>
          <w:ilvl w:val="1"/>
          <w:numId w:val="3"/>
        </w:numPr>
        <w:spacing w:line="360" w:lineRule="auto"/>
        <w:jc w:val="both"/>
        <w:textAlignment w:val="baseline"/>
        <w:rPr>
          <w:rFonts w:ascii="Arial" w:hAnsi="Arial" w:cs="Arial"/>
          <w:sz w:val="22"/>
          <w:szCs w:val="22"/>
          <w:lang w:val="es-CO"/>
        </w:rPr>
      </w:pPr>
      <w:r w:rsidRPr="00E6598C">
        <w:rPr>
          <w:rFonts w:ascii="Arial" w:hAnsi="Arial" w:cs="Arial"/>
          <w:szCs w:val="22"/>
          <w:lang w:val="es-CO"/>
        </w:rPr>
        <w:t>El trámite del recurso y los presupuestos de viabilidad</w:t>
      </w:r>
    </w:p>
    <w:p w:rsidR="00AC35BF" w:rsidRPr="00E6598C" w:rsidRDefault="00AC35BF" w:rsidP="00AC35BF">
      <w:pPr>
        <w:pStyle w:val="Textopredeterminado"/>
        <w:spacing w:line="360" w:lineRule="auto"/>
        <w:ind w:left="360"/>
        <w:jc w:val="both"/>
        <w:textAlignment w:val="baseline"/>
        <w:rPr>
          <w:rFonts w:ascii="Arial" w:hAnsi="Arial" w:cs="Arial"/>
          <w:sz w:val="22"/>
          <w:szCs w:val="22"/>
          <w:lang w:val="es-CO"/>
        </w:rPr>
      </w:pPr>
    </w:p>
    <w:p w:rsidR="00AC35BF" w:rsidRPr="00E6598C" w:rsidRDefault="00AC35BF" w:rsidP="00AC35BF">
      <w:pPr>
        <w:pStyle w:val="Textoindependiente"/>
        <w:spacing w:line="360" w:lineRule="auto"/>
        <w:rPr>
          <w:rFonts w:ascii="Arial" w:hAnsi="Arial" w:cs="Arial"/>
          <w:lang w:val="es-CO"/>
        </w:rPr>
      </w:pPr>
      <w:r w:rsidRPr="00E6598C">
        <w:rPr>
          <w:rFonts w:ascii="Arial" w:hAnsi="Arial" w:cs="Arial"/>
          <w:szCs w:val="22"/>
          <w:lang w:val="es-CO"/>
        </w:rPr>
        <w:t xml:space="preserve">Según el artículo 179 del CPP se surtió el traslado a los sujetos procesales que no recurrieron, quienes presentaron alegaciones, como atrás se indicó.  </w:t>
      </w:r>
      <w:r w:rsidRPr="00E6598C">
        <w:rPr>
          <w:rFonts w:ascii="Arial" w:hAnsi="Arial" w:cs="Arial"/>
          <w:szCs w:val="24"/>
          <w:lang w:val="es-CO"/>
        </w:rPr>
        <w:t xml:space="preserve">Por otro lado, la </w:t>
      </w:r>
      <w:r w:rsidRPr="00E6598C">
        <w:rPr>
          <w:rFonts w:ascii="Arial" w:hAnsi="Arial" w:cs="Arial"/>
          <w:szCs w:val="22"/>
          <w:lang w:val="es-CO"/>
        </w:rPr>
        <w:t>técnica procesal moderna impone siempre la revisión previa de los supuestos de viabilidad, para examinar el tema de fondo discutido; los requisitos son concurrentes y necesarios, ante la falta de uno se frustra el estudio de la impugnación.  P</w:t>
      </w:r>
      <w:r w:rsidRPr="00E6598C">
        <w:rPr>
          <w:rFonts w:ascii="Arial" w:hAnsi="Arial" w:cs="Arial"/>
          <w:lang w:val="es-CO"/>
        </w:rPr>
        <w:t xml:space="preserve">ara el </w:t>
      </w:r>
      <w:r w:rsidRPr="00E6598C">
        <w:rPr>
          <w:rFonts w:ascii="Arial" w:hAnsi="Arial" w:cs="Arial"/>
          <w:i/>
          <w:lang w:val="es-CO"/>
        </w:rPr>
        <w:t>sub lite</w:t>
      </w:r>
      <w:r w:rsidRPr="00E6598C">
        <w:rPr>
          <w:rFonts w:ascii="Arial" w:hAnsi="Arial" w:cs="Arial"/>
          <w:lang w:val="es-CO"/>
        </w:rPr>
        <w:t xml:space="preserve"> son legitimación, oportunidad, procedencia y sustentación, todos se hayan debidamente cumplidos.</w:t>
      </w:r>
    </w:p>
    <w:p w:rsidR="00AC35BF" w:rsidRPr="00E6598C" w:rsidRDefault="00AC35BF" w:rsidP="00AC35BF">
      <w:pPr>
        <w:pStyle w:val="Textoindependiente"/>
        <w:spacing w:line="360" w:lineRule="auto"/>
        <w:rPr>
          <w:rFonts w:ascii="Arial" w:hAnsi="Arial" w:cs="Arial"/>
          <w:lang w:val="es-CO"/>
        </w:rPr>
      </w:pPr>
    </w:p>
    <w:p w:rsidR="00AC35BF" w:rsidRPr="00E6598C" w:rsidRDefault="00AC35BF" w:rsidP="00AC35BF">
      <w:pPr>
        <w:pStyle w:val="Textoindependiente"/>
        <w:numPr>
          <w:ilvl w:val="1"/>
          <w:numId w:val="3"/>
        </w:numPr>
        <w:spacing w:line="360" w:lineRule="auto"/>
        <w:ind w:left="709" w:hanging="709"/>
        <w:rPr>
          <w:rFonts w:ascii="Arial" w:hAnsi="Arial" w:cs="Arial"/>
          <w:lang w:val="es-CO"/>
        </w:rPr>
      </w:pPr>
      <w:r w:rsidRPr="00E6598C">
        <w:rPr>
          <w:rFonts w:ascii="Arial" w:hAnsi="Arial" w:cs="Arial"/>
          <w:lang w:val="es-CO"/>
        </w:rPr>
        <w:t>El problema jurídico para resolver</w:t>
      </w:r>
    </w:p>
    <w:p w:rsidR="00AC35BF" w:rsidRPr="00E6598C" w:rsidRDefault="00AC35BF" w:rsidP="00AC35BF">
      <w:pPr>
        <w:pStyle w:val="Textoindependiente"/>
        <w:spacing w:line="360" w:lineRule="auto"/>
        <w:rPr>
          <w:rFonts w:ascii="Arial" w:hAnsi="Arial" w:cs="Arial"/>
          <w:lang w:val="es-CO"/>
        </w:rPr>
      </w:pPr>
    </w:p>
    <w:p w:rsidR="00AC35BF" w:rsidRDefault="00AC35BF" w:rsidP="00AC35BF">
      <w:pPr>
        <w:pStyle w:val="Textoindependiente"/>
        <w:spacing w:line="360" w:lineRule="auto"/>
        <w:rPr>
          <w:rFonts w:ascii="Arial" w:hAnsi="Arial" w:cs="Arial"/>
          <w:szCs w:val="22"/>
          <w:lang w:val="es-CO"/>
        </w:rPr>
      </w:pPr>
      <w:r w:rsidRPr="00E6598C">
        <w:rPr>
          <w:rFonts w:ascii="Arial" w:hAnsi="Arial" w:cs="Arial"/>
          <w:szCs w:val="22"/>
          <w:lang w:val="es-CO"/>
        </w:rPr>
        <w:t xml:space="preserve">¿Debe confirmarse, modificarse o revocarse la sentencia </w:t>
      </w:r>
      <w:r>
        <w:rPr>
          <w:rFonts w:ascii="Arial" w:hAnsi="Arial" w:cs="Arial"/>
          <w:szCs w:val="22"/>
          <w:lang w:val="es-CO"/>
        </w:rPr>
        <w:t xml:space="preserve">condenatoria adiada </w:t>
      </w:r>
      <w:r w:rsidRPr="00E6598C">
        <w:rPr>
          <w:rFonts w:ascii="Arial" w:hAnsi="Arial" w:cs="Arial"/>
          <w:szCs w:val="22"/>
          <w:lang w:val="es-CO"/>
        </w:rPr>
        <w:t xml:space="preserve">el </w:t>
      </w:r>
      <w:r>
        <w:rPr>
          <w:rFonts w:ascii="Arial" w:hAnsi="Arial" w:cs="Arial"/>
          <w:szCs w:val="22"/>
          <w:lang w:val="es-CO"/>
        </w:rPr>
        <w:t>14-09-2016</w:t>
      </w:r>
      <w:r w:rsidRPr="00E6598C">
        <w:rPr>
          <w:rFonts w:ascii="Arial" w:hAnsi="Arial" w:cs="Arial"/>
          <w:szCs w:val="22"/>
          <w:lang w:val="es-CO"/>
        </w:rPr>
        <w:t xml:space="preserve"> por el Juzgado </w:t>
      </w:r>
      <w:r>
        <w:rPr>
          <w:rFonts w:ascii="Arial" w:hAnsi="Arial" w:cs="Arial"/>
          <w:szCs w:val="22"/>
          <w:lang w:val="es-CO"/>
        </w:rPr>
        <w:t xml:space="preserve">Primero </w:t>
      </w:r>
      <w:r w:rsidRPr="00E6598C">
        <w:rPr>
          <w:rFonts w:ascii="Arial" w:hAnsi="Arial" w:cs="Arial"/>
          <w:szCs w:val="22"/>
          <w:lang w:val="es-CO"/>
        </w:rPr>
        <w:t xml:space="preserve">Penal del Circuito para Adolescentes de Pereira, </w:t>
      </w:r>
      <w:r>
        <w:rPr>
          <w:rFonts w:ascii="Arial" w:hAnsi="Arial" w:cs="Arial"/>
          <w:szCs w:val="22"/>
          <w:lang w:val="es-CO"/>
        </w:rPr>
        <w:t>en contra del menor ETM</w:t>
      </w:r>
      <w:r w:rsidRPr="00E6598C">
        <w:rPr>
          <w:rFonts w:ascii="Arial" w:hAnsi="Arial" w:cs="Arial"/>
          <w:szCs w:val="22"/>
          <w:lang w:val="es-CO"/>
        </w:rPr>
        <w:t xml:space="preserve">, </w:t>
      </w:r>
      <w:r>
        <w:rPr>
          <w:rFonts w:ascii="Arial" w:hAnsi="Arial" w:cs="Arial"/>
          <w:szCs w:val="22"/>
          <w:lang w:val="es-CO"/>
        </w:rPr>
        <w:t xml:space="preserve">conforme a lo alegado por </w:t>
      </w:r>
      <w:r w:rsidRPr="00E6598C">
        <w:rPr>
          <w:rFonts w:ascii="Arial" w:hAnsi="Arial" w:cs="Arial"/>
          <w:szCs w:val="22"/>
          <w:lang w:val="es-CO"/>
        </w:rPr>
        <w:t xml:space="preserve">la </w:t>
      </w:r>
      <w:r>
        <w:rPr>
          <w:rFonts w:ascii="Arial" w:hAnsi="Arial" w:cs="Arial"/>
          <w:szCs w:val="22"/>
          <w:lang w:val="es-CO"/>
        </w:rPr>
        <w:t>defensa,</w:t>
      </w:r>
      <w:r w:rsidRPr="00E6598C">
        <w:rPr>
          <w:rFonts w:ascii="Arial" w:hAnsi="Arial" w:cs="Arial"/>
          <w:szCs w:val="22"/>
          <w:lang w:val="es-CO"/>
        </w:rPr>
        <w:t xml:space="preserve"> </w:t>
      </w:r>
      <w:r>
        <w:rPr>
          <w:rFonts w:ascii="Arial" w:hAnsi="Arial" w:cs="Arial"/>
          <w:szCs w:val="22"/>
          <w:lang w:val="es-CO"/>
        </w:rPr>
        <w:t xml:space="preserve">al </w:t>
      </w:r>
      <w:r w:rsidRPr="00E6598C">
        <w:rPr>
          <w:rFonts w:ascii="Arial" w:hAnsi="Arial" w:cs="Arial"/>
          <w:szCs w:val="22"/>
          <w:lang w:val="es-CO"/>
        </w:rPr>
        <w:t>apela</w:t>
      </w:r>
      <w:r>
        <w:rPr>
          <w:rFonts w:ascii="Arial" w:hAnsi="Arial" w:cs="Arial"/>
          <w:szCs w:val="22"/>
          <w:lang w:val="es-CO"/>
        </w:rPr>
        <w:t>r</w:t>
      </w:r>
      <w:r w:rsidRPr="00E6598C">
        <w:rPr>
          <w:rFonts w:ascii="Arial" w:hAnsi="Arial" w:cs="Arial"/>
          <w:szCs w:val="22"/>
          <w:lang w:val="es-CO"/>
        </w:rPr>
        <w:t>?</w:t>
      </w:r>
    </w:p>
    <w:p w:rsidR="00AC35BF" w:rsidRPr="00E6598C" w:rsidRDefault="00AC35BF" w:rsidP="00AC35BF">
      <w:pPr>
        <w:pStyle w:val="Textoindependiente"/>
        <w:spacing w:line="360" w:lineRule="auto"/>
        <w:rPr>
          <w:rFonts w:ascii="Arial" w:hAnsi="Arial" w:cs="Arial"/>
          <w:szCs w:val="22"/>
          <w:lang w:val="es-CO"/>
        </w:rPr>
      </w:pPr>
    </w:p>
    <w:p w:rsidR="00AC35BF" w:rsidRPr="00E6598C" w:rsidRDefault="00AC35BF" w:rsidP="00AC35BF">
      <w:pPr>
        <w:pStyle w:val="Textoindependiente"/>
        <w:numPr>
          <w:ilvl w:val="1"/>
          <w:numId w:val="3"/>
        </w:numPr>
        <w:spacing w:line="360" w:lineRule="auto"/>
        <w:ind w:left="709" w:hanging="709"/>
        <w:rPr>
          <w:rFonts w:ascii="Arial" w:hAnsi="Arial" w:cs="Arial"/>
          <w:lang w:val="es-CO"/>
        </w:rPr>
      </w:pPr>
      <w:r w:rsidRPr="00E6598C">
        <w:rPr>
          <w:rFonts w:ascii="Arial" w:hAnsi="Arial" w:cs="Arial"/>
          <w:lang w:val="es-CO"/>
        </w:rPr>
        <w:t>La resolución del problema jurídico</w:t>
      </w:r>
    </w:p>
    <w:p w:rsidR="00AC35BF" w:rsidRDefault="00AC35BF" w:rsidP="00AC35BF">
      <w:pPr>
        <w:pStyle w:val="Textoindependiente"/>
        <w:spacing w:line="360" w:lineRule="auto"/>
        <w:rPr>
          <w:rFonts w:ascii="Arial" w:hAnsi="Arial" w:cs="Arial"/>
          <w:szCs w:val="24"/>
          <w:lang w:val="es-CO"/>
        </w:rPr>
      </w:pPr>
    </w:p>
    <w:p w:rsidR="00AC35BF" w:rsidRDefault="00AC35BF" w:rsidP="00AC35BF">
      <w:pPr>
        <w:pStyle w:val="Textoindependiente"/>
        <w:numPr>
          <w:ilvl w:val="2"/>
          <w:numId w:val="3"/>
        </w:numPr>
        <w:spacing w:line="360" w:lineRule="auto"/>
        <w:rPr>
          <w:rFonts w:ascii="Arial" w:hAnsi="Arial" w:cs="Arial"/>
          <w:szCs w:val="24"/>
          <w:lang w:val="es-CO"/>
        </w:rPr>
      </w:pPr>
      <w:r>
        <w:rPr>
          <w:rFonts w:ascii="Arial" w:hAnsi="Arial" w:cs="Arial"/>
          <w:szCs w:val="24"/>
          <w:lang w:val="es-CO"/>
        </w:rPr>
        <w:t>El marco normativo del SRPA</w:t>
      </w:r>
    </w:p>
    <w:p w:rsidR="00AC35BF" w:rsidRPr="0013148D" w:rsidRDefault="00AC35BF" w:rsidP="00AC35BF">
      <w:pPr>
        <w:pStyle w:val="Textoindependiente"/>
        <w:spacing w:line="360" w:lineRule="auto"/>
        <w:rPr>
          <w:rFonts w:ascii="Arial" w:hAnsi="Arial" w:cs="Arial"/>
          <w:szCs w:val="24"/>
          <w:lang w:val="es-CO"/>
        </w:rPr>
      </w:pPr>
    </w:p>
    <w:p w:rsidR="00AC35BF" w:rsidRDefault="00AC35BF" w:rsidP="00AC35BF">
      <w:pPr>
        <w:spacing w:line="360" w:lineRule="auto"/>
        <w:jc w:val="both"/>
        <w:rPr>
          <w:rFonts w:ascii="Arial" w:hAnsi="Arial" w:cs="Arial"/>
          <w:szCs w:val="24"/>
          <w:lang w:val="es-CO"/>
        </w:rPr>
      </w:pPr>
      <w:r w:rsidRPr="007B3EC0">
        <w:rPr>
          <w:rFonts w:ascii="Arial" w:hAnsi="Arial" w:cs="Arial"/>
          <w:sz w:val="24"/>
          <w:szCs w:val="24"/>
          <w:lang w:val="es-CO"/>
        </w:rPr>
        <w:t>El sistema de responsabilidad penal para adolescentes – SRPA, está consagrado en el Libro Segundo de la Ley 1098</w:t>
      </w:r>
      <w:r>
        <w:rPr>
          <w:rFonts w:ascii="Arial" w:hAnsi="Arial" w:cs="Arial"/>
          <w:sz w:val="24"/>
          <w:szCs w:val="24"/>
          <w:lang w:val="es-CO"/>
        </w:rPr>
        <w:t xml:space="preserve">, y de allí se puede advertir que se trata de </w:t>
      </w:r>
      <w:r w:rsidRPr="007B3EC0">
        <w:rPr>
          <w:rFonts w:ascii="Arial" w:hAnsi="Arial" w:cs="Arial"/>
          <w:sz w:val="24"/>
          <w:szCs w:val="24"/>
          <w:lang w:val="es-CO"/>
        </w:rPr>
        <w:t>un conjunto de disposiciones especial</w:t>
      </w:r>
      <w:r>
        <w:rPr>
          <w:rFonts w:ascii="Arial" w:hAnsi="Arial" w:cs="Arial"/>
          <w:sz w:val="24"/>
          <w:szCs w:val="24"/>
          <w:lang w:val="es-CO"/>
        </w:rPr>
        <w:t>es</w:t>
      </w:r>
      <w:r w:rsidRPr="007B3EC0">
        <w:rPr>
          <w:rFonts w:ascii="Arial" w:hAnsi="Arial" w:cs="Arial"/>
          <w:sz w:val="24"/>
          <w:szCs w:val="24"/>
          <w:lang w:val="es-CO"/>
        </w:rPr>
        <w:t xml:space="preserve"> a través del cual el Estado colombiano se pone a tono con los tratados suscritos sobre la materia</w:t>
      </w:r>
      <w:r w:rsidRPr="007B3EC0">
        <w:rPr>
          <w:rStyle w:val="Refdenotaalpie"/>
          <w:rFonts w:ascii="Arial" w:hAnsi="Arial" w:cs="Arial"/>
          <w:sz w:val="24"/>
          <w:szCs w:val="24"/>
          <w:lang w:val="es-CO"/>
        </w:rPr>
        <w:footnoteReference w:id="5"/>
      </w:r>
      <w:r w:rsidRPr="007B3EC0">
        <w:rPr>
          <w:rFonts w:ascii="Arial" w:hAnsi="Arial" w:cs="Arial"/>
          <w:sz w:val="24"/>
          <w:szCs w:val="24"/>
          <w:lang w:val="es-CO"/>
        </w:rPr>
        <w:t xml:space="preserve">.  Ese marco regulatorio, se complementa con Ley 906, en razón de la expresa remisión consagrada en el artículo 144 del Código de </w:t>
      </w:r>
      <w:smartTag w:uri="urn:schemas-microsoft-com:office:smarttags" w:element="PersonName">
        <w:smartTagPr>
          <w:attr w:name="ProductID" w:val="la Infancia"/>
        </w:smartTagPr>
        <w:r w:rsidRPr="007B3EC0">
          <w:rPr>
            <w:rFonts w:ascii="Arial" w:hAnsi="Arial" w:cs="Arial"/>
            <w:sz w:val="24"/>
            <w:szCs w:val="24"/>
            <w:lang w:val="es-CO"/>
          </w:rPr>
          <w:t>la Infancia</w:t>
        </w:r>
      </w:smartTag>
      <w:r w:rsidRPr="007B3EC0">
        <w:rPr>
          <w:rFonts w:ascii="Arial" w:hAnsi="Arial" w:cs="Arial"/>
          <w:sz w:val="24"/>
          <w:szCs w:val="24"/>
          <w:lang w:val="es-CO"/>
        </w:rPr>
        <w:t xml:space="preserve"> y la Adolescencia</w:t>
      </w:r>
      <w:r>
        <w:rPr>
          <w:rFonts w:ascii="Arial" w:hAnsi="Arial" w:cs="Arial"/>
          <w:sz w:val="24"/>
          <w:szCs w:val="24"/>
          <w:lang w:val="es-CO"/>
        </w:rPr>
        <w:t xml:space="preserve"> - CIA</w:t>
      </w:r>
      <w:r w:rsidRPr="007B3EC0">
        <w:rPr>
          <w:rFonts w:ascii="Arial" w:hAnsi="Arial" w:cs="Arial"/>
          <w:sz w:val="24"/>
          <w:szCs w:val="24"/>
          <w:lang w:val="es-CO"/>
        </w:rPr>
        <w:t xml:space="preserve">, </w:t>
      </w:r>
      <w:r>
        <w:rPr>
          <w:rFonts w:ascii="Arial" w:hAnsi="Arial" w:cs="Arial"/>
          <w:sz w:val="24"/>
          <w:szCs w:val="24"/>
          <w:lang w:val="es-CO"/>
        </w:rPr>
        <w:t xml:space="preserve">salvo </w:t>
      </w:r>
      <w:r w:rsidRPr="007B3EC0">
        <w:rPr>
          <w:rFonts w:ascii="Arial" w:hAnsi="Arial" w:cs="Arial"/>
          <w:sz w:val="24"/>
          <w:szCs w:val="24"/>
          <w:lang w:val="es-CO"/>
        </w:rPr>
        <w:t>aquellas disposiciones “</w:t>
      </w:r>
      <w:r w:rsidRPr="007B3EC0">
        <w:rPr>
          <w:rFonts w:ascii="Arial" w:hAnsi="Arial" w:cs="Arial"/>
          <w:i/>
          <w:sz w:val="24"/>
          <w:szCs w:val="24"/>
          <w:lang w:val="es-CO"/>
        </w:rPr>
        <w:t>que sean contrarias al interés superior del adolescente</w:t>
      </w:r>
      <w:r w:rsidRPr="007B3EC0">
        <w:rPr>
          <w:rFonts w:ascii="Arial" w:hAnsi="Arial" w:cs="Arial"/>
          <w:sz w:val="24"/>
          <w:szCs w:val="24"/>
          <w:lang w:val="es-CO"/>
        </w:rPr>
        <w:t>”.</w:t>
      </w:r>
    </w:p>
    <w:p w:rsidR="00AC35BF" w:rsidRDefault="00AC35BF" w:rsidP="00AC35BF">
      <w:pPr>
        <w:spacing w:line="360" w:lineRule="auto"/>
        <w:jc w:val="both"/>
        <w:rPr>
          <w:rFonts w:ascii="Arial" w:hAnsi="Arial" w:cs="Arial"/>
          <w:szCs w:val="24"/>
          <w:lang w:val="es-CO"/>
        </w:rPr>
      </w:pPr>
    </w:p>
    <w:p w:rsidR="00AC35BF" w:rsidRPr="007B3EC0" w:rsidRDefault="00AC35BF" w:rsidP="00AC35BF">
      <w:pPr>
        <w:spacing w:line="360" w:lineRule="auto"/>
        <w:jc w:val="both"/>
        <w:rPr>
          <w:rFonts w:ascii="Arial" w:hAnsi="Arial" w:cs="Arial"/>
          <w:szCs w:val="24"/>
          <w:lang w:val="es-CO"/>
        </w:rPr>
      </w:pPr>
      <w:r w:rsidRPr="007B3EC0">
        <w:rPr>
          <w:rFonts w:ascii="Arial" w:hAnsi="Arial" w:cs="Arial"/>
          <w:sz w:val="24"/>
          <w:szCs w:val="24"/>
          <w:lang w:val="es-CO"/>
        </w:rPr>
        <w:t>Por lo dicho, enseña la Corte Suprema de Justicia, Sala de Casación Penal</w:t>
      </w:r>
      <w:r>
        <w:rPr>
          <w:rStyle w:val="Refdenotaalpie"/>
          <w:rFonts w:ascii="Arial" w:hAnsi="Arial"/>
          <w:sz w:val="24"/>
          <w:szCs w:val="24"/>
          <w:lang w:val="es-CO"/>
        </w:rPr>
        <w:footnoteReference w:id="6"/>
      </w:r>
      <w:r w:rsidRPr="007B3EC0">
        <w:rPr>
          <w:rFonts w:ascii="Arial" w:hAnsi="Arial" w:cs="Arial"/>
          <w:sz w:val="24"/>
          <w:szCs w:val="24"/>
          <w:lang w:val="es-CO"/>
        </w:rPr>
        <w:t xml:space="preserve">, que dada la naturaleza protectora de esas normas, el sistema de tendencia acusatoria acogido en </w:t>
      </w:r>
      <w:smartTag w:uri="urn:schemas-microsoft-com:office:smarttags" w:element="PersonName">
        <w:smartTagPr>
          <w:attr w:name="ProductID" w:val="la Ley"/>
        </w:smartTagPr>
        <w:r w:rsidRPr="007B3EC0">
          <w:rPr>
            <w:rFonts w:ascii="Arial" w:hAnsi="Arial" w:cs="Arial"/>
            <w:sz w:val="24"/>
            <w:szCs w:val="24"/>
            <w:lang w:val="es-CO"/>
          </w:rPr>
          <w:t>la Ley</w:t>
        </w:r>
      </w:smartTag>
      <w:r w:rsidRPr="007B3EC0">
        <w:rPr>
          <w:rFonts w:ascii="Arial" w:hAnsi="Arial" w:cs="Arial"/>
          <w:sz w:val="24"/>
          <w:szCs w:val="24"/>
          <w:lang w:val="es-CO"/>
        </w:rPr>
        <w:t xml:space="preserve"> 906, no puede aplicarse a los adolescentes con independencia de la normativa y los postulados</w:t>
      </w:r>
      <w:r>
        <w:rPr>
          <w:rFonts w:ascii="Arial" w:hAnsi="Arial" w:cs="Arial"/>
          <w:sz w:val="24"/>
          <w:szCs w:val="24"/>
          <w:lang w:val="es-CO"/>
        </w:rPr>
        <w:t xml:space="preserve"> referidos por el bloque de constitucionalidad</w:t>
      </w:r>
      <w:r>
        <w:rPr>
          <w:rStyle w:val="Refdenotaalpie"/>
          <w:rFonts w:ascii="Arial" w:hAnsi="Arial"/>
          <w:sz w:val="24"/>
          <w:szCs w:val="24"/>
          <w:lang w:val="es-CO"/>
        </w:rPr>
        <w:footnoteReference w:id="7"/>
      </w:r>
    </w:p>
    <w:p w:rsidR="00AC35BF" w:rsidRPr="00E6598C" w:rsidRDefault="00AC35BF" w:rsidP="00AC35BF">
      <w:pPr>
        <w:pStyle w:val="Textoindependiente"/>
        <w:spacing w:line="360" w:lineRule="auto"/>
        <w:rPr>
          <w:rFonts w:ascii="Arial" w:hAnsi="Arial" w:cs="Arial"/>
          <w:lang w:val="es-CO"/>
        </w:rPr>
      </w:pPr>
    </w:p>
    <w:p w:rsidR="00AC35BF" w:rsidRPr="00E6598C" w:rsidRDefault="00AC35BF" w:rsidP="00AC35BF">
      <w:pPr>
        <w:pStyle w:val="Textoindependiente"/>
        <w:numPr>
          <w:ilvl w:val="2"/>
          <w:numId w:val="3"/>
        </w:numPr>
        <w:spacing w:line="360" w:lineRule="auto"/>
        <w:ind w:right="20"/>
        <w:rPr>
          <w:rFonts w:ascii="Arial" w:hAnsi="Arial" w:cs="Arial"/>
          <w:szCs w:val="24"/>
          <w:lang w:val="es-CO"/>
        </w:rPr>
      </w:pPr>
      <w:r w:rsidRPr="0052479C">
        <w:rPr>
          <w:rFonts w:ascii="Arial" w:hAnsi="Arial" w:cs="Arial"/>
          <w:szCs w:val="24"/>
          <w:lang w:val="es-CO"/>
        </w:rPr>
        <w:t>La prueba necesaria para condenar y el principio de presunción de inocencia</w:t>
      </w:r>
      <w:r w:rsidRPr="00E6598C">
        <w:rPr>
          <w:rFonts w:ascii="Arial" w:hAnsi="Arial" w:cs="Arial"/>
          <w:szCs w:val="24"/>
          <w:lang w:val="es-CO"/>
        </w:rPr>
        <w:t xml:space="preserve"> </w:t>
      </w:r>
    </w:p>
    <w:p w:rsidR="00AC35BF" w:rsidRPr="00E6598C" w:rsidRDefault="00AC35BF" w:rsidP="00AC35BF">
      <w:pPr>
        <w:pStyle w:val="Textoindependiente"/>
        <w:spacing w:line="360" w:lineRule="auto"/>
        <w:ind w:right="20"/>
        <w:rPr>
          <w:rFonts w:ascii="Arial" w:hAnsi="Arial" w:cs="Arial"/>
          <w:szCs w:val="24"/>
          <w:lang w:val="es-CO"/>
        </w:rPr>
      </w:pPr>
    </w:p>
    <w:p w:rsidR="00AC35BF" w:rsidRPr="00E6598C" w:rsidRDefault="00AC35BF" w:rsidP="00AC35BF">
      <w:pPr>
        <w:spacing w:line="360" w:lineRule="auto"/>
        <w:ind w:right="22"/>
        <w:jc w:val="both"/>
        <w:rPr>
          <w:rFonts w:ascii="Arial" w:hAnsi="Arial" w:cs="Arial"/>
          <w:sz w:val="24"/>
          <w:szCs w:val="24"/>
          <w:lang w:val="es-CO" w:eastAsia="es-CO"/>
        </w:rPr>
      </w:pPr>
      <w:r>
        <w:rPr>
          <w:rFonts w:ascii="Arial" w:hAnsi="Arial" w:cs="Arial"/>
          <w:sz w:val="24"/>
          <w:szCs w:val="24"/>
          <w:lang w:val="es-CO" w:eastAsia="es-CO"/>
        </w:rPr>
        <w:t>P</w:t>
      </w:r>
      <w:r w:rsidRPr="00E6598C">
        <w:rPr>
          <w:rFonts w:ascii="Arial" w:hAnsi="Arial" w:cs="Arial"/>
          <w:sz w:val="24"/>
          <w:szCs w:val="24"/>
          <w:lang w:val="es-CO" w:eastAsia="es-CO"/>
        </w:rPr>
        <w:t xml:space="preserve">ara </w:t>
      </w:r>
      <w:r>
        <w:rPr>
          <w:rFonts w:ascii="Arial" w:hAnsi="Arial" w:cs="Arial"/>
          <w:sz w:val="24"/>
          <w:szCs w:val="24"/>
          <w:lang w:val="es-CO" w:eastAsia="es-CO"/>
        </w:rPr>
        <w:t xml:space="preserve">condenar </w:t>
      </w:r>
      <w:r w:rsidRPr="00E6598C">
        <w:rPr>
          <w:rFonts w:ascii="Arial" w:hAnsi="Arial" w:cs="Arial"/>
          <w:sz w:val="24"/>
          <w:szCs w:val="24"/>
          <w:lang w:val="es-CO" w:eastAsia="es-CO"/>
        </w:rPr>
        <w:t xml:space="preserve">se </w:t>
      </w:r>
      <w:r>
        <w:rPr>
          <w:rFonts w:ascii="Arial" w:hAnsi="Arial" w:cs="Arial"/>
          <w:sz w:val="24"/>
          <w:szCs w:val="24"/>
          <w:lang w:val="es-CO" w:eastAsia="es-CO"/>
        </w:rPr>
        <w:t xml:space="preserve">exige </w:t>
      </w:r>
      <w:r w:rsidRPr="00E6598C">
        <w:rPr>
          <w:rFonts w:ascii="Arial" w:hAnsi="Arial" w:cs="Arial"/>
          <w:sz w:val="24"/>
          <w:szCs w:val="24"/>
          <w:lang w:val="es-CO" w:eastAsia="es-CO"/>
        </w:rPr>
        <w:t>que los medios probatorios incorporados al juicio, brinden al juzgador un conocimiento más allá de toda duda razonable sobre la existencia del delito y la responsabilidad del acusado</w:t>
      </w:r>
      <w:r>
        <w:rPr>
          <w:rFonts w:ascii="Arial" w:hAnsi="Arial" w:cs="Arial"/>
          <w:sz w:val="24"/>
          <w:szCs w:val="24"/>
          <w:lang w:val="es-CO" w:eastAsia="es-CO"/>
        </w:rPr>
        <w:t xml:space="preserve"> (Artículo 381, CP) y ello dado que </w:t>
      </w:r>
      <w:r w:rsidRPr="00E6598C">
        <w:rPr>
          <w:rFonts w:ascii="Arial" w:hAnsi="Arial" w:cs="Arial"/>
          <w:sz w:val="24"/>
          <w:szCs w:val="24"/>
          <w:lang w:val="es-CO" w:eastAsia="es-CO"/>
        </w:rPr>
        <w:t xml:space="preserve">el proceso penal </w:t>
      </w:r>
      <w:r>
        <w:rPr>
          <w:rFonts w:ascii="Arial" w:hAnsi="Arial" w:cs="Arial"/>
          <w:sz w:val="24"/>
          <w:szCs w:val="24"/>
          <w:lang w:val="es-CO" w:eastAsia="es-CO"/>
        </w:rPr>
        <w:t xml:space="preserve">tiene como </w:t>
      </w:r>
      <w:r w:rsidRPr="00E6598C">
        <w:rPr>
          <w:rFonts w:ascii="Arial" w:hAnsi="Arial" w:cs="Arial"/>
          <w:sz w:val="24"/>
          <w:szCs w:val="24"/>
          <w:lang w:val="es-CO" w:eastAsia="es-CO"/>
        </w:rPr>
        <w:t>principio basilar la presunción de inocencia</w:t>
      </w:r>
      <w:r>
        <w:rPr>
          <w:rFonts w:ascii="Arial" w:hAnsi="Arial" w:cs="Arial"/>
          <w:sz w:val="24"/>
          <w:szCs w:val="24"/>
          <w:lang w:val="es-CO" w:eastAsia="es-CO"/>
        </w:rPr>
        <w:t xml:space="preserve"> (A</w:t>
      </w:r>
      <w:r w:rsidRPr="00E6598C">
        <w:rPr>
          <w:rFonts w:ascii="Arial" w:hAnsi="Arial" w:cs="Arial"/>
          <w:sz w:val="24"/>
          <w:szCs w:val="24"/>
          <w:lang w:val="es-CO" w:eastAsia="es-CO"/>
        </w:rPr>
        <w:t>rtículo 7º</w:t>
      </w:r>
      <w:r>
        <w:rPr>
          <w:rFonts w:ascii="Arial" w:hAnsi="Arial" w:cs="Arial"/>
          <w:sz w:val="24"/>
          <w:szCs w:val="24"/>
          <w:lang w:val="es-CO" w:eastAsia="es-CO"/>
        </w:rPr>
        <w:t>, CP).</w:t>
      </w:r>
    </w:p>
    <w:p w:rsidR="00AC35BF" w:rsidRPr="00E6598C" w:rsidRDefault="00AC35BF" w:rsidP="00AC35BF">
      <w:pPr>
        <w:spacing w:line="360" w:lineRule="auto"/>
        <w:ind w:right="22"/>
        <w:jc w:val="both"/>
        <w:rPr>
          <w:rFonts w:ascii="Arial" w:hAnsi="Arial" w:cs="Arial"/>
          <w:sz w:val="24"/>
          <w:szCs w:val="24"/>
          <w:lang w:val="es-CO" w:eastAsia="es-CO"/>
        </w:rPr>
      </w:pPr>
    </w:p>
    <w:p w:rsidR="00AC35BF" w:rsidRPr="00E6598C" w:rsidRDefault="00AC35BF" w:rsidP="00AC35BF">
      <w:pPr>
        <w:spacing w:line="360" w:lineRule="auto"/>
        <w:ind w:right="22"/>
        <w:jc w:val="both"/>
        <w:rPr>
          <w:rFonts w:ascii="Arial" w:hAnsi="Arial" w:cs="Arial"/>
          <w:sz w:val="24"/>
          <w:szCs w:val="24"/>
          <w:lang w:val="es-CO" w:eastAsia="es-CO"/>
        </w:rPr>
      </w:pPr>
      <w:r w:rsidRPr="00E6598C">
        <w:rPr>
          <w:rFonts w:ascii="Arial" w:hAnsi="Arial" w:cs="Arial"/>
          <w:sz w:val="24"/>
          <w:szCs w:val="24"/>
          <w:lang w:val="es-CO" w:eastAsia="es-CO"/>
        </w:rPr>
        <w:t>La previsión normativa anterior se acompasa con reglas jurídicas de mayor jerarquía como nuestra Carta Política (Artículo 29) y algunos instrumentos internacionales sobre derechos humanos</w:t>
      </w:r>
      <w:r w:rsidRPr="00E6598C">
        <w:rPr>
          <w:rStyle w:val="Refdenotaalpie"/>
          <w:rFonts w:ascii="Arial" w:hAnsi="Arial" w:cs="Arial"/>
          <w:sz w:val="24"/>
          <w:szCs w:val="24"/>
          <w:lang w:val="es-CO" w:eastAsia="es-CO"/>
        </w:rPr>
        <w:footnoteReference w:id="8"/>
      </w:r>
      <w:r w:rsidRPr="00E6598C">
        <w:rPr>
          <w:rFonts w:ascii="Arial" w:hAnsi="Arial" w:cs="Arial"/>
          <w:sz w:val="24"/>
          <w:szCs w:val="24"/>
          <w:lang w:val="es-CO" w:eastAsia="es-CO"/>
        </w:rPr>
        <w:t>, que consagran las garantías judiciales mínimas para los procesados en juicios criminales.</w:t>
      </w:r>
    </w:p>
    <w:p w:rsidR="00AC35BF" w:rsidRPr="00E6598C" w:rsidRDefault="00AC35BF" w:rsidP="00AC35BF">
      <w:pPr>
        <w:spacing w:line="360" w:lineRule="auto"/>
        <w:ind w:right="22"/>
        <w:jc w:val="both"/>
        <w:rPr>
          <w:rFonts w:ascii="Arial" w:hAnsi="Arial" w:cs="Arial"/>
          <w:sz w:val="24"/>
          <w:szCs w:val="24"/>
          <w:lang w:val="es-CO" w:eastAsia="es-CO"/>
        </w:rPr>
      </w:pPr>
    </w:p>
    <w:p w:rsidR="00AC35BF" w:rsidRDefault="00AC35BF" w:rsidP="00AC35BF">
      <w:pPr>
        <w:spacing w:line="360" w:lineRule="auto"/>
        <w:ind w:right="22"/>
        <w:jc w:val="both"/>
        <w:rPr>
          <w:rFonts w:ascii="Arial" w:hAnsi="Arial" w:cs="Arial"/>
          <w:sz w:val="24"/>
          <w:szCs w:val="24"/>
          <w:lang w:val="es-CO" w:eastAsia="es-CO"/>
        </w:rPr>
      </w:pPr>
      <w:r>
        <w:rPr>
          <w:rFonts w:ascii="Arial" w:hAnsi="Arial" w:cs="Arial"/>
          <w:sz w:val="24"/>
          <w:szCs w:val="24"/>
          <w:lang w:val="es-CO" w:eastAsia="es-CO"/>
        </w:rPr>
        <w:lastRenderedPageBreak/>
        <w:t>V</w:t>
      </w:r>
      <w:r w:rsidRPr="00E6598C">
        <w:rPr>
          <w:rFonts w:ascii="Arial" w:hAnsi="Arial" w:cs="Arial"/>
          <w:sz w:val="24"/>
          <w:szCs w:val="24"/>
          <w:lang w:val="es-CO" w:eastAsia="es-CO"/>
        </w:rPr>
        <w:t xml:space="preserve">arios principios se derivan </w:t>
      </w:r>
      <w:r>
        <w:rPr>
          <w:rFonts w:ascii="Arial" w:hAnsi="Arial" w:cs="Arial"/>
          <w:sz w:val="24"/>
          <w:szCs w:val="24"/>
          <w:lang w:val="es-CO" w:eastAsia="es-CO"/>
        </w:rPr>
        <w:t xml:space="preserve">de lo anotado, y deben estimarse </w:t>
      </w:r>
      <w:r w:rsidRPr="00E6598C">
        <w:rPr>
          <w:rFonts w:ascii="Arial" w:hAnsi="Arial" w:cs="Arial"/>
          <w:sz w:val="24"/>
          <w:szCs w:val="24"/>
          <w:lang w:val="es-CO" w:eastAsia="es-CO"/>
        </w:rPr>
        <w:t>al sentencia</w:t>
      </w:r>
      <w:r>
        <w:rPr>
          <w:rFonts w:ascii="Arial" w:hAnsi="Arial" w:cs="Arial"/>
          <w:sz w:val="24"/>
          <w:szCs w:val="24"/>
          <w:lang w:val="es-CO" w:eastAsia="es-CO"/>
        </w:rPr>
        <w:t>r</w:t>
      </w:r>
      <w:r w:rsidRPr="00E6598C">
        <w:rPr>
          <w:rStyle w:val="Refdenotaalpie"/>
          <w:rFonts w:ascii="Arial" w:hAnsi="Arial" w:cs="Arial"/>
          <w:sz w:val="24"/>
          <w:szCs w:val="24"/>
          <w:lang w:val="es-CO" w:eastAsia="es-CO"/>
        </w:rPr>
        <w:footnoteReference w:id="9"/>
      </w:r>
      <w:r w:rsidRPr="00E6598C">
        <w:rPr>
          <w:rFonts w:ascii="Arial" w:hAnsi="Arial" w:cs="Arial"/>
          <w:sz w:val="24"/>
          <w:szCs w:val="24"/>
          <w:lang w:val="es-CO" w:eastAsia="es-CO"/>
        </w:rPr>
        <w:t>: (i) La presunción de inocencia; (ii) El in dubio pro reo; (iii) La carga de la prueba de la FGN sobre la responsabilidad penal; y, (iv) La necesidad de lograr un convencimiento más allá de toda duda razonable, sobre la responsabilidad del acusado, para imponer condena.</w:t>
      </w:r>
    </w:p>
    <w:p w:rsidR="00AC35BF" w:rsidRPr="00E6598C" w:rsidRDefault="00AC35BF" w:rsidP="00AC35BF">
      <w:pPr>
        <w:spacing w:line="360" w:lineRule="auto"/>
        <w:ind w:right="22"/>
        <w:jc w:val="both"/>
        <w:rPr>
          <w:rFonts w:ascii="Arial" w:hAnsi="Arial" w:cs="Arial"/>
          <w:sz w:val="24"/>
          <w:szCs w:val="24"/>
          <w:lang w:val="es-CO" w:eastAsia="es-CO"/>
        </w:rPr>
      </w:pPr>
    </w:p>
    <w:p w:rsidR="00AC35BF" w:rsidRDefault="00AC35BF" w:rsidP="00AC35BF">
      <w:pPr>
        <w:spacing w:line="360" w:lineRule="auto"/>
        <w:ind w:right="22"/>
        <w:jc w:val="both"/>
        <w:rPr>
          <w:rFonts w:ascii="Arial" w:hAnsi="Arial" w:cs="Arial"/>
          <w:sz w:val="24"/>
          <w:szCs w:val="24"/>
          <w:lang w:val="es-CO" w:eastAsia="es-CO"/>
        </w:rPr>
      </w:pPr>
      <w:r w:rsidRPr="00E6598C">
        <w:rPr>
          <w:rFonts w:ascii="Arial" w:hAnsi="Arial" w:cs="Arial"/>
          <w:sz w:val="24"/>
          <w:szCs w:val="24"/>
          <w:lang w:val="es-CO" w:eastAsia="es-CO"/>
        </w:rPr>
        <w:t>En la teoría sobre los derechos subjetivos, que ha desarrollado la Corte Constitucional</w:t>
      </w:r>
      <w:r w:rsidRPr="00E6598C">
        <w:rPr>
          <w:rStyle w:val="Refdenotaalpie"/>
          <w:rFonts w:ascii="Arial" w:hAnsi="Arial" w:cs="Arial"/>
          <w:sz w:val="24"/>
          <w:szCs w:val="24"/>
          <w:lang w:val="es-CO" w:eastAsia="es-CO"/>
        </w:rPr>
        <w:footnoteReference w:id="10"/>
      </w:r>
      <w:r w:rsidRPr="00E6598C">
        <w:rPr>
          <w:rFonts w:ascii="Arial" w:hAnsi="Arial" w:cs="Arial"/>
          <w:sz w:val="24"/>
          <w:szCs w:val="24"/>
          <w:lang w:val="es-CO" w:eastAsia="es-CO"/>
        </w:rPr>
        <w:t xml:space="preserve"> nuestra, se ha precisado que la </w:t>
      </w:r>
      <w:r w:rsidRPr="00E6598C">
        <w:rPr>
          <w:rFonts w:ascii="Arial" w:hAnsi="Arial" w:cs="Arial"/>
          <w:i/>
          <w:sz w:val="24"/>
          <w:szCs w:val="24"/>
          <w:lang w:val="es-CO" w:eastAsia="es-CO"/>
        </w:rPr>
        <w:t>presunción de inocencia</w:t>
      </w:r>
      <w:r w:rsidRPr="00E6598C">
        <w:rPr>
          <w:rFonts w:ascii="Arial" w:hAnsi="Arial" w:cs="Arial"/>
          <w:sz w:val="24"/>
          <w:szCs w:val="24"/>
          <w:lang w:val="es-CO" w:eastAsia="es-CO"/>
        </w:rPr>
        <w:t xml:space="preserve"> constituye un derecho fundamental</w:t>
      </w:r>
      <w:r>
        <w:rPr>
          <w:rFonts w:ascii="Arial" w:hAnsi="Arial" w:cs="Arial"/>
          <w:sz w:val="24"/>
          <w:szCs w:val="24"/>
          <w:lang w:val="es-CO" w:eastAsia="es-CO"/>
        </w:rPr>
        <w:t>.</w:t>
      </w:r>
    </w:p>
    <w:p w:rsidR="00AC35BF" w:rsidRPr="00E6598C" w:rsidRDefault="00AC35BF" w:rsidP="00AC35BF">
      <w:pPr>
        <w:spacing w:line="360" w:lineRule="auto"/>
        <w:ind w:right="22"/>
        <w:jc w:val="both"/>
        <w:rPr>
          <w:rFonts w:ascii="Arial" w:hAnsi="Arial" w:cs="Arial"/>
          <w:sz w:val="24"/>
          <w:szCs w:val="24"/>
          <w:lang w:val="es-CO" w:eastAsia="es-CO"/>
        </w:rPr>
      </w:pPr>
    </w:p>
    <w:p w:rsidR="00AC35BF" w:rsidRDefault="00AC35BF" w:rsidP="00AC35BF">
      <w:pPr>
        <w:spacing w:line="360" w:lineRule="auto"/>
        <w:ind w:right="22"/>
        <w:jc w:val="both"/>
        <w:rPr>
          <w:rFonts w:ascii="Arial" w:hAnsi="Arial" w:cs="Arial"/>
          <w:sz w:val="24"/>
          <w:szCs w:val="24"/>
          <w:lang w:val="es-CO" w:eastAsia="es-CO"/>
        </w:rPr>
      </w:pPr>
      <w:r w:rsidRPr="00E6598C">
        <w:rPr>
          <w:rFonts w:ascii="Arial" w:hAnsi="Arial" w:cs="Arial"/>
          <w:sz w:val="24"/>
          <w:szCs w:val="24"/>
          <w:lang w:val="es-CO" w:eastAsia="es-CO"/>
        </w:rPr>
        <w:t>Y como consecuencia del principio en comento, se reconoce</w:t>
      </w:r>
      <w:r w:rsidR="00AB7C26">
        <w:rPr>
          <w:rFonts w:ascii="Arial" w:hAnsi="Arial" w:cs="Arial"/>
          <w:sz w:val="24"/>
          <w:szCs w:val="24"/>
          <w:lang w:val="es-CO" w:eastAsia="es-CO"/>
        </w:rPr>
        <w:t xml:space="preserve"> el</w:t>
      </w:r>
      <w:r w:rsidRPr="00E6598C">
        <w:rPr>
          <w:rFonts w:ascii="Arial" w:hAnsi="Arial" w:cs="Arial"/>
          <w:sz w:val="24"/>
          <w:szCs w:val="24"/>
          <w:lang w:val="es-CO" w:eastAsia="es-CO"/>
        </w:rPr>
        <w:t xml:space="preserve"> aforismo latino “</w:t>
      </w:r>
      <w:r w:rsidRPr="00E6598C">
        <w:rPr>
          <w:rFonts w:ascii="Arial" w:hAnsi="Arial" w:cs="Arial"/>
          <w:i/>
          <w:sz w:val="24"/>
          <w:szCs w:val="24"/>
          <w:lang w:val="es-CO" w:eastAsia="es-CO"/>
        </w:rPr>
        <w:t>in dubio pro reo</w:t>
      </w:r>
      <w:r w:rsidRPr="00E6598C">
        <w:rPr>
          <w:rFonts w:ascii="Arial" w:hAnsi="Arial" w:cs="Arial"/>
          <w:sz w:val="24"/>
          <w:szCs w:val="24"/>
          <w:lang w:val="es-CO" w:eastAsia="es-CO"/>
        </w:rPr>
        <w:t xml:space="preserve">”, cuyo predicamento enseña que “toda duda debe ser resuelta a favor del procesado”, de allí que se deduzca la carga procesal que corresponde al ente acusador; y esto último permite también inferir que cuando quiera </w:t>
      </w:r>
      <w:r w:rsidR="00AB7C26">
        <w:rPr>
          <w:rFonts w:ascii="Arial" w:hAnsi="Arial" w:cs="Arial"/>
          <w:sz w:val="24"/>
          <w:szCs w:val="24"/>
          <w:lang w:val="es-CO" w:eastAsia="es-CO"/>
        </w:rPr>
        <w:t xml:space="preserve">que </w:t>
      </w:r>
      <w:r w:rsidRPr="00E6598C">
        <w:rPr>
          <w:rFonts w:ascii="Arial" w:hAnsi="Arial" w:cs="Arial"/>
          <w:sz w:val="24"/>
          <w:szCs w:val="24"/>
          <w:lang w:val="es-CO" w:eastAsia="es-CO"/>
        </w:rPr>
        <w:t>se desatienda en debida forma, se impondrá una decisión de índole absolutorio.</w:t>
      </w:r>
    </w:p>
    <w:p w:rsidR="00AC35BF" w:rsidRPr="00E6598C" w:rsidRDefault="00AC35BF" w:rsidP="00AC35BF">
      <w:pPr>
        <w:spacing w:line="360" w:lineRule="auto"/>
        <w:ind w:right="22"/>
        <w:jc w:val="both"/>
        <w:rPr>
          <w:rFonts w:ascii="Arial" w:hAnsi="Arial" w:cs="Arial"/>
          <w:sz w:val="24"/>
          <w:szCs w:val="24"/>
          <w:lang w:val="es-CO" w:eastAsia="es-CO"/>
        </w:rPr>
      </w:pPr>
    </w:p>
    <w:p w:rsidR="00AC35BF" w:rsidRPr="00E6598C" w:rsidRDefault="00AC35BF" w:rsidP="00AC35BF">
      <w:pPr>
        <w:spacing w:line="360" w:lineRule="auto"/>
        <w:ind w:right="22"/>
        <w:jc w:val="both"/>
        <w:rPr>
          <w:rFonts w:ascii="Arial" w:hAnsi="Arial" w:cs="Arial"/>
          <w:sz w:val="24"/>
          <w:szCs w:val="22"/>
          <w:lang w:val="es-CO" w:eastAsia="es-CO"/>
        </w:rPr>
      </w:pPr>
      <w:r>
        <w:rPr>
          <w:rFonts w:ascii="Arial" w:hAnsi="Arial" w:cs="Arial"/>
          <w:sz w:val="24"/>
          <w:szCs w:val="24"/>
          <w:lang w:val="es-CO" w:eastAsia="es-CO"/>
        </w:rPr>
        <w:t xml:space="preserve">Así entonces, </w:t>
      </w:r>
      <w:r w:rsidRPr="00E6598C">
        <w:rPr>
          <w:rFonts w:ascii="Arial" w:hAnsi="Arial" w:cs="Arial"/>
          <w:sz w:val="24"/>
          <w:szCs w:val="24"/>
          <w:lang w:val="es-CO" w:eastAsia="es-CO"/>
        </w:rPr>
        <w:t>la carga probatoria gravita en cabeza de la FGN</w:t>
      </w:r>
      <w:r>
        <w:rPr>
          <w:rFonts w:ascii="Arial" w:hAnsi="Arial" w:cs="Arial"/>
          <w:sz w:val="24"/>
          <w:szCs w:val="24"/>
          <w:lang w:val="es-CO" w:eastAsia="es-CO"/>
        </w:rPr>
        <w:t xml:space="preserve"> para </w:t>
      </w:r>
      <w:r w:rsidRPr="00E6598C">
        <w:rPr>
          <w:rFonts w:ascii="Arial" w:hAnsi="Arial" w:cs="Arial"/>
          <w:sz w:val="24"/>
          <w:szCs w:val="24"/>
          <w:lang w:val="es-CO" w:eastAsia="es-CO"/>
        </w:rPr>
        <w:t>desvirtuar la explicada presunción de inocencia, a través de los medios</w:t>
      </w:r>
      <w:r w:rsidR="00AB7C26">
        <w:rPr>
          <w:rFonts w:ascii="Arial" w:hAnsi="Arial" w:cs="Arial"/>
          <w:sz w:val="24"/>
          <w:szCs w:val="24"/>
          <w:lang w:val="es-CO" w:eastAsia="es-CO"/>
        </w:rPr>
        <w:t xml:space="preserve"> de prueba allegados al juicio; </w:t>
      </w:r>
      <w:r w:rsidRPr="00E6598C">
        <w:rPr>
          <w:rFonts w:ascii="Arial" w:hAnsi="Arial" w:cs="Arial"/>
          <w:sz w:val="24"/>
          <w:szCs w:val="24"/>
          <w:lang w:val="es-CO" w:eastAsia="es-CO"/>
        </w:rPr>
        <w:t xml:space="preserve">por manera que el estado de conocimiento que se alcance vaya más allá de la probabilidad de verdad, que es lo requerido para acusar, porque superada esa fase con el </w:t>
      </w:r>
      <w:r>
        <w:rPr>
          <w:rFonts w:ascii="Arial" w:hAnsi="Arial" w:cs="Arial"/>
          <w:sz w:val="24"/>
          <w:szCs w:val="24"/>
          <w:lang w:val="es-CO" w:eastAsia="es-CO"/>
        </w:rPr>
        <w:t>juzgamiento,</w:t>
      </w:r>
      <w:r w:rsidRPr="00E6598C">
        <w:rPr>
          <w:rFonts w:ascii="Arial" w:hAnsi="Arial" w:cs="Arial"/>
          <w:sz w:val="24"/>
          <w:szCs w:val="24"/>
          <w:lang w:val="es-CO" w:eastAsia="es-CO"/>
        </w:rPr>
        <w:t xml:space="preserve"> </w:t>
      </w:r>
      <w:r>
        <w:rPr>
          <w:rFonts w:ascii="Arial" w:hAnsi="Arial" w:cs="Arial"/>
          <w:sz w:val="24"/>
          <w:szCs w:val="24"/>
          <w:lang w:val="es-CO" w:eastAsia="es-CO"/>
        </w:rPr>
        <w:t xml:space="preserve">el presupuesto </w:t>
      </w:r>
      <w:r w:rsidRPr="00E6598C">
        <w:rPr>
          <w:rFonts w:ascii="Arial" w:hAnsi="Arial" w:cs="Arial"/>
          <w:sz w:val="24"/>
          <w:szCs w:val="24"/>
          <w:lang w:val="es-CO" w:eastAsia="es-CO"/>
        </w:rPr>
        <w:t>para condenar es la convicción sobre la existencia del punible y la participación del procesado</w:t>
      </w:r>
      <w:r w:rsidRPr="00E6598C">
        <w:rPr>
          <w:rFonts w:ascii="Arial" w:hAnsi="Arial" w:cs="Arial"/>
          <w:sz w:val="24"/>
          <w:szCs w:val="22"/>
          <w:lang w:val="es-CO" w:eastAsia="es-CO"/>
        </w:rPr>
        <w:t>.</w:t>
      </w:r>
    </w:p>
    <w:p w:rsidR="00AC35BF" w:rsidRPr="00E6598C" w:rsidRDefault="00AC35BF" w:rsidP="00AC35BF">
      <w:pPr>
        <w:spacing w:line="360" w:lineRule="auto"/>
        <w:ind w:right="22"/>
        <w:jc w:val="both"/>
        <w:rPr>
          <w:rFonts w:ascii="Arial" w:hAnsi="Arial" w:cs="Arial"/>
          <w:sz w:val="24"/>
          <w:szCs w:val="22"/>
          <w:lang w:val="es-CO" w:eastAsia="es-CO"/>
        </w:rPr>
      </w:pPr>
    </w:p>
    <w:p w:rsidR="00AC35BF" w:rsidRPr="00E6598C" w:rsidRDefault="00AC35BF" w:rsidP="00AC35BF">
      <w:pPr>
        <w:spacing w:line="360" w:lineRule="auto"/>
        <w:ind w:right="22"/>
        <w:jc w:val="both"/>
        <w:rPr>
          <w:rFonts w:ascii="Arial" w:hAnsi="Arial" w:cs="Arial"/>
          <w:sz w:val="24"/>
          <w:szCs w:val="24"/>
          <w:lang w:val="es-CO" w:eastAsia="es-CO"/>
        </w:rPr>
      </w:pPr>
      <w:r w:rsidRPr="00E6598C">
        <w:rPr>
          <w:rFonts w:ascii="Arial" w:hAnsi="Arial" w:cs="Arial"/>
          <w:sz w:val="24"/>
          <w:szCs w:val="22"/>
          <w:lang w:val="es-CO" w:eastAsia="es-CO"/>
        </w:rPr>
        <w:t>A tono con este pensamiento dice la Corte Constitucional</w:t>
      </w:r>
      <w:r w:rsidRPr="00E6598C">
        <w:rPr>
          <w:rStyle w:val="Refdenotaalpie"/>
          <w:rFonts w:ascii="Arial" w:hAnsi="Arial" w:cs="Arial"/>
          <w:sz w:val="24"/>
          <w:szCs w:val="22"/>
          <w:lang w:val="es-CO" w:eastAsia="es-CO"/>
        </w:rPr>
        <w:footnoteReference w:id="11"/>
      </w:r>
      <w:r w:rsidRPr="00E6598C">
        <w:rPr>
          <w:rFonts w:ascii="Arial" w:hAnsi="Arial" w:cs="Arial"/>
          <w:sz w:val="24"/>
          <w:szCs w:val="22"/>
          <w:lang w:val="es-CO" w:eastAsia="es-CO"/>
        </w:rPr>
        <w:t>:</w:t>
      </w:r>
      <w:r w:rsidRPr="00E6598C">
        <w:rPr>
          <w:rFonts w:ascii="Arial" w:hAnsi="Arial" w:cs="Arial"/>
          <w:i/>
          <w:sz w:val="22"/>
          <w:szCs w:val="22"/>
          <w:lang w:val="es-CO" w:eastAsia="es-CO"/>
        </w:rPr>
        <w:t xml:space="preserve"> “(…) </w:t>
      </w:r>
      <w:r w:rsidRPr="00E6598C">
        <w:rPr>
          <w:rFonts w:ascii="Arial" w:hAnsi="Arial" w:cs="Arial"/>
          <w:bCs/>
          <w:i/>
          <w:color w:val="000000"/>
          <w:sz w:val="22"/>
          <w:szCs w:val="22"/>
          <w:u w:val="single"/>
          <w:lang w:val="es-CO"/>
        </w:rPr>
        <w:t>el proceso penal es un instrumento creado por el Derecho para juzgar, no necesariamente para condenar. También cumple su finalidad constitucional cuando absuelve al sindicado.</w:t>
      </w:r>
      <w:r w:rsidRPr="00E6598C">
        <w:rPr>
          <w:rFonts w:ascii="Arial" w:hAnsi="Arial" w:cs="Arial"/>
          <w:bCs/>
          <w:i/>
          <w:color w:val="000000"/>
          <w:sz w:val="22"/>
          <w:szCs w:val="22"/>
          <w:lang w:val="es-CO"/>
        </w:rPr>
        <w:t xml:space="preserve"> (…)”.</w:t>
      </w:r>
      <w:r w:rsidRPr="00E6598C">
        <w:rPr>
          <w:rFonts w:ascii="Arial" w:hAnsi="Arial" w:cs="Arial"/>
          <w:bCs/>
          <w:color w:val="000000"/>
          <w:sz w:val="22"/>
          <w:szCs w:val="22"/>
          <w:lang w:val="es-CO"/>
        </w:rPr>
        <w:t xml:space="preserve">  </w:t>
      </w:r>
      <w:proofErr w:type="spellStart"/>
      <w:r w:rsidRPr="007B3EC0">
        <w:rPr>
          <w:rFonts w:ascii="Arial" w:hAnsi="Arial" w:cs="Arial"/>
          <w:bCs/>
          <w:color w:val="000000"/>
          <w:sz w:val="24"/>
          <w:szCs w:val="22"/>
          <w:lang w:val="es-CO"/>
        </w:rPr>
        <w:t>Sublínea</w:t>
      </w:r>
      <w:proofErr w:type="spellEnd"/>
      <w:r w:rsidRPr="007B3EC0">
        <w:rPr>
          <w:rFonts w:ascii="Arial" w:hAnsi="Arial" w:cs="Arial"/>
          <w:bCs/>
          <w:color w:val="000000"/>
          <w:sz w:val="24"/>
          <w:szCs w:val="22"/>
          <w:lang w:val="es-CO"/>
        </w:rPr>
        <w:t xml:space="preserve"> </w:t>
      </w:r>
      <w:proofErr w:type="spellStart"/>
      <w:r w:rsidRPr="007B3EC0">
        <w:rPr>
          <w:rFonts w:ascii="Arial" w:hAnsi="Arial" w:cs="Arial"/>
          <w:bCs/>
          <w:color w:val="000000"/>
          <w:sz w:val="24"/>
          <w:szCs w:val="22"/>
          <w:lang w:val="es-CO"/>
        </w:rPr>
        <w:t>extratextual</w:t>
      </w:r>
      <w:proofErr w:type="spellEnd"/>
      <w:r w:rsidRPr="007B3EC0">
        <w:rPr>
          <w:rFonts w:ascii="Arial" w:hAnsi="Arial" w:cs="Arial"/>
          <w:bCs/>
          <w:color w:val="000000"/>
          <w:sz w:val="24"/>
          <w:szCs w:val="22"/>
          <w:lang w:val="es-CO"/>
        </w:rPr>
        <w:t>.</w:t>
      </w:r>
    </w:p>
    <w:p w:rsidR="00AC35BF" w:rsidRPr="00E6598C" w:rsidRDefault="00AC35BF" w:rsidP="00AC35BF">
      <w:pPr>
        <w:spacing w:line="360" w:lineRule="auto"/>
        <w:ind w:right="22"/>
        <w:jc w:val="both"/>
        <w:rPr>
          <w:rFonts w:ascii="Arial" w:hAnsi="Arial" w:cs="Arial"/>
          <w:sz w:val="24"/>
          <w:szCs w:val="24"/>
          <w:lang w:val="es-CO" w:eastAsia="es-CO"/>
        </w:rPr>
      </w:pPr>
    </w:p>
    <w:p w:rsidR="00AC35BF" w:rsidRPr="00E6598C" w:rsidRDefault="00AC35BF" w:rsidP="00AC35BF">
      <w:pPr>
        <w:spacing w:line="360" w:lineRule="auto"/>
        <w:ind w:right="22"/>
        <w:jc w:val="both"/>
        <w:rPr>
          <w:rFonts w:ascii="Arial" w:hAnsi="Arial" w:cs="Arial"/>
          <w:sz w:val="24"/>
          <w:szCs w:val="24"/>
          <w:lang w:val="es-CO" w:eastAsia="es-CO"/>
        </w:rPr>
      </w:pPr>
      <w:r w:rsidRPr="00E6598C">
        <w:rPr>
          <w:rFonts w:ascii="Arial" w:hAnsi="Arial" w:cs="Arial"/>
          <w:sz w:val="24"/>
          <w:szCs w:val="24"/>
          <w:lang w:val="es-CO" w:eastAsia="es-CO"/>
        </w:rPr>
        <w:t>En lo que dice relación con el sistema adoptado por nuestro régimen, para esa tasación se tiene reconocido sin duda, que es el de la libre convicción o persuasión racional; en tal sentido en múltiples decisiones, la Corte Suprema de Justicia se ha pronunciado, a guisa de ejemplo</w:t>
      </w:r>
      <w:r w:rsidRPr="00E6598C">
        <w:rPr>
          <w:rFonts w:ascii="Arial" w:hAnsi="Arial" w:cs="Arial"/>
          <w:sz w:val="24"/>
          <w:szCs w:val="24"/>
          <w:vertAlign w:val="superscript"/>
          <w:lang w:val="es-CO" w:eastAsia="es-CO"/>
        </w:rPr>
        <w:footnoteReference w:id="12"/>
      </w:r>
      <w:r w:rsidRPr="00E6598C">
        <w:rPr>
          <w:rFonts w:ascii="Arial" w:hAnsi="Arial" w:cs="Arial"/>
          <w:sz w:val="24"/>
          <w:szCs w:val="24"/>
          <w:lang w:val="es-CO" w:eastAsia="es-CO"/>
        </w:rPr>
        <w:t>: “</w:t>
      </w:r>
      <w:r w:rsidRPr="00E6598C">
        <w:rPr>
          <w:rFonts w:ascii="Arial" w:hAnsi="Arial" w:cs="Arial"/>
          <w:i/>
          <w:sz w:val="22"/>
          <w:szCs w:val="24"/>
          <w:lang w:val="es-CO" w:eastAsia="es-CO"/>
        </w:rPr>
        <w:t xml:space="preserve">(…) </w:t>
      </w:r>
      <w:r w:rsidRPr="00E6598C">
        <w:rPr>
          <w:rFonts w:ascii="Arial" w:hAnsi="Arial" w:cs="Arial"/>
          <w:i/>
          <w:sz w:val="22"/>
          <w:szCs w:val="24"/>
          <w:lang w:val="es-CO"/>
        </w:rPr>
        <w:t>impera señalar cómo el ordenamiento procesal patrio acoge el sistema de la sana crítica o persuasión racional en virtud del cual, al apreciar los medios de convicción recaudados, el juez debe establecer por sí mismo el valor de las pruebas. Para ello, debe seguir las reglas de la lógica, la ciencia y la experiencia, ponderando, además, en forma conjunta el material acopiado y motivando el mérito otorgado al mismo.”.</w:t>
      </w:r>
    </w:p>
    <w:p w:rsidR="00AC35BF" w:rsidRPr="00E6598C" w:rsidRDefault="00AC35BF" w:rsidP="00AC35BF">
      <w:pPr>
        <w:spacing w:line="360" w:lineRule="auto"/>
        <w:ind w:right="22"/>
        <w:jc w:val="both"/>
        <w:rPr>
          <w:rFonts w:ascii="Arial" w:hAnsi="Arial" w:cs="Arial"/>
          <w:sz w:val="24"/>
          <w:szCs w:val="24"/>
          <w:lang w:val="es-CO" w:eastAsia="es-CO"/>
        </w:rPr>
      </w:pPr>
    </w:p>
    <w:p w:rsidR="00AC35BF" w:rsidRPr="00E6598C" w:rsidRDefault="00AB7C26" w:rsidP="00AC35BF">
      <w:pPr>
        <w:spacing w:line="360" w:lineRule="auto"/>
        <w:ind w:right="22"/>
        <w:jc w:val="both"/>
        <w:rPr>
          <w:rFonts w:ascii="Arial" w:hAnsi="Arial" w:cs="Arial"/>
          <w:sz w:val="24"/>
          <w:szCs w:val="24"/>
          <w:lang w:val="es-CO" w:eastAsia="es-CO"/>
        </w:rPr>
      </w:pPr>
      <w:r w:rsidRPr="00E6598C">
        <w:rPr>
          <w:rFonts w:ascii="Arial" w:hAnsi="Arial" w:cs="Arial"/>
          <w:sz w:val="24"/>
          <w:szCs w:val="24"/>
          <w:lang w:val="es-CO" w:eastAsia="es-CO"/>
        </w:rPr>
        <w:lastRenderedPageBreak/>
        <w:t xml:space="preserve">En </w:t>
      </w:r>
      <w:r w:rsidR="00AC35BF" w:rsidRPr="00E6598C">
        <w:rPr>
          <w:rFonts w:ascii="Arial" w:hAnsi="Arial" w:cs="Arial"/>
          <w:sz w:val="24"/>
          <w:szCs w:val="24"/>
          <w:lang w:val="es-CO" w:eastAsia="es-CO"/>
        </w:rPr>
        <w:t>la tarea de obtener conocimiento más allá de toda duda razonable, sobre las teorías del caso presentadas por los agentes procesales, ha de acudir el operador judicial a los medios de prueba que hayan sido incorporados en juicio oral, prevalido en su ponderación de la sana crítica y de la libertad probatoria para adoptar la decisión final y resolver la controversia sometida a su consideración.</w:t>
      </w:r>
    </w:p>
    <w:p w:rsidR="00E64F51" w:rsidRPr="00E6598C" w:rsidRDefault="00E64F51" w:rsidP="007B3EC0">
      <w:pPr>
        <w:spacing w:line="360" w:lineRule="auto"/>
        <w:ind w:right="567"/>
        <w:jc w:val="both"/>
        <w:rPr>
          <w:rFonts w:ascii="Arial" w:hAnsi="Arial" w:cs="Arial"/>
          <w:sz w:val="24"/>
          <w:szCs w:val="22"/>
          <w:lang w:val="es-CO"/>
        </w:rPr>
      </w:pPr>
    </w:p>
    <w:p w:rsidR="00E64F51" w:rsidRPr="008372E7" w:rsidRDefault="00A32EA0" w:rsidP="00E3266D">
      <w:pPr>
        <w:pStyle w:val="Prrafodelista"/>
        <w:widowControl w:val="0"/>
        <w:numPr>
          <w:ilvl w:val="2"/>
          <w:numId w:val="3"/>
        </w:numPr>
        <w:spacing w:line="360" w:lineRule="auto"/>
        <w:jc w:val="both"/>
        <w:rPr>
          <w:rFonts w:ascii="Arial" w:hAnsi="Arial" w:cs="Arial"/>
          <w:sz w:val="24"/>
          <w:szCs w:val="22"/>
          <w:lang w:val="es-CO"/>
        </w:rPr>
      </w:pPr>
      <w:r w:rsidRPr="008372E7">
        <w:rPr>
          <w:rFonts w:ascii="Arial" w:hAnsi="Arial" w:cs="Arial"/>
          <w:sz w:val="24"/>
          <w:szCs w:val="22"/>
          <w:lang w:val="es-CO"/>
        </w:rPr>
        <w:t>La valoración probatoria</w:t>
      </w:r>
      <w:r w:rsidR="0042604D" w:rsidRPr="008372E7">
        <w:rPr>
          <w:rFonts w:ascii="Arial" w:hAnsi="Arial" w:cs="Arial"/>
          <w:sz w:val="24"/>
          <w:szCs w:val="22"/>
          <w:lang w:val="es-CO"/>
        </w:rPr>
        <w:t xml:space="preserve"> para el caso particular</w:t>
      </w:r>
    </w:p>
    <w:p w:rsidR="00E64F51" w:rsidRDefault="00E64F51" w:rsidP="00E64F51">
      <w:pPr>
        <w:widowControl w:val="0"/>
        <w:spacing w:line="360" w:lineRule="auto"/>
        <w:jc w:val="both"/>
        <w:rPr>
          <w:rFonts w:ascii="Arial" w:hAnsi="Arial" w:cs="Arial"/>
          <w:sz w:val="24"/>
          <w:szCs w:val="22"/>
          <w:lang w:val="es-CO"/>
        </w:rPr>
      </w:pPr>
    </w:p>
    <w:p w:rsidR="001D56B6" w:rsidRDefault="00A57F4E" w:rsidP="00501B67">
      <w:pPr>
        <w:widowControl w:val="0"/>
        <w:spacing w:line="360" w:lineRule="auto"/>
        <w:jc w:val="both"/>
        <w:rPr>
          <w:rFonts w:ascii="Arial" w:hAnsi="Arial" w:cs="Arial"/>
          <w:bCs/>
          <w:sz w:val="24"/>
          <w:szCs w:val="24"/>
          <w:lang w:val="es-CO"/>
        </w:rPr>
      </w:pPr>
      <w:r w:rsidRPr="007B3EC0">
        <w:rPr>
          <w:rFonts w:ascii="Arial" w:eastAsia="Microsoft YaHei" w:hAnsi="Arial" w:cs="Arial"/>
          <w:sz w:val="24"/>
          <w:szCs w:val="24"/>
          <w:lang w:val="es-CO"/>
        </w:rPr>
        <w:t xml:space="preserve">La impugnación de la </w:t>
      </w:r>
      <w:r w:rsidR="00C979CF">
        <w:rPr>
          <w:rFonts w:ascii="Arial" w:eastAsia="Microsoft YaHei" w:hAnsi="Arial" w:cs="Arial"/>
          <w:sz w:val="24"/>
          <w:szCs w:val="24"/>
          <w:lang w:val="es-CO"/>
        </w:rPr>
        <w:t>defensa s</w:t>
      </w:r>
      <w:r w:rsidR="00501B67" w:rsidRPr="00501B67">
        <w:rPr>
          <w:rFonts w:ascii="Arial" w:eastAsia="Microsoft YaHei" w:hAnsi="Arial" w:cs="Arial"/>
          <w:sz w:val="24"/>
          <w:szCs w:val="24"/>
          <w:lang w:val="es-CO"/>
        </w:rPr>
        <w:t xml:space="preserve">e hace consistir en </w:t>
      </w:r>
      <w:r w:rsidR="00C979CF">
        <w:rPr>
          <w:rFonts w:ascii="Arial" w:eastAsia="Microsoft YaHei" w:hAnsi="Arial" w:cs="Arial"/>
          <w:sz w:val="24"/>
          <w:szCs w:val="24"/>
          <w:lang w:val="es-CO"/>
        </w:rPr>
        <w:t xml:space="preserve">que </w:t>
      </w:r>
      <w:r w:rsidR="001D56B6">
        <w:rPr>
          <w:rFonts w:ascii="Arial" w:eastAsia="Microsoft YaHei" w:hAnsi="Arial" w:cs="Arial"/>
          <w:sz w:val="24"/>
          <w:szCs w:val="24"/>
          <w:lang w:val="es-CO"/>
        </w:rPr>
        <w:t xml:space="preserve">es insuficiente la declaración del testigo de cargo, porque </w:t>
      </w:r>
      <w:r w:rsidR="00F7717D">
        <w:rPr>
          <w:rFonts w:ascii="Arial" w:eastAsia="Microsoft YaHei" w:hAnsi="Arial" w:cs="Arial"/>
          <w:sz w:val="24"/>
          <w:szCs w:val="24"/>
          <w:lang w:val="es-CO"/>
        </w:rPr>
        <w:t>se mengua su credibilidad al haber asegurado</w:t>
      </w:r>
      <w:r w:rsidR="001D56B6">
        <w:rPr>
          <w:rFonts w:ascii="Arial" w:eastAsia="Microsoft YaHei" w:hAnsi="Arial" w:cs="Arial"/>
          <w:sz w:val="24"/>
          <w:szCs w:val="24"/>
          <w:lang w:val="es-CO"/>
        </w:rPr>
        <w:t xml:space="preserve"> que los hechos tuvieron lugar el 02-10-015, cuando la </w:t>
      </w:r>
      <w:r w:rsidR="001D56B6">
        <w:rPr>
          <w:rFonts w:ascii="Arial" w:hAnsi="Arial" w:cs="Arial"/>
          <w:bCs/>
          <w:sz w:val="24"/>
          <w:szCs w:val="24"/>
          <w:lang w:val="es-CO"/>
        </w:rPr>
        <w:t xml:space="preserve">fecha de muerte de </w:t>
      </w:r>
      <w:proofErr w:type="spellStart"/>
      <w:r w:rsidR="001D56B6">
        <w:rPr>
          <w:rFonts w:ascii="Arial" w:hAnsi="Arial" w:cs="Arial"/>
          <w:bCs/>
          <w:sz w:val="24"/>
          <w:szCs w:val="24"/>
          <w:lang w:val="es-CO"/>
        </w:rPr>
        <w:t>Jhon</w:t>
      </w:r>
      <w:proofErr w:type="spellEnd"/>
      <w:r w:rsidR="001D56B6">
        <w:rPr>
          <w:rFonts w:ascii="Arial" w:hAnsi="Arial" w:cs="Arial"/>
          <w:bCs/>
          <w:sz w:val="24"/>
          <w:szCs w:val="24"/>
          <w:lang w:val="es-CO"/>
        </w:rPr>
        <w:t xml:space="preserve"> Augusto Restrepo Trejos </w:t>
      </w:r>
      <w:r w:rsidR="00F7717D">
        <w:rPr>
          <w:rFonts w:ascii="Arial" w:hAnsi="Arial" w:cs="Arial"/>
          <w:bCs/>
          <w:sz w:val="24"/>
          <w:szCs w:val="24"/>
          <w:lang w:val="es-CO"/>
        </w:rPr>
        <w:t>fue</w:t>
      </w:r>
      <w:r w:rsidR="001D56B6">
        <w:rPr>
          <w:rFonts w:ascii="Arial" w:hAnsi="Arial" w:cs="Arial"/>
          <w:bCs/>
          <w:sz w:val="24"/>
          <w:szCs w:val="24"/>
          <w:lang w:val="es-CO"/>
        </w:rPr>
        <w:t xml:space="preserve"> </w:t>
      </w:r>
      <w:r w:rsidR="00F7717D">
        <w:rPr>
          <w:rFonts w:ascii="Arial" w:hAnsi="Arial" w:cs="Arial"/>
          <w:bCs/>
          <w:sz w:val="24"/>
          <w:szCs w:val="24"/>
          <w:lang w:val="es-CO"/>
        </w:rPr>
        <w:t xml:space="preserve">el día </w:t>
      </w:r>
      <w:r w:rsidR="001D56B6">
        <w:rPr>
          <w:rFonts w:ascii="Arial" w:hAnsi="Arial" w:cs="Arial"/>
          <w:bCs/>
          <w:sz w:val="24"/>
          <w:szCs w:val="24"/>
          <w:lang w:val="es-CO"/>
        </w:rPr>
        <w:t xml:space="preserve">03-10-2015, </w:t>
      </w:r>
      <w:r w:rsidR="00F7717D">
        <w:rPr>
          <w:rFonts w:ascii="Arial" w:hAnsi="Arial" w:cs="Arial"/>
          <w:bCs/>
          <w:sz w:val="24"/>
          <w:szCs w:val="24"/>
          <w:lang w:val="es-CO"/>
        </w:rPr>
        <w:t>que se puede inferir del</w:t>
      </w:r>
      <w:r w:rsidR="00B75BEF">
        <w:rPr>
          <w:rFonts w:ascii="Arial" w:hAnsi="Arial" w:cs="Arial"/>
          <w:bCs/>
          <w:sz w:val="24"/>
          <w:szCs w:val="24"/>
          <w:lang w:val="es-CO"/>
        </w:rPr>
        <w:t xml:space="preserve">: </w:t>
      </w:r>
      <w:r w:rsidR="00B75BEF" w:rsidRPr="00B75BEF">
        <w:rPr>
          <w:rFonts w:ascii="Arial" w:hAnsi="Arial" w:cs="Arial"/>
          <w:bCs/>
          <w:sz w:val="24"/>
          <w:szCs w:val="24"/>
          <w:lang w:val="es-CO"/>
        </w:rPr>
        <w:t xml:space="preserve">(i) </w:t>
      </w:r>
      <w:r w:rsidR="00F7717D">
        <w:rPr>
          <w:rFonts w:ascii="Arial" w:hAnsi="Arial" w:cs="Arial"/>
          <w:bCs/>
          <w:sz w:val="24"/>
          <w:szCs w:val="24"/>
          <w:lang w:val="es-CO"/>
        </w:rPr>
        <w:t>R</w:t>
      </w:r>
      <w:r w:rsidR="00B75BEF" w:rsidRPr="00B75BEF">
        <w:rPr>
          <w:rFonts w:ascii="Arial" w:hAnsi="Arial" w:cs="Arial"/>
          <w:bCs/>
          <w:sz w:val="24"/>
          <w:szCs w:val="24"/>
          <w:lang w:val="es-CO"/>
        </w:rPr>
        <w:t xml:space="preserve">elato de la señora </w:t>
      </w:r>
      <w:proofErr w:type="spellStart"/>
      <w:r w:rsidR="00B75BEF" w:rsidRPr="00B75BEF">
        <w:rPr>
          <w:rFonts w:ascii="Arial" w:hAnsi="Arial" w:cs="Arial"/>
          <w:bCs/>
          <w:sz w:val="24"/>
          <w:szCs w:val="24"/>
          <w:lang w:val="es-CO"/>
        </w:rPr>
        <w:t>Yeni</w:t>
      </w:r>
      <w:proofErr w:type="spellEnd"/>
      <w:r w:rsidR="00B75BEF" w:rsidRPr="00B75BEF">
        <w:rPr>
          <w:rFonts w:ascii="Arial" w:hAnsi="Arial" w:cs="Arial"/>
          <w:bCs/>
          <w:sz w:val="24"/>
          <w:szCs w:val="24"/>
          <w:lang w:val="es-CO"/>
        </w:rPr>
        <w:t xml:space="preserve"> Paola Chiquito </w:t>
      </w:r>
      <w:proofErr w:type="spellStart"/>
      <w:r w:rsidR="00B75BEF" w:rsidRPr="00B75BEF">
        <w:rPr>
          <w:rFonts w:ascii="Arial" w:hAnsi="Arial" w:cs="Arial"/>
          <w:bCs/>
          <w:sz w:val="24"/>
          <w:szCs w:val="24"/>
          <w:lang w:val="es-CO"/>
        </w:rPr>
        <w:t>Aricapa</w:t>
      </w:r>
      <w:proofErr w:type="spellEnd"/>
      <w:r w:rsidR="00B75BEF" w:rsidRPr="00B75BEF">
        <w:rPr>
          <w:rFonts w:ascii="Arial" w:hAnsi="Arial" w:cs="Arial"/>
          <w:bCs/>
          <w:sz w:val="24"/>
          <w:szCs w:val="24"/>
          <w:lang w:val="es-CO"/>
        </w:rPr>
        <w:t xml:space="preserve">; (ii) </w:t>
      </w:r>
      <w:r w:rsidR="00F7717D">
        <w:rPr>
          <w:rFonts w:ascii="Arial" w:hAnsi="Arial" w:cs="Arial"/>
          <w:bCs/>
          <w:sz w:val="24"/>
          <w:szCs w:val="24"/>
          <w:lang w:val="es-CO"/>
        </w:rPr>
        <w:t>I</w:t>
      </w:r>
      <w:r w:rsidR="00B75BEF" w:rsidRPr="00B75BEF">
        <w:rPr>
          <w:rFonts w:ascii="Arial" w:hAnsi="Arial" w:cs="Arial"/>
          <w:bCs/>
          <w:sz w:val="24"/>
          <w:szCs w:val="24"/>
          <w:lang w:val="es-CO"/>
        </w:rPr>
        <w:t xml:space="preserve">nforme del </w:t>
      </w:r>
      <w:r w:rsidR="00F7717D">
        <w:rPr>
          <w:rFonts w:ascii="Arial" w:hAnsi="Arial" w:cs="Arial"/>
          <w:bCs/>
          <w:sz w:val="24"/>
          <w:szCs w:val="24"/>
          <w:lang w:val="es-CO"/>
        </w:rPr>
        <w:t>agente policial</w:t>
      </w:r>
      <w:r w:rsidR="00B75BEF" w:rsidRPr="00B75BEF">
        <w:rPr>
          <w:rFonts w:ascii="Arial" w:hAnsi="Arial" w:cs="Arial"/>
          <w:bCs/>
          <w:sz w:val="24"/>
          <w:szCs w:val="24"/>
          <w:lang w:val="es-CO"/>
        </w:rPr>
        <w:t xml:space="preserve"> Edwin Fernando Chilito;</w:t>
      </w:r>
      <w:r w:rsidR="00B75BEF">
        <w:rPr>
          <w:rFonts w:ascii="Arial" w:hAnsi="Arial" w:cs="Arial"/>
          <w:bCs/>
          <w:sz w:val="24"/>
          <w:szCs w:val="24"/>
          <w:lang w:val="es-CO"/>
        </w:rPr>
        <w:t xml:space="preserve"> </w:t>
      </w:r>
      <w:r w:rsidR="00B75BEF" w:rsidRPr="00B75BEF">
        <w:rPr>
          <w:rFonts w:ascii="Arial" w:hAnsi="Arial" w:cs="Arial"/>
          <w:bCs/>
          <w:sz w:val="24"/>
          <w:szCs w:val="24"/>
          <w:lang w:val="es-CO"/>
        </w:rPr>
        <w:t xml:space="preserve">(iii) </w:t>
      </w:r>
      <w:r w:rsidR="00F7717D">
        <w:rPr>
          <w:rFonts w:ascii="Arial" w:hAnsi="Arial" w:cs="Arial"/>
          <w:bCs/>
          <w:sz w:val="24"/>
          <w:szCs w:val="24"/>
          <w:lang w:val="es-CO"/>
        </w:rPr>
        <w:t>R</w:t>
      </w:r>
      <w:r w:rsidR="00B75BEF" w:rsidRPr="00B75BEF">
        <w:rPr>
          <w:rFonts w:ascii="Arial" w:hAnsi="Arial" w:cs="Arial"/>
          <w:bCs/>
          <w:sz w:val="24"/>
          <w:szCs w:val="24"/>
          <w:lang w:val="es-CO"/>
        </w:rPr>
        <w:t>egistro civil de defunción</w:t>
      </w:r>
      <w:r w:rsidR="00B75BEF">
        <w:rPr>
          <w:rFonts w:ascii="Arial" w:hAnsi="Arial" w:cs="Arial"/>
          <w:bCs/>
          <w:sz w:val="24"/>
          <w:szCs w:val="24"/>
          <w:lang w:val="es-CO"/>
        </w:rPr>
        <w:t>;</w:t>
      </w:r>
      <w:r w:rsidR="00B75BEF" w:rsidRPr="00B75BEF">
        <w:rPr>
          <w:rFonts w:ascii="Arial" w:hAnsi="Arial" w:cs="Arial"/>
          <w:bCs/>
          <w:sz w:val="24"/>
          <w:szCs w:val="24"/>
          <w:lang w:val="es-CO"/>
        </w:rPr>
        <w:t xml:space="preserve"> y</w:t>
      </w:r>
      <w:r w:rsidR="00B75BEF">
        <w:rPr>
          <w:rFonts w:ascii="Arial" w:hAnsi="Arial" w:cs="Arial"/>
          <w:bCs/>
          <w:sz w:val="24"/>
          <w:szCs w:val="24"/>
          <w:lang w:val="es-CO"/>
        </w:rPr>
        <w:t>, (iv)</w:t>
      </w:r>
      <w:r w:rsidR="00B75BEF" w:rsidRPr="00B75BEF">
        <w:rPr>
          <w:rFonts w:ascii="Arial" w:hAnsi="Arial" w:cs="Arial"/>
          <w:bCs/>
          <w:sz w:val="24"/>
          <w:szCs w:val="24"/>
          <w:lang w:val="es-CO"/>
        </w:rPr>
        <w:t xml:space="preserve"> </w:t>
      </w:r>
      <w:r w:rsidR="00F7717D">
        <w:rPr>
          <w:rFonts w:ascii="Arial" w:hAnsi="Arial" w:cs="Arial"/>
          <w:bCs/>
          <w:sz w:val="24"/>
          <w:szCs w:val="24"/>
          <w:lang w:val="es-CO"/>
        </w:rPr>
        <w:t xml:space="preserve">La </w:t>
      </w:r>
      <w:r w:rsidR="00B75BEF">
        <w:rPr>
          <w:rFonts w:ascii="Arial" w:hAnsi="Arial" w:cs="Arial"/>
          <w:bCs/>
          <w:sz w:val="24"/>
          <w:szCs w:val="24"/>
          <w:lang w:val="es-CO"/>
        </w:rPr>
        <w:t xml:space="preserve">necropsia. </w:t>
      </w:r>
    </w:p>
    <w:p w:rsidR="00B75BEF" w:rsidRDefault="00B75BEF" w:rsidP="00501B67">
      <w:pPr>
        <w:widowControl w:val="0"/>
        <w:spacing w:line="360" w:lineRule="auto"/>
        <w:jc w:val="both"/>
        <w:rPr>
          <w:rFonts w:ascii="Arial" w:hAnsi="Arial" w:cs="Arial"/>
          <w:bCs/>
          <w:sz w:val="24"/>
          <w:szCs w:val="24"/>
          <w:lang w:val="es-CO"/>
        </w:rPr>
      </w:pPr>
    </w:p>
    <w:p w:rsidR="00D71D72" w:rsidRDefault="006E3ADF" w:rsidP="00501B67">
      <w:pPr>
        <w:widowControl w:val="0"/>
        <w:spacing w:line="360" w:lineRule="auto"/>
        <w:jc w:val="both"/>
        <w:rPr>
          <w:rFonts w:ascii="Arial" w:hAnsi="Arial" w:cs="Arial"/>
          <w:bCs/>
          <w:sz w:val="24"/>
          <w:szCs w:val="24"/>
          <w:lang w:val="es-CO"/>
        </w:rPr>
      </w:pPr>
      <w:r>
        <w:rPr>
          <w:rFonts w:ascii="Arial" w:hAnsi="Arial" w:cs="Arial"/>
          <w:bCs/>
          <w:sz w:val="24"/>
          <w:szCs w:val="24"/>
          <w:lang w:val="es-CO"/>
        </w:rPr>
        <w:t xml:space="preserve">Compete enseguida, </w:t>
      </w:r>
      <w:r w:rsidR="00BB41BC">
        <w:rPr>
          <w:rFonts w:ascii="Arial" w:hAnsi="Arial" w:cs="Arial"/>
          <w:bCs/>
          <w:sz w:val="24"/>
          <w:szCs w:val="24"/>
          <w:lang w:val="es-CO"/>
        </w:rPr>
        <w:t xml:space="preserve">revisar </w:t>
      </w:r>
      <w:r>
        <w:rPr>
          <w:rFonts w:ascii="Arial" w:hAnsi="Arial" w:cs="Arial"/>
          <w:bCs/>
          <w:sz w:val="24"/>
          <w:szCs w:val="24"/>
          <w:lang w:val="es-CO"/>
        </w:rPr>
        <w:t xml:space="preserve">de manera individual y luego conjunta, el material probatorio para verificar la tesis del </w:t>
      </w:r>
      <w:r w:rsidR="00BB41BC">
        <w:rPr>
          <w:rFonts w:ascii="Arial" w:hAnsi="Arial" w:cs="Arial"/>
          <w:bCs/>
          <w:sz w:val="24"/>
          <w:szCs w:val="24"/>
          <w:lang w:val="es-CO"/>
        </w:rPr>
        <w:t>impugnante</w:t>
      </w:r>
      <w:r>
        <w:rPr>
          <w:rFonts w:ascii="Arial" w:hAnsi="Arial" w:cs="Arial"/>
          <w:bCs/>
          <w:sz w:val="24"/>
          <w:szCs w:val="24"/>
          <w:lang w:val="es-CO"/>
        </w:rPr>
        <w:t xml:space="preserve">, que tiene como punto de inicio la versión del testigo </w:t>
      </w:r>
      <w:r w:rsidR="00D71D72">
        <w:rPr>
          <w:rFonts w:ascii="Arial" w:hAnsi="Arial" w:cs="Arial"/>
          <w:bCs/>
          <w:sz w:val="24"/>
          <w:szCs w:val="24"/>
          <w:lang w:val="es-CO"/>
        </w:rPr>
        <w:t>Andrés Felipe Vanegas Betancur.</w:t>
      </w:r>
    </w:p>
    <w:p w:rsidR="00BB41BC" w:rsidRDefault="00BB41BC" w:rsidP="00501B67">
      <w:pPr>
        <w:widowControl w:val="0"/>
        <w:spacing w:line="360" w:lineRule="auto"/>
        <w:jc w:val="both"/>
        <w:rPr>
          <w:rFonts w:ascii="Arial" w:hAnsi="Arial" w:cs="Arial"/>
          <w:bCs/>
          <w:sz w:val="24"/>
          <w:szCs w:val="24"/>
          <w:lang w:val="es-CO"/>
        </w:rPr>
      </w:pPr>
    </w:p>
    <w:p w:rsidR="00BB41BC" w:rsidRPr="007C251C" w:rsidRDefault="001D6251" w:rsidP="007C251C">
      <w:pPr>
        <w:widowControl w:val="0"/>
        <w:spacing w:line="360" w:lineRule="auto"/>
        <w:jc w:val="both"/>
        <w:rPr>
          <w:rFonts w:ascii="Arial" w:hAnsi="Arial" w:cs="Arial"/>
          <w:sz w:val="24"/>
          <w:szCs w:val="24"/>
          <w:lang w:val="es-CO"/>
        </w:rPr>
      </w:pPr>
      <w:r w:rsidRPr="007C251C">
        <w:rPr>
          <w:rFonts w:ascii="Arial" w:hAnsi="Arial" w:cs="Arial"/>
          <w:bCs/>
          <w:sz w:val="24"/>
          <w:szCs w:val="24"/>
          <w:lang w:val="es-CO"/>
        </w:rPr>
        <w:t xml:space="preserve">Respecto al </w:t>
      </w:r>
      <w:r w:rsidR="00BB41BC" w:rsidRPr="007C251C">
        <w:rPr>
          <w:rFonts w:ascii="Arial" w:hAnsi="Arial" w:cs="Arial"/>
          <w:bCs/>
          <w:sz w:val="24"/>
          <w:szCs w:val="24"/>
          <w:lang w:val="es-CO"/>
        </w:rPr>
        <w:t xml:space="preserve">relato de la señora Chiquito </w:t>
      </w:r>
      <w:proofErr w:type="spellStart"/>
      <w:r w:rsidR="00BB41BC" w:rsidRPr="007C251C">
        <w:rPr>
          <w:rFonts w:ascii="Arial" w:hAnsi="Arial" w:cs="Arial"/>
          <w:bCs/>
          <w:sz w:val="24"/>
          <w:szCs w:val="24"/>
          <w:lang w:val="es-CO"/>
        </w:rPr>
        <w:t>Aricapa</w:t>
      </w:r>
      <w:proofErr w:type="spellEnd"/>
      <w:r w:rsidR="00BB41BC" w:rsidRPr="007C251C">
        <w:rPr>
          <w:rFonts w:ascii="Arial" w:hAnsi="Arial" w:cs="Arial"/>
          <w:bCs/>
          <w:sz w:val="24"/>
          <w:szCs w:val="24"/>
          <w:lang w:val="es-CO"/>
        </w:rPr>
        <w:t>, de entrada</w:t>
      </w:r>
      <w:r w:rsidR="00D71D72">
        <w:rPr>
          <w:rFonts w:ascii="Arial" w:hAnsi="Arial" w:cs="Arial"/>
          <w:bCs/>
          <w:sz w:val="24"/>
          <w:szCs w:val="24"/>
          <w:lang w:val="es-CO"/>
        </w:rPr>
        <w:t>,</w:t>
      </w:r>
      <w:r w:rsidRPr="007C251C">
        <w:rPr>
          <w:rFonts w:ascii="Arial" w:hAnsi="Arial" w:cs="Arial"/>
          <w:bCs/>
          <w:sz w:val="24"/>
          <w:szCs w:val="24"/>
          <w:lang w:val="es-CO"/>
        </w:rPr>
        <w:t xml:space="preserve"> se aprecia la imposibilidad de valoración </w:t>
      </w:r>
      <w:r w:rsidR="00BB41BC" w:rsidRPr="007C251C">
        <w:rPr>
          <w:rFonts w:ascii="Arial" w:hAnsi="Arial" w:cs="Arial"/>
          <w:bCs/>
          <w:sz w:val="24"/>
          <w:szCs w:val="24"/>
          <w:lang w:val="es-CO"/>
        </w:rPr>
        <w:t xml:space="preserve">como prueba, </w:t>
      </w:r>
      <w:r w:rsidR="000D3F53" w:rsidRPr="007C251C">
        <w:rPr>
          <w:rFonts w:ascii="Arial" w:hAnsi="Arial" w:cs="Arial"/>
          <w:bCs/>
          <w:sz w:val="24"/>
          <w:szCs w:val="24"/>
          <w:lang w:val="es-CO"/>
        </w:rPr>
        <w:t xml:space="preserve">ya que </w:t>
      </w:r>
      <w:r w:rsidRPr="007C251C">
        <w:rPr>
          <w:rFonts w:ascii="Arial" w:hAnsi="Arial" w:cs="Arial"/>
          <w:bCs/>
          <w:sz w:val="24"/>
          <w:szCs w:val="24"/>
          <w:lang w:val="es-CO"/>
        </w:rPr>
        <w:t xml:space="preserve">dejó de rendir testimonio en el juicio y </w:t>
      </w:r>
      <w:r w:rsidR="00BC091F" w:rsidRPr="007C251C">
        <w:rPr>
          <w:rFonts w:ascii="Arial" w:hAnsi="Arial" w:cs="Arial"/>
          <w:bCs/>
          <w:sz w:val="24"/>
          <w:szCs w:val="24"/>
          <w:lang w:val="es-CO"/>
        </w:rPr>
        <w:t>su</w:t>
      </w:r>
      <w:r w:rsidRPr="007C251C">
        <w:rPr>
          <w:rFonts w:ascii="Arial" w:hAnsi="Arial" w:cs="Arial"/>
          <w:bCs/>
          <w:sz w:val="24"/>
          <w:szCs w:val="24"/>
          <w:lang w:val="es-CO"/>
        </w:rPr>
        <w:t xml:space="preserve"> </w:t>
      </w:r>
      <w:r w:rsidR="00BB41BC" w:rsidRPr="007C251C">
        <w:rPr>
          <w:rFonts w:ascii="Arial" w:hAnsi="Arial" w:cs="Arial"/>
          <w:bCs/>
          <w:sz w:val="24"/>
          <w:szCs w:val="24"/>
          <w:lang w:val="es-CO"/>
        </w:rPr>
        <w:t xml:space="preserve">entrevista </w:t>
      </w:r>
      <w:r w:rsidRPr="007C251C">
        <w:rPr>
          <w:rFonts w:ascii="Arial" w:hAnsi="Arial" w:cs="Arial"/>
          <w:bCs/>
          <w:sz w:val="24"/>
          <w:szCs w:val="24"/>
          <w:lang w:val="es-CO"/>
        </w:rPr>
        <w:t xml:space="preserve">tampoco se incorporó, </w:t>
      </w:r>
      <w:r w:rsidR="00BC091F" w:rsidRPr="007C251C">
        <w:rPr>
          <w:rFonts w:ascii="Arial" w:hAnsi="Arial" w:cs="Arial"/>
          <w:bCs/>
          <w:sz w:val="24"/>
          <w:szCs w:val="24"/>
          <w:lang w:val="es-CO"/>
        </w:rPr>
        <w:t xml:space="preserve">esta última </w:t>
      </w:r>
      <w:r w:rsidRPr="007C251C">
        <w:rPr>
          <w:rFonts w:ascii="Arial" w:hAnsi="Arial" w:cs="Arial"/>
          <w:bCs/>
          <w:sz w:val="24"/>
          <w:szCs w:val="24"/>
          <w:lang w:val="es-CO"/>
        </w:rPr>
        <w:t>en los excepcionales casos dispuestos por el ordenamiento adjetivo penal</w:t>
      </w:r>
      <w:r w:rsidR="00BC091F" w:rsidRPr="007C251C">
        <w:rPr>
          <w:rFonts w:ascii="Arial" w:hAnsi="Arial" w:cs="Arial"/>
          <w:bCs/>
          <w:sz w:val="24"/>
          <w:szCs w:val="24"/>
          <w:lang w:val="es-CO"/>
        </w:rPr>
        <w:t>, que lo hace en forma restrictiva en respeto del derecho de contradicción e inmediación de la prueba.</w:t>
      </w:r>
      <w:r w:rsidR="00BB41BC" w:rsidRPr="007C251C">
        <w:rPr>
          <w:rFonts w:ascii="Arial" w:hAnsi="Arial" w:cs="Arial"/>
          <w:bCs/>
          <w:sz w:val="24"/>
          <w:szCs w:val="24"/>
          <w:lang w:val="es-CO"/>
        </w:rPr>
        <w:t xml:space="preserve"> </w:t>
      </w:r>
      <w:r w:rsidR="007C251C" w:rsidRPr="007C251C">
        <w:rPr>
          <w:rFonts w:ascii="Arial" w:hAnsi="Arial" w:cs="Arial"/>
          <w:bCs/>
          <w:sz w:val="24"/>
          <w:szCs w:val="24"/>
          <w:lang w:val="es-CO"/>
        </w:rPr>
        <w:t xml:space="preserve">En efecto, la </w:t>
      </w:r>
      <w:r w:rsidR="00BB41BC" w:rsidRPr="007C251C">
        <w:rPr>
          <w:rFonts w:ascii="Arial" w:hAnsi="Arial" w:cs="Arial"/>
          <w:sz w:val="24"/>
          <w:szCs w:val="24"/>
          <w:lang w:val="es-CO"/>
        </w:rPr>
        <w:t xml:space="preserve">doctrina de la CSJ enseña que </w:t>
      </w:r>
      <w:r w:rsidR="00C92482">
        <w:rPr>
          <w:rFonts w:ascii="Arial" w:hAnsi="Arial" w:cs="Arial"/>
          <w:sz w:val="24"/>
          <w:szCs w:val="24"/>
          <w:lang w:val="es-CO"/>
        </w:rPr>
        <w:t xml:space="preserve">en </w:t>
      </w:r>
      <w:r w:rsidR="00BB41BC" w:rsidRPr="007C251C">
        <w:rPr>
          <w:rFonts w:ascii="Arial" w:hAnsi="Arial" w:cs="Arial"/>
          <w:sz w:val="24"/>
          <w:szCs w:val="24"/>
          <w:lang w:val="es-CO"/>
        </w:rPr>
        <w:t>el régimen de procedimiento de la Ley 906</w:t>
      </w:r>
      <w:r w:rsidR="00AB7C26">
        <w:rPr>
          <w:rFonts w:ascii="Arial" w:hAnsi="Arial" w:cs="Arial"/>
          <w:sz w:val="24"/>
          <w:szCs w:val="24"/>
          <w:lang w:val="es-CO"/>
        </w:rPr>
        <w:t>,</w:t>
      </w:r>
      <w:r w:rsidR="00BB41BC" w:rsidRPr="007C251C">
        <w:rPr>
          <w:rFonts w:ascii="Arial" w:hAnsi="Arial" w:cs="Arial"/>
          <w:sz w:val="24"/>
          <w:szCs w:val="24"/>
          <w:lang w:val="es-CO"/>
        </w:rPr>
        <w:t xml:space="preserve"> </w:t>
      </w:r>
      <w:r w:rsidR="00C92482">
        <w:rPr>
          <w:rFonts w:ascii="Arial" w:hAnsi="Arial" w:cs="Arial"/>
          <w:sz w:val="24"/>
          <w:szCs w:val="24"/>
          <w:lang w:val="es-CO"/>
        </w:rPr>
        <w:t xml:space="preserve">es </w:t>
      </w:r>
      <w:r w:rsidR="00BB41BC" w:rsidRPr="007C251C">
        <w:rPr>
          <w:rFonts w:ascii="Arial" w:hAnsi="Arial" w:cs="Arial"/>
          <w:sz w:val="24"/>
          <w:szCs w:val="24"/>
          <w:lang w:val="es-CO"/>
        </w:rPr>
        <w:t xml:space="preserve">regla general que la prueba testifical sea directa, conforme </w:t>
      </w:r>
      <w:r w:rsidR="00C92482">
        <w:rPr>
          <w:rFonts w:ascii="Arial" w:hAnsi="Arial" w:cs="Arial"/>
          <w:sz w:val="24"/>
          <w:szCs w:val="24"/>
          <w:lang w:val="es-CO"/>
        </w:rPr>
        <w:t>estipula</w:t>
      </w:r>
      <w:r w:rsidR="00BB41BC" w:rsidRPr="007C251C">
        <w:rPr>
          <w:rFonts w:ascii="Arial" w:hAnsi="Arial" w:cs="Arial"/>
          <w:sz w:val="24"/>
          <w:szCs w:val="24"/>
          <w:lang w:val="es-CO"/>
        </w:rPr>
        <w:t xml:space="preserve"> </w:t>
      </w:r>
      <w:r w:rsidR="00C92482">
        <w:rPr>
          <w:rFonts w:ascii="Arial" w:hAnsi="Arial" w:cs="Arial"/>
          <w:sz w:val="24"/>
          <w:szCs w:val="24"/>
          <w:lang w:val="es-CO"/>
        </w:rPr>
        <w:t xml:space="preserve">el </w:t>
      </w:r>
      <w:r w:rsidR="00BB41BC" w:rsidRPr="007C251C">
        <w:rPr>
          <w:rFonts w:ascii="Arial" w:hAnsi="Arial" w:cs="Arial"/>
          <w:sz w:val="24"/>
          <w:szCs w:val="24"/>
          <w:lang w:val="es-CO"/>
        </w:rPr>
        <w:t>artículo 402, en armonía con el postulado de inmediación (Artículo 16 ib.), de tal manera que el contenido de la declaración sea lo percibido en forma personal por el testigo, sin intermediaciones.</w:t>
      </w:r>
    </w:p>
    <w:p w:rsidR="00BB41BC" w:rsidRDefault="00E11DFF" w:rsidP="00BB41BC">
      <w:pPr>
        <w:pStyle w:val="Textoindependiente"/>
        <w:spacing w:line="360" w:lineRule="auto"/>
        <w:rPr>
          <w:rFonts w:ascii="Arial" w:hAnsi="Arial" w:cs="Arial"/>
          <w:szCs w:val="24"/>
          <w:lang w:val="es-CO"/>
        </w:rPr>
      </w:pPr>
      <w:r>
        <w:rPr>
          <w:rFonts w:ascii="Arial" w:hAnsi="Arial" w:cs="Arial"/>
          <w:szCs w:val="24"/>
          <w:lang w:val="es-CO"/>
        </w:rPr>
        <w:t xml:space="preserve">La jurisprudencia del órgano de cierre de la especialidad </w:t>
      </w:r>
      <w:r w:rsidR="00BB41BC">
        <w:rPr>
          <w:rFonts w:ascii="Arial" w:hAnsi="Arial" w:cs="Arial"/>
          <w:szCs w:val="24"/>
          <w:lang w:val="es-CO"/>
        </w:rPr>
        <w:t>CSJ</w:t>
      </w:r>
      <w:r w:rsidR="00BB41BC">
        <w:rPr>
          <w:rStyle w:val="Refdenotaalpie"/>
          <w:rFonts w:ascii="Arial" w:hAnsi="Arial"/>
          <w:szCs w:val="24"/>
          <w:lang w:val="es-CO"/>
        </w:rPr>
        <w:footnoteReference w:id="13"/>
      </w:r>
      <w:r>
        <w:rPr>
          <w:rFonts w:ascii="Arial" w:hAnsi="Arial" w:cs="Arial"/>
          <w:szCs w:val="24"/>
          <w:lang w:val="es-CO"/>
        </w:rPr>
        <w:t xml:space="preserve">, precisó </w:t>
      </w:r>
      <w:r w:rsidR="00BB41BC">
        <w:rPr>
          <w:rFonts w:ascii="Arial" w:hAnsi="Arial" w:cs="Arial"/>
          <w:szCs w:val="24"/>
          <w:lang w:val="es-CO"/>
        </w:rPr>
        <w:t>que: “</w:t>
      </w:r>
      <w:r w:rsidR="00BB41BC" w:rsidRPr="00291499">
        <w:rPr>
          <w:rFonts w:ascii="Arial" w:hAnsi="Arial" w:cs="Arial"/>
          <w:i/>
          <w:sz w:val="22"/>
          <w:szCs w:val="24"/>
          <w:lang w:val="es-CO"/>
        </w:rPr>
        <w:t>(…)</w:t>
      </w:r>
      <w:r>
        <w:rPr>
          <w:rFonts w:ascii="Arial" w:hAnsi="Arial" w:cs="Arial"/>
          <w:i/>
          <w:sz w:val="22"/>
          <w:szCs w:val="24"/>
          <w:lang w:val="es-CO"/>
        </w:rPr>
        <w:t xml:space="preserve"> </w:t>
      </w:r>
      <w:r w:rsidR="00BB41BC" w:rsidRPr="00291499">
        <w:rPr>
          <w:rFonts w:ascii="Arial" w:hAnsi="Arial" w:cs="Arial"/>
          <w:i/>
          <w:sz w:val="22"/>
          <w:szCs w:val="24"/>
          <w:lang w:val="es-CO"/>
        </w:rPr>
        <w:t>las declaraciones obtenidas por fuera del juicio oral sólo adquirirán el carácter de prueba directa si son incorporadas al juicio a través de quienes las rindieron y son sujetas además al interrogatorio cruzado, pues de no ser así tendrán el carácter de prueba de referencia y su admisibilidad e inadmisibilidad dependerá de que concurra o no alguna de las causales contempladas en el artículo 438 de la Ley 906 de 2004</w:t>
      </w:r>
      <w:r w:rsidR="00BB41BC">
        <w:rPr>
          <w:rFonts w:ascii="Arial" w:hAnsi="Arial" w:cs="Arial"/>
          <w:szCs w:val="24"/>
          <w:lang w:val="es-CO"/>
        </w:rPr>
        <w:t>”.</w:t>
      </w:r>
    </w:p>
    <w:p w:rsidR="00E11DFF" w:rsidRDefault="00E11DFF" w:rsidP="00BB41BC">
      <w:pPr>
        <w:pStyle w:val="Textoindependiente"/>
        <w:spacing w:line="360" w:lineRule="auto"/>
        <w:rPr>
          <w:rFonts w:ascii="Arial" w:hAnsi="Arial" w:cs="Arial"/>
          <w:szCs w:val="24"/>
          <w:lang w:val="es-CO"/>
        </w:rPr>
      </w:pPr>
    </w:p>
    <w:p w:rsidR="00BB41BC" w:rsidRDefault="00BB41BC" w:rsidP="00BB41BC">
      <w:pPr>
        <w:pStyle w:val="Textoindependiente"/>
        <w:spacing w:line="360" w:lineRule="auto"/>
        <w:rPr>
          <w:rFonts w:ascii="Arial" w:hAnsi="Arial" w:cs="Arial"/>
          <w:szCs w:val="24"/>
          <w:lang w:val="es-CO"/>
        </w:rPr>
      </w:pPr>
      <w:r>
        <w:rPr>
          <w:rFonts w:ascii="Arial" w:hAnsi="Arial" w:cs="Arial"/>
          <w:szCs w:val="24"/>
          <w:lang w:val="es-CO"/>
        </w:rPr>
        <w:lastRenderedPageBreak/>
        <w:t xml:space="preserve">Y a partir de lo anterior </w:t>
      </w:r>
      <w:r>
        <w:rPr>
          <w:rFonts w:ascii="Arial" w:hAnsi="Arial" w:cs="Arial"/>
          <w:bCs/>
          <w:szCs w:val="24"/>
          <w:lang w:val="es-CO"/>
        </w:rPr>
        <w:t xml:space="preserve">amplió y </w:t>
      </w:r>
      <w:r w:rsidR="00125730">
        <w:rPr>
          <w:rFonts w:ascii="Arial" w:hAnsi="Arial" w:cs="Arial"/>
          <w:bCs/>
          <w:szCs w:val="24"/>
          <w:lang w:val="es-CO"/>
        </w:rPr>
        <w:t xml:space="preserve">reafirmó </w:t>
      </w:r>
      <w:r>
        <w:rPr>
          <w:rFonts w:ascii="Arial" w:hAnsi="Arial" w:cs="Arial"/>
          <w:bCs/>
          <w:szCs w:val="24"/>
          <w:lang w:val="es-CO"/>
        </w:rPr>
        <w:t xml:space="preserve">la noción de </w:t>
      </w:r>
      <w:r w:rsidRPr="005531A8">
        <w:rPr>
          <w:rFonts w:ascii="Arial" w:hAnsi="Arial" w:cs="Arial"/>
          <w:bCs/>
          <w:i/>
          <w:szCs w:val="24"/>
          <w:lang w:val="es-CO"/>
        </w:rPr>
        <w:t>prueba de referencia</w:t>
      </w:r>
      <w:r>
        <w:rPr>
          <w:rFonts w:ascii="Arial" w:hAnsi="Arial" w:cs="Arial"/>
          <w:bCs/>
          <w:i/>
          <w:szCs w:val="24"/>
          <w:lang w:val="es-CO"/>
        </w:rPr>
        <w:t>,</w:t>
      </w:r>
      <w:r>
        <w:rPr>
          <w:rFonts w:ascii="Arial" w:hAnsi="Arial" w:cs="Arial"/>
          <w:bCs/>
          <w:szCs w:val="24"/>
          <w:lang w:val="es-CO"/>
        </w:rPr>
        <w:t xml:space="preserve"> sentada en decisión de 2008</w:t>
      </w:r>
      <w:r>
        <w:rPr>
          <w:rStyle w:val="Refdenotaalpie"/>
          <w:rFonts w:ascii="Arial" w:hAnsi="Arial"/>
          <w:bCs/>
          <w:szCs w:val="24"/>
          <w:lang w:val="es-CO"/>
        </w:rPr>
        <w:footnoteReference w:id="14"/>
      </w:r>
      <w:r>
        <w:rPr>
          <w:rFonts w:ascii="Arial" w:hAnsi="Arial" w:cs="Arial"/>
          <w:bCs/>
          <w:szCs w:val="24"/>
          <w:lang w:val="es-CO"/>
        </w:rPr>
        <w:t xml:space="preserve"> por esa misma Corporación: </w:t>
      </w:r>
      <w:r w:rsidRPr="00B77E60">
        <w:rPr>
          <w:rFonts w:ascii="Arial" w:hAnsi="Arial" w:cs="Arial"/>
          <w:bCs/>
          <w:i/>
          <w:sz w:val="22"/>
          <w:szCs w:val="22"/>
          <w:lang w:val="es-CO"/>
        </w:rPr>
        <w:t xml:space="preserve">“(…) </w:t>
      </w:r>
      <w:r w:rsidRPr="00B77E60">
        <w:rPr>
          <w:rFonts w:ascii="Arial" w:hAnsi="Arial" w:cs="Arial"/>
          <w:i/>
          <w:sz w:val="22"/>
          <w:szCs w:val="22"/>
          <w:lang w:val="es-CO"/>
        </w:rPr>
        <w:t xml:space="preserve">las exposiciones rendidas por fuera del debate público y que versan sobre aspectos observados de manera directa y personal, </w:t>
      </w:r>
      <w:r w:rsidRPr="005A3B96">
        <w:rPr>
          <w:rFonts w:ascii="Arial" w:hAnsi="Arial" w:cs="Arial"/>
          <w:i/>
          <w:sz w:val="22"/>
          <w:szCs w:val="22"/>
          <w:u w:val="single"/>
          <w:lang w:val="es-CO"/>
        </w:rPr>
        <w:t>no son los únicos eventos constitutivos de prueba de referencia, sino también, como quedó visto, las declaraciones en las cuales no se permite el contradictorio del adversario, así como cuando se ofrecen relatos de oídas</w:t>
      </w:r>
      <w:r w:rsidRPr="00B77E60">
        <w:rPr>
          <w:rFonts w:ascii="Arial" w:hAnsi="Arial" w:cs="Arial"/>
          <w:i/>
          <w:sz w:val="22"/>
          <w:szCs w:val="22"/>
          <w:lang w:val="es-CO"/>
        </w:rPr>
        <w:t>.</w:t>
      </w:r>
      <w:r>
        <w:rPr>
          <w:rFonts w:ascii="Arial" w:hAnsi="Arial" w:cs="Arial"/>
          <w:i/>
          <w:sz w:val="22"/>
          <w:szCs w:val="22"/>
          <w:lang w:val="es-CO"/>
        </w:rPr>
        <w:t>”.</w:t>
      </w:r>
      <w:r w:rsidRPr="006070BF">
        <w:rPr>
          <w:rFonts w:ascii="Arial" w:hAnsi="Arial" w:cs="Arial"/>
          <w:szCs w:val="22"/>
          <w:lang w:val="es-CO"/>
        </w:rPr>
        <w:t xml:space="preserve"> Sub</w:t>
      </w:r>
      <w:r>
        <w:rPr>
          <w:rFonts w:ascii="Arial" w:hAnsi="Arial" w:cs="Arial"/>
          <w:szCs w:val="22"/>
          <w:lang w:val="es-CO"/>
        </w:rPr>
        <w:t>rayado propio de este Tribunal</w:t>
      </w:r>
      <w:r w:rsidRPr="006070BF">
        <w:rPr>
          <w:rFonts w:ascii="Arial" w:hAnsi="Arial" w:cs="Arial"/>
          <w:szCs w:val="22"/>
          <w:lang w:val="es-CO"/>
        </w:rPr>
        <w:t>.</w:t>
      </w:r>
      <w:r>
        <w:rPr>
          <w:rFonts w:ascii="Arial" w:hAnsi="Arial" w:cs="Arial"/>
          <w:szCs w:val="22"/>
          <w:lang w:val="es-CO"/>
        </w:rPr>
        <w:t xml:space="preserve">  Aquí la doctrina enfatizó sobre la garantía del derecho de confrontación como criterio diferenciador.</w:t>
      </w:r>
    </w:p>
    <w:p w:rsidR="00BB41BC" w:rsidRDefault="00BB41BC" w:rsidP="00501B67">
      <w:pPr>
        <w:widowControl w:val="0"/>
        <w:spacing w:line="360" w:lineRule="auto"/>
        <w:jc w:val="both"/>
        <w:rPr>
          <w:rFonts w:ascii="Arial" w:hAnsi="Arial" w:cs="Arial"/>
          <w:bCs/>
          <w:sz w:val="24"/>
          <w:szCs w:val="24"/>
          <w:lang w:val="es-CO"/>
        </w:rPr>
      </w:pPr>
    </w:p>
    <w:p w:rsidR="00E11DFF" w:rsidRPr="00E11DFF" w:rsidRDefault="00E11DFF" w:rsidP="00E11DFF">
      <w:pPr>
        <w:pStyle w:val="Textoindependiente"/>
        <w:spacing w:line="360" w:lineRule="auto"/>
        <w:rPr>
          <w:rFonts w:ascii="Arial" w:hAnsi="Arial" w:cs="Arial"/>
          <w:i/>
          <w:szCs w:val="24"/>
          <w:lang w:val="es-CO"/>
        </w:rPr>
      </w:pPr>
      <w:r w:rsidRPr="00E11DFF">
        <w:rPr>
          <w:rFonts w:ascii="Arial" w:eastAsia="Calibri" w:hAnsi="Arial" w:cs="Arial"/>
          <w:szCs w:val="24"/>
          <w:lang w:val="es-CO" w:eastAsia="en-US"/>
        </w:rPr>
        <w:t>También en decisión más reciente (2015)</w:t>
      </w:r>
      <w:r w:rsidRPr="00E11DFF">
        <w:rPr>
          <w:rStyle w:val="Refdenotaalpie"/>
          <w:rFonts w:ascii="Arial" w:eastAsia="Calibri" w:hAnsi="Arial"/>
          <w:szCs w:val="24"/>
          <w:lang w:val="es-CO" w:eastAsia="en-US"/>
        </w:rPr>
        <w:footnoteReference w:id="15"/>
      </w:r>
      <w:r w:rsidRPr="00E11DFF">
        <w:rPr>
          <w:rFonts w:ascii="Arial" w:eastAsia="Calibri" w:hAnsi="Arial" w:cs="Arial"/>
          <w:szCs w:val="24"/>
          <w:lang w:val="es-CO" w:eastAsia="en-US"/>
        </w:rPr>
        <w:t>, indicó:</w:t>
      </w:r>
      <w:r w:rsidRPr="00E11DFF">
        <w:rPr>
          <w:rFonts w:ascii="Arial" w:eastAsia="Calibri" w:hAnsi="Arial" w:cs="Arial"/>
          <w:i/>
          <w:sz w:val="22"/>
          <w:szCs w:val="24"/>
          <w:lang w:val="es-CO" w:eastAsia="en-US"/>
        </w:rPr>
        <w:t xml:space="preserve"> </w:t>
      </w:r>
      <w:r w:rsidR="00125730">
        <w:rPr>
          <w:rFonts w:ascii="Arial" w:eastAsia="Calibri" w:hAnsi="Arial" w:cs="Arial"/>
          <w:i/>
          <w:sz w:val="22"/>
          <w:szCs w:val="24"/>
          <w:lang w:val="es-CO" w:eastAsia="en-US"/>
        </w:rPr>
        <w:t xml:space="preserve">“(…) </w:t>
      </w:r>
      <w:r w:rsidRPr="00E11DFF">
        <w:rPr>
          <w:rFonts w:ascii="Arial" w:eastAsia="Calibri" w:hAnsi="Arial" w:cs="Arial"/>
          <w:i/>
          <w:sz w:val="22"/>
          <w:szCs w:val="24"/>
          <w:lang w:val="es-CO" w:eastAsia="en-US"/>
        </w:rPr>
        <w:t>El proceso de incorporación de la declaración anterior al juicio oral dependerá del medio de prueba utilizado por la parte para lograr dicho cometido. (…) si se pretende utilizar un testimonio, son aplicables las reglas de la prueba testimonial (el testigo deberá comparecer al juicio para ser sometido a interrogatorio cruzado, sólo podrá declarar sobre lo que directa y personalmente haya percibido, etc.) (CSJ SP, 8 Abr. 2014, Rad. 36784)</w:t>
      </w:r>
      <w:r>
        <w:rPr>
          <w:rFonts w:ascii="Arial" w:eastAsia="Calibri" w:hAnsi="Arial" w:cs="Arial"/>
          <w:i/>
          <w:sz w:val="22"/>
          <w:szCs w:val="24"/>
          <w:lang w:val="es-CO" w:eastAsia="en-US"/>
        </w:rPr>
        <w:t xml:space="preserve">”. </w:t>
      </w:r>
    </w:p>
    <w:p w:rsidR="00BB41BC" w:rsidRDefault="00BB41BC" w:rsidP="00C979CF">
      <w:pPr>
        <w:widowControl w:val="0"/>
        <w:spacing w:line="360" w:lineRule="auto"/>
        <w:jc w:val="both"/>
        <w:rPr>
          <w:rFonts w:ascii="Arial" w:hAnsi="Arial" w:cs="Arial"/>
          <w:bCs/>
          <w:szCs w:val="24"/>
          <w:highlight w:val="yellow"/>
          <w:lang w:val="es-CO"/>
        </w:rPr>
      </w:pPr>
    </w:p>
    <w:p w:rsidR="002E7F20" w:rsidRDefault="002E7F20" w:rsidP="002E7F20">
      <w:pPr>
        <w:pStyle w:val="Textoindependiente"/>
        <w:spacing w:line="360" w:lineRule="auto"/>
        <w:rPr>
          <w:rFonts w:ascii="Arial" w:hAnsi="Arial" w:cs="Arial"/>
          <w:szCs w:val="24"/>
          <w:lang w:val="es-CO"/>
        </w:rPr>
      </w:pPr>
      <w:r>
        <w:rPr>
          <w:rFonts w:ascii="Arial" w:hAnsi="Arial" w:cs="Arial"/>
          <w:szCs w:val="24"/>
          <w:lang w:val="es-CO"/>
        </w:rPr>
        <w:t xml:space="preserve">A partir de </w:t>
      </w:r>
      <w:r w:rsidR="00F14C24">
        <w:rPr>
          <w:rFonts w:ascii="Arial" w:hAnsi="Arial" w:cs="Arial"/>
          <w:szCs w:val="24"/>
          <w:lang w:val="es-CO"/>
        </w:rPr>
        <w:t>lo dicho</w:t>
      </w:r>
      <w:r>
        <w:rPr>
          <w:rFonts w:ascii="Arial" w:hAnsi="Arial" w:cs="Arial"/>
          <w:szCs w:val="24"/>
          <w:lang w:val="es-CO"/>
        </w:rPr>
        <w:t xml:space="preserve">, lo aseverado por la señora Chiquito </w:t>
      </w:r>
      <w:proofErr w:type="spellStart"/>
      <w:r>
        <w:rPr>
          <w:rFonts w:ascii="Arial" w:hAnsi="Arial" w:cs="Arial"/>
          <w:szCs w:val="24"/>
          <w:lang w:val="es-CO"/>
        </w:rPr>
        <w:t>Aricapa</w:t>
      </w:r>
      <w:proofErr w:type="spellEnd"/>
      <w:r>
        <w:rPr>
          <w:rFonts w:ascii="Arial" w:hAnsi="Arial" w:cs="Arial"/>
          <w:szCs w:val="24"/>
          <w:lang w:val="es-CO"/>
        </w:rPr>
        <w:t xml:space="preserve"> </w:t>
      </w:r>
      <w:r w:rsidR="003D4334">
        <w:rPr>
          <w:rFonts w:ascii="Arial" w:hAnsi="Arial" w:cs="Arial"/>
          <w:szCs w:val="24"/>
          <w:lang w:val="es-CO"/>
        </w:rPr>
        <w:t xml:space="preserve">acerca de la fecha posible de muerte del señor </w:t>
      </w:r>
      <w:proofErr w:type="spellStart"/>
      <w:r w:rsidR="003D4334">
        <w:rPr>
          <w:rFonts w:ascii="Arial" w:hAnsi="Arial" w:cs="Arial"/>
          <w:szCs w:val="24"/>
          <w:lang w:val="es-CO"/>
        </w:rPr>
        <w:t>Jhon</w:t>
      </w:r>
      <w:proofErr w:type="spellEnd"/>
      <w:r w:rsidR="003D4334">
        <w:rPr>
          <w:rFonts w:ascii="Arial" w:hAnsi="Arial" w:cs="Arial"/>
          <w:szCs w:val="24"/>
          <w:lang w:val="es-CO"/>
        </w:rPr>
        <w:t xml:space="preserve"> Augusto, </w:t>
      </w:r>
      <w:r>
        <w:rPr>
          <w:rFonts w:ascii="Arial" w:hAnsi="Arial" w:cs="Arial"/>
          <w:szCs w:val="24"/>
          <w:lang w:val="es-CO"/>
        </w:rPr>
        <w:t>en forma alguna puede ser tenido en cuenta, como elemento contradictor de</w:t>
      </w:r>
      <w:r w:rsidR="00EF6920">
        <w:rPr>
          <w:rFonts w:ascii="Arial" w:hAnsi="Arial" w:cs="Arial"/>
          <w:szCs w:val="24"/>
          <w:lang w:val="es-CO"/>
        </w:rPr>
        <w:t>l</w:t>
      </w:r>
      <w:r>
        <w:rPr>
          <w:rFonts w:ascii="Arial" w:hAnsi="Arial" w:cs="Arial"/>
          <w:szCs w:val="24"/>
          <w:lang w:val="es-CO"/>
        </w:rPr>
        <w:t xml:space="preserve"> testigo de cargo, su testimonio no se recaudó a pesar de </w:t>
      </w:r>
      <w:r w:rsidR="00EF6920">
        <w:rPr>
          <w:rFonts w:ascii="Arial" w:hAnsi="Arial" w:cs="Arial"/>
          <w:szCs w:val="24"/>
          <w:lang w:val="es-CO"/>
        </w:rPr>
        <w:t xml:space="preserve">estar </w:t>
      </w:r>
      <w:r>
        <w:rPr>
          <w:rFonts w:ascii="Arial" w:hAnsi="Arial" w:cs="Arial"/>
          <w:szCs w:val="24"/>
          <w:lang w:val="es-CO"/>
        </w:rPr>
        <w:t>disponible en juicio (Folio 28)</w:t>
      </w:r>
      <w:r w:rsidR="00EF6920">
        <w:rPr>
          <w:rFonts w:ascii="Arial" w:hAnsi="Arial" w:cs="Arial"/>
          <w:szCs w:val="24"/>
          <w:lang w:val="es-CO"/>
        </w:rPr>
        <w:t>,</w:t>
      </w:r>
      <w:r>
        <w:rPr>
          <w:rFonts w:ascii="Arial" w:hAnsi="Arial" w:cs="Arial"/>
          <w:szCs w:val="24"/>
          <w:lang w:val="es-CO"/>
        </w:rPr>
        <w:t xml:space="preserve"> su declaración </w:t>
      </w:r>
      <w:r w:rsidR="00EF6920">
        <w:rPr>
          <w:rFonts w:ascii="Arial" w:hAnsi="Arial" w:cs="Arial"/>
          <w:szCs w:val="24"/>
          <w:lang w:val="es-CO"/>
        </w:rPr>
        <w:t xml:space="preserve">fue decretada por petición, solo del ente acusador </w:t>
      </w:r>
      <w:r>
        <w:rPr>
          <w:rFonts w:ascii="Arial" w:hAnsi="Arial" w:cs="Arial"/>
          <w:szCs w:val="24"/>
          <w:lang w:val="es-CO"/>
        </w:rPr>
        <w:t xml:space="preserve">(Folio 23), que </w:t>
      </w:r>
      <w:r w:rsidR="00EF6920">
        <w:rPr>
          <w:rFonts w:ascii="Arial" w:hAnsi="Arial" w:cs="Arial"/>
          <w:szCs w:val="24"/>
          <w:lang w:val="es-CO"/>
        </w:rPr>
        <w:t>luego desistió</w:t>
      </w:r>
      <w:r>
        <w:rPr>
          <w:rFonts w:ascii="Arial" w:hAnsi="Arial" w:cs="Arial"/>
          <w:szCs w:val="24"/>
          <w:lang w:val="es-CO"/>
        </w:rPr>
        <w:t xml:space="preserve"> e</w:t>
      </w:r>
      <w:r w:rsidR="00EF6920">
        <w:rPr>
          <w:rFonts w:ascii="Arial" w:hAnsi="Arial" w:cs="Arial"/>
          <w:szCs w:val="24"/>
          <w:lang w:val="es-CO"/>
        </w:rPr>
        <w:t>n</w:t>
      </w:r>
      <w:r>
        <w:rPr>
          <w:rFonts w:ascii="Arial" w:hAnsi="Arial" w:cs="Arial"/>
          <w:szCs w:val="24"/>
          <w:lang w:val="es-CO"/>
        </w:rPr>
        <w:t xml:space="preserve"> juicio</w:t>
      </w:r>
      <w:r w:rsidR="0055500E">
        <w:rPr>
          <w:rFonts w:ascii="Arial" w:hAnsi="Arial" w:cs="Arial"/>
          <w:szCs w:val="24"/>
          <w:lang w:val="es-CO"/>
        </w:rPr>
        <w:t>, según la potestad normativa conferida por el mismo ordenamiento</w:t>
      </w:r>
      <w:r w:rsidR="00EF6920">
        <w:rPr>
          <w:rFonts w:ascii="Arial" w:hAnsi="Arial" w:cs="Arial"/>
          <w:szCs w:val="24"/>
          <w:lang w:val="es-CO"/>
        </w:rPr>
        <w:t>;</w:t>
      </w:r>
      <w:r>
        <w:rPr>
          <w:rFonts w:ascii="Arial" w:hAnsi="Arial" w:cs="Arial"/>
          <w:szCs w:val="24"/>
          <w:lang w:val="es-CO"/>
        </w:rPr>
        <w:t xml:space="preserve"> </w:t>
      </w:r>
      <w:r w:rsidR="00FC6DE4">
        <w:rPr>
          <w:rFonts w:ascii="Arial" w:hAnsi="Arial" w:cs="Arial"/>
          <w:szCs w:val="24"/>
          <w:lang w:val="es-CO"/>
        </w:rPr>
        <w:t xml:space="preserve">a su turno </w:t>
      </w:r>
      <w:r>
        <w:rPr>
          <w:rFonts w:ascii="Arial" w:hAnsi="Arial" w:cs="Arial"/>
          <w:szCs w:val="24"/>
          <w:lang w:val="es-CO"/>
        </w:rPr>
        <w:t>la defensa</w:t>
      </w:r>
      <w:r w:rsidR="00EF6920">
        <w:rPr>
          <w:rFonts w:ascii="Arial" w:hAnsi="Arial" w:cs="Arial"/>
          <w:szCs w:val="24"/>
          <w:lang w:val="es-CO"/>
        </w:rPr>
        <w:t>, pudiendo concurrir en su pedimento,</w:t>
      </w:r>
      <w:r>
        <w:rPr>
          <w:rFonts w:ascii="Arial" w:hAnsi="Arial" w:cs="Arial"/>
          <w:szCs w:val="24"/>
          <w:lang w:val="es-CO"/>
        </w:rPr>
        <w:t xml:space="preserve"> </w:t>
      </w:r>
      <w:r w:rsidR="00EF6920">
        <w:rPr>
          <w:rFonts w:ascii="Arial" w:hAnsi="Arial" w:cs="Arial"/>
          <w:szCs w:val="24"/>
          <w:lang w:val="es-CO"/>
        </w:rPr>
        <w:t xml:space="preserve">si lo estimaba </w:t>
      </w:r>
      <w:r w:rsidR="003D4334">
        <w:rPr>
          <w:rFonts w:ascii="Arial" w:hAnsi="Arial" w:cs="Arial"/>
          <w:szCs w:val="24"/>
          <w:lang w:val="es-CO"/>
        </w:rPr>
        <w:t>fundamental</w:t>
      </w:r>
      <w:r w:rsidR="00EF6920">
        <w:rPr>
          <w:rFonts w:ascii="Arial" w:hAnsi="Arial" w:cs="Arial"/>
          <w:szCs w:val="24"/>
          <w:lang w:val="es-CO"/>
        </w:rPr>
        <w:t>, en aquella oportunidad guardó silencio</w:t>
      </w:r>
      <w:r w:rsidR="00DF06F5">
        <w:rPr>
          <w:rFonts w:ascii="Arial" w:hAnsi="Arial" w:cs="Arial"/>
          <w:szCs w:val="24"/>
          <w:lang w:val="es-CO"/>
        </w:rPr>
        <w:t>, mal puede</w:t>
      </w:r>
      <w:r w:rsidR="005E3F51">
        <w:rPr>
          <w:rFonts w:ascii="Arial" w:hAnsi="Arial" w:cs="Arial"/>
          <w:szCs w:val="24"/>
          <w:lang w:val="es-CO"/>
        </w:rPr>
        <w:t xml:space="preserve"> entonces</w:t>
      </w:r>
      <w:r w:rsidR="00DF06F5">
        <w:rPr>
          <w:rFonts w:ascii="Arial" w:hAnsi="Arial" w:cs="Arial"/>
          <w:szCs w:val="24"/>
          <w:lang w:val="es-CO"/>
        </w:rPr>
        <w:t xml:space="preserve"> ahora, </w:t>
      </w:r>
      <w:proofErr w:type="spellStart"/>
      <w:r w:rsidR="00DF06F5">
        <w:rPr>
          <w:rFonts w:ascii="Arial" w:hAnsi="Arial" w:cs="Arial"/>
          <w:szCs w:val="24"/>
          <w:lang w:val="es-CO"/>
        </w:rPr>
        <w:t>precluida</w:t>
      </w:r>
      <w:proofErr w:type="spellEnd"/>
      <w:r w:rsidR="00DF06F5">
        <w:rPr>
          <w:rFonts w:ascii="Arial" w:hAnsi="Arial" w:cs="Arial"/>
          <w:szCs w:val="24"/>
          <w:lang w:val="es-CO"/>
        </w:rPr>
        <w:t xml:space="preserve"> aquella fase</w:t>
      </w:r>
      <w:r w:rsidR="00AB7C26">
        <w:rPr>
          <w:rFonts w:ascii="Arial" w:hAnsi="Arial" w:cs="Arial"/>
          <w:szCs w:val="24"/>
          <w:lang w:val="es-CO"/>
        </w:rPr>
        <w:t>,</w:t>
      </w:r>
      <w:r w:rsidR="005E3F51">
        <w:rPr>
          <w:rFonts w:ascii="Arial" w:hAnsi="Arial" w:cs="Arial"/>
          <w:szCs w:val="24"/>
          <w:lang w:val="es-CO"/>
        </w:rPr>
        <w:t xml:space="preserve"> cuestionar la ausencia probatoria, que desde luego visto así</w:t>
      </w:r>
      <w:r w:rsidR="00BF5EB6">
        <w:rPr>
          <w:rFonts w:ascii="Arial" w:hAnsi="Arial" w:cs="Arial"/>
          <w:szCs w:val="24"/>
          <w:lang w:val="es-CO"/>
        </w:rPr>
        <w:t>,</w:t>
      </w:r>
      <w:r w:rsidR="005E3F51">
        <w:rPr>
          <w:rFonts w:ascii="Arial" w:hAnsi="Arial" w:cs="Arial"/>
          <w:szCs w:val="24"/>
          <w:lang w:val="es-CO"/>
        </w:rPr>
        <w:t xml:space="preserve"> le es imputable.</w:t>
      </w:r>
    </w:p>
    <w:p w:rsidR="00F76720" w:rsidRDefault="00F76720" w:rsidP="002E7F20">
      <w:pPr>
        <w:pStyle w:val="Textoindependiente"/>
        <w:spacing w:line="360" w:lineRule="auto"/>
        <w:rPr>
          <w:rFonts w:ascii="Arial" w:hAnsi="Arial" w:cs="Arial"/>
          <w:szCs w:val="24"/>
          <w:lang w:val="es-CO"/>
        </w:rPr>
      </w:pPr>
    </w:p>
    <w:p w:rsidR="00762330" w:rsidRPr="00762330" w:rsidRDefault="00762330" w:rsidP="00762330">
      <w:pPr>
        <w:pStyle w:val="Textoindependiente"/>
        <w:spacing w:line="360" w:lineRule="auto"/>
        <w:rPr>
          <w:rFonts w:ascii="Arial" w:hAnsi="Arial" w:cs="Arial"/>
          <w:bCs/>
          <w:szCs w:val="24"/>
          <w:lang w:val="es-CO"/>
        </w:rPr>
      </w:pPr>
      <w:r w:rsidRPr="00762330">
        <w:rPr>
          <w:rFonts w:ascii="Arial" w:hAnsi="Arial" w:cs="Arial"/>
          <w:bCs/>
          <w:szCs w:val="24"/>
          <w:lang w:val="es-CO"/>
        </w:rPr>
        <w:t>Por las razones acaba</w:t>
      </w:r>
      <w:r w:rsidR="00C56E0C">
        <w:rPr>
          <w:rFonts w:ascii="Arial" w:hAnsi="Arial" w:cs="Arial"/>
          <w:bCs/>
          <w:szCs w:val="24"/>
          <w:lang w:val="es-CO"/>
        </w:rPr>
        <w:t>das</w:t>
      </w:r>
      <w:r w:rsidRPr="00762330">
        <w:rPr>
          <w:rFonts w:ascii="Arial" w:hAnsi="Arial" w:cs="Arial"/>
          <w:bCs/>
          <w:szCs w:val="24"/>
          <w:lang w:val="es-CO"/>
        </w:rPr>
        <w:t xml:space="preserve"> de exponerse, válido resaltar que le asiste la razón al apelante, cuando considera que, la sentencia </w:t>
      </w:r>
      <w:r w:rsidR="00C56E0C">
        <w:rPr>
          <w:rFonts w:ascii="Arial" w:hAnsi="Arial" w:cs="Arial"/>
          <w:bCs/>
          <w:szCs w:val="24"/>
          <w:lang w:val="es-CO"/>
        </w:rPr>
        <w:t xml:space="preserve">indebidamente apreció </w:t>
      </w:r>
      <w:r w:rsidRPr="00762330">
        <w:rPr>
          <w:rFonts w:ascii="Arial" w:hAnsi="Arial" w:cs="Arial"/>
          <w:bCs/>
          <w:szCs w:val="24"/>
          <w:lang w:val="es-CO"/>
        </w:rPr>
        <w:t>las entrevistas de Blanca Nieves Manso y Gladys Manso (Tía y madre</w:t>
      </w:r>
      <w:r w:rsidR="00C56E0C">
        <w:rPr>
          <w:rFonts w:ascii="Arial" w:hAnsi="Arial" w:cs="Arial"/>
          <w:bCs/>
          <w:szCs w:val="24"/>
          <w:lang w:val="es-CO"/>
        </w:rPr>
        <w:t>, en su orden, del menor acusado).</w:t>
      </w:r>
    </w:p>
    <w:p w:rsidR="00762330" w:rsidRDefault="00762330" w:rsidP="00C979CF">
      <w:pPr>
        <w:widowControl w:val="0"/>
        <w:spacing w:line="360" w:lineRule="auto"/>
        <w:jc w:val="both"/>
        <w:rPr>
          <w:rFonts w:ascii="Arial" w:hAnsi="Arial" w:cs="Arial"/>
          <w:bCs/>
          <w:szCs w:val="24"/>
          <w:highlight w:val="yellow"/>
          <w:lang w:val="es-CO"/>
        </w:rPr>
      </w:pPr>
    </w:p>
    <w:p w:rsidR="008B77B0" w:rsidRPr="00D1028B" w:rsidRDefault="009364D5" w:rsidP="00D1028B">
      <w:pPr>
        <w:widowControl w:val="0"/>
        <w:spacing w:line="360" w:lineRule="auto"/>
        <w:jc w:val="both"/>
        <w:rPr>
          <w:rFonts w:ascii="Arial" w:hAnsi="Arial" w:cs="Arial"/>
          <w:sz w:val="24"/>
          <w:szCs w:val="24"/>
          <w:lang w:val="es-CO"/>
        </w:rPr>
      </w:pPr>
      <w:r w:rsidRPr="00D1028B">
        <w:rPr>
          <w:rFonts w:ascii="Arial" w:hAnsi="Arial" w:cs="Arial"/>
          <w:sz w:val="24"/>
          <w:szCs w:val="24"/>
          <w:lang w:val="es-CO"/>
        </w:rPr>
        <w:t>En lo atinente a</w:t>
      </w:r>
      <w:r w:rsidR="00541C6F" w:rsidRPr="00D1028B">
        <w:rPr>
          <w:rFonts w:ascii="Arial" w:hAnsi="Arial" w:cs="Arial"/>
          <w:sz w:val="24"/>
          <w:szCs w:val="24"/>
          <w:lang w:val="es-CO"/>
        </w:rPr>
        <w:t xml:space="preserve"> la declaración e informe del </w:t>
      </w:r>
      <w:r w:rsidRPr="00D1028B">
        <w:rPr>
          <w:rFonts w:ascii="Arial" w:hAnsi="Arial" w:cs="Arial"/>
          <w:sz w:val="24"/>
          <w:szCs w:val="24"/>
          <w:lang w:val="es-CO"/>
        </w:rPr>
        <w:t>subintendente</w:t>
      </w:r>
      <w:r w:rsidR="00541C6F" w:rsidRPr="00D1028B">
        <w:rPr>
          <w:rFonts w:ascii="Arial" w:hAnsi="Arial" w:cs="Arial"/>
          <w:sz w:val="24"/>
          <w:szCs w:val="24"/>
          <w:lang w:val="es-CO"/>
        </w:rPr>
        <w:t xml:space="preserve"> Edwin Fernando Chilito </w:t>
      </w:r>
      <w:proofErr w:type="spellStart"/>
      <w:r w:rsidR="00541C6F" w:rsidRPr="00D1028B">
        <w:rPr>
          <w:rFonts w:ascii="Arial" w:hAnsi="Arial" w:cs="Arial"/>
          <w:sz w:val="24"/>
          <w:szCs w:val="24"/>
          <w:lang w:val="es-CO"/>
        </w:rPr>
        <w:t>Zemanate</w:t>
      </w:r>
      <w:proofErr w:type="spellEnd"/>
      <w:r w:rsidR="002B6DCC" w:rsidRPr="00D1028B">
        <w:rPr>
          <w:rFonts w:ascii="Arial" w:hAnsi="Arial" w:cs="Arial"/>
          <w:sz w:val="24"/>
          <w:szCs w:val="24"/>
          <w:lang w:val="es-CO"/>
        </w:rPr>
        <w:t xml:space="preserve">, quien </w:t>
      </w:r>
      <w:r w:rsidRPr="00D1028B">
        <w:rPr>
          <w:rFonts w:ascii="Arial" w:hAnsi="Arial" w:cs="Arial"/>
          <w:sz w:val="24"/>
          <w:szCs w:val="24"/>
          <w:lang w:val="es-CO"/>
        </w:rPr>
        <w:t xml:space="preserve">como </w:t>
      </w:r>
      <w:r w:rsidR="002B6DCC" w:rsidRPr="00D1028B">
        <w:rPr>
          <w:rFonts w:ascii="Arial" w:hAnsi="Arial" w:cs="Arial"/>
          <w:sz w:val="24"/>
          <w:szCs w:val="24"/>
          <w:lang w:val="es-CO"/>
        </w:rPr>
        <w:t xml:space="preserve">primer respondiente, </w:t>
      </w:r>
      <w:r w:rsidRPr="00D1028B">
        <w:rPr>
          <w:rFonts w:ascii="Arial" w:hAnsi="Arial" w:cs="Arial"/>
          <w:sz w:val="24"/>
          <w:szCs w:val="24"/>
          <w:lang w:val="es-CO"/>
        </w:rPr>
        <w:t>dijo</w:t>
      </w:r>
      <w:r w:rsidR="002B6DCC" w:rsidRPr="00D1028B">
        <w:rPr>
          <w:rFonts w:ascii="Arial" w:hAnsi="Arial" w:cs="Arial"/>
          <w:sz w:val="24"/>
          <w:szCs w:val="24"/>
          <w:lang w:val="es-CO"/>
        </w:rPr>
        <w:t>: “</w:t>
      </w:r>
      <w:r w:rsidR="002B6DCC" w:rsidRPr="00D1028B">
        <w:rPr>
          <w:rFonts w:ascii="Arial" w:hAnsi="Arial" w:cs="Arial"/>
          <w:i/>
          <w:sz w:val="24"/>
          <w:szCs w:val="24"/>
          <w:lang w:val="es-CO"/>
        </w:rPr>
        <w:t>(…) ayer 03-oct 2015, fue visto por última vez por sus familiares (…)</w:t>
      </w:r>
      <w:r w:rsidR="002B6DCC" w:rsidRPr="00D1028B">
        <w:rPr>
          <w:rFonts w:ascii="Arial" w:hAnsi="Arial" w:cs="Arial"/>
          <w:sz w:val="24"/>
          <w:szCs w:val="24"/>
          <w:lang w:val="es-CO"/>
        </w:rPr>
        <w:t>”</w:t>
      </w:r>
      <w:r w:rsidR="00BB2D09" w:rsidRPr="00D1028B">
        <w:rPr>
          <w:rFonts w:ascii="Arial" w:hAnsi="Arial" w:cs="Arial"/>
          <w:sz w:val="24"/>
          <w:szCs w:val="24"/>
          <w:lang w:val="es-CO"/>
        </w:rPr>
        <w:t xml:space="preserve"> (Folio 31, </w:t>
      </w:r>
      <w:r w:rsidR="00746AF3" w:rsidRPr="00746AF3">
        <w:rPr>
          <w:rFonts w:ascii="Arial" w:hAnsi="Arial" w:cs="Arial"/>
          <w:sz w:val="24"/>
          <w:szCs w:val="24"/>
          <w:lang w:val="es-CO"/>
        </w:rPr>
        <w:t>contentivo de estipulaciones</w:t>
      </w:r>
      <w:r w:rsidR="00D1028B" w:rsidRPr="00D1028B">
        <w:rPr>
          <w:rFonts w:ascii="Arial" w:hAnsi="Arial" w:cs="Arial"/>
          <w:sz w:val="24"/>
          <w:szCs w:val="24"/>
          <w:lang w:val="es-CO"/>
        </w:rPr>
        <w:t xml:space="preserve">, </w:t>
      </w:r>
      <w:r w:rsidR="00136A3E" w:rsidRPr="00D1028B">
        <w:rPr>
          <w:rFonts w:ascii="Arial" w:hAnsi="Arial" w:cs="Arial"/>
          <w:sz w:val="24"/>
          <w:szCs w:val="24"/>
          <w:lang w:val="es-CO"/>
        </w:rPr>
        <w:t xml:space="preserve">es necesario </w:t>
      </w:r>
      <w:r w:rsidR="00D1028B">
        <w:rPr>
          <w:rFonts w:ascii="Arial" w:hAnsi="Arial" w:cs="Arial"/>
          <w:sz w:val="24"/>
          <w:szCs w:val="24"/>
          <w:lang w:val="es-CO"/>
        </w:rPr>
        <w:t xml:space="preserve">recordar </w:t>
      </w:r>
      <w:r w:rsidR="005641CE">
        <w:rPr>
          <w:rFonts w:ascii="Arial" w:hAnsi="Arial" w:cs="Arial"/>
          <w:sz w:val="24"/>
          <w:szCs w:val="24"/>
          <w:lang w:val="es-CO"/>
        </w:rPr>
        <w:t>y dar cabal comprensión a</w:t>
      </w:r>
      <w:r w:rsidR="00D1028B">
        <w:rPr>
          <w:rFonts w:ascii="Arial" w:hAnsi="Arial" w:cs="Arial"/>
          <w:sz w:val="24"/>
          <w:szCs w:val="24"/>
          <w:lang w:val="es-CO"/>
        </w:rPr>
        <w:t xml:space="preserve"> </w:t>
      </w:r>
      <w:r w:rsidR="00136A3E" w:rsidRPr="00D1028B">
        <w:rPr>
          <w:rFonts w:ascii="Arial" w:hAnsi="Arial" w:cs="Arial"/>
          <w:sz w:val="24"/>
          <w:szCs w:val="24"/>
          <w:lang w:val="es-CO"/>
        </w:rPr>
        <w:t>la noción de l</w:t>
      </w:r>
      <w:r w:rsidR="008B77B0" w:rsidRPr="00D1028B">
        <w:rPr>
          <w:rFonts w:ascii="Arial" w:hAnsi="Arial" w:cs="Arial"/>
          <w:sz w:val="24"/>
          <w:szCs w:val="24"/>
          <w:lang w:val="es-CO"/>
        </w:rPr>
        <w:t>a prueba de referencia</w:t>
      </w:r>
      <w:r w:rsidR="003B7F0A" w:rsidRPr="00D1028B">
        <w:rPr>
          <w:rFonts w:ascii="Arial" w:hAnsi="Arial" w:cs="Arial"/>
          <w:sz w:val="24"/>
          <w:szCs w:val="24"/>
          <w:lang w:val="es-CO"/>
        </w:rPr>
        <w:t>,</w:t>
      </w:r>
      <w:r w:rsidR="008B77B0" w:rsidRPr="00D1028B">
        <w:rPr>
          <w:rFonts w:ascii="Arial" w:hAnsi="Arial" w:cs="Arial"/>
          <w:sz w:val="24"/>
          <w:szCs w:val="24"/>
          <w:lang w:val="es-CO"/>
        </w:rPr>
        <w:t xml:space="preserve"> </w:t>
      </w:r>
      <w:r w:rsidR="00D1028B">
        <w:rPr>
          <w:rFonts w:ascii="Arial" w:hAnsi="Arial" w:cs="Arial"/>
          <w:sz w:val="24"/>
          <w:szCs w:val="24"/>
          <w:lang w:val="es-CO"/>
        </w:rPr>
        <w:t xml:space="preserve">que </w:t>
      </w:r>
      <w:r w:rsidR="008B77B0" w:rsidRPr="00D1028B">
        <w:rPr>
          <w:rFonts w:ascii="Arial" w:hAnsi="Arial" w:cs="Arial"/>
          <w:sz w:val="24"/>
          <w:szCs w:val="24"/>
          <w:lang w:val="es-CO"/>
        </w:rPr>
        <w:t>es admisible de manera excepcional, en los precisos eventos, previstos por el artículo 438 del CPP, explicados por la doctrina jurisprudencial</w:t>
      </w:r>
      <w:r w:rsidR="00136A3E" w:rsidRPr="00D1028B">
        <w:rPr>
          <w:rStyle w:val="Refdenotaalpie"/>
          <w:rFonts w:ascii="Arial" w:hAnsi="Arial"/>
          <w:sz w:val="24"/>
          <w:szCs w:val="24"/>
          <w:lang w:val="es-CO"/>
        </w:rPr>
        <w:footnoteReference w:id="16"/>
      </w:r>
      <w:r w:rsidR="00136A3E" w:rsidRPr="00D1028B">
        <w:rPr>
          <w:rFonts w:ascii="Arial" w:hAnsi="Arial" w:cs="Arial"/>
          <w:sz w:val="24"/>
          <w:szCs w:val="24"/>
          <w:vertAlign w:val="superscript"/>
          <w:lang w:val="es-CO"/>
        </w:rPr>
        <w:t>-</w:t>
      </w:r>
      <w:r w:rsidR="008B77B0" w:rsidRPr="00D1028B">
        <w:rPr>
          <w:rStyle w:val="Refdenotaalpie"/>
          <w:rFonts w:ascii="Arial" w:hAnsi="Arial"/>
          <w:sz w:val="24"/>
          <w:szCs w:val="24"/>
          <w:lang w:val="es-CO"/>
        </w:rPr>
        <w:footnoteReference w:id="17"/>
      </w:r>
      <w:r w:rsidR="00136A3E" w:rsidRPr="00D1028B">
        <w:rPr>
          <w:rFonts w:ascii="Arial" w:hAnsi="Arial" w:cs="Arial"/>
          <w:sz w:val="24"/>
          <w:szCs w:val="24"/>
          <w:vertAlign w:val="superscript"/>
          <w:lang w:val="es-CO"/>
        </w:rPr>
        <w:t>-</w:t>
      </w:r>
      <w:r w:rsidR="0093470C" w:rsidRPr="00D1028B">
        <w:rPr>
          <w:rStyle w:val="Refdenotaalpie"/>
          <w:rFonts w:ascii="Arial" w:hAnsi="Arial"/>
          <w:sz w:val="24"/>
          <w:szCs w:val="24"/>
          <w:lang w:val="es-CO"/>
        </w:rPr>
        <w:footnoteReference w:id="18"/>
      </w:r>
      <w:r w:rsidR="0093470C" w:rsidRPr="00D1028B">
        <w:rPr>
          <w:rFonts w:ascii="Arial" w:hAnsi="Arial" w:cs="Arial"/>
          <w:sz w:val="24"/>
          <w:szCs w:val="24"/>
          <w:vertAlign w:val="superscript"/>
          <w:lang w:val="es-CO"/>
        </w:rPr>
        <w:t>-</w:t>
      </w:r>
      <w:r w:rsidR="0093470C" w:rsidRPr="00D1028B">
        <w:rPr>
          <w:rStyle w:val="Refdenotaalpie"/>
          <w:rFonts w:ascii="Arial" w:hAnsi="Arial"/>
          <w:sz w:val="24"/>
          <w:szCs w:val="24"/>
          <w:lang w:val="es-CO"/>
        </w:rPr>
        <w:footnoteReference w:id="19"/>
      </w:r>
      <w:r w:rsidR="008B77B0" w:rsidRPr="00D1028B">
        <w:rPr>
          <w:rFonts w:ascii="Arial" w:hAnsi="Arial" w:cs="Arial"/>
          <w:sz w:val="24"/>
          <w:szCs w:val="24"/>
          <w:lang w:val="es-CO"/>
        </w:rPr>
        <w:t xml:space="preserve"> del órgano cierre de la especialidad.</w:t>
      </w:r>
      <w:r w:rsidR="003B7F0A" w:rsidRPr="00D1028B">
        <w:rPr>
          <w:rFonts w:ascii="Arial" w:hAnsi="Arial" w:cs="Arial"/>
          <w:sz w:val="24"/>
          <w:szCs w:val="24"/>
          <w:lang w:val="es-CO"/>
        </w:rPr>
        <w:t xml:space="preserve"> Y </w:t>
      </w:r>
      <w:r w:rsidR="003B7F0A" w:rsidRPr="00D1028B">
        <w:rPr>
          <w:rFonts w:ascii="Arial" w:hAnsi="Arial" w:cs="Arial"/>
          <w:sz w:val="24"/>
          <w:szCs w:val="24"/>
          <w:lang w:val="es-CO"/>
        </w:rPr>
        <w:lastRenderedPageBreak/>
        <w:t>es que aunque esa</w:t>
      </w:r>
      <w:r w:rsidR="008B77B0" w:rsidRPr="00D1028B">
        <w:rPr>
          <w:rFonts w:ascii="Arial" w:hAnsi="Arial" w:cs="Arial"/>
          <w:sz w:val="24"/>
          <w:szCs w:val="24"/>
          <w:lang w:val="es-CO"/>
        </w:rPr>
        <w:t xml:space="preserve"> prueba no puede ser tratada siempre como ilegal</w:t>
      </w:r>
      <w:r w:rsidR="008B77B0" w:rsidRPr="00D1028B">
        <w:rPr>
          <w:rStyle w:val="Refdenotaalpie"/>
          <w:rFonts w:ascii="Arial" w:hAnsi="Arial"/>
          <w:sz w:val="24"/>
          <w:szCs w:val="24"/>
          <w:lang w:val="es-CO"/>
        </w:rPr>
        <w:footnoteReference w:id="20"/>
      </w:r>
      <w:r w:rsidR="008B77B0" w:rsidRPr="00D1028B">
        <w:rPr>
          <w:rFonts w:ascii="Arial" w:hAnsi="Arial" w:cs="Arial"/>
          <w:sz w:val="24"/>
          <w:szCs w:val="24"/>
          <w:lang w:val="es-CO"/>
        </w:rPr>
        <w:t xml:space="preserve">, ni ilícita, </w:t>
      </w:r>
      <w:r w:rsidR="003B7F0A" w:rsidRPr="00D1028B">
        <w:rPr>
          <w:rFonts w:ascii="Arial" w:hAnsi="Arial" w:cs="Arial"/>
          <w:sz w:val="24"/>
          <w:szCs w:val="24"/>
          <w:lang w:val="es-CO"/>
        </w:rPr>
        <w:t xml:space="preserve">sí se </w:t>
      </w:r>
      <w:r w:rsidR="008B77B0" w:rsidRPr="00D1028B">
        <w:rPr>
          <w:rFonts w:ascii="Arial" w:hAnsi="Arial" w:cs="Arial"/>
          <w:sz w:val="24"/>
          <w:szCs w:val="24"/>
          <w:lang w:val="es-CO"/>
        </w:rPr>
        <w:t xml:space="preserve">impone una ponderación más rigurosa, atendido el </w:t>
      </w:r>
      <w:r w:rsidR="008B77B0" w:rsidRPr="00D1028B">
        <w:rPr>
          <w:rFonts w:ascii="Arial" w:hAnsi="Arial" w:cs="Arial"/>
          <w:sz w:val="24"/>
          <w:szCs w:val="24"/>
        </w:rPr>
        <w:t xml:space="preserve">valor de convicción </w:t>
      </w:r>
      <w:r w:rsidR="008B77B0" w:rsidRPr="00D1028B">
        <w:rPr>
          <w:rFonts w:ascii="Arial" w:hAnsi="Arial" w:cs="Arial"/>
          <w:bCs/>
          <w:sz w:val="24"/>
          <w:szCs w:val="24"/>
        </w:rPr>
        <w:t>menguado o restringido</w:t>
      </w:r>
      <w:r w:rsidR="008B77B0" w:rsidRPr="00D1028B">
        <w:rPr>
          <w:rFonts w:ascii="Arial" w:hAnsi="Arial" w:cs="Arial"/>
          <w:sz w:val="24"/>
          <w:szCs w:val="24"/>
        </w:rPr>
        <w:t xml:space="preserve">, que manda el artículo 381 ob. cit., así lo entiende la doctrina penal de </w:t>
      </w:r>
      <w:r w:rsidR="0093470C" w:rsidRPr="00D1028B">
        <w:rPr>
          <w:rFonts w:ascii="Arial" w:hAnsi="Arial" w:cs="Arial"/>
          <w:sz w:val="24"/>
          <w:szCs w:val="24"/>
        </w:rPr>
        <w:t>esa Corporación</w:t>
      </w:r>
      <w:r w:rsidR="008B77B0" w:rsidRPr="00D1028B">
        <w:rPr>
          <w:rStyle w:val="Refdenotaalpie"/>
          <w:rFonts w:ascii="Arial" w:hAnsi="Arial"/>
          <w:sz w:val="24"/>
          <w:szCs w:val="24"/>
        </w:rPr>
        <w:footnoteReference w:id="21"/>
      </w:r>
      <w:r w:rsidR="008B77B0" w:rsidRPr="00D1028B">
        <w:rPr>
          <w:rFonts w:ascii="Arial" w:hAnsi="Arial" w:cs="Arial"/>
          <w:sz w:val="24"/>
          <w:szCs w:val="24"/>
        </w:rPr>
        <w:t>.  Lo que existe, dice la Corte, es una tarifa legal negativa al reglarse la improcedencia de fundar una condena, únicamente con apoyo en esa prueba</w:t>
      </w:r>
      <w:r w:rsidR="008B77B0" w:rsidRPr="00D1028B">
        <w:rPr>
          <w:rStyle w:val="Refdenotaalpie"/>
          <w:rFonts w:ascii="Arial" w:hAnsi="Arial"/>
          <w:sz w:val="24"/>
          <w:szCs w:val="24"/>
        </w:rPr>
        <w:footnoteReference w:id="22"/>
      </w:r>
      <w:r w:rsidR="008B77B0" w:rsidRPr="00D1028B">
        <w:rPr>
          <w:rFonts w:ascii="Arial" w:hAnsi="Arial" w:cs="Arial"/>
          <w:sz w:val="24"/>
          <w:szCs w:val="24"/>
        </w:rPr>
        <w:t>.</w:t>
      </w:r>
    </w:p>
    <w:p w:rsidR="008B77B0" w:rsidRDefault="008B77B0" w:rsidP="008B77B0">
      <w:pPr>
        <w:pStyle w:val="Textoindependiente"/>
        <w:spacing w:line="360" w:lineRule="auto"/>
        <w:rPr>
          <w:rFonts w:ascii="Arial" w:hAnsi="Arial" w:cs="Arial"/>
          <w:szCs w:val="24"/>
          <w:lang w:val="es-CO"/>
        </w:rPr>
      </w:pPr>
    </w:p>
    <w:p w:rsidR="008B77B0" w:rsidRPr="009F7BE0" w:rsidRDefault="008B77B0" w:rsidP="008B77B0">
      <w:pPr>
        <w:spacing w:line="360" w:lineRule="auto"/>
        <w:ind w:right="51"/>
        <w:jc w:val="both"/>
        <w:rPr>
          <w:rFonts w:ascii="Arial" w:hAnsi="Arial" w:cs="Arial"/>
          <w:sz w:val="24"/>
          <w:szCs w:val="24"/>
          <w:lang w:val="es-CO"/>
        </w:rPr>
      </w:pPr>
      <w:r w:rsidRPr="00D9651E">
        <w:rPr>
          <w:rFonts w:ascii="Arial" w:hAnsi="Arial" w:cs="Arial"/>
          <w:sz w:val="24"/>
          <w:szCs w:val="24"/>
          <w:lang w:val="es-CO"/>
        </w:rPr>
        <w:t xml:space="preserve">Para mayor claridad, basten las </w:t>
      </w:r>
      <w:proofErr w:type="spellStart"/>
      <w:r w:rsidRPr="00D9651E">
        <w:rPr>
          <w:rFonts w:ascii="Arial" w:hAnsi="Arial" w:cs="Arial"/>
          <w:sz w:val="24"/>
          <w:szCs w:val="24"/>
          <w:lang w:val="es-CO"/>
        </w:rPr>
        <w:t>subreglas</w:t>
      </w:r>
      <w:proofErr w:type="spellEnd"/>
      <w:r w:rsidRPr="00D9651E">
        <w:rPr>
          <w:rFonts w:ascii="Arial" w:hAnsi="Arial" w:cs="Arial"/>
          <w:sz w:val="24"/>
          <w:szCs w:val="24"/>
          <w:lang w:val="es-CO"/>
        </w:rPr>
        <w:t xml:space="preserve"> fijadas por la jurisprudencia</w:t>
      </w:r>
      <w:r>
        <w:rPr>
          <w:rFonts w:ascii="Arial" w:hAnsi="Arial" w:cs="Arial"/>
          <w:sz w:val="24"/>
          <w:szCs w:val="24"/>
          <w:lang w:val="es-CO"/>
        </w:rPr>
        <w:t xml:space="preserve"> (201</w:t>
      </w:r>
      <w:r w:rsidR="0093470C">
        <w:rPr>
          <w:rFonts w:ascii="Arial" w:hAnsi="Arial" w:cs="Arial"/>
          <w:sz w:val="24"/>
          <w:szCs w:val="24"/>
          <w:lang w:val="es-CO"/>
        </w:rPr>
        <w:t>4</w:t>
      </w:r>
      <w:r>
        <w:rPr>
          <w:rFonts w:ascii="Arial" w:hAnsi="Arial" w:cs="Arial"/>
          <w:sz w:val="24"/>
          <w:szCs w:val="24"/>
          <w:lang w:val="es-CO"/>
        </w:rPr>
        <w:t>)</w:t>
      </w:r>
      <w:r w:rsidR="0093470C">
        <w:rPr>
          <w:rStyle w:val="Refdenotaalpie"/>
          <w:rFonts w:ascii="Arial" w:hAnsi="Arial"/>
          <w:sz w:val="24"/>
          <w:szCs w:val="24"/>
          <w:lang w:val="es-CO"/>
        </w:rPr>
        <w:footnoteReference w:id="23"/>
      </w:r>
      <w:r w:rsidRPr="00D9651E">
        <w:rPr>
          <w:rFonts w:ascii="Arial" w:hAnsi="Arial" w:cs="Arial"/>
          <w:sz w:val="24"/>
          <w:szCs w:val="24"/>
          <w:lang w:val="es-CO"/>
        </w:rPr>
        <w:t xml:space="preserve">, que </w:t>
      </w:r>
      <w:r w:rsidR="003B7F0A">
        <w:rPr>
          <w:rFonts w:ascii="Arial" w:hAnsi="Arial" w:cs="Arial"/>
          <w:sz w:val="24"/>
          <w:szCs w:val="24"/>
          <w:lang w:val="es-CO"/>
        </w:rPr>
        <w:t xml:space="preserve">sirven para </w:t>
      </w:r>
      <w:r w:rsidRPr="00D9651E">
        <w:rPr>
          <w:rFonts w:ascii="Arial" w:hAnsi="Arial" w:cs="Arial"/>
          <w:sz w:val="24"/>
          <w:szCs w:val="24"/>
          <w:lang w:val="es-CO"/>
        </w:rPr>
        <w:t>determinar cuándo se está en presencia del tipo de prueba comentada: “</w:t>
      </w:r>
      <w:r w:rsidRPr="00D9651E">
        <w:rPr>
          <w:rFonts w:ascii="Arial" w:hAnsi="Arial" w:cs="Arial"/>
          <w:i/>
          <w:sz w:val="22"/>
          <w:szCs w:val="24"/>
          <w:lang w:val="es-CO"/>
        </w:rPr>
        <w:t>(…)</w:t>
      </w:r>
      <w:r w:rsidR="00AB7C26">
        <w:rPr>
          <w:rFonts w:ascii="Arial" w:hAnsi="Arial" w:cs="Arial"/>
          <w:i/>
          <w:sz w:val="22"/>
          <w:szCs w:val="24"/>
          <w:lang w:val="es-CO"/>
        </w:rPr>
        <w:t xml:space="preserve"> </w:t>
      </w:r>
      <w:r w:rsidR="0093470C" w:rsidRPr="0093470C">
        <w:rPr>
          <w:rFonts w:ascii="Arial" w:hAnsi="Arial" w:cs="Arial"/>
          <w:i/>
          <w:sz w:val="22"/>
          <w:szCs w:val="24"/>
          <w:lang w:val="es-CO"/>
        </w:rPr>
        <w:t>los elementos de la prueba de referencia  son i) una declaración realizada por una persona por fuera del juicio oral; ii) que verse sobre aspectos que en forma directa o personal haya tenido la ocasión de observar o percibir; iii) que exista un medio o modo de prueba que se ofrece como evidencia para probar la verdad de los hechos que informa la declaración (testigo de oídas, por ejemplo) y; iv) que la verdad que se pretende probar tenga por objeto afirmar o negar aspectos sustanciales del debate (como por ejemplo la tipicidad de la conducta, el grado de intervención, las circunstancias de atenuación o agravación punitivas, o la naturaleza o extensión del daño causado, entre otros aspectos)</w:t>
      </w:r>
      <w:r w:rsidR="0093470C">
        <w:rPr>
          <w:rFonts w:ascii="Arial" w:hAnsi="Arial" w:cs="Arial"/>
          <w:i/>
          <w:sz w:val="22"/>
          <w:szCs w:val="24"/>
          <w:lang w:val="es-CO"/>
        </w:rPr>
        <w:t>”</w:t>
      </w:r>
      <w:r w:rsidR="0093470C" w:rsidRPr="0093470C">
        <w:rPr>
          <w:rFonts w:ascii="Arial" w:hAnsi="Arial" w:cs="Arial"/>
          <w:i/>
          <w:sz w:val="22"/>
          <w:szCs w:val="24"/>
          <w:lang w:val="es-CO"/>
        </w:rPr>
        <w:t>.</w:t>
      </w:r>
      <w:r w:rsidR="0093470C">
        <w:rPr>
          <w:rFonts w:ascii="Arial" w:hAnsi="Arial" w:cs="Arial"/>
          <w:i/>
          <w:sz w:val="22"/>
          <w:szCs w:val="24"/>
          <w:lang w:val="es-CO"/>
        </w:rPr>
        <w:t xml:space="preserve"> </w:t>
      </w:r>
    </w:p>
    <w:p w:rsidR="00D1028B" w:rsidRDefault="00D1028B" w:rsidP="008B77B0">
      <w:pPr>
        <w:widowControl w:val="0"/>
        <w:spacing w:line="360" w:lineRule="auto"/>
        <w:jc w:val="both"/>
        <w:rPr>
          <w:rFonts w:ascii="Arial" w:hAnsi="Arial" w:cs="Arial"/>
          <w:sz w:val="24"/>
          <w:szCs w:val="24"/>
          <w:lang w:val="es-CO" w:eastAsia="es-CO"/>
        </w:rPr>
      </w:pPr>
    </w:p>
    <w:p w:rsidR="008B77B0" w:rsidRDefault="003B7F0A" w:rsidP="008B77B0">
      <w:pPr>
        <w:widowControl w:val="0"/>
        <w:spacing w:line="360" w:lineRule="auto"/>
        <w:jc w:val="both"/>
        <w:rPr>
          <w:rFonts w:ascii="Arial" w:hAnsi="Arial" w:cs="Arial"/>
          <w:i/>
          <w:sz w:val="22"/>
          <w:lang w:val="es-CO"/>
        </w:rPr>
      </w:pPr>
      <w:r>
        <w:rPr>
          <w:rFonts w:ascii="Arial" w:hAnsi="Arial" w:cs="Arial"/>
          <w:sz w:val="24"/>
          <w:szCs w:val="24"/>
          <w:lang w:val="es-CO" w:eastAsia="es-CO"/>
        </w:rPr>
        <w:t xml:space="preserve">Acorde con </w:t>
      </w:r>
      <w:r w:rsidR="001C78C4">
        <w:rPr>
          <w:rFonts w:ascii="Arial" w:hAnsi="Arial" w:cs="Arial"/>
          <w:sz w:val="24"/>
          <w:szCs w:val="24"/>
          <w:lang w:val="es-CO" w:eastAsia="es-CO"/>
        </w:rPr>
        <w:t xml:space="preserve">este razonamiento </w:t>
      </w:r>
      <w:r>
        <w:rPr>
          <w:rFonts w:ascii="Arial" w:hAnsi="Arial" w:cs="Arial"/>
          <w:sz w:val="24"/>
          <w:szCs w:val="24"/>
          <w:lang w:val="es-CO" w:eastAsia="es-CO"/>
        </w:rPr>
        <w:t xml:space="preserve">y las pautas </w:t>
      </w:r>
      <w:r w:rsidR="008B77B0" w:rsidRPr="005C0781">
        <w:rPr>
          <w:rFonts w:ascii="Arial" w:hAnsi="Arial" w:cs="Arial"/>
          <w:sz w:val="24"/>
          <w:szCs w:val="24"/>
          <w:lang w:val="es-CO" w:eastAsia="es-CO"/>
        </w:rPr>
        <w:t>del artículo 402 ib.,</w:t>
      </w:r>
      <w:r w:rsidR="008A1EEA">
        <w:rPr>
          <w:rFonts w:ascii="Arial" w:hAnsi="Arial" w:cs="Arial"/>
          <w:sz w:val="24"/>
          <w:szCs w:val="24"/>
          <w:lang w:val="es-CO" w:eastAsia="es-CO"/>
        </w:rPr>
        <w:t xml:space="preserve"> </w:t>
      </w:r>
      <w:r w:rsidR="001C78C4">
        <w:rPr>
          <w:rFonts w:ascii="Arial" w:hAnsi="Arial" w:cs="Arial"/>
          <w:sz w:val="24"/>
          <w:szCs w:val="24"/>
          <w:lang w:val="es-CO" w:eastAsia="es-CO"/>
        </w:rPr>
        <w:t xml:space="preserve">corresponde </w:t>
      </w:r>
      <w:r w:rsidR="008A1EEA" w:rsidRPr="005C0781">
        <w:rPr>
          <w:rFonts w:ascii="Arial" w:hAnsi="Arial" w:cs="Arial"/>
          <w:sz w:val="24"/>
          <w:szCs w:val="24"/>
          <w:lang w:val="es-CO" w:eastAsia="es-CO"/>
        </w:rPr>
        <w:t xml:space="preserve">al </w:t>
      </w:r>
      <w:r w:rsidR="00BF38D9">
        <w:rPr>
          <w:rFonts w:ascii="Arial" w:hAnsi="Arial" w:cs="Arial"/>
          <w:sz w:val="24"/>
          <w:szCs w:val="24"/>
          <w:lang w:val="es-CO" w:eastAsia="es-CO"/>
        </w:rPr>
        <w:t>fallador</w:t>
      </w:r>
      <w:r w:rsidR="00BF38D9" w:rsidRPr="00AE2A6C">
        <w:rPr>
          <w:rStyle w:val="Refdenotaalpie"/>
          <w:rFonts w:ascii="Arial" w:hAnsi="Arial"/>
          <w:sz w:val="24"/>
          <w:szCs w:val="24"/>
          <w:lang w:val="es-CO" w:eastAsia="es-CO"/>
        </w:rPr>
        <w:footnoteReference w:id="24"/>
      </w:r>
      <w:r w:rsidR="001C78C4">
        <w:rPr>
          <w:rFonts w:ascii="Arial" w:hAnsi="Arial" w:cs="Arial"/>
          <w:sz w:val="24"/>
          <w:szCs w:val="24"/>
          <w:lang w:val="es-CO" w:eastAsia="es-CO"/>
        </w:rPr>
        <w:t xml:space="preserve"> adentrarse en la condigna valoración y</w:t>
      </w:r>
      <w:r w:rsidR="008A1EEA" w:rsidRPr="005C0781">
        <w:rPr>
          <w:rFonts w:ascii="Arial" w:hAnsi="Arial" w:cs="Arial"/>
          <w:sz w:val="24"/>
          <w:szCs w:val="24"/>
          <w:lang w:val="es-CO" w:eastAsia="es-CO"/>
        </w:rPr>
        <w:t xml:space="preserve"> </w:t>
      </w:r>
      <w:r w:rsidR="008A1EEA">
        <w:rPr>
          <w:rFonts w:ascii="Arial" w:hAnsi="Arial" w:cs="Arial"/>
          <w:sz w:val="24"/>
          <w:szCs w:val="24"/>
          <w:lang w:val="es-CO" w:eastAsia="es-CO"/>
        </w:rPr>
        <w:t xml:space="preserve">respecto </w:t>
      </w:r>
      <w:r w:rsidR="00F547C2">
        <w:rPr>
          <w:rFonts w:ascii="Arial" w:hAnsi="Arial" w:cs="Arial"/>
          <w:sz w:val="24"/>
          <w:szCs w:val="24"/>
          <w:lang w:val="es-CO" w:eastAsia="es-CO"/>
        </w:rPr>
        <w:t xml:space="preserve">a </w:t>
      </w:r>
      <w:r w:rsidR="008B77B0">
        <w:rPr>
          <w:rFonts w:ascii="Arial" w:hAnsi="Arial" w:cs="Arial"/>
          <w:sz w:val="24"/>
          <w:szCs w:val="24"/>
          <w:lang w:val="es-CO" w:eastAsia="es-CO"/>
        </w:rPr>
        <w:t>la declaraci</w:t>
      </w:r>
      <w:r w:rsidR="0093470C">
        <w:rPr>
          <w:rFonts w:ascii="Arial" w:hAnsi="Arial" w:cs="Arial"/>
          <w:sz w:val="24"/>
          <w:szCs w:val="24"/>
          <w:lang w:val="es-CO" w:eastAsia="es-CO"/>
        </w:rPr>
        <w:t>ón</w:t>
      </w:r>
      <w:r w:rsidR="008A1EEA">
        <w:rPr>
          <w:rFonts w:ascii="Arial" w:hAnsi="Arial" w:cs="Arial"/>
          <w:sz w:val="24"/>
          <w:szCs w:val="24"/>
          <w:lang w:val="es-CO" w:eastAsia="es-CO"/>
        </w:rPr>
        <w:t xml:space="preserve"> </w:t>
      </w:r>
      <w:r w:rsidR="001C78C4">
        <w:rPr>
          <w:rFonts w:ascii="Arial" w:hAnsi="Arial" w:cs="Arial"/>
          <w:sz w:val="24"/>
          <w:szCs w:val="24"/>
          <w:lang w:val="es-CO" w:eastAsia="es-CO"/>
        </w:rPr>
        <w:t xml:space="preserve">de </w:t>
      </w:r>
      <w:r w:rsidR="008A1EEA">
        <w:rPr>
          <w:rFonts w:ascii="Arial" w:hAnsi="Arial" w:cs="Arial"/>
          <w:sz w:val="24"/>
          <w:szCs w:val="22"/>
          <w:lang w:val="es-CO"/>
        </w:rPr>
        <w:t xml:space="preserve">Chilito </w:t>
      </w:r>
      <w:proofErr w:type="spellStart"/>
      <w:r w:rsidR="008A1EEA">
        <w:rPr>
          <w:rFonts w:ascii="Arial" w:hAnsi="Arial" w:cs="Arial"/>
          <w:sz w:val="24"/>
          <w:szCs w:val="22"/>
          <w:lang w:val="es-CO"/>
        </w:rPr>
        <w:t>Zemanate</w:t>
      </w:r>
      <w:proofErr w:type="spellEnd"/>
      <w:r w:rsidR="00BF38D9">
        <w:rPr>
          <w:rFonts w:ascii="Arial" w:hAnsi="Arial" w:cs="Arial"/>
          <w:sz w:val="24"/>
          <w:szCs w:val="22"/>
          <w:lang w:val="es-CO"/>
        </w:rPr>
        <w:t>,</w:t>
      </w:r>
      <w:r w:rsidR="00F547C2">
        <w:rPr>
          <w:rFonts w:ascii="Arial" w:hAnsi="Arial" w:cs="Arial"/>
          <w:sz w:val="24"/>
          <w:szCs w:val="22"/>
          <w:lang w:val="es-CO"/>
        </w:rPr>
        <w:t xml:space="preserve"> </w:t>
      </w:r>
      <w:r>
        <w:rPr>
          <w:rFonts w:ascii="Arial" w:hAnsi="Arial" w:cs="Arial"/>
          <w:sz w:val="24"/>
          <w:szCs w:val="22"/>
          <w:lang w:val="es-CO"/>
        </w:rPr>
        <w:t xml:space="preserve">específicamente </w:t>
      </w:r>
      <w:r w:rsidR="008A1EEA">
        <w:rPr>
          <w:rFonts w:ascii="Arial" w:hAnsi="Arial" w:cs="Arial"/>
          <w:sz w:val="24"/>
          <w:szCs w:val="24"/>
          <w:lang w:val="es-CO" w:eastAsia="es-CO"/>
        </w:rPr>
        <w:t xml:space="preserve">en el aspecto resaltado por el impugnante, </w:t>
      </w:r>
      <w:r w:rsidR="001C78C4">
        <w:rPr>
          <w:rFonts w:ascii="Arial" w:hAnsi="Arial" w:cs="Arial"/>
          <w:sz w:val="24"/>
          <w:szCs w:val="24"/>
          <w:lang w:val="es-CO" w:eastAsia="es-CO"/>
        </w:rPr>
        <w:t xml:space="preserve">se </w:t>
      </w:r>
      <w:r w:rsidR="00F547C2">
        <w:rPr>
          <w:rFonts w:ascii="Arial" w:hAnsi="Arial" w:cs="Arial"/>
          <w:sz w:val="24"/>
          <w:szCs w:val="24"/>
          <w:lang w:val="es-CO" w:eastAsia="es-CO"/>
        </w:rPr>
        <w:t>evidencia</w:t>
      </w:r>
      <w:r>
        <w:rPr>
          <w:rFonts w:ascii="Arial" w:hAnsi="Arial" w:cs="Arial"/>
          <w:sz w:val="24"/>
          <w:szCs w:val="24"/>
          <w:lang w:val="es-CO" w:eastAsia="es-CO"/>
        </w:rPr>
        <w:t xml:space="preserve"> al </w:t>
      </w:r>
      <w:proofErr w:type="spellStart"/>
      <w:r>
        <w:rPr>
          <w:rFonts w:ascii="Arial" w:hAnsi="Arial" w:cs="Arial"/>
          <w:sz w:val="24"/>
          <w:szCs w:val="24"/>
          <w:lang w:val="es-CO" w:eastAsia="es-CO"/>
        </w:rPr>
        <w:t>rompe</w:t>
      </w:r>
      <w:proofErr w:type="spellEnd"/>
      <w:r w:rsidR="001C78C4">
        <w:rPr>
          <w:rFonts w:ascii="Arial" w:hAnsi="Arial" w:cs="Arial"/>
          <w:sz w:val="24"/>
          <w:szCs w:val="24"/>
          <w:lang w:val="es-CO" w:eastAsia="es-CO"/>
        </w:rPr>
        <w:t>,</w:t>
      </w:r>
      <w:r w:rsidR="00F547C2">
        <w:rPr>
          <w:rFonts w:ascii="Arial" w:hAnsi="Arial" w:cs="Arial"/>
          <w:sz w:val="24"/>
          <w:szCs w:val="24"/>
          <w:lang w:val="es-CO" w:eastAsia="es-CO"/>
        </w:rPr>
        <w:t xml:space="preserve"> que </w:t>
      </w:r>
      <w:r w:rsidR="001C78C4">
        <w:rPr>
          <w:rFonts w:ascii="Arial" w:hAnsi="Arial" w:cs="Arial"/>
          <w:sz w:val="24"/>
          <w:szCs w:val="24"/>
          <w:lang w:val="es-CO" w:eastAsia="es-CO"/>
        </w:rPr>
        <w:t xml:space="preserve">los </w:t>
      </w:r>
      <w:r w:rsidR="008B77B0" w:rsidRPr="005C0781">
        <w:rPr>
          <w:rFonts w:ascii="Arial" w:hAnsi="Arial" w:cs="Arial"/>
          <w:sz w:val="24"/>
          <w:szCs w:val="24"/>
          <w:lang w:val="es-CO" w:eastAsia="es-CO"/>
        </w:rPr>
        <w:t>hecho</w:t>
      </w:r>
      <w:r w:rsidR="001C78C4">
        <w:rPr>
          <w:rFonts w:ascii="Arial" w:hAnsi="Arial" w:cs="Arial"/>
          <w:sz w:val="24"/>
          <w:szCs w:val="24"/>
          <w:lang w:val="es-CO" w:eastAsia="es-CO"/>
        </w:rPr>
        <w:t>s</w:t>
      </w:r>
      <w:r w:rsidR="008B77B0" w:rsidRPr="005C0781">
        <w:rPr>
          <w:rFonts w:ascii="Arial" w:hAnsi="Arial" w:cs="Arial"/>
          <w:sz w:val="24"/>
          <w:szCs w:val="24"/>
          <w:lang w:val="es-CO" w:eastAsia="es-CO"/>
        </w:rPr>
        <w:t xml:space="preserve"> </w:t>
      </w:r>
      <w:r w:rsidR="001C78C4">
        <w:rPr>
          <w:rFonts w:ascii="Arial" w:hAnsi="Arial" w:cs="Arial"/>
          <w:sz w:val="24"/>
          <w:szCs w:val="24"/>
          <w:lang w:val="es-CO" w:eastAsia="es-CO"/>
        </w:rPr>
        <w:t xml:space="preserve">narrados </w:t>
      </w:r>
      <w:r w:rsidR="008A1EEA">
        <w:rPr>
          <w:rFonts w:ascii="Arial" w:hAnsi="Arial" w:cs="Arial"/>
          <w:sz w:val="24"/>
          <w:szCs w:val="24"/>
          <w:lang w:val="es-CO" w:eastAsia="es-CO"/>
        </w:rPr>
        <w:t xml:space="preserve">en forma alguna </w:t>
      </w:r>
      <w:r w:rsidR="008B77B0" w:rsidRPr="005C0781">
        <w:rPr>
          <w:rFonts w:ascii="Arial" w:hAnsi="Arial" w:cs="Arial"/>
          <w:sz w:val="24"/>
          <w:szCs w:val="24"/>
          <w:lang w:val="es-CO" w:eastAsia="es-CO"/>
        </w:rPr>
        <w:t>fue</w:t>
      </w:r>
      <w:r w:rsidR="001C78C4">
        <w:rPr>
          <w:rFonts w:ascii="Arial" w:hAnsi="Arial" w:cs="Arial"/>
          <w:sz w:val="24"/>
          <w:szCs w:val="24"/>
          <w:lang w:val="es-CO" w:eastAsia="es-CO"/>
        </w:rPr>
        <w:t>ron</w:t>
      </w:r>
      <w:r w:rsidR="008B77B0" w:rsidRPr="005C0781">
        <w:rPr>
          <w:rFonts w:ascii="Arial" w:hAnsi="Arial" w:cs="Arial"/>
          <w:sz w:val="24"/>
          <w:szCs w:val="24"/>
          <w:lang w:val="es-CO" w:eastAsia="es-CO"/>
        </w:rPr>
        <w:t xml:space="preserve"> percibido</w:t>
      </w:r>
      <w:r w:rsidR="001C78C4">
        <w:rPr>
          <w:rFonts w:ascii="Arial" w:hAnsi="Arial" w:cs="Arial"/>
          <w:sz w:val="24"/>
          <w:szCs w:val="24"/>
          <w:lang w:val="es-CO" w:eastAsia="es-CO"/>
        </w:rPr>
        <w:t>s</w:t>
      </w:r>
      <w:r w:rsidR="008B77B0" w:rsidRPr="005C0781">
        <w:rPr>
          <w:rFonts w:ascii="Arial" w:hAnsi="Arial" w:cs="Arial"/>
          <w:sz w:val="24"/>
          <w:szCs w:val="24"/>
          <w:lang w:val="es-CO" w:eastAsia="es-CO"/>
        </w:rPr>
        <w:t xml:space="preserve"> en </w:t>
      </w:r>
      <w:r w:rsidR="008B77B0" w:rsidRPr="0093470C">
        <w:rPr>
          <w:rFonts w:ascii="Arial" w:hAnsi="Arial" w:cs="Arial"/>
          <w:sz w:val="24"/>
          <w:szCs w:val="24"/>
          <w:u w:val="single"/>
          <w:lang w:val="es-CO" w:eastAsia="es-CO"/>
        </w:rPr>
        <w:t>forma directa y personal</w:t>
      </w:r>
      <w:r w:rsidR="00F037B3">
        <w:rPr>
          <w:rFonts w:ascii="Arial" w:hAnsi="Arial" w:cs="Arial"/>
          <w:sz w:val="24"/>
          <w:szCs w:val="24"/>
          <w:lang w:val="es-CO" w:eastAsia="es-CO"/>
        </w:rPr>
        <w:t xml:space="preserve">, pues simplemente </w:t>
      </w:r>
      <w:r w:rsidR="00F26215">
        <w:rPr>
          <w:rFonts w:ascii="Arial" w:hAnsi="Arial" w:cs="Arial"/>
          <w:sz w:val="24"/>
          <w:szCs w:val="24"/>
          <w:lang w:val="es-CO" w:eastAsia="es-CO"/>
        </w:rPr>
        <w:t>afirma</w:t>
      </w:r>
      <w:r w:rsidR="00F037B3">
        <w:rPr>
          <w:rFonts w:ascii="Arial" w:hAnsi="Arial" w:cs="Arial"/>
          <w:sz w:val="24"/>
          <w:szCs w:val="24"/>
          <w:lang w:val="es-CO" w:eastAsia="es-CO"/>
        </w:rPr>
        <w:t xml:space="preserve"> que “familiares” de la víctima </w:t>
      </w:r>
      <w:r w:rsidR="00F037B3" w:rsidRPr="00F26215">
        <w:rPr>
          <w:rFonts w:ascii="Arial" w:hAnsi="Arial" w:cs="Arial"/>
          <w:sz w:val="24"/>
          <w:szCs w:val="24"/>
          <w:lang w:val="es-CO" w:eastAsia="es-CO"/>
        </w:rPr>
        <w:t>informaron</w:t>
      </w:r>
      <w:r w:rsidR="00F037B3">
        <w:rPr>
          <w:rFonts w:ascii="Arial" w:hAnsi="Arial" w:cs="Arial"/>
          <w:sz w:val="24"/>
          <w:szCs w:val="24"/>
          <w:lang w:val="es-CO" w:eastAsia="es-CO"/>
        </w:rPr>
        <w:t xml:space="preserve"> </w:t>
      </w:r>
      <w:r w:rsidR="00F26215">
        <w:rPr>
          <w:rFonts w:ascii="Arial" w:hAnsi="Arial" w:cs="Arial"/>
          <w:sz w:val="24"/>
          <w:szCs w:val="24"/>
          <w:lang w:val="es-CO" w:eastAsia="es-CO"/>
        </w:rPr>
        <w:t xml:space="preserve">haberlo visto </w:t>
      </w:r>
      <w:r w:rsidR="00F037B3">
        <w:rPr>
          <w:rFonts w:ascii="Arial" w:hAnsi="Arial" w:cs="Arial"/>
          <w:sz w:val="24"/>
          <w:szCs w:val="24"/>
          <w:lang w:val="es-CO" w:eastAsia="es-CO"/>
        </w:rPr>
        <w:t>el 03-10-2015, a lo que ha de añadirse que ni siquiera especificó cuántos o quiénes fueron los qu</w:t>
      </w:r>
      <w:r w:rsidR="009A4EFC">
        <w:rPr>
          <w:rFonts w:ascii="Arial" w:hAnsi="Arial" w:cs="Arial"/>
          <w:sz w:val="24"/>
          <w:szCs w:val="24"/>
          <w:lang w:val="es-CO" w:eastAsia="es-CO"/>
        </w:rPr>
        <w:t>e hicieron la afirmación, ni siquiera los identificó ni ofreció mayores datos, de tal suerte que es precaria e indirecta.</w:t>
      </w:r>
    </w:p>
    <w:p w:rsidR="00BF38D9" w:rsidRDefault="00BF38D9" w:rsidP="008B77B0">
      <w:pPr>
        <w:widowControl w:val="0"/>
        <w:spacing w:line="360" w:lineRule="auto"/>
        <w:jc w:val="both"/>
        <w:rPr>
          <w:rFonts w:ascii="Arial" w:hAnsi="Arial" w:cs="Arial"/>
          <w:sz w:val="24"/>
          <w:szCs w:val="22"/>
          <w:lang w:val="es-CO"/>
        </w:rPr>
      </w:pPr>
    </w:p>
    <w:p w:rsidR="00E50FC2" w:rsidRDefault="00C72338" w:rsidP="00F037B3">
      <w:pPr>
        <w:pStyle w:val="Textoindependiente"/>
        <w:spacing w:line="360" w:lineRule="auto"/>
        <w:rPr>
          <w:rFonts w:ascii="Arial" w:hAnsi="Arial" w:cs="Arial"/>
          <w:szCs w:val="24"/>
          <w:lang w:val="es-CO"/>
        </w:rPr>
      </w:pPr>
      <w:r>
        <w:rPr>
          <w:rFonts w:ascii="Arial" w:hAnsi="Arial" w:cs="Arial"/>
        </w:rPr>
        <w:t>Esa atestación</w:t>
      </w:r>
      <w:r w:rsidR="007A4F5A">
        <w:rPr>
          <w:rFonts w:ascii="Arial" w:hAnsi="Arial" w:cs="Arial"/>
        </w:rPr>
        <w:t xml:space="preserve"> se muestra sin solidez suasoria</w:t>
      </w:r>
      <w:r>
        <w:rPr>
          <w:rFonts w:ascii="Arial" w:hAnsi="Arial" w:cs="Arial"/>
        </w:rPr>
        <w:t xml:space="preserve">, </w:t>
      </w:r>
      <w:r w:rsidR="00F26215">
        <w:rPr>
          <w:rFonts w:ascii="Arial" w:hAnsi="Arial" w:cs="Arial"/>
        </w:rPr>
        <w:t xml:space="preserve">al aplicar </w:t>
      </w:r>
      <w:r w:rsidR="00F037B3">
        <w:rPr>
          <w:rFonts w:ascii="Arial" w:hAnsi="Arial" w:cs="Arial"/>
        </w:rPr>
        <w:t>l</w:t>
      </w:r>
      <w:r w:rsidR="00F037B3" w:rsidRPr="00FE0AA5">
        <w:rPr>
          <w:rFonts w:ascii="Arial" w:hAnsi="Arial" w:cs="Arial"/>
        </w:rPr>
        <w:t xml:space="preserve">os criterios de evaluación del testimonio </w:t>
      </w:r>
      <w:r w:rsidR="00C34E98">
        <w:rPr>
          <w:rFonts w:ascii="Arial" w:hAnsi="Arial" w:cs="Arial"/>
        </w:rPr>
        <w:t>d</w:t>
      </w:r>
      <w:r w:rsidR="00F037B3" w:rsidRPr="00FE0AA5">
        <w:rPr>
          <w:rFonts w:ascii="Arial" w:hAnsi="Arial" w:cs="Arial"/>
        </w:rPr>
        <w:t xml:space="preserve">el artículo 404 del Régimen Procesal Penal, </w:t>
      </w:r>
      <w:r>
        <w:rPr>
          <w:rFonts w:ascii="Arial" w:hAnsi="Arial" w:cs="Arial"/>
        </w:rPr>
        <w:t xml:space="preserve">que </w:t>
      </w:r>
      <w:r w:rsidR="00340469">
        <w:rPr>
          <w:rFonts w:ascii="Arial" w:hAnsi="Arial" w:cs="Arial"/>
        </w:rPr>
        <w:t xml:space="preserve">mandan </w:t>
      </w:r>
      <w:r w:rsidR="00F54082">
        <w:rPr>
          <w:rFonts w:ascii="Arial" w:hAnsi="Arial" w:cs="Arial"/>
        </w:rPr>
        <w:t xml:space="preserve">considerar </w:t>
      </w:r>
      <w:r w:rsidR="00F037B3">
        <w:rPr>
          <w:rFonts w:ascii="Arial" w:hAnsi="Arial" w:cs="Arial"/>
        </w:rPr>
        <w:t>en esa tarea</w:t>
      </w:r>
      <w:r w:rsidR="00F54082">
        <w:rPr>
          <w:rFonts w:ascii="Arial" w:hAnsi="Arial" w:cs="Arial"/>
        </w:rPr>
        <w:t>,</w:t>
      </w:r>
      <w:r w:rsidR="00F037B3">
        <w:rPr>
          <w:rFonts w:ascii="Arial" w:hAnsi="Arial" w:cs="Arial"/>
        </w:rPr>
        <w:t xml:space="preserve"> </w:t>
      </w:r>
      <w:r w:rsidR="00F037B3" w:rsidRPr="00FE0AA5">
        <w:rPr>
          <w:rFonts w:ascii="Arial" w:hAnsi="Arial" w:cs="Arial"/>
          <w:lang w:val="es-ES" w:eastAsia="es-CO"/>
        </w:rPr>
        <w:t xml:space="preserve">los principios técnico científicos sobre la percepción y la memoria, </w:t>
      </w:r>
      <w:r w:rsidR="00F037B3">
        <w:rPr>
          <w:rFonts w:ascii="Arial" w:hAnsi="Arial" w:cs="Arial"/>
          <w:lang w:val="es-ES" w:eastAsia="es-CO"/>
        </w:rPr>
        <w:t xml:space="preserve">la </w:t>
      </w:r>
      <w:r w:rsidR="00F037B3" w:rsidRPr="00FE0AA5">
        <w:rPr>
          <w:rFonts w:ascii="Arial" w:hAnsi="Arial" w:cs="Arial"/>
          <w:lang w:val="es-ES" w:eastAsia="es-CO"/>
        </w:rPr>
        <w:t xml:space="preserve">sanidad </w:t>
      </w:r>
      <w:r w:rsidR="00F037B3">
        <w:rPr>
          <w:rFonts w:ascii="Arial" w:hAnsi="Arial" w:cs="Arial"/>
          <w:lang w:val="es-ES" w:eastAsia="es-CO"/>
        </w:rPr>
        <w:t xml:space="preserve">de los </w:t>
      </w:r>
      <w:r w:rsidR="00F037B3" w:rsidRPr="00FE0AA5">
        <w:rPr>
          <w:rFonts w:ascii="Arial" w:hAnsi="Arial" w:cs="Arial"/>
          <w:lang w:val="es-ES" w:eastAsia="es-CO"/>
        </w:rPr>
        <w:t xml:space="preserve">sentidos, las circunstancias de </w:t>
      </w:r>
      <w:r w:rsidR="00F037B3" w:rsidRPr="00F54082">
        <w:rPr>
          <w:rFonts w:ascii="Arial" w:hAnsi="Arial" w:cs="Arial"/>
          <w:u w:val="single"/>
          <w:lang w:val="es-ES" w:eastAsia="es-CO"/>
        </w:rPr>
        <w:t>lugar, tiempo y modo en que se percibió</w:t>
      </w:r>
      <w:r w:rsidR="00F037B3" w:rsidRPr="00FE0AA5">
        <w:rPr>
          <w:rFonts w:ascii="Arial" w:hAnsi="Arial" w:cs="Arial"/>
          <w:lang w:val="es-ES" w:eastAsia="es-CO"/>
        </w:rPr>
        <w:t xml:space="preserve">, los procesos de rememoración, el comportamiento del testigo durante </w:t>
      </w:r>
      <w:r w:rsidR="00F037B3">
        <w:rPr>
          <w:rFonts w:ascii="Arial" w:hAnsi="Arial" w:cs="Arial"/>
          <w:lang w:val="es-ES" w:eastAsia="es-CO"/>
        </w:rPr>
        <w:t>la declaración</w:t>
      </w:r>
      <w:r w:rsidR="00F037B3" w:rsidRPr="00FE0AA5">
        <w:rPr>
          <w:rFonts w:ascii="Arial" w:hAnsi="Arial" w:cs="Arial"/>
          <w:lang w:val="es-ES" w:eastAsia="es-CO"/>
        </w:rPr>
        <w:t>, la forma de s</w:t>
      </w:r>
      <w:r w:rsidR="00F54082">
        <w:rPr>
          <w:rFonts w:ascii="Arial" w:hAnsi="Arial" w:cs="Arial"/>
          <w:lang w:val="es-ES" w:eastAsia="es-CO"/>
        </w:rPr>
        <w:t>us respuestas y su personalid</w:t>
      </w:r>
      <w:r w:rsidR="009F207D">
        <w:rPr>
          <w:rFonts w:ascii="Arial" w:hAnsi="Arial" w:cs="Arial"/>
          <w:lang w:val="es-ES" w:eastAsia="es-CO"/>
        </w:rPr>
        <w:t>ad.</w:t>
      </w:r>
      <w:r w:rsidR="007D293C">
        <w:rPr>
          <w:rFonts w:ascii="Arial" w:hAnsi="Arial" w:cs="Arial"/>
          <w:lang w:val="es-ES" w:eastAsia="es-CO"/>
        </w:rPr>
        <w:t xml:space="preserve">  Una versión </w:t>
      </w:r>
      <w:r w:rsidR="00AB7C26">
        <w:rPr>
          <w:rFonts w:ascii="Arial" w:hAnsi="Arial" w:cs="Arial"/>
          <w:lang w:val="es-ES" w:eastAsia="es-CO"/>
        </w:rPr>
        <w:t xml:space="preserve">indirecta </w:t>
      </w:r>
      <w:r w:rsidR="007D293C">
        <w:rPr>
          <w:rFonts w:ascii="Arial" w:hAnsi="Arial" w:cs="Arial"/>
          <w:lang w:val="es-ES" w:eastAsia="es-CO"/>
        </w:rPr>
        <w:t xml:space="preserve">en frente de una </w:t>
      </w:r>
      <w:r w:rsidR="00AB7C26">
        <w:rPr>
          <w:rFonts w:ascii="Arial" w:hAnsi="Arial" w:cs="Arial"/>
          <w:lang w:val="es-ES" w:eastAsia="es-CO"/>
        </w:rPr>
        <w:t xml:space="preserve">presencial </w:t>
      </w:r>
      <w:r w:rsidR="007D293C">
        <w:rPr>
          <w:rFonts w:ascii="Arial" w:hAnsi="Arial" w:cs="Arial"/>
          <w:lang w:val="es-ES" w:eastAsia="es-CO"/>
        </w:rPr>
        <w:t xml:space="preserve">no puede </w:t>
      </w:r>
      <w:r w:rsidR="007D293C" w:rsidRPr="00277234">
        <w:rPr>
          <w:rFonts w:ascii="Arial" w:hAnsi="Arial" w:cs="Arial"/>
          <w:i/>
          <w:lang w:val="es-ES" w:eastAsia="es-CO"/>
        </w:rPr>
        <w:t>per se</w:t>
      </w:r>
      <w:r w:rsidR="007D293C">
        <w:rPr>
          <w:rFonts w:ascii="Arial" w:hAnsi="Arial" w:cs="Arial"/>
          <w:lang w:val="es-ES" w:eastAsia="es-CO"/>
        </w:rPr>
        <w:t xml:space="preserve"> tener mayor capacidad demostrativa, como aquí se evidencia.</w:t>
      </w:r>
    </w:p>
    <w:p w:rsidR="00E50FC2" w:rsidRDefault="00E50FC2" w:rsidP="00F037B3">
      <w:pPr>
        <w:pStyle w:val="Textoindependiente"/>
        <w:spacing w:line="360" w:lineRule="auto"/>
        <w:rPr>
          <w:rFonts w:ascii="Arial" w:hAnsi="Arial" w:cs="Arial"/>
          <w:szCs w:val="24"/>
          <w:lang w:val="es-CO"/>
        </w:rPr>
      </w:pPr>
    </w:p>
    <w:p w:rsidR="00F54082" w:rsidRDefault="00F26215" w:rsidP="00F037B3">
      <w:pPr>
        <w:pStyle w:val="Textoindependiente"/>
        <w:spacing w:line="360" w:lineRule="auto"/>
        <w:rPr>
          <w:rFonts w:ascii="Arial" w:hAnsi="Arial" w:cs="Arial"/>
          <w:lang w:val="es-ES" w:eastAsia="es-CO"/>
        </w:rPr>
      </w:pPr>
      <w:r>
        <w:rPr>
          <w:rFonts w:ascii="Arial" w:hAnsi="Arial" w:cs="Arial"/>
          <w:szCs w:val="24"/>
          <w:lang w:val="es-CO"/>
        </w:rPr>
        <w:lastRenderedPageBreak/>
        <w:t>Subsigue confrontar</w:t>
      </w:r>
      <w:r w:rsidR="00E50FC2">
        <w:rPr>
          <w:rFonts w:ascii="Arial" w:hAnsi="Arial" w:cs="Arial"/>
          <w:szCs w:val="24"/>
          <w:lang w:val="es-CO"/>
        </w:rPr>
        <w:t xml:space="preserve"> el registro civil de defunción y la necropsia, </w:t>
      </w:r>
      <w:r w:rsidR="00E50FC2">
        <w:rPr>
          <w:rFonts w:ascii="Arial" w:hAnsi="Arial" w:cs="Arial"/>
          <w:lang w:val="es-ES" w:eastAsia="es-CO"/>
        </w:rPr>
        <w:t>pero desde ya hay que decir, que el estudio se concretará en</w:t>
      </w:r>
      <w:r w:rsidR="006E1B6C">
        <w:rPr>
          <w:rFonts w:ascii="Arial" w:hAnsi="Arial" w:cs="Arial"/>
          <w:lang w:val="es-ES" w:eastAsia="es-CO"/>
        </w:rPr>
        <w:t xml:space="preserve"> el segundo de ellos, pues la información contenida en el primero se hace a partir de</w:t>
      </w:r>
      <w:r w:rsidR="00AB7C26">
        <w:rPr>
          <w:rFonts w:ascii="Arial" w:hAnsi="Arial" w:cs="Arial"/>
          <w:lang w:val="es-ES" w:eastAsia="es-CO"/>
        </w:rPr>
        <w:t xml:space="preserve"> ese</w:t>
      </w:r>
      <w:r w:rsidR="006E1B6C">
        <w:rPr>
          <w:rFonts w:ascii="Arial" w:hAnsi="Arial" w:cs="Arial"/>
          <w:lang w:val="es-ES" w:eastAsia="es-CO"/>
        </w:rPr>
        <w:t xml:space="preserve"> informe médico fore</w:t>
      </w:r>
      <w:r>
        <w:rPr>
          <w:rFonts w:ascii="Arial" w:hAnsi="Arial" w:cs="Arial"/>
          <w:lang w:val="es-ES" w:eastAsia="es-CO"/>
        </w:rPr>
        <w:t>nse que se práctica al cadáver.</w:t>
      </w:r>
    </w:p>
    <w:p w:rsidR="006E1B6C" w:rsidRDefault="006E1B6C" w:rsidP="00F037B3">
      <w:pPr>
        <w:pStyle w:val="Textoindependiente"/>
        <w:spacing w:line="360" w:lineRule="auto"/>
        <w:rPr>
          <w:rFonts w:ascii="Arial" w:hAnsi="Arial" w:cs="Arial"/>
          <w:lang w:val="es-ES" w:eastAsia="es-CO"/>
        </w:rPr>
      </w:pPr>
    </w:p>
    <w:p w:rsidR="00E612D7" w:rsidRDefault="00730DCF" w:rsidP="00F037B3">
      <w:pPr>
        <w:pStyle w:val="Textoindependiente"/>
        <w:spacing w:line="360" w:lineRule="auto"/>
        <w:rPr>
          <w:rFonts w:ascii="Arial" w:hAnsi="Arial" w:cs="Arial"/>
          <w:lang w:val="es-ES" w:eastAsia="es-CO"/>
        </w:rPr>
      </w:pPr>
      <w:r>
        <w:rPr>
          <w:rFonts w:ascii="Arial" w:hAnsi="Arial" w:cs="Arial"/>
          <w:lang w:val="es-ES" w:eastAsia="es-CO"/>
        </w:rPr>
        <w:t xml:space="preserve">En el </w:t>
      </w:r>
      <w:r w:rsidR="006E1B6C">
        <w:rPr>
          <w:rFonts w:ascii="Arial" w:hAnsi="Arial" w:cs="Arial"/>
          <w:lang w:val="es-ES" w:eastAsia="es-CO"/>
        </w:rPr>
        <w:t xml:space="preserve">informe pericial, se advierte que si bien en el encabezado del documento, se señaló como fecha de la muerte el 03-10-2015, enseguida se observa que </w:t>
      </w:r>
      <w:r w:rsidR="002108ED">
        <w:rPr>
          <w:rFonts w:ascii="Arial" w:hAnsi="Arial" w:cs="Arial"/>
          <w:lang w:val="es-ES" w:eastAsia="es-CO"/>
        </w:rPr>
        <w:t xml:space="preserve">al mencionar </w:t>
      </w:r>
      <w:r w:rsidR="00876E6E">
        <w:rPr>
          <w:rFonts w:ascii="Arial" w:hAnsi="Arial" w:cs="Arial"/>
          <w:lang w:val="es-ES" w:eastAsia="es-CO"/>
        </w:rPr>
        <w:t>la “</w:t>
      </w:r>
      <w:proofErr w:type="spellStart"/>
      <w:r>
        <w:rPr>
          <w:rFonts w:ascii="Arial" w:hAnsi="Arial" w:cs="Arial"/>
          <w:lang w:val="es-ES" w:eastAsia="es-CO"/>
        </w:rPr>
        <w:t>c</w:t>
      </w:r>
      <w:r w:rsidR="00876E6E">
        <w:rPr>
          <w:rFonts w:ascii="Arial" w:hAnsi="Arial" w:cs="Arial"/>
          <w:lang w:val="es-ES" w:eastAsia="es-CO"/>
        </w:rPr>
        <w:t>ronotanalogía</w:t>
      </w:r>
      <w:proofErr w:type="spellEnd"/>
      <w:r w:rsidR="00876E6E">
        <w:rPr>
          <w:rFonts w:ascii="Arial" w:hAnsi="Arial" w:cs="Arial"/>
          <w:lang w:val="es-ES" w:eastAsia="es-CO"/>
        </w:rPr>
        <w:t>”</w:t>
      </w:r>
      <w:r>
        <w:rPr>
          <w:rFonts w:ascii="Arial" w:hAnsi="Arial" w:cs="Arial"/>
          <w:lang w:val="es-ES" w:eastAsia="es-CO"/>
        </w:rPr>
        <w:t xml:space="preserve"> dice</w:t>
      </w:r>
      <w:r w:rsidR="00ED3FA9">
        <w:rPr>
          <w:rFonts w:ascii="Arial" w:hAnsi="Arial" w:cs="Arial"/>
          <w:lang w:val="es-ES" w:eastAsia="es-CO"/>
        </w:rPr>
        <w:t xml:space="preserve">: </w:t>
      </w:r>
      <w:r w:rsidR="00ED3FA9" w:rsidRPr="00EC3FED">
        <w:rPr>
          <w:rFonts w:ascii="Arial" w:hAnsi="Arial" w:cs="Arial"/>
          <w:i/>
          <w:sz w:val="22"/>
          <w:lang w:val="es-ES" w:eastAsia="es-CO"/>
        </w:rPr>
        <w:t>“(…) Sin fecha y hora de muerte (…)”</w:t>
      </w:r>
      <w:r w:rsidR="00746AF3">
        <w:rPr>
          <w:rFonts w:ascii="Arial" w:hAnsi="Arial" w:cs="Arial"/>
          <w:lang w:val="es-ES" w:eastAsia="es-CO"/>
        </w:rPr>
        <w:t xml:space="preserve"> (Folio 13, cuaderno contentivo de estipulaciones). </w:t>
      </w:r>
    </w:p>
    <w:p w:rsidR="00E612D7" w:rsidRDefault="00E612D7" w:rsidP="00F037B3">
      <w:pPr>
        <w:pStyle w:val="Textoindependiente"/>
        <w:spacing w:line="360" w:lineRule="auto"/>
        <w:rPr>
          <w:rFonts w:ascii="Arial" w:hAnsi="Arial" w:cs="Arial"/>
          <w:lang w:val="es-ES" w:eastAsia="es-CO"/>
        </w:rPr>
      </w:pPr>
    </w:p>
    <w:p w:rsidR="006E1B6C" w:rsidRDefault="00730DCF" w:rsidP="00F037B3">
      <w:pPr>
        <w:pStyle w:val="Textoindependiente"/>
        <w:spacing w:line="360" w:lineRule="auto"/>
        <w:rPr>
          <w:rFonts w:ascii="Arial" w:hAnsi="Arial" w:cs="Arial"/>
          <w:lang w:val="es-ES" w:eastAsia="es-CO"/>
        </w:rPr>
      </w:pPr>
      <w:r>
        <w:rPr>
          <w:rFonts w:ascii="Arial" w:hAnsi="Arial" w:cs="Arial"/>
          <w:lang w:val="es-ES" w:eastAsia="es-CO"/>
        </w:rPr>
        <w:t xml:space="preserve">En tratándose de una prueba científica de la especie peritaje es menester considerar </w:t>
      </w:r>
      <w:r w:rsidR="00ED3FA9">
        <w:rPr>
          <w:rFonts w:ascii="Arial" w:hAnsi="Arial" w:cs="Arial"/>
          <w:lang w:val="es-ES" w:eastAsia="es-CO"/>
        </w:rPr>
        <w:t xml:space="preserve">que </w:t>
      </w:r>
      <w:r>
        <w:rPr>
          <w:rFonts w:ascii="Arial" w:hAnsi="Arial" w:cs="Arial"/>
          <w:lang w:val="es-ES" w:eastAsia="es-CO"/>
        </w:rPr>
        <w:t xml:space="preserve">la disciplina especializada para determinar ese dato es la </w:t>
      </w:r>
      <w:r w:rsidR="002108ED">
        <w:rPr>
          <w:rFonts w:ascii="Arial" w:hAnsi="Arial" w:cs="Arial"/>
          <w:lang w:val="es-ES" w:eastAsia="es-CO"/>
        </w:rPr>
        <w:t>“</w:t>
      </w:r>
      <w:proofErr w:type="spellStart"/>
      <w:r w:rsidR="002108ED">
        <w:rPr>
          <w:rFonts w:ascii="Arial" w:hAnsi="Arial" w:cs="Arial"/>
          <w:lang w:val="es-ES" w:eastAsia="es-CO"/>
        </w:rPr>
        <w:t>tanatocrono</w:t>
      </w:r>
      <w:proofErr w:type="spellEnd"/>
      <w:r w:rsidR="002108ED">
        <w:rPr>
          <w:rFonts w:ascii="Arial" w:hAnsi="Arial" w:cs="Arial"/>
          <w:lang w:val="es-ES" w:eastAsia="es-CO"/>
        </w:rPr>
        <w:t xml:space="preserve">-diagnóstico” o </w:t>
      </w:r>
      <w:r w:rsidR="00EC3FED">
        <w:rPr>
          <w:rFonts w:ascii="Arial" w:hAnsi="Arial" w:cs="Arial"/>
          <w:lang w:val="es-ES" w:eastAsia="es-CO"/>
        </w:rPr>
        <w:t>estudio de la fecha probable del deceso</w:t>
      </w:r>
      <w:r w:rsidR="00ED3FA9">
        <w:rPr>
          <w:rFonts w:ascii="Arial" w:hAnsi="Arial" w:cs="Arial"/>
          <w:lang w:val="es-ES" w:eastAsia="es-CO"/>
        </w:rPr>
        <w:t>,</w:t>
      </w:r>
      <w:r w:rsidR="002108ED">
        <w:rPr>
          <w:rFonts w:ascii="Arial" w:hAnsi="Arial" w:cs="Arial"/>
          <w:lang w:val="es-ES" w:eastAsia="es-CO"/>
        </w:rPr>
        <w:t xml:space="preserve"> según enseña la doctrina patria</w:t>
      </w:r>
      <w:r w:rsidR="002108ED">
        <w:rPr>
          <w:rStyle w:val="Refdenotaalpie"/>
          <w:rFonts w:ascii="Arial" w:hAnsi="Arial"/>
          <w:lang w:val="es-ES" w:eastAsia="es-CO"/>
        </w:rPr>
        <w:footnoteReference w:id="25"/>
      </w:r>
      <w:r w:rsidR="002108ED">
        <w:rPr>
          <w:rFonts w:ascii="Arial" w:hAnsi="Arial" w:cs="Arial"/>
          <w:vertAlign w:val="superscript"/>
          <w:lang w:val="es-ES" w:eastAsia="es-CO"/>
        </w:rPr>
        <w:t>-</w:t>
      </w:r>
      <w:r w:rsidR="002108ED">
        <w:rPr>
          <w:rStyle w:val="Refdenotaalpie"/>
          <w:rFonts w:ascii="Arial" w:hAnsi="Arial"/>
          <w:lang w:val="es-ES" w:eastAsia="es-CO"/>
        </w:rPr>
        <w:footnoteReference w:id="26"/>
      </w:r>
      <w:r w:rsidR="00ED3FA9">
        <w:rPr>
          <w:rFonts w:ascii="Arial" w:hAnsi="Arial" w:cs="Arial"/>
          <w:lang w:val="es-ES" w:eastAsia="es-CO"/>
        </w:rPr>
        <w:t xml:space="preserve">, </w:t>
      </w:r>
      <w:r w:rsidR="00F76720">
        <w:rPr>
          <w:rFonts w:ascii="Arial" w:hAnsi="Arial" w:cs="Arial"/>
          <w:lang w:val="es-ES" w:eastAsia="es-CO"/>
        </w:rPr>
        <w:t xml:space="preserve">muestra </w:t>
      </w:r>
      <w:r>
        <w:rPr>
          <w:rFonts w:ascii="Arial" w:hAnsi="Arial" w:cs="Arial"/>
          <w:lang w:val="es-ES" w:eastAsia="es-CO"/>
        </w:rPr>
        <w:t xml:space="preserve">que esa conclusión se puede obtener, </w:t>
      </w:r>
      <w:r w:rsidR="00650D60">
        <w:rPr>
          <w:rFonts w:ascii="Arial" w:hAnsi="Arial" w:cs="Arial"/>
          <w:lang w:val="es-ES" w:eastAsia="es-CO"/>
        </w:rPr>
        <w:t xml:space="preserve">a partir de ciertas </w:t>
      </w:r>
      <w:r w:rsidR="00ED3FA9">
        <w:rPr>
          <w:rFonts w:ascii="Arial" w:hAnsi="Arial" w:cs="Arial"/>
          <w:lang w:val="es-ES" w:eastAsia="es-CO"/>
        </w:rPr>
        <w:t xml:space="preserve">características </w:t>
      </w:r>
      <w:r w:rsidR="00650D60">
        <w:rPr>
          <w:rFonts w:ascii="Arial" w:hAnsi="Arial" w:cs="Arial"/>
          <w:lang w:val="es-ES" w:eastAsia="es-CO"/>
        </w:rPr>
        <w:t>físico-químicas apreciables en el</w:t>
      </w:r>
      <w:r w:rsidR="00ED3FA9">
        <w:rPr>
          <w:rFonts w:ascii="Arial" w:hAnsi="Arial" w:cs="Arial"/>
          <w:lang w:val="es-ES" w:eastAsia="es-CO"/>
        </w:rPr>
        <w:t xml:space="preserve"> cadáver</w:t>
      </w:r>
      <w:r w:rsidR="00650D60">
        <w:rPr>
          <w:rFonts w:ascii="Arial" w:hAnsi="Arial" w:cs="Arial"/>
          <w:lang w:val="es-ES" w:eastAsia="es-CO"/>
        </w:rPr>
        <w:t>,</w:t>
      </w:r>
      <w:r w:rsidR="00ED3FA9">
        <w:rPr>
          <w:rFonts w:ascii="Arial" w:hAnsi="Arial" w:cs="Arial"/>
          <w:lang w:val="es-ES" w:eastAsia="es-CO"/>
        </w:rPr>
        <w:t xml:space="preserve"> como la deshidratación, temperatura, lividez y rigidez</w:t>
      </w:r>
      <w:r>
        <w:rPr>
          <w:rFonts w:ascii="Arial" w:hAnsi="Arial" w:cs="Arial"/>
          <w:lang w:val="es-ES" w:eastAsia="es-CO"/>
        </w:rPr>
        <w:t xml:space="preserve">, </w:t>
      </w:r>
      <w:r w:rsidR="00650D60">
        <w:rPr>
          <w:rFonts w:ascii="Arial" w:hAnsi="Arial" w:cs="Arial"/>
          <w:lang w:val="es-ES" w:eastAsia="es-CO"/>
        </w:rPr>
        <w:t xml:space="preserve">etc., estudios </w:t>
      </w:r>
      <w:r w:rsidR="000F1F68">
        <w:rPr>
          <w:rFonts w:ascii="Arial" w:hAnsi="Arial" w:cs="Arial"/>
          <w:lang w:val="es-ES" w:eastAsia="es-CO"/>
        </w:rPr>
        <w:t xml:space="preserve">que </w:t>
      </w:r>
      <w:r>
        <w:rPr>
          <w:rFonts w:ascii="Arial" w:hAnsi="Arial" w:cs="Arial"/>
          <w:lang w:val="es-ES" w:eastAsia="es-CO"/>
        </w:rPr>
        <w:t xml:space="preserve">en manera alguna </w:t>
      </w:r>
      <w:r w:rsidR="00650D60">
        <w:rPr>
          <w:rFonts w:ascii="Arial" w:hAnsi="Arial" w:cs="Arial"/>
          <w:lang w:val="es-ES" w:eastAsia="es-CO"/>
        </w:rPr>
        <w:t>se documentan en la experticia</w:t>
      </w:r>
      <w:r>
        <w:rPr>
          <w:rFonts w:ascii="Arial" w:hAnsi="Arial" w:cs="Arial"/>
          <w:lang w:val="es-ES" w:eastAsia="es-CO"/>
        </w:rPr>
        <w:t xml:space="preserve">, </w:t>
      </w:r>
      <w:r w:rsidR="00650D60">
        <w:rPr>
          <w:rFonts w:ascii="Arial" w:hAnsi="Arial" w:cs="Arial"/>
          <w:lang w:val="es-ES" w:eastAsia="es-CO"/>
        </w:rPr>
        <w:t xml:space="preserve">en otras palabras, ese dato científico quedó sin la correspondiente fundamentación de ciencia, </w:t>
      </w:r>
      <w:r w:rsidR="00762330">
        <w:rPr>
          <w:rFonts w:ascii="Arial" w:hAnsi="Arial" w:cs="Arial"/>
          <w:lang w:val="es-ES" w:eastAsia="es-CO"/>
        </w:rPr>
        <w:t xml:space="preserve">por lo tanto, también es </w:t>
      </w:r>
      <w:r w:rsidR="00650D60">
        <w:rPr>
          <w:rFonts w:ascii="Arial" w:hAnsi="Arial" w:cs="Arial"/>
          <w:lang w:val="es-ES" w:eastAsia="es-CO"/>
        </w:rPr>
        <w:t xml:space="preserve">ineficaz para demostrar </w:t>
      </w:r>
      <w:r w:rsidR="00911128">
        <w:rPr>
          <w:rFonts w:ascii="Arial" w:hAnsi="Arial" w:cs="Arial"/>
          <w:lang w:val="es-ES" w:eastAsia="es-CO"/>
        </w:rPr>
        <w:t>c</w:t>
      </w:r>
      <w:r w:rsidR="00650D60">
        <w:rPr>
          <w:rFonts w:ascii="Arial" w:hAnsi="Arial" w:cs="Arial"/>
          <w:lang w:val="es-ES" w:eastAsia="es-CO"/>
        </w:rPr>
        <w:t>on suficiencia la temporalidad</w:t>
      </w:r>
      <w:r w:rsidR="00911128">
        <w:rPr>
          <w:rFonts w:ascii="Arial" w:hAnsi="Arial" w:cs="Arial"/>
          <w:lang w:val="es-ES" w:eastAsia="es-CO"/>
        </w:rPr>
        <w:t xml:space="preserve"> alegada</w:t>
      </w:r>
      <w:r w:rsidR="00650D60">
        <w:rPr>
          <w:rFonts w:ascii="Arial" w:hAnsi="Arial" w:cs="Arial"/>
          <w:lang w:val="es-ES" w:eastAsia="es-CO"/>
        </w:rPr>
        <w:t>, en concreto el hecho de la muerte</w:t>
      </w:r>
      <w:r w:rsidR="00911128">
        <w:rPr>
          <w:rFonts w:ascii="Arial" w:hAnsi="Arial" w:cs="Arial"/>
          <w:lang w:val="es-ES" w:eastAsia="es-CO"/>
        </w:rPr>
        <w:t xml:space="preserve"> del señor John Augusto</w:t>
      </w:r>
      <w:r w:rsidR="00762330">
        <w:rPr>
          <w:rFonts w:ascii="Arial" w:hAnsi="Arial" w:cs="Arial"/>
          <w:lang w:val="es-ES" w:eastAsia="es-CO"/>
        </w:rPr>
        <w:t xml:space="preserve">, </w:t>
      </w:r>
      <w:r w:rsidR="00940ABE">
        <w:rPr>
          <w:rFonts w:ascii="Arial" w:hAnsi="Arial" w:cs="Arial"/>
          <w:lang w:val="es-ES" w:eastAsia="es-CO"/>
        </w:rPr>
        <w:t xml:space="preserve">de donde </w:t>
      </w:r>
      <w:r w:rsidR="00AB7C26">
        <w:rPr>
          <w:rFonts w:ascii="Arial" w:hAnsi="Arial" w:cs="Arial"/>
          <w:lang w:val="es-ES" w:eastAsia="es-CO"/>
        </w:rPr>
        <w:t xml:space="preserve">se </w:t>
      </w:r>
      <w:r w:rsidR="00940ABE">
        <w:rPr>
          <w:rFonts w:ascii="Arial" w:hAnsi="Arial" w:cs="Arial"/>
          <w:lang w:val="es-ES" w:eastAsia="es-CO"/>
        </w:rPr>
        <w:t xml:space="preserve">sigue que carece de la entidad necesaria para rebatir lo </w:t>
      </w:r>
      <w:r w:rsidR="00762330">
        <w:rPr>
          <w:rFonts w:ascii="Arial" w:hAnsi="Arial" w:cs="Arial"/>
          <w:lang w:val="es-ES" w:eastAsia="es-CO"/>
        </w:rPr>
        <w:t xml:space="preserve">relatado por el señor Andrés Felipe. </w:t>
      </w:r>
    </w:p>
    <w:p w:rsidR="000F1F68" w:rsidRDefault="000F1F68" w:rsidP="00F037B3">
      <w:pPr>
        <w:pStyle w:val="Textoindependiente"/>
        <w:spacing w:line="360" w:lineRule="auto"/>
        <w:rPr>
          <w:rFonts w:ascii="Arial" w:hAnsi="Arial" w:cs="Arial"/>
          <w:lang w:val="es-ES" w:eastAsia="es-CO"/>
        </w:rPr>
      </w:pPr>
    </w:p>
    <w:p w:rsidR="00F03D64" w:rsidRDefault="00F03D64" w:rsidP="00F03D64">
      <w:pPr>
        <w:pStyle w:val="Textoindependiente"/>
        <w:spacing w:line="360" w:lineRule="auto"/>
        <w:rPr>
          <w:rFonts w:ascii="Arial" w:hAnsi="Arial" w:cs="Arial"/>
          <w:lang w:val="es-ES" w:eastAsia="es-CO"/>
        </w:rPr>
      </w:pPr>
      <w:r>
        <w:rPr>
          <w:rFonts w:ascii="Arial" w:hAnsi="Arial" w:cs="Arial"/>
          <w:lang w:val="es-ES" w:eastAsia="es-CO"/>
        </w:rPr>
        <w:t xml:space="preserve">No sobra aclarar que idénticos efectos </w:t>
      </w:r>
      <w:r w:rsidR="00AB7C26">
        <w:rPr>
          <w:rFonts w:ascii="Arial" w:hAnsi="Arial" w:cs="Arial"/>
          <w:lang w:val="es-ES" w:eastAsia="es-CO"/>
        </w:rPr>
        <w:t xml:space="preserve">se </w:t>
      </w:r>
      <w:r>
        <w:rPr>
          <w:rFonts w:ascii="Arial" w:hAnsi="Arial" w:cs="Arial"/>
          <w:lang w:val="es-ES" w:eastAsia="es-CO"/>
        </w:rPr>
        <w:t>produce</w:t>
      </w:r>
      <w:r w:rsidR="00AB7C26">
        <w:rPr>
          <w:rFonts w:ascii="Arial" w:hAnsi="Arial" w:cs="Arial"/>
          <w:lang w:val="es-ES" w:eastAsia="es-CO"/>
        </w:rPr>
        <w:t>n</w:t>
      </w:r>
      <w:r>
        <w:rPr>
          <w:rFonts w:ascii="Arial" w:hAnsi="Arial" w:cs="Arial"/>
          <w:lang w:val="es-ES" w:eastAsia="es-CO"/>
        </w:rPr>
        <w:t xml:space="preserve"> en el proceso, aún si se acoge la tesis de algunos tratadistas, </w:t>
      </w:r>
      <w:r w:rsidR="00780182">
        <w:rPr>
          <w:rFonts w:ascii="Arial" w:hAnsi="Arial" w:cs="Arial"/>
          <w:lang w:val="es-ES" w:eastAsia="es-CO"/>
        </w:rPr>
        <w:t xml:space="preserve">de </w:t>
      </w:r>
      <w:r>
        <w:rPr>
          <w:rFonts w:ascii="Arial" w:hAnsi="Arial" w:cs="Arial"/>
          <w:lang w:val="es-ES" w:eastAsia="es-CO"/>
        </w:rPr>
        <w:t>que la falta de comparecencia del perito a la audiencia de juicio oral, le impide al dictamen adquirir la categoría de prueba o si se le considera únicamente como una estipulación</w:t>
      </w:r>
      <w:r>
        <w:rPr>
          <w:rStyle w:val="Refdenotaalpie"/>
          <w:rFonts w:ascii="Arial" w:hAnsi="Arial"/>
          <w:lang w:val="es-ES" w:eastAsia="es-CO"/>
        </w:rPr>
        <w:footnoteReference w:id="27"/>
      </w:r>
      <w:r>
        <w:rPr>
          <w:rFonts w:ascii="Arial" w:hAnsi="Arial" w:cs="Arial"/>
          <w:lang w:val="es-ES" w:eastAsia="es-CO"/>
        </w:rPr>
        <w:t xml:space="preserve">. </w:t>
      </w:r>
    </w:p>
    <w:p w:rsidR="00F03D64" w:rsidRDefault="00F03D64" w:rsidP="00F037B3">
      <w:pPr>
        <w:pStyle w:val="Textoindependiente"/>
        <w:spacing w:line="360" w:lineRule="auto"/>
        <w:rPr>
          <w:rFonts w:ascii="Arial" w:hAnsi="Arial" w:cs="Arial"/>
          <w:lang w:val="es-ES" w:eastAsia="es-CO"/>
        </w:rPr>
      </w:pPr>
    </w:p>
    <w:p w:rsidR="006208D1" w:rsidRDefault="00FD181F" w:rsidP="00E64F51">
      <w:pPr>
        <w:widowControl w:val="0"/>
        <w:spacing w:line="360" w:lineRule="auto"/>
        <w:jc w:val="both"/>
        <w:rPr>
          <w:rFonts w:ascii="Arial" w:hAnsi="Arial" w:cs="Arial"/>
          <w:sz w:val="24"/>
          <w:szCs w:val="22"/>
          <w:lang w:val="es-CO"/>
        </w:rPr>
      </w:pPr>
      <w:r>
        <w:rPr>
          <w:rFonts w:ascii="Arial" w:hAnsi="Arial" w:cs="Arial"/>
          <w:sz w:val="24"/>
          <w:szCs w:val="22"/>
          <w:lang w:val="es-CO"/>
        </w:rPr>
        <w:t xml:space="preserve">En ese orden de ideas, </w:t>
      </w:r>
      <w:r w:rsidR="00E852CA">
        <w:rPr>
          <w:rFonts w:ascii="Arial" w:hAnsi="Arial" w:cs="Arial"/>
          <w:sz w:val="24"/>
          <w:szCs w:val="22"/>
          <w:lang w:val="es-CO"/>
        </w:rPr>
        <w:t>la tesis defensiva articulada en la impugnación</w:t>
      </w:r>
      <w:r w:rsidR="00C011BB">
        <w:rPr>
          <w:rFonts w:ascii="Arial" w:hAnsi="Arial" w:cs="Arial"/>
          <w:sz w:val="24"/>
          <w:szCs w:val="22"/>
          <w:lang w:val="es-CO"/>
        </w:rPr>
        <w:t>,</w:t>
      </w:r>
      <w:r w:rsidR="00E852CA">
        <w:rPr>
          <w:rFonts w:ascii="Arial" w:hAnsi="Arial" w:cs="Arial"/>
          <w:sz w:val="24"/>
          <w:szCs w:val="22"/>
          <w:lang w:val="es-CO"/>
        </w:rPr>
        <w:t xml:space="preserve"> </w:t>
      </w:r>
      <w:r w:rsidR="00C011BB">
        <w:rPr>
          <w:rFonts w:ascii="Arial" w:hAnsi="Arial" w:cs="Arial"/>
          <w:sz w:val="24"/>
          <w:szCs w:val="22"/>
          <w:lang w:val="es-CO"/>
        </w:rPr>
        <w:t xml:space="preserve">deviene infundada para servir de base a la revocatoria pedida con estribo en el cuestionamiento del testimonio de cargo vertido en el juicio, tampoco genera la </w:t>
      </w:r>
      <w:r w:rsidR="0070296F">
        <w:rPr>
          <w:rFonts w:ascii="Arial" w:hAnsi="Arial" w:cs="Arial"/>
          <w:sz w:val="24"/>
          <w:szCs w:val="22"/>
          <w:lang w:val="es-CO"/>
        </w:rPr>
        <w:t xml:space="preserve">duda razonable a favor del acusado, </w:t>
      </w:r>
      <w:r w:rsidR="00C011BB">
        <w:rPr>
          <w:rFonts w:ascii="Arial" w:hAnsi="Arial" w:cs="Arial"/>
          <w:sz w:val="24"/>
          <w:szCs w:val="22"/>
          <w:lang w:val="es-CO"/>
        </w:rPr>
        <w:t xml:space="preserve">que se predicara, pue no fue únicamente la versión testifical sino también </w:t>
      </w:r>
      <w:r w:rsidR="0070296F">
        <w:rPr>
          <w:rFonts w:ascii="Arial" w:hAnsi="Arial" w:cs="Arial"/>
          <w:sz w:val="24"/>
          <w:szCs w:val="22"/>
          <w:lang w:val="es-CO"/>
        </w:rPr>
        <w:t>el reconocimiento en fila</w:t>
      </w:r>
      <w:r w:rsidR="00C011BB">
        <w:rPr>
          <w:rFonts w:ascii="Arial" w:hAnsi="Arial" w:cs="Arial"/>
          <w:sz w:val="24"/>
          <w:szCs w:val="22"/>
          <w:lang w:val="es-CO"/>
        </w:rPr>
        <w:t xml:space="preserve"> de personas, que valga decirlo, la aparente contradicción alegada se supera en debida forma con una contextualización de las aseveraciones hechas y no con una interpretación fraccionada.</w:t>
      </w:r>
      <w:r w:rsidR="00F34121">
        <w:rPr>
          <w:rFonts w:ascii="Arial" w:hAnsi="Arial" w:cs="Arial"/>
          <w:sz w:val="24"/>
          <w:szCs w:val="22"/>
          <w:lang w:val="es-CO"/>
        </w:rPr>
        <w:t xml:space="preserve"> Se mantiene incólume la fuerza de convicción derivada de la tasación testimonial, porque ni siquiera en el contrainterrogatorio de la defensa al referido testigo, que </w:t>
      </w:r>
      <w:r w:rsidR="004E27C3">
        <w:rPr>
          <w:rFonts w:ascii="Arial" w:hAnsi="Arial" w:cs="Arial"/>
          <w:sz w:val="24"/>
          <w:szCs w:val="22"/>
          <w:lang w:val="es-CO"/>
        </w:rPr>
        <w:t xml:space="preserve">se inadvirtió </w:t>
      </w:r>
      <w:r w:rsidR="004855BE">
        <w:rPr>
          <w:rFonts w:ascii="Arial" w:hAnsi="Arial" w:cs="Arial"/>
          <w:sz w:val="24"/>
          <w:szCs w:val="22"/>
          <w:lang w:val="es-CO"/>
        </w:rPr>
        <w:t>con</w:t>
      </w:r>
      <w:r w:rsidR="004E27C3">
        <w:rPr>
          <w:rFonts w:ascii="Arial" w:hAnsi="Arial" w:cs="Arial"/>
          <w:sz w:val="24"/>
          <w:szCs w:val="22"/>
          <w:lang w:val="es-CO"/>
        </w:rPr>
        <w:t xml:space="preserve"> </w:t>
      </w:r>
      <w:r w:rsidR="00F34121">
        <w:rPr>
          <w:rFonts w:ascii="Arial" w:hAnsi="Arial" w:cs="Arial"/>
          <w:sz w:val="24"/>
          <w:szCs w:val="22"/>
          <w:lang w:val="es-CO"/>
        </w:rPr>
        <w:t xml:space="preserve">la vehemencia reclamada por </w:t>
      </w:r>
      <w:r w:rsidR="004855BE">
        <w:rPr>
          <w:rFonts w:ascii="Arial" w:hAnsi="Arial" w:cs="Arial"/>
          <w:sz w:val="24"/>
          <w:szCs w:val="22"/>
          <w:lang w:val="es-CO"/>
        </w:rPr>
        <w:t xml:space="preserve">el </w:t>
      </w:r>
      <w:r w:rsidR="00F34121">
        <w:rPr>
          <w:rFonts w:ascii="Arial" w:hAnsi="Arial" w:cs="Arial"/>
          <w:sz w:val="24"/>
          <w:szCs w:val="22"/>
          <w:lang w:val="es-CO"/>
        </w:rPr>
        <w:lastRenderedPageBreak/>
        <w:t>abogado</w:t>
      </w:r>
      <w:r w:rsidR="004855BE">
        <w:rPr>
          <w:rFonts w:ascii="Arial" w:hAnsi="Arial" w:cs="Arial"/>
          <w:sz w:val="24"/>
          <w:szCs w:val="22"/>
          <w:lang w:val="es-CO"/>
        </w:rPr>
        <w:t>,</w:t>
      </w:r>
      <w:r w:rsidR="00F34121">
        <w:rPr>
          <w:rFonts w:ascii="Arial" w:hAnsi="Arial" w:cs="Arial"/>
          <w:sz w:val="24"/>
          <w:szCs w:val="22"/>
          <w:lang w:val="es-CO"/>
        </w:rPr>
        <w:t xml:space="preserve"> </w:t>
      </w:r>
      <w:r w:rsidR="004855BE">
        <w:rPr>
          <w:rFonts w:ascii="Arial" w:hAnsi="Arial" w:cs="Arial"/>
          <w:sz w:val="24"/>
          <w:szCs w:val="22"/>
          <w:lang w:val="es-CO"/>
        </w:rPr>
        <w:t>se logró desacreditarlo o al menos mostrarlo inconsistente</w:t>
      </w:r>
      <w:r w:rsidR="00F34121">
        <w:rPr>
          <w:rFonts w:ascii="Arial" w:hAnsi="Arial" w:cs="Arial"/>
          <w:sz w:val="24"/>
          <w:szCs w:val="22"/>
          <w:lang w:val="es-CO"/>
        </w:rPr>
        <w:t>, al contrario</w:t>
      </w:r>
      <w:r w:rsidR="00B56227">
        <w:rPr>
          <w:rFonts w:ascii="Arial" w:hAnsi="Arial" w:cs="Arial"/>
          <w:sz w:val="24"/>
          <w:szCs w:val="22"/>
          <w:lang w:val="es-CO"/>
        </w:rPr>
        <w:t>,</w:t>
      </w:r>
      <w:r w:rsidR="00F34121">
        <w:rPr>
          <w:rFonts w:ascii="Arial" w:hAnsi="Arial" w:cs="Arial"/>
          <w:sz w:val="24"/>
          <w:szCs w:val="22"/>
          <w:lang w:val="es-CO"/>
        </w:rPr>
        <w:t xml:space="preserve"> en parecer de esta Sala, solventó razonablemente los reparos enrostrados.</w:t>
      </w:r>
    </w:p>
    <w:p w:rsidR="0070296F" w:rsidRDefault="0070296F" w:rsidP="00E64F51">
      <w:pPr>
        <w:widowControl w:val="0"/>
        <w:spacing w:line="360" w:lineRule="auto"/>
        <w:jc w:val="both"/>
        <w:rPr>
          <w:rFonts w:ascii="Arial" w:hAnsi="Arial" w:cs="Arial"/>
          <w:sz w:val="24"/>
          <w:szCs w:val="22"/>
          <w:lang w:val="es-CO"/>
        </w:rPr>
      </w:pPr>
    </w:p>
    <w:p w:rsidR="0070296F" w:rsidRDefault="0070296F" w:rsidP="000C62A9">
      <w:pPr>
        <w:widowControl w:val="0"/>
        <w:spacing w:line="360" w:lineRule="auto"/>
        <w:jc w:val="both"/>
        <w:rPr>
          <w:rFonts w:ascii="Arial" w:hAnsi="Arial" w:cs="Arial"/>
          <w:sz w:val="24"/>
          <w:szCs w:val="24"/>
          <w:lang w:val="es-CO"/>
        </w:rPr>
      </w:pPr>
      <w:r>
        <w:rPr>
          <w:rFonts w:ascii="Arial" w:hAnsi="Arial" w:cs="Arial"/>
          <w:sz w:val="24"/>
          <w:szCs w:val="22"/>
          <w:lang w:val="es-CO"/>
        </w:rPr>
        <w:t xml:space="preserve">Antes de finalizar, </w:t>
      </w:r>
      <w:r w:rsidR="0085536B">
        <w:rPr>
          <w:rFonts w:ascii="Arial" w:hAnsi="Arial" w:cs="Arial"/>
          <w:sz w:val="24"/>
          <w:szCs w:val="22"/>
          <w:lang w:val="es-CO"/>
        </w:rPr>
        <w:t xml:space="preserve">no huelga apuntar que </w:t>
      </w:r>
      <w:r w:rsidR="000C62A9">
        <w:rPr>
          <w:rFonts w:ascii="Arial" w:hAnsi="Arial" w:cs="Arial"/>
          <w:sz w:val="24"/>
          <w:szCs w:val="22"/>
          <w:lang w:val="es-CO"/>
        </w:rPr>
        <w:t xml:space="preserve">como </w:t>
      </w:r>
      <w:r w:rsidRPr="005D62EE">
        <w:rPr>
          <w:rFonts w:ascii="Arial" w:hAnsi="Arial" w:cs="Arial"/>
          <w:sz w:val="24"/>
          <w:szCs w:val="24"/>
          <w:lang w:val="es-CO" w:eastAsia="es-CO"/>
        </w:rPr>
        <w:t xml:space="preserve">se </w:t>
      </w:r>
      <w:r w:rsidR="0085536B">
        <w:rPr>
          <w:rFonts w:ascii="Arial" w:hAnsi="Arial" w:cs="Arial"/>
          <w:sz w:val="24"/>
          <w:szCs w:val="24"/>
          <w:lang w:val="es-CO" w:eastAsia="es-CO"/>
        </w:rPr>
        <w:t xml:space="preserve">hicieron </w:t>
      </w:r>
      <w:r w:rsidRPr="005D62EE">
        <w:rPr>
          <w:rFonts w:ascii="Arial" w:hAnsi="Arial" w:cs="Arial"/>
          <w:sz w:val="24"/>
          <w:szCs w:val="24"/>
          <w:lang w:val="es-CO" w:eastAsia="es-CO"/>
        </w:rPr>
        <w:t xml:space="preserve">estipulaciones probatorias, </w:t>
      </w:r>
      <w:r w:rsidR="000C62A9">
        <w:rPr>
          <w:rFonts w:ascii="Arial" w:hAnsi="Arial" w:cs="Arial"/>
          <w:sz w:val="24"/>
          <w:szCs w:val="24"/>
          <w:lang w:val="es-CO" w:eastAsia="es-CO"/>
        </w:rPr>
        <w:t xml:space="preserve">vale </w:t>
      </w:r>
      <w:r>
        <w:rPr>
          <w:rFonts w:ascii="Arial" w:hAnsi="Arial" w:cs="Arial"/>
          <w:sz w:val="24"/>
          <w:szCs w:val="24"/>
          <w:lang w:val="es-CO" w:eastAsia="es-CO"/>
        </w:rPr>
        <w:t xml:space="preserve">la pena </w:t>
      </w:r>
      <w:r w:rsidR="000C62A9">
        <w:rPr>
          <w:rFonts w:ascii="Arial" w:hAnsi="Arial" w:cs="Arial"/>
          <w:sz w:val="24"/>
          <w:szCs w:val="24"/>
          <w:lang w:val="es-CO" w:eastAsia="es-CO"/>
        </w:rPr>
        <w:t>recordar que esa figura se utiliza cuando es posible que</w:t>
      </w:r>
      <w:r w:rsidR="00580902">
        <w:rPr>
          <w:rFonts w:ascii="Arial" w:hAnsi="Arial" w:cs="Arial"/>
          <w:sz w:val="24"/>
          <w:szCs w:val="24"/>
          <w:lang w:val="es-CO" w:eastAsia="es-CO"/>
        </w:rPr>
        <w:t>,</w:t>
      </w:r>
      <w:r w:rsidR="000C62A9">
        <w:rPr>
          <w:rFonts w:ascii="Arial" w:hAnsi="Arial" w:cs="Arial"/>
          <w:sz w:val="24"/>
          <w:szCs w:val="24"/>
          <w:lang w:val="es-CO" w:eastAsia="es-CO"/>
        </w:rPr>
        <w:t xml:space="preserve"> con ellas, se </w:t>
      </w:r>
      <w:r w:rsidRPr="005D62EE">
        <w:rPr>
          <w:rFonts w:ascii="Arial" w:hAnsi="Arial" w:cs="Arial"/>
          <w:sz w:val="24"/>
          <w:szCs w:val="24"/>
          <w:lang w:val="es-CO"/>
        </w:rPr>
        <w:t>evit</w:t>
      </w:r>
      <w:r w:rsidR="000C62A9">
        <w:rPr>
          <w:rFonts w:ascii="Arial" w:hAnsi="Arial" w:cs="Arial"/>
          <w:sz w:val="24"/>
          <w:szCs w:val="24"/>
          <w:lang w:val="es-CO"/>
        </w:rPr>
        <w:t>en</w:t>
      </w:r>
      <w:r w:rsidRPr="005D62EE">
        <w:rPr>
          <w:rFonts w:ascii="Arial" w:hAnsi="Arial" w:cs="Arial"/>
          <w:sz w:val="24"/>
          <w:szCs w:val="24"/>
          <w:lang w:val="es-CO"/>
        </w:rPr>
        <w:t xml:space="preserve"> debates sobre </w:t>
      </w:r>
      <w:r>
        <w:rPr>
          <w:rFonts w:ascii="Arial" w:hAnsi="Arial" w:cs="Arial"/>
          <w:sz w:val="24"/>
          <w:szCs w:val="24"/>
          <w:lang w:val="es-CO"/>
        </w:rPr>
        <w:t xml:space="preserve">los </w:t>
      </w:r>
      <w:r w:rsidR="000C62A9" w:rsidRPr="000C62A9">
        <w:rPr>
          <w:rFonts w:ascii="Arial" w:hAnsi="Arial" w:cs="Arial"/>
          <w:smallCaps/>
          <w:sz w:val="24"/>
          <w:szCs w:val="24"/>
          <w:lang w:val="es-CO"/>
        </w:rPr>
        <w:t>hechos</w:t>
      </w:r>
      <w:r w:rsidR="000C62A9" w:rsidRPr="005D62EE">
        <w:rPr>
          <w:rFonts w:ascii="Arial" w:hAnsi="Arial" w:cs="Arial"/>
          <w:sz w:val="24"/>
          <w:szCs w:val="24"/>
          <w:lang w:val="es-CO"/>
        </w:rPr>
        <w:t xml:space="preserve"> </w:t>
      </w:r>
      <w:r w:rsidRPr="005D62EE">
        <w:rPr>
          <w:rFonts w:ascii="Arial" w:hAnsi="Arial" w:cs="Arial"/>
          <w:sz w:val="24"/>
          <w:szCs w:val="24"/>
          <w:lang w:val="es-CO"/>
        </w:rPr>
        <w:t xml:space="preserve">consensuados por las partes, su </w:t>
      </w:r>
      <w:r>
        <w:rPr>
          <w:rFonts w:ascii="Arial" w:hAnsi="Arial" w:cs="Arial"/>
          <w:sz w:val="24"/>
          <w:szCs w:val="24"/>
          <w:lang w:val="es-CO"/>
        </w:rPr>
        <w:t xml:space="preserve">principal </w:t>
      </w:r>
      <w:r w:rsidRPr="005D62EE">
        <w:rPr>
          <w:rFonts w:ascii="Arial" w:hAnsi="Arial" w:cs="Arial"/>
          <w:sz w:val="24"/>
          <w:szCs w:val="24"/>
          <w:lang w:val="es-CO"/>
        </w:rPr>
        <w:t xml:space="preserve">propósito es excluir </w:t>
      </w:r>
      <w:r w:rsidR="000C62A9" w:rsidRPr="000C62A9">
        <w:rPr>
          <w:rFonts w:ascii="Arial" w:hAnsi="Arial" w:cs="Arial"/>
          <w:smallCaps/>
          <w:sz w:val="24"/>
          <w:szCs w:val="24"/>
          <w:lang w:val="es-CO"/>
        </w:rPr>
        <w:t>hechos</w:t>
      </w:r>
      <w:r w:rsidR="000C62A9" w:rsidRPr="005D62EE">
        <w:rPr>
          <w:rFonts w:ascii="Arial" w:hAnsi="Arial" w:cs="Arial"/>
          <w:sz w:val="24"/>
          <w:szCs w:val="24"/>
          <w:lang w:val="es-CO"/>
        </w:rPr>
        <w:t xml:space="preserve"> </w:t>
      </w:r>
      <w:r w:rsidRPr="005D62EE">
        <w:rPr>
          <w:rFonts w:ascii="Arial" w:hAnsi="Arial" w:cs="Arial"/>
          <w:sz w:val="24"/>
          <w:szCs w:val="24"/>
          <w:lang w:val="es-CO"/>
        </w:rPr>
        <w:t xml:space="preserve">y no medios probatorios o EMP, EF etc., </w:t>
      </w:r>
      <w:r>
        <w:rPr>
          <w:rFonts w:ascii="Arial" w:hAnsi="Arial" w:cs="Arial"/>
          <w:sz w:val="24"/>
          <w:szCs w:val="24"/>
          <w:lang w:val="es-CO"/>
        </w:rPr>
        <w:t xml:space="preserve">por tal razón es </w:t>
      </w:r>
      <w:r w:rsidRPr="005D62EE">
        <w:rPr>
          <w:rFonts w:ascii="Arial" w:hAnsi="Arial" w:cs="Arial"/>
          <w:sz w:val="24"/>
          <w:szCs w:val="24"/>
          <w:lang w:val="es-CO"/>
        </w:rPr>
        <w:t>innecesario allegar “soportes o res</w:t>
      </w:r>
      <w:r>
        <w:rPr>
          <w:rFonts w:ascii="Arial" w:hAnsi="Arial" w:cs="Arial"/>
          <w:sz w:val="24"/>
          <w:szCs w:val="24"/>
          <w:lang w:val="es-CO"/>
        </w:rPr>
        <w:t>paldos” de las estipulaciones.</w:t>
      </w:r>
    </w:p>
    <w:p w:rsidR="0070296F" w:rsidRDefault="0070296F" w:rsidP="0070296F">
      <w:pPr>
        <w:pStyle w:val="Sangra2detindependiente"/>
        <w:spacing w:after="0" w:line="360" w:lineRule="auto"/>
        <w:ind w:left="0" w:right="51"/>
        <w:jc w:val="both"/>
        <w:rPr>
          <w:rFonts w:ascii="Arial" w:hAnsi="Arial" w:cs="Arial"/>
          <w:sz w:val="24"/>
          <w:szCs w:val="24"/>
          <w:lang w:val="es-CO"/>
        </w:rPr>
      </w:pPr>
    </w:p>
    <w:p w:rsidR="0070296F" w:rsidRPr="00337DAB" w:rsidRDefault="0070296F" w:rsidP="0070296F">
      <w:pPr>
        <w:pStyle w:val="Sangra2detindependiente"/>
        <w:spacing w:after="0" w:line="360" w:lineRule="auto"/>
        <w:ind w:left="0" w:right="51"/>
        <w:jc w:val="both"/>
        <w:rPr>
          <w:rFonts w:ascii="Arial" w:hAnsi="Arial" w:cs="Arial"/>
          <w:sz w:val="24"/>
          <w:szCs w:val="24"/>
          <w:lang w:val="es-CO"/>
        </w:rPr>
      </w:pPr>
      <w:r w:rsidRPr="005D62EE">
        <w:rPr>
          <w:rFonts w:ascii="Arial" w:hAnsi="Arial" w:cs="Arial"/>
          <w:sz w:val="24"/>
          <w:szCs w:val="24"/>
          <w:lang w:val="es-CO"/>
        </w:rPr>
        <w:t>Dice la C</w:t>
      </w:r>
      <w:r w:rsidR="003407A3">
        <w:rPr>
          <w:rFonts w:ascii="Arial" w:hAnsi="Arial" w:cs="Arial"/>
          <w:sz w:val="24"/>
          <w:szCs w:val="24"/>
          <w:lang w:val="es-CO"/>
        </w:rPr>
        <w:t>SJ</w:t>
      </w:r>
      <w:r w:rsidR="00AB7C26">
        <w:rPr>
          <w:rStyle w:val="Refdenotaalpie"/>
          <w:rFonts w:ascii="Arial" w:hAnsi="Arial"/>
          <w:sz w:val="24"/>
          <w:szCs w:val="24"/>
          <w:lang w:val="es-CO"/>
        </w:rPr>
        <w:footnoteReference w:id="28"/>
      </w:r>
      <w:r w:rsidRPr="005D62EE">
        <w:rPr>
          <w:rFonts w:ascii="Arial" w:hAnsi="Arial" w:cs="Arial"/>
          <w:sz w:val="24"/>
          <w:szCs w:val="24"/>
          <w:lang w:val="es-CO"/>
        </w:rPr>
        <w:t>, Sala Penal</w:t>
      </w:r>
      <w:r w:rsidRPr="005D62EE">
        <w:rPr>
          <w:rStyle w:val="Refdenotaalpie"/>
          <w:rFonts w:ascii="Arial" w:hAnsi="Arial" w:cs="Arial"/>
          <w:sz w:val="24"/>
          <w:szCs w:val="24"/>
          <w:lang w:val="es-CO"/>
        </w:rPr>
        <w:footnoteReference w:id="29"/>
      </w:r>
      <w:r w:rsidRPr="005D62EE">
        <w:rPr>
          <w:rFonts w:ascii="Arial" w:hAnsi="Arial" w:cs="Arial"/>
          <w:sz w:val="24"/>
          <w:szCs w:val="24"/>
          <w:lang w:val="es-CO"/>
        </w:rPr>
        <w:t>:</w:t>
      </w:r>
      <w:r>
        <w:rPr>
          <w:rFonts w:ascii="Arial" w:hAnsi="Arial" w:cs="Arial"/>
          <w:sz w:val="24"/>
          <w:szCs w:val="24"/>
          <w:lang w:val="es-CO"/>
        </w:rPr>
        <w:t xml:space="preserve"> “</w:t>
      </w:r>
      <w:r w:rsidRPr="00B051DD">
        <w:rPr>
          <w:rFonts w:ascii="Arial" w:hAnsi="Arial" w:cs="Arial"/>
          <w:sz w:val="22"/>
          <w:szCs w:val="24"/>
          <w:lang w:val="es-CO"/>
        </w:rPr>
        <w:t xml:space="preserve">(…) </w:t>
      </w:r>
      <w:r w:rsidRPr="00B051DD">
        <w:rPr>
          <w:rFonts w:ascii="Arial" w:hAnsi="Arial" w:cs="Arial"/>
          <w:i/>
          <w:sz w:val="22"/>
          <w:szCs w:val="24"/>
          <w:lang w:val="es-CO"/>
        </w:rPr>
        <w:t>la estipulación misma, sin más aditamentos, constituye la prueba del hecho o circunstancia, de donde deriva que no existe la carga de anexar elemento alguno para respaldar la estipulación, (…)</w:t>
      </w:r>
      <w:r>
        <w:rPr>
          <w:rFonts w:ascii="Arial" w:hAnsi="Arial" w:cs="Arial"/>
          <w:i/>
          <w:sz w:val="24"/>
          <w:szCs w:val="24"/>
          <w:lang w:val="es-CO"/>
        </w:rPr>
        <w:t>”</w:t>
      </w:r>
      <w:r w:rsidR="00AB7C26">
        <w:rPr>
          <w:rFonts w:ascii="Arial" w:hAnsi="Arial" w:cs="Arial"/>
          <w:sz w:val="24"/>
          <w:szCs w:val="24"/>
          <w:lang w:val="es-CO"/>
        </w:rPr>
        <w:t>, criterio reiter</w:t>
      </w:r>
      <w:r w:rsidR="00E55B7E">
        <w:rPr>
          <w:rFonts w:ascii="Arial" w:hAnsi="Arial" w:cs="Arial"/>
          <w:sz w:val="24"/>
          <w:szCs w:val="24"/>
          <w:lang w:val="es-CO"/>
        </w:rPr>
        <w:t>ado</w:t>
      </w:r>
      <w:r w:rsidR="007E77D4">
        <w:rPr>
          <w:rFonts w:ascii="Arial" w:hAnsi="Arial" w:cs="Arial"/>
          <w:sz w:val="24"/>
          <w:szCs w:val="24"/>
          <w:lang w:val="es-CO"/>
        </w:rPr>
        <w:t xml:space="preserve">  </w:t>
      </w:r>
      <w:r w:rsidR="00AB7C26">
        <w:rPr>
          <w:rFonts w:ascii="Arial" w:hAnsi="Arial" w:cs="Arial"/>
          <w:sz w:val="24"/>
          <w:szCs w:val="24"/>
          <w:lang w:val="es-CO"/>
        </w:rPr>
        <w:t xml:space="preserve"> en reciente decisión (2016)</w:t>
      </w:r>
      <w:r w:rsidR="00AB7C26">
        <w:rPr>
          <w:rStyle w:val="Refdenotaalpie"/>
          <w:rFonts w:ascii="Arial" w:hAnsi="Arial"/>
          <w:sz w:val="24"/>
          <w:szCs w:val="24"/>
          <w:lang w:val="es-CO"/>
        </w:rPr>
        <w:footnoteReference w:id="30"/>
      </w:r>
      <w:r>
        <w:rPr>
          <w:rFonts w:ascii="Arial" w:hAnsi="Arial" w:cs="Arial"/>
          <w:i/>
          <w:sz w:val="24"/>
          <w:szCs w:val="24"/>
          <w:lang w:val="es-CO"/>
        </w:rPr>
        <w:t xml:space="preserve">; </w:t>
      </w:r>
      <w:r w:rsidRPr="00337DAB">
        <w:rPr>
          <w:rFonts w:ascii="Arial" w:hAnsi="Arial" w:cs="Arial"/>
          <w:sz w:val="24"/>
          <w:szCs w:val="24"/>
          <w:lang w:val="es-CO"/>
        </w:rPr>
        <w:t>y</w:t>
      </w:r>
      <w:r>
        <w:rPr>
          <w:rFonts w:ascii="Arial" w:hAnsi="Arial" w:cs="Arial"/>
          <w:sz w:val="24"/>
          <w:szCs w:val="24"/>
          <w:lang w:val="es-CO"/>
        </w:rPr>
        <w:t xml:space="preserve"> ha doctrinado que si se hubieren aportado soportes, ninguna incidencia pueden tener para acreditar hechos diferentes a los pactados por lo que vedado está al juez o jueza, examinar tales soportes.</w:t>
      </w:r>
    </w:p>
    <w:p w:rsidR="0070296F" w:rsidRDefault="0070296F" w:rsidP="0070296F">
      <w:pPr>
        <w:spacing w:line="360" w:lineRule="auto"/>
        <w:ind w:right="22"/>
        <w:jc w:val="both"/>
        <w:rPr>
          <w:rFonts w:ascii="Arial" w:hAnsi="Arial" w:cs="Arial"/>
          <w:sz w:val="24"/>
          <w:szCs w:val="24"/>
          <w:lang w:val="es-CO" w:eastAsia="es-CO"/>
        </w:rPr>
      </w:pPr>
    </w:p>
    <w:p w:rsidR="0070296F" w:rsidRDefault="0070296F" w:rsidP="0070296F">
      <w:pPr>
        <w:spacing w:line="360" w:lineRule="auto"/>
        <w:ind w:right="22"/>
        <w:jc w:val="both"/>
        <w:rPr>
          <w:rFonts w:ascii="Arial" w:hAnsi="Arial" w:cs="Arial"/>
          <w:sz w:val="24"/>
          <w:szCs w:val="24"/>
          <w:lang w:val="es-CO" w:eastAsia="es-CO"/>
        </w:rPr>
      </w:pPr>
      <w:r>
        <w:rPr>
          <w:rFonts w:ascii="Arial" w:hAnsi="Arial" w:cs="Arial"/>
          <w:sz w:val="24"/>
          <w:szCs w:val="24"/>
          <w:lang w:val="es-CO" w:eastAsia="es-CO"/>
        </w:rPr>
        <w:t xml:space="preserve">En este caso en </w:t>
      </w:r>
      <w:r w:rsidR="000C62A9">
        <w:rPr>
          <w:rFonts w:ascii="Arial" w:hAnsi="Arial" w:cs="Arial"/>
          <w:sz w:val="24"/>
          <w:szCs w:val="24"/>
          <w:lang w:val="es-CO" w:eastAsia="es-CO"/>
        </w:rPr>
        <w:t>e</w:t>
      </w:r>
      <w:r>
        <w:rPr>
          <w:rFonts w:ascii="Arial" w:hAnsi="Arial" w:cs="Arial"/>
          <w:sz w:val="24"/>
          <w:szCs w:val="24"/>
          <w:lang w:val="es-CO" w:eastAsia="es-CO"/>
        </w:rPr>
        <w:t xml:space="preserve">l </w:t>
      </w:r>
      <w:r w:rsidR="000C62A9">
        <w:rPr>
          <w:rFonts w:ascii="Arial" w:hAnsi="Arial" w:cs="Arial"/>
          <w:sz w:val="24"/>
          <w:szCs w:val="24"/>
          <w:lang w:val="es-CO" w:eastAsia="es-CO"/>
        </w:rPr>
        <w:t xml:space="preserve">juicio oral se consideraron como estipulaciones entre otras, la inspección técnica al cadáver, el informe pericial de la necropsia, los informes de investigación o del primer respondiente; cuando ellos </w:t>
      </w:r>
      <w:r w:rsidR="00AB7C26">
        <w:rPr>
          <w:rFonts w:ascii="Arial" w:hAnsi="Arial" w:cs="Arial"/>
          <w:sz w:val="24"/>
          <w:szCs w:val="24"/>
          <w:lang w:val="es-CO" w:eastAsia="es-CO"/>
        </w:rPr>
        <w:t>son los mecanismos para incorporar y</w:t>
      </w:r>
      <w:r w:rsidR="00D10D16">
        <w:rPr>
          <w:rFonts w:ascii="Arial" w:hAnsi="Arial" w:cs="Arial"/>
          <w:sz w:val="24"/>
          <w:szCs w:val="24"/>
          <w:lang w:val="es-CO" w:eastAsia="es-CO"/>
        </w:rPr>
        <w:t>,</w:t>
      </w:r>
      <w:r w:rsidR="00AB7C26">
        <w:rPr>
          <w:rFonts w:ascii="Arial" w:hAnsi="Arial" w:cs="Arial"/>
          <w:sz w:val="24"/>
          <w:szCs w:val="24"/>
          <w:lang w:val="es-CO" w:eastAsia="es-CO"/>
        </w:rPr>
        <w:t xml:space="preserve"> por ende</w:t>
      </w:r>
      <w:r w:rsidR="00D10D16">
        <w:rPr>
          <w:rFonts w:ascii="Arial" w:hAnsi="Arial" w:cs="Arial"/>
          <w:sz w:val="24"/>
          <w:szCs w:val="24"/>
          <w:lang w:val="es-CO" w:eastAsia="es-CO"/>
        </w:rPr>
        <w:t>,</w:t>
      </w:r>
      <w:r w:rsidR="00AB7C26">
        <w:rPr>
          <w:rFonts w:ascii="Arial" w:hAnsi="Arial" w:cs="Arial"/>
          <w:sz w:val="24"/>
          <w:szCs w:val="24"/>
          <w:lang w:val="es-CO" w:eastAsia="es-CO"/>
        </w:rPr>
        <w:t xml:space="preserve"> probar “hechos”</w:t>
      </w:r>
      <w:r w:rsidR="000C62A9">
        <w:rPr>
          <w:rFonts w:ascii="Arial" w:hAnsi="Arial" w:cs="Arial"/>
          <w:sz w:val="24"/>
          <w:szCs w:val="24"/>
          <w:lang w:val="es-CO" w:eastAsia="es-CO"/>
        </w:rPr>
        <w:t xml:space="preserve">, no pueden considerarse </w:t>
      </w:r>
      <w:r w:rsidR="00D10D16">
        <w:rPr>
          <w:rFonts w:ascii="Arial" w:hAnsi="Arial" w:cs="Arial"/>
          <w:sz w:val="24"/>
          <w:szCs w:val="24"/>
          <w:lang w:val="es-CO" w:eastAsia="es-CO"/>
        </w:rPr>
        <w:t xml:space="preserve">propiamente </w:t>
      </w:r>
      <w:r w:rsidR="00AB7C26">
        <w:rPr>
          <w:rFonts w:ascii="Arial" w:hAnsi="Arial" w:cs="Arial"/>
          <w:sz w:val="24"/>
          <w:szCs w:val="24"/>
          <w:lang w:val="es-CO" w:eastAsia="es-CO"/>
        </w:rPr>
        <w:t xml:space="preserve">en sentido técnico, objeto de las </w:t>
      </w:r>
      <w:r w:rsidR="000C62A9">
        <w:rPr>
          <w:rFonts w:ascii="Arial" w:hAnsi="Arial" w:cs="Arial"/>
          <w:sz w:val="24"/>
          <w:szCs w:val="24"/>
          <w:lang w:val="es-CO" w:eastAsia="es-CO"/>
        </w:rPr>
        <w:t>estipulaciones</w:t>
      </w:r>
      <w:r w:rsidR="00AB7C26">
        <w:rPr>
          <w:rFonts w:ascii="Arial" w:hAnsi="Arial" w:cs="Arial"/>
          <w:sz w:val="24"/>
          <w:szCs w:val="24"/>
          <w:lang w:val="es-CO" w:eastAsia="es-CO"/>
        </w:rPr>
        <w:t xml:space="preserve"> atrás referidas</w:t>
      </w:r>
      <w:r>
        <w:rPr>
          <w:rFonts w:ascii="Arial" w:hAnsi="Arial" w:cs="Arial"/>
          <w:sz w:val="24"/>
          <w:szCs w:val="24"/>
          <w:lang w:val="es-CO" w:eastAsia="es-CO"/>
        </w:rPr>
        <w:t>.</w:t>
      </w:r>
    </w:p>
    <w:p w:rsidR="0070296F" w:rsidRDefault="0070296F" w:rsidP="00E64F51">
      <w:pPr>
        <w:widowControl w:val="0"/>
        <w:spacing w:line="360" w:lineRule="auto"/>
        <w:jc w:val="both"/>
        <w:rPr>
          <w:rFonts w:ascii="Arial" w:hAnsi="Arial" w:cs="Arial"/>
          <w:sz w:val="24"/>
          <w:szCs w:val="22"/>
          <w:lang w:val="es-CO"/>
        </w:rPr>
      </w:pPr>
    </w:p>
    <w:p w:rsidR="00E4735C" w:rsidRPr="00E6598C" w:rsidRDefault="00E4735C" w:rsidP="00E4735C">
      <w:pPr>
        <w:pStyle w:val="Prrafodelista"/>
        <w:widowControl w:val="0"/>
        <w:numPr>
          <w:ilvl w:val="0"/>
          <w:numId w:val="3"/>
        </w:numPr>
        <w:spacing w:line="360" w:lineRule="auto"/>
        <w:jc w:val="both"/>
        <w:rPr>
          <w:rFonts w:ascii="Arial" w:hAnsi="Arial" w:cs="Arial"/>
          <w:sz w:val="24"/>
          <w:szCs w:val="22"/>
          <w:lang w:val="es-CO"/>
        </w:rPr>
      </w:pPr>
      <w:r w:rsidRPr="00E6598C">
        <w:rPr>
          <w:rFonts w:ascii="Arial" w:hAnsi="Arial" w:cs="Arial"/>
          <w:sz w:val="24"/>
          <w:szCs w:val="22"/>
          <w:lang w:val="es-CO"/>
        </w:rPr>
        <w:t>LAS CONCLUSIONES</w:t>
      </w:r>
    </w:p>
    <w:p w:rsidR="00123149" w:rsidRPr="00E6598C" w:rsidRDefault="00123149" w:rsidP="00402235">
      <w:pPr>
        <w:widowControl w:val="0"/>
        <w:spacing w:line="360" w:lineRule="auto"/>
        <w:jc w:val="both"/>
        <w:rPr>
          <w:rFonts w:ascii="Arial" w:hAnsi="Arial" w:cs="Arial"/>
          <w:sz w:val="24"/>
          <w:lang w:val="es-CO"/>
        </w:rPr>
      </w:pPr>
    </w:p>
    <w:p w:rsidR="00402235" w:rsidRDefault="00AE2641" w:rsidP="00402235">
      <w:pPr>
        <w:widowControl w:val="0"/>
        <w:spacing w:line="360" w:lineRule="auto"/>
        <w:jc w:val="both"/>
        <w:rPr>
          <w:rFonts w:ascii="Arial" w:hAnsi="Arial" w:cs="Arial"/>
          <w:sz w:val="24"/>
          <w:lang w:val="es-CO"/>
        </w:rPr>
      </w:pPr>
      <w:r w:rsidRPr="00E6598C">
        <w:rPr>
          <w:rFonts w:ascii="Arial" w:hAnsi="Arial" w:cs="Arial"/>
          <w:sz w:val="24"/>
          <w:lang w:val="es-CO"/>
        </w:rPr>
        <w:t xml:space="preserve">En este orden de ideas, </w:t>
      </w:r>
      <w:r w:rsidR="004D4612">
        <w:rPr>
          <w:rFonts w:ascii="Arial" w:hAnsi="Arial" w:cs="Arial"/>
          <w:sz w:val="24"/>
          <w:lang w:val="es-CO"/>
        </w:rPr>
        <w:t xml:space="preserve">habrá de impartirse </w:t>
      </w:r>
      <w:r w:rsidR="004578F9" w:rsidRPr="00E6598C">
        <w:rPr>
          <w:rFonts w:ascii="Arial" w:hAnsi="Arial" w:cs="Arial"/>
          <w:sz w:val="24"/>
          <w:lang w:val="es-CO"/>
        </w:rPr>
        <w:t xml:space="preserve">confirmación </w:t>
      </w:r>
      <w:r w:rsidR="004D4612">
        <w:rPr>
          <w:rFonts w:ascii="Arial" w:hAnsi="Arial" w:cs="Arial"/>
          <w:sz w:val="24"/>
          <w:lang w:val="es-CO"/>
        </w:rPr>
        <w:t xml:space="preserve">a la sentencia venida en apelación ante esta Colegiatura, pues se estiman infundadas las razones aducidas por la </w:t>
      </w:r>
      <w:r w:rsidR="000C62A9">
        <w:rPr>
          <w:rFonts w:ascii="Arial" w:hAnsi="Arial" w:cs="Arial"/>
          <w:sz w:val="24"/>
          <w:lang w:val="es-CO"/>
        </w:rPr>
        <w:t>defensa</w:t>
      </w:r>
      <w:r w:rsidR="004D4612">
        <w:rPr>
          <w:rFonts w:ascii="Arial" w:hAnsi="Arial" w:cs="Arial"/>
          <w:sz w:val="24"/>
          <w:lang w:val="es-CO"/>
        </w:rPr>
        <w:t>.</w:t>
      </w:r>
    </w:p>
    <w:p w:rsidR="00DC337C" w:rsidRPr="00E6598C" w:rsidRDefault="00DC337C" w:rsidP="00402235">
      <w:pPr>
        <w:widowControl w:val="0"/>
        <w:spacing w:line="360" w:lineRule="auto"/>
        <w:jc w:val="both"/>
        <w:rPr>
          <w:rFonts w:ascii="Arial" w:hAnsi="Arial" w:cs="Arial"/>
          <w:sz w:val="24"/>
          <w:szCs w:val="22"/>
          <w:lang w:val="es-CO"/>
        </w:rPr>
      </w:pPr>
    </w:p>
    <w:p w:rsidR="00E4735C" w:rsidRPr="00E6598C" w:rsidRDefault="00544512" w:rsidP="00E4735C">
      <w:pPr>
        <w:tabs>
          <w:tab w:val="left" w:pos="-720"/>
        </w:tabs>
        <w:suppressAutoHyphens/>
        <w:spacing w:line="360" w:lineRule="auto"/>
        <w:jc w:val="both"/>
        <w:rPr>
          <w:rFonts w:ascii="Arial" w:hAnsi="Arial" w:cs="Arial"/>
          <w:sz w:val="24"/>
          <w:szCs w:val="24"/>
          <w:lang w:val="es-CO"/>
        </w:rPr>
      </w:pPr>
      <w:r w:rsidRPr="00E6598C">
        <w:rPr>
          <w:rFonts w:ascii="Arial" w:hAnsi="Arial" w:cs="Arial"/>
          <w:sz w:val="24"/>
          <w:szCs w:val="24"/>
          <w:lang w:val="es-CO"/>
        </w:rPr>
        <w:t xml:space="preserve">En mérito de lo razonado, el </w:t>
      </w:r>
      <w:r w:rsidRPr="00E6598C">
        <w:rPr>
          <w:rFonts w:ascii="Arial" w:hAnsi="Arial" w:cs="Arial"/>
          <w:bCs/>
          <w:smallCaps/>
          <w:sz w:val="24"/>
          <w:szCs w:val="24"/>
          <w:lang w:val="es-CO"/>
        </w:rPr>
        <w:t>Tribunal Superior del Distrito Judicial de Pereira, Sala de Asuntos Penales para Adolescentes</w:t>
      </w:r>
      <w:r w:rsidR="00FF6F00">
        <w:rPr>
          <w:rFonts w:ascii="Arial" w:hAnsi="Arial" w:cs="Arial"/>
          <w:bCs/>
          <w:smallCaps/>
          <w:sz w:val="24"/>
          <w:szCs w:val="24"/>
          <w:lang w:val="es-CO"/>
        </w:rPr>
        <w:t xml:space="preserve"> número cuatro (4)</w:t>
      </w:r>
      <w:r w:rsidRPr="00E6598C">
        <w:rPr>
          <w:rFonts w:ascii="Arial" w:hAnsi="Arial" w:cs="Arial"/>
          <w:sz w:val="24"/>
          <w:szCs w:val="24"/>
          <w:lang w:val="es-CO"/>
        </w:rPr>
        <w:t>, administrando Justicia, en nombre de la República y por autoridad de la Ley,</w:t>
      </w:r>
    </w:p>
    <w:p w:rsidR="00FF6F00" w:rsidRPr="00FF6F00" w:rsidRDefault="00FF6F00" w:rsidP="00E4735C">
      <w:pPr>
        <w:tabs>
          <w:tab w:val="left" w:pos="-720"/>
        </w:tabs>
        <w:suppressAutoHyphens/>
        <w:spacing w:line="360" w:lineRule="auto"/>
        <w:jc w:val="center"/>
        <w:rPr>
          <w:rFonts w:ascii="Arial" w:hAnsi="Arial" w:cs="Arial"/>
          <w:bCs/>
          <w:smallCaps/>
          <w:sz w:val="24"/>
          <w:szCs w:val="22"/>
          <w:lang w:val="es-CO"/>
        </w:rPr>
      </w:pPr>
    </w:p>
    <w:p w:rsidR="00E4735C" w:rsidRPr="00E6598C" w:rsidRDefault="00E4735C" w:rsidP="00E4735C">
      <w:pPr>
        <w:tabs>
          <w:tab w:val="left" w:pos="-720"/>
        </w:tabs>
        <w:suppressAutoHyphens/>
        <w:spacing w:line="360" w:lineRule="auto"/>
        <w:jc w:val="center"/>
        <w:rPr>
          <w:rFonts w:ascii="Arial" w:hAnsi="Arial" w:cs="Arial"/>
          <w:bCs/>
          <w:smallCaps/>
          <w:sz w:val="28"/>
          <w:szCs w:val="22"/>
          <w:lang w:val="es-CO"/>
        </w:rPr>
      </w:pPr>
      <w:r w:rsidRPr="00E6598C">
        <w:rPr>
          <w:rFonts w:ascii="Arial" w:hAnsi="Arial" w:cs="Arial"/>
          <w:bCs/>
          <w:smallCaps/>
          <w:sz w:val="28"/>
          <w:szCs w:val="22"/>
          <w:lang w:val="es-CO"/>
        </w:rPr>
        <w:t xml:space="preserve">F </w:t>
      </w:r>
      <w:r w:rsidRPr="00E6598C">
        <w:rPr>
          <w:rFonts w:ascii="Arial" w:hAnsi="Arial" w:cs="Arial"/>
          <w:bCs/>
          <w:smallCaps/>
          <w:sz w:val="22"/>
          <w:szCs w:val="22"/>
          <w:lang w:val="es-CO"/>
        </w:rPr>
        <w:t xml:space="preserve">A L </w:t>
      </w:r>
      <w:proofErr w:type="spellStart"/>
      <w:r w:rsidRPr="00E6598C">
        <w:rPr>
          <w:rFonts w:ascii="Arial" w:hAnsi="Arial" w:cs="Arial"/>
          <w:bCs/>
          <w:smallCaps/>
          <w:sz w:val="22"/>
          <w:szCs w:val="22"/>
          <w:lang w:val="es-CO"/>
        </w:rPr>
        <w:t>L</w:t>
      </w:r>
      <w:proofErr w:type="spellEnd"/>
      <w:r w:rsidRPr="00E6598C">
        <w:rPr>
          <w:rFonts w:ascii="Arial" w:hAnsi="Arial" w:cs="Arial"/>
          <w:bCs/>
          <w:smallCaps/>
          <w:sz w:val="22"/>
          <w:szCs w:val="22"/>
          <w:lang w:val="es-CO"/>
        </w:rPr>
        <w:t xml:space="preserve"> A  ,</w:t>
      </w:r>
    </w:p>
    <w:p w:rsidR="00E4735C" w:rsidRPr="00E6598C" w:rsidRDefault="00E4735C" w:rsidP="00E4735C">
      <w:pPr>
        <w:tabs>
          <w:tab w:val="left" w:pos="-720"/>
        </w:tabs>
        <w:suppressAutoHyphens/>
        <w:spacing w:line="360" w:lineRule="auto"/>
        <w:jc w:val="center"/>
        <w:rPr>
          <w:rFonts w:ascii="Arial" w:hAnsi="Arial" w:cs="Arial"/>
          <w:spacing w:val="-3"/>
          <w:sz w:val="24"/>
          <w:szCs w:val="22"/>
          <w:lang w:val="es-CO"/>
        </w:rPr>
      </w:pPr>
    </w:p>
    <w:p w:rsidR="006F0284" w:rsidRPr="00E6598C" w:rsidRDefault="00333722" w:rsidP="006F0284">
      <w:pPr>
        <w:pStyle w:val="Prrafodelista"/>
        <w:widowControl w:val="0"/>
        <w:numPr>
          <w:ilvl w:val="0"/>
          <w:numId w:val="4"/>
        </w:numPr>
        <w:spacing w:line="360" w:lineRule="auto"/>
        <w:jc w:val="both"/>
        <w:rPr>
          <w:rFonts w:ascii="Arial" w:hAnsi="Arial" w:cs="Arial"/>
          <w:sz w:val="24"/>
          <w:szCs w:val="22"/>
          <w:lang w:val="es-CO"/>
        </w:rPr>
      </w:pPr>
      <w:r w:rsidRPr="00E6598C">
        <w:rPr>
          <w:rFonts w:ascii="Arial" w:hAnsi="Arial" w:cs="Arial"/>
          <w:sz w:val="24"/>
          <w:szCs w:val="22"/>
          <w:lang w:val="es-CO"/>
        </w:rPr>
        <w:t xml:space="preserve">CONFIRMAR </w:t>
      </w:r>
      <w:r w:rsidR="00E4735C" w:rsidRPr="00E6598C">
        <w:rPr>
          <w:rFonts w:ascii="Arial" w:hAnsi="Arial" w:cs="Arial"/>
          <w:sz w:val="24"/>
          <w:szCs w:val="22"/>
          <w:lang w:val="es-CO"/>
        </w:rPr>
        <w:t xml:space="preserve">la sentencia </w:t>
      </w:r>
      <w:r w:rsidR="00E80579">
        <w:rPr>
          <w:rFonts w:ascii="Arial" w:hAnsi="Arial" w:cs="Arial"/>
          <w:sz w:val="24"/>
          <w:szCs w:val="22"/>
          <w:lang w:val="es-CO"/>
        </w:rPr>
        <w:t xml:space="preserve">condenatoria </w:t>
      </w:r>
      <w:r w:rsidR="00E4735C" w:rsidRPr="00E6598C">
        <w:rPr>
          <w:rFonts w:ascii="Arial" w:hAnsi="Arial" w:cs="Arial"/>
          <w:sz w:val="24"/>
          <w:szCs w:val="22"/>
          <w:lang w:val="es-CO"/>
        </w:rPr>
        <w:t>de primera instancia</w:t>
      </w:r>
      <w:r w:rsidR="00AB2ADE" w:rsidRPr="00E6598C">
        <w:rPr>
          <w:rFonts w:ascii="Arial" w:hAnsi="Arial" w:cs="Arial"/>
          <w:sz w:val="24"/>
          <w:szCs w:val="22"/>
          <w:lang w:val="es-CO"/>
        </w:rPr>
        <w:t>,</w:t>
      </w:r>
      <w:r w:rsidR="00E4735C" w:rsidRPr="00E6598C">
        <w:rPr>
          <w:rFonts w:ascii="Arial" w:hAnsi="Arial" w:cs="Arial"/>
          <w:sz w:val="24"/>
          <w:szCs w:val="22"/>
          <w:lang w:val="es-CO"/>
        </w:rPr>
        <w:t xml:space="preserve"> </w:t>
      </w:r>
      <w:r w:rsidR="007465A2">
        <w:rPr>
          <w:rFonts w:ascii="Arial" w:hAnsi="Arial" w:cs="Arial"/>
          <w:sz w:val="24"/>
          <w:szCs w:val="22"/>
          <w:lang w:val="es-CO"/>
        </w:rPr>
        <w:t>dictada</w:t>
      </w:r>
      <w:r w:rsidR="00E4735C" w:rsidRPr="00E6598C">
        <w:rPr>
          <w:rFonts w:ascii="Arial" w:hAnsi="Arial" w:cs="Arial"/>
          <w:sz w:val="24"/>
          <w:szCs w:val="22"/>
          <w:lang w:val="es-CO"/>
        </w:rPr>
        <w:t xml:space="preserve"> el</w:t>
      </w:r>
      <w:r w:rsidR="00054A68" w:rsidRPr="00E6598C">
        <w:rPr>
          <w:rFonts w:ascii="Arial" w:hAnsi="Arial" w:cs="Arial"/>
          <w:sz w:val="24"/>
          <w:szCs w:val="22"/>
          <w:lang w:val="es-CO"/>
        </w:rPr>
        <w:t xml:space="preserve"> </w:t>
      </w:r>
      <w:r w:rsidRPr="00E6598C">
        <w:rPr>
          <w:rFonts w:ascii="Arial" w:hAnsi="Arial" w:cs="Arial"/>
          <w:sz w:val="24"/>
          <w:szCs w:val="22"/>
          <w:lang w:val="es-CO"/>
        </w:rPr>
        <w:t xml:space="preserve">día </w:t>
      </w:r>
      <w:r w:rsidR="00E91D7E">
        <w:rPr>
          <w:rFonts w:ascii="Arial" w:hAnsi="Arial" w:cs="Arial"/>
          <w:sz w:val="24"/>
          <w:szCs w:val="22"/>
          <w:lang w:val="es-CO"/>
        </w:rPr>
        <w:t>1</w:t>
      </w:r>
      <w:r w:rsidR="00E80579">
        <w:rPr>
          <w:rFonts w:ascii="Arial" w:hAnsi="Arial" w:cs="Arial"/>
          <w:sz w:val="24"/>
          <w:szCs w:val="22"/>
          <w:lang w:val="es-CO"/>
        </w:rPr>
        <w:t>4-09-</w:t>
      </w:r>
      <w:r w:rsidR="00E80579">
        <w:rPr>
          <w:rFonts w:ascii="Arial" w:hAnsi="Arial" w:cs="Arial"/>
          <w:sz w:val="24"/>
          <w:szCs w:val="22"/>
          <w:lang w:val="es-CO"/>
        </w:rPr>
        <w:lastRenderedPageBreak/>
        <w:t>2016</w:t>
      </w:r>
      <w:r w:rsidR="00E4735C" w:rsidRPr="00E6598C">
        <w:rPr>
          <w:rFonts w:ascii="Arial" w:hAnsi="Arial" w:cs="Arial"/>
          <w:sz w:val="24"/>
          <w:szCs w:val="22"/>
          <w:lang w:val="es-CO"/>
        </w:rPr>
        <w:t>, por el Juzgado</w:t>
      </w:r>
      <w:r w:rsidR="00BB1468" w:rsidRPr="00E6598C">
        <w:rPr>
          <w:rFonts w:ascii="Arial" w:hAnsi="Arial" w:cs="Arial"/>
          <w:sz w:val="24"/>
          <w:szCs w:val="22"/>
          <w:lang w:val="es-CO"/>
        </w:rPr>
        <w:t xml:space="preserve"> </w:t>
      </w:r>
      <w:r w:rsidR="00E80579">
        <w:rPr>
          <w:rFonts w:ascii="Arial" w:hAnsi="Arial" w:cs="Arial"/>
          <w:sz w:val="24"/>
          <w:szCs w:val="22"/>
          <w:lang w:val="es-CO"/>
        </w:rPr>
        <w:t xml:space="preserve">Primero </w:t>
      </w:r>
      <w:r w:rsidR="00054A68" w:rsidRPr="00E6598C">
        <w:rPr>
          <w:rFonts w:ascii="Arial" w:hAnsi="Arial" w:cs="Arial"/>
          <w:sz w:val="24"/>
          <w:szCs w:val="22"/>
          <w:lang w:val="es-CO"/>
        </w:rPr>
        <w:t>Penal</w:t>
      </w:r>
      <w:r w:rsidR="00BB1468" w:rsidRPr="00E6598C">
        <w:rPr>
          <w:rFonts w:ascii="Arial" w:hAnsi="Arial" w:cs="Arial"/>
          <w:sz w:val="24"/>
          <w:szCs w:val="22"/>
          <w:lang w:val="es-CO"/>
        </w:rPr>
        <w:t xml:space="preserve"> del Circuito </w:t>
      </w:r>
      <w:r w:rsidR="00054A68" w:rsidRPr="00E6598C">
        <w:rPr>
          <w:rFonts w:ascii="Arial" w:hAnsi="Arial" w:cs="Arial"/>
          <w:sz w:val="24"/>
          <w:szCs w:val="22"/>
          <w:lang w:val="es-CO"/>
        </w:rPr>
        <w:t xml:space="preserve">para Adolescentes </w:t>
      </w:r>
      <w:r w:rsidR="00BB1468" w:rsidRPr="00E6598C">
        <w:rPr>
          <w:rFonts w:ascii="Arial" w:hAnsi="Arial" w:cs="Arial"/>
          <w:sz w:val="24"/>
          <w:szCs w:val="22"/>
          <w:lang w:val="es-CO"/>
        </w:rPr>
        <w:t xml:space="preserve">de </w:t>
      </w:r>
      <w:r w:rsidR="00860624" w:rsidRPr="00E6598C">
        <w:rPr>
          <w:rFonts w:ascii="Arial" w:hAnsi="Arial" w:cs="Arial"/>
          <w:sz w:val="24"/>
          <w:szCs w:val="22"/>
          <w:lang w:val="es-CO"/>
        </w:rPr>
        <w:t>Pereira</w:t>
      </w:r>
      <w:r w:rsidR="00E4735C" w:rsidRPr="00E6598C">
        <w:rPr>
          <w:rFonts w:ascii="Arial" w:hAnsi="Arial" w:cs="Arial"/>
          <w:sz w:val="24"/>
          <w:szCs w:val="22"/>
          <w:lang w:val="es-CO"/>
        </w:rPr>
        <w:t xml:space="preserve">, </w:t>
      </w:r>
      <w:r w:rsidR="00860624" w:rsidRPr="00E6598C">
        <w:rPr>
          <w:rFonts w:ascii="Arial" w:hAnsi="Arial" w:cs="Arial"/>
          <w:sz w:val="24"/>
          <w:szCs w:val="22"/>
          <w:lang w:val="es-CO"/>
        </w:rPr>
        <w:t>R.</w:t>
      </w:r>
      <w:r w:rsidR="00E4735C" w:rsidRPr="00E6598C">
        <w:rPr>
          <w:rFonts w:ascii="Arial" w:hAnsi="Arial" w:cs="Arial"/>
          <w:sz w:val="24"/>
          <w:szCs w:val="22"/>
          <w:lang w:val="es-CO"/>
        </w:rPr>
        <w:t xml:space="preserve">, </w:t>
      </w:r>
      <w:r w:rsidR="00E80579">
        <w:rPr>
          <w:rFonts w:ascii="Arial" w:hAnsi="Arial" w:cs="Arial"/>
          <w:sz w:val="24"/>
          <w:szCs w:val="22"/>
          <w:lang w:val="es-CO"/>
        </w:rPr>
        <w:t xml:space="preserve">en contra </w:t>
      </w:r>
      <w:r w:rsidR="00BB502F">
        <w:rPr>
          <w:rFonts w:ascii="Arial" w:hAnsi="Arial" w:cs="Arial"/>
          <w:sz w:val="24"/>
          <w:szCs w:val="22"/>
          <w:lang w:val="es-CO"/>
        </w:rPr>
        <w:t xml:space="preserve">del </w:t>
      </w:r>
      <w:r w:rsidR="00374344" w:rsidRPr="00E6598C">
        <w:rPr>
          <w:rFonts w:ascii="Arial" w:hAnsi="Arial" w:cs="Arial"/>
          <w:sz w:val="24"/>
          <w:szCs w:val="22"/>
          <w:lang w:val="es-CO"/>
        </w:rPr>
        <w:t xml:space="preserve">adolescente </w:t>
      </w:r>
      <w:r w:rsidR="00E80579">
        <w:rPr>
          <w:rFonts w:ascii="Arial" w:hAnsi="Arial" w:cs="Arial"/>
          <w:sz w:val="24"/>
          <w:szCs w:val="22"/>
          <w:lang w:val="es-CO"/>
        </w:rPr>
        <w:t>ETM</w:t>
      </w:r>
      <w:r w:rsidR="00BB502F">
        <w:rPr>
          <w:rFonts w:ascii="Arial" w:hAnsi="Arial" w:cs="Arial"/>
          <w:sz w:val="24"/>
          <w:szCs w:val="22"/>
          <w:lang w:val="es-CO"/>
        </w:rPr>
        <w:t xml:space="preserve"> </w:t>
      </w:r>
      <w:r w:rsidR="008102C8">
        <w:rPr>
          <w:rFonts w:ascii="Arial" w:hAnsi="Arial" w:cs="Arial"/>
          <w:sz w:val="24"/>
          <w:szCs w:val="22"/>
          <w:lang w:val="es-CO"/>
        </w:rPr>
        <w:t xml:space="preserve">por el </w:t>
      </w:r>
      <w:r w:rsidR="00AE04A3" w:rsidRPr="00E6598C">
        <w:rPr>
          <w:rFonts w:ascii="Arial" w:hAnsi="Arial" w:cs="Arial"/>
          <w:sz w:val="24"/>
          <w:szCs w:val="22"/>
          <w:lang w:val="es-CO"/>
        </w:rPr>
        <w:t>ilícito de homicidio</w:t>
      </w:r>
      <w:r w:rsidR="00E80579">
        <w:rPr>
          <w:rFonts w:ascii="Arial" w:hAnsi="Arial" w:cs="Arial"/>
          <w:sz w:val="24"/>
          <w:szCs w:val="22"/>
          <w:lang w:val="es-CO"/>
        </w:rPr>
        <w:t xml:space="preserve"> agravado</w:t>
      </w:r>
      <w:r w:rsidR="00AE04A3" w:rsidRPr="00E6598C">
        <w:rPr>
          <w:rFonts w:ascii="Arial" w:hAnsi="Arial" w:cs="Arial"/>
          <w:sz w:val="24"/>
          <w:szCs w:val="22"/>
          <w:lang w:val="es-CO"/>
        </w:rPr>
        <w:t>.</w:t>
      </w:r>
    </w:p>
    <w:p w:rsidR="000D3939" w:rsidRPr="00E6598C" w:rsidRDefault="006F0284" w:rsidP="006F0284">
      <w:pPr>
        <w:pStyle w:val="Prrafodelista"/>
        <w:widowControl w:val="0"/>
        <w:spacing w:line="360" w:lineRule="auto"/>
        <w:ind w:left="360"/>
        <w:jc w:val="both"/>
        <w:rPr>
          <w:rFonts w:ascii="Arial" w:hAnsi="Arial" w:cs="Arial"/>
          <w:sz w:val="24"/>
          <w:szCs w:val="22"/>
          <w:lang w:val="es-CO"/>
        </w:rPr>
      </w:pPr>
      <w:r w:rsidRPr="00E6598C">
        <w:rPr>
          <w:rFonts w:ascii="Arial" w:hAnsi="Arial" w:cs="Arial"/>
          <w:sz w:val="24"/>
          <w:szCs w:val="22"/>
          <w:lang w:val="es-CO"/>
        </w:rPr>
        <w:t xml:space="preserve"> </w:t>
      </w:r>
    </w:p>
    <w:p w:rsidR="00E4735C" w:rsidRPr="00E6598C" w:rsidRDefault="00E4735C" w:rsidP="00BE62CC">
      <w:pPr>
        <w:pStyle w:val="Prrafodelista"/>
        <w:numPr>
          <w:ilvl w:val="0"/>
          <w:numId w:val="4"/>
        </w:numPr>
        <w:spacing w:line="360" w:lineRule="auto"/>
        <w:jc w:val="both"/>
        <w:rPr>
          <w:rFonts w:ascii="Arial" w:hAnsi="Arial" w:cs="Arial"/>
          <w:sz w:val="24"/>
          <w:szCs w:val="22"/>
          <w:lang w:val="es-CO"/>
        </w:rPr>
      </w:pPr>
      <w:r w:rsidRPr="00E6598C">
        <w:rPr>
          <w:rFonts w:ascii="Arial" w:hAnsi="Arial" w:cs="Arial"/>
          <w:sz w:val="24"/>
          <w:szCs w:val="22"/>
          <w:lang w:val="es-CO"/>
        </w:rPr>
        <w:t>DECLARAR notificada en estrados esta decisión, dado su pronunciamiento oral.</w:t>
      </w:r>
    </w:p>
    <w:p w:rsidR="000D3939" w:rsidRPr="00E6598C" w:rsidRDefault="000D3939" w:rsidP="000D3939">
      <w:pPr>
        <w:pStyle w:val="Prrafodelista"/>
        <w:spacing w:line="360" w:lineRule="auto"/>
        <w:ind w:left="360"/>
        <w:jc w:val="both"/>
        <w:rPr>
          <w:rFonts w:ascii="Arial" w:hAnsi="Arial" w:cs="Arial"/>
          <w:sz w:val="24"/>
          <w:szCs w:val="22"/>
          <w:lang w:val="es-CO"/>
        </w:rPr>
      </w:pPr>
    </w:p>
    <w:p w:rsidR="00E4735C" w:rsidRPr="00E6598C" w:rsidRDefault="00E4735C" w:rsidP="00BE62CC">
      <w:pPr>
        <w:pStyle w:val="Prrafodelista"/>
        <w:numPr>
          <w:ilvl w:val="0"/>
          <w:numId w:val="4"/>
        </w:numPr>
        <w:spacing w:line="360" w:lineRule="auto"/>
        <w:jc w:val="both"/>
        <w:rPr>
          <w:rFonts w:ascii="Arial" w:hAnsi="Arial" w:cs="Arial"/>
          <w:sz w:val="24"/>
          <w:szCs w:val="22"/>
          <w:lang w:val="es-CO"/>
        </w:rPr>
      </w:pPr>
      <w:r w:rsidRPr="00E6598C">
        <w:rPr>
          <w:rFonts w:ascii="Arial" w:hAnsi="Arial" w:cs="Arial"/>
          <w:sz w:val="24"/>
          <w:szCs w:val="22"/>
          <w:lang w:val="es-CO"/>
        </w:rPr>
        <w:t>ADVERTIR que contra esta sentencia procede el rec</w:t>
      </w:r>
      <w:r w:rsidR="00B43A75" w:rsidRPr="00E6598C">
        <w:rPr>
          <w:rFonts w:ascii="Arial" w:hAnsi="Arial" w:cs="Arial"/>
          <w:sz w:val="24"/>
          <w:szCs w:val="22"/>
          <w:lang w:val="es-CO"/>
        </w:rPr>
        <w:t>urso extraordinario de casación</w:t>
      </w:r>
      <w:r w:rsidRPr="00E6598C">
        <w:rPr>
          <w:rFonts w:ascii="Arial" w:hAnsi="Arial" w:cs="Arial"/>
          <w:sz w:val="24"/>
          <w:szCs w:val="22"/>
          <w:lang w:val="es-CO"/>
        </w:rPr>
        <w:t>.</w:t>
      </w:r>
    </w:p>
    <w:p w:rsidR="00BB1468" w:rsidRPr="00E6598C" w:rsidRDefault="00BB1468" w:rsidP="009233E6">
      <w:pPr>
        <w:spacing w:line="360" w:lineRule="auto"/>
        <w:ind w:left="360"/>
        <w:jc w:val="center"/>
        <w:rPr>
          <w:rFonts w:ascii="Arial" w:hAnsi="Arial" w:cs="Arial"/>
          <w:sz w:val="24"/>
          <w:szCs w:val="28"/>
          <w:lang w:val="es-CO"/>
        </w:rPr>
      </w:pPr>
    </w:p>
    <w:p w:rsidR="00E4735C" w:rsidRPr="00E6598C" w:rsidRDefault="00E4735C" w:rsidP="00E4735C">
      <w:pPr>
        <w:spacing w:line="360" w:lineRule="auto"/>
        <w:jc w:val="center"/>
        <w:rPr>
          <w:rFonts w:ascii="Arial" w:hAnsi="Arial" w:cs="Arial"/>
          <w:smallCaps/>
          <w:sz w:val="22"/>
          <w:szCs w:val="22"/>
          <w:lang w:val="es-CO"/>
        </w:rPr>
      </w:pPr>
      <w:r w:rsidRPr="00E6598C">
        <w:rPr>
          <w:rFonts w:ascii="Arial" w:hAnsi="Arial" w:cs="Arial"/>
          <w:smallCaps/>
          <w:sz w:val="24"/>
          <w:szCs w:val="22"/>
          <w:lang w:val="es-CO"/>
        </w:rPr>
        <w:t>Notifíquese,</w:t>
      </w:r>
    </w:p>
    <w:p w:rsidR="00984988" w:rsidRDefault="00984988" w:rsidP="00E4735C">
      <w:pPr>
        <w:spacing w:line="360" w:lineRule="auto"/>
        <w:jc w:val="center"/>
        <w:rPr>
          <w:rFonts w:ascii="Arial" w:hAnsi="Arial" w:cs="Arial"/>
          <w:sz w:val="22"/>
          <w:szCs w:val="22"/>
          <w:lang w:val="es-CO"/>
        </w:rPr>
      </w:pPr>
    </w:p>
    <w:p w:rsidR="001106B9" w:rsidRDefault="001106B9" w:rsidP="00E4735C">
      <w:pPr>
        <w:spacing w:line="360" w:lineRule="auto"/>
        <w:jc w:val="center"/>
        <w:rPr>
          <w:rFonts w:ascii="Arial" w:hAnsi="Arial" w:cs="Arial"/>
          <w:sz w:val="22"/>
          <w:szCs w:val="22"/>
          <w:lang w:val="es-CO"/>
        </w:rPr>
      </w:pPr>
    </w:p>
    <w:p w:rsidR="009653A4" w:rsidRPr="00E6598C" w:rsidRDefault="009653A4" w:rsidP="00E4735C">
      <w:pPr>
        <w:spacing w:line="360" w:lineRule="auto"/>
        <w:jc w:val="center"/>
        <w:rPr>
          <w:rFonts w:ascii="Arial" w:hAnsi="Arial" w:cs="Arial"/>
          <w:sz w:val="22"/>
          <w:szCs w:val="22"/>
          <w:lang w:val="es-CO"/>
        </w:rPr>
      </w:pPr>
    </w:p>
    <w:p w:rsidR="00E4735C" w:rsidRPr="00E6598C" w:rsidRDefault="00E4735C" w:rsidP="00E4735C">
      <w:pPr>
        <w:pStyle w:val="Textopredeterminado"/>
        <w:spacing w:line="360" w:lineRule="auto"/>
        <w:jc w:val="center"/>
        <w:rPr>
          <w:rFonts w:ascii="Arial" w:hAnsi="Arial" w:cs="Arial"/>
          <w:caps/>
          <w:spacing w:val="20"/>
          <w:w w:val="150"/>
          <w:sz w:val="20"/>
          <w:lang w:val="es-CO"/>
        </w:rPr>
      </w:pPr>
      <w:r w:rsidRPr="00E6598C">
        <w:rPr>
          <w:rFonts w:ascii="Arial" w:hAnsi="Arial" w:cs="Arial"/>
          <w:caps/>
          <w:spacing w:val="20"/>
          <w:w w:val="150"/>
          <w:lang w:val="es-CO"/>
        </w:rPr>
        <w:t>D</w:t>
      </w:r>
      <w:r w:rsidRPr="00E6598C">
        <w:rPr>
          <w:rFonts w:ascii="Arial" w:hAnsi="Arial" w:cs="Arial"/>
          <w:caps/>
          <w:spacing w:val="20"/>
          <w:w w:val="150"/>
          <w:sz w:val="16"/>
          <w:lang w:val="es-CO"/>
        </w:rPr>
        <w:t>UBERNEY</w:t>
      </w:r>
      <w:r w:rsidRPr="00E6598C">
        <w:rPr>
          <w:rFonts w:ascii="Arial" w:hAnsi="Arial" w:cs="Arial"/>
          <w:caps/>
          <w:spacing w:val="20"/>
          <w:w w:val="150"/>
          <w:sz w:val="20"/>
          <w:lang w:val="es-CO"/>
        </w:rPr>
        <w:t xml:space="preserve"> </w:t>
      </w:r>
      <w:r w:rsidRPr="00E6598C">
        <w:rPr>
          <w:rFonts w:ascii="Arial" w:hAnsi="Arial" w:cs="Arial"/>
          <w:caps/>
          <w:spacing w:val="20"/>
          <w:w w:val="150"/>
          <w:lang w:val="es-CO"/>
        </w:rPr>
        <w:t>G</w:t>
      </w:r>
      <w:r w:rsidRPr="00E6598C">
        <w:rPr>
          <w:rFonts w:ascii="Arial" w:hAnsi="Arial" w:cs="Arial"/>
          <w:caps/>
          <w:spacing w:val="20"/>
          <w:w w:val="150"/>
          <w:sz w:val="16"/>
          <w:lang w:val="es-CO"/>
        </w:rPr>
        <w:t>RISALES</w:t>
      </w:r>
      <w:r w:rsidRPr="00E6598C">
        <w:rPr>
          <w:rFonts w:ascii="Arial" w:hAnsi="Arial" w:cs="Arial"/>
          <w:caps/>
          <w:spacing w:val="20"/>
          <w:w w:val="150"/>
          <w:sz w:val="20"/>
          <w:lang w:val="es-CO"/>
        </w:rPr>
        <w:t xml:space="preserve"> </w:t>
      </w:r>
      <w:r w:rsidRPr="00E6598C">
        <w:rPr>
          <w:rFonts w:ascii="Arial" w:hAnsi="Arial" w:cs="Arial"/>
          <w:caps/>
          <w:spacing w:val="20"/>
          <w:w w:val="150"/>
          <w:lang w:val="es-CO"/>
        </w:rPr>
        <w:t>H</w:t>
      </w:r>
      <w:r w:rsidRPr="00E6598C">
        <w:rPr>
          <w:rFonts w:ascii="Arial" w:hAnsi="Arial" w:cs="Arial"/>
          <w:caps/>
          <w:spacing w:val="20"/>
          <w:w w:val="150"/>
          <w:sz w:val="16"/>
          <w:lang w:val="es-CO"/>
        </w:rPr>
        <w:t>ERRERA</w:t>
      </w:r>
    </w:p>
    <w:p w:rsidR="00E4735C" w:rsidRPr="00E6598C" w:rsidRDefault="00E4735C" w:rsidP="00E4735C">
      <w:pPr>
        <w:pStyle w:val="Textoindependiente"/>
        <w:spacing w:line="360" w:lineRule="auto"/>
        <w:jc w:val="center"/>
        <w:rPr>
          <w:rFonts w:ascii="Arial" w:hAnsi="Arial" w:cs="Arial"/>
          <w:caps/>
          <w:spacing w:val="20"/>
          <w:w w:val="150"/>
          <w:sz w:val="16"/>
          <w:lang w:val="es-CO"/>
        </w:rPr>
      </w:pPr>
      <w:r w:rsidRPr="00E6598C">
        <w:rPr>
          <w:rFonts w:ascii="Arial" w:hAnsi="Arial" w:cs="Arial"/>
          <w:caps/>
          <w:spacing w:val="20"/>
          <w:w w:val="150"/>
          <w:lang w:val="es-CO"/>
        </w:rPr>
        <w:t xml:space="preserve">M </w:t>
      </w:r>
      <w:r w:rsidRPr="00E6598C">
        <w:rPr>
          <w:rFonts w:ascii="Arial" w:hAnsi="Arial" w:cs="Arial"/>
          <w:caps/>
          <w:spacing w:val="20"/>
          <w:w w:val="150"/>
          <w:sz w:val="16"/>
          <w:lang w:val="es-CO"/>
        </w:rPr>
        <w:t>A G I S T R A D O</w:t>
      </w:r>
    </w:p>
    <w:p w:rsidR="00E4735C" w:rsidRDefault="00E4735C" w:rsidP="00E4735C">
      <w:pPr>
        <w:pStyle w:val="Textoindependiente"/>
        <w:spacing w:line="360" w:lineRule="auto"/>
        <w:jc w:val="center"/>
        <w:rPr>
          <w:rFonts w:ascii="Arial" w:hAnsi="Arial" w:cs="Arial"/>
          <w:caps/>
          <w:spacing w:val="20"/>
          <w:w w:val="150"/>
          <w:sz w:val="22"/>
          <w:szCs w:val="22"/>
          <w:lang w:val="es-CO"/>
        </w:rPr>
      </w:pPr>
    </w:p>
    <w:p w:rsidR="001106B9" w:rsidRDefault="001106B9" w:rsidP="00E4735C">
      <w:pPr>
        <w:pStyle w:val="Textoindependiente"/>
        <w:spacing w:line="360" w:lineRule="auto"/>
        <w:jc w:val="center"/>
        <w:rPr>
          <w:rFonts w:ascii="Arial" w:hAnsi="Arial" w:cs="Arial"/>
          <w:caps/>
          <w:spacing w:val="20"/>
          <w:w w:val="150"/>
          <w:sz w:val="22"/>
          <w:szCs w:val="22"/>
          <w:lang w:val="es-CO"/>
        </w:rPr>
      </w:pPr>
    </w:p>
    <w:p w:rsidR="009653A4" w:rsidRPr="00E6598C" w:rsidRDefault="009653A4" w:rsidP="00E4735C">
      <w:pPr>
        <w:pStyle w:val="Textoindependiente"/>
        <w:spacing w:line="360" w:lineRule="auto"/>
        <w:jc w:val="center"/>
        <w:rPr>
          <w:rFonts w:ascii="Arial" w:hAnsi="Arial" w:cs="Arial"/>
          <w:caps/>
          <w:spacing w:val="20"/>
          <w:w w:val="150"/>
          <w:sz w:val="22"/>
          <w:szCs w:val="22"/>
          <w:lang w:val="es-CO"/>
        </w:rPr>
      </w:pPr>
    </w:p>
    <w:p w:rsidR="00E4735C" w:rsidRPr="00E6598C" w:rsidRDefault="00FF517D" w:rsidP="00E4735C">
      <w:pPr>
        <w:pStyle w:val="Textopredeterminado"/>
        <w:spacing w:line="360" w:lineRule="auto"/>
        <w:rPr>
          <w:rFonts w:ascii="Arial" w:hAnsi="Arial" w:cs="Arial"/>
          <w:caps/>
          <w:spacing w:val="20"/>
          <w:w w:val="150"/>
          <w:sz w:val="20"/>
          <w:lang w:val="es-CO"/>
        </w:rPr>
      </w:pPr>
      <w:r>
        <w:rPr>
          <w:rFonts w:ascii="Arial" w:hAnsi="Arial"/>
          <w:w w:val="150"/>
          <w:sz w:val="22"/>
          <w:szCs w:val="18"/>
          <w:lang w:val="es-CO"/>
        </w:rPr>
        <w:t>J</w:t>
      </w:r>
      <w:r>
        <w:rPr>
          <w:rFonts w:ascii="Arial" w:hAnsi="Arial"/>
          <w:w w:val="150"/>
          <w:sz w:val="18"/>
          <w:szCs w:val="16"/>
          <w:lang w:val="es-CO"/>
        </w:rPr>
        <w:t xml:space="preserve">AIRO </w:t>
      </w:r>
      <w:r>
        <w:rPr>
          <w:rFonts w:ascii="Arial" w:hAnsi="Arial"/>
          <w:w w:val="150"/>
          <w:sz w:val="22"/>
          <w:lang w:val="es-CO"/>
        </w:rPr>
        <w:t>E</w:t>
      </w:r>
      <w:r>
        <w:rPr>
          <w:rFonts w:ascii="Arial" w:hAnsi="Arial"/>
          <w:w w:val="150"/>
          <w:sz w:val="18"/>
          <w:szCs w:val="16"/>
          <w:lang w:val="es-CO"/>
        </w:rPr>
        <w:t>RNESTO</w:t>
      </w:r>
      <w:r w:rsidR="009653A4" w:rsidRPr="006A0477">
        <w:rPr>
          <w:rFonts w:ascii="Arial" w:hAnsi="Arial"/>
          <w:w w:val="150"/>
          <w:szCs w:val="18"/>
          <w:lang w:val="es-CO"/>
        </w:rPr>
        <w:t xml:space="preserve"> </w:t>
      </w:r>
      <w:r>
        <w:rPr>
          <w:rFonts w:ascii="Arial" w:hAnsi="Arial"/>
          <w:w w:val="150"/>
          <w:sz w:val="22"/>
          <w:lang w:val="es-CO"/>
        </w:rPr>
        <w:t>E</w:t>
      </w:r>
      <w:r>
        <w:rPr>
          <w:rFonts w:ascii="Arial" w:hAnsi="Arial"/>
          <w:w w:val="150"/>
          <w:sz w:val="18"/>
          <w:szCs w:val="16"/>
          <w:lang w:val="es-CO"/>
        </w:rPr>
        <w:t xml:space="preserve">SCOBAR </w:t>
      </w:r>
      <w:r>
        <w:rPr>
          <w:rFonts w:ascii="Arial" w:hAnsi="Arial"/>
          <w:w w:val="150"/>
          <w:sz w:val="22"/>
          <w:szCs w:val="18"/>
          <w:lang w:val="es-CO"/>
        </w:rPr>
        <w:t>S</w:t>
      </w:r>
      <w:r w:rsidR="009653A4" w:rsidRPr="006A0477">
        <w:rPr>
          <w:rFonts w:ascii="Arial" w:hAnsi="Arial"/>
          <w:w w:val="150"/>
          <w:sz w:val="18"/>
          <w:szCs w:val="16"/>
          <w:lang w:val="es-CO"/>
        </w:rPr>
        <w:t>.</w:t>
      </w:r>
      <w:r w:rsidR="00E4735C" w:rsidRPr="00E6598C">
        <w:rPr>
          <w:rFonts w:ascii="Arial" w:hAnsi="Arial" w:cs="Arial"/>
          <w:caps/>
          <w:spacing w:val="20"/>
          <w:w w:val="150"/>
          <w:sz w:val="16"/>
          <w:lang w:val="es-CO"/>
        </w:rPr>
        <w:tab/>
      </w:r>
      <w:r w:rsidR="00E80579">
        <w:rPr>
          <w:rFonts w:ascii="Arial" w:hAnsi="Arial" w:cs="Arial"/>
          <w:caps/>
          <w:spacing w:val="20"/>
          <w:w w:val="150"/>
          <w:sz w:val="16"/>
          <w:lang w:val="es-CO"/>
        </w:rPr>
        <w:tab/>
      </w:r>
      <w:r>
        <w:rPr>
          <w:rFonts w:ascii="Arial" w:hAnsi="Arial" w:cs="Arial"/>
          <w:caps/>
          <w:spacing w:val="20"/>
          <w:w w:val="150"/>
          <w:lang w:val="es-CO"/>
        </w:rPr>
        <w:t>C</w:t>
      </w:r>
      <w:r w:rsidR="009653A4">
        <w:rPr>
          <w:rFonts w:ascii="Arial" w:hAnsi="Arial" w:cs="Arial"/>
          <w:caps/>
          <w:spacing w:val="20"/>
          <w:w w:val="150"/>
          <w:sz w:val="16"/>
          <w:lang w:val="es-CO"/>
        </w:rPr>
        <w:t>l</w:t>
      </w:r>
      <w:r>
        <w:rPr>
          <w:rFonts w:ascii="Arial" w:hAnsi="Arial" w:cs="Arial"/>
          <w:caps/>
          <w:spacing w:val="20"/>
          <w:w w:val="150"/>
          <w:sz w:val="16"/>
          <w:lang w:val="es-CO"/>
        </w:rPr>
        <w:t>AUDIA</w:t>
      </w:r>
      <w:r w:rsidR="00E4735C" w:rsidRPr="00E6598C">
        <w:rPr>
          <w:rFonts w:ascii="Arial" w:hAnsi="Arial" w:cs="Arial"/>
          <w:caps/>
          <w:spacing w:val="20"/>
          <w:w w:val="150"/>
          <w:sz w:val="20"/>
          <w:lang w:val="es-CO"/>
        </w:rPr>
        <w:t xml:space="preserve"> </w:t>
      </w:r>
      <w:r>
        <w:rPr>
          <w:rFonts w:ascii="Arial" w:hAnsi="Arial" w:cs="Arial"/>
          <w:caps/>
          <w:spacing w:val="20"/>
          <w:w w:val="150"/>
          <w:lang w:val="es-CO"/>
        </w:rPr>
        <w:t>M</w:t>
      </w:r>
      <w:r w:rsidR="009653A4">
        <w:rPr>
          <w:rFonts w:ascii="Arial" w:hAnsi="Arial" w:cs="Arial"/>
          <w:caps/>
          <w:spacing w:val="20"/>
          <w:w w:val="150"/>
          <w:sz w:val="16"/>
          <w:lang w:val="es-CO"/>
        </w:rPr>
        <w:t>ar</w:t>
      </w:r>
      <w:r>
        <w:rPr>
          <w:rFonts w:ascii="Arial" w:hAnsi="Arial" w:cs="Arial"/>
          <w:caps/>
          <w:spacing w:val="20"/>
          <w:w w:val="150"/>
          <w:sz w:val="16"/>
          <w:lang w:val="es-CO"/>
        </w:rPr>
        <w:t>ÍA</w:t>
      </w:r>
      <w:r w:rsidR="00CA2DCB" w:rsidRPr="00E6598C">
        <w:rPr>
          <w:rFonts w:ascii="Arial" w:hAnsi="Arial" w:cs="Arial"/>
          <w:caps/>
          <w:spacing w:val="20"/>
          <w:w w:val="150"/>
          <w:sz w:val="16"/>
          <w:lang w:val="es-CO"/>
        </w:rPr>
        <w:t xml:space="preserve"> </w:t>
      </w:r>
      <w:r>
        <w:rPr>
          <w:rFonts w:ascii="Arial" w:hAnsi="Arial" w:cs="Arial"/>
          <w:caps/>
          <w:spacing w:val="20"/>
          <w:w w:val="150"/>
          <w:lang w:val="es-CO"/>
        </w:rPr>
        <w:t>A</w:t>
      </w:r>
      <w:r w:rsidR="009653A4">
        <w:rPr>
          <w:rFonts w:ascii="Arial" w:hAnsi="Arial" w:cs="Arial"/>
          <w:caps/>
          <w:spacing w:val="20"/>
          <w:w w:val="150"/>
          <w:sz w:val="16"/>
          <w:lang w:val="es-CO"/>
        </w:rPr>
        <w:t>r</w:t>
      </w:r>
      <w:r>
        <w:rPr>
          <w:rFonts w:ascii="Arial" w:hAnsi="Arial" w:cs="Arial"/>
          <w:caps/>
          <w:spacing w:val="20"/>
          <w:w w:val="150"/>
          <w:sz w:val="16"/>
          <w:lang w:val="es-CO"/>
        </w:rPr>
        <w:t xml:space="preserve">CILA </w:t>
      </w:r>
      <w:r>
        <w:rPr>
          <w:rFonts w:ascii="Arial" w:hAnsi="Arial"/>
          <w:w w:val="150"/>
          <w:sz w:val="22"/>
          <w:szCs w:val="18"/>
          <w:lang w:val="es-CO"/>
        </w:rPr>
        <w:t>R</w:t>
      </w:r>
      <w:r w:rsidRPr="006A0477">
        <w:rPr>
          <w:rFonts w:ascii="Arial" w:hAnsi="Arial"/>
          <w:w w:val="150"/>
          <w:sz w:val="18"/>
          <w:szCs w:val="16"/>
          <w:lang w:val="es-CO"/>
        </w:rPr>
        <w:t>.</w:t>
      </w:r>
    </w:p>
    <w:p w:rsidR="00AC76CB" w:rsidRPr="00E6598C" w:rsidRDefault="009653A4" w:rsidP="006919A4">
      <w:pPr>
        <w:pStyle w:val="Textoindependiente"/>
        <w:spacing w:line="360" w:lineRule="auto"/>
        <w:rPr>
          <w:rFonts w:ascii="Arial" w:hAnsi="Arial" w:cs="Arial"/>
          <w:caps/>
          <w:spacing w:val="20"/>
          <w:w w:val="150"/>
          <w:sz w:val="16"/>
          <w:lang w:val="es-CO"/>
        </w:rPr>
      </w:pPr>
      <w:r>
        <w:rPr>
          <w:rFonts w:ascii="Arial" w:hAnsi="Arial" w:cs="Arial"/>
          <w:caps/>
          <w:spacing w:val="20"/>
          <w:w w:val="150"/>
          <w:lang w:val="es-CO"/>
        </w:rPr>
        <w:tab/>
      </w:r>
      <w:r w:rsidR="00E4735C" w:rsidRPr="00E6598C">
        <w:rPr>
          <w:rFonts w:ascii="Arial" w:hAnsi="Arial" w:cs="Arial"/>
          <w:caps/>
          <w:spacing w:val="20"/>
          <w:w w:val="150"/>
          <w:lang w:val="es-CO"/>
        </w:rPr>
        <w:t xml:space="preserve">M </w:t>
      </w:r>
      <w:r w:rsidR="00E4735C" w:rsidRPr="00E6598C">
        <w:rPr>
          <w:rFonts w:ascii="Arial" w:hAnsi="Arial" w:cs="Arial"/>
          <w:caps/>
          <w:spacing w:val="20"/>
          <w:w w:val="150"/>
          <w:sz w:val="16"/>
          <w:lang w:val="es-CO"/>
        </w:rPr>
        <w:t xml:space="preserve">A G I S T R A D </w:t>
      </w:r>
      <w:r w:rsidR="00CA2DCB" w:rsidRPr="00E6598C">
        <w:rPr>
          <w:rFonts w:ascii="Arial" w:hAnsi="Arial" w:cs="Arial"/>
          <w:caps/>
          <w:spacing w:val="20"/>
          <w:w w:val="150"/>
          <w:sz w:val="16"/>
          <w:lang w:val="es-CO"/>
        </w:rPr>
        <w:t>O</w:t>
      </w:r>
      <w:r w:rsidR="00B60310" w:rsidRPr="00E6598C">
        <w:rPr>
          <w:rFonts w:ascii="Arial" w:hAnsi="Arial" w:cs="Arial"/>
          <w:caps/>
          <w:spacing w:val="20"/>
          <w:w w:val="150"/>
          <w:sz w:val="16"/>
          <w:lang w:val="es-CO"/>
        </w:rPr>
        <w:tab/>
      </w:r>
      <w:r w:rsidR="00B60310" w:rsidRPr="00E6598C">
        <w:rPr>
          <w:rFonts w:ascii="Arial" w:hAnsi="Arial" w:cs="Arial"/>
          <w:caps/>
          <w:spacing w:val="20"/>
          <w:w w:val="150"/>
          <w:sz w:val="16"/>
          <w:lang w:val="es-CO"/>
        </w:rPr>
        <w:tab/>
      </w:r>
      <w:r w:rsidR="00B60310" w:rsidRPr="00E6598C">
        <w:rPr>
          <w:rFonts w:ascii="Arial" w:hAnsi="Arial" w:cs="Arial"/>
          <w:caps/>
          <w:spacing w:val="20"/>
          <w:w w:val="150"/>
          <w:sz w:val="16"/>
          <w:lang w:val="es-CO"/>
        </w:rPr>
        <w:tab/>
      </w:r>
      <w:r w:rsidR="00E80579">
        <w:rPr>
          <w:rFonts w:ascii="Arial" w:hAnsi="Arial" w:cs="Arial"/>
          <w:caps/>
          <w:spacing w:val="20"/>
          <w:w w:val="150"/>
          <w:sz w:val="16"/>
          <w:lang w:val="es-CO"/>
        </w:rPr>
        <w:tab/>
      </w:r>
      <w:r w:rsidR="00E4735C" w:rsidRPr="00E6598C">
        <w:rPr>
          <w:rFonts w:ascii="Arial" w:hAnsi="Arial" w:cs="Arial"/>
          <w:caps/>
          <w:spacing w:val="20"/>
          <w:w w:val="150"/>
          <w:lang w:val="es-CO"/>
        </w:rPr>
        <w:t xml:space="preserve">M </w:t>
      </w:r>
      <w:r w:rsidR="00CA2DCB" w:rsidRPr="00E6598C">
        <w:rPr>
          <w:rFonts w:ascii="Arial" w:hAnsi="Arial" w:cs="Arial"/>
          <w:caps/>
          <w:spacing w:val="20"/>
          <w:w w:val="150"/>
          <w:sz w:val="16"/>
          <w:lang w:val="es-CO"/>
        </w:rPr>
        <w:t xml:space="preserve">A G I S T R A D </w:t>
      </w:r>
      <w:r w:rsidR="00FF517D">
        <w:rPr>
          <w:rFonts w:ascii="Arial" w:hAnsi="Arial" w:cs="Arial"/>
          <w:caps/>
          <w:spacing w:val="20"/>
          <w:w w:val="150"/>
          <w:sz w:val="16"/>
          <w:lang w:val="es-CO"/>
        </w:rPr>
        <w:t>A</w:t>
      </w:r>
    </w:p>
    <w:p w:rsidR="00415D3B" w:rsidRDefault="00415D3B" w:rsidP="000D3939">
      <w:pPr>
        <w:pStyle w:val="Textoindependiente"/>
        <w:spacing w:line="360" w:lineRule="auto"/>
        <w:jc w:val="right"/>
        <w:rPr>
          <w:rFonts w:ascii="Arial" w:hAnsi="Arial" w:cs="Arial"/>
          <w:i/>
          <w:caps/>
          <w:spacing w:val="20"/>
          <w:w w:val="150"/>
          <w:sz w:val="8"/>
          <w:szCs w:val="12"/>
          <w:lang w:val="es-CO"/>
        </w:rPr>
      </w:pPr>
    </w:p>
    <w:p w:rsidR="00415D3B" w:rsidRDefault="00415D3B" w:rsidP="000D3939">
      <w:pPr>
        <w:pStyle w:val="Textoindependiente"/>
        <w:spacing w:line="360" w:lineRule="auto"/>
        <w:jc w:val="right"/>
        <w:rPr>
          <w:rFonts w:ascii="Arial" w:hAnsi="Arial" w:cs="Arial"/>
          <w:i/>
          <w:caps/>
          <w:spacing w:val="20"/>
          <w:w w:val="150"/>
          <w:sz w:val="8"/>
          <w:szCs w:val="12"/>
          <w:lang w:val="es-CO"/>
        </w:rPr>
      </w:pPr>
    </w:p>
    <w:p w:rsidR="00FD5DD9" w:rsidRDefault="00E35CEB" w:rsidP="003E5518">
      <w:pPr>
        <w:pStyle w:val="Textoindependiente"/>
        <w:spacing w:line="360" w:lineRule="auto"/>
        <w:jc w:val="right"/>
        <w:rPr>
          <w:rFonts w:ascii="Arial" w:hAnsi="Arial" w:cs="Arial"/>
          <w:i/>
          <w:caps/>
          <w:spacing w:val="20"/>
          <w:w w:val="150"/>
          <w:sz w:val="8"/>
          <w:szCs w:val="12"/>
          <w:lang w:val="es-CO"/>
        </w:rPr>
      </w:pPr>
      <w:r w:rsidRPr="00E6598C">
        <w:rPr>
          <w:rFonts w:ascii="Arial" w:hAnsi="Arial" w:cs="Arial"/>
          <w:i/>
          <w:caps/>
          <w:spacing w:val="20"/>
          <w:w w:val="150"/>
          <w:sz w:val="8"/>
          <w:szCs w:val="12"/>
          <w:lang w:val="es-CO"/>
        </w:rPr>
        <w:t xml:space="preserve">dgh / </w:t>
      </w:r>
      <w:r w:rsidR="00A85221" w:rsidRPr="00E6598C">
        <w:rPr>
          <w:rFonts w:ascii="Arial" w:hAnsi="Arial" w:cs="Arial"/>
          <w:i/>
          <w:caps/>
          <w:spacing w:val="20"/>
          <w:w w:val="150"/>
          <w:sz w:val="8"/>
          <w:szCs w:val="12"/>
          <w:lang w:val="es-CO"/>
        </w:rPr>
        <w:t>201</w:t>
      </w:r>
      <w:r w:rsidR="00237F55">
        <w:rPr>
          <w:rFonts w:ascii="Arial" w:hAnsi="Arial" w:cs="Arial"/>
          <w:i/>
          <w:caps/>
          <w:spacing w:val="20"/>
          <w:w w:val="150"/>
          <w:sz w:val="8"/>
          <w:szCs w:val="12"/>
          <w:lang w:val="es-CO"/>
        </w:rPr>
        <w:t>6</w:t>
      </w:r>
    </w:p>
    <w:sectPr w:rsidR="00FD5DD9" w:rsidSect="00D10D16">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09" w:rsidRDefault="00F85109" w:rsidP="00E4735C">
      <w:r>
        <w:separator/>
      </w:r>
    </w:p>
  </w:endnote>
  <w:endnote w:type="continuationSeparator" w:id="0">
    <w:p w:rsidR="00F85109" w:rsidRDefault="00F85109" w:rsidP="00E4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CF" w:rsidRDefault="00730DCF" w:rsidP="00E72519">
    <w:pPr>
      <w:pStyle w:val="Piedepgina"/>
      <w:pBdr>
        <w:bottom w:val="single" w:sz="12" w:space="1" w:color="auto"/>
      </w:pBdr>
      <w:spacing w:line="360" w:lineRule="auto"/>
      <w:jc w:val="right"/>
      <w:rPr>
        <w:rFonts w:ascii="Arial" w:hAnsi="Arial" w:cs="Arial"/>
        <w:spacing w:val="20"/>
        <w:w w:val="200"/>
        <w:sz w:val="14"/>
        <w:szCs w:val="10"/>
        <w:lang w:val="es-CO"/>
      </w:rPr>
    </w:pPr>
  </w:p>
  <w:p w:rsidR="00730DCF" w:rsidRDefault="00730DCF" w:rsidP="00E72519">
    <w:pPr>
      <w:pStyle w:val="Piedepgina"/>
      <w:spacing w:line="360" w:lineRule="auto"/>
      <w:jc w:val="right"/>
      <w:rPr>
        <w:rFonts w:ascii="Arial" w:hAnsi="Arial" w:cs="Arial"/>
        <w:spacing w:val="20"/>
        <w:w w:val="200"/>
        <w:sz w:val="14"/>
        <w:szCs w:val="10"/>
        <w:lang w:val="es-CO"/>
      </w:rPr>
    </w:pPr>
  </w:p>
  <w:p w:rsidR="00730DCF" w:rsidRPr="00E72519" w:rsidRDefault="00730DCF" w:rsidP="00E72519">
    <w:pPr>
      <w:pStyle w:val="Piedepgina"/>
      <w:spacing w:line="360" w:lineRule="auto"/>
      <w:jc w:val="right"/>
      <w:rPr>
        <w:rFonts w:ascii="Arial" w:hAnsi="Arial" w:cs="Arial"/>
        <w:spacing w:val="20"/>
        <w:w w:val="200"/>
        <w:sz w:val="10"/>
        <w:szCs w:val="10"/>
        <w:lang w:val="es-CO"/>
      </w:rPr>
    </w:pPr>
    <w:r w:rsidRPr="00E72519">
      <w:rPr>
        <w:rFonts w:ascii="Arial" w:hAnsi="Arial" w:cs="Arial"/>
        <w:spacing w:val="20"/>
        <w:w w:val="200"/>
        <w:sz w:val="14"/>
        <w:szCs w:val="10"/>
        <w:lang w:val="es-CO"/>
      </w:rPr>
      <w:t>T</w:t>
    </w:r>
    <w:r w:rsidRPr="00E72519">
      <w:rPr>
        <w:rFonts w:ascii="Arial" w:hAnsi="Arial" w:cs="Arial"/>
        <w:spacing w:val="20"/>
        <w:w w:val="200"/>
        <w:sz w:val="10"/>
        <w:szCs w:val="10"/>
        <w:lang w:val="es-CO"/>
      </w:rPr>
      <w:t xml:space="preserve">RIBUNAL </w:t>
    </w:r>
    <w:r w:rsidRPr="00E72519">
      <w:rPr>
        <w:rFonts w:ascii="Arial" w:hAnsi="Arial" w:cs="Arial"/>
        <w:spacing w:val="20"/>
        <w:w w:val="200"/>
        <w:sz w:val="14"/>
        <w:szCs w:val="10"/>
        <w:lang w:val="es-CO"/>
      </w:rPr>
      <w:t>S</w:t>
    </w:r>
    <w:r w:rsidRPr="00E72519">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EREIRA</w:t>
    </w:r>
  </w:p>
  <w:p w:rsidR="00730DCF" w:rsidRPr="00E72519" w:rsidRDefault="00730DCF" w:rsidP="00E72519">
    <w:pPr>
      <w:pStyle w:val="Piedepgina"/>
      <w:jc w:val="right"/>
    </w:pPr>
    <w:r>
      <w:rPr>
        <w:rFonts w:ascii="Arial" w:hAnsi="Arial" w:cs="Arial"/>
        <w:spacing w:val="20"/>
        <w:w w:val="200"/>
        <w:sz w:val="10"/>
        <w:szCs w:val="10"/>
      </w:rPr>
      <w:t xml:space="preserve">MP </w:t>
    </w:r>
    <w:r w:rsidRPr="00EA0D38">
      <w:rPr>
        <w:rFonts w:ascii="Arial" w:hAnsi="Arial" w:cs="Arial"/>
        <w:spacing w:val="20"/>
        <w:w w:val="200"/>
        <w:sz w:val="12"/>
        <w:szCs w:val="10"/>
      </w:rPr>
      <w:t>D</w:t>
    </w:r>
    <w:r w:rsidRPr="00EA0D38">
      <w:rPr>
        <w:rFonts w:ascii="Arial" w:hAnsi="Arial" w:cs="Arial"/>
        <w:spacing w:val="20"/>
        <w:w w:val="200"/>
        <w:sz w:val="8"/>
        <w:szCs w:val="10"/>
      </w:rPr>
      <w:t xml:space="preserve">UBERNEY </w:t>
    </w:r>
    <w:r w:rsidRPr="00EA0D38">
      <w:rPr>
        <w:rFonts w:ascii="Arial" w:hAnsi="Arial" w:cs="Arial"/>
        <w:spacing w:val="20"/>
        <w:w w:val="200"/>
        <w:sz w:val="12"/>
        <w:szCs w:val="10"/>
      </w:rPr>
      <w:t>G</w:t>
    </w:r>
    <w:r w:rsidRPr="00EA0D38">
      <w:rPr>
        <w:rFonts w:ascii="Arial" w:hAnsi="Arial" w:cs="Arial"/>
        <w:spacing w:val="20"/>
        <w:w w:val="200"/>
        <w:sz w:val="8"/>
        <w:szCs w:val="10"/>
      </w:rPr>
      <w:t xml:space="preserve">RISALES </w:t>
    </w:r>
    <w:r w:rsidRPr="00EA0D38">
      <w:rPr>
        <w:rFonts w:ascii="Arial" w:hAnsi="Arial" w:cs="Arial"/>
        <w:spacing w:val="20"/>
        <w:w w:val="200"/>
        <w:sz w:val="12"/>
        <w:szCs w:val="10"/>
      </w:rPr>
      <w:t>H</w:t>
    </w:r>
    <w:r w:rsidRPr="00EA0D3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09" w:rsidRDefault="00F85109" w:rsidP="00E4735C">
      <w:r>
        <w:separator/>
      </w:r>
    </w:p>
  </w:footnote>
  <w:footnote w:type="continuationSeparator" w:id="0">
    <w:p w:rsidR="00F85109" w:rsidRDefault="00F85109" w:rsidP="00E4735C">
      <w:r>
        <w:continuationSeparator/>
      </w:r>
    </w:p>
  </w:footnote>
  <w:footnote w:id="1">
    <w:p w:rsidR="00AC35BF" w:rsidRDefault="00AC35BF" w:rsidP="00AC35BF">
      <w:pPr>
        <w:pStyle w:val="Textonotapie"/>
        <w:jc w:val="both"/>
      </w:pPr>
      <w:r w:rsidRPr="00A4533D">
        <w:rPr>
          <w:rStyle w:val="Refdenotaalpie"/>
          <w:rFonts w:asciiTheme="minorHAnsi" w:hAnsiTheme="minorHAnsi"/>
          <w:lang w:val="es-CO"/>
        </w:rPr>
        <w:footnoteRef/>
      </w:r>
      <w:r w:rsidRPr="00A4533D">
        <w:rPr>
          <w:rFonts w:asciiTheme="minorHAnsi" w:hAnsiTheme="minorHAnsi"/>
          <w:lang w:val="es-CO"/>
        </w:rPr>
        <w:t xml:space="preserve"> </w:t>
      </w:r>
      <w:r w:rsidRPr="00A4533D">
        <w:rPr>
          <w:rFonts w:asciiTheme="minorHAnsi" w:hAnsiTheme="minorHAnsi"/>
          <w:sz w:val="18"/>
          <w:szCs w:val="18"/>
          <w:lang w:val="es-CO"/>
        </w:rPr>
        <w:t xml:space="preserve">Como esta decisión eventualmente puede ser publicada, se omite mencionar el nombre del adolescente acusado. Lo anterior, en cumplimiento de lo dispuesto en el numeral 8º del artículo 47 del Código de </w:t>
      </w:r>
      <w:smartTag w:uri="urn:schemas-microsoft-com:office:smarttags" w:element="PersonName">
        <w:smartTagPr>
          <w:attr w:name="ProductID" w:val="la Infancia"/>
        </w:smartTagPr>
        <w:r w:rsidRPr="00A4533D">
          <w:rPr>
            <w:rFonts w:asciiTheme="minorHAnsi" w:hAnsiTheme="minorHAnsi"/>
            <w:sz w:val="18"/>
            <w:szCs w:val="18"/>
            <w:lang w:val="es-CO"/>
          </w:rPr>
          <w:t>la Infancia</w:t>
        </w:r>
      </w:smartTag>
      <w:r w:rsidRPr="00A4533D">
        <w:rPr>
          <w:rFonts w:asciiTheme="minorHAnsi" w:hAnsiTheme="minorHAnsi"/>
          <w:sz w:val="18"/>
          <w:szCs w:val="18"/>
          <w:lang w:val="es-CO"/>
        </w:rPr>
        <w:t xml:space="preserve"> y </w:t>
      </w:r>
      <w:smartTag w:uri="urn:schemas-microsoft-com:office:smarttags" w:element="PersonName">
        <w:smartTagPr>
          <w:attr w:name="ProductID" w:val="la Adolescencia"/>
        </w:smartTagPr>
        <w:r w:rsidRPr="00A4533D">
          <w:rPr>
            <w:rFonts w:asciiTheme="minorHAnsi" w:hAnsiTheme="minorHAnsi"/>
            <w:sz w:val="18"/>
            <w:szCs w:val="18"/>
            <w:lang w:val="es-CO"/>
          </w:rPr>
          <w:t>la Adolescencia</w:t>
        </w:r>
      </w:smartTag>
      <w:r w:rsidRPr="00A4533D">
        <w:rPr>
          <w:rFonts w:asciiTheme="minorHAnsi" w:hAnsiTheme="minorHAnsi"/>
          <w:sz w:val="18"/>
          <w:szCs w:val="18"/>
          <w:lang w:val="es-CO"/>
        </w:rPr>
        <w:t xml:space="preserve"> (Ley 1098 de 2006), según el cual los medios de comunicación no deben “</w:t>
      </w:r>
      <w:r w:rsidRPr="00A4533D">
        <w:rPr>
          <w:rFonts w:asciiTheme="minorHAnsi" w:hAnsiTheme="minorHAnsi"/>
          <w:i/>
          <w:color w:val="000000"/>
          <w:sz w:val="18"/>
          <w:szCs w:val="18"/>
          <w:lang w:val="es-CO"/>
        </w:rPr>
        <w:t>dar el nombre, divulgar datos que identifiquen o que puedan conducir a la identificación de niños, niñas y adolescentes que hayan sido víctimas, autores o testigos de hechos delictivos</w:t>
      </w:r>
      <w:r w:rsidRPr="00A4533D">
        <w:rPr>
          <w:rFonts w:asciiTheme="minorHAnsi" w:hAnsiTheme="minorHAnsi"/>
          <w:color w:val="000000"/>
          <w:sz w:val="18"/>
          <w:szCs w:val="18"/>
          <w:lang w:val="es-CO"/>
        </w:rPr>
        <w:t>”.</w:t>
      </w:r>
    </w:p>
  </w:footnote>
  <w:footnote w:id="2">
    <w:p w:rsidR="00AC35BF" w:rsidRDefault="00AC35BF" w:rsidP="00AC35BF">
      <w:pPr>
        <w:pStyle w:val="Textonotapie"/>
        <w:jc w:val="both"/>
      </w:pPr>
      <w:r w:rsidRPr="00A4533D">
        <w:rPr>
          <w:rStyle w:val="Refdenotaalpie"/>
          <w:rFonts w:asciiTheme="minorHAnsi" w:hAnsiTheme="minorHAnsi" w:cs="Arial"/>
          <w:lang w:val="es-CO"/>
        </w:rPr>
        <w:footnoteRef/>
      </w:r>
      <w:r w:rsidRPr="00A4533D">
        <w:rPr>
          <w:rFonts w:asciiTheme="minorHAnsi" w:hAnsiTheme="minorHAnsi" w:cs="Arial"/>
          <w:lang w:val="es-CO"/>
        </w:rPr>
        <w:t xml:space="preserve"> CSJ, Penal.  (i) Sentencia del 11-04-2007, MP: Jorge Luis Quintero Milanés, expediente No.</w:t>
      </w:r>
      <w:r w:rsidRPr="00A4533D">
        <w:rPr>
          <w:rFonts w:asciiTheme="minorHAnsi" w:hAnsiTheme="minorHAnsi" w:cs="Arial"/>
          <w:w w:val="110"/>
          <w:lang w:val="es-CO"/>
        </w:rPr>
        <w:t>26.128.  (ii)</w:t>
      </w:r>
      <w:r w:rsidRPr="00A4533D">
        <w:rPr>
          <w:rFonts w:asciiTheme="minorHAnsi" w:hAnsiTheme="minorHAnsi" w:cs="Arial"/>
          <w:lang w:val="es-CO"/>
        </w:rPr>
        <w:t xml:space="preserve"> Sentencia del 26-11-2007; MP: Yesid Ramírez Bastidas, radicado 23.068.</w:t>
      </w:r>
    </w:p>
  </w:footnote>
  <w:footnote w:id="3">
    <w:p w:rsidR="00AC35BF" w:rsidRDefault="00AC35BF" w:rsidP="00AC35BF">
      <w:pPr>
        <w:pStyle w:val="Textonotapie"/>
        <w:jc w:val="both"/>
      </w:pPr>
      <w:r w:rsidRPr="00A4533D">
        <w:rPr>
          <w:rStyle w:val="Refdenotaalpie"/>
          <w:rFonts w:asciiTheme="minorHAnsi" w:hAnsiTheme="minorHAnsi" w:cs="Arial"/>
          <w:lang w:val="es-CO"/>
        </w:rPr>
        <w:footnoteRef/>
      </w:r>
      <w:r w:rsidRPr="00A4533D">
        <w:rPr>
          <w:rFonts w:asciiTheme="minorHAnsi" w:hAnsiTheme="minorHAnsi" w:cs="Arial"/>
          <w:lang w:val="es-CO"/>
        </w:rPr>
        <w:t xml:space="preserve"> ESPITIA GARZÓN, Fabio. Instituciones de derecho procesal penal, 8ª edición, editorial </w:t>
      </w:r>
      <w:proofErr w:type="spellStart"/>
      <w:r w:rsidRPr="00A4533D">
        <w:rPr>
          <w:rFonts w:asciiTheme="minorHAnsi" w:hAnsiTheme="minorHAnsi" w:cs="Arial"/>
          <w:lang w:val="es-CO"/>
        </w:rPr>
        <w:t>Legis</w:t>
      </w:r>
      <w:proofErr w:type="spellEnd"/>
      <w:r w:rsidRPr="00A4533D">
        <w:rPr>
          <w:rFonts w:asciiTheme="minorHAnsi" w:hAnsiTheme="minorHAnsi" w:cs="Arial"/>
          <w:lang w:val="es-CO"/>
        </w:rPr>
        <w:t>, Bogotá DC, 2011, p.250.</w:t>
      </w:r>
    </w:p>
  </w:footnote>
  <w:footnote w:id="4">
    <w:p w:rsidR="00AC35BF" w:rsidRDefault="00AC35BF" w:rsidP="00AC35BF">
      <w:pPr>
        <w:pStyle w:val="Textonotapie"/>
        <w:jc w:val="both"/>
      </w:pPr>
      <w:r w:rsidRPr="00A4533D">
        <w:rPr>
          <w:rStyle w:val="Refdenotaalpie"/>
          <w:rFonts w:asciiTheme="minorHAnsi" w:hAnsiTheme="minorHAnsi" w:cs="Arial"/>
          <w:lang w:val="es-CO"/>
        </w:rPr>
        <w:footnoteRef/>
      </w:r>
      <w:r w:rsidRPr="00A4533D">
        <w:rPr>
          <w:rFonts w:asciiTheme="minorHAnsi" w:hAnsiTheme="minorHAnsi" w:cs="Arial"/>
          <w:lang w:val="es-CO"/>
        </w:rPr>
        <w:t xml:space="preserve"> CSJ, Penal.  Sentencia del 11-04-2007, ob. cit.</w:t>
      </w:r>
    </w:p>
  </w:footnote>
  <w:footnote w:id="5">
    <w:p w:rsidR="00AC35BF" w:rsidRDefault="00AC35BF" w:rsidP="00AC35BF">
      <w:pPr>
        <w:pStyle w:val="Textonotapie"/>
        <w:jc w:val="both"/>
      </w:pPr>
      <w:r w:rsidRPr="00A4533D">
        <w:rPr>
          <w:rStyle w:val="Refdenotaalpie"/>
          <w:rFonts w:asciiTheme="minorHAnsi" w:hAnsiTheme="minorHAnsi" w:cs="Arial"/>
          <w:lang w:val="es-CO"/>
        </w:rPr>
        <w:footnoteRef/>
      </w:r>
      <w:r w:rsidRPr="007B3EC0">
        <w:rPr>
          <w:rFonts w:asciiTheme="minorHAnsi" w:hAnsiTheme="minorHAnsi" w:cs="Arial"/>
          <w:lang w:val="es-CO"/>
        </w:rPr>
        <w:t xml:space="preserve"> Cfr. Sentencia C-740 del 23 de julio de 2008.</w:t>
      </w:r>
    </w:p>
  </w:footnote>
  <w:footnote w:id="6">
    <w:p w:rsidR="00AC35BF" w:rsidRDefault="00AC35BF" w:rsidP="00AC35BF">
      <w:pPr>
        <w:pStyle w:val="Textonotapie"/>
        <w:jc w:val="both"/>
      </w:pPr>
      <w:r w:rsidRPr="00A4533D">
        <w:rPr>
          <w:rStyle w:val="Refdenotaalpie"/>
          <w:rFonts w:asciiTheme="minorHAnsi" w:hAnsiTheme="minorHAnsi" w:cs="Arial"/>
          <w:lang w:val="es-CO"/>
        </w:rPr>
        <w:footnoteRef/>
      </w:r>
      <w:r w:rsidRPr="007B3EC0">
        <w:rPr>
          <w:rFonts w:asciiTheme="minorHAnsi" w:hAnsiTheme="minorHAnsi" w:cs="Arial"/>
          <w:lang w:val="es-CO"/>
        </w:rPr>
        <w:t xml:space="preserve"> CSJ, Penal.  Sentencia del </w:t>
      </w:r>
      <w:r w:rsidRPr="00A4533D">
        <w:rPr>
          <w:rFonts w:asciiTheme="minorHAnsi" w:hAnsiTheme="minorHAnsi" w:cs="Arial"/>
          <w:lang w:val="es-CO"/>
        </w:rPr>
        <w:t>04-03-2009; MP: María del Rosario González Muñoz, radicado No.30.645.</w:t>
      </w:r>
    </w:p>
  </w:footnote>
  <w:footnote w:id="7">
    <w:p w:rsidR="00AC35BF" w:rsidRDefault="00AC35BF" w:rsidP="00AC35BF">
      <w:pPr>
        <w:pStyle w:val="Textonotapie"/>
        <w:jc w:val="both"/>
      </w:pPr>
      <w:r w:rsidRPr="00A4533D">
        <w:rPr>
          <w:rStyle w:val="Refdenotaalpie"/>
          <w:rFonts w:asciiTheme="minorHAnsi" w:hAnsiTheme="minorHAnsi" w:cs="Arial"/>
          <w:lang w:val="es-CO"/>
        </w:rPr>
        <w:footnoteRef/>
      </w:r>
      <w:r w:rsidRPr="007B3EC0">
        <w:rPr>
          <w:rFonts w:asciiTheme="minorHAnsi" w:hAnsiTheme="minorHAnsi" w:cs="Arial"/>
          <w:lang w:val="es-CO"/>
        </w:rPr>
        <w:t xml:space="preserve"> Reglas Mínimas de las Naciones Unidas para </w:t>
      </w:r>
      <w:smartTag w:uri="urn:schemas-microsoft-com:office:smarttags" w:element="PersonName">
        <w:smartTagPr>
          <w:attr w:name="ProductID" w:val="la Administraci￳n"/>
        </w:smartTagPr>
        <w:r w:rsidRPr="007B3EC0">
          <w:rPr>
            <w:rFonts w:asciiTheme="minorHAnsi" w:hAnsiTheme="minorHAnsi" w:cs="Arial"/>
            <w:lang w:val="es-CO"/>
          </w:rPr>
          <w:t>la Administración</w:t>
        </w:r>
      </w:smartTag>
      <w:r w:rsidRPr="007B3EC0">
        <w:rPr>
          <w:rFonts w:asciiTheme="minorHAnsi" w:hAnsiTheme="minorHAnsi" w:cs="Arial"/>
          <w:lang w:val="es-CO"/>
        </w:rPr>
        <w:t xml:space="preserve"> de </w:t>
      </w:r>
      <w:smartTag w:uri="urn:schemas-microsoft-com:office:smarttags" w:element="PersonName">
        <w:smartTagPr>
          <w:attr w:name="ProductID" w:val="la Justicia"/>
        </w:smartTagPr>
        <w:r w:rsidRPr="007B3EC0">
          <w:rPr>
            <w:rFonts w:asciiTheme="minorHAnsi" w:hAnsiTheme="minorHAnsi" w:cs="Arial"/>
            <w:lang w:val="es-CO"/>
          </w:rPr>
          <w:t>la Justicia</w:t>
        </w:r>
      </w:smartTag>
      <w:r w:rsidRPr="007B3EC0">
        <w:rPr>
          <w:rFonts w:asciiTheme="minorHAnsi" w:hAnsiTheme="minorHAnsi" w:cs="Arial"/>
          <w:lang w:val="es-CO"/>
        </w:rPr>
        <w:t xml:space="preserve"> de Menores (Reglas de Beijing), las Directrices de las Naciones Unidas para </w:t>
      </w:r>
      <w:smartTag w:uri="urn:schemas-microsoft-com:office:smarttags" w:element="PersonName">
        <w:smartTagPr>
          <w:attr w:name="ProductID" w:val="la Convenci￳n"/>
        </w:smartTagPr>
        <w:r w:rsidRPr="007B3EC0">
          <w:rPr>
            <w:rFonts w:asciiTheme="minorHAnsi" w:hAnsiTheme="minorHAnsi" w:cs="Arial"/>
            <w:lang w:val="es-CO"/>
          </w:rPr>
          <w:t>la Prevención</w:t>
        </w:r>
      </w:smartTag>
      <w:r w:rsidRPr="007B3EC0">
        <w:rPr>
          <w:rFonts w:asciiTheme="minorHAnsi" w:hAnsiTheme="minorHAnsi" w:cs="Arial"/>
          <w:lang w:val="es-CO"/>
        </w:rPr>
        <w:t xml:space="preserve"> de </w:t>
      </w:r>
      <w:smartTag w:uri="urn:schemas-microsoft-com:office:smarttags" w:element="PersonName">
        <w:smartTagPr>
          <w:attr w:name="ProductID" w:val="la Delincuencia Juvenil"/>
        </w:smartTagPr>
        <w:smartTag w:uri="urn:schemas-microsoft-com:office:smarttags" w:element="PersonName">
          <w:smartTagPr>
            <w:attr w:name="ProductID" w:val="la Delincuencia"/>
          </w:smartTagPr>
          <w:r w:rsidRPr="007B3EC0">
            <w:rPr>
              <w:rFonts w:asciiTheme="minorHAnsi" w:hAnsiTheme="minorHAnsi" w:cs="Arial"/>
              <w:lang w:val="es-CO"/>
            </w:rPr>
            <w:t>la Delincuencia</w:t>
          </w:r>
        </w:smartTag>
        <w:r w:rsidRPr="007B3EC0">
          <w:rPr>
            <w:rFonts w:asciiTheme="minorHAnsi" w:hAnsiTheme="minorHAnsi" w:cs="Arial"/>
            <w:lang w:val="es-CO"/>
          </w:rPr>
          <w:t xml:space="preserve"> Juvenil</w:t>
        </w:r>
      </w:smartTag>
      <w:r w:rsidRPr="007B3EC0">
        <w:rPr>
          <w:rFonts w:asciiTheme="minorHAnsi" w:hAnsiTheme="minorHAnsi" w:cs="Arial"/>
          <w:lang w:val="es-CO"/>
        </w:rPr>
        <w:t xml:space="preserve"> (Directrices de Riad), adoptadas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B3EC0">
            <w:rPr>
              <w:rFonts w:asciiTheme="minorHAnsi" w:hAnsiTheme="minorHAnsi" w:cs="Arial"/>
              <w:lang w:val="es-CO"/>
            </w:rPr>
            <w:t>la Asamblea</w:t>
          </w:r>
        </w:smartTag>
        <w:r w:rsidRPr="007B3EC0">
          <w:rPr>
            <w:rFonts w:asciiTheme="minorHAnsi" w:hAnsiTheme="minorHAnsi" w:cs="Arial"/>
            <w:lang w:val="es-CO"/>
          </w:rPr>
          <w:t xml:space="preserve"> General</w:t>
        </w:r>
      </w:smartTag>
      <w:r w:rsidRPr="007B3EC0">
        <w:rPr>
          <w:rFonts w:asciiTheme="minorHAnsi" w:hAnsiTheme="minorHAnsi" w:cs="Arial"/>
          <w:lang w:val="es-CO"/>
        </w:rPr>
        <w:t xml:space="preserve"> en Resolución 45/112 del 14 de diciembre de 1990 y las Reglas de las Naciones Unidas para </w:t>
      </w:r>
      <w:smartTag w:uri="urn:schemas-microsoft-com:office:smarttags" w:element="PersonName">
        <w:smartTagPr>
          <w:attr w:name="ProductID" w:val="la Protecci￳n"/>
        </w:smartTagPr>
        <w:r w:rsidRPr="007B3EC0">
          <w:rPr>
            <w:rFonts w:asciiTheme="minorHAnsi" w:hAnsiTheme="minorHAnsi" w:cs="Arial"/>
            <w:lang w:val="es-CO"/>
          </w:rPr>
          <w:t>la Protección</w:t>
        </w:r>
      </w:smartTag>
      <w:r w:rsidRPr="007B3EC0">
        <w:rPr>
          <w:rFonts w:asciiTheme="minorHAnsi" w:hAnsiTheme="minorHAnsi" w:cs="Arial"/>
          <w:lang w:val="es-CO"/>
        </w:rPr>
        <w:t xml:space="preserve"> de los Menores Privados de </w:t>
      </w:r>
      <w:smartTag w:uri="urn:schemas-microsoft-com:office:smarttags" w:element="PersonName">
        <w:smartTagPr>
          <w:attr w:name="ProductID" w:val="la Libertad"/>
        </w:smartTagPr>
        <w:r w:rsidRPr="007B3EC0">
          <w:rPr>
            <w:rFonts w:asciiTheme="minorHAnsi" w:hAnsiTheme="minorHAnsi" w:cs="Arial"/>
            <w:lang w:val="es-CO"/>
          </w:rPr>
          <w:t>la Libertad</w:t>
        </w:r>
      </w:smartTag>
      <w:r w:rsidRPr="007B3EC0">
        <w:rPr>
          <w:rFonts w:asciiTheme="minorHAnsi" w:hAnsiTheme="minorHAnsi" w:cs="Arial"/>
          <w:lang w:val="es-CO"/>
        </w:rPr>
        <w:t xml:space="preserve">, adoptadas por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B3EC0">
            <w:rPr>
              <w:rFonts w:asciiTheme="minorHAnsi" w:hAnsiTheme="minorHAnsi" w:cs="Arial"/>
              <w:lang w:val="es-CO"/>
            </w:rPr>
            <w:t>la Asamblea</w:t>
          </w:r>
        </w:smartTag>
        <w:r w:rsidRPr="007B3EC0">
          <w:rPr>
            <w:rFonts w:asciiTheme="minorHAnsi" w:hAnsiTheme="minorHAnsi" w:cs="Arial"/>
            <w:lang w:val="es-CO"/>
          </w:rPr>
          <w:t xml:space="preserve"> General</w:t>
        </w:r>
      </w:smartTag>
      <w:r w:rsidRPr="007B3EC0">
        <w:rPr>
          <w:rFonts w:asciiTheme="minorHAnsi" w:hAnsiTheme="minorHAnsi" w:cs="Arial"/>
          <w:lang w:val="es-CO"/>
        </w:rPr>
        <w:t xml:space="preserve"> en Resolución 45/113, también el 14 de diciembre de 1990.</w:t>
      </w:r>
    </w:p>
  </w:footnote>
  <w:footnote w:id="8">
    <w:p w:rsidR="00AC35BF" w:rsidRDefault="00AC35BF" w:rsidP="00AC35BF">
      <w:pPr>
        <w:pStyle w:val="Textonotapie"/>
        <w:jc w:val="both"/>
      </w:pPr>
      <w:r w:rsidRPr="00A4533D">
        <w:rPr>
          <w:rStyle w:val="Refdenotaalpie"/>
          <w:rFonts w:asciiTheme="minorHAnsi" w:hAnsiTheme="minorHAnsi" w:cs="Arial"/>
          <w:lang w:val="es-CO"/>
        </w:rPr>
        <w:footnoteRef/>
      </w:r>
      <w:r w:rsidRPr="007B3EC0">
        <w:rPr>
          <w:rFonts w:asciiTheme="minorHAnsi" w:hAnsiTheme="minorHAnsi" w:cs="Arial"/>
          <w:lang w:val="es-CO"/>
        </w:rPr>
        <w:t xml:space="preserve"> Declaración Americana de los Derechos y Deberes del Hombre, artículo XXVI; Declaración Universal de los Derechos Humanos, artículo 11; Convención Americana de Derechos Humanos, artículo 8-2; Pacto Internacional de Derechos Civiles y Políticos, artículo 14-1; Convenio Europeo de Derechos Humanos, artículo 6-2; Reglas Mínimas para el Proceso Penal -“Reglas de Mallorca”-, 32ª y 33ª; y Carta Africana de los Derechos Humanos y de los Pueblos -“Carta de Banjul”-, artículo 7-1.b.</w:t>
      </w:r>
    </w:p>
  </w:footnote>
  <w:footnote w:id="9">
    <w:p w:rsidR="00AC35BF" w:rsidRDefault="00AC35BF" w:rsidP="00AC35BF">
      <w:pPr>
        <w:pStyle w:val="Textonotapie"/>
        <w:jc w:val="both"/>
      </w:pPr>
      <w:r w:rsidRPr="00A4533D">
        <w:rPr>
          <w:rStyle w:val="Refdenotaalpie"/>
          <w:rFonts w:asciiTheme="minorHAnsi" w:hAnsiTheme="minorHAnsi" w:cs="Arial"/>
          <w:lang w:val="es-CO"/>
        </w:rPr>
        <w:footnoteRef/>
      </w:r>
      <w:r w:rsidRPr="00A4533D">
        <w:rPr>
          <w:rFonts w:asciiTheme="minorHAnsi" w:hAnsiTheme="minorHAnsi" w:cs="Arial"/>
          <w:lang w:val="es-CO"/>
        </w:rPr>
        <w:t xml:space="preserve"> CANO JARAMILLO, Carlos Arturo. Procedimiento penal acusatorio, oralidad, debate y argumentación, editorial Ediciones Jurídicas Andrés Morales, Bogotá DC, 2013, p.346.</w:t>
      </w:r>
    </w:p>
  </w:footnote>
  <w:footnote w:id="10">
    <w:p w:rsidR="00AC35BF" w:rsidRDefault="00AC35BF" w:rsidP="00AC35BF">
      <w:pPr>
        <w:pStyle w:val="Textonotapie"/>
        <w:jc w:val="both"/>
      </w:pPr>
      <w:r w:rsidRPr="00A4533D">
        <w:rPr>
          <w:rStyle w:val="Refdenotaalpie"/>
          <w:rFonts w:asciiTheme="minorHAnsi" w:hAnsiTheme="minorHAnsi" w:cs="Arial"/>
          <w:lang w:val="es-CO"/>
        </w:rPr>
        <w:footnoteRef/>
      </w:r>
      <w:r w:rsidRPr="00A4533D">
        <w:rPr>
          <w:rFonts w:asciiTheme="minorHAnsi" w:hAnsiTheme="minorHAnsi" w:cs="Arial"/>
          <w:lang w:val="es-CO"/>
        </w:rPr>
        <w:t xml:space="preserve"> CC. Sentencia C-774 del 25-07-2001.</w:t>
      </w:r>
    </w:p>
  </w:footnote>
  <w:footnote w:id="11">
    <w:p w:rsidR="00AC35BF" w:rsidRDefault="00AC35BF" w:rsidP="00AC35BF">
      <w:pPr>
        <w:pStyle w:val="Textonotapie"/>
        <w:jc w:val="both"/>
      </w:pPr>
      <w:r w:rsidRPr="00A4533D">
        <w:rPr>
          <w:rStyle w:val="Refdenotaalpie"/>
          <w:rFonts w:asciiTheme="minorHAnsi" w:hAnsiTheme="minorHAnsi" w:cs="Arial"/>
          <w:lang w:val="es-CO"/>
        </w:rPr>
        <w:footnoteRef/>
      </w:r>
      <w:r w:rsidRPr="00A4533D">
        <w:rPr>
          <w:rFonts w:asciiTheme="minorHAnsi" w:hAnsiTheme="minorHAnsi" w:cs="Arial"/>
          <w:lang w:val="es-CO"/>
        </w:rPr>
        <w:t xml:space="preserve"> CC. Sentencia C-258 del 04-04-2011, MP: Gabriel Eduardo Mendoza Martelo.</w:t>
      </w:r>
    </w:p>
  </w:footnote>
  <w:footnote w:id="12">
    <w:p w:rsidR="00AC35BF" w:rsidRDefault="00AC35BF" w:rsidP="00AC35BF">
      <w:pPr>
        <w:pStyle w:val="Textonotapie"/>
        <w:jc w:val="both"/>
      </w:pPr>
      <w:r w:rsidRPr="00A4533D">
        <w:rPr>
          <w:rFonts w:asciiTheme="minorHAnsi" w:hAnsiTheme="minorHAnsi" w:cs="Arial"/>
          <w:vertAlign w:val="superscript"/>
          <w:lang w:val="es-CO"/>
        </w:rPr>
        <w:footnoteRef/>
      </w:r>
      <w:r w:rsidRPr="00A4533D">
        <w:rPr>
          <w:rFonts w:asciiTheme="minorHAnsi" w:hAnsiTheme="minorHAnsi" w:cs="Arial"/>
          <w:lang w:val="es-CO"/>
        </w:rPr>
        <w:t xml:space="preserve"> </w:t>
      </w:r>
      <w:r w:rsidRPr="006B6208">
        <w:rPr>
          <w:rFonts w:asciiTheme="minorHAnsi" w:hAnsiTheme="minorHAnsi" w:cstheme="minorHAnsi"/>
          <w:lang w:val="es-CO"/>
        </w:rPr>
        <w:t>CSJ, Penal.</w:t>
      </w:r>
      <w:r w:rsidRPr="00A4533D">
        <w:rPr>
          <w:rFonts w:asciiTheme="minorHAnsi" w:hAnsiTheme="minorHAnsi" w:cs="Arial"/>
          <w:lang w:val="es-CO"/>
        </w:rPr>
        <w:t xml:space="preserve">  Sentencia del 11-12-2011; MP: María del Rosario González Muñoz, radicado No.37.044.</w:t>
      </w:r>
    </w:p>
  </w:footnote>
  <w:footnote w:id="13">
    <w:p w:rsidR="00730DCF" w:rsidRPr="006B6208" w:rsidRDefault="00730DCF" w:rsidP="00BB41BC">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Sentencia del 27-02-2013; MP: María del Rosario González Muñoz, radicado No.38.773.</w:t>
      </w:r>
    </w:p>
  </w:footnote>
  <w:footnote w:id="14">
    <w:p w:rsidR="00730DCF" w:rsidRPr="006B6208" w:rsidRDefault="00730DCF" w:rsidP="00BB41BC">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Sentencia del 06-03-2008; MP: Augusto J. Ibáñez Guzmán, radicado No.24.477.</w:t>
      </w:r>
    </w:p>
  </w:footnote>
  <w:footnote w:id="15">
    <w:p w:rsidR="00730DCF" w:rsidRPr="00E11DFF" w:rsidRDefault="00730DCF">
      <w:pPr>
        <w:pStyle w:val="Textonotapie"/>
        <w:rPr>
          <w:lang w:val="es-CO"/>
        </w:rPr>
      </w:pPr>
      <w:r>
        <w:rPr>
          <w:rStyle w:val="Refdenotaalpie"/>
        </w:rPr>
        <w:footnoteRef/>
      </w:r>
      <w:r>
        <w:t xml:space="preserve"> </w:t>
      </w:r>
      <w:r w:rsidRPr="006B6208">
        <w:rPr>
          <w:rFonts w:asciiTheme="minorHAnsi" w:hAnsiTheme="minorHAnsi" w:cstheme="minorHAnsi"/>
          <w:lang w:val="es-CO"/>
        </w:rPr>
        <w:t xml:space="preserve">CSJ, Penal. Sentencia </w:t>
      </w:r>
      <w:r>
        <w:rPr>
          <w:rFonts w:asciiTheme="minorHAnsi" w:hAnsiTheme="minorHAnsi" w:cstheme="minorHAnsi"/>
          <w:lang w:val="es-CO"/>
        </w:rPr>
        <w:t>SP14844-2015</w:t>
      </w:r>
      <w:r w:rsidRPr="006B6208">
        <w:rPr>
          <w:rFonts w:asciiTheme="minorHAnsi" w:hAnsiTheme="minorHAnsi" w:cstheme="minorHAnsi"/>
          <w:lang w:val="es-CO"/>
        </w:rPr>
        <w:t xml:space="preserve">; MP: </w:t>
      </w:r>
      <w:r>
        <w:rPr>
          <w:rFonts w:asciiTheme="minorHAnsi" w:hAnsiTheme="minorHAnsi" w:cstheme="minorHAnsi"/>
          <w:lang w:val="es-CO"/>
        </w:rPr>
        <w:t>Patricia Salazar Cuéllar</w:t>
      </w:r>
      <w:r w:rsidRPr="006B6208">
        <w:rPr>
          <w:rFonts w:asciiTheme="minorHAnsi" w:hAnsiTheme="minorHAnsi" w:cstheme="minorHAnsi"/>
          <w:lang w:val="es-CO"/>
        </w:rPr>
        <w:t>, radicado No.</w:t>
      </w:r>
      <w:r>
        <w:rPr>
          <w:rFonts w:asciiTheme="minorHAnsi" w:hAnsiTheme="minorHAnsi" w:cstheme="minorHAnsi"/>
          <w:lang w:val="es-CO"/>
        </w:rPr>
        <w:t>44.056</w:t>
      </w:r>
      <w:r w:rsidRPr="006B6208">
        <w:rPr>
          <w:rFonts w:asciiTheme="minorHAnsi" w:hAnsiTheme="minorHAnsi" w:cstheme="minorHAnsi"/>
          <w:lang w:val="es-CO"/>
        </w:rPr>
        <w:t>.</w:t>
      </w:r>
    </w:p>
  </w:footnote>
  <w:footnote w:id="16">
    <w:p w:rsidR="00730DCF" w:rsidRPr="00136A3E" w:rsidRDefault="00730DCF">
      <w:pPr>
        <w:pStyle w:val="Textonotapie"/>
        <w:rPr>
          <w:lang w:val="es-CO"/>
        </w:rPr>
      </w:pPr>
      <w:r>
        <w:rPr>
          <w:rStyle w:val="Refdenotaalpie"/>
        </w:rPr>
        <w:footnoteRef/>
      </w:r>
      <w:r>
        <w:t xml:space="preserve"> </w:t>
      </w:r>
      <w:r w:rsidRPr="006B6208">
        <w:rPr>
          <w:rFonts w:asciiTheme="minorHAnsi" w:hAnsiTheme="minorHAnsi" w:cstheme="minorHAnsi"/>
          <w:lang w:val="es-CO"/>
        </w:rPr>
        <w:t>CSJ, Penal. Sentencia</w:t>
      </w:r>
      <w:r>
        <w:rPr>
          <w:rFonts w:asciiTheme="minorHAnsi" w:hAnsiTheme="minorHAnsi" w:cstheme="minorHAnsi"/>
          <w:lang w:val="es-CO"/>
        </w:rPr>
        <w:t xml:space="preserve"> del 06-03-2008; MP: </w:t>
      </w:r>
      <w:r w:rsidRPr="00136A3E">
        <w:rPr>
          <w:rFonts w:asciiTheme="minorHAnsi" w:hAnsiTheme="minorHAnsi" w:cstheme="minorHAnsi"/>
          <w:lang w:val="es-CO"/>
        </w:rPr>
        <w:t>Augusto J. Ibáñez G</w:t>
      </w:r>
      <w:r>
        <w:rPr>
          <w:rFonts w:asciiTheme="minorHAnsi" w:hAnsiTheme="minorHAnsi" w:cstheme="minorHAnsi"/>
          <w:lang w:val="es-CO"/>
        </w:rPr>
        <w:t>., radicado No.27.477.</w:t>
      </w:r>
    </w:p>
  </w:footnote>
  <w:footnote w:id="17">
    <w:p w:rsidR="00730DCF" w:rsidRPr="006B6208" w:rsidRDefault="00730DCF" w:rsidP="008B77B0">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Sentencia del 21-09-2011; MP: Fernando Alberto Castro C</w:t>
      </w:r>
      <w:r>
        <w:rPr>
          <w:rFonts w:asciiTheme="minorHAnsi" w:hAnsiTheme="minorHAnsi" w:cstheme="minorHAnsi"/>
          <w:lang w:val="es-CO"/>
        </w:rPr>
        <w:t>.</w:t>
      </w:r>
      <w:r w:rsidRPr="006B6208">
        <w:rPr>
          <w:rFonts w:asciiTheme="minorHAnsi" w:hAnsiTheme="minorHAnsi" w:cstheme="minorHAnsi"/>
          <w:lang w:val="es-CO"/>
        </w:rPr>
        <w:t>, radicado No.36.023.</w:t>
      </w:r>
    </w:p>
  </w:footnote>
  <w:footnote w:id="18">
    <w:p w:rsidR="00730DCF" w:rsidRPr="006B6208" w:rsidRDefault="00730DCF" w:rsidP="0093470C">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Sentencia del 27-02-2013; ob. cit.</w:t>
      </w:r>
    </w:p>
  </w:footnote>
  <w:footnote w:id="19">
    <w:p w:rsidR="00730DCF" w:rsidRPr="0093470C" w:rsidRDefault="00730DCF">
      <w:pPr>
        <w:pStyle w:val="Textonotapie"/>
        <w:rPr>
          <w:lang w:val="es-CO"/>
        </w:rPr>
      </w:pPr>
      <w:r>
        <w:rPr>
          <w:rStyle w:val="Refdenotaalpie"/>
        </w:rPr>
        <w:footnoteRef/>
      </w:r>
      <w:r>
        <w:t xml:space="preserve"> </w:t>
      </w:r>
      <w:r w:rsidRPr="006B6208">
        <w:rPr>
          <w:rFonts w:asciiTheme="minorHAnsi" w:hAnsiTheme="minorHAnsi" w:cstheme="minorHAnsi"/>
          <w:lang w:val="es-CO"/>
        </w:rPr>
        <w:t xml:space="preserve">CSJ, Penal. Sentencia </w:t>
      </w:r>
      <w:r>
        <w:rPr>
          <w:rFonts w:asciiTheme="minorHAnsi" w:hAnsiTheme="minorHAnsi" w:cstheme="minorHAnsi"/>
          <w:lang w:val="es-CO"/>
        </w:rPr>
        <w:t>SP8611-2014</w:t>
      </w:r>
      <w:r w:rsidRPr="006B6208">
        <w:rPr>
          <w:rFonts w:asciiTheme="minorHAnsi" w:hAnsiTheme="minorHAnsi" w:cstheme="minorHAnsi"/>
          <w:lang w:val="es-CO"/>
        </w:rPr>
        <w:t xml:space="preserve">; </w:t>
      </w:r>
      <w:proofErr w:type="spellStart"/>
      <w:r w:rsidRPr="006B6208">
        <w:rPr>
          <w:rFonts w:asciiTheme="minorHAnsi" w:hAnsiTheme="minorHAnsi" w:cstheme="minorHAnsi"/>
          <w:lang w:val="es-CO"/>
        </w:rPr>
        <w:t>MP</w:t>
      </w:r>
      <w:proofErr w:type="spellEnd"/>
      <w:r w:rsidRPr="006B6208">
        <w:rPr>
          <w:rFonts w:asciiTheme="minorHAnsi" w:hAnsiTheme="minorHAnsi" w:cstheme="minorHAnsi"/>
          <w:lang w:val="es-CO"/>
        </w:rPr>
        <w:t xml:space="preserve">: José </w:t>
      </w:r>
      <w:proofErr w:type="spellStart"/>
      <w:r w:rsidRPr="006B6208">
        <w:rPr>
          <w:rFonts w:asciiTheme="minorHAnsi" w:hAnsiTheme="minorHAnsi" w:cstheme="minorHAnsi"/>
          <w:lang w:val="es-CO"/>
        </w:rPr>
        <w:t>Leonidas</w:t>
      </w:r>
      <w:proofErr w:type="spellEnd"/>
      <w:r w:rsidRPr="006B6208">
        <w:rPr>
          <w:rFonts w:asciiTheme="minorHAnsi" w:hAnsiTheme="minorHAnsi" w:cstheme="minorHAnsi"/>
          <w:lang w:val="es-CO"/>
        </w:rPr>
        <w:t xml:space="preserve"> Bustos M</w:t>
      </w:r>
      <w:r>
        <w:rPr>
          <w:rFonts w:asciiTheme="minorHAnsi" w:hAnsiTheme="minorHAnsi" w:cstheme="minorHAnsi"/>
          <w:lang w:val="es-CO"/>
        </w:rPr>
        <w:t>.</w:t>
      </w:r>
      <w:r w:rsidRPr="006B6208">
        <w:rPr>
          <w:rFonts w:asciiTheme="minorHAnsi" w:hAnsiTheme="minorHAnsi" w:cstheme="minorHAnsi"/>
          <w:lang w:val="es-CO"/>
        </w:rPr>
        <w:t>, radicado No.</w:t>
      </w:r>
      <w:r>
        <w:rPr>
          <w:rFonts w:asciiTheme="minorHAnsi" w:hAnsiTheme="minorHAnsi" w:cstheme="minorHAnsi"/>
          <w:lang w:val="es-CO"/>
        </w:rPr>
        <w:t>34.131</w:t>
      </w:r>
      <w:r w:rsidRPr="006B6208">
        <w:rPr>
          <w:rFonts w:asciiTheme="minorHAnsi" w:hAnsiTheme="minorHAnsi" w:cstheme="minorHAnsi"/>
          <w:lang w:val="es-CO"/>
        </w:rPr>
        <w:t>.</w:t>
      </w:r>
    </w:p>
  </w:footnote>
  <w:footnote w:id="20">
    <w:p w:rsidR="00730DCF" w:rsidRPr="006B6208" w:rsidRDefault="00730DCF" w:rsidP="008B77B0">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Providencia del 06-03-2013; </w:t>
      </w:r>
      <w:proofErr w:type="spellStart"/>
      <w:r w:rsidRPr="006B6208">
        <w:rPr>
          <w:rFonts w:asciiTheme="minorHAnsi" w:hAnsiTheme="minorHAnsi" w:cstheme="minorHAnsi"/>
          <w:lang w:val="es-CO"/>
        </w:rPr>
        <w:t>MP</w:t>
      </w:r>
      <w:proofErr w:type="spellEnd"/>
      <w:r w:rsidRPr="006B6208">
        <w:rPr>
          <w:rFonts w:asciiTheme="minorHAnsi" w:hAnsiTheme="minorHAnsi" w:cstheme="minorHAnsi"/>
          <w:lang w:val="es-CO"/>
        </w:rPr>
        <w:t xml:space="preserve">: José </w:t>
      </w:r>
      <w:proofErr w:type="spellStart"/>
      <w:r w:rsidRPr="006B6208">
        <w:rPr>
          <w:rFonts w:asciiTheme="minorHAnsi" w:hAnsiTheme="minorHAnsi" w:cstheme="minorHAnsi"/>
          <w:lang w:val="es-CO"/>
        </w:rPr>
        <w:t>Leonidas</w:t>
      </w:r>
      <w:proofErr w:type="spellEnd"/>
      <w:r w:rsidRPr="006B6208">
        <w:rPr>
          <w:rFonts w:asciiTheme="minorHAnsi" w:hAnsiTheme="minorHAnsi" w:cstheme="minorHAnsi"/>
          <w:lang w:val="es-CO"/>
        </w:rPr>
        <w:t xml:space="preserve"> Bustos M</w:t>
      </w:r>
      <w:r>
        <w:rPr>
          <w:rFonts w:asciiTheme="minorHAnsi" w:hAnsiTheme="minorHAnsi" w:cstheme="minorHAnsi"/>
          <w:lang w:val="es-CO"/>
        </w:rPr>
        <w:t>.</w:t>
      </w:r>
      <w:r w:rsidRPr="006B6208">
        <w:rPr>
          <w:rFonts w:asciiTheme="minorHAnsi" w:hAnsiTheme="minorHAnsi" w:cstheme="minorHAnsi"/>
          <w:lang w:val="es-CO"/>
        </w:rPr>
        <w:t>, radicado No.34.509.</w:t>
      </w:r>
    </w:p>
  </w:footnote>
  <w:footnote w:id="21">
    <w:p w:rsidR="00730DCF" w:rsidRPr="006B6208" w:rsidRDefault="00730DCF" w:rsidP="008B77B0">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Sentencia del 19-08-20</w:t>
      </w:r>
      <w:r>
        <w:rPr>
          <w:rFonts w:asciiTheme="minorHAnsi" w:hAnsiTheme="minorHAnsi" w:cstheme="minorHAnsi"/>
          <w:lang w:val="es-CO"/>
        </w:rPr>
        <w:t xml:space="preserve">09; </w:t>
      </w:r>
      <w:proofErr w:type="spellStart"/>
      <w:r>
        <w:rPr>
          <w:rFonts w:asciiTheme="minorHAnsi" w:hAnsiTheme="minorHAnsi" w:cstheme="minorHAnsi"/>
          <w:lang w:val="es-CO"/>
        </w:rPr>
        <w:t>MP</w:t>
      </w:r>
      <w:proofErr w:type="spellEnd"/>
      <w:r>
        <w:rPr>
          <w:rFonts w:asciiTheme="minorHAnsi" w:hAnsiTheme="minorHAnsi" w:cstheme="minorHAnsi"/>
          <w:lang w:val="es-CO"/>
        </w:rPr>
        <w:t xml:space="preserve">: </w:t>
      </w:r>
      <w:proofErr w:type="spellStart"/>
      <w:r>
        <w:rPr>
          <w:rFonts w:asciiTheme="minorHAnsi" w:hAnsiTheme="minorHAnsi" w:cstheme="minorHAnsi"/>
          <w:lang w:val="es-CO"/>
        </w:rPr>
        <w:t>Sigifredo</w:t>
      </w:r>
      <w:proofErr w:type="spellEnd"/>
      <w:r>
        <w:rPr>
          <w:rFonts w:asciiTheme="minorHAnsi" w:hAnsiTheme="minorHAnsi" w:cstheme="minorHAnsi"/>
          <w:lang w:val="es-CO"/>
        </w:rPr>
        <w:t xml:space="preserve"> Espinosa P.</w:t>
      </w:r>
      <w:r w:rsidRPr="006B6208">
        <w:rPr>
          <w:rFonts w:asciiTheme="minorHAnsi" w:hAnsiTheme="minorHAnsi" w:cstheme="minorHAnsi"/>
          <w:lang w:val="es-CO"/>
        </w:rPr>
        <w:t>, radicado No.31.950.</w:t>
      </w:r>
    </w:p>
  </w:footnote>
  <w:footnote w:id="22">
    <w:p w:rsidR="00730DCF" w:rsidRPr="006B6208" w:rsidRDefault="00730DCF" w:rsidP="008B77B0">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Sentencia del 04-06-2013; MP: Fernando Alberto Castro C</w:t>
      </w:r>
      <w:r>
        <w:rPr>
          <w:rFonts w:asciiTheme="minorHAnsi" w:hAnsiTheme="minorHAnsi" w:cstheme="minorHAnsi"/>
          <w:lang w:val="es-CO"/>
        </w:rPr>
        <w:t>.</w:t>
      </w:r>
      <w:r w:rsidRPr="006B6208">
        <w:rPr>
          <w:rFonts w:asciiTheme="minorHAnsi" w:hAnsiTheme="minorHAnsi" w:cstheme="minorHAnsi"/>
          <w:lang w:val="es-CO"/>
        </w:rPr>
        <w:t>, radicado No.40.893.</w:t>
      </w:r>
    </w:p>
  </w:footnote>
  <w:footnote w:id="23">
    <w:p w:rsidR="00730DCF" w:rsidRPr="0093470C" w:rsidRDefault="00730DCF" w:rsidP="0093470C">
      <w:pPr>
        <w:pStyle w:val="Textonotapie"/>
        <w:jc w:val="both"/>
        <w:rPr>
          <w:lang w:val="es-CO"/>
        </w:rPr>
      </w:pPr>
      <w:r>
        <w:rPr>
          <w:rStyle w:val="Refdenotaalpie"/>
        </w:rPr>
        <w:footnoteRef/>
      </w:r>
      <w:r>
        <w:t xml:space="preserve"> </w:t>
      </w:r>
      <w:r w:rsidRPr="006B6208">
        <w:rPr>
          <w:rFonts w:asciiTheme="minorHAnsi" w:hAnsiTheme="minorHAnsi" w:cstheme="minorHAnsi"/>
          <w:lang w:val="es-CO"/>
        </w:rPr>
        <w:t xml:space="preserve">CSJ, Penal. Sentencia </w:t>
      </w:r>
      <w:r>
        <w:rPr>
          <w:rFonts w:asciiTheme="minorHAnsi" w:hAnsiTheme="minorHAnsi" w:cstheme="minorHAnsi"/>
          <w:lang w:val="es-CO"/>
        </w:rPr>
        <w:t>SP8611-2014</w:t>
      </w:r>
      <w:r w:rsidRPr="006B6208">
        <w:rPr>
          <w:rFonts w:asciiTheme="minorHAnsi" w:hAnsiTheme="minorHAnsi" w:cstheme="minorHAnsi"/>
          <w:lang w:val="es-CO"/>
        </w:rPr>
        <w:t>;</w:t>
      </w:r>
      <w:r>
        <w:rPr>
          <w:rFonts w:asciiTheme="minorHAnsi" w:hAnsiTheme="minorHAnsi" w:cstheme="minorHAnsi"/>
          <w:lang w:val="es-CO"/>
        </w:rPr>
        <w:t xml:space="preserve"> </w:t>
      </w:r>
      <w:r w:rsidRPr="006B6208">
        <w:rPr>
          <w:rFonts w:asciiTheme="minorHAnsi" w:hAnsiTheme="minorHAnsi" w:cstheme="minorHAnsi"/>
          <w:lang w:val="es-CO"/>
        </w:rPr>
        <w:t>ob. cit.</w:t>
      </w:r>
    </w:p>
  </w:footnote>
  <w:footnote w:id="24">
    <w:p w:rsidR="00730DCF" w:rsidRPr="006B6208" w:rsidRDefault="00730DCF" w:rsidP="00BF38D9">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CSJ, Penal. Sentencia del 30-03-2006; </w:t>
      </w:r>
      <w:proofErr w:type="spellStart"/>
      <w:r w:rsidRPr="006B6208">
        <w:rPr>
          <w:rFonts w:asciiTheme="minorHAnsi" w:hAnsiTheme="minorHAnsi" w:cstheme="minorHAnsi"/>
          <w:lang w:val="es-CO"/>
        </w:rPr>
        <w:t>MP</w:t>
      </w:r>
      <w:proofErr w:type="spellEnd"/>
      <w:r w:rsidRPr="006B6208">
        <w:rPr>
          <w:rFonts w:asciiTheme="minorHAnsi" w:hAnsiTheme="minorHAnsi" w:cstheme="minorHAnsi"/>
          <w:lang w:val="es-CO"/>
        </w:rPr>
        <w:t xml:space="preserve">: Édgar </w:t>
      </w:r>
      <w:proofErr w:type="spellStart"/>
      <w:r w:rsidRPr="006B6208">
        <w:rPr>
          <w:rFonts w:asciiTheme="minorHAnsi" w:hAnsiTheme="minorHAnsi" w:cstheme="minorHAnsi"/>
          <w:lang w:val="es-CO"/>
        </w:rPr>
        <w:t>Lombana</w:t>
      </w:r>
      <w:proofErr w:type="spellEnd"/>
      <w:r w:rsidRPr="006B6208">
        <w:rPr>
          <w:rFonts w:asciiTheme="minorHAnsi" w:hAnsiTheme="minorHAnsi" w:cstheme="minorHAnsi"/>
          <w:lang w:val="es-CO"/>
        </w:rPr>
        <w:t xml:space="preserve"> T</w:t>
      </w:r>
      <w:r>
        <w:rPr>
          <w:rFonts w:asciiTheme="minorHAnsi" w:hAnsiTheme="minorHAnsi" w:cstheme="minorHAnsi"/>
          <w:lang w:val="es-CO"/>
        </w:rPr>
        <w:t>.</w:t>
      </w:r>
      <w:r w:rsidRPr="006B6208">
        <w:rPr>
          <w:rFonts w:asciiTheme="minorHAnsi" w:hAnsiTheme="minorHAnsi" w:cstheme="minorHAnsi"/>
          <w:lang w:val="es-CO"/>
        </w:rPr>
        <w:t>, radicado No.24.468.  Reiterada en sentencia del 21-</w:t>
      </w:r>
      <w:r>
        <w:rPr>
          <w:rFonts w:asciiTheme="minorHAnsi" w:hAnsiTheme="minorHAnsi" w:cstheme="minorHAnsi"/>
          <w:lang w:val="es-CO"/>
        </w:rPr>
        <w:t>02-2007; MP: Javier Zapata O.</w:t>
      </w:r>
      <w:r w:rsidRPr="006B6208">
        <w:rPr>
          <w:rFonts w:asciiTheme="minorHAnsi" w:hAnsiTheme="minorHAnsi" w:cstheme="minorHAnsi"/>
          <w:lang w:val="es-CO"/>
        </w:rPr>
        <w:t>, radicado No.25.920.</w:t>
      </w:r>
    </w:p>
  </w:footnote>
  <w:footnote w:id="25">
    <w:p w:rsidR="00730DCF" w:rsidRPr="002108ED" w:rsidRDefault="00730DCF" w:rsidP="001C1E81">
      <w:pPr>
        <w:pStyle w:val="Textonotapie"/>
        <w:jc w:val="both"/>
        <w:rPr>
          <w:rFonts w:asciiTheme="minorHAnsi" w:hAnsiTheme="minorHAnsi"/>
          <w:lang w:val="es-CO"/>
        </w:rPr>
      </w:pPr>
      <w:r w:rsidRPr="002108ED">
        <w:rPr>
          <w:rStyle w:val="Refdenotaalpie"/>
          <w:rFonts w:asciiTheme="minorHAnsi" w:hAnsiTheme="minorHAnsi"/>
        </w:rPr>
        <w:footnoteRef/>
      </w:r>
      <w:r w:rsidRPr="002108ED">
        <w:rPr>
          <w:rFonts w:asciiTheme="minorHAnsi" w:hAnsiTheme="minorHAnsi"/>
        </w:rPr>
        <w:t xml:space="preserve"> </w:t>
      </w:r>
      <w:r w:rsidRPr="002108ED">
        <w:rPr>
          <w:rFonts w:asciiTheme="minorHAnsi" w:hAnsiTheme="minorHAnsi"/>
          <w:lang w:val="es-CO"/>
        </w:rPr>
        <w:t>GIRALDO G. César Augusto. Medicina forense</w:t>
      </w:r>
      <w:r w:rsidRPr="002108ED">
        <w:rPr>
          <w:rFonts w:asciiTheme="minorHAnsi" w:hAnsiTheme="minorHAnsi" w:cs="Arial"/>
          <w:lang w:val="es-CO"/>
        </w:rPr>
        <w:t>, 7ª edición, Señal editora, Bogotá, 1993, p.211.</w:t>
      </w:r>
    </w:p>
  </w:footnote>
  <w:footnote w:id="26">
    <w:p w:rsidR="00730DCF" w:rsidRPr="002108ED" w:rsidRDefault="00730DCF" w:rsidP="001C1E81">
      <w:pPr>
        <w:pStyle w:val="Textonotapie"/>
        <w:jc w:val="both"/>
        <w:rPr>
          <w:rFonts w:asciiTheme="minorHAnsi" w:hAnsiTheme="minorHAnsi"/>
          <w:lang w:val="es-CO"/>
        </w:rPr>
      </w:pPr>
      <w:r w:rsidRPr="002108ED">
        <w:rPr>
          <w:rStyle w:val="Refdenotaalpie"/>
          <w:rFonts w:asciiTheme="minorHAnsi" w:hAnsiTheme="minorHAnsi"/>
          <w:lang w:val="es-CO"/>
        </w:rPr>
        <w:footnoteRef/>
      </w:r>
      <w:r w:rsidRPr="002108ED">
        <w:rPr>
          <w:rFonts w:asciiTheme="minorHAnsi" w:hAnsiTheme="minorHAnsi"/>
          <w:lang w:val="es-CO"/>
        </w:rPr>
        <w:t xml:space="preserve"> SOLORZANO NIÑO, Roberto. Medicina legal, criminalística y toxicología para abogados</w:t>
      </w:r>
      <w:r>
        <w:rPr>
          <w:rFonts w:asciiTheme="minorHAnsi" w:hAnsiTheme="minorHAnsi"/>
          <w:lang w:val="es-CO"/>
        </w:rPr>
        <w:t>, editorial Temis, Bogotá, 1990, p.63.</w:t>
      </w:r>
    </w:p>
  </w:footnote>
  <w:footnote w:id="27">
    <w:p w:rsidR="00F03D64" w:rsidRPr="00780182" w:rsidRDefault="00F03D64" w:rsidP="00780182">
      <w:pPr>
        <w:pStyle w:val="Textonotapie"/>
        <w:jc w:val="both"/>
        <w:rPr>
          <w:rFonts w:asciiTheme="minorHAnsi" w:hAnsiTheme="minorHAnsi"/>
          <w:lang w:val="es-CO"/>
        </w:rPr>
      </w:pPr>
      <w:r w:rsidRPr="00780182">
        <w:rPr>
          <w:rStyle w:val="Refdenotaalpie"/>
          <w:rFonts w:asciiTheme="minorHAnsi" w:hAnsiTheme="minorHAnsi"/>
        </w:rPr>
        <w:footnoteRef/>
      </w:r>
      <w:r w:rsidRPr="00780182">
        <w:rPr>
          <w:rFonts w:asciiTheme="minorHAnsi" w:hAnsiTheme="minorHAnsi"/>
        </w:rPr>
        <w:t xml:space="preserve"> </w:t>
      </w:r>
      <w:r w:rsidR="00780182" w:rsidRPr="00780182">
        <w:rPr>
          <w:rFonts w:asciiTheme="minorHAnsi" w:hAnsiTheme="minorHAnsi"/>
        </w:rPr>
        <w:t>UNIVERSIDAD LIBRE SECCIONAL CÚCUTA</w:t>
      </w:r>
      <w:r w:rsidR="00780182" w:rsidRPr="00780182">
        <w:rPr>
          <w:rFonts w:asciiTheme="minorHAnsi" w:hAnsiTheme="minorHAnsi" w:cs="Calibri"/>
          <w:lang w:val="es-CO"/>
        </w:rPr>
        <w:t xml:space="preserve">. Oralidad y escritura: El proceso por audiencias en Colombia. Ronald Jesús Sanabria Villamizar, Relaciones entre pruebas y oralidad: Experiencias penales útiles para procesos civiles, Bogotá DC, Grupo editorial </w:t>
      </w:r>
      <w:proofErr w:type="spellStart"/>
      <w:r w:rsidR="00780182" w:rsidRPr="00780182">
        <w:rPr>
          <w:rFonts w:asciiTheme="minorHAnsi" w:hAnsiTheme="minorHAnsi" w:cs="Calibri"/>
          <w:lang w:val="es-CO"/>
        </w:rPr>
        <w:t>Ibañez</w:t>
      </w:r>
      <w:proofErr w:type="spellEnd"/>
      <w:r w:rsidR="00780182" w:rsidRPr="00780182">
        <w:rPr>
          <w:rFonts w:asciiTheme="minorHAnsi" w:hAnsiTheme="minorHAnsi" w:cs="Calibri"/>
          <w:lang w:val="es-CO"/>
        </w:rPr>
        <w:t>, 2016, p.150</w:t>
      </w:r>
      <w:r w:rsidR="00780182">
        <w:rPr>
          <w:rFonts w:asciiTheme="minorHAnsi" w:hAnsiTheme="minorHAnsi" w:cs="Calibri"/>
          <w:lang w:val="es-CO"/>
        </w:rPr>
        <w:t>.</w:t>
      </w:r>
    </w:p>
  </w:footnote>
  <w:footnote w:id="28">
    <w:p w:rsidR="00AB7C26" w:rsidRPr="00AB7C26" w:rsidRDefault="00AB7C26">
      <w:pPr>
        <w:pStyle w:val="Textonotapie"/>
        <w:rPr>
          <w:lang w:val="es-CO"/>
        </w:rPr>
      </w:pPr>
      <w:r>
        <w:rPr>
          <w:rStyle w:val="Refdenotaalpie"/>
        </w:rPr>
        <w:footnoteRef/>
      </w:r>
      <w:r>
        <w:t xml:space="preserve"> </w:t>
      </w:r>
      <w:r w:rsidRPr="006B6208">
        <w:rPr>
          <w:rFonts w:asciiTheme="minorHAnsi" w:hAnsiTheme="minorHAnsi" w:cstheme="minorHAnsi"/>
          <w:lang w:val="es-CO"/>
        </w:rPr>
        <w:t xml:space="preserve">CSJ, Penal.  Sentencia del </w:t>
      </w:r>
      <w:r>
        <w:rPr>
          <w:rFonts w:asciiTheme="minorHAnsi" w:hAnsiTheme="minorHAnsi" w:cstheme="minorHAnsi"/>
          <w:lang w:val="es-CO"/>
        </w:rPr>
        <w:t xml:space="preserve">26-10-2011, </w:t>
      </w:r>
      <w:r w:rsidRPr="006B6208">
        <w:rPr>
          <w:rFonts w:asciiTheme="minorHAnsi" w:hAnsiTheme="minorHAnsi" w:cstheme="minorHAnsi"/>
          <w:lang w:val="es-CO"/>
        </w:rPr>
        <w:t>radicado No.3</w:t>
      </w:r>
      <w:r>
        <w:rPr>
          <w:rFonts w:asciiTheme="minorHAnsi" w:hAnsiTheme="minorHAnsi" w:cstheme="minorHAnsi"/>
          <w:lang w:val="es-CO"/>
        </w:rPr>
        <w:t>6.445.</w:t>
      </w:r>
    </w:p>
  </w:footnote>
  <w:footnote w:id="29">
    <w:p w:rsidR="00730DCF" w:rsidRPr="006B6208" w:rsidRDefault="00730DCF" w:rsidP="0070296F">
      <w:pPr>
        <w:pStyle w:val="Textonotapie"/>
        <w:jc w:val="both"/>
        <w:rPr>
          <w:rFonts w:asciiTheme="minorHAnsi" w:hAnsiTheme="minorHAnsi" w:cstheme="minorHAnsi"/>
          <w:lang w:val="es-CO"/>
        </w:rPr>
      </w:pPr>
      <w:r w:rsidRPr="006B6208">
        <w:rPr>
          <w:rStyle w:val="Refdenotaalpie"/>
          <w:rFonts w:asciiTheme="minorHAnsi" w:hAnsiTheme="minorHAnsi" w:cstheme="minorHAnsi"/>
        </w:rPr>
        <w:footnoteRef/>
      </w:r>
      <w:r w:rsidRPr="006B6208">
        <w:rPr>
          <w:rFonts w:asciiTheme="minorHAnsi" w:hAnsiTheme="minorHAnsi" w:cstheme="minorHAnsi"/>
          <w:lang w:val="es-CO"/>
        </w:rPr>
        <w:t xml:space="preserve"> </w:t>
      </w:r>
      <w:r w:rsidR="00AB7C26" w:rsidRPr="006B6208">
        <w:rPr>
          <w:rFonts w:asciiTheme="minorHAnsi" w:hAnsiTheme="minorHAnsi" w:cstheme="minorHAnsi"/>
          <w:lang w:val="es-CO"/>
        </w:rPr>
        <w:t>CSJ, Penal.</w:t>
      </w:r>
      <w:r w:rsidRPr="006B6208">
        <w:rPr>
          <w:rFonts w:asciiTheme="minorHAnsi" w:hAnsiTheme="minorHAnsi" w:cstheme="minorHAnsi"/>
          <w:lang w:val="es-CO"/>
        </w:rPr>
        <w:t xml:space="preserve">  Sentencia del 06-02-2013; MP: José Luis Barceló Camacho, radicado No.38.975.</w:t>
      </w:r>
    </w:p>
  </w:footnote>
  <w:footnote w:id="30">
    <w:p w:rsidR="00AB7C26" w:rsidRPr="00AB7C26" w:rsidRDefault="00AB7C26">
      <w:pPr>
        <w:pStyle w:val="Textonotapie"/>
        <w:rPr>
          <w:lang w:val="es-CO"/>
        </w:rPr>
      </w:pPr>
      <w:r>
        <w:rPr>
          <w:rStyle w:val="Refdenotaalpie"/>
        </w:rPr>
        <w:footnoteRef/>
      </w:r>
      <w:r>
        <w:t xml:space="preserve"> </w:t>
      </w:r>
      <w:r w:rsidRPr="006B6208">
        <w:rPr>
          <w:rFonts w:asciiTheme="minorHAnsi" w:hAnsiTheme="minorHAnsi" w:cstheme="minorHAnsi"/>
          <w:lang w:val="es-CO"/>
        </w:rPr>
        <w:t xml:space="preserve">CSJ, Penal.  Sentencia del </w:t>
      </w:r>
      <w:r>
        <w:rPr>
          <w:rFonts w:asciiTheme="minorHAnsi" w:hAnsiTheme="minorHAnsi" w:cstheme="minorHAnsi"/>
          <w:lang w:val="es-CO"/>
        </w:rPr>
        <w:t>15-06-2016;</w:t>
      </w:r>
      <w:r w:rsidRPr="006B6208">
        <w:rPr>
          <w:rFonts w:asciiTheme="minorHAnsi" w:hAnsiTheme="minorHAnsi" w:cstheme="minorHAnsi"/>
          <w:lang w:val="es-CO"/>
        </w:rPr>
        <w:t xml:space="preserve"> MP: José Luis Barceló Camacho, radicado No.</w:t>
      </w:r>
      <w:r>
        <w:rPr>
          <w:rFonts w:asciiTheme="minorHAnsi" w:hAnsiTheme="minorHAnsi" w:cstheme="minorHAnsi"/>
          <w:lang w:val="es-CO"/>
        </w:rPr>
        <w:t>47.666.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CF" w:rsidRPr="000A0E74" w:rsidRDefault="00730DCF" w:rsidP="000A0E74">
    <w:pPr>
      <w:pStyle w:val="Encabezado"/>
      <w:pBdr>
        <w:bottom w:val="single" w:sz="4" w:space="1" w:color="D9D9D9"/>
      </w:pBdr>
      <w:jc w:val="right"/>
      <w:rPr>
        <w:rFonts w:asciiTheme="minorHAnsi" w:hAnsiTheme="minorHAnsi"/>
        <w:bCs/>
        <w:i/>
      </w:rPr>
    </w:pPr>
    <w:r w:rsidRPr="000A0E74">
      <w:rPr>
        <w:rFonts w:asciiTheme="minorHAnsi" w:hAnsiTheme="minorHAnsi"/>
        <w:i/>
        <w:color w:val="7F7F7F"/>
        <w:spacing w:val="60"/>
        <w:lang w:val="es-ES"/>
      </w:rPr>
      <w:t>Página</w:t>
    </w:r>
    <w:r w:rsidRPr="000A0E74">
      <w:rPr>
        <w:rFonts w:asciiTheme="minorHAnsi" w:hAnsiTheme="minorHAnsi"/>
        <w:i/>
        <w:lang w:val="es-ES"/>
      </w:rPr>
      <w:t xml:space="preserve"> | </w:t>
    </w:r>
    <w:r w:rsidRPr="000A0E74">
      <w:rPr>
        <w:rFonts w:asciiTheme="minorHAnsi" w:hAnsiTheme="minorHAnsi"/>
        <w:i/>
      </w:rPr>
      <w:fldChar w:fldCharType="begin"/>
    </w:r>
    <w:r w:rsidRPr="000A0E74">
      <w:rPr>
        <w:rFonts w:asciiTheme="minorHAnsi" w:hAnsiTheme="minorHAnsi"/>
        <w:i/>
      </w:rPr>
      <w:instrText>PAGE   \* MERGEFORMAT</w:instrText>
    </w:r>
    <w:r w:rsidRPr="000A0E74">
      <w:rPr>
        <w:rFonts w:asciiTheme="minorHAnsi" w:hAnsiTheme="minorHAnsi"/>
        <w:i/>
      </w:rPr>
      <w:fldChar w:fldCharType="separate"/>
    </w:r>
    <w:r w:rsidR="00CE7F14" w:rsidRPr="00CE7F14">
      <w:rPr>
        <w:rFonts w:asciiTheme="minorHAnsi" w:hAnsiTheme="minorHAnsi"/>
        <w:bCs/>
        <w:i/>
        <w:noProof/>
        <w:lang w:val="es-ES"/>
      </w:rPr>
      <w:t>1</w:t>
    </w:r>
    <w:r w:rsidRPr="000A0E74">
      <w:rPr>
        <w:rFonts w:asciiTheme="minorHAnsi" w:hAnsiTheme="minorHAnsi"/>
        <w:i/>
      </w:rPr>
      <w:fldChar w:fldCharType="end"/>
    </w:r>
  </w:p>
  <w:p w:rsidR="00730DCF" w:rsidRPr="000A0E74" w:rsidRDefault="00730DCF">
    <w:pPr>
      <w:pStyle w:val="Encabezado"/>
      <w:rPr>
        <w:rFonts w:ascii="Calibri" w:hAnsi="Calibri"/>
        <w:i/>
        <w:lang w:val="es-CO"/>
      </w:rPr>
    </w:pPr>
    <w:r w:rsidRPr="000A0E74">
      <w:rPr>
        <w:rFonts w:ascii="Calibri" w:hAnsi="Calibri"/>
        <w:i/>
        <w:sz w:val="22"/>
        <w:lang w:val="es-CO"/>
      </w:rPr>
      <w:t>E</w:t>
    </w:r>
    <w:r w:rsidRPr="000A0E74">
      <w:rPr>
        <w:rFonts w:ascii="Calibri" w:hAnsi="Calibri"/>
        <w:i/>
        <w:sz w:val="18"/>
        <w:lang w:val="es-CO"/>
      </w:rPr>
      <w:t xml:space="preserve">XPEDIENTE </w:t>
    </w:r>
    <w:r>
      <w:rPr>
        <w:rFonts w:ascii="Calibri" w:hAnsi="Calibri"/>
        <w:i/>
        <w:sz w:val="18"/>
        <w:lang w:val="es-CO"/>
      </w:rPr>
      <w:t>No.2015-00305-01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A40E7E"/>
    <w:lvl w:ilvl="0">
      <w:start w:val="1"/>
      <w:numFmt w:val="bullet"/>
      <w:lvlText w:val=""/>
      <w:lvlJc w:val="left"/>
      <w:pPr>
        <w:tabs>
          <w:tab w:val="num" w:pos="360"/>
        </w:tabs>
        <w:ind w:left="360" w:hanging="360"/>
      </w:pPr>
      <w:rPr>
        <w:rFonts w:ascii="Symbol" w:hAnsi="Symbol"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nsid w:val="655F3FB9"/>
    <w:multiLevelType w:val="hybridMultilevel"/>
    <w:tmpl w:val="7B528362"/>
    <w:lvl w:ilvl="0" w:tplc="240A0019">
      <w:start w:val="1"/>
      <w:numFmt w:val="lowerLetter"/>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6D581253"/>
    <w:multiLevelType w:val="multilevel"/>
    <w:tmpl w:val="8406681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0"/>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5C"/>
    <w:rsid w:val="00002E49"/>
    <w:rsid w:val="00002F7F"/>
    <w:rsid w:val="0000547E"/>
    <w:rsid w:val="0000774C"/>
    <w:rsid w:val="0000777B"/>
    <w:rsid w:val="000129FB"/>
    <w:rsid w:val="00012E44"/>
    <w:rsid w:val="000141CA"/>
    <w:rsid w:val="00015141"/>
    <w:rsid w:val="00015913"/>
    <w:rsid w:val="00016E43"/>
    <w:rsid w:val="00024EFA"/>
    <w:rsid w:val="000263C5"/>
    <w:rsid w:val="0002691D"/>
    <w:rsid w:val="00030EBB"/>
    <w:rsid w:val="000314B7"/>
    <w:rsid w:val="0003185D"/>
    <w:rsid w:val="00032ECD"/>
    <w:rsid w:val="000335A8"/>
    <w:rsid w:val="000346C6"/>
    <w:rsid w:val="00034EBC"/>
    <w:rsid w:val="00035108"/>
    <w:rsid w:val="0003604A"/>
    <w:rsid w:val="00041E67"/>
    <w:rsid w:val="00046A22"/>
    <w:rsid w:val="00046C2E"/>
    <w:rsid w:val="00046D96"/>
    <w:rsid w:val="00047A61"/>
    <w:rsid w:val="00047DF9"/>
    <w:rsid w:val="00053BCB"/>
    <w:rsid w:val="00053ED0"/>
    <w:rsid w:val="00054A68"/>
    <w:rsid w:val="00054D9B"/>
    <w:rsid w:val="000556B5"/>
    <w:rsid w:val="00060228"/>
    <w:rsid w:val="00064975"/>
    <w:rsid w:val="0006599E"/>
    <w:rsid w:val="00066A79"/>
    <w:rsid w:val="00066BA8"/>
    <w:rsid w:val="00066C74"/>
    <w:rsid w:val="00066FBA"/>
    <w:rsid w:val="00067427"/>
    <w:rsid w:val="00067F08"/>
    <w:rsid w:val="00071502"/>
    <w:rsid w:val="0007341B"/>
    <w:rsid w:val="000755AA"/>
    <w:rsid w:val="00075F88"/>
    <w:rsid w:val="00080E3E"/>
    <w:rsid w:val="000815D1"/>
    <w:rsid w:val="00081C71"/>
    <w:rsid w:val="00082826"/>
    <w:rsid w:val="00083D1F"/>
    <w:rsid w:val="00083EA9"/>
    <w:rsid w:val="0008404A"/>
    <w:rsid w:val="000850C0"/>
    <w:rsid w:val="00085E83"/>
    <w:rsid w:val="00086FAE"/>
    <w:rsid w:val="00087187"/>
    <w:rsid w:val="000873EC"/>
    <w:rsid w:val="00087CA0"/>
    <w:rsid w:val="000901B2"/>
    <w:rsid w:val="000907D5"/>
    <w:rsid w:val="00095D89"/>
    <w:rsid w:val="0009674A"/>
    <w:rsid w:val="00096B6D"/>
    <w:rsid w:val="00097C5E"/>
    <w:rsid w:val="000A0516"/>
    <w:rsid w:val="000A0E74"/>
    <w:rsid w:val="000A1091"/>
    <w:rsid w:val="000A175C"/>
    <w:rsid w:val="000A1EBE"/>
    <w:rsid w:val="000A54DE"/>
    <w:rsid w:val="000A6CFF"/>
    <w:rsid w:val="000A7411"/>
    <w:rsid w:val="000B01CF"/>
    <w:rsid w:val="000B2974"/>
    <w:rsid w:val="000B2B79"/>
    <w:rsid w:val="000B3CCF"/>
    <w:rsid w:val="000B3F8D"/>
    <w:rsid w:val="000B4085"/>
    <w:rsid w:val="000B6981"/>
    <w:rsid w:val="000C0D70"/>
    <w:rsid w:val="000C12F9"/>
    <w:rsid w:val="000C2A42"/>
    <w:rsid w:val="000C3FA9"/>
    <w:rsid w:val="000C62A9"/>
    <w:rsid w:val="000C62BD"/>
    <w:rsid w:val="000C6D25"/>
    <w:rsid w:val="000C7044"/>
    <w:rsid w:val="000D3319"/>
    <w:rsid w:val="000D3939"/>
    <w:rsid w:val="000D3F53"/>
    <w:rsid w:val="000D4696"/>
    <w:rsid w:val="000D4CAF"/>
    <w:rsid w:val="000E066B"/>
    <w:rsid w:val="000E0EE9"/>
    <w:rsid w:val="000E1C56"/>
    <w:rsid w:val="000E3CB5"/>
    <w:rsid w:val="000F1F68"/>
    <w:rsid w:val="000F2282"/>
    <w:rsid w:val="000F236A"/>
    <w:rsid w:val="000F27A1"/>
    <w:rsid w:val="000F347F"/>
    <w:rsid w:val="000F3864"/>
    <w:rsid w:val="000F3DB5"/>
    <w:rsid w:val="000F3F01"/>
    <w:rsid w:val="000F4EBA"/>
    <w:rsid w:val="000F7354"/>
    <w:rsid w:val="00103490"/>
    <w:rsid w:val="00103ABA"/>
    <w:rsid w:val="00104E9F"/>
    <w:rsid w:val="00104FB4"/>
    <w:rsid w:val="0010553B"/>
    <w:rsid w:val="00105E1F"/>
    <w:rsid w:val="001106B9"/>
    <w:rsid w:val="00111972"/>
    <w:rsid w:val="00112904"/>
    <w:rsid w:val="00112F5C"/>
    <w:rsid w:val="001140FE"/>
    <w:rsid w:val="00114DE3"/>
    <w:rsid w:val="00114EB5"/>
    <w:rsid w:val="00117D5B"/>
    <w:rsid w:val="00123149"/>
    <w:rsid w:val="0012367E"/>
    <w:rsid w:val="00125104"/>
    <w:rsid w:val="00125730"/>
    <w:rsid w:val="00127909"/>
    <w:rsid w:val="001279C5"/>
    <w:rsid w:val="00130431"/>
    <w:rsid w:val="0013148D"/>
    <w:rsid w:val="001326EC"/>
    <w:rsid w:val="00132D37"/>
    <w:rsid w:val="00135A84"/>
    <w:rsid w:val="001362DC"/>
    <w:rsid w:val="00136A3E"/>
    <w:rsid w:val="00136B17"/>
    <w:rsid w:val="0014066D"/>
    <w:rsid w:val="001424B1"/>
    <w:rsid w:val="0014501A"/>
    <w:rsid w:val="00145798"/>
    <w:rsid w:val="0014769A"/>
    <w:rsid w:val="00151714"/>
    <w:rsid w:val="00156670"/>
    <w:rsid w:val="001619CD"/>
    <w:rsid w:val="001622D6"/>
    <w:rsid w:val="00162F39"/>
    <w:rsid w:val="0016380C"/>
    <w:rsid w:val="001639BF"/>
    <w:rsid w:val="0016591E"/>
    <w:rsid w:val="0017363E"/>
    <w:rsid w:val="0017469B"/>
    <w:rsid w:val="001763BC"/>
    <w:rsid w:val="001779C1"/>
    <w:rsid w:val="00180852"/>
    <w:rsid w:val="00181AB5"/>
    <w:rsid w:val="001828DA"/>
    <w:rsid w:val="00182BC5"/>
    <w:rsid w:val="00183CB3"/>
    <w:rsid w:val="00184CB0"/>
    <w:rsid w:val="0018642C"/>
    <w:rsid w:val="00186759"/>
    <w:rsid w:val="0018799A"/>
    <w:rsid w:val="00190D8E"/>
    <w:rsid w:val="0019378C"/>
    <w:rsid w:val="00194676"/>
    <w:rsid w:val="00194932"/>
    <w:rsid w:val="0019546B"/>
    <w:rsid w:val="001A09F8"/>
    <w:rsid w:val="001A1052"/>
    <w:rsid w:val="001A2D92"/>
    <w:rsid w:val="001A47DA"/>
    <w:rsid w:val="001A5102"/>
    <w:rsid w:val="001A6C7C"/>
    <w:rsid w:val="001B1097"/>
    <w:rsid w:val="001B1B80"/>
    <w:rsid w:val="001B2563"/>
    <w:rsid w:val="001B2965"/>
    <w:rsid w:val="001B3563"/>
    <w:rsid w:val="001B682B"/>
    <w:rsid w:val="001B6832"/>
    <w:rsid w:val="001B6F73"/>
    <w:rsid w:val="001C0BC0"/>
    <w:rsid w:val="001C1582"/>
    <w:rsid w:val="001C1943"/>
    <w:rsid w:val="001C1E81"/>
    <w:rsid w:val="001C317A"/>
    <w:rsid w:val="001C4188"/>
    <w:rsid w:val="001C42F1"/>
    <w:rsid w:val="001C59E0"/>
    <w:rsid w:val="001C78C4"/>
    <w:rsid w:val="001D0B52"/>
    <w:rsid w:val="001D0D04"/>
    <w:rsid w:val="001D2D49"/>
    <w:rsid w:val="001D56B6"/>
    <w:rsid w:val="001D6251"/>
    <w:rsid w:val="001E0FF1"/>
    <w:rsid w:val="001E5437"/>
    <w:rsid w:val="001E66C5"/>
    <w:rsid w:val="001E6CEF"/>
    <w:rsid w:val="001E7461"/>
    <w:rsid w:val="001F067B"/>
    <w:rsid w:val="001F2734"/>
    <w:rsid w:val="001F3778"/>
    <w:rsid w:val="001F4544"/>
    <w:rsid w:val="001F4AED"/>
    <w:rsid w:val="001F552A"/>
    <w:rsid w:val="001F5D36"/>
    <w:rsid w:val="001F759F"/>
    <w:rsid w:val="0020042D"/>
    <w:rsid w:val="00202686"/>
    <w:rsid w:val="00204399"/>
    <w:rsid w:val="002053E5"/>
    <w:rsid w:val="002063F3"/>
    <w:rsid w:val="002077C5"/>
    <w:rsid w:val="002108ED"/>
    <w:rsid w:val="00211566"/>
    <w:rsid w:val="00211CA1"/>
    <w:rsid w:val="00212540"/>
    <w:rsid w:val="00212FFE"/>
    <w:rsid w:val="002161D4"/>
    <w:rsid w:val="00216A91"/>
    <w:rsid w:val="00217C75"/>
    <w:rsid w:val="0022469A"/>
    <w:rsid w:val="00224A87"/>
    <w:rsid w:val="00224CD2"/>
    <w:rsid w:val="002267E0"/>
    <w:rsid w:val="00227F8D"/>
    <w:rsid w:val="002310B8"/>
    <w:rsid w:val="00231A7F"/>
    <w:rsid w:val="00232034"/>
    <w:rsid w:val="0023524D"/>
    <w:rsid w:val="00236424"/>
    <w:rsid w:val="0023646B"/>
    <w:rsid w:val="0023783C"/>
    <w:rsid w:val="00237F55"/>
    <w:rsid w:val="002403B9"/>
    <w:rsid w:val="0024149C"/>
    <w:rsid w:val="00241CD4"/>
    <w:rsid w:val="00244B7B"/>
    <w:rsid w:val="00246B64"/>
    <w:rsid w:val="00246C13"/>
    <w:rsid w:val="00246D30"/>
    <w:rsid w:val="00250A27"/>
    <w:rsid w:val="0025192B"/>
    <w:rsid w:val="002535F0"/>
    <w:rsid w:val="00253623"/>
    <w:rsid w:val="00253D74"/>
    <w:rsid w:val="002543F5"/>
    <w:rsid w:val="00254A35"/>
    <w:rsid w:val="00255275"/>
    <w:rsid w:val="00256E19"/>
    <w:rsid w:val="00257705"/>
    <w:rsid w:val="00262256"/>
    <w:rsid w:val="002629F1"/>
    <w:rsid w:val="00263161"/>
    <w:rsid w:val="002662E3"/>
    <w:rsid w:val="00267736"/>
    <w:rsid w:val="0027288A"/>
    <w:rsid w:val="00274063"/>
    <w:rsid w:val="0027617E"/>
    <w:rsid w:val="00277234"/>
    <w:rsid w:val="0028138C"/>
    <w:rsid w:val="00281528"/>
    <w:rsid w:val="002822DD"/>
    <w:rsid w:val="002830E9"/>
    <w:rsid w:val="00284286"/>
    <w:rsid w:val="00287F59"/>
    <w:rsid w:val="002904EF"/>
    <w:rsid w:val="0029080B"/>
    <w:rsid w:val="00292A6E"/>
    <w:rsid w:val="002946A2"/>
    <w:rsid w:val="002951A8"/>
    <w:rsid w:val="002955A9"/>
    <w:rsid w:val="00296425"/>
    <w:rsid w:val="002A0796"/>
    <w:rsid w:val="002A17A7"/>
    <w:rsid w:val="002A1EC4"/>
    <w:rsid w:val="002A2E5D"/>
    <w:rsid w:val="002A58DF"/>
    <w:rsid w:val="002A5D36"/>
    <w:rsid w:val="002A636F"/>
    <w:rsid w:val="002A6864"/>
    <w:rsid w:val="002B0F11"/>
    <w:rsid w:val="002B234F"/>
    <w:rsid w:val="002B3363"/>
    <w:rsid w:val="002B5498"/>
    <w:rsid w:val="002B5DE9"/>
    <w:rsid w:val="002B6DCC"/>
    <w:rsid w:val="002B7073"/>
    <w:rsid w:val="002C0341"/>
    <w:rsid w:val="002C09E2"/>
    <w:rsid w:val="002C26D0"/>
    <w:rsid w:val="002C3019"/>
    <w:rsid w:val="002C4050"/>
    <w:rsid w:val="002C41E9"/>
    <w:rsid w:val="002C42A8"/>
    <w:rsid w:val="002C6BEE"/>
    <w:rsid w:val="002C6C5B"/>
    <w:rsid w:val="002C7C94"/>
    <w:rsid w:val="002D069B"/>
    <w:rsid w:val="002D0CE9"/>
    <w:rsid w:val="002D17B1"/>
    <w:rsid w:val="002D60A9"/>
    <w:rsid w:val="002D6733"/>
    <w:rsid w:val="002E037F"/>
    <w:rsid w:val="002E1783"/>
    <w:rsid w:val="002E1E20"/>
    <w:rsid w:val="002E2AC0"/>
    <w:rsid w:val="002E6EAE"/>
    <w:rsid w:val="002E7F20"/>
    <w:rsid w:val="002F0581"/>
    <w:rsid w:val="002F2036"/>
    <w:rsid w:val="002F2A9C"/>
    <w:rsid w:val="002F5905"/>
    <w:rsid w:val="002F7DDA"/>
    <w:rsid w:val="0030181F"/>
    <w:rsid w:val="00304567"/>
    <w:rsid w:val="003049B4"/>
    <w:rsid w:val="003065AD"/>
    <w:rsid w:val="0030705E"/>
    <w:rsid w:val="00307723"/>
    <w:rsid w:val="00307AE7"/>
    <w:rsid w:val="003119BD"/>
    <w:rsid w:val="00313658"/>
    <w:rsid w:val="003138FD"/>
    <w:rsid w:val="00313A77"/>
    <w:rsid w:val="00314D95"/>
    <w:rsid w:val="003156AE"/>
    <w:rsid w:val="00317D89"/>
    <w:rsid w:val="00321B80"/>
    <w:rsid w:val="00322B5F"/>
    <w:rsid w:val="00322C51"/>
    <w:rsid w:val="00325EC2"/>
    <w:rsid w:val="0032666D"/>
    <w:rsid w:val="003272E6"/>
    <w:rsid w:val="003314B2"/>
    <w:rsid w:val="00331E3D"/>
    <w:rsid w:val="00332770"/>
    <w:rsid w:val="00333722"/>
    <w:rsid w:val="00340469"/>
    <w:rsid w:val="003407A3"/>
    <w:rsid w:val="0034176B"/>
    <w:rsid w:val="00342726"/>
    <w:rsid w:val="003467D8"/>
    <w:rsid w:val="003478A3"/>
    <w:rsid w:val="00351CD9"/>
    <w:rsid w:val="00351E26"/>
    <w:rsid w:val="00352180"/>
    <w:rsid w:val="003521B3"/>
    <w:rsid w:val="0035223D"/>
    <w:rsid w:val="003527EF"/>
    <w:rsid w:val="00352A47"/>
    <w:rsid w:val="00354A13"/>
    <w:rsid w:val="00355CCB"/>
    <w:rsid w:val="00357BE1"/>
    <w:rsid w:val="00357D7E"/>
    <w:rsid w:val="00361A88"/>
    <w:rsid w:val="00364200"/>
    <w:rsid w:val="00365021"/>
    <w:rsid w:val="00366ED3"/>
    <w:rsid w:val="0036778B"/>
    <w:rsid w:val="003715CC"/>
    <w:rsid w:val="00374344"/>
    <w:rsid w:val="00374B41"/>
    <w:rsid w:val="00381D01"/>
    <w:rsid w:val="00383011"/>
    <w:rsid w:val="00384332"/>
    <w:rsid w:val="00384F2F"/>
    <w:rsid w:val="00385455"/>
    <w:rsid w:val="00385F2F"/>
    <w:rsid w:val="00386845"/>
    <w:rsid w:val="00387CD1"/>
    <w:rsid w:val="003910E3"/>
    <w:rsid w:val="00393377"/>
    <w:rsid w:val="003937DD"/>
    <w:rsid w:val="00396564"/>
    <w:rsid w:val="00397769"/>
    <w:rsid w:val="0039776E"/>
    <w:rsid w:val="003A0077"/>
    <w:rsid w:val="003A1B6C"/>
    <w:rsid w:val="003A67EE"/>
    <w:rsid w:val="003A689E"/>
    <w:rsid w:val="003A6A5E"/>
    <w:rsid w:val="003A706F"/>
    <w:rsid w:val="003A74C5"/>
    <w:rsid w:val="003A7B20"/>
    <w:rsid w:val="003B27F1"/>
    <w:rsid w:val="003B2E03"/>
    <w:rsid w:val="003B3469"/>
    <w:rsid w:val="003B42DD"/>
    <w:rsid w:val="003B45AA"/>
    <w:rsid w:val="003B4AD3"/>
    <w:rsid w:val="003B7F0A"/>
    <w:rsid w:val="003C1319"/>
    <w:rsid w:val="003C3515"/>
    <w:rsid w:val="003C53C9"/>
    <w:rsid w:val="003C718D"/>
    <w:rsid w:val="003C743D"/>
    <w:rsid w:val="003D0B6F"/>
    <w:rsid w:val="003D0CDB"/>
    <w:rsid w:val="003D1CDB"/>
    <w:rsid w:val="003D4334"/>
    <w:rsid w:val="003E0FEB"/>
    <w:rsid w:val="003E3B95"/>
    <w:rsid w:val="003E4532"/>
    <w:rsid w:val="003E5518"/>
    <w:rsid w:val="003E602E"/>
    <w:rsid w:val="003E6EDA"/>
    <w:rsid w:val="003E70EB"/>
    <w:rsid w:val="003E7BE5"/>
    <w:rsid w:val="003E7FF5"/>
    <w:rsid w:val="003F08C6"/>
    <w:rsid w:val="003F091F"/>
    <w:rsid w:val="003F10FF"/>
    <w:rsid w:val="003F179F"/>
    <w:rsid w:val="003F4230"/>
    <w:rsid w:val="003F4897"/>
    <w:rsid w:val="003F7320"/>
    <w:rsid w:val="00402235"/>
    <w:rsid w:val="00403547"/>
    <w:rsid w:val="0040398E"/>
    <w:rsid w:val="00403E47"/>
    <w:rsid w:val="00407747"/>
    <w:rsid w:val="004119B4"/>
    <w:rsid w:val="00411F96"/>
    <w:rsid w:val="00413E81"/>
    <w:rsid w:val="00415B1B"/>
    <w:rsid w:val="00415D3B"/>
    <w:rsid w:val="004167AD"/>
    <w:rsid w:val="00416E30"/>
    <w:rsid w:val="00417981"/>
    <w:rsid w:val="00420047"/>
    <w:rsid w:val="00420677"/>
    <w:rsid w:val="00420BFC"/>
    <w:rsid w:val="00421E7D"/>
    <w:rsid w:val="004221B9"/>
    <w:rsid w:val="00423102"/>
    <w:rsid w:val="00423F01"/>
    <w:rsid w:val="00424FB6"/>
    <w:rsid w:val="004251F6"/>
    <w:rsid w:val="0042604D"/>
    <w:rsid w:val="00426315"/>
    <w:rsid w:val="004269B8"/>
    <w:rsid w:val="00426ADF"/>
    <w:rsid w:val="00426F8B"/>
    <w:rsid w:val="00427A26"/>
    <w:rsid w:val="004301A3"/>
    <w:rsid w:val="00431069"/>
    <w:rsid w:val="0043505D"/>
    <w:rsid w:val="004374D3"/>
    <w:rsid w:val="004410B1"/>
    <w:rsid w:val="0044179D"/>
    <w:rsid w:val="00442F47"/>
    <w:rsid w:val="00443B88"/>
    <w:rsid w:val="0044408B"/>
    <w:rsid w:val="004443CE"/>
    <w:rsid w:val="00444469"/>
    <w:rsid w:val="0044656E"/>
    <w:rsid w:val="0045287F"/>
    <w:rsid w:val="004546EB"/>
    <w:rsid w:val="004555EC"/>
    <w:rsid w:val="004578F9"/>
    <w:rsid w:val="00461AA9"/>
    <w:rsid w:val="00462C2C"/>
    <w:rsid w:val="004638C4"/>
    <w:rsid w:val="004639E3"/>
    <w:rsid w:val="00464011"/>
    <w:rsid w:val="004645BB"/>
    <w:rsid w:val="00465A32"/>
    <w:rsid w:val="004703BF"/>
    <w:rsid w:val="00474E8B"/>
    <w:rsid w:val="004774BA"/>
    <w:rsid w:val="004774E4"/>
    <w:rsid w:val="00477688"/>
    <w:rsid w:val="00481D3D"/>
    <w:rsid w:val="00481E4D"/>
    <w:rsid w:val="0048293D"/>
    <w:rsid w:val="004841E1"/>
    <w:rsid w:val="00484874"/>
    <w:rsid w:val="00484A06"/>
    <w:rsid w:val="004855BE"/>
    <w:rsid w:val="00486477"/>
    <w:rsid w:val="00486DD1"/>
    <w:rsid w:val="00490A99"/>
    <w:rsid w:val="00493A11"/>
    <w:rsid w:val="00494759"/>
    <w:rsid w:val="00495CD1"/>
    <w:rsid w:val="0049773F"/>
    <w:rsid w:val="004A4A18"/>
    <w:rsid w:val="004A4FE4"/>
    <w:rsid w:val="004A5832"/>
    <w:rsid w:val="004A6826"/>
    <w:rsid w:val="004A6F12"/>
    <w:rsid w:val="004A76EA"/>
    <w:rsid w:val="004B0340"/>
    <w:rsid w:val="004B401A"/>
    <w:rsid w:val="004B7B57"/>
    <w:rsid w:val="004C4450"/>
    <w:rsid w:val="004C638C"/>
    <w:rsid w:val="004C6DFA"/>
    <w:rsid w:val="004C7FA8"/>
    <w:rsid w:val="004D1EF6"/>
    <w:rsid w:val="004D36BE"/>
    <w:rsid w:val="004D4612"/>
    <w:rsid w:val="004D55AC"/>
    <w:rsid w:val="004D6BEA"/>
    <w:rsid w:val="004D6CA6"/>
    <w:rsid w:val="004D7348"/>
    <w:rsid w:val="004E020B"/>
    <w:rsid w:val="004E1C4B"/>
    <w:rsid w:val="004E27C3"/>
    <w:rsid w:val="004E2D38"/>
    <w:rsid w:val="004E3D80"/>
    <w:rsid w:val="004E568B"/>
    <w:rsid w:val="004E6B1F"/>
    <w:rsid w:val="004E6B45"/>
    <w:rsid w:val="004F30FA"/>
    <w:rsid w:val="004F568E"/>
    <w:rsid w:val="004F7F8F"/>
    <w:rsid w:val="00501B67"/>
    <w:rsid w:val="00501BFB"/>
    <w:rsid w:val="00501F4B"/>
    <w:rsid w:val="00502694"/>
    <w:rsid w:val="00503D0B"/>
    <w:rsid w:val="00504671"/>
    <w:rsid w:val="005047E9"/>
    <w:rsid w:val="00506C5B"/>
    <w:rsid w:val="00507B09"/>
    <w:rsid w:val="0051263F"/>
    <w:rsid w:val="005146A2"/>
    <w:rsid w:val="00515228"/>
    <w:rsid w:val="00524739"/>
    <w:rsid w:val="0052479C"/>
    <w:rsid w:val="005252EE"/>
    <w:rsid w:val="005256B5"/>
    <w:rsid w:val="005258C2"/>
    <w:rsid w:val="00526151"/>
    <w:rsid w:val="00526749"/>
    <w:rsid w:val="00526F38"/>
    <w:rsid w:val="005316BB"/>
    <w:rsid w:val="0053199C"/>
    <w:rsid w:val="00532A57"/>
    <w:rsid w:val="00533D82"/>
    <w:rsid w:val="00534623"/>
    <w:rsid w:val="0053559B"/>
    <w:rsid w:val="00536D2F"/>
    <w:rsid w:val="00536E2E"/>
    <w:rsid w:val="005374B5"/>
    <w:rsid w:val="00541076"/>
    <w:rsid w:val="00541C6F"/>
    <w:rsid w:val="005421AA"/>
    <w:rsid w:val="005436AF"/>
    <w:rsid w:val="00544512"/>
    <w:rsid w:val="00545226"/>
    <w:rsid w:val="0054619E"/>
    <w:rsid w:val="005531A8"/>
    <w:rsid w:val="005539A5"/>
    <w:rsid w:val="0055500E"/>
    <w:rsid w:val="0055580D"/>
    <w:rsid w:val="00555AEF"/>
    <w:rsid w:val="00557BA2"/>
    <w:rsid w:val="00560168"/>
    <w:rsid w:val="00561DB7"/>
    <w:rsid w:val="00563AC9"/>
    <w:rsid w:val="00563F37"/>
    <w:rsid w:val="005641CE"/>
    <w:rsid w:val="005649E5"/>
    <w:rsid w:val="00567905"/>
    <w:rsid w:val="0057087C"/>
    <w:rsid w:val="00570904"/>
    <w:rsid w:val="00575EBF"/>
    <w:rsid w:val="0057636B"/>
    <w:rsid w:val="00577211"/>
    <w:rsid w:val="0057723D"/>
    <w:rsid w:val="00580757"/>
    <w:rsid w:val="00580902"/>
    <w:rsid w:val="00580FF7"/>
    <w:rsid w:val="00582E05"/>
    <w:rsid w:val="00583F71"/>
    <w:rsid w:val="00584E11"/>
    <w:rsid w:val="005858BC"/>
    <w:rsid w:val="005860ED"/>
    <w:rsid w:val="0058709F"/>
    <w:rsid w:val="00590CFB"/>
    <w:rsid w:val="00592693"/>
    <w:rsid w:val="00593109"/>
    <w:rsid w:val="00595F57"/>
    <w:rsid w:val="005A32A8"/>
    <w:rsid w:val="005A3B96"/>
    <w:rsid w:val="005A4059"/>
    <w:rsid w:val="005A624A"/>
    <w:rsid w:val="005A6582"/>
    <w:rsid w:val="005A6EB2"/>
    <w:rsid w:val="005A74EE"/>
    <w:rsid w:val="005B2B95"/>
    <w:rsid w:val="005B3099"/>
    <w:rsid w:val="005B7B8A"/>
    <w:rsid w:val="005C0135"/>
    <w:rsid w:val="005C0F6D"/>
    <w:rsid w:val="005C2267"/>
    <w:rsid w:val="005C4F28"/>
    <w:rsid w:val="005C6A10"/>
    <w:rsid w:val="005C73F5"/>
    <w:rsid w:val="005D004E"/>
    <w:rsid w:val="005D18D0"/>
    <w:rsid w:val="005D1DED"/>
    <w:rsid w:val="005D1ED6"/>
    <w:rsid w:val="005D379B"/>
    <w:rsid w:val="005D386E"/>
    <w:rsid w:val="005D3D30"/>
    <w:rsid w:val="005D3E1F"/>
    <w:rsid w:val="005D4298"/>
    <w:rsid w:val="005D4B6A"/>
    <w:rsid w:val="005D66B5"/>
    <w:rsid w:val="005D78BA"/>
    <w:rsid w:val="005D7BD8"/>
    <w:rsid w:val="005E0E0D"/>
    <w:rsid w:val="005E1960"/>
    <w:rsid w:val="005E1EBE"/>
    <w:rsid w:val="005E2203"/>
    <w:rsid w:val="005E3A90"/>
    <w:rsid w:val="005E3F51"/>
    <w:rsid w:val="005E5E68"/>
    <w:rsid w:val="005E6F04"/>
    <w:rsid w:val="005F3586"/>
    <w:rsid w:val="005F4375"/>
    <w:rsid w:val="005F49CE"/>
    <w:rsid w:val="005F7C08"/>
    <w:rsid w:val="006068A4"/>
    <w:rsid w:val="006070BF"/>
    <w:rsid w:val="0060763A"/>
    <w:rsid w:val="00607C42"/>
    <w:rsid w:val="006117C7"/>
    <w:rsid w:val="006126D2"/>
    <w:rsid w:val="00612E52"/>
    <w:rsid w:val="00616B2D"/>
    <w:rsid w:val="006208D1"/>
    <w:rsid w:val="00621A43"/>
    <w:rsid w:val="00621C38"/>
    <w:rsid w:val="00622583"/>
    <w:rsid w:val="006235A9"/>
    <w:rsid w:val="00626467"/>
    <w:rsid w:val="006265FB"/>
    <w:rsid w:val="00627082"/>
    <w:rsid w:val="00627DCB"/>
    <w:rsid w:val="00627F1F"/>
    <w:rsid w:val="0063050D"/>
    <w:rsid w:val="006305DD"/>
    <w:rsid w:val="00630DA9"/>
    <w:rsid w:val="00631390"/>
    <w:rsid w:val="00632B2B"/>
    <w:rsid w:val="00633329"/>
    <w:rsid w:val="00635E37"/>
    <w:rsid w:val="00636389"/>
    <w:rsid w:val="006366CD"/>
    <w:rsid w:val="00636892"/>
    <w:rsid w:val="006368EF"/>
    <w:rsid w:val="006402CC"/>
    <w:rsid w:val="00642117"/>
    <w:rsid w:val="00642279"/>
    <w:rsid w:val="00646034"/>
    <w:rsid w:val="0064781A"/>
    <w:rsid w:val="00647EEA"/>
    <w:rsid w:val="00650D60"/>
    <w:rsid w:val="00651DFC"/>
    <w:rsid w:val="006529FB"/>
    <w:rsid w:val="00653A97"/>
    <w:rsid w:val="00654FBA"/>
    <w:rsid w:val="00656236"/>
    <w:rsid w:val="00660706"/>
    <w:rsid w:val="00660E80"/>
    <w:rsid w:val="00661208"/>
    <w:rsid w:val="00661299"/>
    <w:rsid w:val="00662290"/>
    <w:rsid w:val="00662E4B"/>
    <w:rsid w:val="00674B4C"/>
    <w:rsid w:val="00674F2F"/>
    <w:rsid w:val="0067503C"/>
    <w:rsid w:val="006758B5"/>
    <w:rsid w:val="00675BCA"/>
    <w:rsid w:val="00676514"/>
    <w:rsid w:val="006776BA"/>
    <w:rsid w:val="006812FC"/>
    <w:rsid w:val="00683317"/>
    <w:rsid w:val="006853F6"/>
    <w:rsid w:val="00685CA6"/>
    <w:rsid w:val="00686802"/>
    <w:rsid w:val="00690491"/>
    <w:rsid w:val="00690DF5"/>
    <w:rsid w:val="006919A4"/>
    <w:rsid w:val="00693702"/>
    <w:rsid w:val="006947BA"/>
    <w:rsid w:val="006A0477"/>
    <w:rsid w:val="006A0950"/>
    <w:rsid w:val="006A252F"/>
    <w:rsid w:val="006A50F7"/>
    <w:rsid w:val="006A63C8"/>
    <w:rsid w:val="006A7EC9"/>
    <w:rsid w:val="006B256F"/>
    <w:rsid w:val="006B26C8"/>
    <w:rsid w:val="006B2E0A"/>
    <w:rsid w:val="006B3807"/>
    <w:rsid w:val="006B4235"/>
    <w:rsid w:val="006B478A"/>
    <w:rsid w:val="006B4A03"/>
    <w:rsid w:val="006B4E47"/>
    <w:rsid w:val="006B53D6"/>
    <w:rsid w:val="006B5A1B"/>
    <w:rsid w:val="006B696D"/>
    <w:rsid w:val="006C1874"/>
    <w:rsid w:val="006C4996"/>
    <w:rsid w:val="006C5062"/>
    <w:rsid w:val="006C5C0F"/>
    <w:rsid w:val="006C6650"/>
    <w:rsid w:val="006C6E96"/>
    <w:rsid w:val="006C75EE"/>
    <w:rsid w:val="006D1640"/>
    <w:rsid w:val="006D19A1"/>
    <w:rsid w:val="006D2B9A"/>
    <w:rsid w:val="006D66E1"/>
    <w:rsid w:val="006E0AD1"/>
    <w:rsid w:val="006E1104"/>
    <w:rsid w:val="006E1B6C"/>
    <w:rsid w:val="006E3983"/>
    <w:rsid w:val="006E3ADF"/>
    <w:rsid w:val="006E443D"/>
    <w:rsid w:val="006E6667"/>
    <w:rsid w:val="006E6A00"/>
    <w:rsid w:val="006F0284"/>
    <w:rsid w:val="006F0BC2"/>
    <w:rsid w:val="006F0C11"/>
    <w:rsid w:val="006F3FEB"/>
    <w:rsid w:val="006F4220"/>
    <w:rsid w:val="006F4A33"/>
    <w:rsid w:val="006F5032"/>
    <w:rsid w:val="006F71F6"/>
    <w:rsid w:val="006F7305"/>
    <w:rsid w:val="006F7403"/>
    <w:rsid w:val="0070031B"/>
    <w:rsid w:val="007025BC"/>
    <w:rsid w:val="0070296F"/>
    <w:rsid w:val="00702F7A"/>
    <w:rsid w:val="00704ACB"/>
    <w:rsid w:val="007079BA"/>
    <w:rsid w:val="00710C37"/>
    <w:rsid w:val="0071603E"/>
    <w:rsid w:val="00720BD1"/>
    <w:rsid w:val="0072228A"/>
    <w:rsid w:val="00723C72"/>
    <w:rsid w:val="007275B6"/>
    <w:rsid w:val="00730259"/>
    <w:rsid w:val="00730B0B"/>
    <w:rsid w:val="00730DCF"/>
    <w:rsid w:val="00732001"/>
    <w:rsid w:val="00732E89"/>
    <w:rsid w:val="00735C7C"/>
    <w:rsid w:val="0073614D"/>
    <w:rsid w:val="00736A03"/>
    <w:rsid w:val="00737DE6"/>
    <w:rsid w:val="007456D7"/>
    <w:rsid w:val="007465A2"/>
    <w:rsid w:val="00746AF3"/>
    <w:rsid w:val="007479D3"/>
    <w:rsid w:val="00751441"/>
    <w:rsid w:val="00753313"/>
    <w:rsid w:val="0075414C"/>
    <w:rsid w:val="00754EF3"/>
    <w:rsid w:val="00756127"/>
    <w:rsid w:val="007568CE"/>
    <w:rsid w:val="00762330"/>
    <w:rsid w:val="007625BC"/>
    <w:rsid w:val="00763CCC"/>
    <w:rsid w:val="00763E81"/>
    <w:rsid w:val="0077061E"/>
    <w:rsid w:val="0077106B"/>
    <w:rsid w:val="00774B6B"/>
    <w:rsid w:val="007753CB"/>
    <w:rsid w:val="00775E40"/>
    <w:rsid w:val="007764C7"/>
    <w:rsid w:val="007769ED"/>
    <w:rsid w:val="00777445"/>
    <w:rsid w:val="00780182"/>
    <w:rsid w:val="007818F1"/>
    <w:rsid w:val="00783928"/>
    <w:rsid w:val="00785121"/>
    <w:rsid w:val="007860C0"/>
    <w:rsid w:val="0078734A"/>
    <w:rsid w:val="007877D4"/>
    <w:rsid w:val="0079107F"/>
    <w:rsid w:val="007916FA"/>
    <w:rsid w:val="0079187A"/>
    <w:rsid w:val="00793A5E"/>
    <w:rsid w:val="00793B86"/>
    <w:rsid w:val="0079561F"/>
    <w:rsid w:val="007956C8"/>
    <w:rsid w:val="00795B6A"/>
    <w:rsid w:val="007975B2"/>
    <w:rsid w:val="007A3492"/>
    <w:rsid w:val="007A4F5A"/>
    <w:rsid w:val="007A5719"/>
    <w:rsid w:val="007A5E16"/>
    <w:rsid w:val="007A7558"/>
    <w:rsid w:val="007B0FFE"/>
    <w:rsid w:val="007B2622"/>
    <w:rsid w:val="007B31BC"/>
    <w:rsid w:val="007B3EC0"/>
    <w:rsid w:val="007B6CBD"/>
    <w:rsid w:val="007B6F36"/>
    <w:rsid w:val="007C0A53"/>
    <w:rsid w:val="007C1AEB"/>
    <w:rsid w:val="007C251C"/>
    <w:rsid w:val="007C274D"/>
    <w:rsid w:val="007C558D"/>
    <w:rsid w:val="007C575A"/>
    <w:rsid w:val="007C69AC"/>
    <w:rsid w:val="007C6F17"/>
    <w:rsid w:val="007D0372"/>
    <w:rsid w:val="007D1DBF"/>
    <w:rsid w:val="007D206B"/>
    <w:rsid w:val="007D293C"/>
    <w:rsid w:val="007D3AE2"/>
    <w:rsid w:val="007D4B61"/>
    <w:rsid w:val="007D5B50"/>
    <w:rsid w:val="007D7B10"/>
    <w:rsid w:val="007E0F8D"/>
    <w:rsid w:val="007E7296"/>
    <w:rsid w:val="007E77D4"/>
    <w:rsid w:val="007E7B50"/>
    <w:rsid w:val="007F146C"/>
    <w:rsid w:val="007F299F"/>
    <w:rsid w:val="007F5AF2"/>
    <w:rsid w:val="007F5E1C"/>
    <w:rsid w:val="007F6814"/>
    <w:rsid w:val="007F6D88"/>
    <w:rsid w:val="007F7592"/>
    <w:rsid w:val="007F7F67"/>
    <w:rsid w:val="0080112F"/>
    <w:rsid w:val="00802F05"/>
    <w:rsid w:val="0080329E"/>
    <w:rsid w:val="00806AB3"/>
    <w:rsid w:val="00807EA9"/>
    <w:rsid w:val="008102C8"/>
    <w:rsid w:val="008108DA"/>
    <w:rsid w:val="00812417"/>
    <w:rsid w:val="00813406"/>
    <w:rsid w:val="008136CE"/>
    <w:rsid w:val="00813DF2"/>
    <w:rsid w:val="00814083"/>
    <w:rsid w:val="00815011"/>
    <w:rsid w:val="0081537F"/>
    <w:rsid w:val="00817375"/>
    <w:rsid w:val="00817AA8"/>
    <w:rsid w:val="008204F4"/>
    <w:rsid w:val="00821532"/>
    <w:rsid w:val="008268C3"/>
    <w:rsid w:val="00826DFB"/>
    <w:rsid w:val="00827AD9"/>
    <w:rsid w:val="0083055A"/>
    <w:rsid w:val="0083101A"/>
    <w:rsid w:val="00832CD0"/>
    <w:rsid w:val="00833DD4"/>
    <w:rsid w:val="00834E36"/>
    <w:rsid w:val="008372E7"/>
    <w:rsid w:val="00837978"/>
    <w:rsid w:val="00841956"/>
    <w:rsid w:val="00841A60"/>
    <w:rsid w:val="00841DA5"/>
    <w:rsid w:val="00841DDD"/>
    <w:rsid w:val="00842151"/>
    <w:rsid w:val="00845254"/>
    <w:rsid w:val="00850181"/>
    <w:rsid w:val="0085031E"/>
    <w:rsid w:val="00851D0A"/>
    <w:rsid w:val="00852BAD"/>
    <w:rsid w:val="0085536B"/>
    <w:rsid w:val="00855E6C"/>
    <w:rsid w:val="00856374"/>
    <w:rsid w:val="00856E93"/>
    <w:rsid w:val="00860624"/>
    <w:rsid w:val="008616B9"/>
    <w:rsid w:val="008619F7"/>
    <w:rsid w:val="00861D93"/>
    <w:rsid w:val="008627B6"/>
    <w:rsid w:val="0086328E"/>
    <w:rsid w:val="00865FF1"/>
    <w:rsid w:val="0086701D"/>
    <w:rsid w:val="0086732A"/>
    <w:rsid w:val="00871DD4"/>
    <w:rsid w:val="0087250D"/>
    <w:rsid w:val="0087479E"/>
    <w:rsid w:val="00875016"/>
    <w:rsid w:val="0087647D"/>
    <w:rsid w:val="00876E6E"/>
    <w:rsid w:val="008800D9"/>
    <w:rsid w:val="00880E72"/>
    <w:rsid w:val="00882279"/>
    <w:rsid w:val="008822A3"/>
    <w:rsid w:val="00882850"/>
    <w:rsid w:val="00882ECD"/>
    <w:rsid w:val="00883E8E"/>
    <w:rsid w:val="008852AB"/>
    <w:rsid w:val="0088620E"/>
    <w:rsid w:val="00887632"/>
    <w:rsid w:val="00892117"/>
    <w:rsid w:val="0089269B"/>
    <w:rsid w:val="008928C2"/>
    <w:rsid w:val="008943BA"/>
    <w:rsid w:val="00894A33"/>
    <w:rsid w:val="008968F9"/>
    <w:rsid w:val="00896900"/>
    <w:rsid w:val="008A0570"/>
    <w:rsid w:val="008A0878"/>
    <w:rsid w:val="008A0C25"/>
    <w:rsid w:val="008A1EEA"/>
    <w:rsid w:val="008A4DB1"/>
    <w:rsid w:val="008A668C"/>
    <w:rsid w:val="008B136D"/>
    <w:rsid w:val="008B371B"/>
    <w:rsid w:val="008B49ED"/>
    <w:rsid w:val="008B694C"/>
    <w:rsid w:val="008B77B0"/>
    <w:rsid w:val="008C168A"/>
    <w:rsid w:val="008C1A6C"/>
    <w:rsid w:val="008C28D1"/>
    <w:rsid w:val="008C34F5"/>
    <w:rsid w:val="008C4E30"/>
    <w:rsid w:val="008C65F6"/>
    <w:rsid w:val="008D1B1A"/>
    <w:rsid w:val="008D2B13"/>
    <w:rsid w:val="008D33B0"/>
    <w:rsid w:val="008D3B0A"/>
    <w:rsid w:val="008D49E7"/>
    <w:rsid w:val="008D5EA7"/>
    <w:rsid w:val="008D73A2"/>
    <w:rsid w:val="008D7894"/>
    <w:rsid w:val="008E00F1"/>
    <w:rsid w:val="008E19E2"/>
    <w:rsid w:val="008E272B"/>
    <w:rsid w:val="008E3C1A"/>
    <w:rsid w:val="008E4058"/>
    <w:rsid w:val="008E4C60"/>
    <w:rsid w:val="008E5137"/>
    <w:rsid w:val="008E76D0"/>
    <w:rsid w:val="008E7B9D"/>
    <w:rsid w:val="008F2192"/>
    <w:rsid w:val="008F2622"/>
    <w:rsid w:val="008F33E4"/>
    <w:rsid w:val="008F5EEE"/>
    <w:rsid w:val="008F61F1"/>
    <w:rsid w:val="00900DEE"/>
    <w:rsid w:val="009035D5"/>
    <w:rsid w:val="00905888"/>
    <w:rsid w:val="009076E5"/>
    <w:rsid w:val="00911128"/>
    <w:rsid w:val="00911DCF"/>
    <w:rsid w:val="00912FD4"/>
    <w:rsid w:val="00913D1E"/>
    <w:rsid w:val="00915177"/>
    <w:rsid w:val="009171C4"/>
    <w:rsid w:val="009173DB"/>
    <w:rsid w:val="009211CD"/>
    <w:rsid w:val="00921385"/>
    <w:rsid w:val="00921F25"/>
    <w:rsid w:val="009233E6"/>
    <w:rsid w:val="009241FE"/>
    <w:rsid w:val="00925A7F"/>
    <w:rsid w:val="00925B37"/>
    <w:rsid w:val="0093229C"/>
    <w:rsid w:val="009332FC"/>
    <w:rsid w:val="0093470C"/>
    <w:rsid w:val="009351F6"/>
    <w:rsid w:val="00935200"/>
    <w:rsid w:val="00935469"/>
    <w:rsid w:val="009364D5"/>
    <w:rsid w:val="00936794"/>
    <w:rsid w:val="00940ABE"/>
    <w:rsid w:val="00941754"/>
    <w:rsid w:val="0094280F"/>
    <w:rsid w:val="00945DB3"/>
    <w:rsid w:val="00945F13"/>
    <w:rsid w:val="00947683"/>
    <w:rsid w:val="0094781B"/>
    <w:rsid w:val="00947FBC"/>
    <w:rsid w:val="0095184A"/>
    <w:rsid w:val="00953098"/>
    <w:rsid w:val="00953419"/>
    <w:rsid w:val="00960E40"/>
    <w:rsid w:val="00961933"/>
    <w:rsid w:val="00963026"/>
    <w:rsid w:val="00963E39"/>
    <w:rsid w:val="009653A4"/>
    <w:rsid w:val="0097029B"/>
    <w:rsid w:val="00971F50"/>
    <w:rsid w:val="00972E60"/>
    <w:rsid w:val="00974080"/>
    <w:rsid w:val="0097571E"/>
    <w:rsid w:val="0097598A"/>
    <w:rsid w:val="00977208"/>
    <w:rsid w:val="00977506"/>
    <w:rsid w:val="0098028A"/>
    <w:rsid w:val="009803A0"/>
    <w:rsid w:val="00982527"/>
    <w:rsid w:val="009833C8"/>
    <w:rsid w:val="00983A6A"/>
    <w:rsid w:val="00984988"/>
    <w:rsid w:val="00984F86"/>
    <w:rsid w:val="00991034"/>
    <w:rsid w:val="009918DB"/>
    <w:rsid w:val="00991CF6"/>
    <w:rsid w:val="00992EA6"/>
    <w:rsid w:val="009937AC"/>
    <w:rsid w:val="009940D2"/>
    <w:rsid w:val="00994729"/>
    <w:rsid w:val="00995D13"/>
    <w:rsid w:val="0099626C"/>
    <w:rsid w:val="009979B7"/>
    <w:rsid w:val="009A277D"/>
    <w:rsid w:val="009A38A5"/>
    <w:rsid w:val="009A3C75"/>
    <w:rsid w:val="009A4DC6"/>
    <w:rsid w:val="009A4EFC"/>
    <w:rsid w:val="009A7E59"/>
    <w:rsid w:val="009A7EEE"/>
    <w:rsid w:val="009B0EB3"/>
    <w:rsid w:val="009B19F5"/>
    <w:rsid w:val="009B1B04"/>
    <w:rsid w:val="009B2BC5"/>
    <w:rsid w:val="009B2E28"/>
    <w:rsid w:val="009B2E4A"/>
    <w:rsid w:val="009B35BF"/>
    <w:rsid w:val="009B396E"/>
    <w:rsid w:val="009B694F"/>
    <w:rsid w:val="009C1D60"/>
    <w:rsid w:val="009C4395"/>
    <w:rsid w:val="009C69F6"/>
    <w:rsid w:val="009D088A"/>
    <w:rsid w:val="009D0CFF"/>
    <w:rsid w:val="009D23F5"/>
    <w:rsid w:val="009D2B83"/>
    <w:rsid w:val="009D2BF6"/>
    <w:rsid w:val="009D2D97"/>
    <w:rsid w:val="009D2DE3"/>
    <w:rsid w:val="009D382E"/>
    <w:rsid w:val="009D3C63"/>
    <w:rsid w:val="009D4F7D"/>
    <w:rsid w:val="009E1714"/>
    <w:rsid w:val="009E1747"/>
    <w:rsid w:val="009E1775"/>
    <w:rsid w:val="009E2367"/>
    <w:rsid w:val="009E2974"/>
    <w:rsid w:val="009E2BA0"/>
    <w:rsid w:val="009E487B"/>
    <w:rsid w:val="009E69DE"/>
    <w:rsid w:val="009E6B2F"/>
    <w:rsid w:val="009F1461"/>
    <w:rsid w:val="009F1C71"/>
    <w:rsid w:val="009F207D"/>
    <w:rsid w:val="009F4349"/>
    <w:rsid w:val="00A014E2"/>
    <w:rsid w:val="00A01886"/>
    <w:rsid w:val="00A026E8"/>
    <w:rsid w:val="00A052B7"/>
    <w:rsid w:val="00A0626B"/>
    <w:rsid w:val="00A1031E"/>
    <w:rsid w:val="00A121E1"/>
    <w:rsid w:val="00A1296C"/>
    <w:rsid w:val="00A12E51"/>
    <w:rsid w:val="00A14C6B"/>
    <w:rsid w:val="00A161DB"/>
    <w:rsid w:val="00A179D0"/>
    <w:rsid w:val="00A205A1"/>
    <w:rsid w:val="00A235D4"/>
    <w:rsid w:val="00A23B52"/>
    <w:rsid w:val="00A23B88"/>
    <w:rsid w:val="00A23E57"/>
    <w:rsid w:val="00A2586E"/>
    <w:rsid w:val="00A2683F"/>
    <w:rsid w:val="00A30C65"/>
    <w:rsid w:val="00A30F2D"/>
    <w:rsid w:val="00A31A96"/>
    <w:rsid w:val="00A321D0"/>
    <w:rsid w:val="00A326A6"/>
    <w:rsid w:val="00A32EA0"/>
    <w:rsid w:val="00A33993"/>
    <w:rsid w:val="00A35022"/>
    <w:rsid w:val="00A359F7"/>
    <w:rsid w:val="00A366B3"/>
    <w:rsid w:val="00A3672F"/>
    <w:rsid w:val="00A40BE9"/>
    <w:rsid w:val="00A43BA6"/>
    <w:rsid w:val="00A44EE0"/>
    <w:rsid w:val="00A4533D"/>
    <w:rsid w:val="00A524CE"/>
    <w:rsid w:val="00A53BFB"/>
    <w:rsid w:val="00A54FDA"/>
    <w:rsid w:val="00A572AF"/>
    <w:rsid w:val="00A57F4E"/>
    <w:rsid w:val="00A61218"/>
    <w:rsid w:val="00A6195C"/>
    <w:rsid w:val="00A61AF8"/>
    <w:rsid w:val="00A62741"/>
    <w:rsid w:val="00A64333"/>
    <w:rsid w:val="00A67668"/>
    <w:rsid w:val="00A6797C"/>
    <w:rsid w:val="00A71E13"/>
    <w:rsid w:val="00A76317"/>
    <w:rsid w:val="00A7692F"/>
    <w:rsid w:val="00A82A62"/>
    <w:rsid w:val="00A85221"/>
    <w:rsid w:val="00A86DEC"/>
    <w:rsid w:val="00A946FA"/>
    <w:rsid w:val="00A9565A"/>
    <w:rsid w:val="00A95EDE"/>
    <w:rsid w:val="00A9788D"/>
    <w:rsid w:val="00AA2D9D"/>
    <w:rsid w:val="00AB2ADE"/>
    <w:rsid w:val="00AB338F"/>
    <w:rsid w:val="00AB4369"/>
    <w:rsid w:val="00AB47B2"/>
    <w:rsid w:val="00AB4E1D"/>
    <w:rsid w:val="00AB6268"/>
    <w:rsid w:val="00AB779C"/>
    <w:rsid w:val="00AB7C26"/>
    <w:rsid w:val="00AC11C8"/>
    <w:rsid w:val="00AC35BF"/>
    <w:rsid w:val="00AC6980"/>
    <w:rsid w:val="00AC76CB"/>
    <w:rsid w:val="00AD3116"/>
    <w:rsid w:val="00AD4A6C"/>
    <w:rsid w:val="00AD4ACD"/>
    <w:rsid w:val="00AD56E5"/>
    <w:rsid w:val="00AD5DE8"/>
    <w:rsid w:val="00AD63C8"/>
    <w:rsid w:val="00AD719B"/>
    <w:rsid w:val="00AD7C94"/>
    <w:rsid w:val="00AD7D59"/>
    <w:rsid w:val="00AD7DE5"/>
    <w:rsid w:val="00AE04A3"/>
    <w:rsid w:val="00AE20DA"/>
    <w:rsid w:val="00AE2641"/>
    <w:rsid w:val="00AE36CE"/>
    <w:rsid w:val="00AE5439"/>
    <w:rsid w:val="00AE7A66"/>
    <w:rsid w:val="00AF0C49"/>
    <w:rsid w:val="00AF2B09"/>
    <w:rsid w:val="00B02F59"/>
    <w:rsid w:val="00B03922"/>
    <w:rsid w:val="00B0490C"/>
    <w:rsid w:val="00B049FA"/>
    <w:rsid w:val="00B05A00"/>
    <w:rsid w:val="00B06433"/>
    <w:rsid w:val="00B06658"/>
    <w:rsid w:val="00B10048"/>
    <w:rsid w:val="00B107E8"/>
    <w:rsid w:val="00B13638"/>
    <w:rsid w:val="00B15C5B"/>
    <w:rsid w:val="00B164A4"/>
    <w:rsid w:val="00B20C27"/>
    <w:rsid w:val="00B223C0"/>
    <w:rsid w:val="00B25776"/>
    <w:rsid w:val="00B2717A"/>
    <w:rsid w:val="00B27771"/>
    <w:rsid w:val="00B27D92"/>
    <w:rsid w:val="00B30A49"/>
    <w:rsid w:val="00B31935"/>
    <w:rsid w:val="00B32DF6"/>
    <w:rsid w:val="00B340C7"/>
    <w:rsid w:val="00B366E2"/>
    <w:rsid w:val="00B367D8"/>
    <w:rsid w:val="00B370B0"/>
    <w:rsid w:val="00B37521"/>
    <w:rsid w:val="00B3785E"/>
    <w:rsid w:val="00B37914"/>
    <w:rsid w:val="00B40B2F"/>
    <w:rsid w:val="00B4170E"/>
    <w:rsid w:val="00B429FB"/>
    <w:rsid w:val="00B42D9D"/>
    <w:rsid w:val="00B42EF3"/>
    <w:rsid w:val="00B43900"/>
    <w:rsid w:val="00B43A75"/>
    <w:rsid w:val="00B46EB2"/>
    <w:rsid w:val="00B47402"/>
    <w:rsid w:val="00B50993"/>
    <w:rsid w:val="00B52CA9"/>
    <w:rsid w:val="00B5503B"/>
    <w:rsid w:val="00B55925"/>
    <w:rsid w:val="00B56227"/>
    <w:rsid w:val="00B57B45"/>
    <w:rsid w:val="00B60310"/>
    <w:rsid w:val="00B61E23"/>
    <w:rsid w:val="00B6233A"/>
    <w:rsid w:val="00B64027"/>
    <w:rsid w:val="00B64300"/>
    <w:rsid w:val="00B64836"/>
    <w:rsid w:val="00B649AC"/>
    <w:rsid w:val="00B65544"/>
    <w:rsid w:val="00B66E3F"/>
    <w:rsid w:val="00B74B25"/>
    <w:rsid w:val="00B75BEF"/>
    <w:rsid w:val="00B766F3"/>
    <w:rsid w:val="00B77264"/>
    <w:rsid w:val="00B77E60"/>
    <w:rsid w:val="00B80728"/>
    <w:rsid w:val="00B80905"/>
    <w:rsid w:val="00B84178"/>
    <w:rsid w:val="00B841BD"/>
    <w:rsid w:val="00B85EB5"/>
    <w:rsid w:val="00B869EC"/>
    <w:rsid w:val="00B91017"/>
    <w:rsid w:val="00B91F15"/>
    <w:rsid w:val="00B93260"/>
    <w:rsid w:val="00B96E9D"/>
    <w:rsid w:val="00BA0FD8"/>
    <w:rsid w:val="00BA3484"/>
    <w:rsid w:val="00BA4542"/>
    <w:rsid w:val="00BA50BC"/>
    <w:rsid w:val="00BA69C1"/>
    <w:rsid w:val="00BA7013"/>
    <w:rsid w:val="00BB0BCD"/>
    <w:rsid w:val="00BB1468"/>
    <w:rsid w:val="00BB1836"/>
    <w:rsid w:val="00BB1FE1"/>
    <w:rsid w:val="00BB2D09"/>
    <w:rsid w:val="00BB2D8B"/>
    <w:rsid w:val="00BB41BC"/>
    <w:rsid w:val="00BB43FC"/>
    <w:rsid w:val="00BB4820"/>
    <w:rsid w:val="00BB49CB"/>
    <w:rsid w:val="00BB502F"/>
    <w:rsid w:val="00BB697E"/>
    <w:rsid w:val="00BC091F"/>
    <w:rsid w:val="00BC101B"/>
    <w:rsid w:val="00BC2904"/>
    <w:rsid w:val="00BC4C19"/>
    <w:rsid w:val="00BC4EC4"/>
    <w:rsid w:val="00BC61F0"/>
    <w:rsid w:val="00BD2522"/>
    <w:rsid w:val="00BD384B"/>
    <w:rsid w:val="00BD3B43"/>
    <w:rsid w:val="00BD6D5A"/>
    <w:rsid w:val="00BD71E0"/>
    <w:rsid w:val="00BE0B23"/>
    <w:rsid w:val="00BE2071"/>
    <w:rsid w:val="00BE289B"/>
    <w:rsid w:val="00BE2D29"/>
    <w:rsid w:val="00BE380F"/>
    <w:rsid w:val="00BE4930"/>
    <w:rsid w:val="00BE5AE5"/>
    <w:rsid w:val="00BE6077"/>
    <w:rsid w:val="00BE62CC"/>
    <w:rsid w:val="00BF0BA0"/>
    <w:rsid w:val="00BF1677"/>
    <w:rsid w:val="00BF1D04"/>
    <w:rsid w:val="00BF2770"/>
    <w:rsid w:val="00BF38D9"/>
    <w:rsid w:val="00BF5611"/>
    <w:rsid w:val="00BF5EB6"/>
    <w:rsid w:val="00C00338"/>
    <w:rsid w:val="00C011BB"/>
    <w:rsid w:val="00C011E0"/>
    <w:rsid w:val="00C0120E"/>
    <w:rsid w:val="00C0157D"/>
    <w:rsid w:val="00C01648"/>
    <w:rsid w:val="00C017AF"/>
    <w:rsid w:val="00C01A8B"/>
    <w:rsid w:val="00C029B1"/>
    <w:rsid w:val="00C04393"/>
    <w:rsid w:val="00C07094"/>
    <w:rsid w:val="00C07860"/>
    <w:rsid w:val="00C11A6B"/>
    <w:rsid w:val="00C162EE"/>
    <w:rsid w:val="00C166B3"/>
    <w:rsid w:val="00C17365"/>
    <w:rsid w:val="00C207A3"/>
    <w:rsid w:val="00C224F9"/>
    <w:rsid w:val="00C22FAB"/>
    <w:rsid w:val="00C23361"/>
    <w:rsid w:val="00C24474"/>
    <w:rsid w:val="00C25024"/>
    <w:rsid w:val="00C25DC9"/>
    <w:rsid w:val="00C2614B"/>
    <w:rsid w:val="00C276B1"/>
    <w:rsid w:val="00C30807"/>
    <w:rsid w:val="00C31A97"/>
    <w:rsid w:val="00C340C6"/>
    <w:rsid w:val="00C344D8"/>
    <w:rsid w:val="00C34E98"/>
    <w:rsid w:val="00C35F0D"/>
    <w:rsid w:val="00C36F59"/>
    <w:rsid w:val="00C42C4E"/>
    <w:rsid w:val="00C42EE2"/>
    <w:rsid w:val="00C434A3"/>
    <w:rsid w:val="00C4364F"/>
    <w:rsid w:val="00C456D7"/>
    <w:rsid w:val="00C469D6"/>
    <w:rsid w:val="00C471D5"/>
    <w:rsid w:val="00C5093A"/>
    <w:rsid w:val="00C50DB2"/>
    <w:rsid w:val="00C5417E"/>
    <w:rsid w:val="00C55905"/>
    <w:rsid w:val="00C56E0C"/>
    <w:rsid w:val="00C570B1"/>
    <w:rsid w:val="00C606C9"/>
    <w:rsid w:val="00C63036"/>
    <w:rsid w:val="00C66C4F"/>
    <w:rsid w:val="00C66CB5"/>
    <w:rsid w:val="00C66FC3"/>
    <w:rsid w:val="00C6731C"/>
    <w:rsid w:val="00C67668"/>
    <w:rsid w:val="00C72338"/>
    <w:rsid w:val="00C74A8B"/>
    <w:rsid w:val="00C76518"/>
    <w:rsid w:val="00C770E8"/>
    <w:rsid w:val="00C819B0"/>
    <w:rsid w:val="00C82521"/>
    <w:rsid w:val="00C8313A"/>
    <w:rsid w:val="00C831DB"/>
    <w:rsid w:val="00C87141"/>
    <w:rsid w:val="00C90729"/>
    <w:rsid w:val="00C92482"/>
    <w:rsid w:val="00C92F08"/>
    <w:rsid w:val="00C95FD0"/>
    <w:rsid w:val="00C979CF"/>
    <w:rsid w:val="00C97D17"/>
    <w:rsid w:val="00CA1F38"/>
    <w:rsid w:val="00CA2DCB"/>
    <w:rsid w:val="00CA43D3"/>
    <w:rsid w:val="00CA4E71"/>
    <w:rsid w:val="00CA6DB3"/>
    <w:rsid w:val="00CA714A"/>
    <w:rsid w:val="00CA7BBD"/>
    <w:rsid w:val="00CB0769"/>
    <w:rsid w:val="00CB108F"/>
    <w:rsid w:val="00CB5AD4"/>
    <w:rsid w:val="00CC4D10"/>
    <w:rsid w:val="00CD1469"/>
    <w:rsid w:val="00CD1793"/>
    <w:rsid w:val="00CD3E51"/>
    <w:rsid w:val="00CD4743"/>
    <w:rsid w:val="00CD4900"/>
    <w:rsid w:val="00CD596F"/>
    <w:rsid w:val="00CE52F0"/>
    <w:rsid w:val="00CE53B6"/>
    <w:rsid w:val="00CE5DD6"/>
    <w:rsid w:val="00CE7C82"/>
    <w:rsid w:val="00CE7F14"/>
    <w:rsid w:val="00CF2BC7"/>
    <w:rsid w:val="00CF5239"/>
    <w:rsid w:val="00CF5C8A"/>
    <w:rsid w:val="00CF68EF"/>
    <w:rsid w:val="00D013E4"/>
    <w:rsid w:val="00D02B3B"/>
    <w:rsid w:val="00D04734"/>
    <w:rsid w:val="00D04DA1"/>
    <w:rsid w:val="00D05AAB"/>
    <w:rsid w:val="00D06BE1"/>
    <w:rsid w:val="00D07906"/>
    <w:rsid w:val="00D1028B"/>
    <w:rsid w:val="00D10D16"/>
    <w:rsid w:val="00D12755"/>
    <w:rsid w:val="00D13880"/>
    <w:rsid w:val="00D14CC4"/>
    <w:rsid w:val="00D1677D"/>
    <w:rsid w:val="00D16B65"/>
    <w:rsid w:val="00D1739F"/>
    <w:rsid w:val="00D17613"/>
    <w:rsid w:val="00D23D1F"/>
    <w:rsid w:val="00D23F2C"/>
    <w:rsid w:val="00D24417"/>
    <w:rsid w:val="00D325A6"/>
    <w:rsid w:val="00D32698"/>
    <w:rsid w:val="00D360A9"/>
    <w:rsid w:val="00D365DA"/>
    <w:rsid w:val="00D36D92"/>
    <w:rsid w:val="00D372F8"/>
    <w:rsid w:val="00D42E38"/>
    <w:rsid w:val="00D43598"/>
    <w:rsid w:val="00D4384A"/>
    <w:rsid w:val="00D43DB8"/>
    <w:rsid w:val="00D4638A"/>
    <w:rsid w:val="00D51ADB"/>
    <w:rsid w:val="00D527D3"/>
    <w:rsid w:val="00D53E8E"/>
    <w:rsid w:val="00D57918"/>
    <w:rsid w:val="00D602E9"/>
    <w:rsid w:val="00D6099A"/>
    <w:rsid w:val="00D60C1B"/>
    <w:rsid w:val="00D60C1F"/>
    <w:rsid w:val="00D624E7"/>
    <w:rsid w:val="00D64840"/>
    <w:rsid w:val="00D64F09"/>
    <w:rsid w:val="00D6593F"/>
    <w:rsid w:val="00D6782B"/>
    <w:rsid w:val="00D7128B"/>
    <w:rsid w:val="00D71D72"/>
    <w:rsid w:val="00D72448"/>
    <w:rsid w:val="00D73E5E"/>
    <w:rsid w:val="00D7419B"/>
    <w:rsid w:val="00D75047"/>
    <w:rsid w:val="00D8172A"/>
    <w:rsid w:val="00D8184A"/>
    <w:rsid w:val="00D8195C"/>
    <w:rsid w:val="00D86A76"/>
    <w:rsid w:val="00D87BC8"/>
    <w:rsid w:val="00D901B6"/>
    <w:rsid w:val="00D903A4"/>
    <w:rsid w:val="00D9090A"/>
    <w:rsid w:val="00D914BE"/>
    <w:rsid w:val="00D917CA"/>
    <w:rsid w:val="00D9342B"/>
    <w:rsid w:val="00D93F34"/>
    <w:rsid w:val="00DA038A"/>
    <w:rsid w:val="00DA18F6"/>
    <w:rsid w:val="00DA1F58"/>
    <w:rsid w:val="00DA4C25"/>
    <w:rsid w:val="00DA500C"/>
    <w:rsid w:val="00DA77FC"/>
    <w:rsid w:val="00DA7A5B"/>
    <w:rsid w:val="00DB051F"/>
    <w:rsid w:val="00DB0713"/>
    <w:rsid w:val="00DB2398"/>
    <w:rsid w:val="00DB292E"/>
    <w:rsid w:val="00DB3C7A"/>
    <w:rsid w:val="00DB439A"/>
    <w:rsid w:val="00DB487D"/>
    <w:rsid w:val="00DB5189"/>
    <w:rsid w:val="00DB7A75"/>
    <w:rsid w:val="00DC147A"/>
    <w:rsid w:val="00DC1D8F"/>
    <w:rsid w:val="00DC287A"/>
    <w:rsid w:val="00DC337C"/>
    <w:rsid w:val="00DC74B7"/>
    <w:rsid w:val="00DD0C17"/>
    <w:rsid w:val="00DD312F"/>
    <w:rsid w:val="00DD461C"/>
    <w:rsid w:val="00DD5FD2"/>
    <w:rsid w:val="00DD6AB9"/>
    <w:rsid w:val="00DE08B3"/>
    <w:rsid w:val="00DE1FB2"/>
    <w:rsid w:val="00DE4698"/>
    <w:rsid w:val="00DE5A45"/>
    <w:rsid w:val="00DE782F"/>
    <w:rsid w:val="00DE79EE"/>
    <w:rsid w:val="00DE7DA5"/>
    <w:rsid w:val="00DF06F5"/>
    <w:rsid w:val="00DF2AAF"/>
    <w:rsid w:val="00DF3626"/>
    <w:rsid w:val="00DF3AA8"/>
    <w:rsid w:val="00DF4D2D"/>
    <w:rsid w:val="00DF5232"/>
    <w:rsid w:val="00DF76EF"/>
    <w:rsid w:val="00E02EEA"/>
    <w:rsid w:val="00E03FE7"/>
    <w:rsid w:val="00E045F3"/>
    <w:rsid w:val="00E05F69"/>
    <w:rsid w:val="00E06DC8"/>
    <w:rsid w:val="00E07AE3"/>
    <w:rsid w:val="00E10679"/>
    <w:rsid w:val="00E11220"/>
    <w:rsid w:val="00E114AA"/>
    <w:rsid w:val="00E11DF7"/>
    <w:rsid w:val="00E11DFF"/>
    <w:rsid w:val="00E1211F"/>
    <w:rsid w:val="00E12DB3"/>
    <w:rsid w:val="00E12F28"/>
    <w:rsid w:val="00E14E92"/>
    <w:rsid w:val="00E230D4"/>
    <w:rsid w:val="00E23A92"/>
    <w:rsid w:val="00E264CD"/>
    <w:rsid w:val="00E30891"/>
    <w:rsid w:val="00E30C4C"/>
    <w:rsid w:val="00E30F4B"/>
    <w:rsid w:val="00E3266D"/>
    <w:rsid w:val="00E332A2"/>
    <w:rsid w:val="00E3342B"/>
    <w:rsid w:val="00E34059"/>
    <w:rsid w:val="00E34074"/>
    <w:rsid w:val="00E35308"/>
    <w:rsid w:val="00E35CEB"/>
    <w:rsid w:val="00E360A9"/>
    <w:rsid w:val="00E36E1D"/>
    <w:rsid w:val="00E412C1"/>
    <w:rsid w:val="00E42535"/>
    <w:rsid w:val="00E4399D"/>
    <w:rsid w:val="00E44B82"/>
    <w:rsid w:val="00E4551A"/>
    <w:rsid w:val="00E469FF"/>
    <w:rsid w:val="00E46B9A"/>
    <w:rsid w:val="00E4735C"/>
    <w:rsid w:val="00E478E5"/>
    <w:rsid w:val="00E47B96"/>
    <w:rsid w:val="00E50FC2"/>
    <w:rsid w:val="00E52BE0"/>
    <w:rsid w:val="00E53986"/>
    <w:rsid w:val="00E54296"/>
    <w:rsid w:val="00E54509"/>
    <w:rsid w:val="00E55393"/>
    <w:rsid w:val="00E55B7E"/>
    <w:rsid w:val="00E612D7"/>
    <w:rsid w:val="00E6137A"/>
    <w:rsid w:val="00E620B6"/>
    <w:rsid w:val="00E64E41"/>
    <w:rsid w:val="00E64F51"/>
    <w:rsid w:val="00E6598C"/>
    <w:rsid w:val="00E65D11"/>
    <w:rsid w:val="00E66196"/>
    <w:rsid w:val="00E668BA"/>
    <w:rsid w:val="00E671E6"/>
    <w:rsid w:val="00E6794A"/>
    <w:rsid w:val="00E71136"/>
    <w:rsid w:val="00E71576"/>
    <w:rsid w:val="00E71EF2"/>
    <w:rsid w:val="00E72519"/>
    <w:rsid w:val="00E72F48"/>
    <w:rsid w:val="00E7479E"/>
    <w:rsid w:val="00E76C4E"/>
    <w:rsid w:val="00E77014"/>
    <w:rsid w:val="00E801A4"/>
    <w:rsid w:val="00E804DC"/>
    <w:rsid w:val="00E80579"/>
    <w:rsid w:val="00E80E0F"/>
    <w:rsid w:val="00E81D34"/>
    <w:rsid w:val="00E833B8"/>
    <w:rsid w:val="00E852CA"/>
    <w:rsid w:val="00E85347"/>
    <w:rsid w:val="00E86627"/>
    <w:rsid w:val="00E919BC"/>
    <w:rsid w:val="00E91D7E"/>
    <w:rsid w:val="00E9254A"/>
    <w:rsid w:val="00E93A6D"/>
    <w:rsid w:val="00EA0697"/>
    <w:rsid w:val="00EA0D38"/>
    <w:rsid w:val="00EA5D74"/>
    <w:rsid w:val="00EB1A9C"/>
    <w:rsid w:val="00EB359F"/>
    <w:rsid w:val="00EB3D1A"/>
    <w:rsid w:val="00EB463A"/>
    <w:rsid w:val="00EB4957"/>
    <w:rsid w:val="00EB61AE"/>
    <w:rsid w:val="00EB6A3C"/>
    <w:rsid w:val="00EC09E5"/>
    <w:rsid w:val="00EC17FF"/>
    <w:rsid w:val="00EC2AEF"/>
    <w:rsid w:val="00EC3FED"/>
    <w:rsid w:val="00EC47A5"/>
    <w:rsid w:val="00ED0359"/>
    <w:rsid w:val="00ED0D4B"/>
    <w:rsid w:val="00ED2897"/>
    <w:rsid w:val="00ED2DFD"/>
    <w:rsid w:val="00ED2E91"/>
    <w:rsid w:val="00ED330E"/>
    <w:rsid w:val="00ED3FA9"/>
    <w:rsid w:val="00ED4354"/>
    <w:rsid w:val="00ED5726"/>
    <w:rsid w:val="00ED7491"/>
    <w:rsid w:val="00ED79A5"/>
    <w:rsid w:val="00EE1F83"/>
    <w:rsid w:val="00EE5794"/>
    <w:rsid w:val="00EE5C4B"/>
    <w:rsid w:val="00EF0B6C"/>
    <w:rsid w:val="00EF25C7"/>
    <w:rsid w:val="00EF28AA"/>
    <w:rsid w:val="00EF31CB"/>
    <w:rsid w:val="00EF5889"/>
    <w:rsid w:val="00EF6920"/>
    <w:rsid w:val="00F0095C"/>
    <w:rsid w:val="00F01DEA"/>
    <w:rsid w:val="00F028DD"/>
    <w:rsid w:val="00F02C80"/>
    <w:rsid w:val="00F037B3"/>
    <w:rsid w:val="00F03D64"/>
    <w:rsid w:val="00F0406D"/>
    <w:rsid w:val="00F04DB0"/>
    <w:rsid w:val="00F04E67"/>
    <w:rsid w:val="00F0762C"/>
    <w:rsid w:val="00F10136"/>
    <w:rsid w:val="00F11005"/>
    <w:rsid w:val="00F128F2"/>
    <w:rsid w:val="00F13CDA"/>
    <w:rsid w:val="00F146DB"/>
    <w:rsid w:val="00F148ED"/>
    <w:rsid w:val="00F14C24"/>
    <w:rsid w:val="00F14EE5"/>
    <w:rsid w:val="00F15B97"/>
    <w:rsid w:val="00F15BEF"/>
    <w:rsid w:val="00F175D1"/>
    <w:rsid w:val="00F20F2F"/>
    <w:rsid w:val="00F23A70"/>
    <w:rsid w:val="00F257C8"/>
    <w:rsid w:val="00F26215"/>
    <w:rsid w:val="00F263A1"/>
    <w:rsid w:val="00F32559"/>
    <w:rsid w:val="00F33031"/>
    <w:rsid w:val="00F3313E"/>
    <w:rsid w:val="00F34037"/>
    <w:rsid w:val="00F34121"/>
    <w:rsid w:val="00F370AF"/>
    <w:rsid w:val="00F404EC"/>
    <w:rsid w:val="00F407FF"/>
    <w:rsid w:val="00F40925"/>
    <w:rsid w:val="00F40984"/>
    <w:rsid w:val="00F4225F"/>
    <w:rsid w:val="00F42ECF"/>
    <w:rsid w:val="00F4359F"/>
    <w:rsid w:val="00F43A2B"/>
    <w:rsid w:val="00F45349"/>
    <w:rsid w:val="00F45A29"/>
    <w:rsid w:val="00F477A2"/>
    <w:rsid w:val="00F47F08"/>
    <w:rsid w:val="00F50F95"/>
    <w:rsid w:val="00F52649"/>
    <w:rsid w:val="00F54082"/>
    <w:rsid w:val="00F543FD"/>
    <w:rsid w:val="00F547C2"/>
    <w:rsid w:val="00F551A7"/>
    <w:rsid w:val="00F55CF9"/>
    <w:rsid w:val="00F62E2E"/>
    <w:rsid w:val="00F633D9"/>
    <w:rsid w:val="00F63CD1"/>
    <w:rsid w:val="00F63DAF"/>
    <w:rsid w:val="00F661D0"/>
    <w:rsid w:val="00F70283"/>
    <w:rsid w:val="00F70337"/>
    <w:rsid w:val="00F739FD"/>
    <w:rsid w:val="00F74ACB"/>
    <w:rsid w:val="00F7557B"/>
    <w:rsid w:val="00F76720"/>
    <w:rsid w:val="00F76872"/>
    <w:rsid w:val="00F7717D"/>
    <w:rsid w:val="00F77247"/>
    <w:rsid w:val="00F77A09"/>
    <w:rsid w:val="00F81BCF"/>
    <w:rsid w:val="00F85109"/>
    <w:rsid w:val="00F90177"/>
    <w:rsid w:val="00F930B7"/>
    <w:rsid w:val="00F932DE"/>
    <w:rsid w:val="00FA08AE"/>
    <w:rsid w:val="00FA1893"/>
    <w:rsid w:val="00FA443D"/>
    <w:rsid w:val="00FA6AC9"/>
    <w:rsid w:val="00FA6CA1"/>
    <w:rsid w:val="00FA7381"/>
    <w:rsid w:val="00FB03CB"/>
    <w:rsid w:val="00FB295D"/>
    <w:rsid w:val="00FB2EFF"/>
    <w:rsid w:val="00FB3A87"/>
    <w:rsid w:val="00FB4736"/>
    <w:rsid w:val="00FB565F"/>
    <w:rsid w:val="00FB5B39"/>
    <w:rsid w:val="00FB64F5"/>
    <w:rsid w:val="00FB6D2F"/>
    <w:rsid w:val="00FB6F4B"/>
    <w:rsid w:val="00FB7691"/>
    <w:rsid w:val="00FC0BD3"/>
    <w:rsid w:val="00FC2AE7"/>
    <w:rsid w:val="00FC36B5"/>
    <w:rsid w:val="00FC448C"/>
    <w:rsid w:val="00FC5A85"/>
    <w:rsid w:val="00FC5EB6"/>
    <w:rsid w:val="00FC5FD2"/>
    <w:rsid w:val="00FC6DE4"/>
    <w:rsid w:val="00FC78A2"/>
    <w:rsid w:val="00FD117A"/>
    <w:rsid w:val="00FD181F"/>
    <w:rsid w:val="00FD2201"/>
    <w:rsid w:val="00FD416E"/>
    <w:rsid w:val="00FD5499"/>
    <w:rsid w:val="00FD55D4"/>
    <w:rsid w:val="00FD5DD9"/>
    <w:rsid w:val="00FD6D5B"/>
    <w:rsid w:val="00FD79D4"/>
    <w:rsid w:val="00FE24EE"/>
    <w:rsid w:val="00FE4C37"/>
    <w:rsid w:val="00FE4EAE"/>
    <w:rsid w:val="00FE636B"/>
    <w:rsid w:val="00FE6479"/>
    <w:rsid w:val="00FE7CDC"/>
    <w:rsid w:val="00FF0959"/>
    <w:rsid w:val="00FF398C"/>
    <w:rsid w:val="00FF517D"/>
    <w:rsid w:val="00FF5E7C"/>
    <w:rsid w:val="00FF6F00"/>
    <w:rsid w:val="00FF7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08208D1D-5B7F-45EC-99C6-2474E7B4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5C"/>
    <w:pPr>
      <w:spacing w:after="0" w:line="240" w:lineRule="auto"/>
    </w:pPr>
    <w:rPr>
      <w:rFonts w:ascii="Tms Rmn" w:hAnsi="Tms Rmn" w:cs="Times New Roman"/>
      <w:sz w:val="20"/>
      <w:szCs w:val="20"/>
      <w:lang w:val="en-GB"/>
    </w:rPr>
  </w:style>
  <w:style w:type="paragraph" w:styleId="Ttulo1">
    <w:name w:val="heading 1"/>
    <w:basedOn w:val="Normal"/>
    <w:next w:val="Normal"/>
    <w:link w:val="Ttulo1Car"/>
    <w:uiPriority w:val="99"/>
    <w:qFormat/>
    <w:locked/>
    <w:rsid w:val="00660706"/>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semiHidden/>
    <w:unhideWhenUsed/>
    <w:qFormat/>
    <w:locked/>
    <w:rsid w:val="00E801A4"/>
    <w:pPr>
      <w:keepNext/>
      <w:spacing w:before="240" w:after="60"/>
      <w:outlineLvl w:val="1"/>
    </w:pPr>
    <w:rPr>
      <w:rFonts w:asciiTheme="majorHAnsi" w:eastAsiaTheme="majorEastAsia" w:hAnsiTheme="majorHAnsi"/>
      <w:b/>
      <w:bCs/>
      <w:i/>
      <w:iCs/>
      <w:sz w:val="28"/>
      <w:szCs w:val="28"/>
    </w:rPr>
  </w:style>
  <w:style w:type="paragraph" w:styleId="Ttulo4">
    <w:name w:val="heading 4"/>
    <w:basedOn w:val="Normal"/>
    <w:next w:val="Normal"/>
    <w:link w:val="Ttulo4Car"/>
    <w:uiPriority w:val="9"/>
    <w:semiHidden/>
    <w:unhideWhenUsed/>
    <w:qFormat/>
    <w:locked/>
    <w:rsid w:val="0013148D"/>
    <w:pPr>
      <w:keepNext/>
      <w:spacing w:before="240" w:after="60"/>
      <w:outlineLvl w:val="3"/>
    </w:pPr>
    <w:rPr>
      <w:rFonts w:asciiTheme="minorHAnsi" w:eastAsiaTheme="minorEastAsia" w:hAnsiTheme="minorHAns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60706"/>
    <w:rPr>
      <w:rFonts w:ascii="Cambria" w:hAnsi="Cambria" w:cs="Times New Roman"/>
      <w:b/>
      <w:bCs/>
      <w:color w:val="365F91"/>
      <w:sz w:val="28"/>
      <w:szCs w:val="28"/>
      <w:lang w:val="en-GB" w:eastAsia="es-ES" w:bidi="ar-SA"/>
    </w:rPr>
  </w:style>
  <w:style w:type="character" w:customStyle="1" w:styleId="Ttulo2Car">
    <w:name w:val="Título 2 Car"/>
    <w:basedOn w:val="Fuentedeprrafopredeter"/>
    <w:link w:val="Ttulo2"/>
    <w:uiPriority w:val="99"/>
    <w:locked/>
    <w:rsid w:val="00E801A4"/>
    <w:rPr>
      <w:rFonts w:asciiTheme="majorHAnsi" w:eastAsiaTheme="majorEastAsia" w:hAnsiTheme="majorHAnsi" w:cs="Times New Roman"/>
      <w:b/>
      <w:bCs/>
      <w:i/>
      <w:iCs/>
      <w:sz w:val="28"/>
      <w:szCs w:val="28"/>
      <w:lang w:val="en-GB" w:eastAsia="x-none"/>
    </w:rPr>
  </w:style>
  <w:style w:type="character" w:customStyle="1" w:styleId="Ttulo4Car">
    <w:name w:val="Título 4 Car"/>
    <w:basedOn w:val="Fuentedeprrafopredeter"/>
    <w:link w:val="Ttulo4"/>
    <w:uiPriority w:val="9"/>
    <w:locked/>
    <w:rsid w:val="0013148D"/>
    <w:rPr>
      <w:rFonts w:asciiTheme="minorHAnsi" w:eastAsiaTheme="minorEastAsia" w:hAnsiTheme="minorHAnsi" w:cs="Times New Roman"/>
      <w:b/>
      <w:bCs/>
      <w:sz w:val="28"/>
      <w:szCs w:val="28"/>
      <w:lang w:val="en-GB" w:eastAsia="x-none"/>
    </w:rPr>
  </w:style>
  <w:style w:type="paragraph" w:styleId="Textoindependiente">
    <w:name w:val="Body Text"/>
    <w:basedOn w:val="Normal"/>
    <w:link w:val="TextoindependienteCar"/>
    <w:uiPriority w:val="99"/>
    <w:rsid w:val="00E473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E4735C"/>
    <w:rPr>
      <w:rFonts w:ascii="Verdana" w:hAnsi="Verdana" w:cs="Times New Roman"/>
      <w:spacing w:val="-3"/>
      <w:sz w:val="20"/>
      <w:szCs w:val="20"/>
      <w:lang w:val="es-ES_tradnl" w:eastAsia="es-ES"/>
    </w:rPr>
  </w:style>
  <w:style w:type="paragraph" w:styleId="Sinespaciado">
    <w:name w:val="No Spacing"/>
    <w:link w:val="SinespaciadoCar"/>
    <w:uiPriority w:val="1"/>
    <w:qFormat/>
    <w:rsid w:val="004841E1"/>
    <w:pPr>
      <w:widowControl w:val="0"/>
      <w:autoSpaceDE w:val="0"/>
      <w:autoSpaceDN w:val="0"/>
      <w:adjustRightInd w:val="0"/>
      <w:spacing w:after="0" w:line="240" w:lineRule="auto"/>
    </w:pPr>
    <w:rPr>
      <w:rFonts w:ascii="Courier New" w:hAnsi="Courier New" w:cs="Times New Roman"/>
      <w:sz w:val="24"/>
      <w:szCs w:val="20"/>
    </w:rPr>
  </w:style>
  <w:style w:type="paragraph" w:styleId="Puesto">
    <w:name w:val="Title"/>
    <w:basedOn w:val="Normal"/>
    <w:link w:val="PuestoCar"/>
    <w:uiPriority w:val="99"/>
    <w:qFormat/>
    <w:rsid w:val="00E4735C"/>
    <w:pPr>
      <w:jc w:val="center"/>
    </w:pPr>
    <w:rPr>
      <w:rFonts w:ascii="Arial" w:hAnsi="Arial"/>
      <w:b/>
      <w:i/>
      <w:sz w:val="24"/>
      <w:lang w:val="es-ES"/>
    </w:rPr>
  </w:style>
  <w:style w:type="character" w:customStyle="1" w:styleId="PuestoCar">
    <w:name w:val="Puesto Car"/>
    <w:basedOn w:val="Fuentedeprrafopredeter"/>
    <w:link w:val="Puesto"/>
    <w:uiPriority w:val="99"/>
    <w:locked/>
    <w:rsid w:val="00E4735C"/>
    <w:rPr>
      <w:rFonts w:ascii="Arial" w:hAnsi="Arial" w:cs="Times New Roman"/>
      <w:b/>
      <w:i/>
      <w:sz w:val="20"/>
      <w:szCs w:val="20"/>
      <w:lang w:val="es-ES" w:eastAsia="es-ES"/>
    </w:rPr>
  </w:style>
  <w:style w:type="paragraph" w:styleId="Prrafodelista">
    <w:name w:val="List Paragraph"/>
    <w:basedOn w:val="Normal"/>
    <w:uiPriority w:val="99"/>
    <w:qFormat/>
    <w:rsid w:val="00E4735C"/>
    <w:pPr>
      <w:ind w:left="708"/>
    </w:pPr>
    <w:rPr>
      <w:rFonts w:ascii="Calibri" w:hAnsi="Calibri"/>
      <w:lang w:val="es-ES"/>
    </w:rPr>
  </w:style>
  <w:style w:type="paragraph" w:customStyle="1" w:styleId="Textopredeterminado">
    <w:name w:val="Texto predeterminado"/>
    <w:basedOn w:val="Normal"/>
    <w:uiPriority w:val="99"/>
    <w:rsid w:val="00E4735C"/>
    <w:pPr>
      <w:overflowPunct w:val="0"/>
      <w:autoSpaceDE w:val="0"/>
      <w:autoSpaceDN w:val="0"/>
      <w:adjustRightInd w:val="0"/>
    </w:pPr>
    <w:rPr>
      <w:rFonts w:ascii="Calibri" w:hAnsi="Calibri"/>
      <w:color w:val="000000"/>
      <w:sz w:val="24"/>
      <w:lang w:val="es-ES"/>
    </w:rPr>
  </w:style>
  <w:style w:type="paragraph" w:styleId="Encabezado">
    <w:name w:val="header"/>
    <w:basedOn w:val="Normal"/>
    <w:link w:val="EncabezadoCar"/>
    <w:uiPriority w:val="99"/>
    <w:rsid w:val="00E4735C"/>
    <w:pPr>
      <w:tabs>
        <w:tab w:val="center" w:pos="4419"/>
        <w:tab w:val="right" w:pos="8838"/>
      </w:tabs>
    </w:pPr>
  </w:style>
  <w:style w:type="character" w:customStyle="1" w:styleId="EncabezadoCar">
    <w:name w:val="Encabezado Car"/>
    <w:basedOn w:val="Fuentedeprrafopredeter"/>
    <w:link w:val="Encabezado"/>
    <w:uiPriority w:val="99"/>
    <w:locked/>
    <w:rsid w:val="00E4735C"/>
    <w:rPr>
      <w:rFonts w:ascii="Tms Rmn" w:hAnsi="Tms Rmn" w:cs="Times New Roman"/>
      <w:sz w:val="20"/>
      <w:szCs w:val="20"/>
      <w:lang w:val="en-GB" w:eastAsia="es-ES"/>
    </w:rPr>
  </w:style>
  <w:style w:type="paragraph" w:styleId="Piedepgina">
    <w:name w:val="footer"/>
    <w:basedOn w:val="Normal"/>
    <w:link w:val="PiedepginaCar"/>
    <w:uiPriority w:val="99"/>
    <w:rsid w:val="00E4735C"/>
    <w:pPr>
      <w:tabs>
        <w:tab w:val="center" w:pos="4419"/>
        <w:tab w:val="right" w:pos="8838"/>
      </w:tabs>
    </w:pPr>
  </w:style>
  <w:style w:type="character" w:customStyle="1" w:styleId="PiedepginaCar">
    <w:name w:val="Pie de página Car"/>
    <w:basedOn w:val="Fuentedeprrafopredeter"/>
    <w:link w:val="Piedepgina"/>
    <w:uiPriority w:val="99"/>
    <w:locked/>
    <w:rsid w:val="00E4735C"/>
    <w:rPr>
      <w:rFonts w:ascii="Tms Rmn" w:hAnsi="Tms Rmn" w:cs="Times New Roman"/>
      <w:sz w:val="20"/>
      <w:szCs w:val="20"/>
      <w:lang w:val="en-GB" w:eastAsia="es-ES"/>
    </w:rPr>
  </w:style>
  <w:style w:type="paragraph" w:styleId="Textonotapie">
    <w:name w:val="footnote text"/>
    <w:aliases w:val="Texto nota pie Car,Footnote Text Char Char Char Char Char Car,Footnote Text Char Char Char Char Car,Footnote reference Car,FA Fu Car,Ref. de nota al pie1 Car,Ref. de nota al pie2 Car,Footnote Text Char Char Char Car Car,Ref. de nota al pi"/>
    <w:basedOn w:val="Normal"/>
    <w:link w:val="TextonotapieCar1"/>
    <w:uiPriority w:val="99"/>
    <w:rsid w:val="00E4735C"/>
  </w:style>
  <w:style w:type="paragraph" w:styleId="Listaconvietas">
    <w:name w:val="List Bullet"/>
    <w:basedOn w:val="Normal"/>
    <w:uiPriority w:val="99"/>
    <w:unhideWhenUsed/>
    <w:rsid w:val="00A366B3"/>
    <w:pPr>
      <w:numPr>
        <w:numId w:val="5"/>
      </w:numPr>
      <w:ind w:left="360"/>
      <w:contextualSpacing/>
    </w:pPr>
  </w:style>
  <w:style w:type="paragraph" w:customStyle="1" w:styleId="CarCarCarCarCarCar">
    <w:name w:val="Car Car Car Car Car Car"/>
    <w:basedOn w:val="Normal"/>
    <w:rsid w:val="006068A4"/>
    <w:pPr>
      <w:spacing w:after="160" w:line="240" w:lineRule="exact"/>
    </w:pPr>
    <w:rPr>
      <w:rFonts w:ascii="Verdana" w:hAnsi="Verdana"/>
      <w:szCs w:val="24"/>
      <w:lang w:val="en-US" w:eastAsia="en-US"/>
    </w:rPr>
  </w:style>
  <w:style w:type="character" w:styleId="nfasis">
    <w:name w:val="Emphasis"/>
    <w:basedOn w:val="Fuentedeprrafopredeter"/>
    <w:uiPriority w:val="20"/>
    <w:qFormat/>
    <w:locked/>
    <w:rsid w:val="00DD6AB9"/>
    <w:rPr>
      <w:rFonts w:cs="Times New Roman"/>
      <w:i/>
      <w:iCs/>
    </w:rPr>
  </w:style>
  <w:style w:type="paragraph" w:styleId="Revisin">
    <w:name w:val="Revision"/>
    <w:hidden/>
    <w:uiPriority w:val="99"/>
    <w:semiHidden/>
    <w:rsid w:val="00730B0B"/>
    <w:pPr>
      <w:spacing w:after="0" w:line="240" w:lineRule="auto"/>
    </w:pPr>
    <w:rPr>
      <w:rFonts w:ascii="Tms Rmn" w:hAnsi="Tms Rmn" w:cs="Times New Roman"/>
      <w:sz w:val="20"/>
      <w:szCs w:val="20"/>
      <w:lang w:val="en-GB"/>
    </w:rPr>
  </w:style>
  <w:style w:type="character" w:customStyle="1" w:styleId="TextonotapieCarCarCarCarCarCar">
    <w:name w:val="Texto nota pie Car Car Car Car Car Car"/>
    <w:aliases w:val="MI NOTA PIE DE PÁGINA (TEXTO) Car,Footnote Text Cha Car,Footnote Text Char Car"/>
    <w:basedOn w:val="Fuentedeprrafopredeter"/>
    <w:uiPriority w:val="99"/>
    <w:locked/>
    <w:rsid w:val="00661208"/>
    <w:rPr>
      <w:rFonts w:ascii="Tms Rmn" w:hAnsi="Tms Rmn" w:cs="Times New Roman"/>
      <w:sz w:val="20"/>
      <w:szCs w:val="20"/>
      <w:lang w:val="en-GB" w:eastAsia="es-ES"/>
    </w:rPr>
  </w:style>
  <w:style w:type="character" w:customStyle="1" w:styleId="SinespaciadoCar">
    <w:name w:val="Sin espaciado Car"/>
    <w:link w:val="Sinespaciado"/>
    <w:uiPriority w:val="1"/>
    <w:locked/>
    <w:rsid w:val="004841E1"/>
    <w:rPr>
      <w:rFonts w:ascii="Courier New" w:hAnsi="Courier New"/>
      <w:sz w:val="24"/>
      <w:lang w:val="es-ES" w:eastAsia="es-ES"/>
    </w:rPr>
  </w:style>
  <w:style w:type="paragraph" w:customStyle="1" w:styleId="Car4">
    <w:name w:val="Car4"/>
    <w:basedOn w:val="Normal"/>
    <w:uiPriority w:val="99"/>
    <w:rsid w:val="0027288A"/>
    <w:pPr>
      <w:spacing w:after="160" w:line="240" w:lineRule="exact"/>
      <w:jc w:val="both"/>
    </w:pPr>
    <w:rPr>
      <w:rFonts w:ascii="Tahoma" w:hAnsi="Tahoma"/>
      <w:lang w:val="en-US" w:eastAsia="en-US"/>
    </w:rPr>
  </w:style>
  <w:style w:type="character" w:customStyle="1" w:styleId="TextonotapieCar11">
    <w:name w:val="Texto nota pie Car11"/>
    <w:aliases w:val="Texto nota pie Car Car1,Footnote Text Char Char Char Char Char Car1,Footnote Text Char Char Char Char Car1,Footnote reference Car1,FA Fu Car1,Texto de nota al pie Car,referencia nota al pie Car"/>
    <w:basedOn w:val="Fuentedeprrafopredeter"/>
    <w:uiPriority w:val="99"/>
    <w:rsid w:val="00112904"/>
    <w:rPr>
      <w:rFonts w:cs="Times New Roman"/>
      <w:lang w:val="es-ES" w:eastAsia="es-ES" w:bidi="ar-SA"/>
    </w:rPr>
  </w:style>
  <w:style w:type="paragraph" w:styleId="Textodeglobo">
    <w:name w:val="Balloon Text"/>
    <w:basedOn w:val="Normal"/>
    <w:link w:val="TextodegloboCar"/>
    <w:uiPriority w:val="99"/>
    <w:semiHidden/>
    <w:rsid w:val="00E4735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4735C"/>
    <w:rPr>
      <w:rFonts w:ascii="Tahoma" w:hAnsi="Tahoma" w:cs="Tahoma"/>
      <w:sz w:val="16"/>
      <w:szCs w:val="16"/>
      <w:lang w:val="en-GB" w:eastAsia="es-ES"/>
    </w:rPr>
  </w:style>
  <w:style w:type="character" w:styleId="Refdenotaalpie">
    <w:name w:val="footnote reference"/>
    <w:aliases w:val="Texto de nota al pie,referencia nota al pie"/>
    <w:basedOn w:val="Fuentedeprrafopredeter"/>
    <w:uiPriority w:val="99"/>
    <w:rsid w:val="00E4735C"/>
    <w:rPr>
      <w:rFonts w:cs="Times New Roman"/>
      <w:vertAlign w:val="superscript"/>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r"/>
    <w:basedOn w:val="Fuentedeprrafopredeter"/>
    <w:link w:val="Textonotapie"/>
    <w:semiHidden/>
    <w:locked/>
    <w:rPr>
      <w:rFonts w:ascii="Tms Rmn" w:hAnsi="Tms Rmn" w:cs="Times New Roman"/>
      <w:sz w:val="20"/>
      <w:szCs w:val="20"/>
      <w:lang w:val="en-GB" w:eastAsia="es-ES"/>
    </w:rPr>
  </w:style>
  <w:style w:type="paragraph" w:styleId="Sangra2detindependiente">
    <w:name w:val="Body Text Indent 2"/>
    <w:basedOn w:val="Normal"/>
    <w:link w:val="Sangra2detindependienteCar"/>
    <w:uiPriority w:val="99"/>
    <w:unhideWhenUsed/>
    <w:rsid w:val="007029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0296F"/>
    <w:rPr>
      <w:rFonts w:ascii="Tms Rmn" w:hAnsi="Tms Rm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1D4B-3454-49BF-ADD1-29D69A57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4645</Words>
  <Characters>25551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13</cp:revision>
  <cp:lastPrinted>2016-11-29T18:03:00Z</cp:lastPrinted>
  <dcterms:created xsi:type="dcterms:W3CDTF">2016-10-31T12:25:00Z</dcterms:created>
  <dcterms:modified xsi:type="dcterms:W3CDTF">2017-02-14T15:56:00Z</dcterms:modified>
</cp:coreProperties>
</file>