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28" w:rsidRPr="00AB3928" w:rsidRDefault="00AB3928" w:rsidP="00AB392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AB392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AB3928">
        <w:rPr>
          <w:rFonts w:ascii="Calibri" w:eastAsia="Calibri" w:hAnsi="Calibri" w:cs="Calibri"/>
          <w:color w:val="222222"/>
          <w:sz w:val="18"/>
          <w:szCs w:val="18"/>
          <w:lang w:val="es-CO" w:eastAsia="fr-FR"/>
        </w:rPr>
        <w:t> </w:t>
      </w:r>
    </w:p>
    <w:p w:rsidR="00AB3928" w:rsidRPr="00AB3928" w:rsidRDefault="00AB3928" w:rsidP="00AB3928">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AB3928">
        <w:rPr>
          <w:rFonts w:ascii="Calibri" w:hAnsi="Calibri" w:cs="Calibri"/>
          <w:color w:val="222222"/>
          <w:sz w:val="18"/>
          <w:szCs w:val="18"/>
          <w:lang w:val="es-CO" w:eastAsia="fr-FR"/>
        </w:rPr>
        <w:t>Providencia:</w:t>
      </w:r>
      <w:r w:rsidRPr="00AB3928">
        <w:rPr>
          <w:rFonts w:ascii="Calibri" w:hAnsi="Calibri" w:cs="Calibri"/>
          <w:color w:val="222222"/>
          <w:sz w:val="18"/>
          <w:szCs w:val="18"/>
          <w:lang w:val="es-CO" w:eastAsia="fr-FR"/>
        </w:rPr>
        <w:tab/>
        <w:t>SENTENCIA DE TUTELA –1ª Instancia – 1º de diciembre de 2016</w:t>
      </w:r>
    </w:p>
    <w:p w:rsidR="00AB3928" w:rsidRPr="00AB3928" w:rsidRDefault="00AB3928" w:rsidP="00AB3928">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AB3928">
        <w:rPr>
          <w:rFonts w:ascii="Calibri" w:eastAsia="Calibri" w:hAnsi="Calibri" w:cs="Calibri"/>
          <w:color w:val="222222"/>
          <w:sz w:val="18"/>
          <w:szCs w:val="18"/>
          <w:lang w:val="es-CO" w:eastAsia="fr-FR"/>
        </w:rPr>
        <w:t>Radicación Nro. :</w:t>
      </w:r>
      <w:r w:rsidRPr="00AB3928">
        <w:rPr>
          <w:rFonts w:ascii="Calibri" w:eastAsia="Calibri" w:hAnsi="Calibri" w:cs="Calibri"/>
          <w:color w:val="222222"/>
          <w:sz w:val="18"/>
          <w:szCs w:val="18"/>
          <w:lang w:val="es-CO" w:eastAsia="fr-FR"/>
        </w:rPr>
        <w:tab/>
        <w:t xml:space="preserve">  </w:t>
      </w:r>
      <w:r w:rsidRPr="00AB3928">
        <w:rPr>
          <w:rFonts w:ascii="Calibri" w:eastAsia="Calibri" w:hAnsi="Calibri" w:cs="Calibri"/>
          <w:color w:val="222222"/>
          <w:sz w:val="18"/>
          <w:szCs w:val="18"/>
          <w:lang w:val="es-CO" w:eastAsia="fr-FR"/>
        </w:rPr>
        <w:tab/>
      </w:r>
      <w:r w:rsidRPr="00AB3928">
        <w:rPr>
          <w:rFonts w:ascii="Calibri" w:eastAsia="Calibri" w:hAnsi="Calibri" w:cs="Calibri"/>
          <w:color w:val="222222"/>
          <w:sz w:val="18"/>
          <w:szCs w:val="18"/>
          <w:lang w:eastAsia="fr-FR"/>
        </w:rPr>
        <w:t xml:space="preserve">2016-01027-00 </w:t>
      </w:r>
    </w:p>
    <w:p w:rsidR="00AB3928" w:rsidRPr="00AB3928" w:rsidRDefault="00AB3928" w:rsidP="00AB3928">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AB3928">
        <w:rPr>
          <w:rFonts w:ascii="Calibri" w:eastAsia="Calibri" w:hAnsi="Calibri" w:cs="Calibri"/>
          <w:color w:val="222222"/>
          <w:sz w:val="18"/>
          <w:szCs w:val="18"/>
          <w:lang w:val="es-CO" w:eastAsia="fr-FR"/>
        </w:rPr>
        <w:t>Accionante:</w:t>
      </w:r>
      <w:r w:rsidRPr="00AB3928">
        <w:rPr>
          <w:rFonts w:ascii="Calibri" w:eastAsia="Calibri" w:hAnsi="Calibri" w:cs="Calibri"/>
          <w:color w:val="222222"/>
          <w:sz w:val="18"/>
          <w:szCs w:val="18"/>
          <w:lang w:val="es-CO" w:eastAsia="fr-FR"/>
        </w:rPr>
        <w:tab/>
      </w:r>
      <w:r w:rsidRPr="00AB3928">
        <w:rPr>
          <w:rFonts w:ascii="Calibri" w:eastAsia="Calibri" w:hAnsi="Calibri" w:cs="Calibri"/>
          <w:color w:val="222222"/>
          <w:sz w:val="18"/>
          <w:szCs w:val="18"/>
          <w:lang w:val="es-CO" w:eastAsia="fr-FR"/>
        </w:rPr>
        <w:tab/>
      </w:r>
      <w:proofErr w:type="spellStart"/>
      <w:r w:rsidRPr="00AB3928">
        <w:rPr>
          <w:rFonts w:ascii="Calibri" w:eastAsia="Calibri" w:hAnsi="Calibri" w:cs="Calibri"/>
          <w:bCs/>
          <w:color w:val="222222"/>
          <w:sz w:val="18"/>
          <w:szCs w:val="18"/>
          <w:lang w:eastAsia="fr-FR"/>
        </w:rPr>
        <w:t>LEYDI</w:t>
      </w:r>
      <w:proofErr w:type="spellEnd"/>
      <w:r w:rsidRPr="00AB3928">
        <w:rPr>
          <w:rFonts w:ascii="Calibri" w:eastAsia="Calibri" w:hAnsi="Calibri" w:cs="Calibri"/>
          <w:bCs/>
          <w:color w:val="222222"/>
          <w:sz w:val="18"/>
          <w:szCs w:val="18"/>
          <w:lang w:eastAsia="fr-FR"/>
        </w:rPr>
        <w:t xml:space="preserve"> TATIANA GONZÁLEZ OROZCO</w:t>
      </w:r>
    </w:p>
    <w:p w:rsidR="00AB3928" w:rsidRPr="00AB3928" w:rsidRDefault="00AB3928" w:rsidP="00AB3928">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AB3928">
        <w:rPr>
          <w:rFonts w:ascii="Calibri" w:eastAsia="Calibri" w:hAnsi="Calibri" w:cs="Calibri"/>
          <w:bCs/>
          <w:color w:val="222222"/>
          <w:sz w:val="18"/>
          <w:szCs w:val="18"/>
          <w:lang w:val="es-ES_tradnl" w:eastAsia="fr-FR"/>
        </w:rPr>
        <w:t>A</w:t>
      </w:r>
      <w:proofErr w:type="spellStart"/>
      <w:r w:rsidRPr="00AB3928">
        <w:rPr>
          <w:rFonts w:ascii="Calibri" w:eastAsia="Calibri" w:hAnsi="Calibri" w:cs="Calibri"/>
          <w:color w:val="222222"/>
          <w:sz w:val="18"/>
          <w:szCs w:val="18"/>
          <w:lang w:val="es-CO" w:eastAsia="fr-FR"/>
        </w:rPr>
        <w:t>ccionados</w:t>
      </w:r>
      <w:proofErr w:type="spellEnd"/>
      <w:r w:rsidRPr="00AB3928">
        <w:rPr>
          <w:rFonts w:ascii="Calibri" w:eastAsia="Calibri" w:hAnsi="Calibri" w:cs="Calibri"/>
          <w:color w:val="222222"/>
          <w:sz w:val="18"/>
          <w:szCs w:val="18"/>
          <w:lang w:val="es-CO" w:eastAsia="fr-FR"/>
        </w:rPr>
        <w:t>:</w:t>
      </w:r>
      <w:r w:rsidRPr="00AB3928">
        <w:rPr>
          <w:rFonts w:ascii="Calibri" w:eastAsia="Calibri" w:hAnsi="Calibri" w:cs="Calibri"/>
          <w:color w:val="222222"/>
          <w:sz w:val="18"/>
          <w:szCs w:val="18"/>
          <w:lang w:val="es-CO" w:eastAsia="fr-FR"/>
        </w:rPr>
        <w:tab/>
        <w:t xml:space="preserve">      </w:t>
      </w:r>
      <w:r w:rsidRPr="00AB3928">
        <w:rPr>
          <w:rFonts w:ascii="Calibri" w:eastAsia="Calibri" w:hAnsi="Calibri" w:cs="Calibri"/>
          <w:color w:val="222222"/>
          <w:sz w:val="18"/>
          <w:szCs w:val="18"/>
          <w:lang w:val="es-CO" w:eastAsia="fr-FR"/>
        </w:rPr>
        <w:tab/>
        <w:t>JUZGADO CIVIL DEL CIRCUITO DE SANTA ROSA DE CABAL</w:t>
      </w:r>
    </w:p>
    <w:p w:rsidR="00AB3928" w:rsidRPr="00AB3928" w:rsidRDefault="00AB3928" w:rsidP="00AB3928">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AB3928">
        <w:rPr>
          <w:rFonts w:ascii="Calibri" w:eastAsia="Calibri" w:hAnsi="Calibri" w:cs="Calibri"/>
          <w:color w:val="222222"/>
          <w:sz w:val="18"/>
          <w:szCs w:val="18"/>
          <w:lang w:val="es-CO" w:eastAsia="fr-FR"/>
        </w:rPr>
        <w:t>Proceso:                </w:t>
      </w:r>
      <w:r w:rsidRPr="00AB3928">
        <w:rPr>
          <w:rFonts w:ascii="Calibri" w:eastAsia="Calibri" w:hAnsi="Calibri" w:cs="Calibri"/>
          <w:color w:val="222222"/>
          <w:sz w:val="18"/>
          <w:szCs w:val="18"/>
          <w:lang w:val="es-CO" w:eastAsia="fr-FR"/>
        </w:rPr>
        <w:tab/>
        <w:t>Acción de Tutela – Niega el amparo solicitado</w:t>
      </w:r>
    </w:p>
    <w:p w:rsidR="00AB3928" w:rsidRPr="00AB3928" w:rsidRDefault="00AB3928" w:rsidP="00AB3928">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AB3928">
        <w:rPr>
          <w:rFonts w:ascii="Calibri" w:eastAsia="Calibri" w:hAnsi="Calibri" w:cs="Calibri"/>
          <w:color w:val="222222"/>
          <w:sz w:val="18"/>
          <w:szCs w:val="18"/>
          <w:lang w:val="es-CO" w:eastAsia="fr-FR"/>
        </w:rPr>
        <w:t>Magistrado Ponente: </w:t>
      </w:r>
      <w:r w:rsidRPr="00AB3928">
        <w:rPr>
          <w:rFonts w:ascii="Calibri" w:eastAsia="Calibri" w:hAnsi="Calibri" w:cs="Calibri"/>
          <w:color w:val="222222"/>
          <w:sz w:val="18"/>
          <w:szCs w:val="18"/>
          <w:lang w:val="es-CO" w:eastAsia="fr-FR"/>
        </w:rPr>
        <w:tab/>
      </w:r>
      <w:proofErr w:type="spellStart"/>
      <w:r w:rsidRPr="00AB3928">
        <w:rPr>
          <w:rFonts w:ascii="Calibri" w:eastAsia="Calibri" w:hAnsi="Calibri" w:cs="Calibri"/>
          <w:bCs/>
          <w:iCs/>
          <w:color w:val="222222"/>
          <w:sz w:val="18"/>
          <w:szCs w:val="18"/>
          <w:lang w:eastAsia="fr-FR"/>
        </w:rPr>
        <w:t>DUBERNEY</w:t>
      </w:r>
      <w:proofErr w:type="spellEnd"/>
      <w:r w:rsidRPr="00AB3928">
        <w:rPr>
          <w:rFonts w:ascii="Calibri" w:eastAsia="Calibri" w:hAnsi="Calibri" w:cs="Calibri"/>
          <w:bCs/>
          <w:iCs/>
          <w:color w:val="222222"/>
          <w:sz w:val="18"/>
          <w:szCs w:val="18"/>
          <w:lang w:eastAsia="fr-FR"/>
        </w:rPr>
        <w:t xml:space="preserve"> GRISALES HERRERA</w:t>
      </w:r>
      <w:r w:rsidRPr="00AB3928">
        <w:rPr>
          <w:rFonts w:ascii="Calibri" w:eastAsia="Calibri" w:hAnsi="Calibri" w:cs="Calibri"/>
          <w:bCs/>
          <w:iCs/>
          <w:color w:val="222222"/>
          <w:sz w:val="18"/>
          <w:szCs w:val="18"/>
          <w:lang w:eastAsia="fr-FR"/>
        </w:rPr>
        <w:tab/>
      </w:r>
    </w:p>
    <w:p w:rsidR="00AB3928" w:rsidRPr="00AB3928" w:rsidRDefault="00AB3928" w:rsidP="00AB3928">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AB3928" w:rsidRPr="00AB3928" w:rsidRDefault="00AB3928" w:rsidP="00AB3928">
      <w:pPr>
        <w:widowControl/>
        <w:shd w:val="clear" w:color="auto" w:fill="FFFFFF"/>
        <w:autoSpaceDE/>
        <w:autoSpaceDN/>
        <w:adjustRightInd/>
        <w:spacing w:after="200"/>
        <w:jc w:val="both"/>
        <w:rPr>
          <w:rFonts w:ascii="Calibri" w:eastAsia="Calibri" w:hAnsi="Calibri" w:cs="Calibri"/>
          <w:b/>
          <w:bCs/>
          <w:color w:val="222222"/>
          <w:sz w:val="18"/>
          <w:szCs w:val="18"/>
          <w:lang w:val="es-CO" w:eastAsia="fr-FR"/>
        </w:rPr>
      </w:pPr>
      <w:r w:rsidRPr="00AB3928">
        <w:rPr>
          <w:rFonts w:ascii="Calibri" w:eastAsia="Calibri" w:hAnsi="Calibri" w:cs="Calibri"/>
          <w:b/>
          <w:bCs/>
          <w:color w:val="222222"/>
          <w:sz w:val="18"/>
          <w:szCs w:val="18"/>
          <w:lang w:val="es-CO" w:eastAsia="fr-FR"/>
        </w:rPr>
        <w:t>Temas:</w:t>
      </w:r>
      <w:r w:rsidRPr="00AB3928">
        <w:rPr>
          <w:rFonts w:ascii="Calibri" w:eastAsia="Calibri" w:hAnsi="Calibri" w:cs="Calibri"/>
          <w:b/>
          <w:bCs/>
          <w:color w:val="222222"/>
          <w:sz w:val="18"/>
          <w:szCs w:val="18"/>
          <w:lang w:val="es-CO" w:eastAsia="fr-FR"/>
        </w:rPr>
        <w:tab/>
      </w:r>
      <w:r w:rsidRPr="00AB3928">
        <w:rPr>
          <w:rFonts w:ascii="Calibri" w:eastAsia="Calibri" w:hAnsi="Calibri" w:cs="Calibri"/>
          <w:b/>
          <w:bCs/>
          <w:color w:val="222222"/>
          <w:sz w:val="18"/>
          <w:szCs w:val="18"/>
          <w:lang w:val="es-CO" w:eastAsia="fr-FR"/>
        </w:rPr>
        <w:tab/>
      </w:r>
      <w:r w:rsidRPr="00AB3928">
        <w:rPr>
          <w:rFonts w:ascii="Calibri" w:eastAsia="Calibri" w:hAnsi="Calibri" w:cs="Calibri"/>
          <w:b/>
          <w:bCs/>
          <w:color w:val="222222"/>
          <w:sz w:val="18"/>
          <w:szCs w:val="18"/>
          <w:lang w:val="es-CO" w:eastAsia="fr-FR"/>
        </w:rPr>
        <w:tab/>
        <w:t xml:space="preserve">DEBIDO PROCESO / TUTELA CONTRA PROVIDENCIA JUDICIAL / NIEGA / NO EXISTE DECISIÓN ARBITRARIA AL ORDENAR EL PAGO DEL PORTE DE CORREO PARA ENVIÓ DE LA APELACIÓN. </w:t>
      </w:r>
      <w:r w:rsidRPr="00AB3928">
        <w:rPr>
          <w:rFonts w:ascii="Calibri" w:eastAsia="Calibri" w:hAnsi="Calibri" w:cs="Calibri"/>
          <w:bCs/>
          <w:color w:val="222222"/>
          <w:sz w:val="18"/>
          <w:szCs w:val="18"/>
          <w:lang w:val="es-CO" w:eastAsia="fr-FR"/>
        </w:rPr>
        <w:t>“[C]</w:t>
      </w:r>
      <w:proofErr w:type="spellStart"/>
      <w:r w:rsidRPr="00AB3928">
        <w:rPr>
          <w:rFonts w:ascii="Calibri" w:eastAsia="Calibri" w:hAnsi="Calibri" w:cs="Calibri"/>
          <w:bCs/>
          <w:color w:val="222222"/>
          <w:sz w:val="18"/>
          <w:szCs w:val="18"/>
          <w:lang w:val="es-CO" w:eastAsia="fr-FR"/>
        </w:rPr>
        <w:t>omo</w:t>
      </w:r>
      <w:proofErr w:type="spellEnd"/>
      <w:r w:rsidRPr="00AB3928">
        <w:rPr>
          <w:rFonts w:ascii="Calibri" w:eastAsia="Calibri" w:hAnsi="Calibri" w:cs="Calibri"/>
          <w:bCs/>
          <w:color w:val="222222"/>
          <w:sz w:val="18"/>
          <w:szCs w:val="18"/>
          <w:lang w:val="es-CO" w:eastAsia="fr-FR"/>
        </w:rPr>
        <w:t xml:space="preserve"> quiera que se trata del trámite de una apelación que comporta el envío del expediente al superior, que en este caso, se encuentra en una ciudad diferente a la del juzgado, se considera apropiada la imposición al recurrente de la carga de pagar el porte de correo, puesto que la jueza accionada en uso de la discrecionalidad dada advirtió que la empresa de correos </w:t>
      </w:r>
      <w:r w:rsidRPr="00AB3928">
        <w:rPr>
          <w:rFonts w:ascii="Calibri" w:eastAsia="Calibri" w:hAnsi="Calibri" w:cs="Calibri"/>
          <w:bCs/>
          <w:i/>
          <w:color w:val="222222"/>
          <w:sz w:val="18"/>
          <w:szCs w:val="18"/>
          <w:lang w:val="es-CO" w:eastAsia="fr-FR"/>
        </w:rPr>
        <w:t>“472 La Red Postal de Colombia”</w:t>
      </w:r>
      <w:r w:rsidRPr="00AB3928">
        <w:rPr>
          <w:rFonts w:ascii="Calibri" w:eastAsia="Calibri" w:hAnsi="Calibri" w:cs="Calibri"/>
          <w:bCs/>
          <w:color w:val="222222"/>
          <w:sz w:val="18"/>
          <w:szCs w:val="18"/>
          <w:lang w:val="es-CO" w:eastAsia="fr-FR"/>
        </w:rPr>
        <w:t xml:space="preserve"> era el medio más seguro para este cometido. Es cierto que en ninguno de los apartes normativos procesales se alude a la declaratoria de deserción por el no pago del porte de correo, que sí traía el </w:t>
      </w:r>
      <w:proofErr w:type="spellStart"/>
      <w:r w:rsidRPr="00AB3928">
        <w:rPr>
          <w:rFonts w:ascii="Calibri" w:eastAsia="Calibri" w:hAnsi="Calibri" w:cs="Calibri"/>
          <w:bCs/>
          <w:color w:val="222222"/>
          <w:sz w:val="18"/>
          <w:szCs w:val="18"/>
          <w:lang w:val="es-CO" w:eastAsia="fr-FR"/>
        </w:rPr>
        <w:t>CPC</w:t>
      </w:r>
      <w:proofErr w:type="spellEnd"/>
      <w:r w:rsidRPr="00AB3928">
        <w:rPr>
          <w:rFonts w:ascii="Calibri" w:eastAsia="Calibri" w:hAnsi="Calibri" w:cs="Calibri"/>
          <w:bCs/>
          <w:color w:val="222222"/>
          <w:sz w:val="18"/>
          <w:szCs w:val="18"/>
          <w:lang w:val="es-CO" w:eastAsia="fr-FR"/>
        </w:rPr>
        <w:t xml:space="preserve">, y también, que la obligación de remitir el expediente se radica, en principio, en el secretario del despacho judicial (Artículo 324-4, </w:t>
      </w:r>
      <w:proofErr w:type="spellStart"/>
      <w:r w:rsidRPr="00AB3928">
        <w:rPr>
          <w:rFonts w:ascii="Calibri" w:eastAsia="Calibri" w:hAnsi="Calibri" w:cs="Calibri"/>
          <w:bCs/>
          <w:color w:val="222222"/>
          <w:sz w:val="18"/>
          <w:szCs w:val="18"/>
          <w:lang w:val="es-CO" w:eastAsia="fr-FR"/>
        </w:rPr>
        <w:t>CGP</w:t>
      </w:r>
      <w:proofErr w:type="spellEnd"/>
      <w:r w:rsidRPr="00AB3928">
        <w:rPr>
          <w:rFonts w:ascii="Calibri" w:eastAsia="Calibri" w:hAnsi="Calibri" w:cs="Calibri"/>
          <w:bCs/>
          <w:color w:val="222222"/>
          <w:sz w:val="18"/>
          <w:szCs w:val="18"/>
          <w:lang w:val="es-CO" w:eastAsia="fr-FR"/>
        </w:rPr>
        <w:t xml:space="preserve">), sin embargo, halla la Sala acertada la determinación de la jueza accionada de declarar desierta la impugnación, porque, si ninguna consecuencia deviniera, el incumplimiento del pago del porte de correo implicaría la suspensión indefinida de su trámite hasta tanto la parte interesada quisiera hacerlo. La carga </w:t>
      </w:r>
      <w:r w:rsidRPr="00AB3928">
        <w:rPr>
          <w:rFonts w:ascii="Calibri" w:eastAsia="Calibri" w:hAnsi="Calibri" w:cs="Calibri"/>
          <w:bCs/>
          <w:i/>
          <w:color w:val="222222"/>
          <w:sz w:val="18"/>
          <w:szCs w:val="18"/>
          <w:lang w:val="es-CO" w:eastAsia="fr-FR"/>
        </w:rPr>
        <w:t>“judicial”</w:t>
      </w:r>
      <w:r w:rsidRPr="00AB3928">
        <w:rPr>
          <w:rFonts w:ascii="Calibri" w:eastAsia="Calibri" w:hAnsi="Calibri" w:cs="Calibri"/>
          <w:bCs/>
          <w:color w:val="222222"/>
          <w:sz w:val="18"/>
          <w:szCs w:val="18"/>
          <w:lang w:val="es-CO" w:eastAsia="fr-FR"/>
        </w:rPr>
        <w:t xml:space="preserve"> que la jueza impone a una de las partes, que guarda estricta relación con el deber de colaboración con la administración de justicia, se presenta como una adicional a las contenidas en la normativa (Sustentación y pago de copias) y que también debe cumplirse para que no se trunque el trámite de la apelación. Determinar los medios idóneos para la remisión, señalar los plazos para su realización e imponer a las partes el pago de las expensas necesarias, es claramente, una potestad otorgada al juez y es, en sí misma, una carga relacionada con los presupuestos de viabilidad del recurso, por ende, su desatención no da lugar, sino a declarar desierta la apelación. Evidentemente, si la jueza dispone con arreglo al artículo 125 del </w:t>
      </w:r>
      <w:proofErr w:type="spellStart"/>
      <w:r w:rsidRPr="00AB3928">
        <w:rPr>
          <w:rFonts w:ascii="Calibri" w:eastAsia="Calibri" w:hAnsi="Calibri" w:cs="Calibri"/>
          <w:bCs/>
          <w:color w:val="222222"/>
          <w:sz w:val="18"/>
          <w:szCs w:val="18"/>
          <w:lang w:val="es-CO" w:eastAsia="fr-FR"/>
        </w:rPr>
        <w:t>CGP</w:t>
      </w:r>
      <w:proofErr w:type="spellEnd"/>
      <w:r w:rsidRPr="00AB3928">
        <w:rPr>
          <w:rFonts w:ascii="Calibri" w:eastAsia="Calibri" w:hAnsi="Calibri" w:cs="Calibri"/>
          <w:bCs/>
          <w:color w:val="222222"/>
          <w:sz w:val="18"/>
          <w:szCs w:val="18"/>
          <w:lang w:val="es-CO" w:eastAsia="fr-FR"/>
        </w:rPr>
        <w:t xml:space="preserve">, que el recurrente debe cumplir una carga </w:t>
      </w:r>
      <w:r w:rsidRPr="00AB3928">
        <w:rPr>
          <w:rFonts w:ascii="Calibri" w:eastAsia="Calibri" w:hAnsi="Calibri" w:cs="Calibri"/>
          <w:bCs/>
          <w:i/>
          <w:color w:val="222222"/>
          <w:sz w:val="18"/>
          <w:szCs w:val="18"/>
          <w:lang w:val="es-CO" w:eastAsia="fr-FR"/>
        </w:rPr>
        <w:t>“judicial”</w:t>
      </w:r>
      <w:r w:rsidRPr="00AB3928">
        <w:rPr>
          <w:rFonts w:ascii="Calibri" w:eastAsia="Calibri" w:hAnsi="Calibri" w:cs="Calibri"/>
          <w:bCs/>
          <w:color w:val="222222"/>
          <w:sz w:val="18"/>
          <w:szCs w:val="18"/>
          <w:lang w:val="es-CO" w:eastAsia="fr-FR"/>
        </w:rPr>
        <w:t xml:space="preserve"> relacionada con la remisión del expediente, a efectos de que se desate la alzada que ella misma promovió, su desatención implica la sanción de deserción, puesto que ello revela el abandono o desidia del recurrente, en cuyo único interés se surte la impugnación. Además, se itera, el trámite de la alzada no puede suspenderse por el capricho de la parte que recurre en desmedro de los intereses de las demás partes en el asunto. Una interpretación diferente, desdice de los principios de celeridad y resolución de los litigios en plazos razonables, según la nueva estructura del </w:t>
      </w:r>
      <w:proofErr w:type="spellStart"/>
      <w:r w:rsidRPr="00AB3928">
        <w:rPr>
          <w:rFonts w:ascii="Calibri" w:eastAsia="Calibri" w:hAnsi="Calibri" w:cs="Calibri"/>
          <w:bCs/>
          <w:color w:val="222222"/>
          <w:sz w:val="18"/>
          <w:szCs w:val="18"/>
          <w:lang w:val="es-CO" w:eastAsia="fr-FR"/>
        </w:rPr>
        <w:t>CGP</w:t>
      </w:r>
      <w:proofErr w:type="spellEnd"/>
      <w:r w:rsidRPr="00AB3928">
        <w:rPr>
          <w:rFonts w:ascii="Calibri" w:eastAsia="Calibri" w:hAnsi="Calibri" w:cs="Calibri"/>
          <w:bCs/>
          <w:color w:val="222222"/>
          <w:sz w:val="18"/>
          <w:szCs w:val="18"/>
          <w:lang w:val="es-CO" w:eastAsia="fr-FR"/>
        </w:rPr>
        <w:t>.”.</w:t>
      </w:r>
      <w:r w:rsidRPr="00AB3928">
        <w:rPr>
          <w:rFonts w:ascii="Calibri" w:eastAsia="Calibri" w:hAnsi="Calibri" w:cs="Calibri"/>
          <w:b/>
          <w:bCs/>
          <w:color w:val="222222"/>
          <w:sz w:val="18"/>
          <w:szCs w:val="18"/>
          <w:lang w:val="es-CO" w:eastAsia="fr-FR"/>
        </w:rPr>
        <w:t xml:space="preserve"> </w:t>
      </w:r>
    </w:p>
    <w:p w:rsidR="00AB3928" w:rsidRDefault="00AB3928" w:rsidP="00AB3928">
      <w:pPr>
        <w:widowControl/>
        <w:shd w:val="clear" w:color="auto" w:fill="FFFFFF"/>
        <w:autoSpaceDE/>
        <w:autoSpaceDN/>
        <w:adjustRightInd/>
        <w:spacing w:after="200"/>
        <w:jc w:val="both"/>
        <w:rPr>
          <w:rFonts w:ascii="Arial" w:hAnsi="Arial" w:cs="Arial"/>
          <w:w w:val="140"/>
          <w:sz w:val="14"/>
        </w:rPr>
      </w:pPr>
      <w:r w:rsidRPr="00AB3928">
        <w:rPr>
          <w:rFonts w:ascii="Calibri" w:eastAsia="Calibri" w:hAnsi="Calibri" w:cs="Calibri"/>
          <w:b/>
          <w:bCs/>
          <w:color w:val="222222"/>
          <w:sz w:val="18"/>
          <w:szCs w:val="18"/>
          <w:lang w:val="es-CO" w:eastAsia="fr-FR"/>
        </w:rPr>
        <w:t>Citación jurisprudencial:</w:t>
      </w:r>
      <w:r w:rsidRPr="00AB3928">
        <w:rPr>
          <w:rFonts w:ascii="Calibri" w:eastAsia="Calibri" w:hAnsi="Calibri" w:cs="Calibri"/>
          <w:bCs/>
          <w:color w:val="222222"/>
          <w:sz w:val="18"/>
          <w:szCs w:val="18"/>
          <w:lang w:val="es-CO" w:eastAsia="fr-FR"/>
        </w:rPr>
        <w:t xml:space="preserve"> CORTE CONSTITUCIONAL, </w:t>
      </w:r>
      <w:r w:rsidRPr="00AB3928">
        <w:rPr>
          <w:rFonts w:ascii="Calibri" w:eastAsia="Calibri" w:hAnsi="Calibri" w:cs="Calibri"/>
          <w:bCs/>
          <w:color w:val="222222"/>
          <w:sz w:val="18"/>
          <w:szCs w:val="18"/>
          <w:lang w:val="es-MX" w:eastAsia="fr-FR"/>
        </w:rPr>
        <w:t>Sentencia T-917 de 2011 /</w:t>
      </w:r>
      <w:r w:rsidRPr="00AB3928">
        <w:rPr>
          <w:rFonts w:ascii="Calibri" w:eastAsia="Calibri" w:hAnsi="Calibri" w:cs="Calibri"/>
          <w:bCs/>
          <w:color w:val="222222"/>
          <w:sz w:val="18"/>
          <w:szCs w:val="18"/>
          <w:vertAlign w:val="superscript"/>
          <w:lang w:eastAsia="fr-FR"/>
        </w:rPr>
        <w:t xml:space="preserve"> </w:t>
      </w:r>
      <w:r w:rsidRPr="00AB3928">
        <w:rPr>
          <w:rFonts w:ascii="Calibri" w:eastAsia="Calibri" w:hAnsi="Calibri" w:cs="Calibri"/>
          <w:bCs/>
          <w:color w:val="222222"/>
          <w:sz w:val="18"/>
          <w:szCs w:val="18"/>
          <w:lang w:val="es-MX" w:eastAsia="fr-FR"/>
        </w:rPr>
        <w:t xml:space="preserve">Sentencia C-590 de 2005 / </w:t>
      </w:r>
      <w:r w:rsidRPr="00AB3928">
        <w:rPr>
          <w:rFonts w:ascii="Calibri" w:eastAsia="Calibri" w:hAnsi="Calibri" w:cs="Calibri"/>
          <w:bCs/>
          <w:color w:val="222222"/>
          <w:sz w:val="18"/>
          <w:szCs w:val="18"/>
          <w:lang w:val="es-CO" w:eastAsia="fr-FR"/>
        </w:rPr>
        <w:t>Sentencias T-107 de 2016 y T-064 de 2015 /</w:t>
      </w:r>
      <w:r w:rsidRPr="00AB3928">
        <w:rPr>
          <w:rFonts w:ascii="Calibri" w:eastAsia="Calibri" w:hAnsi="Calibri" w:cs="Calibri"/>
          <w:bCs/>
          <w:color w:val="222222"/>
          <w:sz w:val="18"/>
          <w:szCs w:val="18"/>
          <w:lang w:val="es-MX" w:eastAsia="fr-FR"/>
        </w:rPr>
        <w:t xml:space="preserve"> Sentencia T-307 de 2015 /</w:t>
      </w:r>
      <w:r w:rsidRPr="00AB3928">
        <w:rPr>
          <w:rFonts w:ascii="Calibri" w:eastAsia="Calibri" w:hAnsi="Calibri" w:cs="Calibri"/>
          <w:bCs/>
          <w:color w:val="222222"/>
          <w:sz w:val="18"/>
          <w:szCs w:val="18"/>
          <w:lang w:val="es-CO" w:eastAsia="fr-FR"/>
        </w:rPr>
        <w:t xml:space="preserve"> Sentencia T-231 de 1994 / Sentencia T-831 de 2012 / Sentencia T-573 de 1997 / Sentencia T-567 de 1998 / Sentencia T-001 de 1999 /</w:t>
      </w:r>
      <w:r w:rsidRPr="00AB3928">
        <w:rPr>
          <w:rFonts w:ascii="Calibri" w:eastAsia="Calibri" w:hAnsi="Calibri" w:cs="Calibri"/>
          <w:bCs/>
          <w:color w:val="222222"/>
          <w:sz w:val="18"/>
          <w:szCs w:val="18"/>
          <w:lang w:val="es-MX" w:eastAsia="fr-FR"/>
        </w:rPr>
        <w:t xml:space="preserve"> Sentencia SU-949 de 2014 / Sentencia T-192 de 2015 /</w:t>
      </w:r>
      <w:r w:rsidRPr="00AB3928">
        <w:rPr>
          <w:rFonts w:ascii="Calibri" w:eastAsia="Calibri" w:hAnsi="Calibri" w:cs="Calibri"/>
          <w:bCs/>
          <w:color w:val="222222"/>
          <w:sz w:val="18"/>
          <w:szCs w:val="18"/>
          <w:lang w:val="es-CO" w:eastAsia="fr-FR"/>
        </w:rPr>
        <w:t xml:space="preserve"> Sentencia T-001 de 1992.</w:t>
      </w:r>
    </w:p>
    <w:p w:rsidR="00AB3928" w:rsidRDefault="00AB3928"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AB3928" w:rsidRDefault="00486062" w:rsidP="00ED7F33">
      <w:pPr>
        <w:spacing w:line="360" w:lineRule="auto"/>
        <w:jc w:val="center"/>
        <w:rPr>
          <w:rFonts w:ascii="Arial" w:hAnsi="Arial" w:cs="Arial"/>
          <w:w w:val="140"/>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proofErr w:type="spellStart"/>
      <w:r w:rsidR="008A7FFC">
        <w:rPr>
          <w:rFonts w:ascii="Arial" w:hAnsi="Arial" w:cs="Arial"/>
          <w:sz w:val="22"/>
        </w:rPr>
        <w:t>Leidy</w:t>
      </w:r>
      <w:proofErr w:type="spellEnd"/>
      <w:r w:rsidR="008A7FFC">
        <w:rPr>
          <w:rFonts w:ascii="Arial" w:hAnsi="Arial" w:cs="Arial"/>
          <w:sz w:val="22"/>
        </w:rPr>
        <w:t xml:space="preserve"> Tatiana González Orozco</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Civil del Circuito de </w:t>
      </w:r>
      <w:r w:rsidR="008A7FFC">
        <w:rPr>
          <w:rFonts w:ascii="Arial" w:hAnsi="Arial" w:cs="Arial"/>
          <w:sz w:val="22"/>
        </w:rPr>
        <w:t>Santa Rosa de Cabal</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8A7FFC">
        <w:rPr>
          <w:rFonts w:ascii="Arial" w:hAnsi="Arial" w:cs="Arial"/>
          <w:sz w:val="22"/>
          <w:szCs w:val="22"/>
        </w:rPr>
        <w:t>José Plácido Alzate Echeverry</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934393">
        <w:rPr>
          <w:rFonts w:ascii="Arial" w:hAnsi="Arial" w:cs="Arial"/>
          <w:sz w:val="22"/>
        </w:rPr>
        <w:t>2016-</w:t>
      </w:r>
      <w:r w:rsidR="008A7FFC">
        <w:rPr>
          <w:rFonts w:ascii="Arial" w:hAnsi="Arial" w:cs="Arial"/>
          <w:sz w:val="22"/>
        </w:rPr>
        <w:t>01027</w:t>
      </w:r>
      <w:r w:rsidR="00934393">
        <w:rPr>
          <w:rFonts w:ascii="Arial" w:hAnsi="Arial" w:cs="Arial"/>
          <w:sz w:val="22"/>
        </w:rPr>
        <w:t>-00 (Interna No.</w:t>
      </w:r>
      <w:r w:rsidR="008A7FFC">
        <w:rPr>
          <w:rFonts w:ascii="Arial" w:hAnsi="Arial" w:cs="Arial"/>
          <w:sz w:val="22"/>
        </w:rPr>
        <w:t>1027</w:t>
      </w:r>
      <w:r w:rsidR="00934393">
        <w:rPr>
          <w:rFonts w:ascii="Arial" w:hAnsi="Arial" w:cs="Arial"/>
          <w:sz w:val="22"/>
        </w:rPr>
        <w:t>)</w:t>
      </w:r>
    </w:p>
    <w:p w:rsidR="008E5334" w:rsidRPr="00211546"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1F36A0">
        <w:rPr>
          <w:rFonts w:ascii="Arial" w:hAnsi="Arial" w:cs="Arial"/>
          <w:sz w:val="22"/>
          <w:szCs w:val="22"/>
        </w:rPr>
        <w:t xml:space="preserve">Subsidiariedad – </w:t>
      </w:r>
      <w:r w:rsidR="0073692E">
        <w:rPr>
          <w:rFonts w:ascii="Arial" w:hAnsi="Arial" w:cs="Arial"/>
          <w:sz w:val="22"/>
          <w:szCs w:val="22"/>
        </w:rPr>
        <w:t>Defecto procedimental</w:t>
      </w:r>
      <w:r w:rsidR="001F36A0">
        <w:rPr>
          <w:rFonts w:ascii="Arial" w:hAnsi="Arial" w:cs="Arial"/>
          <w:sz w:val="22"/>
          <w:szCs w:val="22"/>
        </w:rPr>
        <w:t xml:space="preserv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w:t>
      </w:r>
      <w:r w:rsidR="003561E9">
        <w:rPr>
          <w:rFonts w:ascii="Arial" w:hAnsi="Arial"/>
          <w:sz w:val="22"/>
          <w:szCs w:val="22"/>
        </w:rPr>
        <w:t xml:space="preserve"> </w:t>
      </w:r>
      <w:r w:rsidR="00A71698">
        <w:rPr>
          <w:rFonts w:ascii="Arial" w:hAnsi="Arial"/>
          <w:sz w:val="22"/>
          <w:szCs w:val="22"/>
        </w:rPr>
        <w:t>567 del 01-12-2016</w:t>
      </w:r>
    </w:p>
    <w:p w:rsidR="002060F5" w:rsidRPr="00AB3928" w:rsidRDefault="002060F5" w:rsidP="002060F5">
      <w:pPr>
        <w:pBdr>
          <w:bottom w:val="double" w:sz="6" w:space="1" w:color="auto"/>
        </w:pBdr>
        <w:spacing w:line="360" w:lineRule="auto"/>
        <w:jc w:val="center"/>
        <w:rPr>
          <w:rFonts w:ascii="Arial" w:hAnsi="Arial" w:cs="Arial"/>
          <w:b/>
          <w:bCs/>
        </w:rPr>
      </w:pPr>
    </w:p>
    <w:p w:rsidR="00D809D6" w:rsidRPr="00AB3928" w:rsidRDefault="00D809D6" w:rsidP="00F373C4">
      <w:pPr>
        <w:spacing w:line="360" w:lineRule="auto"/>
        <w:jc w:val="center"/>
        <w:rPr>
          <w:rFonts w:ascii="Arial" w:hAnsi="Arial" w:cs="Arial"/>
          <w:b/>
          <w:bCs/>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A71698">
        <w:rPr>
          <w:rFonts w:ascii="Arial" w:hAnsi="Arial" w:cs="Arial"/>
          <w:iCs/>
          <w:smallCaps/>
          <w:sz w:val="28"/>
          <w:szCs w:val="28"/>
          <w:lang w:val="es-CO"/>
        </w:rPr>
        <w:t>primero</w:t>
      </w:r>
      <w:r w:rsidR="008A7FFC">
        <w:rPr>
          <w:rFonts w:ascii="Arial" w:hAnsi="Arial" w:cs="Arial"/>
          <w:iCs/>
          <w:smallCaps/>
          <w:sz w:val="28"/>
          <w:szCs w:val="28"/>
          <w:lang w:val="es-CO"/>
        </w:rPr>
        <w:t xml:space="preserve"> </w:t>
      </w:r>
      <w:r w:rsidRPr="00D11143">
        <w:rPr>
          <w:rFonts w:ascii="Arial" w:hAnsi="Arial" w:cs="Arial"/>
          <w:iCs/>
          <w:smallCaps/>
          <w:sz w:val="28"/>
          <w:szCs w:val="28"/>
          <w:lang w:val="es-CO"/>
        </w:rPr>
        <w:t>(</w:t>
      </w:r>
      <w:r w:rsidR="00A71698">
        <w:rPr>
          <w:rFonts w:ascii="Arial" w:hAnsi="Arial" w:cs="Arial"/>
          <w:iCs/>
          <w:smallCaps/>
          <w:sz w:val="28"/>
          <w:szCs w:val="28"/>
          <w:lang w:val="es-CO"/>
        </w:rPr>
        <w:t>1º</w:t>
      </w:r>
      <w:r w:rsidRPr="00D11143">
        <w:rPr>
          <w:rFonts w:ascii="Arial" w:hAnsi="Arial" w:cs="Arial"/>
          <w:iCs/>
          <w:smallCaps/>
          <w:sz w:val="28"/>
          <w:szCs w:val="28"/>
          <w:lang w:val="es-CO"/>
        </w:rPr>
        <w:t xml:space="preserve">) de </w:t>
      </w:r>
      <w:r w:rsidR="00A71698">
        <w:rPr>
          <w:rFonts w:ascii="Arial" w:hAnsi="Arial" w:cs="Arial"/>
          <w:iCs/>
          <w:smallCaps/>
          <w:sz w:val="28"/>
          <w:szCs w:val="28"/>
          <w:lang w:val="es-CO"/>
        </w:rPr>
        <w:t xml:space="preserve">diciembre </w:t>
      </w:r>
      <w:r w:rsidRPr="00D11143">
        <w:rPr>
          <w:rFonts w:ascii="Arial" w:hAnsi="Arial" w:cs="Arial"/>
          <w:iCs/>
          <w:smallCaps/>
          <w:sz w:val="28"/>
          <w:szCs w:val="28"/>
          <w:lang w:val="es-CO"/>
        </w:rPr>
        <w:t xml:space="preserve">de dos mil </w:t>
      </w:r>
      <w:r w:rsidR="000C5EA2" w:rsidRPr="00D11143">
        <w:rPr>
          <w:rFonts w:ascii="Arial" w:hAnsi="Arial" w:cs="Arial"/>
          <w:iCs/>
          <w:smallCaps/>
          <w:sz w:val="28"/>
          <w:szCs w:val="28"/>
          <w:lang w:val="es-CO"/>
        </w:rPr>
        <w:t xml:space="preserve">dieciséis </w:t>
      </w:r>
      <w:r w:rsidRPr="00D11143">
        <w:rPr>
          <w:rFonts w:ascii="Arial" w:hAnsi="Arial" w:cs="Arial"/>
          <w:iCs/>
          <w:smallCaps/>
          <w:sz w:val="28"/>
          <w:szCs w:val="28"/>
          <w:lang w:val="es-CO"/>
        </w:rPr>
        <w:t>(</w:t>
      </w:r>
      <w:r w:rsidR="000C5EA2" w:rsidRPr="00D11143">
        <w:rPr>
          <w:rFonts w:ascii="Arial" w:hAnsi="Arial" w:cs="Arial"/>
          <w:iCs/>
          <w:smallCaps/>
          <w:sz w:val="28"/>
          <w:szCs w:val="28"/>
          <w:lang w:val="es-CO"/>
        </w:rPr>
        <w:t>2016</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Default="000147A2" w:rsidP="0099045D">
      <w:pPr>
        <w:spacing w:line="360" w:lineRule="auto"/>
        <w:jc w:val="center"/>
        <w:rPr>
          <w:rFonts w:ascii="Arial" w:hAnsi="Arial" w:cs="Arial"/>
          <w:b/>
          <w:bCs/>
          <w:lang w:val="es-CO"/>
        </w:rPr>
      </w:pPr>
    </w:p>
    <w:p w:rsidR="00CB272A" w:rsidRPr="00934393" w:rsidRDefault="00934393" w:rsidP="00CB272A">
      <w:pPr>
        <w:pStyle w:val="Corpsdetexte"/>
        <w:numPr>
          <w:ilvl w:val="0"/>
          <w:numId w:val="1"/>
        </w:numPr>
        <w:spacing w:line="360" w:lineRule="auto"/>
        <w:rPr>
          <w:rFonts w:ascii="Arial" w:hAnsi="Arial"/>
          <w:smallCaps/>
          <w:sz w:val="28"/>
          <w:szCs w:val="24"/>
        </w:rPr>
      </w:pPr>
      <w:r>
        <w:rPr>
          <w:rFonts w:ascii="Arial" w:hAnsi="Arial"/>
          <w:smallCaps/>
          <w:sz w:val="28"/>
          <w:szCs w:val="24"/>
        </w:rPr>
        <w:lastRenderedPageBreak/>
        <w:t>E</w:t>
      </w:r>
      <w:r w:rsidRPr="00934393">
        <w:rPr>
          <w:rFonts w:ascii="Arial" w:hAnsi="Arial"/>
          <w:smallCaps/>
          <w:sz w:val="28"/>
          <w:szCs w:val="24"/>
        </w:rPr>
        <w:t>l asunto por decidir</w:t>
      </w:r>
    </w:p>
    <w:p w:rsidR="00CB272A" w:rsidRPr="00F9418E" w:rsidRDefault="00CB272A" w:rsidP="00CB272A">
      <w:pPr>
        <w:pStyle w:val="Corpsdetexte"/>
        <w:spacing w:line="360" w:lineRule="auto"/>
        <w:rPr>
          <w:rFonts w:ascii="Arial" w:hAnsi="Arial"/>
          <w:szCs w:val="24"/>
        </w:rPr>
      </w:pPr>
    </w:p>
    <w:p w:rsidR="00CB272A" w:rsidRDefault="00934393" w:rsidP="00CB272A">
      <w:pPr>
        <w:pStyle w:val="Corpsdetexte"/>
        <w:spacing w:line="360" w:lineRule="auto"/>
        <w:rPr>
          <w:rFonts w:ascii="Arial" w:hAnsi="Arial"/>
          <w:szCs w:val="24"/>
        </w:rPr>
      </w:pPr>
      <w:r>
        <w:rPr>
          <w:rFonts w:ascii="Arial" w:hAnsi="Arial"/>
          <w:szCs w:val="24"/>
        </w:rPr>
        <w:t xml:space="preserve">El amparo constitucional de la referencia, </w:t>
      </w:r>
      <w:r w:rsidR="00CB272A">
        <w:rPr>
          <w:rFonts w:ascii="Arial" w:hAnsi="Arial"/>
          <w:szCs w:val="24"/>
        </w:rPr>
        <w:t xml:space="preserve">adelantadas </w:t>
      </w:r>
      <w:r w:rsidR="00CB272A" w:rsidRPr="00F9418E">
        <w:rPr>
          <w:rFonts w:ascii="Arial" w:hAnsi="Arial"/>
          <w:szCs w:val="24"/>
        </w:rPr>
        <w:t>la</w:t>
      </w:r>
      <w:r w:rsidR="00CB272A">
        <w:rPr>
          <w:rFonts w:ascii="Arial" w:hAnsi="Arial"/>
          <w:szCs w:val="24"/>
        </w:rPr>
        <w:t>s</w:t>
      </w:r>
      <w:r w:rsidR="00CB272A" w:rsidRPr="00F9418E">
        <w:rPr>
          <w:rFonts w:ascii="Arial" w:hAnsi="Arial"/>
          <w:szCs w:val="24"/>
        </w:rPr>
        <w:t xml:space="preserve"> </w:t>
      </w:r>
      <w:r w:rsidR="00CB272A">
        <w:rPr>
          <w:rFonts w:ascii="Arial" w:hAnsi="Arial"/>
          <w:szCs w:val="24"/>
        </w:rPr>
        <w:t xml:space="preserve">debidas </w:t>
      </w:r>
      <w:r w:rsidR="00CB272A" w:rsidRPr="00F9418E">
        <w:rPr>
          <w:rFonts w:ascii="Arial" w:hAnsi="Arial"/>
          <w:szCs w:val="24"/>
        </w:rPr>
        <w:t>actuaci</w:t>
      </w:r>
      <w:r w:rsidR="00CB272A">
        <w:rPr>
          <w:rFonts w:ascii="Arial" w:hAnsi="Arial"/>
          <w:szCs w:val="24"/>
        </w:rPr>
        <w:t>ones</w:t>
      </w:r>
      <w:r w:rsidR="00CB272A" w:rsidRPr="00F9418E">
        <w:rPr>
          <w:rFonts w:ascii="Arial" w:hAnsi="Arial"/>
          <w:szCs w:val="24"/>
        </w:rPr>
        <w:t xml:space="preserve"> con el</w:t>
      </w:r>
      <w:r w:rsidR="00CB272A">
        <w:rPr>
          <w:rFonts w:ascii="Arial" w:hAnsi="Arial"/>
          <w:szCs w:val="24"/>
        </w:rPr>
        <w:t xml:space="preserve"> </w:t>
      </w:r>
      <w:r w:rsidR="00CB272A" w:rsidRPr="00F9418E">
        <w:rPr>
          <w:rFonts w:ascii="Arial" w:hAnsi="Arial"/>
          <w:szCs w:val="24"/>
        </w:rPr>
        <w:t xml:space="preserve">trámite preferente y sumario, sin que se </w:t>
      </w:r>
      <w:r w:rsidR="00CB272A">
        <w:rPr>
          <w:rFonts w:ascii="Arial" w:hAnsi="Arial"/>
          <w:szCs w:val="24"/>
        </w:rPr>
        <w:t xml:space="preserve">evidencien </w:t>
      </w:r>
      <w:r w:rsidR="00CB272A" w:rsidRPr="00F9418E">
        <w:rPr>
          <w:rFonts w:ascii="Arial" w:hAnsi="Arial"/>
          <w:szCs w:val="24"/>
        </w:rPr>
        <w:t xml:space="preserve">causales de nulidad que </w:t>
      </w:r>
      <w:r>
        <w:rPr>
          <w:rFonts w:ascii="Arial" w:hAnsi="Arial"/>
          <w:szCs w:val="24"/>
        </w:rPr>
        <w:t>lo invalide</w:t>
      </w:r>
      <w:r w:rsidR="00CB272A" w:rsidRPr="00F9418E">
        <w:rPr>
          <w:rFonts w:ascii="Arial" w:hAnsi="Arial"/>
          <w:szCs w:val="24"/>
        </w:rPr>
        <w:t>.</w:t>
      </w:r>
    </w:p>
    <w:p w:rsidR="00CB272A" w:rsidRPr="00BA69B4" w:rsidRDefault="00CB272A" w:rsidP="00CB272A">
      <w:pPr>
        <w:pStyle w:val="Corpsdetexte"/>
        <w:spacing w:line="360" w:lineRule="auto"/>
        <w:rPr>
          <w:rFonts w:ascii="Arial" w:hAnsi="Arial"/>
          <w:szCs w:val="24"/>
        </w:rPr>
      </w:pPr>
    </w:p>
    <w:p w:rsidR="00CB272A" w:rsidRPr="00934393" w:rsidRDefault="00934393" w:rsidP="00CB272A">
      <w:pPr>
        <w:pStyle w:val="Corpsdetexte"/>
        <w:numPr>
          <w:ilvl w:val="0"/>
          <w:numId w:val="1"/>
        </w:numPr>
        <w:spacing w:line="360" w:lineRule="auto"/>
        <w:rPr>
          <w:rFonts w:ascii="Arial" w:hAnsi="Arial"/>
          <w:smallCaps/>
          <w:szCs w:val="24"/>
        </w:rPr>
      </w:pPr>
      <w:r w:rsidRPr="00934393">
        <w:rPr>
          <w:rFonts w:ascii="Arial" w:hAnsi="Arial"/>
          <w:smallCaps/>
          <w:sz w:val="28"/>
          <w:szCs w:val="24"/>
        </w:rPr>
        <w:t>La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8A7FFC" w:rsidP="00CB272A">
      <w:pPr>
        <w:spacing w:line="360" w:lineRule="auto"/>
        <w:jc w:val="both"/>
        <w:rPr>
          <w:rFonts w:ascii="Arial" w:hAnsi="Arial" w:cs="Arial"/>
        </w:rPr>
      </w:pPr>
      <w:r>
        <w:rPr>
          <w:rFonts w:ascii="Arial" w:hAnsi="Arial" w:cs="Arial"/>
        </w:rPr>
        <w:t>Se i</w:t>
      </w:r>
      <w:r w:rsidR="00CB272A">
        <w:rPr>
          <w:rFonts w:ascii="Arial" w:hAnsi="Arial" w:cs="Arial"/>
        </w:rPr>
        <w:t xml:space="preserve">ndicó </w:t>
      </w:r>
      <w:r>
        <w:rPr>
          <w:rFonts w:ascii="Arial" w:hAnsi="Arial" w:cs="Arial"/>
        </w:rPr>
        <w:t xml:space="preserve">que la accionante </w:t>
      </w:r>
      <w:r w:rsidR="00CB272A">
        <w:rPr>
          <w:rFonts w:ascii="Arial" w:hAnsi="Arial" w:cs="Arial"/>
        </w:rPr>
        <w:t xml:space="preserve">presentó ante </w:t>
      </w:r>
      <w:r w:rsidR="00343F0C">
        <w:rPr>
          <w:rFonts w:ascii="Arial" w:hAnsi="Arial" w:cs="Arial"/>
        </w:rPr>
        <w:t>el juzgado</w:t>
      </w:r>
      <w:r>
        <w:rPr>
          <w:rFonts w:ascii="Arial" w:hAnsi="Arial" w:cs="Arial"/>
        </w:rPr>
        <w:t xml:space="preserve"> proceso ordinario de declaración de unió marital de hecho</w:t>
      </w:r>
      <w:r w:rsidR="00CB272A">
        <w:rPr>
          <w:rFonts w:ascii="Arial" w:hAnsi="Arial" w:cs="Arial"/>
        </w:rPr>
        <w:t xml:space="preserve"> </w:t>
      </w:r>
      <w:r w:rsidR="00934393">
        <w:rPr>
          <w:rFonts w:ascii="Arial" w:hAnsi="Arial" w:cs="Arial"/>
        </w:rPr>
        <w:t>radicada al No.</w:t>
      </w:r>
      <w:r>
        <w:rPr>
          <w:rFonts w:ascii="Arial" w:hAnsi="Arial" w:cs="Arial"/>
        </w:rPr>
        <w:t>2012-00220-00</w:t>
      </w:r>
      <w:r w:rsidR="0075088B">
        <w:rPr>
          <w:rFonts w:ascii="Arial" w:hAnsi="Arial" w:cs="Arial"/>
        </w:rPr>
        <w:t>,</w:t>
      </w:r>
      <w:r w:rsidR="00CB272A">
        <w:rPr>
          <w:rFonts w:ascii="Arial" w:hAnsi="Arial" w:cs="Arial"/>
        </w:rPr>
        <w:t xml:space="preserve"> </w:t>
      </w:r>
      <w:r w:rsidR="00934393">
        <w:rPr>
          <w:rFonts w:ascii="Arial" w:hAnsi="Arial" w:cs="Arial"/>
        </w:rPr>
        <w:t xml:space="preserve">que </w:t>
      </w:r>
      <w:r>
        <w:rPr>
          <w:rFonts w:ascii="Arial" w:hAnsi="Arial" w:cs="Arial"/>
        </w:rPr>
        <w:t xml:space="preserve">con auto del </w:t>
      </w:r>
      <w:r w:rsidR="00D45B7D">
        <w:rPr>
          <w:rFonts w:ascii="Arial" w:hAnsi="Arial" w:cs="Arial"/>
        </w:rPr>
        <w:t xml:space="preserve">día </w:t>
      </w:r>
      <w:r>
        <w:rPr>
          <w:rFonts w:ascii="Arial" w:hAnsi="Arial" w:cs="Arial"/>
        </w:rPr>
        <w:t xml:space="preserve">18-07-2016 se concedió la apelación contra el auto del </w:t>
      </w:r>
      <w:r w:rsidR="00D45B7D">
        <w:rPr>
          <w:rFonts w:ascii="Arial" w:hAnsi="Arial" w:cs="Arial"/>
        </w:rPr>
        <w:t xml:space="preserve">día 16-06-2016, y se ordenó pagar las expensas para la expedición de las copias necesarias. Refirió que pagó los dineros exigidos y que luego de visitar en varias oportunidades el Despacho judicial accionado y esta </w:t>
      </w:r>
      <w:r w:rsidR="00D45B7D">
        <w:rPr>
          <w:rFonts w:ascii="Arial" w:hAnsi="Arial" w:cs="Arial"/>
          <w:lang w:val="es-CO"/>
        </w:rPr>
        <w:t>Corporación para averiguar sobre el envío y encontró que el día 04-10-2016 se declaró desierta la alzada porque no pagó el porte de ida y regreso</w:t>
      </w:r>
      <w:r w:rsidR="006803AE">
        <w:rPr>
          <w:rFonts w:ascii="Arial" w:hAnsi="Arial" w:cs="Arial"/>
          <w:lang w:val="es-CO"/>
        </w:rPr>
        <w:t>;</w:t>
      </w:r>
      <w:r w:rsidR="00D45B7D">
        <w:rPr>
          <w:rFonts w:ascii="Arial" w:hAnsi="Arial" w:cs="Arial"/>
          <w:lang w:val="es-CO"/>
        </w:rPr>
        <w:t xml:space="preserve"> recurrió, pero </w:t>
      </w:r>
      <w:r w:rsidR="0073692E">
        <w:rPr>
          <w:rFonts w:ascii="Arial" w:hAnsi="Arial" w:cs="Arial"/>
          <w:lang w:val="es-CO"/>
        </w:rPr>
        <w:t>no se repuso la decisión</w:t>
      </w:r>
      <w:r w:rsidR="00D45B7D">
        <w:rPr>
          <w:rFonts w:ascii="Arial" w:hAnsi="Arial" w:cs="Arial"/>
          <w:lang w:val="es-CO"/>
        </w:rPr>
        <w:t xml:space="preserve">. Dijo que el artículo 125 del CGP solo le permite al juez imponer cargas para la remisión del expediente, mas no declarar la deserción </w:t>
      </w:r>
      <w:r w:rsidR="00CB272A" w:rsidRPr="00AF753A">
        <w:rPr>
          <w:rFonts w:ascii="Arial" w:hAnsi="Arial" w:cs="Arial"/>
        </w:rPr>
        <w:t>(Folio</w:t>
      </w:r>
      <w:r w:rsidR="009816F4">
        <w:rPr>
          <w:rFonts w:ascii="Arial" w:hAnsi="Arial" w:cs="Arial"/>
        </w:rPr>
        <w:t>s</w:t>
      </w:r>
      <w:r w:rsidR="00CB272A">
        <w:rPr>
          <w:rFonts w:ascii="Arial" w:hAnsi="Arial" w:cs="Arial"/>
        </w:rPr>
        <w:t xml:space="preserve"> </w:t>
      </w:r>
      <w:r w:rsidR="009816F4">
        <w:rPr>
          <w:rFonts w:ascii="Arial" w:hAnsi="Arial" w:cs="Arial"/>
        </w:rPr>
        <w:t>2 a 9</w:t>
      </w:r>
      <w:r w:rsidR="00934393">
        <w:rPr>
          <w:rFonts w:ascii="Arial" w:hAnsi="Arial" w:cs="Arial"/>
        </w:rPr>
        <w:t>,</w:t>
      </w:r>
      <w:r w:rsidR="00CB272A" w:rsidRPr="00AF753A">
        <w:rPr>
          <w:rFonts w:ascii="Arial" w:hAnsi="Arial" w:cs="Arial"/>
        </w:rPr>
        <w:t xml:space="preserve"> </w:t>
      </w:r>
      <w:r w:rsidR="00CB272A">
        <w:rPr>
          <w:rFonts w:ascii="Arial" w:hAnsi="Arial" w:cs="Arial"/>
        </w:rPr>
        <w:t>del cuaderno No.1)</w:t>
      </w:r>
      <w:r w:rsidR="00CB272A" w:rsidRPr="00AF753A">
        <w:rPr>
          <w:rFonts w:ascii="Arial" w:hAnsi="Arial" w:cs="Arial"/>
        </w:rPr>
        <w:t xml:space="preserve">. </w:t>
      </w:r>
    </w:p>
    <w:p w:rsidR="00CB272A" w:rsidRPr="00BA69B4" w:rsidRDefault="00CB272A" w:rsidP="0099045D">
      <w:pPr>
        <w:pStyle w:val="Corpsdetexte"/>
        <w:spacing w:line="360" w:lineRule="auto"/>
        <w:rPr>
          <w:rFonts w:ascii="Arial" w:hAnsi="Arial"/>
          <w:szCs w:val="24"/>
          <w:lang w:val="es-CO"/>
        </w:rPr>
      </w:pPr>
    </w:p>
    <w:p w:rsidR="0099045D" w:rsidRPr="006803AE" w:rsidRDefault="00934393" w:rsidP="0099045D">
      <w:pPr>
        <w:pStyle w:val="Corpsdetexte"/>
        <w:numPr>
          <w:ilvl w:val="0"/>
          <w:numId w:val="1"/>
        </w:numPr>
        <w:spacing w:line="360" w:lineRule="auto"/>
        <w:rPr>
          <w:rFonts w:ascii="Arial" w:hAnsi="Arial"/>
          <w:smallCaps/>
          <w:szCs w:val="24"/>
        </w:rPr>
      </w:pPr>
      <w:r>
        <w:rPr>
          <w:rFonts w:ascii="Arial" w:hAnsi="Arial"/>
          <w:smallCaps/>
          <w:sz w:val="28"/>
          <w:szCs w:val="24"/>
        </w:rPr>
        <w:t>L</w:t>
      </w:r>
      <w:r w:rsidRPr="00934393">
        <w:rPr>
          <w:rFonts w:ascii="Arial" w:hAnsi="Arial"/>
          <w:smallCaps/>
          <w:sz w:val="28"/>
          <w:szCs w:val="24"/>
        </w:rPr>
        <w:t>os derechos invocados</w:t>
      </w:r>
    </w:p>
    <w:p w:rsidR="006803AE" w:rsidRPr="00934393" w:rsidRDefault="006803AE" w:rsidP="006803AE">
      <w:pPr>
        <w:pStyle w:val="Corpsdetexte"/>
        <w:spacing w:line="360" w:lineRule="auto"/>
        <w:ind w:left="360"/>
        <w:rPr>
          <w:rFonts w:ascii="Arial" w:hAnsi="Arial"/>
          <w:smallCaps/>
          <w:szCs w:val="24"/>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 xml:space="preserve">los derechos </w:t>
      </w:r>
      <w:r w:rsidR="009816F4">
        <w:rPr>
          <w:rFonts w:ascii="Arial" w:hAnsi="Arial" w:cs="Arial"/>
          <w:spacing w:val="-3"/>
          <w:lang w:val="es-ES_tradnl"/>
        </w:rPr>
        <w:t xml:space="preserve">a la </w:t>
      </w:r>
      <w:r w:rsidR="000C5128">
        <w:rPr>
          <w:rFonts w:ascii="Arial" w:hAnsi="Arial" w:cs="Arial"/>
          <w:spacing w:val="-3"/>
          <w:lang w:val="es-ES_tradnl"/>
        </w:rPr>
        <w:t>igualdad</w:t>
      </w:r>
      <w:r w:rsidR="009816F4">
        <w:rPr>
          <w:rFonts w:ascii="Arial" w:hAnsi="Arial" w:cs="Arial"/>
          <w:spacing w:val="-3"/>
          <w:lang w:val="es-ES_tradnl"/>
        </w:rPr>
        <w:t xml:space="preserve">, </w:t>
      </w:r>
      <w:r w:rsidR="006803AE">
        <w:rPr>
          <w:rFonts w:ascii="Arial" w:hAnsi="Arial" w:cs="Arial"/>
          <w:spacing w:val="-3"/>
          <w:lang w:val="es-ES_tradnl"/>
        </w:rPr>
        <w:t xml:space="preserve">el </w:t>
      </w:r>
      <w:r w:rsidR="009816F4">
        <w:rPr>
          <w:rFonts w:ascii="Arial" w:hAnsi="Arial" w:cs="Arial"/>
          <w:spacing w:val="-3"/>
          <w:lang w:val="es-ES_tradnl"/>
        </w:rPr>
        <w:t>debido proceso</w:t>
      </w:r>
      <w:r w:rsidR="000C5128">
        <w:rPr>
          <w:rFonts w:ascii="Arial" w:hAnsi="Arial" w:cs="Arial"/>
          <w:spacing w:val="-3"/>
          <w:lang w:val="es-ES_tradnl"/>
        </w:rPr>
        <w:t xml:space="preserve"> y</w:t>
      </w:r>
      <w:r w:rsidR="00C8311A">
        <w:rPr>
          <w:rFonts w:ascii="Arial" w:hAnsi="Arial" w:cs="Arial"/>
          <w:spacing w:val="-3"/>
          <w:lang w:val="es-ES_tradnl"/>
        </w:rPr>
        <w:t xml:space="preserve"> </w:t>
      </w:r>
      <w:r w:rsidR="009816F4">
        <w:rPr>
          <w:rFonts w:ascii="Arial" w:hAnsi="Arial" w:cs="Arial"/>
          <w:spacing w:val="-3"/>
          <w:lang w:val="es-ES_tradnl"/>
        </w:rPr>
        <w:t>a</w:t>
      </w:r>
      <w:r w:rsidR="006803AE">
        <w:rPr>
          <w:rFonts w:ascii="Arial" w:hAnsi="Arial" w:cs="Arial"/>
          <w:spacing w:val="-3"/>
          <w:lang w:val="es-ES_tradnl"/>
        </w:rPr>
        <w:t>l acceso a</w:t>
      </w:r>
      <w:r w:rsidR="009816F4">
        <w:rPr>
          <w:rFonts w:ascii="Arial" w:hAnsi="Arial" w:cs="Arial"/>
          <w:spacing w:val="-3"/>
          <w:lang w:val="es-ES_tradnl"/>
        </w:rPr>
        <w:t xml:space="preserve"> la </w:t>
      </w:r>
      <w:r w:rsidR="00C8311A">
        <w:rPr>
          <w:rFonts w:ascii="Arial" w:hAnsi="Arial" w:cs="Arial"/>
          <w:spacing w:val="-3"/>
          <w:lang w:val="es-ES_tradnl"/>
        </w:rPr>
        <w:t>administración de justicia</w:t>
      </w:r>
      <w:r w:rsidR="009C1B3A">
        <w:rPr>
          <w:rFonts w:ascii="Arial" w:hAnsi="Arial" w:cs="Arial"/>
          <w:spacing w:val="-3"/>
          <w:lang w:val="es-ES_tradnl"/>
        </w:rPr>
        <w:t xml:space="preserve"> </w:t>
      </w:r>
      <w:r w:rsidR="001B6BBA" w:rsidRPr="00AF753A">
        <w:rPr>
          <w:rFonts w:ascii="Arial" w:hAnsi="Arial" w:cs="Arial"/>
        </w:rPr>
        <w:t>(Folio</w:t>
      </w:r>
      <w:r w:rsidR="003D2D95">
        <w:rPr>
          <w:rFonts w:ascii="Arial" w:hAnsi="Arial" w:cs="Arial"/>
        </w:rPr>
        <w:t xml:space="preserve"> </w:t>
      </w:r>
      <w:r w:rsidR="009816F4">
        <w:rPr>
          <w:rFonts w:ascii="Arial" w:hAnsi="Arial" w:cs="Arial"/>
        </w:rPr>
        <w:t>2</w:t>
      </w:r>
      <w:r w:rsidR="001B6BBA" w:rsidRPr="00AF753A">
        <w:rPr>
          <w:rFonts w:ascii="Arial" w:hAnsi="Arial" w:cs="Arial"/>
        </w:rPr>
        <w:t xml:space="preserve">, </w:t>
      </w:r>
      <w:r w:rsidR="001B6BBA">
        <w:rPr>
          <w:rFonts w:ascii="Arial" w:hAnsi="Arial" w:cs="Arial"/>
        </w:rPr>
        <w:t>del cuaderno No.1)</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 xml:space="preserve">que: </w:t>
      </w:r>
      <w:r w:rsidR="00C53410">
        <w:rPr>
          <w:rFonts w:ascii="Arial" w:hAnsi="Arial" w:cs="Arial"/>
        </w:rPr>
        <w:t xml:space="preserve">(i) Se tutelen los derechos invocados; </w:t>
      </w:r>
      <w:r w:rsidR="009816F4">
        <w:rPr>
          <w:rFonts w:ascii="Arial" w:hAnsi="Arial" w:cs="Arial"/>
        </w:rPr>
        <w:t xml:space="preserve">y, </w:t>
      </w:r>
      <w:r w:rsidR="003F77C9">
        <w:rPr>
          <w:rFonts w:ascii="Arial" w:hAnsi="Arial" w:cs="Arial"/>
        </w:rPr>
        <w:t>(</w:t>
      </w:r>
      <w:r w:rsidR="00C53410">
        <w:rPr>
          <w:rFonts w:ascii="Arial" w:hAnsi="Arial" w:cs="Arial"/>
        </w:rPr>
        <w:t>i</w:t>
      </w:r>
      <w:r w:rsidR="003F77C9">
        <w:rPr>
          <w:rFonts w:ascii="Arial" w:hAnsi="Arial" w:cs="Arial"/>
        </w:rPr>
        <w:t xml:space="preserve">i) Se ordene al accionado </w:t>
      </w:r>
      <w:r w:rsidR="009816F4">
        <w:rPr>
          <w:rFonts w:ascii="Arial" w:hAnsi="Arial" w:cs="Arial"/>
        </w:rPr>
        <w:t xml:space="preserve">reponer el auto que declaró desierto el recurso y continuar con el trámite para </w:t>
      </w:r>
      <w:r w:rsidR="00EB0495">
        <w:rPr>
          <w:rFonts w:ascii="Arial" w:hAnsi="Arial" w:cs="Arial"/>
        </w:rPr>
        <w:t xml:space="preserve">el envío del </w:t>
      </w:r>
      <w:r w:rsidR="009816F4">
        <w:rPr>
          <w:rFonts w:ascii="Arial" w:hAnsi="Arial" w:cs="Arial"/>
        </w:rPr>
        <w:t xml:space="preserve">expediente a esta Corporación </w:t>
      </w:r>
      <w:r w:rsidR="00EB0495">
        <w:rPr>
          <w:rFonts w:ascii="Arial" w:hAnsi="Arial" w:cs="Arial"/>
        </w:rPr>
        <w:t xml:space="preserve">para desatar la apelación </w:t>
      </w:r>
      <w:r w:rsidR="00006C6E" w:rsidRPr="00AF753A">
        <w:rPr>
          <w:rFonts w:ascii="Arial" w:hAnsi="Arial" w:cs="Arial"/>
        </w:rPr>
        <w:t>(Folio</w:t>
      </w:r>
      <w:r w:rsidR="00006C6E">
        <w:rPr>
          <w:rFonts w:ascii="Arial" w:hAnsi="Arial" w:cs="Arial"/>
        </w:rPr>
        <w:t xml:space="preserve"> </w:t>
      </w:r>
      <w:r w:rsidR="009816F4">
        <w:rPr>
          <w:rFonts w:ascii="Arial" w:hAnsi="Arial" w:cs="Arial"/>
        </w:rPr>
        <w:t>9</w:t>
      </w:r>
      <w:r w:rsidR="00006C6E" w:rsidRPr="00AF753A">
        <w:rPr>
          <w:rFonts w:ascii="Arial" w:hAnsi="Arial" w:cs="Arial"/>
        </w:rPr>
        <w:t xml:space="preserve">, </w:t>
      </w:r>
      <w:r w:rsidR="00006C6E">
        <w:rPr>
          <w:rFonts w:ascii="Arial" w:hAnsi="Arial" w:cs="Arial"/>
        </w:rPr>
        <w:t>del cuaderno No.1)</w:t>
      </w:r>
      <w:r w:rsidR="00006C6E" w:rsidRPr="00AF753A">
        <w:rPr>
          <w:rFonts w:ascii="Arial" w:hAnsi="Arial" w:cs="Arial"/>
        </w:rPr>
        <w:t>.</w:t>
      </w:r>
    </w:p>
    <w:p w:rsidR="003A2CB1" w:rsidRPr="009C04FD" w:rsidRDefault="003A2CB1" w:rsidP="000145EA">
      <w:pPr>
        <w:pStyle w:val="Sansinterligne"/>
        <w:spacing w:line="360" w:lineRule="auto"/>
        <w:jc w:val="both"/>
        <w:rPr>
          <w:rFonts w:ascii="Arial" w:hAnsi="Arial" w:cs="Arial"/>
          <w:sz w:val="22"/>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41B34" w:rsidRDefault="001B6BBA" w:rsidP="00E51070">
      <w:pPr>
        <w:spacing w:line="360" w:lineRule="auto"/>
        <w:jc w:val="both"/>
        <w:rPr>
          <w:rFonts w:ascii="Arial" w:hAnsi="Arial"/>
        </w:rPr>
      </w:pPr>
      <w:r w:rsidRPr="0073692E">
        <w:rPr>
          <w:rFonts w:ascii="Arial" w:hAnsi="Arial"/>
        </w:rPr>
        <w:t xml:space="preserve">En reparto ordinario del día </w:t>
      </w:r>
      <w:r w:rsidR="00EB0495" w:rsidRPr="0073692E">
        <w:rPr>
          <w:rFonts w:ascii="Arial" w:hAnsi="Arial"/>
        </w:rPr>
        <w:t>02-11</w:t>
      </w:r>
      <w:r w:rsidRPr="0073692E">
        <w:rPr>
          <w:rFonts w:ascii="Arial" w:hAnsi="Arial"/>
        </w:rPr>
        <w:t xml:space="preserve">-2016 </w:t>
      </w:r>
      <w:r w:rsidR="007E36F9" w:rsidRPr="0073692E">
        <w:rPr>
          <w:rFonts w:ascii="Arial" w:hAnsi="Arial"/>
        </w:rPr>
        <w:t xml:space="preserve">correspondió </w:t>
      </w:r>
      <w:r w:rsidRPr="0073692E">
        <w:rPr>
          <w:rFonts w:ascii="Arial" w:hAnsi="Arial"/>
        </w:rPr>
        <w:t>a este Despacho</w:t>
      </w:r>
      <w:r w:rsidR="007E36F9" w:rsidRPr="0073692E">
        <w:rPr>
          <w:rFonts w:ascii="Arial" w:hAnsi="Arial"/>
        </w:rPr>
        <w:t xml:space="preserve"> y</w:t>
      </w:r>
      <w:r w:rsidRPr="0073692E">
        <w:rPr>
          <w:rFonts w:ascii="Arial" w:hAnsi="Arial"/>
        </w:rPr>
        <w:t xml:space="preserve"> con providencia del </w:t>
      </w:r>
      <w:r w:rsidR="00343F0C" w:rsidRPr="0073692E">
        <w:rPr>
          <w:rFonts w:ascii="Arial" w:hAnsi="Arial"/>
          <w:lang w:val="es-CO"/>
        </w:rPr>
        <w:t xml:space="preserve">día hábil siguiente </w:t>
      </w:r>
      <w:r w:rsidRPr="0073692E">
        <w:rPr>
          <w:rFonts w:ascii="Arial" w:hAnsi="Arial"/>
        </w:rPr>
        <w:t xml:space="preserve">se </w:t>
      </w:r>
      <w:r w:rsidR="00EB0495" w:rsidRPr="0073692E">
        <w:rPr>
          <w:rFonts w:ascii="Arial" w:hAnsi="Arial"/>
        </w:rPr>
        <w:t>admitió</w:t>
      </w:r>
      <w:r w:rsidRPr="0073692E">
        <w:rPr>
          <w:rFonts w:ascii="Arial" w:hAnsi="Arial"/>
        </w:rPr>
        <w:t xml:space="preserve">, se vinculó a </w:t>
      </w:r>
      <w:r w:rsidR="00EB0495" w:rsidRPr="0073692E">
        <w:rPr>
          <w:rFonts w:ascii="Arial" w:hAnsi="Arial"/>
        </w:rPr>
        <w:t>quien</w:t>
      </w:r>
      <w:r w:rsidRPr="0073692E">
        <w:rPr>
          <w:rFonts w:ascii="Arial" w:hAnsi="Arial"/>
        </w:rPr>
        <w:t xml:space="preserve"> se estimó conveniente y se dispuso notificar a la partes, entre otros ordenamientos</w:t>
      </w:r>
      <w:r w:rsidR="009C1B3A" w:rsidRPr="0073692E">
        <w:rPr>
          <w:rFonts w:ascii="Arial" w:hAnsi="Arial"/>
        </w:rPr>
        <w:t xml:space="preserve"> (Folio</w:t>
      </w:r>
      <w:r w:rsidR="00C01E52" w:rsidRPr="0073692E">
        <w:rPr>
          <w:rFonts w:ascii="Arial" w:hAnsi="Arial"/>
        </w:rPr>
        <w:t>s</w:t>
      </w:r>
      <w:r w:rsidR="009C1B3A" w:rsidRPr="0073692E">
        <w:rPr>
          <w:rFonts w:ascii="Arial" w:hAnsi="Arial"/>
        </w:rPr>
        <w:t xml:space="preserve"> </w:t>
      </w:r>
      <w:r w:rsidR="00EB0495" w:rsidRPr="0073692E">
        <w:rPr>
          <w:rFonts w:ascii="Arial" w:hAnsi="Arial"/>
        </w:rPr>
        <w:t>12</w:t>
      </w:r>
      <w:r w:rsidR="00006C6E" w:rsidRPr="0073692E">
        <w:rPr>
          <w:rFonts w:ascii="Arial" w:hAnsi="Arial"/>
        </w:rPr>
        <w:t>, ibídem</w:t>
      </w:r>
      <w:r w:rsidR="009C1B3A" w:rsidRPr="0073692E">
        <w:rPr>
          <w:rFonts w:ascii="Arial" w:hAnsi="Arial"/>
        </w:rPr>
        <w:t>). Fueron debidamente notificados los extremos de la acción (Folio</w:t>
      </w:r>
      <w:r w:rsidR="00343F0C" w:rsidRPr="0073692E">
        <w:rPr>
          <w:rFonts w:ascii="Arial" w:hAnsi="Arial"/>
        </w:rPr>
        <w:t xml:space="preserve">s </w:t>
      </w:r>
      <w:r w:rsidR="0073692E" w:rsidRPr="0073692E">
        <w:rPr>
          <w:rFonts w:ascii="Arial" w:hAnsi="Arial"/>
        </w:rPr>
        <w:t>13 a 15, 38 y 39</w:t>
      </w:r>
      <w:r w:rsidR="009C1B3A" w:rsidRPr="0073692E">
        <w:rPr>
          <w:rFonts w:ascii="Arial" w:hAnsi="Arial"/>
        </w:rPr>
        <w:t xml:space="preserve">, </w:t>
      </w:r>
      <w:r w:rsidR="00006C6E" w:rsidRPr="0073692E">
        <w:rPr>
          <w:rFonts w:ascii="Arial" w:hAnsi="Arial"/>
        </w:rPr>
        <w:t>ibídem</w:t>
      </w:r>
      <w:r w:rsidR="009C1B3A" w:rsidRPr="0073692E">
        <w:rPr>
          <w:rFonts w:ascii="Arial" w:hAnsi="Arial"/>
        </w:rPr>
        <w:t xml:space="preserve">). </w:t>
      </w:r>
      <w:r w:rsidR="0073692E" w:rsidRPr="0073692E">
        <w:rPr>
          <w:rFonts w:ascii="Arial" w:hAnsi="Arial"/>
        </w:rPr>
        <w:t xml:space="preserve">Contestó el accionado </w:t>
      </w:r>
      <w:r w:rsidR="00DF42B6" w:rsidRPr="0073692E">
        <w:rPr>
          <w:rFonts w:ascii="Arial" w:hAnsi="Arial" w:cs="Arial"/>
          <w:spacing w:val="3"/>
        </w:rPr>
        <w:t>(</w:t>
      </w:r>
      <w:r w:rsidR="00CC34A9" w:rsidRPr="0073692E">
        <w:rPr>
          <w:rFonts w:ascii="Arial" w:hAnsi="Arial" w:cs="Arial"/>
          <w:spacing w:val="3"/>
        </w:rPr>
        <w:t xml:space="preserve">Folios </w:t>
      </w:r>
      <w:r w:rsidR="0073692E" w:rsidRPr="0073692E">
        <w:rPr>
          <w:rFonts w:ascii="Arial" w:hAnsi="Arial" w:cs="Arial"/>
          <w:spacing w:val="3"/>
        </w:rPr>
        <w:t xml:space="preserve">16 y </w:t>
      </w:r>
      <w:r w:rsidR="00D17E02">
        <w:rPr>
          <w:rFonts w:ascii="Arial" w:hAnsi="Arial" w:cs="Arial"/>
          <w:spacing w:val="3"/>
        </w:rPr>
        <w:t>17</w:t>
      </w:r>
      <w:r w:rsidR="00997858" w:rsidRPr="0073692E">
        <w:rPr>
          <w:rFonts w:ascii="Arial" w:hAnsi="Arial" w:cs="Arial"/>
          <w:spacing w:val="3"/>
        </w:rPr>
        <w:t xml:space="preserve">, </w:t>
      </w:r>
      <w:r w:rsidR="00006C6E" w:rsidRPr="0073692E">
        <w:rPr>
          <w:rFonts w:ascii="Arial" w:hAnsi="Arial" w:cs="Arial"/>
          <w:spacing w:val="3"/>
        </w:rPr>
        <w:t>ib</w:t>
      </w:r>
      <w:r w:rsidR="00DC1B10" w:rsidRPr="0073692E">
        <w:rPr>
          <w:rFonts w:ascii="Arial" w:hAnsi="Arial" w:cs="Arial"/>
          <w:spacing w:val="3"/>
        </w:rPr>
        <w:t>.</w:t>
      </w:r>
      <w:r w:rsidR="00006C6E" w:rsidRPr="0073692E">
        <w:rPr>
          <w:rFonts w:ascii="Arial" w:hAnsi="Arial" w:cs="Arial"/>
          <w:spacing w:val="3"/>
        </w:rPr>
        <w:t>)</w:t>
      </w:r>
      <w:r w:rsidR="00C01E52" w:rsidRPr="0073692E">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CC34A9" w:rsidRDefault="00CC34A9" w:rsidP="003A2CB1">
      <w:pPr>
        <w:numPr>
          <w:ilvl w:val="0"/>
          <w:numId w:val="18"/>
        </w:numPr>
        <w:spacing w:line="360" w:lineRule="auto"/>
        <w:jc w:val="both"/>
        <w:rPr>
          <w:rFonts w:ascii="Arial" w:hAnsi="Arial"/>
          <w:smallCaps/>
          <w:sz w:val="28"/>
        </w:rPr>
      </w:pPr>
      <w:r>
        <w:rPr>
          <w:rFonts w:ascii="Arial" w:hAnsi="Arial"/>
          <w:smallCaps/>
          <w:sz w:val="28"/>
        </w:rPr>
        <w:lastRenderedPageBreak/>
        <w:t>L</w:t>
      </w:r>
      <w:r w:rsidR="0073692E">
        <w:rPr>
          <w:rFonts w:ascii="Arial" w:hAnsi="Arial"/>
          <w:smallCaps/>
          <w:sz w:val="28"/>
        </w:rPr>
        <w:t>a sinopsis de la respuesta</w:t>
      </w:r>
    </w:p>
    <w:p w:rsidR="003A2CB1" w:rsidRDefault="003A2CB1" w:rsidP="003A2CB1">
      <w:pPr>
        <w:spacing w:line="360" w:lineRule="auto"/>
        <w:jc w:val="both"/>
        <w:rPr>
          <w:rFonts w:ascii="Arial" w:hAnsi="Arial"/>
        </w:rPr>
      </w:pPr>
    </w:p>
    <w:p w:rsidR="0070519A" w:rsidRPr="006B77A1" w:rsidRDefault="0073692E" w:rsidP="0070519A">
      <w:pPr>
        <w:spacing w:line="360" w:lineRule="auto"/>
        <w:jc w:val="both"/>
        <w:rPr>
          <w:rFonts w:ascii="Arial" w:hAnsi="Arial"/>
        </w:rPr>
      </w:pPr>
      <w:r>
        <w:rPr>
          <w:rFonts w:ascii="Arial" w:hAnsi="Arial"/>
        </w:rPr>
        <w:t xml:space="preserve">Relató el trámite dado al proceso y explicó que mediante el proveído del 11-08-2016 concedió la alzada presentada, impuso al accionante la carga de pagar </w:t>
      </w:r>
      <w:r w:rsidR="00D17E02">
        <w:rPr>
          <w:rFonts w:ascii="Arial" w:hAnsi="Arial"/>
        </w:rPr>
        <w:t xml:space="preserve">los </w:t>
      </w:r>
      <w:r>
        <w:rPr>
          <w:rFonts w:ascii="Arial" w:hAnsi="Arial"/>
        </w:rPr>
        <w:t>portes de ida y regreso</w:t>
      </w:r>
      <w:r w:rsidR="00D17E02">
        <w:rPr>
          <w:rFonts w:ascii="Arial" w:hAnsi="Arial"/>
        </w:rPr>
        <w:t xml:space="preserve">, atendiendo el </w:t>
      </w:r>
      <w:r>
        <w:rPr>
          <w:rFonts w:ascii="Arial" w:hAnsi="Arial"/>
        </w:rPr>
        <w:t xml:space="preserve">artículo 125 del CGP, y advirtió </w:t>
      </w:r>
      <w:r w:rsidR="00D17E02">
        <w:rPr>
          <w:rFonts w:ascii="Arial" w:hAnsi="Arial"/>
        </w:rPr>
        <w:t xml:space="preserve">que en caso de incumplir dicha orden declararía desierto el recurso, por consiguiente, como el interesado no pagó los dineros correspondientes, pues la empresa de correo devolvió el expediente, </w:t>
      </w:r>
      <w:r w:rsidR="00D17E02" w:rsidRPr="00D17E02">
        <w:rPr>
          <w:rFonts w:ascii="Arial" w:hAnsi="Arial"/>
          <w:i/>
          <w:sz w:val="22"/>
        </w:rPr>
        <w:t>“(…) debe correr con la sanción que ello acarreaba (…)”</w:t>
      </w:r>
      <w:r w:rsidR="00D17E02">
        <w:rPr>
          <w:rFonts w:ascii="Arial" w:hAnsi="Arial"/>
        </w:rPr>
        <w:t xml:space="preserve">. Dijo que no fue de su arbitrio declarar la deserción de la impugnación, sino que deriva de la omisión del recurrente de sufragar los emolumentos. </w:t>
      </w:r>
      <w:r w:rsidR="001C4E4D">
        <w:rPr>
          <w:rFonts w:ascii="Arial" w:hAnsi="Arial"/>
        </w:rPr>
        <w:t>Citó</w:t>
      </w:r>
      <w:r w:rsidR="00D17E02">
        <w:rPr>
          <w:rFonts w:ascii="Arial" w:hAnsi="Arial"/>
        </w:rPr>
        <w:t xml:space="preserve"> jurisprudencia de la CSJ </w:t>
      </w:r>
      <w:r w:rsidR="006803AE">
        <w:rPr>
          <w:rFonts w:ascii="Arial" w:hAnsi="Arial"/>
        </w:rPr>
        <w:t xml:space="preserve">sin concretar fecha y número </w:t>
      </w:r>
      <w:r w:rsidR="0070519A" w:rsidRPr="006B77A1">
        <w:rPr>
          <w:rFonts w:ascii="Arial" w:hAnsi="Arial"/>
        </w:rPr>
        <w:t xml:space="preserve">(Folios </w:t>
      </w:r>
      <w:r w:rsidR="00D17E02">
        <w:rPr>
          <w:rFonts w:ascii="Arial" w:hAnsi="Arial"/>
        </w:rPr>
        <w:t>16 a 17</w:t>
      </w:r>
      <w:r w:rsidR="0070519A" w:rsidRPr="006B77A1">
        <w:rPr>
          <w:rFonts w:ascii="Arial" w:hAnsi="Arial"/>
        </w:rPr>
        <w:t>, ib.).</w:t>
      </w:r>
    </w:p>
    <w:p w:rsidR="00D17E02" w:rsidRDefault="00D17E02" w:rsidP="00D17E02">
      <w:pPr>
        <w:pStyle w:val="Corpsdetexte"/>
        <w:spacing w:line="360" w:lineRule="auto"/>
        <w:ind w:left="400"/>
        <w:rPr>
          <w:rFonts w:ascii="Arial" w:hAnsi="Arial"/>
          <w:smallCaps/>
          <w:sz w:val="28"/>
          <w:szCs w:val="24"/>
        </w:rPr>
      </w:pPr>
    </w:p>
    <w:p w:rsidR="00CF429F" w:rsidRPr="0070519A" w:rsidRDefault="0070519A" w:rsidP="00CF429F">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70519A">
        <w:rPr>
          <w:rFonts w:ascii="Arial" w:hAnsi="Arial"/>
          <w:smallCaps/>
          <w:sz w:val="28"/>
          <w:szCs w:val="24"/>
        </w:rPr>
        <w:t>a fundamentación jurídica para decidir</w:t>
      </w:r>
    </w:p>
    <w:p w:rsidR="00F134D6" w:rsidRPr="00AE73C7" w:rsidRDefault="00F134D6" w:rsidP="00F134D6">
      <w:pPr>
        <w:pStyle w:val="Corpsdetexte"/>
        <w:spacing w:line="360" w:lineRule="auto"/>
        <w:ind w:left="400"/>
        <w:rPr>
          <w:rFonts w:ascii="Arial" w:hAnsi="Arial"/>
          <w:szCs w:val="24"/>
        </w:rPr>
      </w:pPr>
    </w:p>
    <w:p w:rsidR="00CF429F" w:rsidRPr="0070519A" w:rsidRDefault="00CF429F" w:rsidP="00CF429F">
      <w:pPr>
        <w:pStyle w:val="Corpsdetexte"/>
        <w:numPr>
          <w:ilvl w:val="1"/>
          <w:numId w:val="18"/>
        </w:numPr>
        <w:tabs>
          <w:tab w:val="clear" w:pos="708"/>
          <w:tab w:val="left" w:pos="709"/>
        </w:tabs>
        <w:spacing w:line="360" w:lineRule="auto"/>
        <w:rPr>
          <w:rFonts w:ascii="Arial" w:hAnsi="Arial"/>
          <w:smallCaps/>
          <w:szCs w:val="24"/>
        </w:rPr>
      </w:pPr>
      <w:r w:rsidRPr="0070519A">
        <w:rPr>
          <w:rFonts w:ascii="Arial" w:hAnsi="Arial"/>
          <w:smallCaps/>
          <w:szCs w:val="24"/>
        </w:rPr>
        <w:t>La competencia</w:t>
      </w:r>
    </w:p>
    <w:p w:rsidR="00A50109" w:rsidRPr="00AE73C7" w:rsidRDefault="00A50109" w:rsidP="00A50109">
      <w:pPr>
        <w:pStyle w:val="Corpsdetexte"/>
        <w:tabs>
          <w:tab w:val="clear" w:pos="708"/>
          <w:tab w:val="left" w:pos="709"/>
        </w:tabs>
        <w:spacing w:line="360" w:lineRule="auto"/>
        <w:ind w:left="720"/>
        <w:rPr>
          <w:rFonts w:ascii="Arial" w:hAnsi="Arial"/>
          <w:szCs w:val="24"/>
        </w:rPr>
      </w:pP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Civil del Circuito de </w:t>
      </w:r>
      <w:r w:rsidR="00D17E02">
        <w:rPr>
          <w:rFonts w:ascii="Arial" w:hAnsi="Arial" w:cs="Arial"/>
          <w:sz w:val="24"/>
          <w:szCs w:val="24"/>
        </w:rPr>
        <w:t xml:space="preserve">Santa Rosa de Cabal </w:t>
      </w:r>
      <w:r w:rsidR="00DC1B10">
        <w:rPr>
          <w:rFonts w:ascii="Arial" w:hAnsi="Arial" w:cs="Arial"/>
          <w:sz w:val="24"/>
          <w:szCs w:val="24"/>
        </w:rPr>
        <w:t xml:space="preserve">(Artículos 86 de la CP y </w:t>
      </w:r>
      <w:r w:rsidRPr="00AE73C7">
        <w:rPr>
          <w:rFonts w:ascii="Arial" w:hAnsi="Arial" w:cs="Arial"/>
          <w:sz w:val="24"/>
          <w:szCs w:val="24"/>
        </w:rPr>
        <w:t>37 del Decreto 2591 de 1991).</w:t>
      </w:r>
    </w:p>
    <w:p w:rsidR="00A44325" w:rsidRDefault="00A44325" w:rsidP="00CF429F">
      <w:pPr>
        <w:pStyle w:val="Retraitcorpsdetexte2"/>
        <w:spacing w:after="0" w:line="360" w:lineRule="auto"/>
        <w:ind w:left="0"/>
        <w:jc w:val="both"/>
        <w:rPr>
          <w:rFonts w:ascii="Arial" w:hAnsi="Arial" w:cs="Arial"/>
          <w:sz w:val="24"/>
          <w:szCs w:val="24"/>
        </w:rPr>
      </w:pPr>
    </w:p>
    <w:p w:rsidR="00BB0EF5" w:rsidRPr="00BB0EF5" w:rsidRDefault="00BB0EF5" w:rsidP="00BB0EF5">
      <w:pPr>
        <w:pStyle w:val="Corpsdetexte"/>
        <w:numPr>
          <w:ilvl w:val="1"/>
          <w:numId w:val="31"/>
        </w:numPr>
        <w:tabs>
          <w:tab w:val="clear" w:pos="0"/>
          <w:tab w:val="clear" w:pos="708"/>
          <w:tab w:val="clear" w:pos="1416"/>
          <w:tab w:val="left" w:pos="709"/>
        </w:tabs>
        <w:spacing w:line="360" w:lineRule="auto"/>
        <w:rPr>
          <w:rFonts w:ascii="Arial" w:hAnsi="Arial"/>
          <w:smallCaps/>
          <w:szCs w:val="24"/>
        </w:rPr>
      </w:pPr>
      <w:r w:rsidRPr="00BB0EF5">
        <w:rPr>
          <w:rFonts w:ascii="Arial" w:hAnsi="Arial"/>
          <w:smallCaps/>
          <w:szCs w:val="24"/>
        </w:rPr>
        <w:t>La legitimación en la causa</w:t>
      </w:r>
    </w:p>
    <w:p w:rsidR="00AB3928" w:rsidRDefault="00AB3928" w:rsidP="00BB0EF5">
      <w:pPr>
        <w:pStyle w:val="Corpsdetexte"/>
        <w:spacing w:line="360" w:lineRule="auto"/>
        <w:rPr>
          <w:rFonts w:ascii="Arial" w:hAnsi="Arial" w:cs="Arial"/>
          <w:szCs w:val="24"/>
        </w:rPr>
      </w:pPr>
    </w:p>
    <w:p w:rsidR="00BB0EF5" w:rsidRDefault="00BB0EF5" w:rsidP="00BB0EF5">
      <w:pPr>
        <w:pStyle w:val="Corpsdetexte"/>
        <w:spacing w:line="360" w:lineRule="auto"/>
        <w:rPr>
          <w:rFonts w:ascii="Arial" w:hAnsi="Arial" w:cs="Arial"/>
          <w:szCs w:val="24"/>
        </w:rPr>
      </w:pPr>
      <w:r w:rsidRPr="00D91A51">
        <w:rPr>
          <w:rFonts w:ascii="Arial" w:hAnsi="Arial" w:cs="Arial"/>
          <w:szCs w:val="24"/>
        </w:rPr>
        <w:t xml:space="preserve">Se cumple la legitimación </w:t>
      </w:r>
      <w:r>
        <w:rPr>
          <w:rFonts w:ascii="Arial" w:hAnsi="Arial" w:cs="Arial"/>
          <w:szCs w:val="24"/>
        </w:rPr>
        <w:t>porque la actora es la parte demandante en el proceso judicial que se reprocha la falta al debido proceso</w:t>
      </w:r>
      <w:r w:rsidRPr="00902F93">
        <w:rPr>
          <w:rFonts w:ascii="Arial" w:hAnsi="Arial" w:cs="Arial"/>
          <w:szCs w:val="24"/>
        </w:rPr>
        <w:t xml:space="preserve">. Y por pasiva, </w:t>
      </w:r>
      <w:r>
        <w:rPr>
          <w:rFonts w:ascii="Arial" w:hAnsi="Arial" w:cs="Arial"/>
          <w:szCs w:val="24"/>
        </w:rPr>
        <w:t>lo es el Juzgado Civil del Circuito de Santa Rosa de Cabal, al ser</w:t>
      </w:r>
      <w:r w:rsidRPr="009A3C9D">
        <w:rPr>
          <w:rFonts w:ascii="Arial" w:hAnsi="Arial" w:cs="Arial"/>
          <w:szCs w:val="24"/>
        </w:rPr>
        <w:t xml:space="preserve"> la autoridad judicial que </w:t>
      </w:r>
      <w:r>
        <w:rPr>
          <w:rFonts w:ascii="Arial" w:hAnsi="Arial" w:cs="Arial"/>
          <w:szCs w:val="24"/>
        </w:rPr>
        <w:t>conoce del juicio.</w:t>
      </w:r>
    </w:p>
    <w:p w:rsidR="00BB0EF5" w:rsidRPr="00F440D9" w:rsidRDefault="00BB0EF5" w:rsidP="00BB0EF5">
      <w:pPr>
        <w:pStyle w:val="Corpsdetexte"/>
        <w:spacing w:line="360" w:lineRule="auto"/>
        <w:rPr>
          <w:rFonts w:ascii="Arial" w:hAnsi="Arial" w:cs="Arial"/>
          <w:sz w:val="22"/>
          <w:szCs w:val="24"/>
        </w:rPr>
      </w:pPr>
    </w:p>
    <w:p w:rsidR="00BB0EF5" w:rsidRDefault="00BB0EF5" w:rsidP="00BB0EF5">
      <w:pPr>
        <w:widowControl/>
        <w:spacing w:line="360" w:lineRule="auto"/>
        <w:jc w:val="both"/>
        <w:rPr>
          <w:rFonts w:ascii="Arial" w:hAnsi="Arial" w:cs="Arial"/>
        </w:rPr>
      </w:pPr>
      <w:r>
        <w:rPr>
          <w:rFonts w:ascii="Arial" w:hAnsi="Arial" w:cs="Arial"/>
        </w:rPr>
        <w:t>Como el señor José Plácido Alzate Echeverry, litisconsorte vinculado a este trámite, no incurrió en violación o amenaza alguna, se negará la tutela en su contra.</w:t>
      </w:r>
    </w:p>
    <w:p w:rsidR="00BB0EF5" w:rsidRPr="00AE73C7" w:rsidRDefault="00BB0EF5" w:rsidP="00CF429F">
      <w:pPr>
        <w:pStyle w:val="Retraitcorpsdetexte2"/>
        <w:spacing w:after="0" w:line="360" w:lineRule="auto"/>
        <w:ind w:left="0"/>
        <w:jc w:val="both"/>
        <w:rPr>
          <w:rFonts w:ascii="Arial" w:hAnsi="Arial" w:cs="Arial"/>
          <w:sz w:val="24"/>
          <w:szCs w:val="24"/>
        </w:rPr>
      </w:pPr>
    </w:p>
    <w:p w:rsidR="00CF429F" w:rsidRDefault="00CF429F" w:rsidP="00BB0EF5">
      <w:pPr>
        <w:pStyle w:val="Corpsdetexte"/>
        <w:numPr>
          <w:ilvl w:val="1"/>
          <w:numId w:val="31"/>
        </w:numPr>
        <w:spacing w:line="360" w:lineRule="auto"/>
        <w:rPr>
          <w:rFonts w:ascii="Arial" w:hAnsi="Arial"/>
          <w:smallCaps/>
          <w:szCs w:val="24"/>
        </w:rPr>
      </w:pPr>
      <w:r w:rsidRPr="0070519A">
        <w:rPr>
          <w:rFonts w:ascii="Arial" w:hAnsi="Arial"/>
          <w:smallCaps/>
          <w:szCs w:val="24"/>
        </w:rPr>
        <w:t>El problema jurídico a resolver</w:t>
      </w:r>
    </w:p>
    <w:p w:rsidR="00BB0EF5" w:rsidRPr="0070519A" w:rsidRDefault="00BB0EF5" w:rsidP="00BB0EF5">
      <w:pPr>
        <w:pStyle w:val="Corpsdetexte"/>
        <w:spacing w:line="360" w:lineRule="auto"/>
        <w:ind w:left="720"/>
        <w:rPr>
          <w:rFonts w:ascii="Arial" w:hAnsi="Arial"/>
          <w:smallCaps/>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sidRPr="00AE73C7">
        <w:rPr>
          <w:rFonts w:ascii="Arial" w:hAnsi="Arial" w:cs="Arial"/>
        </w:rPr>
        <w:t xml:space="preserve">Juzgado </w:t>
      </w:r>
      <w:r w:rsidR="005F0330" w:rsidRPr="00AE73C7">
        <w:rPr>
          <w:rFonts w:ascii="Arial" w:hAnsi="Arial" w:cs="Arial"/>
        </w:rPr>
        <w:t xml:space="preserve">Civil del Circuito de </w:t>
      </w:r>
      <w:r w:rsidR="00D17E02">
        <w:rPr>
          <w:rFonts w:ascii="Arial" w:hAnsi="Arial" w:cs="Arial"/>
        </w:rPr>
        <w:t xml:space="preserve">Santa Rosa de Cabal </w:t>
      </w:r>
      <w:r w:rsidRPr="00AE73C7">
        <w:rPr>
          <w:rFonts w:ascii="Arial" w:hAnsi="Arial" w:cs="Arial"/>
          <w:spacing w:val="-3"/>
          <w:lang w:val="es-ES_tradnl"/>
        </w:rPr>
        <w:t xml:space="preserve">ha vulnerado o amenazado los derechos fundamentales del accionante </w:t>
      </w:r>
      <w:r w:rsidR="00D17E02">
        <w:rPr>
          <w:rFonts w:ascii="Arial" w:hAnsi="Arial" w:cs="Arial"/>
          <w:spacing w:val="-3"/>
          <w:lang w:val="es-ES_tradnl"/>
        </w:rPr>
        <w:t>porque declaró desierto el recurso de apelación presentado contra el auto del 16-06-2016, debido a que no fueron pagadas las expensas de ida y regreso del expediente</w:t>
      </w:r>
      <w:r w:rsidRPr="00AE73C7">
        <w:rPr>
          <w:rFonts w:ascii="Arial" w:hAnsi="Arial" w:cs="Arial"/>
          <w:spacing w:val="-3"/>
          <w:lang w:val="es-ES_tradnl"/>
        </w:rPr>
        <w:t xml:space="preserve">, según lo expuesto en </w:t>
      </w:r>
      <w:r w:rsidR="006803AE">
        <w:rPr>
          <w:rFonts w:ascii="Arial" w:hAnsi="Arial" w:cs="Arial"/>
          <w:spacing w:val="-3"/>
          <w:lang w:val="es-ES_tradnl"/>
        </w:rPr>
        <w:t xml:space="preserve">el </w:t>
      </w:r>
      <w:r w:rsidRPr="00AE73C7">
        <w:rPr>
          <w:rFonts w:ascii="Arial" w:hAnsi="Arial" w:cs="Arial"/>
          <w:spacing w:val="-3"/>
          <w:lang w:val="es-ES_tradnl"/>
        </w:rPr>
        <w:t>escrito de tutela?</w:t>
      </w:r>
    </w:p>
    <w:p w:rsidR="0084306F"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AB3928" w:rsidRDefault="00AB3928"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AB3928" w:rsidRPr="005041CA" w:rsidRDefault="00AB3928"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Pr="0070519A" w:rsidRDefault="0084306F" w:rsidP="00BB0EF5">
      <w:pPr>
        <w:pStyle w:val="Corpsdetexte"/>
        <w:numPr>
          <w:ilvl w:val="1"/>
          <w:numId w:val="31"/>
        </w:numPr>
        <w:tabs>
          <w:tab w:val="clear" w:pos="708"/>
          <w:tab w:val="clear" w:pos="1416"/>
          <w:tab w:val="left" w:pos="709"/>
          <w:tab w:val="left" w:pos="1418"/>
        </w:tabs>
        <w:spacing w:line="360" w:lineRule="auto"/>
        <w:rPr>
          <w:rFonts w:ascii="Arial" w:hAnsi="Arial"/>
          <w:smallCaps/>
          <w:szCs w:val="24"/>
        </w:rPr>
      </w:pPr>
      <w:r w:rsidRPr="0070519A">
        <w:rPr>
          <w:rFonts w:ascii="Arial" w:hAnsi="Arial"/>
          <w:smallCaps/>
          <w:szCs w:val="24"/>
        </w:rPr>
        <w:lastRenderedPageBreak/>
        <w:t>La resolución del problema jurídico</w:t>
      </w:r>
    </w:p>
    <w:p w:rsidR="0084306F" w:rsidRDefault="0084306F"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795CDC" w:rsidRDefault="00795CDC" w:rsidP="00BB0EF5">
      <w:pPr>
        <w:pStyle w:val="Corpsdetexte"/>
        <w:numPr>
          <w:ilvl w:val="2"/>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795CDC" w:rsidRPr="00C57632" w:rsidRDefault="00795CDC" w:rsidP="00795CD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795CDC" w:rsidRDefault="00795CDC" w:rsidP="00795CDC">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795CDC" w:rsidRDefault="00795CDC" w:rsidP="00795CDC">
      <w:pPr>
        <w:pStyle w:val="Corpsdetexte"/>
        <w:spacing w:line="360" w:lineRule="auto"/>
        <w:rPr>
          <w:rFonts w:ascii="Arial" w:hAnsi="Arial" w:cs="Arial"/>
          <w:szCs w:val="24"/>
        </w:rPr>
      </w:pPr>
    </w:p>
    <w:p w:rsidR="00795CDC" w:rsidRPr="006A3AB9" w:rsidRDefault="00795CDC" w:rsidP="00795CDC">
      <w:pPr>
        <w:pStyle w:val="Corpsdetexte"/>
        <w:spacing w:line="360" w:lineRule="auto"/>
        <w:rPr>
          <w:rFonts w:ascii="Arial" w:hAnsi="Arial" w:cs="Arial"/>
          <w:szCs w:val="24"/>
        </w:rPr>
      </w:pPr>
      <w:r w:rsidRPr="006A3AB9">
        <w:rPr>
          <w:rFonts w:ascii="Arial" w:hAnsi="Arial" w:cs="Arial"/>
          <w:szCs w:val="24"/>
        </w:rPr>
        <w:t xml:space="preserve">Ahora, </w:t>
      </w:r>
      <w:r>
        <w:rPr>
          <w:rFonts w:ascii="Arial" w:hAnsi="Arial" w:cs="Arial"/>
          <w:szCs w:val="24"/>
        </w:rPr>
        <w:t xml:space="preserve"> </w:t>
      </w:r>
      <w:r w:rsidRPr="006A3AB9">
        <w:rPr>
          <w:rFonts w:ascii="Arial" w:hAnsi="Arial" w:cs="Arial"/>
          <w:szCs w:val="24"/>
        </w:rPr>
        <w:t xml:space="preserve">en </w:t>
      </w:r>
      <w:r>
        <w:rPr>
          <w:rFonts w:ascii="Arial" w:hAnsi="Arial" w:cs="Arial"/>
          <w:szCs w:val="24"/>
        </w:rPr>
        <w:t xml:space="preserve"> </w:t>
      </w:r>
      <w:r w:rsidRPr="006A3AB9">
        <w:rPr>
          <w:rFonts w:ascii="Arial" w:hAnsi="Arial" w:cs="Arial"/>
          <w:szCs w:val="24"/>
        </w:rPr>
        <w:t xml:space="preserve">frente </w:t>
      </w:r>
      <w:r>
        <w:rPr>
          <w:rFonts w:ascii="Arial" w:hAnsi="Arial" w:cs="Arial"/>
          <w:szCs w:val="24"/>
        </w:rPr>
        <w:t xml:space="preserve"> </w:t>
      </w:r>
      <w:r w:rsidRPr="006A3AB9">
        <w:rPr>
          <w:rFonts w:ascii="Arial" w:hAnsi="Arial" w:cs="Arial"/>
          <w:szCs w:val="24"/>
        </w:rPr>
        <w:t xml:space="preserve">del </w:t>
      </w:r>
      <w:r>
        <w:rPr>
          <w:rFonts w:ascii="Arial" w:hAnsi="Arial" w:cs="Arial"/>
          <w:szCs w:val="24"/>
        </w:rPr>
        <w:t xml:space="preserve"> </w:t>
      </w:r>
      <w:r w:rsidRPr="006A3AB9">
        <w:rPr>
          <w:rFonts w:ascii="Arial" w:hAnsi="Arial" w:cs="Arial"/>
          <w:szCs w:val="24"/>
        </w:rPr>
        <w:t xml:space="preserve">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BB0EF5" w:rsidRDefault="00BB0EF5" w:rsidP="00795CDC">
      <w:pPr>
        <w:pStyle w:val="Corpsdetexte"/>
        <w:spacing w:line="360" w:lineRule="auto"/>
        <w:rPr>
          <w:rFonts w:ascii="Arial" w:hAnsi="Arial" w:cs="Arial"/>
          <w:szCs w:val="24"/>
        </w:rPr>
      </w:pPr>
    </w:p>
    <w:p w:rsidR="00795CDC" w:rsidRDefault="00795CDC" w:rsidP="00795CDC">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w:t>
      </w:r>
      <w:r w:rsidR="00AB3928">
        <w:rPr>
          <w:rFonts w:ascii="Arial" w:hAnsi="Arial" w:cs="Arial"/>
          <w:szCs w:val="24"/>
        </w:rPr>
        <w:t xml:space="preserve"> </w:t>
      </w:r>
      <w:r w:rsidRPr="006A3AB9">
        <w:rPr>
          <w:rFonts w:ascii="Arial" w:hAnsi="Arial" w:cs="Arial"/>
          <w:szCs w:val="24"/>
        </w:rPr>
        <w:t>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795CDC" w:rsidRPr="00C57632" w:rsidRDefault="00795CDC" w:rsidP="00795CDC">
      <w:pPr>
        <w:pStyle w:val="Corpsdetexte"/>
        <w:spacing w:line="360" w:lineRule="auto"/>
        <w:rPr>
          <w:rFonts w:ascii="Arial" w:hAnsi="Arial" w:cs="Arial"/>
          <w:sz w:val="20"/>
          <w:szCs w:val="24"/>
        </w:rPr>
      </w:pPr>
    </w:p>
    <w:p w:rsidR="00795CDC" w:rsidRDefault="00795CDC" w:rsidP="00795CDC">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6A3AB9">
        <w:rPr>
          <w:rFonts w:ascii="Arial" w:hAnsi="Arial" w:cs="Arial"/>
          <w:szCs w:val="24"/>
        </w:rPr>
        <w:lastRenderedPageBreak/>
        <w:t>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795CDC" w:rsidRPr="00243795" w:rsidRDefault="00795CDC" w:rsidP="00795CDC">
      <w:pPr>
        <w:pStyle w:val="Corpsdetexte"/>
        <w:spacing w:line="360" w:lineRule="auto"/>
        <w:rPr>
          <w:rFonts w:ascii="Arial" w:hAnsi="Arial" w:cs="Arial"/>
          <w:sz w:val="20"/>
          <w:szCs w:val="24"/>
        </w:rPr>
      </w:pPr>
    </w:p>
    <w:p w:rsidR="008128A7" w:rsidRPr="008128A7" w:rsidRDefault="008128A7" w:rsidP="008128A7">
      <w:pPr>
        <w:pStyle w:val="Paragraphedeliste"/>
        <w:numPr>
          <w:ilvl w:val="2"/>
          <w:numId w:val="31"/>
        </w:numPr>
        <w:spacing w:line="360" w:lineRule="auto"/>
        <w:ind w:right="22"/>
        <w:jc w:val="both"/>
        <w:rPr>
          <w:rFonts w:ascii="Arial" w:hAnsi="Arial" w:cs="Arial"/>
          <w:szCs w:val="22"/>
          <w:lang w:val="es-ES_tradnl"/>
        </w:rPr>
      </w:pPr>
      <w:r w:rsidRPr="008128A7">
        <w:rPr>
          <w:rFonts w:ascii="Arial" w:hAnsi="Arial" w:cs="Arial"/>
          <w:szCs w:val="22"/>
          <w:lang w:val="es-ES_tradnl"/>
        </w:rPr>
        <w:t>El defecto sustantivo o material</w:t>
      </w:r>
    </w:p>
    <w:p w:rsidR="008128A7" w:rsidRPr="00FE5FF3" w:rsidRDefault="008128A7" w:rsidP="008128A7">
      <w:pPr>
        <w:spacing w:line="360" w:lineRule="auto"/>
        <w:ind w:right="22"/>
        <w:jc w:val="both"/>
        <w:rPr>
          <w:rFonts w:ascii="Arial" w:hAnsi="Arial" w:cs="Arial"/>
          <w:sz w:val="20"/>
          <w:szCs w:val="22"/>
          <w:lang w:val="es-ES_tradnl"/>
        </w:rPr>
      </w:pPr>
    </w:p>
    <w:p w:rsidR="008128A7" w:rsidRDefault="008128A7" w:rsidP="008128A7">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Appelnotedebasdep"/>
          <w:rFonts w:ascii="Arial" w:hAnsi="Arial"/>
          <w:szCs w:val="22"/>
          <w:lang w:val="es-ES_tradnl"/>
        </w:rPr>
        <w:footnoteReference w:id="8"/>
      </w:r>
      <w:r>
        <w:rPr>
          <w:rFonts w:ascii="Arial" w:hAnsi="Arial" w:cs="Arial"/>
          <w:szCs w:val="22"/>
          <w:lang w:val="es-ES_tradnl"/>
        </w:rPr>
        <w:t>, luego en otra decisión</w:t>
      </w:r>
      <w:r>
        <w:rPr>
          <w:rStyle w:val="Appelnotedebasdep"/>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En desarrollo de esta teoría, se ha ido ampliando esa noción, para prodigar protección en varios eventos</w:t>
      </w:r>
      <w:r>
        <w:rPr>
          <w:rStyle w:val="Appelnotedebasdep"/>
          <w:rFonts w:ascii="Arial" w:hAnsi="Arial"/>
          <w:szCs w:val="22"/>
          <w:lang w:val="es-ES_tradnl"/>
        </w:rPr>
        <w:footnoteReference w:id="10"/>
      </w:r>
      <w:r>
        <w:rPr>
          <w:rFonts w:ascii="Arial" w:hAnsi="Arial" w:cs="Arial"/>
          <w:szCs w:val="22"/>
          <w:lang w:val="es-ES_tradnl"/>
        </w:rPr>
        <w:t>, al efecto tiene precisadas distintas variables:</w:t>
      </w:r>
    </w:p>
    <w:p w:rsidR="008128A7" w:rsidRPr="00FE5FF3" w:rsidRDefault="008128A7" w:rsidP="008128A7">
      <w:pPr>
        <w:ind w:left="567" w:right="22"/>
        <w:jc w:val="both"/>
        <w:rPr>
          <w:rFonts w:ascii="Arial" w:hAnsi="Arial" w:cs="Arial"/>
          <w:sz w:val="20"/>
          <w:szCs w:val="22"/>
          <w:lang w:val="es-ES_tradnl"/>
        </w:rPr>
      </w:pPr>
    </w:p>
    <w:p w:rsidR="008128A7" w:rsidRPr="007C12E8" w:rsidRDefault="008128A7" w:rsidP="008128A7">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1"/>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2"/>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13"/>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8128A7" w:rsidRPr="000A1B5D" w:rsidRDefault="008128A7" w:rsidP="008128A7">
      <w:pPr>
        <w:ind w:left="567" w:right="567"/>
        <w:jc w:val="both"/>
        <w:rPr>
          <w:rFonts w:ascii="Arial" w:hAnsi="Arial" w:cs="Arial"/>
        </w:rPr>
      </w:pPr>
      <w:r w:rsidRPr="007C12E8">
        <w:rPr>
          <w:rStyle w:val="Appelnotedebasdep"/>
          <w:rFonts w:ascii="Arial" w:hAnsi="Arial"/>
          <w:iCs/>
        </w:rPr>
        <w:footnoteReference w:id="14"/>
      </w:r>
      <w:r>
        <w:rPr>
          <w:rFonts w:ascii="Arial" w:hAnsi="Arial" w:cs="Arial"/>
          <w:iCs/>
          <w:vertAlign w:val="superscript"/>
        </w:rPr>
        <w:t>-</w:t>
      </w:r>
      <w:r>
        <w:rPr>
          <w:rStyle w:val="Appelnotedebasdep"/>
          <w:rFonts w:ascii="Arial" w:hAnsi="Arial"/>
          <w:iCs/>
        </w:rPr>
        <w:footnoteReference w:id="15"/>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8128A7" w:rsidRPr="00FE5FF3" w:rsidRDefault="008128A7" w:rsidP="008128A7">
      <w:pPr>
        <w:pStyle w:val="Corpsdetexte"/>
        <w:spacing w:line="360" w:lineRule="auto"/>
        <w:rPr>
          <w:rFonts w:ascii="Arial" w:hAnsi="Arial" w:cs="Arial"/>
          <w:sz w:val="20"/>
        </w:rPr>
      </w:pPr>
    </w:p>
    <w:p w:rsidR="008128A7" w:rsidRDefault="008128A7" w:rsidP="008128A7">
      <w:pPr>
        <w:pStyle w:val="Corpsdetexte"/>
        <w:spacing w:line="360" w:lineRule="auto"/>
        <w:rPr>
          <w:rFonts w:ascii="Arial" w:hAnsi="Arial" w:cs="Arial"/>
        </w:rPr>
      </w:pPr>
      <w:r w:rsidRPr="00651F25">
        <w:rPr>
          <w:rFonts w:ascii="Arial" w:hAnsi="Arial" w:cs="Arial"/>
        </w:rPr>
        <w:t>Así mismo el alto Tribunal Constitucional</w:t>
      </w:r>
      <w:r w:rsidRPr="00651F25">
        <w:rPr>
          <w:rStyle w:val="Appelnotedebasdep"/>
          <w:rFonts w:ascii="Arial" w:hAnsi="Arial"/>
        </w:rPr>
        <w:footnoteReference w:id="16"/>
      </w:r>
      <w:r w:rsidRPr="00651F25">
        <w:rPr>
          <w:rFonts w:ascii="Arial" w:hAnsi="Arial" w:cs="Arial"/>
        </w:rPr>
        <w:t>, señaló:</w:t>
      </w:r>
      <w:r>
        <w:rPr>
          <w:rFonts w:ascii="Arial" w:hAnsi="Arial" w:cs="Arial"/>
        </w:rPr>
        <w:t xml:space="preserve"> </w:t>
      </w:r>
    </w:p>
    <w:p w:rsidR="008128A7" w:rsidRPr="00FE5FF3" w:rsidRDefault="008128A7" w:rsidP="008128A7">
      <w:pPr>
        <w:ind w:left="567" w:right="567"/>
        <w:jc w:val="both"/>
        <w:rPr>
          <w:rFonts w:ascii="Arial" w:hAnsi="Arial" w:cs="Arial"/>
          <w:sz w:val="20"/>
        </w:rPr>
      </w:pPr>
    </w:p>
    <w:p w:rsidR="008128A7" w:rsidRPr="007C12E8" w:rsidRDefault="008128A7" w:rsidP="008128A7">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8128A7" w:rsidRDefault="008128A7" w:rsidP="008128A7">
      <w:pPr>
        <w:pStyle w:val="Corpsdetexte"/>
        <w:spacing w:line="240" w:lineRule="auto"/>
        <w:rPr>
          <w:rFonts w:ascii="Arial" w:hAnsi="Arial" w:cs="Arial"/>
        </w:rPr>
      </w:pPr>
    </w:p>
    <w:p w:rsidR="008128A7" w:rsidRDefault="008128A7" w:rsidP="008128A7">
      <w:pPr>
        <w:pStyle w:val="Corpsdetex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7B26AC" w:rsidRDefault="007B26AC" w:rsidP="007B26AC">
      <w:pPr>
        <w:spacing w:line="360" w:lineRule="auto"/>
        <w:jc w:val="both"/>
        <w:rPr>
          <w:rFonts w:ascii="Arial" w:hAnsi="Arial"/>
          <w:lang w:val="es-ES_tradnl"/>
        </w:rPr>
      </w:pPr>
    </w:p>
    <w:p w:rsidR="00AB3928" w:rsidRDefault="00AB3928" w:rsidP="007B26AC">
      <w:pPr>
        <w:spacing w:line="360" w:lineRule="auto"/>
        <w:jc w:val="both"/>
        <w:rPr>
          <w:rFonts w:ascii="Arial" w:hAnsi="Arial"/>
          <w:lang w:val="es-ES_tradnl"/>
        </w:rPr>
      </w:pPr>
    </w:p>
    <w:p w:rsidR="007B26AC" w:rsidRPr="009724E3" w:rsidRDefault="009724E3" w:rsidP="00BB0EF5">
      <w:pPr>
        <w:pStyle w:val="Corpsdetexte"/>
        <w:numPr>
          <w:ilvl w:val="0"/>
          <w:numId w:val="31"/>
        </w:numPr>
        <w:tabs>
          <w:tab w:val="clear" w:pos="0"/>
          <w:tab w:val="clear" w:pos="1416"/>
        </w:tabs>
        <w:spacing w:line="360" w:lineRule="auto"/>
        <w:rPr>
          <w:rFonts w:ascii="Arial" w:hAnsi="Arial"/>
          <w:smallCaps/>
          <w:sz w:val="28"/>
          <w:szCs w:val="24"/>
        </w:rPr>
      </w:pPr>
      <w:r w:rsidRPr="00AB3928">
        <w:rPr>
          <w:rFonts w:ascii="Arial" w:hAnsi="Arial"/>
          <w:smallCaps/>
          <w:sz w:val="28"/>
          <w:szCs w:val="24"/>
        </w:rPr>
        <w:lastRenderedPageBreak/>
        <w:t>E</w:t>
      </w:r>
      <w:r w:rsidRPr="009724E3">
        <w:rPr>
          <w:rFonts w:ascii="Arial" w:hAnsi="Arial"/>
          <w:smallCaps/>
          <w:sz w:val="28"/>
          <w:szCs w:val="24"/>
        </w:rPr>
        <w:t>l caso concreto materia de análisis</w:t>
      </w:r>
    </w:p>
    <w:p w:rsidR="009724E3" w:rsidRDefault="009724E3" w:rsidP="009724E3">
      <w:pPr>
        <w:pStyle w:val="Corpsdetexte"/>
        <w:tabs>
          <w:tab w:val="clear" w:pos="0"/>
          <w:tab w:val="clear" w:pos="1416"/>
        </w:tabs>
        <w:spacing w:line="360" w:lineRule="auto"/>
        <w:ind w:left="400"/>
        <w:rPr>
          <w:rFonts w:ascii="Arial" w:hAnsi="Arial"/>
          <w:szCs w:val="24"/>
        </w:rPr>
      </w:pPr>
    </w:p>
    <w:p w:rsidR="00BB0EF5" w:rsidRDefault="00BB0EF5" w:rsidP="00BB0EF5">
      <w:pPr>
        <w:pStyle w:val="Corpsdetexte"/>
        <w:spacing w:line="360" w:lineRule="auto"/>
        <w:rPr>
          <w:rFonts w:ascii="Arial" w:hAnsi="Arial"/>
          <w:szCs w:val="24"/>
        </w:rPr>
      </w:pPr>
      <w:r w:rsidRPr="00F54A43">
        <w:rPr>
          <w:rFonts w:ascii="Arial" w:hAnsi="Arial"/>
          <w:szCs w:val="24"/>
        </w:rPr>
        <w:t xml:space="preserve">En la metodología enseñada por la doctrina constitucional, el primer examen consiste en verificar los presupuestos generales de procedibilidad, </w:t>
      </w:r>
      <w:r>
        <w:rPr>
          <w:rFonts w:ascii="Arial" w:hAnsi="Arial"/>
          <w:szCs w:val="24"/>
        </w:rPr>
        <w:t>para luego entrar a revisar los supuestos especiales</w:t>
      </w:r>
      <w:r w:rsidRPr="00F54A43">
        <w:rPr>
          <w:rFonts w:ascii="Arial" w:hAnsi="Arial"/>
          <w:szCs w:val="24"/>
        </w:rPr>
        <w:t xml:space="preserve">. </w:t>
      </w:r>
      <w:r w:rsidR="007471F8">
        <w:rPr>
          <w:rFonts w:ascii="Arial" w:hAnsi="Arial"/>
          <w:szCs w:val="24"/>
        </w:rPr>
        <w:t>Este</w:t>
      </w:r>
      <w:r w:rsidRPr="00F54A43">
        <w:rPr>
          <w:rFonts w:ascii="Arial" w:hAnsi="Arial"/>
          <w:szCs w:val="24"/>
        </w:rPr>
        <w:t xml:space="preserve"> asunto es de relevancia constitucional; </w:t>
      </w:r>
      <w:r>
        <w:rPr>
          <w:rFonts w:ascii="Arial" w:hAnsi="Arial"/>
          <w:szCs w:val="24"/>
        </w:rPr>
        <w:t>la actuación</w:t>
      </w:r>
      <w:r w:rsidRPr="00F54A43">
        <w:rPr>
          <w:rFonts w:ascii="Arial" w:hAnsi="Arial"/>
          <w:szCs w:val="24"/>
        </w:rPr>
        <w:t xml:space="preserve"> reprochada no </w:t>
      </w:r>
      <w:r>
        <w:rPr>
          <w:rFonts w:ascii="Arial" w:hAnsi="Arial"/>
          <w:szCs w:val="24"/>
        </w:rPr>
        <w:t xml:space="preserve">es </w:t>
      </w:r>
      <w:r w:rsidRPr="00F54A43">
        <w:rPr>
          <w:rFonts w:ascii="Arial" w:hAnsi="Arial"/>
          <w:szCs w:val="24"/>
        </w:rPr>
        <w:t xml:space="preserve">de tutela; hay inmediatez porque </w:t>
      </w:r>
      <w:r>
        <w:rPr>
          <w:rFonts w:ascii="Arial" w:hAnsi="Arial"/>
          <w:szCs w:val="24"/>
        </w:rPr>
        <w:t xml:space="preserve">el auto que resolvió la reposición presentada contra el proveído que declaró desierta la alzada </w:t>
      </w:r>
      <w:r w:rsidRPr="00F54A43">
        <w:rPr>
          <w:rFonts w:ascii="Arial" w:hAnsi="Arial"/>
          <w:szCs w:val="24"/>
        </w:rPr>
        <w:t xml:space="preserve">data del día </w:t>
      </w:r>
      <w:r>
        <w:rPr>
          <w:rFonts w:ascii="Arial" w:hAnsi="Arial"/>
          <w:szCs w:val="24"/>
        </w:rPr>
        <w:t xml:space="preserve">21-10-2016 </w:t>
      </w:r>
      <w:r w:rsidRPr="00F54A43">
        <w:rPr>
          <w:rFonts w:ascii="Arial" w:hAnsi="Arial"/>
          <w:szCs w:val="24"/>
        </w:rPr>
        <w:t>(Folio</w:t>
      </w:r>
      <w:r>
        <w:rPr>
          <w:rFonts w:ascii="Arial" w:hAnsi="Arial"/>
          <w:szCs w:val="24"/>
        </w:rPr>
        <w:t>s</w:t>
      </w:r>
      <w:r w:rsidRPr="00F54A43">
        <w:rPr>
          <w:rFonts w:ascii="Arial" w:hAnsi="Arial"/>
          <w:szCs w:val="24"/>
        </w:rPr>
        <w:t xml:space="preserve"> </w:t>
      </w:r>
      <w:r>
        <w:rPr>
          <w:rFonts w:ascii="Arial" w:hAnsi="Arial"/>
          <w:szCs w:val="24"/>
        </w:rPr>
        <w:t>36 y 37</w:t>
      </w:r>
      <w:r w:rsidRPr="00F54A43">
        <w:rPr>
          <w:rFonts w:ascii="Arial" w:hAnsi="Arial"/>
          <w:szCs w:val="24"/>
        </w:rPr>
        <w:t>, ib.)</w:t>
      </w:r>
      <w:r>
        <w:rPr>
          <w:rFonts w:ascii="Arial" w:hAnsi="Arial"/>
          <w:szCs w:val="24"/>
        </w:rPr>
        <w:t xml:space="preserve"> y</w:t>
      </w:r>
      <w:r w:rsidRPr="00F54A43">
        <w:rPr>
          <w:rFonts w:ascii="Arial" w:hAnsi="Arial"/>
          <w:szCs w:val="24"/>
        </w:rPr>
        <w:t xml:space="preserve"> </w:t>
      </w:r>
      <w:r>
        <w:rPr>
          <w:rFonts w:ascii="Arial" w:hAnsi="Arial"/>
          <w:szCs w:val="24"/>
        </w:rPr>
        <w:t xml:space="preserve">la acción </w:t>
      </w:r>
      <w:r w:rsidRPr="00F54A43">
        <w:rPr>
          <w:rFonts w:ascii="Arial" w:hAnsi="Arial"/>
          <w:szCs w:val="24"/>
        </w:rPr>
        <w:t xml:space="preserve">fue instaurada el </w:t>
      </w:r>
      <w:r>
        <w:rPr>
          <w:rFonts w:ascii="Arial" w:hAnsi="Arial"/>
          <w:szCs w:val="24"/>
        </w:rPr>
        <w:t>02-11-</w:t>
      </w:r>
      <w:r w:rsidRPr="00F54A43">
        <w:rPr>
          <w:rFonts w:ascii="Arial" w:hAnsi="Arial"/>
          <w:szCs w:val="24"/>
        </w:rPr>
        <w:t xml:space="preserve">2016 </w:t>
      </w:r>
      <w:r>
        <w:rPr>
          <w:rFonts w:ascii="Arial" w:hAnsi="Arial"/>
          <w:szCs w:val="24"/>
        </w:rPr>
        <w:t>(Folio 10</w:t>
      </w:r>
      <w:r w:rsidRPr="00F54A43">
        <w:rPr>
          <w:rFonts w:ascii="Arial" w:hAnsi="Arial"/>
          <w:szCs w:val="24"/>
        </w:rPr>
        <w:t xml:space="preserve">, ib.); y, la irregularidad realzada resulta ser trascendente para el desarrollo de la </w:t>
      </w:r>
      <w:proofErr w:type="spellStart"/>
      <w:r w:rsidRPr="00F54A43">
        <w:rPr>
          <w:rFonts w:ascii="Arial" w:hAnsi="Arial"/>
          <w:szCs w:val="24"/>
        </w:rPr>
        <w:t>litis</w:t>
      </w:r>
      <w:proofErr w:type="spellEnd"/>
      <w:r w:rsidRPr="00F54A43">
        <w:rPr>
          <w:rFonts w:ascii="Arial" w:hAnsi="Arial"/>
          <w:szCs w:val="24"/>
        </w:rPr>
        <w:t>.</w:t>
      </w:r>
    </w:p>
    <w:p w:rsidR="00BB0EF5" w:rsidRDefault="00BB0EF5" w:rsidP="009724E3">
      <w:pPr>
        <w:pStyle w:val="Corpsdetexte"/>
        <w:tabs>
          <w:tab w:val="clear" w:pos="0"/>
          <w:tab w:val="clear" w:pos="1416"/>
        </w:tabs>
        <w:spacing w:line="360" w:lineRule="auto"/>
        <w:ind w:left="400"/>
        <w:rPr>
          <w:rFonts w:ascii="Arial" w:hAnsi="Arial"/>
          <w:szCs w:val="24"/>
        </w:rPr>
      </w:pPr>
    </w:p>
    <w:p w:rsidR="00BB0EF5" w:rsidRPr="009724E3" w:rsidRDefault="00BB0EF5" w:rsidP="00BB0EF5">
      <w:pPr>
        <w:pStyle w:val="Corpsdetexte"/>
        <w:numPr>
          <w:ilvl w:val="1"/>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rPr>
      </w:pPr>
      <w:r w:rsidRPr="009724E3">
        <w:rPr>
          <w:rFonts w:ascii="Arial" w:hAnsi="Arial"/>
          <w:smallCaps/>
          <w:szCs w:val="24"/>
        </w:rPr>
        <w:t xml:space="preserve">La </w:t>
      </w:r>
      <w:r w:rsidRPr="009724E3">
        <w:rPr>
          <w:rFonts w:ascii="Arial" w:hAnsi="Arial" w:cs="Arial"/>
          <w:smallCaps/>
          <w:szCs w:val="24"/>
        </w:rPr>
        <w:t>procedibilidad frente a decisiones judiciales (</w:t>
      </w:r>
      <w:r w:rsidRPr="009724E3">
        <w:rPr>
          <w:rFonts w:ascii="Arial" w:hAnsi="Arial" w:cs="Arial"/>
          <w:smallCaps/>
        </w:rPr>
        <w:t>Subsidiariedad)</w:t>
      </w:r>
    </w:p>
    <w:p w:rsidR="00BB0EF5" w:rsidRDefault="00BB0EF5" w:rsidP="009724E3">
      <w:pPr>
        <w:pStyle w:val="Corpsdetexte"/>
        <w:tabs>
          <w:tab w:val="clear" w:pos="0"/>
          <w:tab w:val="clear" w:pos="1416"/>
        </w:tabs>
        <w:spacing w:line="360" w:lineRule="auto"/>
        <w:ind w:left="400"/>
        <w:rPr>
          <w:rFonts w:ascii="Arial" w:hAnsi="Arial"/>
          <w:szCs w:val="24"/>
        </w:rPr>
      </w:pPr>
    </w:p>
    <w:p w:rsidR="00BB0EF5" w:rsidRDefault="00BB0EF5" w:rsidP="00BB0EF5">
      <w:pPr>
        <w:pStyle w:val="Corpsdetexte"/>
        <w:tabs>
          <w:tab w:val="clear" w:pos="0"/>
          <w:tab w:val="clear" w:pos="1416"/>
        </w:tabs>
        <w:spacing w:line="360" w:lineRule="auto"/>
        <w:rPr>
          <w:rFonts w:ascii="Arial" w:hAnsi="Arial"/>
          <w:szCs w:val="24"/>
        </w:rPr>
      </w:pPr>
      <w:r>
        <w:rPr>
          <w:rFonts w:ascii="Arial" w:hAnsi="Arial"/>
          <w:szCs w:val="24"/>
        </w:rPr>
        <w:t xml:space="preserve">Ahora bien, </w:t>
      </w:r>
      <w:r w:rsidR="006803AE">
        <w:rPr>
          <w:rFonts w:ascii="Arial" w:hAnsi="Arial"/>
          <w:szCs w:val="24"/>
        </w:rPr>
        <w:t xml:space="preserve">en cuanto al </w:t>
      </w:r>
      <w:r>
        <w:rPr>
          <w:rFonts w:ascii="Arial" w:hAnsi="Arial"/>
          <w:szCs w:val="24"/>
        </w:rPr>
        <w:t xml:space="preserve">requisito de subsidiariedad, necesario para </w:t>
      </w:r>
      <w:r w:rsidR="007471F8">
        <w:rPr>
          <w:rFonts w:ascii="Arial" w:hAnsi="Arial"/>
          <w:szCs w:val="24"/>
        </w:rPr>
        <w:t>l</w:t>
      </w:r>
      <w:r w:rsidR="006803AE">
        <w:rPr>
          <w:rFonts w:ascii="Arial" w:hAnsi="Arial"/>
          <w:szCs w:val="24"/>
        </w:rPr>
        <w:t>a</w:t>
      </w:r>
      <w:r w:rsidR="007471F8">
        <w:rPr>
          <w:rFonts w:ascii="Arial" w:hAnsi="Arial"/>
          <w:szCs w:val="24"/>
        </w:rPr>
        <w:t xml:space="preserve"> </w:t>
      </w:r>
      <w:r>
        <w:rPr>
          <w:rFonts w:ascii="Arial" w:hAnsi="Arial"/>
          <w:szCs w:val="24"/>
        </w:rPr>
        <w:t>procedencia del amparo constitucional</w:t>
      </w:r>
      <w:r w:rsidR="006803AE">
        <w:rPr>
          <w:rFonts w:ascii="Arial" w:hAnsi="Arial"/>
          <w:szCs w:val="24"/>
        </w:rPr>
        <w:t>, halla la Sala que debe analizarse su cumplimiento con arreglo a la queja expuesta en el petitorio y que se relaciona con la declaratoria de deserción y no estrictamente con la advertencia de la posible sanción que la juzgadora expuso en el auto que concedió la alzada.</w:t>
      </w:r>
      <w:r>
        <w:rPr>
          <w:rFonts w:ascii="Arial" w:hAnsi="Arial"/>
          <w:szCs w:val="24"/>
        </w:rPr>
        <w:t xml:space="preserve"> </w:t>
      </w:r>
    </w:p>
    <w:p w:rsidR="00BB0EF5" w:rsidRDefault="00BB0EF5" w:rsidP="00BB0EF5">
      <w:pPr>
        <w:pStyle w:val="Corpsdetexte"/>
        <w:tabs>
          <w:tab w:val="clear" w:pos="0"/>
          <w:tab w:val="clear" w:pos="1416"/>
        </w:tabs>
        <w:spacing w:line="360" w:lineRule="auto"/>
        <w:rPr>
          <w:rFonts w:ascii="Arial" w:hAnsi="Arial"/>
          <w:szCs w:val="24"/>
        </w:rPr>
      </w:pPr>
    </w:p>
    <w:p w:rsidR="0067490E" w:rsidRDefault="0007515C" w:rsidP="001F36A0">
      <w:pPr>
        <w:pStyle w:val="Corpsdetexte"/>
        <w:spacing w:line="360" w:lineRule="auto"/>
        <w:rPr>
          <w:rFonts w:ascii="Arial" w:hAnsi="Arial"/>
          <w:szCs w:val="24"/>
        </w:rPr>
      </w:pPr>
      <w:r>
        <w:rPr>
          <w:rFonts w:ascii="Arial" w:hAnsi="Arial"/>
          <w:szCs w:val="24"/>
        </w:rPr>
        <w:t xml:space="preserve">Si bien es cierto que </w:t>
      </w:r>
      <w:r w:rsidR="00BB0EF5">
        <w:rPr>
          <w:rFonts w:ascii="Arial" w:hAnsi="Arial"/>
          <w:szCs w:val="24"/>
        </w:rPr>
        <w:t xml:space="preserve">el juzgado accionado mediante el proveído del día 11-08-2016 concedió la apelación presentada, ordenó al recurrente pagar los portes de ida y regreso, y advirtió que su desatención implicaría la deserción del recurso (Folio </w:t>
      </w:r>
      <w:r w:rsidR="008966B2">
        <w:rPr>
          <w:rFonts w:ascii="Arial" w:hAnsi="Arial"/>
          <w:szCs w:val="24"/>
        </w:rPr>
        <w:t>28 y 29, ib.), aclarado con auto del</w:t>
      </w:r>
      <w:r w:rsidR="00A06C92">
        <w:rPr>
          <w:rFonts w:ascii="Arial" w:hAnsi="Arial"/>
          <w:szCs w:val="24"/>
        </w:rPr>
        <w:t xml:space="preserve"> día </w:t>
      </w:r>
      <w:r w:rsidR="008966B2">
        <w:rPr>
          <w:rFonts w:ascii="Arial" w:hAnsi="Arial"/>
          <w:szCs w:val="24"/>
        </w:rPr>
        <w:t xml:space="preserve">19-08-2016, en cuando al efecto en que fue concedido, </w:t>
      </w:r>
      <w:r w:rsidR="00C04F48">
        <w:rPr>
          <w:rFonts w:ascii="Arial" w:hAnsi="Arial"/>
          <w:szCs w:val="24"/>
        </w:rPr>
        <w:t xml:space="preserve">el cual </w:t>
      </w:r>
      <w:r w:rsidR="007471F8">
        <w:rPr>
          <w:rFonts w:ascii="Arial" w:hAnsi="Arial"/>
          <w:szCs w:val="24"/>
        </w:rPr>
        <w:t xml:space="preserve">se notificó </w:t>
      </w:r>
      <w:r w:rsidR="008966B2">
        <w:rPr>
          <w:rFonts w:ascii="Arial" w:hAnsi="Arial"/>
          <w:szCs w:val="24"/>
        </w:rPr>
        <w:t xml:space="preserve">por estado del día 23-08-2016 y </w:t>
      </w:r>
      <w:r w:rsidR="007471F8">
        <w:rPr>
          <w:rFonts w:ascii="Arial" w:hAnsi="Arial"/>
          <w:szCs w:val="24"/>
        </w:rPr>
        <w:t xml:space="preserve">quedo </w:t>
      </w:r>
      <w:r w:rsidR="008966B2">
        <w:rPr>
          <w:rFonts w:ascii="Arial" w:hAnsi="Arial"/>
          <w:szCs w:val="24"/>
        </w:rPr>
        <w:t xml:space="preserve">debidamente ejecutoriado el </w:t>
      </w:r>
      <w:r w:rsidR="007471F8">
        <w:rPr>
          <w:rFonts w:ascii="Arial" w:hAnsi="Arial"/>
          <w:szCs w:val="24"/>
        </w:rPr>
        <w:t xml:space="preserve">día </w:t>
      </w:r>
      <w:r w:rsidR="008966B2">
        <w:rPr>
          <w:rFonts w:ascii="Arial" w:hAnsi="Arial"/>
          <w:szCs w:val="24"/>
        </w:rPr>
        <w:t xml:space="preserve">29-08-2016 (Folio 30, ib.), sin que el interesado lo recurriera, </w:t>
      </w:r>
      <w:r>
        <w:rPr>
          <w:rFonts w:ascii="Arial" w:hAnsi="Arial"/>
          <w:szCs w:val="24"/>
        </w:rPr>
        <w:t>también lo es</w:t>
      </w:r>
      <w:r w:rsidR="006803AE">
        <w:rPr>
          <w:rFonts w:ascii="Arial" w:hAnsi="Arial"/>
          <w:szCs w:val="24"/>
        </w:rPr>
        <w:t>, según lo dicho</w:t>
      </w:r>
      <w:r>
        <w:rPr>
          <w:rFonts w:ascii="Arial" w:hAnsi="Arial"/>
          <w:szCs w:val="24"/>
        </w:rPr>
        <w:t xml:space="preserve"> previamente</w:t>
      </w:r>
      <w:r w:rsidR="006803AE">
        <w:rPr>
          <w:rFonts w:ascii="Arial" w:hAnsi="Arial"/>
          <w:szCs w:val="24"/>
        </w:rPr>
        <w:t xml:space="preserve">, </w:t>
      </w:r>
      <w:r>
        <w:rPr>
          <w:rFonts w:ascii="Arial" w:hAnsi="Arial"/>
          <w:szCs w:val="24"/>
        </w:rPr>
        <w:t xml:space="preserve">que </w:t>
      </w:r>
      <w:r w:rsidR="006803AE">
        <w:rPr>
          <w:rFonts w:ascii="Arial" w:hAnsi="Arial"/>
          <w:szCs w:val="24"/>
        </w:rPr>
        <w:t xml:space="preserve">la ausencia </w:t>
      </w:r>
      <w:r>
        <w:rPr>
          <w:rFonts w:ascii="Arial" w:hAnsi="Arial"/>
          <w:szCs w:val="24"/>
        </w:rPr>
        <w:t xml:space="preserve">de la formulación </w:t>
      </w:r>
      <w:r w:rsidR="006803AE">
        <w:rPr>
          <w:rFonts w:ascii="Arial" w:hAnsi="Arial"/>
          <w:szCs w:val="24"/>
        </w:rPr>
        <w:t xml:space="preserve">de recurso frente a </w:t>
      </w:r>
      <w:r>
        <w:rPr>
          <w:rFonts w:ascii="Arial" w:hAnsi="Arial"/>
          <w:szCs w:val="24"/>
        </w:rPr>
        <w:t xml:space="preserve">ese </w:t>
      </w:r>
      <w:r w:rsidR="006803AE">
        <w:rPr>
          <w:rFonts w:ascii="Arial" w:hAnsi="Arial"/>
          <w:szCs w:val="24"/>
        </w:rPr>
        <w:t xml:space="preserve">proveído no es óbice para considerar superada la </w:t>
      </w:r>
      <w:r>
        <w:rPr>
          <w:rFonts w:ascii="Arial" w:hAnsi="Arial"/>
          <w:szCs w:val="24"/>
        </w:rPr>
        <w:t>subsidiariedad</w:t>
      </w:r>
      <w:r w:rsidR="006803AE">
        <w:rPr>
          <w:rFonts w:ascii="Arial" w:hAnsi="Arial"/>
          <w:szCs w:val="24"/>
        </w:rPr>
        <w:t xml:space="preserve">, si se tiene que el auto </w:t>
      </w:r>
      <w:r w:rsidR="008966B2">
        <w:rPr>
          <w:rFonts w:ascii="Arial" w:hAnsi="Arial"/>
          <w:szCs w:val="24"/>
        </w:rPr>
        <w:t xml:space="preserve">que declaró desierta la alzada (Folio 34, ib.) </w:t>
      </w:r>
      <w:r>
        <w:rPr>
          <w:rFonts w:ascii="Arial" w:hAnsi="Arial"/>
          <w:szCs w:val="24"/>
        </w:rPr>
        <w:t xml:space="preserve">sí </w:t>
      </w:r>
      <w:r w:rsidR="008966B2">
        <w:rPr>
          <w:rFonts w:ascii="Arial" w:hAnsi="Arial"/>
          <w:szCs w:val="24"/>
        </w:rPr>
        <w:t xml:space="preserve">fue recurrido oportunamente </w:t>
      </w:r>
      <w:r w:rsidR="0067490E">
        <w:rPr>
          <w:rFonts w:ascii="Arial" w:hAnsi="Arial"/>
          <w:szCs w:val="24"/>
        </w:rPr>
        <w:t>(Folio 35, ib.)</w:t>
      </w:r>
      <w:r>
        <w:rPr>
          <w:rFonts w:ascii="Arial" w:hAnsi="Arial"/>
          <w:szCs w:val="24"/>
        </w:rPr>
        <w:t xml:space="preserve">, </w:t>
      </w:r>
      <w:r w:rsidR="00C04F48">
        <w:rPr>
          <w:rFonts w:ascii="Arial" w:hAnsi="Arial"/>
          <w:szCs w:val="24"/>
        </w:rPr>
        <w:t xml:space="preserve">el cual, </w:t>
      </w:r>
      <w:r>
        <w:rPr>
          <w:rFonts w:ascii="Arial" w:hAnsi="Arial"/>
          <w:szCs w:val="24"/>
        </w:rPr>
        <w:t>precisamente</w:t>
      </w:r>
      <w:r w:rsidR="00C04F48">
        <w:rPr>
          <w:rFonts w:ascii="Arial" w:hAnsi="Arial"/>
          <w:szCs w:val="24"/>
        </w:rPr>
        <w:t xml:space="preserve">, contiene </w:t>
      </w:r>
      <w:r>
        <w:rPr>
          <w:rFonts w:ascii="Arial" w:hAnsi="Arial"/>
          <w:szCs w:val="24"/>
        </w:rPr>
        <w:t>la decisión que se cuestiona en este amparo.</w:t>
      </w:r>
      <w:r w:rsidR="008966B2">
        <w:rPr>
          <w:rFonts w:ascii="Arial" w:hAnsi="Arial"/>
          <w:szCs w:val="24"/>
        </w:rPr>
        <w:t xml:space="preserve"> </w:t>
      </w:r>
      <w:r w:rsidR="00C04F48">
        <w:rPr>
          <w:rFonts w:ascii="Arial" w:hAnsi="Arial"/>
          <w:szCs w:val="24"/>
        </w:rPr>
        <w:t xml:space="preserve">Está superado, entonces, dicho requisito, y por consiguiente, es </w:t>
      </w:r>
      <w:r w:rsidR="00F51E2A">
        <w:rPr>
          <w:rFonts w:ascii="Arial" w:hAnsi="Arial"/>
          <w:szCs w:val="24"/>
        </w:rPr>
        <w:t xml:space="preserve">procedente el estudio de fondo en esta acción constitucional. </w:t>
      </w:r>
    </w:p>
    <w:p w:rsidR="0067490E" w:rsidRDefault="0067490E" w:rsidP="001F36A0">
      <w:pPr>
        <w:pStyle w:val="Corpsdetexte"/>
        <w:spacing w:line="360" w:lineRule="auto"/>
        <w:rPr>
          <w:rFonts w:ascii="Arial" w:hAnsi="Arial"/>
          <w:szCs w:val="24"/>
        </w:rPr>
      </w:pPr>
    </w:p>
    <w:p w:rsidR="00BB0EF5" w:rsidRPr="001C4E4D" w:rsidRDefault="00BF624C" w:rsidP="00BF624C">
      <w:pPr>
        <w:pStyle w:val="Corpsdetexte"/>
        <w:numPr>
          <w:ilvl w:val="1"/>
          <w:numId w:val="31"/>
        </w:numPr>
        <w:spacing w:line="360" w:lineRule="auto"/>
        <w:rPr>
          <w:rFonts w:ascii="Arial" w:hAnsi="Arial" w:cs="Arial"/>
          <w:smallCaps/>
          <w:szCs w:val="24"/>
        </w:rPr>
      </w:pPr>
      <w:r w:rsidRPr="001C4E4D">
        <w:rPr>
          <w:rFonts w:ascii="Arial" w:hAnsi="Arial" w:cs="Arial"/>
          <w:smallCaps/>
          <w:szCs w:val="24"/>
        </w:rPr>
        <w:t xml:space="preserve">El defecto </w:t>
      </w:r>
      <w:r w:rsidR="008128A7" w:rsidRPr="001C4E4D">
        <w:rPr>
          <w:rFonts w:ascii="Arial" w:hAnsi="Arial" w:cs="Arial"/>
          <w:smallCaps/>
          <w:szCs w:val="24"/>
        </w:rPr>
        <w:t xml:space="preserve">sustantivo </w:t>
      </w:r>
    </w:p>
    <w:p w:rsidR="005A1A59" w:rsidRPr="001C4E4D" w:rsidRDefault="005A1A59" w:rsidP="001F36A0">
      <w:pPr>
        <w:pStyle w:val="Corpsdetexte"/>
        <w:spacing w:line="360" w:lineRule="auto"/>
        <w:rPr>
          <w:rFonts w:ascii="Arial" w:hAnsi="Arial"/>
          <w:szCs w:val="24"/>
        </w:rPr>
      </w:pPr>
    </w:p>
    <w:p w:rsidR="008128A7" w:rsidRPr="001C4E4D" w:rsidRDefault="008128A7" w:rsidP="008128A7">
      <w:pPr>
        <w:widowControl/>
        <w:spacing w:line="360" w:lineRule="auto"/>
        <w:jc w:val="both"/>
        <w:rPr>
          <w:rFonts w:ascii="Arial" w:hAnsi="Arial" w:cs="Arial"/>
        </w:rPr>
      </w:pPr>
      <w:r w:rsidRPr="001C4E4D">
        <w:rPr>
          <w:rFonts w:ascii="Arial" w:hAnsi="Arial" w:cs="Arial"/>
        </w:rPr>
        <w:t>Concluido el estudio de los requisitos generales, incumbe proseguir con la revisión de las causales especiales y en el caso concreto se entiende que lo expuesto por el actor alude al defecto sustantivo, pues argumenta que la jueza accionada no debió declarar desierto el recurso de apelación con fundamento en el incumplimiento en el pago de</w:t>
      </w:r>
      <w:r w:rsidR="009F1407">
        <w:rPr>
          <w:rFonts w:ascii="Arial" w:hAnsi="Arial" w:cs="Arial"/>
        </w:rPr>
        <w:t>l porte</w:t>
      </w:r>
      <w:r w:rsidRPr="001C4E4D">
        <w:rPr>
          <w:rFonts w:ascii="Arial" w:hAnsi="Arial" w:cs="Arial"/>
        </w:rPr>
        <w:t xml:space="preserve"> de ida y regreso del expediente</w:t>
      </w:r>
      <w:r w:rsidR="008C2679">
        <w:rPr>
          <w:rFonts w:ascii="Arial" w:hAnsi="Arial" w:cs="Arial"/>
        </w:rPr>
        <w:t>,</w:t>
      </w:r>
      <w:r w:rsidRPr="001C4E4D">
        <w:rPr>
          <w:rFonts w:ascii="Arial" w:hAnsi="Arial" w:cs="Arial"/>
        </w:rPr>
        <w:t xml:space="preserve"> porque el CGP no lo contempla.</w:t>
      </w:r>
    </w:p>
    <w:p w:rsidR="0007515C" w:rsidRPr="00973DD5" w:rsidRDefault="0007515C" w:rsidP="008128A7">
      <w:pPr>
        <w:widowControl/>
        <w:spacing w:line="360" w:lineRule="auto"/>
        <w:jc w:val="both"/>
        <w:rPr>
          <w:rFonts w:ascii="Arial" w:hAnsi="Arial" w:cs="Arial"/>
          <w:lang w:val="es-CO"/>
        </w:rPr>
      </w:pPr>
      <w:r w:rsidRPr="00973DD5">
        <w:rPr>
          <w:rFonts w:ascii="Arial" w:hAnsi="Arial" w:cs="Arial"/>
        </w:rPr>
        <w:lastRenderedPageBreak/>
        <w:t>Para resolver el asunto la Sala estudiará los lineamientos procesales de consuno con la doctrina nacional</w:t>
      </w:r>
      <w:r w:rsidR="00281FA0">
        <w:rPr>
          <w:rFonts w:ascii="Arial" w:hAnsi="Arial" w:cs="Arial"/>
        </w:rPr>
        <w:t>,</w:t>
      </w:r>
      <w:r w:rsidRPr="00973DD5">
        <w:rPr>
          <w:rFonts w:ascii="Arial" w:hAnsi="Arial" w:cs="Arial"/>
        </w:rPr>
        <w:t xml:space="preserve"> relacionados con </w:t>
      </w:r>
      <w:r w:rsidRPr="00973DD5">
        <w:rPr>
          <w:rFonts w:ascii="Arial" w:hAnsi="Arial" w:cs="Arial"/>
          <w:lang w:val="es-CO"/>
        </w:rPr>
        <w:t>el trámite del recurso de apelación contra autos y la remisión del expediente o de las copias al superior.</w:t>
      </w:r>
    </w:p>
    <w:p w:rsidR="0007515C" w:rsidRPr="00AB3928" w:rsidRDefault="0007515C" w:rsidP="008128A7">
      <w:pPr>
        <w:widowControl/>
        <w:spacing w:line="360" w:lineRule="auto"/>
        <w:jc w:val="both"/>
        <w:rPr>
          <w:rFonts w:ascii="Arial" w:hAnsi="Arial" w:cs="Arial"/>
          <w:sz w:val="16"/>
          <w:szCs w:val="16"/>
        </w:rPr>
      </w:pPr>
    </w:p>
    <w:p w:rsidR="00F51E2A" w:rsidRPr="00973DD5" w:rsidRDefault="0007515C" w:rsidP="00F51E2A">
      <w:pPr>
        <w:pStyle w:val="Sansinterligne"/>
        <w:spacing w:line="360" w:lineRule="auto"/>
        <w:jc w:val="both"/>
        <w:rPr>
          <w:rFonts w:ascii="Arial" w:hAnsi="Arial" w:cs="Arial"/>
          <w:szCs w:val="24"/>
        </w:rPr>
      </w:pPr>
      <w:r w:rsidRPr="00973DD5">
        <w:rPr>
          <w:rFonts w:ascii="Arial" w:hAnsi="Arial" w:cs="Arial"/>
          <w:szCs w:val="24"/>
        </w:rPr>
        <w:t>En presencia de los recursos, según la doctrina</w:t>
      </w:r>
      <w:r w:rsidR="00710BFF" w:rsidRPr="00973DD5">
        <w:rPr>
          <w:rFonts w:ascii="Arial" w:hAnsi="Arial" w:cs="Arial"/>
          <w:szCs w:val="24"/>
          <w:vertAlign w:val="superscript"/>
        </w:rPr>
        <w:footnoteReference w:id="17"/>
      </w:r>
      <w:r w:rsidR="00710BFF" w:rsidRPr="00973DD5">
        <w:rPr>
          <w:rFonts w:ascii="Arial" w:hAnsi="Arial" w:cs="Arial"/>
          <w:szCs w:val="24"/>
          <w:vertAlign w:val="superscript"/>
        </w:rPr>
        <w:t>-</w:t>
      </w:r>
      <w:r w:rsidR="00710BFF" w:rsidRPr="00973DD5">
        <w:rPr>
          <w:rFonts w:ascii="Arial" w:hAnsi="Arial" w:cs="Arial"/>
          <w:szCs w:val="24"/>
          <w:vertAlign w:val="superscript"/>
        </w:rPr>
        <w:footnoteReference w:id="18"/>
      </w:r>
      <w:r w:rsidRPr="00973DD5">
        <w:rPr>
          <w:rFonts w:ascii="Arial" w:hAnsi="Arial" w:cs="Arial"/>
          <w:szCs w:val="24"/>
        </w:rPr>
        <w:t xml:space="preserve">, deben siempre concurrir los llamados presupuestos de </w:t>
      </w:r>
      <w:r w:rsidRPr="00973DD5">
        <w:rPr>
          <w:rFonts w:ascii="Arial" w:hAnsi="Arial" w:cs="Arial"/>
          <w:szCs w:val="24"/>
          <w:u w:val="single"/>
        </w:rPr>
        <w:t>viabilidad</w:t>
      </w:r>
      <w:r w:rsidRPr="00973DD5">
        <w:rPr>
          <w:rFonts w:ascii="Arial" w:hAnsi="Arial" w:cs="Arial"/>
          <w:szCs w:val="24"/>
        </w:rPr>
        <w:t xml:space="preserve">, </w:t>
      </w:r>
      <w:r w:rsidR="00710BFF" w:rsidRPr="00973DD5">
        <w:rPr>
          <w:rFonts w:ascii="Arial" w:hAnsi="Arial" w:cs="Arial"/>
          <w:szCs w:val="24"/>
        </w:rPr>
        <w:t xml:space="preserve">a efectos de examinar el tema de apelación; dichos presupuestos son una serie de exigencias normativas formales que permiten </w:t>
      </w:r>
      <w:r w:rsidR="00F51E2A" w:rsidRPr="00973DD5">
        <w:rPr>
          <w:rFonts w:ascii="Arial" w:hAnsi="Arial" w:cs="Arial"/>
          <w:szCs w:val="24"/>
        </w:rPr>
        <w:t xml:space="preserve">su trámite y aseguran su decisión. Dice el profesor López Blanco: </w:t>
      </w:r>
      <w:r w:rsidR="00F51E2A" w:rsidRPr="00973DD5">
        <w:rPr>
          <w:rFonts w:ascii="Arial" w:hAnsi="Arial" w:cs="Arial"/>
          <w:i/>
          <w:sz w:val="22"/>
          <w:szCs w:val="24"/>
        </w:rPr>
        <w:t>“</w:t>
      </w:r>
      <w:r w:rsidR="00973DD5" w:rsidRPr="00973DD5">
        <w:rPr>
          <w:rFonts w:ascii="Arial" w:hAnsi="Arial" w:cs="Arial"/>
          <w:i/>
          <w:sz w:val="22"/>
          <w:szCs w:val="24"/>
        </w:rPr>
        <w:t xml:space="preserve">(…) </w:t>
      </w:r>
      <w:r w:rsidR="00F51E2A" w:rsidRPr="00973DD5">
        <w:rPr>
          <w:rFonts w:ascii="Arial" w:hAnsi="Arial" w:cs="Arial"/>
          <w:i/>
          <w:iCs/>
          <w:sz w:val="22"/>
          <w:szCs w:val="24"/>
        </w:rPr>
        <w:t>En todo caso sin estar reunidos los requisitos de viabilidad del recurso jamás podrá tener éxito el mismo por constituir el lleno de ellos un precedente necesario para decidirlo (…).</w:t>
      </w:r>
      <w:r w:rsidR="00F51E2A" w:rsidRPr="00973DD5">
        <w:rPr>
          <w:rFonts w:ascii="Arial" w:hAnsi="Arial" w:cs="Arial"/>
          <w:i/>
          <w:sz w:val="22"/>
          <w:szCs w:val="24"/>
        </w:rPr>
        <w:t>”</w:t>
      </w:r>
      <w:r w:rsidR="00F51E2A" w:rsidRPr="00973DD5">
        <w:rPr>
          <w:rFonts w:ascii="Arial" w:hAnsi="Arial" w:cs="Arial"/>
          <w:i/>
          <w:sz w:val="22"/>
          <w:szCs w:val="24"/>
          <w:vertAlign w:val="superscript"/>
        </w:rPr>
        <w:footnoteReference w:id="19"/>
      </w:r>
      <w:r w:rsidR="00F51E2A" w:rsidRPr="00973DD5">
        <w:rPr>
          <w:rFonts w:ascii="Arial" w:hAnsi="Arial" w:cs="Arial"/>
          <w:i/>
          <w:sz w:val="22"/>
          <w:szCs w:val="24"/>
        </w:rPr>
        <w:t>.</w:t>
      </w:r>
      <w:r w:rsidR="00F51E2A" w:rsidRPr="00973DD5">
        <w:rPr>
          <w:rFonts w:ascii="Arial" w:hAnsi="Arial" w:cs="Arial"/>
          <w:sz w:val="22"/>
          <w:szCs w:val="24"/>
        </w:rPr>
        <w:t xml:space="preserve">  </w:t>
      </w:r>
    </w:p>
    <w:p w:rsidR="00F51E2A" w:rsidRPr="00AB3928" w:rsidRDefault="00F51E2A" w:rsidP="00F51E2A">
      <w:pPr>
        <w:pStyle w:val="Sansinterligne"/>
        <w:spacing w:line="360" w:lineRule="auto"/>
        <w:jc w:val="both"/>
        <w:rPr>
          <w:rFonts w:ascii="Arial" w:hAnsi="Arial" w:cs="Arial"/>
          <w:sz w:val="16"/>
          <w:szCs w:val="16"/>
        </w:rPr>
      </w:pPr>
    </w:p>
    <w:p w:rsidR="00F51E2A" w:rsidRPr="00973DD5" w:rsidRDefault="00F51E2A" w:rsidP="00F51E2A">
      <w:pPr>
        <w:pStyle w:val="Sansinterligne"/>
        <w:spacing w:line="360" w:lineRule="auto"/>
        <w:jc w:val="both"/>
        <w:rPr>
          <w:rFonts w:ascii="Arial" w:hAnsi="Arial" w:cs="Arial"/>
          <w:szCs w:val="24"/>
        </w:rPr>
      </w:pPr>
      <w:r w:rsidRPr="00973DD5">
        <w:rPr>
          <w:rFonts w:ascii="Arial" w:hAnsi="Arial" w:cs="Arial"/>
          <w:szCs w:val="24"/>
        </w:rPr>
        <w:t>También expone el profesor Rojas Gómez</w:t>
      </w:r>
      <w:r w:rsidRPr="00973DD5">
        <w:rPr>
          <w:rStyle w:val="Appelnotedebasdep"/>
          <w:rFonts w:ascii="Arial" w:hAnsi="Arial" w:cs="Arial"/>
          <w:szCs w:val="24"/>
        </w:rPr>
        <w:footnoteReference w:id="20"/>
      </w:r>
      <w:r w:rsidRPr="00973DD5">
        <w:rPr>
          <w:rFonts w:ascii="Arial" w:hAnsi="Arial" w:cs="Arial"/>
          <w:szCs w:val="24"/>
        </w:rPr>
        <w:t xml:space="preserve"> en su obra: </w:t>
      </w:r>
      <w:r w:rsidRPr="00973DD5">
        <w:rPr>
          <w:rFonts w:ascii="Arial" w:hAnsi="Arial" w:cs="Arial"/>
          <w:i/>
          <w:sz w:val="22"/>
          <w:szCs w:val="24"/>
        </w:rPr>
        <w:t>“</w:t>
      </w:r>
      <w:r w:rsidR="00973DD5" w:rsidRPr="00973DD5">
        <w:rPr>
          <w:rFonts w:ascii="Arial" w:hAnsi="Arial" w:cs="Arial"/>
          <w:i/>
          <w:sz w:val="22"/>
          <w:szCs w:val="24"/>
        </w:rPr>
        <w:t xml:space="preserve">(…) </w:t>
      </w:r>
      <w:r w:rsidRPr="00973DD5">
        <w:rPr>
          <w:rFonts w:ascii="Arial" w:hAnsi="Arial" w:cs="Arial"/>
          <w:i/>
          <w:iCs/>
          <w:sz w:val="22"/>
          <w:szCs w:val="24"/>
        </w:rPr>
        <w:t xml:space="preserve">Ya se ha dicho que el empleo de un recurso no </w:t>
      </w:r>
      <w:r w:rsidRPr="00973DD5">
        <w:rPr>
          <w:rFonts w:ascii="Arial" w:hAnsi="Arial" w:cs="Arial"/>
          <w:i/>
          <w:iCs/>
          <w:sz w:val="22"/>
          <w:szCs w:val="24"/>
          <w:u w:val="single"/>
        </w:rPr>
        <w:t>está supeditado a que el impugnante le asista razón en su disentimiento, pues ello sólo se definirá después de haberlo sometido al trámite correspondiente</w:t>
      </w:r>
      <w:r w:rsidR="00973DD5">
        <w:rPr>
          <w:rFonts w:ascii="Arial" w:hAnsi="Arial" w:cs="Arial"/>
          <w:i/>
          <w:iCs/>
          <w:sz w:val="22"/>
          <w:szCs w:val="24"/>
          <w:u w:val="single"/>
        </w:rPr>
        <w:t xml:space="preserve"> (…)</w:t>
      </w:r>
      <w:r w:rsidRPr="00973DD5">
        <w:rPr>
          <w:rFonts w:ascii="Arial" w:hAnsi="Arial" w:cs="Arial"/>
          <w:i/>
          <w:sz w:val="22"/>
          <w:szCs w:val="24"/>
        </w:rPr>
        <w:t>”</w:t>
      </w:r>
      <w:r w:rsidRPr="00973DD5">
        <w:rPr>
          <w:rFonts w:ascii="Arial" w:hAnsi="Arial" w:cs="Arial"/>
          <w:szCs w:val="24"/>
        </w:rPr>
        <w:t xml:space="preserve"> (</w:t>
      </w:r>
      <w:proofErr w:type="spellStart"/>
      <w:r w:rsidRPr="00973DD5">
        <w:rPr>
          <w:rFonts w:ascii="Arial" w:hAnsi="Arial" w:cs="Arial"/>
          <w:szCs w:val="24"/>
        </w:rPr>
        <w:t>Sublínea</w:t>
      </w:r>
      <w:proofErr w:type="spellEnd"/>
      <w:r w:rsidRPr="00973DD5">
        <w:rPr>
          <w:rFonts w:ascii="Arial" w:hAnsi="Arial" w:cs="Arial"/>
          <w:szCs w:val="24"/>
        </w:rPr>
        <w:t xml:space="preserve"> de esta Sala). </w:t>
      </w:r>
    </w:p>
    <w:p w:rsidR="00710BFF" w:rsidRPr="00AB3928" w:rsidRDefault="00F51E2A" w:rsidP="008128A7">
      <w:pPr>
        <w:widowControl/>
        <w:spacing w:line="360" w:lineRule="auto"/>
        <w:jc w:val="both"/>
        <w:rPr>
          <w:rFonts w:ascii="Arial" w:hAnsi="Arial" w:cs="Arial"/>
          <w:sz w:val="16"/>
          <w:szCs w:val="16"/>
        </w:rPr>
      </w:pPr>
      <w:r w:rsidRPr="00AB3928">
        <w:rPr>
          <w:rFonts w:ascii="Arial" w:hAnsi="Arial" w:cs="Arial"/>
          <w:sz w:val="16"/>
          <w:szCs w:val="16"/>
        </w:rPr>
        <w:t xml:space="preserve"> </w:t>
      </w:r>
    </w:p>
    <w:p w:rsidR="00F51E2A" w:rsidRPr="00973DD5" w:rsidRDefault="00F51E2A" w:rsidP="008128A7">
      <w:pPr>
        <w:widowControl/>
        <w:spacing w:line="360" w:lineRule="auto"/>
        <w:jc w:val="both"/>
        <w:rPr>
          <w:rFonts w:ascii="Arial" w:hAnsi="Arial" w:cs="Arial"/>
        </w:rPr>
      </w:pPr>
      <w:r w:rsidRPr="00973DD5">
        <w:rPr>
          <w:rFonts w:ascii="Arial" w:hAnsi="Arial" w:cs="Arial"/>
        </w:rPr>
        <w:t xml:space="preserve">Estos requisitos son concurrentes y necesarios, por consiguiente, la ausencia de uno de ellos impide el estudio de la impugnación. Los supuestos son: (i) </w:t>
      </w:r>
      <w:r w:rsidR="00DC17E7" w:rsidRPr="00973DD5">
        <w:rPr>
          <w:rFonts w:ascii="Arial" w:hAnsi="Arial" w:cs="Arial"/>
        </w:rPr>
        <w:t>Legitimación (Artículo 320, CGP)</w:t>
      </w:r>
      <w:r w:rsidRPr="00973DD5">
        <w:rPr>
          <w:rFonts w:ascii="Arial" w:hAnsi="Arial" w:cs="Arial"/>
        </w:rPr>
        <w:t>, (ii) Oportunidad</w:t>
      </w:r>
      <w:r w:rsidR="00DC17E7" w:rsidRPr="00973DD5">
        <w:rPr>
          <w:rFonts w:ascii="Arial" w:hAnsi="Arial" w:cs="Arial"/>
        </w:rPr>
        <w:t xml:space="preserve"> (Artículo 322, CGP)</w:t>
      </w:r>
      <w:r w:rsidRPr="00973DD5">
        <w:rPr>
          <w:rFonts w:ascii="Arial" w:hAnsi="Arial" w:cs="Arial"/>
        </w:rPr>
        <w:t>, (iii) Procedencia</w:t>
      </w:r>
      <w:r w:rsidR="00DC17E7" w:rsidRPr="00973DD5">
        <w:rPr>
          <w:rFonts w:ascii="Arial" w:hAnsi="Arial" w:cs="Arial"/>
        </w:rPr>
        <w:t xml:space="preserve"> (Artículo 321, CGP)</w:t>
      </w:r>
      <w:r w:rsidRPr="00973DD5">
        <w:rPr>
          <w:rFonts w:ascii="Arial" w:hAnsi="Arial" w:cs="Arial"/>
        </w:rPr>
        <w:t>, y, (iv) Cargas procesales</w:t>
      </w:r>
      <w:r w:rsidR="00DC17E7" w:rsidRPr="00973DD5">
        <w:rPr>
          <w:rFonts w:ascii="Arial" w:hAnsi="Arial" w:cs="Arial"/>
        </w:rPr>
        <w:t xml:space="preserve"> (Artículos 322 y 324, CGP)</w:t>
      </w:r>
      <w:r w:rsidRPr="00973DD5">
        <w:rPr>
          <w:rFonts w:ascii="Arial" w:hAnsi="Arial" w:cs="Arial"/>
        </w:rPr>
        <w:t xml:space="preserve">, estas últimas consistentes en la sustentación, la expedición de copias, entre otras. La falta de cualquiera de los tres primeros comporta la </w:t>
      </w:r>
      <w:r w:rsidRPr="00973DD5">
        <w:rPr>
          <w:rFonts w:ascii="Arial" w:hAnsi="Arial" w:cs="Arial"/>
          <w:u w:val="single"/>
        </w:rPr>
        <w:t>inadmisibilidad</w:t>
      </w:r>
      <w:r w:rsidRPr="00973DD5">
        <w:rPr>
          <w:rFonts w:ascii="Arial" w:hAnsi="Arial" w:cs="Arial"/>
        </w:rPr>
        <w:t xml:space="preserve"> del recurso</w:t>
      </w:r>
      <w:r w:rsidR="00E331D8">
        <w:rPr>
          <w:rFonts w:ascii="Arial" w:hAnsi="Arial" w:cs="Arial"/>
        </w:rPr>
        <w:t>,</w:t>
      </w:r>
      <w:r w:rsidRPr="00973DD5">
        <w:rPr>
          <w:rFonts w:ascii="Arial" w:hAnsi="Arial" w:cs="Arial"/>
        </w:rPr>
        <w:t xml:space="preserve"> mientras que el último da lugar a la </w:t>
      </w:r>
      <w:r w:rsidRPr="00973DD5">
        <w:rPr>
          <w:rFonts w:ascii="Arial" w:hAnsi="Arial" w:cs="Arial"/>
          <w:u w:val="single"/>
        </w:rPr>
        <w:t>deserción</w:t>
      </w:r>
      <w:r w:rsidR="00DC17E7" w:rsidRPr="00973DD5">
        <w:rPr>
          <w:rFonts w:ascii="Arial" w:hAnsi="Arial" w:cs="Arial"/>
        </w:rPr>
        <w:t xml:space="preserve">. </w:t>
      </w:r>
    </w:p>
    <w:p w:rsidR="00DC17E7" w:rsidRPr="00AB3928" w:rsidRDefault="00DC17E7" w:rsidP="008128A7">
      <w:pPr>
        <w:widowControl/>
        <w:spacing w:line="360" w:lineRule="auto"/>
        <w:jc w:val="both"/>
        <w:rPr>
          <w:rFonts w:ascii="Arial" w:hAnsi="Arial" w:cs="Arial"/>
          <w:sz w:val="16"/>
          <w:szCs w:val="16"/>
        </w:rPr>
      </w:pPr>
    </w:p>
    <w:p w:rsidR="00DC17E7" w:rsidRPr="00973DD5" w:rsidRDefault="00973DD5" w:rsidP="008128A7">
      <w:pPr>
        <w:widowControl/>
        <w:spacing w:line="360" w:lineRule="auto"/>
        <w:jc w:val="both"/>
        <w:rPr>
          <w:rFonts w:ascii="Arial" w:hAnsi="Arial" w:cs="Arial"/>
        </w:rPr>
      </w:pPr>
      <w:r w:rsidRPr="00973DD5">
        <w:rPr>
          <w:rFonts w:ascii="Arial" w:hAnsi="Arial" w:cs="Arial"/>
        </w:rPr>
        <w:t>D</w:t>
      </w:r>
      <w:r w:rsidR="00DC17E7" w:rsidRPr="00973DD5">
        <w:rPr>
          <w:rFonts w:ascii="Arial" w:hAnsi="Arial" w:cs="Arial"/>
        </w:rPr>
        <w:t>ice el doctor López Blanco</w:t>
      </w:r>
      <w:r w:rsidRPr="00973DD5">
        <w:rPr>
          <w:rStyle w:val="Appelnotedebasdep"/>
          <w:rFonts w:ascii="Arial" w:hAnsi="Arial"/>
        </w:rPr>
        <w:footnoteReference w:id="21"/>
      </w:r>
      <w:r w:rsidR="008C2679">
        <w:rPr>
          <w:rFonts w:ascii="Arial" w:hAnsi="Arial" w:cs="Arial"/>
        </w:rPr>
        <w:t xml:space="preserve"> en cuanto a las cargas procesales</w:t>
      </w:r>
      <w:r w:rsidR="00DC17E7" w:rsidRPr="00973DD5">
        <w:rPr>
          <w:rFonts w:ascii="Arial" w:hAnsi="Arial" w:cs="Arial"/>
        </w:rPr>
        <w:t>:</w:t>
      </w:r>
      <w:r w:rsidRPr="00973DD5">
        <w:rPr>
          <w:rFonts w:ascii="Arial" w:hAnsi="Arial" w:cs="Arial"/>
        </w:rPr>
        <w:t xml:space="preserve"> </w:t>
      </w:r>
      <w:r w:rsidRPr="00973DD5">
        <w:rPr>
          <w:rFonts w:ascii="Arial" w:hAnsi="Arial" w:cs="Arial"/>
          <w:i/>
          <w:sz w:val="22"/>
        </w:rPr>
        <w:t xml:space="preserve">“(…), se establecen </w:t>
      </w:r>
      <w:r w:rsidR="008C2679">
        <w:rPr>
          <w:rFonts w:ascii="Arial" w:hAnsi="Arial" w:cs="Arial"/>
          <w:i/>
          <w:sz w:val="22"/>
        </w:rPr>
        <w:t xml:space="preserve">(…) </w:t>
      </w:r>
      <w:r w:rsidRPr="00973DD5">
        <w:rPr>
          <w:rFonts w:ascii="Arial" w:hAnsi="Arial" w:cs="Arial"/>
          <w:i/>
          <w:sz w:val="22"/>
        </w:rPr>
        <w:t xml:space="preserve">en cabeza del recurrente que </w:t>
      </w:r>
      <w:r w:rsidR="008C2679">
        <w:rPr>
          <w:rFonts w:ascii="Arial" w:hAnsi="Arial" w:cs="Arial"/>
          <w:i/>
          <w:sz w:val="22"/>
        </w:rPr>
        <w:t xml:space="preserve">si </w:t>
      </w:r>
      <w:r w:rsidRPr="00973DD5">
        <w:rPr>
          <w:rFonts w:ascii="Arial" w:hAnsi="Arial" w:cs="Arial"/>
          <w:i/>
          <w:sz w:val="22"/>
        </w:rPr>
        <w:t xml:space="preserve">no son </w:t>
      </w:r>
      <w:r w:rsidRPr="00281FA0">
        <w:rPr>
          <w:rFonts w:ascii="Arial" w:hAnsi="Arial" w:cs="Arial"/>
          <w:i/>
          <w:sz w:val="22"/>
        </w:rPr>
        <w:t>oportunamente cumplidas</w:t>
      </w:r>
      <w:r w:rsidRPr="00973DD5">
        <w:rPr>
          <w:rFonts w:ascii="Arial" w:hAnsi="Arial" w:cs="Arial"/>
          <w:i/>
          <w:sz w:val="22"/>
        </w:rPr>
        <w:t xml:space="preserve"> determinan que no obstante que se inició la tramitación del recurso deje de tener efecto, es decir, que no sea viable proseguir su trámite, (…). Se busca, entonces, evitar que el recurso pueda ser declarado desierto (…)</w:t>
      </w:r>
      <w:r w:rsidRPr="00973DD5">
        <w:rPr>
          <w:rFonts w:ascii="Arial" w:hAnsi="Arial" w:cs="Arial"/>
          <w:sz w:val="22"/>
        </w:rPr>
        <w:t>”</w:t>
      </w:r>
      <w:r w:rsidRPr="00973DD5">
        <w:rPr>
          <w:rFonts w:ascii="Arial" w:hAnsi="Arial" w:cs="Arial"/>
        </w:rPr>
        <w:t>. Igual pensamiento revela el profesor Rojas Gómez</w:t>
      </w:r>
      <w:r w:rsidRPr="00973DD5">
        <w:rPr>
          <w:rStyle w:val="Appelnotedebasdep"/>
          <w:rFonts w:ascii="Arial" w:hAnsi="Arial"/>
        </w:rPr>
        <w:footnoteReference w:id="22"/>
      </w:r>
      <w:r w:rsidRPr="00973DD5">
        <w:rPr>
          <w:rFonts w:ascii="Arial" w:hAnsi="Arial" w:cs="Arial"/>
        </w:rPr>
        <w:t xml:space="preserve">: </w:t>
      </w:r>
      <w:r w:rsidRPr="00973DD5">
        <w:rPr>
          <w:rFonts w:ascii="Arial" w:hAnsi="Arial" w:cs="Arial"/>
          <w:i/>
          <w:sz w:val="22"/>
        </w:rPr>
        <w:t xml:space="preserve">“(…) de no ser </w:t>
      </w:r>
      <w:r w:rsidRPr="00281FA0">
        <w:rPr>
          <w:rFonts w:ascii="Arial" w:hAnsi="Arial" w:cs="Arial"/>
          <w:i/>
          <w:sz w:val="22"/>
        </w:rPr>
        <w:t>cumplidas oportunamente</w:t>
      </w:r>
      <w:r w:rsidRPr="00973DD5">
        <w:rPr>
          <w:rFonts w:ascii="Arial" w:hAnsi="Arial" w:cs="Arial"/>
          <w:i/>
          <w:sz w:val="22"/>
        </w:rPr>
        <w:t>, se hace ineficaz la interposición del recurso aunque ya se haya iniciado su trámite. (…)”</w:t>
      </w:r>
    </w:p>
    <w:p w:rsidR="00710BFF" w:rsidRPr="00AB3928" w:rsidRDefault="00710BFF" w:rsidP="008128A7">
      <w:pPr>
        <w:widowControl/>
        <w:spacing w:line="360" w:lineRule="auto"/>
        <w:jc w:val="both"/>
        <w:rPr>
          <w:rFonts w:ascii="Arial" w:hAnsi="Arial" w:cs="Arial"/>
          <w:sz w:val="16"/>
          <w:szCs w:val="16"/>
        </w:rPr>
      </w:pPr>
    </w:p>
    <w:p w:rsidR="00973DD5" w:rsidRDefault="00973DD5" w:rsidP="00973DD5">
      <w:pPr>
        <w:spacing w:line="360" w:lineRule="auto"/>
        <w:jc w:val="both"/>
        <w:rPr>
          <w:rFonts w:ascii="Arial" w:hAnsi="Arial" w:cs="Arial"/>
          <w:color w:val="000000"/>
        </w:rPr>
      </w:pPr>
      <w:r>
        <w:rPr>
          <w:rFonts w:ascii="Arial" w:hAnsi="Arial" w:cs="Arial"/>
          <w:color w:val="000000"/>
        </w:rPr>
        <w:t>E</w:t>
      </w:r>
      <w:r w:rsidRPr="00F54A43">
        <w:rPr>
          <w:rFonts w:ascii="Arial" w:hAnsi="Arial" w:cs="Arial"/>
          <w:color w:val="000000"/>
        </w:rPr>
        <w:t xml:space="preserve">l artículo </w:t>
      </w:r>
      <w:r>
        <w:rPr>
          <w:rFonts w:ascii="Arial" w:hAnsi="Arial" w:cs="Arial"/>
          <w:color w:val="000000"/>
        </w:rPr>
        <w:t>322 del CGP</w:t>
      </w:r>
      <w:r w:rsidRPr="00F54A43">
        <w:rPr>
          <w:rFonts w:ascii="Arial" w:hAnsi="Arial" w:cs="Arial"/>
          <w:color w:val="000000"/>
        </w:rPr>
        <w:t xml:space="preserve">, </w:t>
      </w:r>
      <w:r>
        <w:rPr>
          <w:rFonts w:ascii="Arial" w:hAnsi="Arial" w:cs="Arial"/>
          <w:color w:val="000000"/>
        </w:rPr>
        <w:t xml:space="preserve">señala </w:t>
      </w:r>
      <w:r w:rsidR="008C2679">
        <w:rPr>
          <w:rFonts w:ascii="Arial" w:hAnsi="Arial" w:cs="Arial"/>
          <w:color w:val="000000"/>
        </w:rPr>
        <w:t xml:space="preserve">respecto </w:t>
      </w:r>
      <w:r>
        <w:rPr>
          <w:rFonts w:ascii="Arial" w:hAnsi="Arial" w:cs="Arial"/>
          <w:color w:val="000000"/>
        </w:rPr>
        <w:t xml:space="preserve">a </w:t>
      </w:r>
      <w:r w:rsidR="008C2679">
        <w:rPr>
          <w:rFonts w:ascii="Arial" w:hAnsi="Arial" w:cs="Arial"/>
          <w:color w:val="000000"/>
        </w:rPr>
        <w:t xml:space="preserve">la apelación de </w:t>
      </w:r>
      <w:r>
        <w:rPr>
          <w:rFonts w:ascii="Arial" w:hAnsi="Arial" w:cs="Arial"/>
          <w:color w:val="000000"/>
        </w:rPr>
        <w:t>autos que puede ser sustentada en la audiencia o por escrito</w:t>
      </w:r>
      <w:r w:rsidR="008C2679">
        <w:rPr>
          <w:rFonts w:ascii="Arial" w:hAnsi="Arial" w:cs="Arial"/>
          <w:color w:val="000000"/>
        </w:rPr>
        <w:t xml:space="preserve"> (Carga procesal)</w:t>
      </w:r>
      <w:r>
        <w:rPr>
          <w:rFonts w:ascii="Arial" w:hAnsi="Arial" w:cs="Arial"/>
          <w:color w:val="000000"/>
        </w:rPr>
        <w:t xml:space="preserve">, dentro de los tres días </w:t>
      </w:r>
      <w:r>
        <w:rPr>
          <w:rFonts w:ascii="Arial" w:hAnsi="Arial" w:cs="Arial"/>
          <w:color w:val="000000"/>
        </w:rPr>
        <w:lastRenderedPageBreak/>
        <w:t xml:space="preserve">siguientes a su finalización o a su notificación, según sea el caso, </w:t>
      </w:r>
      <w:r w:rsidRPr="00F71F5E">
        <w:rPr>
          <w:rFonts w:ascii="Arial" w:hAnsi="Arial" w:cs="Arial"/>
          <w:color w:val="000000"/>
          <w:u w:val="single"/>
        </w:rPr>
        <w:t>so pena de ser declarado desierto</w:t>
      </w:r>
      <w:r w:rsidRPr="00DC17E7">
        <w:rPr>
          <w:rFonts w:ascii="Arial" w:hAnsi="Arial" w:cs="Arial"/>
          <w:color w:val="000000"/>
        </w:rPr>
        <w:t>; por su parte,</w:t>
      </w:r>
      <w:r>
        <w:rPr>
          <w:rFonts w:ascii="Arial" w:hAnsi="Arial" w:cs="Arial"/>
          <w:color w:val="000000"/>
        </w:rPr>
        <w:t xml:space="preserve"> el artículo 324 ídem dispone que el recurrente deberá pagar la expedición de las copias necesarias dentro de los cinco días siguientes a la notificación del auto que conceda la alzada</w:t>
      </w:r>
      <w:r w:rsidR="008C2679">
        <w:rPr>
          <w:rFonts w:ascii="Arial" w:hAnsi="Arial" w:cs="Arial"/>
          <w:color w:val="000000"/>
        </w:rPr>
        <w:t xml:space="preserve"> (Carga procesal)</w:t>
      </w:r>
      <w:r>
        <w:rPr>
          <w:rFonts w:ascii="Arial" w:hAnsi="Arial" w:cs="Arial"/>
          <w:color w:val="000000"/>
        </w:rPr>
        <w:t xml:space="preserve">, </w:t>
      </w:r>
      <w:r w:rsidRPr="004C1C12">
        <w:rPr>
          <w:rFonts w:ascii="Arial" w:hAnsi="Arial" w:cs="Arial"/>
          <w:color w:val="000000"/>
          <w:u w:val="single"/>
        </w:rPr>
        <w:t xml:space="preserve">so pena </w:t>
      </w:r>
      <w:r>
        <w:rPr>
          <w:rFonts w:ascii="Arial" w:hAnsi="Arial" w:cs="Arial"/>
          <w:color w:val="000000"/>
          <w:u w:val="single"/>
        </w:rPr>
        <w:t xml:space="preserve">también </w:t>
      </w:r>
      <w:r w:rsidRPr="004C1C12">
        <w:rPr>
          <w:rFonts w:ascii="Arial" w:hAnsi="Arial" w:cs="Arial"/>
          <w:color w:val="000000"/>
          <w:u w:val="single"/>
        </w:rPr>
        <w:t>de declarar desierta la alzada</w:t>
      </w:r>
      <w:r>
        <w:rPr>
          <w:rFonts w:ascii="Arial" w:hAnsi="Arial" w:cs="Arial"/>
          <w:color w:val="000000"/>
        </w:rPr>
        <w:t xml:space="preserve">, sanción que se itera en el artículo 114-4º ídem.  </w:t>
      </w:r>
    </w:p>
    <w:p w:rsidR="0007515C" w:rsidRPr="00AB3928" w:rsidRDefault="0007515C" w:rsidP="008128A7">
      <w:pPr>
        <w:widowControl/>
        <w:spacing w:line="360" w:lineRule="auto"/>
        <w:jc w:val="both"/>
        <w:rPr>
          <w:rFonts w:ascii="Arial" w:hAnsi="Arial" w:cs="Arial"/>
          <w:sz w:val="16"/>
          <w:szCs w:val="16"/>
        </w:rPr>
      </w:pPr>
    </w:p>
    <w:p w:rsidR="00AE480C" w:rsidRDefault="008C2679" w:rsidP="008C2679">
      <w:pPr>
        <w:spacing w:line="360" w:lineRule="auto"/>
        <w:jc w:val="both"/>
        <w:rPr>
          <w:rFonts w:ascii="Arial" w:hAnsi="Arial" w:cs="Arial"/>
          <w:color w:val="000000"/>
        </w:rPr>
      </w:pPr>
      <w:r>
        <w:rPr>
          <w:rFonts w:ascii="Arial" w:hAnsi="Arial" w:cs="Arial"/>
          <w:color w:val="000000"/>
        </w:rPr>
        <w:t>Claramente la normativa alude a dos eventos especiales</w:t>
      </w:r>
      <w:r w:rsidR="00E331D8">
        <w:rPr>
          <w:rFonts w:ascii="Arial" w:hAnsi="Arial" w:cs="Arial"/>
          <w:color w:val="000000"/>
        </w:rPr>
        <w:t>,</w:t>
      </w:r>
      <w:r>
        <w:rPr>
          <w:rFonts w:ascii="Arial" w:hAnsi="Arial" w:cs="Arial"/>
          <w:color w:val="000000"/>
        </w:rPr>
        <w:t xml:space="preserve"> que de </w:t>
      </w:r>
      <w:r w:rsidR="004A4F73">
        <w:rPr>
          <w:rFonts w:ascii="Arial" w:hAnsi="Arial" w:cs="Arial"/>
          <w:color w:val="000000"/>
        </w:rPr>
        <w:t>in</w:t>
      </w:r>
      <w:r>
        <w:rPr>
          <w:rFonts w:ascii="Arial" w:hAnsi="Arial" w:cs="Arial"/>
          <w:color w:val="000000"/>
        </w:rPr>
        <w:t>cumplirse daría</w:t>
      </w:r>
      <w:r w:rsidR="004A4F73">
        <w:rPr>
          <w:rFonts w:ascii="Arial" w:hAnsi="Arial" w:cs="Arial"/>
          <w:color w:val="000000"/>
        </w:rPr>
        <w:t>n</w:t>
      </w:r>
      <w:r>
        <w:rPr>
          <w:rFonts w:ascii="Arial" w:hAnsi="Arial" w:cs="Arial"/>
          <w:color w:val="000000"/>
        </w:rPr>
        <w:t xml:space="preserve"> lugar a la declaratoria de deserción de la alzada (Sustentación y pago de copias oportunamente). Ahora, referente a la remisión del expediente, que fue precisamente la carga impuesta por el juez al recurrente </w:t>
      </w:r>
      <w:r w:rsidR="004A4F73">
        <w:rPr>
          <w:rFonts w:ascii="Arial" w:hAnsi="Arial" w:cs="Arial"/>
          <w:color w:val="000000"/>
        </w:rPr>
        <w:t xml:space="preserve">y </w:t>
      </w:r>
      <w:r>
        <w:rPr>
          <w:rFonts w:ascii="Arial" w:hAnsi="Arial" w:cs="Arial"/>
          <w:color w:val="000000"/>
        </w:rPr>
        <w:t xml:space="preserve">por su </w:t>
      </w:r>
      <w:r w:rsidR="004A4F73">
        <w:rPr>
          <w:rFonts w:ascii="Arial" w:hAnsi="Arial" w:cs="Arial"/>
          <w:color w:val="000000"/>
        </w:rPr>
        <w:t xml:space="preserve">desatención </w:t>
      </w:r>
      <w:r>
        <w:rPr>
          <w:rFonts w:ascii="Arial" w:hAnsi="Arial" w:cs="Arial"/>
          <w:color w:val="000000"/>
        </w:rPr>
        <w:t xml:space="preserve">dio lugar a la deserción del recurso, dice el artículo 125 del CGP: </w:t>
      </w:r>
      <w:r w:rsidRPr="008C2679">
        <w:rPr>
          <w:rFonts w:ascii="Arial" w:hAnsi="Arial" w:cs="Arial"/>
          <w:i/>
          <w:color w:val="000000"/>
          <w:sz w:val="22"/>
        </w:rPr>
        <w:t>“(…) La remisión del expedientes, oficios y despachos se hará por cualquier medio que ofrezca suficiente seguridad. El juez podrá imponer a las partes o al interesado, cargas relacionadas con la remisión de expedientes, oficios y despachos (…)”</w:t>
      </w:r>
      <w:r>
        <w:rPr>
          <w:rFonts w:ascii="Arial" w:hAnsi="Arial" w:cs="Arial"/>
          <w:color w:val="000000"/>
        </w:rPr>
        <w:t xml:space="preserve"> </w:t>
      </w:r>
    </w:p>
    <w:p w:rsidR="004C1C12" w:rsidRPr="00AB3928" w:rsidRDefault="004C1C12" w:rsidP="008128A7">
      <w:pPr>
        <w:spacing w:line="360" w:lineRule="auto"/>
        <w:jc w:val="both"/>
        <w:rPr>
          <w:rFonts w:ascii="Arial" w:hAnsi="Arial" w:cs="Arial"/>
          <w:color w:val="000000"/>
          <w:sz w:val="16"/>
          <w:szCs w:val="16"/>
          <w:lang w:val="es-CO"/>
        </w:rPr>
      </w:pPr>
    </w:p>
    <w:p w:rsidR="00E33FB9" w:rsidRDefault="008C2679" w:rsidP="008128A7">
      <w:pPr>
        <w:spacing w:line="360" w:lineRule="auto"/>
        <w:jc w:val="both"/>
        <w:rPr>
          <w:rFonts w:ascii="Arial" w:hAnsi="Arial" w:cs="Arial"/>
          <w:color w:val="000000"/>
          <w:lang w:val="es-CO"/>
        </w:rPr>
      </w:pPr>
      <w:r>
        <w:rPr>
          <w:rFonts w:ascii="Arial" w:hAnsi="Arial" w:cs="Arial"/>
          <w:color w:val="000000"/>
          <w:lang w:val="es-CO"/>
        </w:rPr>
        <w:t>Se puede</w:t>
      </w:r>
      <w:r w:rsidR="008018D6">
        <w:rPr>
          <w:rFonts w:ascii="Arial" w:hAnsi="Arial" w:cs="Arial"/>
          <w:color w:val="000000"/>
          <w:lang w:val="es-CO"/>
        </w:rPr>
        <w:t>n</w:t>
      </w:r>
      <w:r w:rsidR="00E331D8">
        <w:rPr>
          <w:rFonts w:ascii="Arial" w:hAnsi="Arial" w:cs="Arial"/>
          <w:color w:val="000000"/>
          <w:lang w:val="es-CO"/>
        </w:rPr>
        <w:t xml:space="preserve"> colegir de la norma</w:t>
      </w:r>
      <w:r>
        <w:rPr>
          <w:rFonts w:ascii="Arial" w:hAnsi="Arial" w:cs="Arial"/>
          <w:color w:val="000000"/>
          <w:lang w:val="es-CO"/>
        </w:rPr>
        <w:t xml:space="preserve"> trascrita</w:t>
      </w:r>
      <w:r w:rsidR="00E331D8">
        <w:rPr>
          <w:rFonts w:ascii="Arial" w:hAnsi="Arial" w:cs="Arial"/>
          <w:color w:val="000000"/>
          <w:lang w:val="es-CO"/>
        </w:rPr>
        <w:t>,</w:t>
      </w:r>
      <w:r>
        <w:rPr>
          <w:rFonts w:ascii="Arial" w:hAnsi="Arial" w:cs="Arial"/>
          <w:color w:val="000000"/>
          <w:lang w:val="es-CO"/>
        </w:rPr>
        <w:t xml:space="preserve"> </w:t>
      </w:r>
      <w:r w:rsidR="00E33FB9">
        <w:rPr>
          <w:rFonts w:ascii="Arial" w:hAnsi="Arial" w:cs="Arial"/>
          <w:color w:val="000000"/>
          <w:lang w:val="es-CO"/>
        </w:rPr>
        <w:t xml:space="preserve">cuatro </w:t>
      </w:r>
      <w:r>
        <w:rPr>
          <w:rFonts w:ascii="Arial" w:hAnsi="Arial" w:cs="Arial"/>
          <w:color w:val="000000"/>
          <w:lang w:val="es-CO"/>
        </w:rPr>
        <w:t xml:space="preserve">aspectos fundamentales: (i) La facultad del juez de determinar el medio idóneo y seguro para efectos </w:t>
      </w:r>
      <w:r w:rsidR="004A4F73">
        <w:rPr>
          <w:rFonts w:ascii="Arial" w:hAnsi="Arial" w:cs="Arial"/>
          <w:color w:val="000000"/>
          <w:lang w:val="es-CO"/>
        </w:rPr>
        <w:t>del envío</w:t>
      </w:r>
      <w:r>
        <w:rPr>
          <w:rFonts w:ascii="Arial" w:hAnsi="Arial" w:cs="Arial"/>
          <w:color w:val="000000"/>
          <w:lang w:val="es-CO"/>
        </w:rPr>
        <w:t xml:space="preserve">; (ii) La facultad de imponer </w:t>
      </w:r>
      <w:r w:rsidR="00E33FB9">
        <w:rPr>
          <w:rFonts w:ascii="Arial" w:hAnsi="Arial" w:cs="Arial"/>
          <w:color w:val="000000"/>
          <w:lang w:val="es-CO"/>
        </w:rPr>
        <w:t xml:space="preserve">dicha </w:t>
      </w:r>
      <w:r>
        <w:rPr>
          <w:rFonts w:ascii="Arial" w:hAnsi="Arial" w:cs="Arial"/>
          <w:color w:val="000000"/>
          <w:lang w:val="es-CO"/>
        </w:rPr>
        <w:t>carga a las partes o al interesado</w:t>
      </w:r>
      <w:r w:rsidR="00E33FB9">
        <w:rPr>
          <w:rFonts w:ascii="Arial" w:hAnsi="Arial" w:cs="Arial"/>
          <w:color w:val="000000"/>
          <w:lang w:val="es-CO"/>
        </w:rPr>
        <w:t>; (iii) La supresión del engorroso trámite que establecía el artículo 132 del CPC; y, (iv) La ausencia de mención respecto de la sanción por el incumplimiento.</w:t>
      </w:r>
      <w:r w:rsidR="008018D6">
        <w:rPr>
          <w:rFonts w:ascii="Arial" w:hAnsi="Arial" w:cs="Arial"/>
          <w:color w:val="000000"/>
          <w:lang w:val="es-CO"/>
        </w:rPr>
        <w:t xml:space="preserve"> Esta última, atinada porque </w:t>
      </w:r>
      <w:r w:rsidR="00E331D8">
        <w:rPr>
          <w:rFonts w:ascii="Arial" w:hAnsi="Arial" w:cs="Arial"/>
          <w:color w:val="000000"/>
          <w:lang w:val="es-CO"/>
        </w:rPr>
        <w:t xml:space="preserve">el tema es propio del </w:t>
      </w:r>
      <w:r w:rsidR="008018D6">
        <w:rPr>
          <w:rFonts w:ascii="Arial" w:hAnsi="Arial" w:cs="Arial"/>
          <w:color w:val="000000"/>
          <w:lang w:val="es-CO"/>
        </w:rPr>
        <w:t xml:space="preserve">trámite de los recursos. </w:t>
      </w:r>
      <w:r w:rsidR="00E33FB9">
        <w:rPr>
          <w:rFonts w:ascii="Arial" w:hAnsi="Arial" w:cs="Arial"/>
          <w:color w:val="000000"/>
          <w:lang w:val="es-CO"/>
        </w:rPr>
        <w:t xml:space="preserve"> </w:t>
      </w:r>
    </w:p>
    <w:p w:rsidR="00E33FB9" w:rsidRPr="00AB3928" w:rsidRDefault="00E33FB9" w:rsidP="008128A7">
      <w:pPr>
        <w:spacing w:line="360" w:lineRule="auto"/>
        <w:jc w:val="both"/>
        <w:rPr>
          <w:rFonts w:ascii="Arial" w:hAnsi="Arial" w:cs="Arial"/>
          <w:color w:val="000000"/>
          <w:sz w:val="16"/>
          <w:szCs w:val="16"/>
          <w:lang w:val="es-CO"/>
        </w:rPr>
      </w:pPr>
    </w:p>
    <w:p w:rsidR="008C2679" w:rsidRDefault="00E33FB9" w:rsidP="008128A7">
      <w:pPr>
        <w:spacing w:line="360" w:lineRule="auto"/>
        <w:jc w:val="both"/>
        <w:rPr>
          <w:rFonts w:ascii="Arial" w:hAnsi="Arial" w:cs="Arial"/>
          <w:color w:val="000000"/>
          <w:lang w:val="es-CO"/>
        </w:rPr>
      </w:pPr>
      <w:r>
        <w:rPr>
          <w:rFonts w:ascii="Arial" w:hAnsi="Arial" w:cs="Arial"/>
          <w:color w:val="000000"/>
          <w:lang w:val="es-CO"/>
        </w:rPr>
        <w:t xml:space="preserve">Ahora, y como quiera que se trata del trámite de una apelación que </w:t>
      </w:r>
      <w:r w:rsidR="004A4F73">
        <w:rPr>
          <w:rFonts w:ascii="Arial" w:hAnsi="Arial" w:cs="Arial"/>
          <w:color w:val="000000"/>
          <w:lang w:val="es-CO"/>
        </w:rPr>
        <w:t xml:space="preserve">comporta </w:t>
      </w:r>
      <w:r>
        <w:rPr>
          <w:rFonts w:ascii="Arial" w:hAnsi="Arial" w:cs="Arial"/>
          <w:color w:val="000000"/>
          <w:lang w:val="es-CO"/>
        </w:rPr>
        <w:t xml:space="preserve">el envío </w:t>
      </w:r>
      <w:proofErr w:type="gramStart"/>
      <w:r>
        <w:rPr>
          <w:rFonts w:ascii="Arial" w:hAnsi="Arial" w:cs="Arial"/>
          <w:color w:val="000000"/>
          <w:lang w:val="es-CO"/>
        </w:rPr>
        <w:t>del</w:t>
      </w:r>
      <w:proofErr w:type="gramEnd"/>
      <w:r>
        <w:rPr>
          <w:rFonts w:ascii="Arial" w:hAnsi="Arial" w:cs="Arial"/>
          <w:color w:val="000000"/>
          <w:lang w:val="es-CO"/>
        </w:rPr>
        <w:t xml:space="preserve"> expediente al superior</w:t>
      </w:r>
      <w:r w:rsidR="008018D6">
        <w:rPr>
          <w:rFonts w:ascii="Arial" w:hAnsi="Arial" w:cs="Arial"/>
          <w:color w:val="000000"/>
          <w:lang w:val="es-CO"/>
        </w:rPr>
        <w:t>,</w:t>
      </w:r>
      <w:r>
        <w:rPr>
          <w:rFonts w:ascii="Arial" w:hAnsi="Arial" w:cs="Arial"/>
          <w:color w:val="000000"/>
          <w:lang w:val="es-CO"/>
        </w:rPr>
        <w:t xml:space="preserve"> que </w:t>
      </w:r>
      <w:r w:rsidR="004A4F73">
        <w:rPr>
          <w:rFonts w:ascii="Arial" w:hAnsi="Arial" w:cs="Arial"/>
          <w:color w:val="000000"/>
          <w:lang w:val="es-CO"/>
        </w:rPr>
        <w:t>en este caso</w:t>
      </w:r>
      <w:r w:rsidR="008018D6">
        <w:rPr>
          <w:rFonts w:ascii="Arial" w:hAnsi="Arial" w:cs="Arial"/>
          <w:color w:val="000000"/>
          <w:lang w:val="es-CO"/>
        </w:rPr>
        <w:t>,</w:t>
      </w:r>
      <w:r w:rsidR="004A4F73">
        <w:rPr>
          <w:rFonts w:ascii="Arial" w:hAnsi="Arial" w:cs="Arial"/>
          <w:color w:val="000000"/>
          <w:lang w:val="es-CO"/>
        </w:rPr>
        <w:t xml:space="preserve"> </w:t>
      </w:r>
      <w:r>
        <w:rPr>
          <w:rFonts w:ascii="Arial" w:hAnsi="Arial" w:cs="Arial"/>
          <w:color w:val="000000"/>
          <w:lang w:val="es-CO"/>
        </w:rPr>
        <w:t xml:space="preserve">se encuentra en una ciudad diferente </w:t>
      </w:r>
      <w:r w:rsidR="004D5064">
        <w:rPr>
          <w:rFonts w:ascii="Arial" w:hAnsi="Arial" w:cs="Arial"/>
          <w:color w:val="000000"/>
          <w:lang w:val="es-CO"/>
        </w:rPr>
        <w:t xml:space="preserve">a </w:t>
      </w:r>
      <w:r>
        <w:rPr>
          <w:rFonts w:ascii="Arial" w:hAnsi="Arial" w:cs="Arial"/>
          <w:color w:val="000000"/>
          <w:lang w:val="es-CO"/>
        </w:rPr>
        <w:t xml:space="preserve">la del juzgado, se considera </w:t>
      </w:r>
      <w:r w:rsidR="00E331D8">
        <w:rPr>
          <w:rFonts w:ascii="Arial" w:hAnsi="Arial" w:cs="Arial"/>
          <w:color w:val="000000"/>
          <w:lang w:val="es-CO"/>
        </w:rPr>
        <w:t xml:space="preserve">apropiada </w:t>
      </w:r>
      <w:r>
        <w:rPr>
          <w:rFonts w:ascii="Arial" w:hAnsi="Arial" w:cs="Arial"/>
          <w:color w:val="000000"/>
          <w:lang w:val="es-CO"/>
        </w:rPr>
        <w:t xml:space="preserve">la imposición al recurrente de la carga de pagar </w:t>
      </w:r>
      <w:r w:rsidR="006A4671">
        <w:rPr>
          <w:rFonts w:ascii="Arial" w:hAnsi="Arial" w:cs="Arial"/>
          <w:color w:val="000000"/>
          <w:lang w:val="es-CO"/>
        </w:rPr>
        <w:t>el porte</w:t>
      </w:r>
      <w:r>
        <w:rPr>
          <w:rFonts w:ascii="Arial" w:hAnsi="Arial" w:cs="Arial"/>
          <w:color w:val="000000"/>
          <w:lang w:val="es-CO"/>
        </w:rPr>
        <w:t xml:space="preserve"> de correo, puesto que la jueza accionada</w:t>
      </w:r>
      <w:r w:rsidR="00E331D8">
        <w:rPr>
          <w:rFonts w:ascii="Arial" w:hAnsi="Arial" w:cs="Arial"/>
          <w:color w:val="000000"/>
          <w:lang w:val="es-CO"/>
        </w:rPr>
        <w:t xml:space="preserve"> en uso de la discrecionalidad dada advirtió que la empresa de correos </w:t>
      </w:r>
      <w:r w:rsidR="00E331D8" w:rsidRPr="00E331D8">
        <w:rPr>
          <w:rFonts w:ascii="Arial" w:hAnsi="Arial" w:cs="Arial"/>
          <w:i/>
          <w:color w:val="000000"/>
          <w:lang w:val="es-CO"/>
        </w:rPr>
        <w:t>“472 La Red Postal de Colombia”</w:t>
      </w:r>
      <w:r w:rsidR="00E331D8">
        <w:rPr>
          <w:rFonts w:ascii="Arial" w:hAnsi="Arial" w:cs="Arial"/>
          <w:color w:val="000000"/>
          <w:lang w:val="es-CO"/>
        </w:rPr>
        <w:t xml:space="preserve"> era el medio más seguro para este cometido</w:t>
      </w:r>
      <w:r>
        <w:rPr>
          <w:rFonts w:ascii="Arial" w:hAnsi="Arial" w:cs="Arial"/>
          <w:color w:val="000000"/>
          <w:lang w:val="es-CO"/>
        </w:rPr>
        <w:t xml:space="preserve">.   </w:t>
      </w:r>
    </w:p>
    <w:p w:rsidR="008C2679" w:rsidRPr="00AB3928" w:rsidRDefault="008C2679" w:rsidP="008128A7">
      <w:pPr>
        <w:spacing w:line="360" w:lineRule="auto"/>
        <w:jc w:val="both"/>
        <w:rPr>
          <w:rFonts w:ascii="Arial" w:hAnsi="Arial" w:cs="Arial"/>
          <w:color w:val="000000"/>
          <w:sz w:val="16"/>
          <w:szCs w:val="16"/>
          <w:lang w:val="es-CO"/>
        </w:rPr>
      </w:pPr>
    </w:p>
    <w:p w:rsidR="008018D6" w:rsidRDefault="008018D6" w:rsidP="008128A7">
      <w:pPr>
        <w:spacing w:line="360" w:lineRule="auto"/>
        <w:jc w:val="both"/>
        <w:rPr>
          <w:rFonts w:ascii="Arial" w:hAnsi="Arial" w:cs="Arial"/>
          <w:lang w:val="es-CO"/>
        </w:rPr>
      </w:pPr>
      <w:r>
        <w:rPr>
          <w:rFonts w:ascii="Arial" w:hAnsi="Arial" w:cs="Arial"/>
          <w:lang w:val="es-CO"/>
        </w:rPr>
        <w:t xml:space="preserve">No obstante, </w:t>
      </w:r>
      <w:r w:rsidR="004D5064">
        <w:rPr>
          <w:rFonts w:ascii="Arial" w:hAnsi="Arial" w:cs="Arial"/>
          <w:lang w:val="es-CO"/>
        </w:rPr>
        <w:t xml:space="preserve">la </w:t>
      </w:r>
      <w:r>
        <w:rPr>
          <w:rFonts w:ascii="Arial" w:hAnsi="Arial" w:cs="Arial"/>
          <w:lang w:val="es-CO"/>
        </w:rPr>
        <w:t xml:space="preserve">dificultad procesal relacionada con la sanción por el incumplimiento de la carga impuesta, </w:t>
      </w:r>
      <w:r w:rsidR="003E5C32">
        <w:rPr>
          <w:rFonts w:ascii="Arial" w:hAnsi="Arial" w:cs="Arial"/>
          <w:lang w:val="es-CO"/>
        </w:rPr>
        <w:t xml:space="preserve">se </w:t>
      </w:r>
      <w:r>
        <w:rPr>
          <w:rFonts w:ascii="Arial" w:hAnsi="Arial" w:cs="Arial"/>
          <w:lang w:val="es-CO"/>
        </w:rPr>
        <w:t xml:space="preserve">considera </w:t>
      </w:r>
      <w:r w:rsidR="004D5064">
        <w:rPr>
          <w:rFonts w:ascii="Arial" w:hAnsi="Arial" w:cs="Arial"/>
          <w:lang w:val="es-CO"/>
        </w:rPr>
        <w:t xml:space="preserve">que </w:t>
      </w:r>
      <w:r>
        <w:rPr>
          <w:rFonts w:ascii="Arial" w:hAnsi="Arial" w:cs="Arial"/>
          <w:lang w:val="es-CO"/>
        </w:rPr>
        <w:t xml:space="preserve">debe solventarse a la luz de </w:t>
      </w:r>
      <w:r w:rsidR="00E331D8">
        <w:rPr>
          <w:rFonts w:ascii="Arial" w:hAnsi="Arial" w:cs="Arial"/>
          <w:lang w:val="es-CO"/>
        </w:rPr>
        <w:t xml:space="preserve">los principios de interpretación </w:t>
      </w:r>
      <w:r w:rsidR="003E5C32" w:rsidRPr="003E5C32">
        <w:rPr>
          <w:rFonts w:ascii="Arial" w:hAnsi="Arial" w:cs="Arial"/>
          <w:i/>
          <w:lang w:val="es-CO"/>
        </w:rPr>
        <w:t>“</w:t>
      </w:r>
      <w:r w:rsidR="00E331D8" w:rsidRPr="003E5C32">
        <w:rPr>
          <w:rFonts w:ascii="Arial" w:hAnsi="Arial" w:cs="Arial"/>
          <w:i/>
          <w:lang w:val="es-CO"/>
        </w:rPr>
        <w:t>del efecto útil de la norma</w:t>
      </w:r>
      <w:r w:rsidR="003E5C32" w:rsidRPr="003E5C32">
        <w:rPr>
          <w:rFonts w:ascii="Arial" w:hAnsi="Arial" w:cs="Arial"/>
          <w:i/>
          <w:lang w:val="es-CO"/>
        </w:rPr>
        <w:t>”</w:t>
      </w:r>
      <w:r w:rsidR="003E5C32">
        <w:rPr>
          <w:rFonts w:ascii="Arial" w:hAnsi="Arial" w:cs="Arial"/>
          <w:lang w:val="es-CO"/>
        </w:rPr>
        <w:t xml:space="preserve">, que </w:t>
      </w:r>
      <w:r w:rsidR="003E5C32" w:rsidRPr="003E5C32">
        <w:rPr>
          <w:rFonts w:ascii="Arial" w:hAnsi="Arial" w:cs="Arial"/>
          <w:i/>
          <w:sz w:val="22"/>
          <w:lang w:val="es-CO"/>
        </w:rPr>
        <w:t xml:space="preserve">“(…) </w:t>
      </w:r>
      <w:r w:rsidR="003E5C32" w:rsidRPr="003E5C32">
        <w:rPr>
          <w:rFonts w:ascii="Arial" w:hAnsi="Arial" w:cs="Arial"/>
          <w:i/>
          <w:iCs/>
          <w:sz w:val="22"/>
          <w:lang w:val="es-CO"/>
        </w:rPr>
        <w:t>enseña que, entre dos posibles sentidos de un precepto, uno de los cuales produce consecuencias jurídicas y el otro a nada conduce, debe preferirse el primero (…)”</w:t>
      </w:r>
      <w:r w:rsidR="003E5C32">
        <w:rPr>
          <w:rStyle w:val="Appelnotedebasdep"/>
          <w:rFonts w:ascii="Arial" w:hAnsi="Arial"/>
          <w:i/>
          <w:iCs/>
          <w:sz w:val="22"/>
          <w:lang w:val="es-CO"/>
        </w:rPr>
        <w:footnoteReference w:id="23"/>
      </w:r>
      <w:r w:rsidR="003E5C32">
        <w:rPr>
          <w:rFonts w:ascii="Arial" w:hAnsi="Arial" w:cs="Arial"/>
          <w:i/>
          <w:iCs/>
          <w:lang w:val="es-CO"/>
        </w:rPr>
        <w:t xml:space="preserve"> e </w:t>
      </w:r>
      <w:r>
        <w:rPr>
          <w:rFonts w:ascii="Arial" w:hAnsi="Arial" w:cs="Arial"/>
          <w:lang w:val="es-CO"/>
        </w:rPr>
        <w:t>interpretación sistemática de los preceptos legales, específicamente, los reglamentarios del trámite de la alzada.</w:t>
      </w:r>
    </w:p>
    <w:p w:rsidR="008018D6" w:rsidRPr="00AB3928" w:rsidRDefault="008018D6" w:rsidP="008128A7">
      <w:pPr>
        <w:spacing w:line="360" w:lineRule="auto"/>
        <w:jc w:val="both"/>
        <w:rPr>
          <w:rFonts w:ascii="Arial" w:hAnsi="Arial" w:cs="Arial"/>
          <w:sz w:val="16"/>
          <w:szCs w:val="16"/>
          <w:lang w:val="es-CO"/>
        </w:rPr>
      </w:pPr>
    </w:p>
    <w:p w:rsidR="00811A56" w:rsidRDefault="00811A56" w:rsidP="00811A56">
      <w:pPr>
        <w:pStyle w:val="Retraitcorpsdetexte"/>
        <w:spacing w:after="0" w:line="360" w:lineRule="auto"/>
        <w:ind w:left="0"/>
        <w:jc w:val="both"/>
        <w:rPr>
          <w:rFonts w:ascii="Arial" w:hAnsi="Arial" w:cs="Arial"/>
          <w:color w:val="000000"/>
          <w:lang w:val="es-CO"/>
        </w:rPr>
      </w:pPr>
      <w:r>
        <w:rPr>
          <w:rFonts w:ascii="Arial" w:hAnsi="Arial" w:cs="Arial"/>
          <w:lang w:val="es-CO"/>
        </w:rPr>
        <w:t>Es cierto que en ninguno de los apartes normativos procesales se alude a la declaratoria de deserción por el no pago del porte de correo, que sí traía el CPC, y también, que la obligación de remitir el expediente se radica</w:t>
      </w:r>
      <w:r w:rsidR="006A4671">
        <w:rPr>
          <w:rFonts w:ascii="Arial" w:hAnsi="Arial" w:cs="Arial"/>
          <w:lang w:val="es-CO"/>
        </w:rPr>
        <w:t>,</w:t>
      </w:r>
      <w:r>
        <w:rPr>
          <w:rFonts w:ascii="Arial" w:hAnsi="Arial" w:cs="Arial"/>
          <w:lang w:val="es-CO"/>
        </w:rPr>
        <w:t xml:space="preserve"> </w:t>
      </w:r>
      <w:r w:rsidR="004D5064">
        <w:rPr>
          <w:rFonts w:ascii="Arial" w:hAnsi="Arial" w:cs="Arial"/>
          <w:lang w:val="es-CO"/>
        </w:rPr>
        <w:t>en principio</w:t>
      </w:r>
      <w:r w:rsidR="006A4671">
        <w:rPr>
          <w:rFonts w:ascii="Arial" w:hAnsi="Arial" w:cs="Arial"/>
          <w:lang w:val="es-CO"/>
        </w:rPr>
        <w:t>,</w:t>
      </w:r>
      <w:r w:rsidR="004D5064">
        <w:rPr>
          <w:rFonts w:ascii="Arial" w:hAnsi="Arial" w:cs="Arial"/>
          <w:lang w:val="es-CO"/>
        </w:rPr>
        <w:t xml:space="preserve"> </w:t>
      </w:r>
      <w:r>
        <w:rPr>
          <w:rFonts w:ascii="Arial" w:hAnsi="Arial" w:cs="Arial"/>
          <w:lang w:val="es-CO"/>
        </w:rPr>
        <w:t xml:space="preserve">en el </w:t>
      </w:r>
      <w:r>
        <w:rPr>
          <w:rFonts w:ascii="Arial" w:hAnsi="Arial" w:cs="Arial"/>
          <w:lang w:val="es-CO"/>
        </w:rPr>
        <w:lastRenderedPageBreak/>
        <w:t xml:space="preserve">secretario del despacho judicial (Artículo 324-4, CGP), </w:t>
      </w:r>
      <w:r w:rsidR="006A4671">
        <w:rPr>
          <w:rFonts w:ascii="Arial" w:hAnsi="Arial" w:cs="Arial"/>
          <w:lang w:val="es-CO"/>
        </w:rPr>
        <w:t>sin embargo</w:t>
      </w:r>
      <w:r>
        <w:rPr>
          <w:rFonts w:ascii="Arial" w:hAnsi="Arial" w:cs="Arial"/>
          <w:lang w:val="es-CO"/>
        </w:rPr>
        <w:t xml:space="preserve">, </w:t>
      </w:r>
      <w:r w:rsidR="004D5064">
        <w:rPr>
          <w:rFonts w:ascii="Arial" w:hAnsi="Arial" w:cs="Arial"/>
          <w:lang w:val="es-CO"/>
        </w:rPr>
        <w:t xml:space="preserve">halla </w:t>
      </w:r>
      <w:r>
        <w:rPr>
          <w:rFonts w:ascii="Arial" w:hAnsi="Arial" w:cs="Arial"/>
          <w:lang w:val="es-CO"/>
        </w:rPr>
        <w:t xml:space="preserve">la Sala acertada la determinación de la jueza </w:t>
      </w:r>
      <w:r w:rsidR="006A4671">
        <w:rPr>
          <w:rFonts w:ascii="Arial" w:hAnsi="Arial" w:cs="Arial"/>
          <w:lang w:val="es-CO"/>
        </w:rPr>
        <w:t xml:space="preserve">accionada </w:t>
      </w:r>
      <w:r>
        <w:rPr>
          <w:rFonts w:ascii="Arial" w:hAnsi="Arial" w:cs="Arial"/>
          <w:lang w:val="es-CO"/>
        </w:rPr>
        <w:t>de declarar desierta la impugnación</w:t>
      </w:r>
      <w:r w:rsidR="0031283F">
        <w:rPr>
          <w:rFonts w:ascii="Arial" w:hAnsi="Arial" w:cs="Arial"/>
          <w:lang w:val="es-CO"/>
        </w:rPr>
        <w:t>,</w:t>
      </w:r>
      <w:r>
        <w:rPr>
          <w:rFonts w:ascii="Arial" w:hAnsi="Arial" w:cs="Arial"/>
          <w:lang w:val="es-CO"/>
        </w:rPr>
        <w:t xml:space="preserve"> </w:t>
      </w:r>
      <w:r w:rsidR="0031283F">
        <w:rPr>
          <w:rFonts w:ascii="Arial" w:hAnsi="Arial" w:cs="Arial"/>
          <w:lang w:val="es-CO"/>
        </w:rPr>
        <w:t>porque</w:t>
      </w:r>
      <w:r w:rsidR="003E5C32">
        <w:rPr>
          <w:rFonts w:ascii="Arial" w:hAnsi="Arial" w:cs="Arial"/>
          <w:lang w:val="es-CO"/>
        </w:rPr>
        <w:t xml:space="preserve">, si ninguna consecuencia deviniera, </w:t>
      </w:r>
      <w:r w:rsidR="006A4671">
        <w:rPr>
          <w:rFonts w:ascii="Arial" w:hAnsi="Arial" w:cs="Arial"/>
          <w:lang w:val="es-CO"/>
        </w:rPr>
        <w:t xml:space="preserve">el </w:t>
      </w:r>
      <w:r>
        <w:rPr>
          <w:rFonts w:ascii="Arial" w:hAnsi="Arial" w:cs="Arial"/>
          <w:lang w:val="es-CO"/>
        </w:rPr>
        <w:t xml:space="preserve">incumplimiento </w:t>
      </w:r>
      <w:r w:rsidR="006A4671">
        <w:rPr>
          <w:rFonts w:ascii="Arial" w:hAnsi="Arial" w:cs="Arial"/>
          <w:lang w:val="es-CO"/>
        </w:rPr>
        <w:t xml:space="preserve">del pago del porte de correo </w:t>
      </w:r>
      <w:r w:rsidR="003E5C32">
        <w:rPr>
          <w:rFonts w:ascii="Arial" w:hAnsi="Arial" w:cs="Arial"/>
          <w:lang w:val="es-CO"/>
        </w:rPr>
        <w:t>implicaría</w:t>
      </w:r>
      <w:r w:rsidR="006A4671">
        <w:rPr>
          <w:rFonts w:ascii="Arial" w:hAnsi="Arial" w:cs="Arial"/>
          <w:lang w:val="es-CO"/>
        </w:rPr>
        <w:t xml:space="preserve"> </w:t>
      </w:r>
      <w:r w:rsidR="0031283F">
        <w:rPr>
          <w:rFonts w:ascii="Arial" w:hAnsi="Arial" w:cs="Arial"/>
          <w:color w:val="000000"/>
          <w:lang w:val="es-CO"/>
        </w:rPr>
        <w:t xml:space="preserve">la </w:t>
      </w:r>
      <w:r>
        <w:rPr>
          <w:rFonts w:ascii="Arial" w:hAnsi="Arial" w:cs="Arial"/>
          <w:color w:val="000000"/>
          <w:lang w:val="es-CO"/>
        </w:rPr>
        <w:t xml:space="preserve">suspensión indefinida </w:t>
      </w:r>
      <w:r w:rsidR="006A4671">
        <w:rPr>
          <w:rFonts w:ascii="Arial" w:hAnsi="Arial" w:cs="Arial"/>
          <w:color w:val="000000"/>
          <w:lang w:val="es-CO"/>
        </w:rPr>
        <w:t xml:space="preserve">de su </w:t>
      </w:r>
      <w:r>
        <w:rPr>
          <w:rFonts w:ascii="Arial" w:hAnsi="Arial" w:cs="Arial"/>
          <w:color w:val="000000"/>
          <w:lang w:val="es-CO"/>
        </w:rPr>
        <w:t xml:space="preserve">trámite hasta tanto la parte interesada </w:t>
      </w:r>
      <w:proofErr w:type="gramStart"/>
      <w:r w:rsidR="003E5C32">
        <w:rPr>
          <w:rFonts w:ascii="Arial" w:hAnsi="Arial" w:cs="Arial"/>
          <w:color w:val="000000"/>
          <w:lang w:val="es-CO"/>
        </w:rPr>
        <w:t>quisiera</w:t>
      </w:r>
      <w:proofErr w:type="gramEnd"/>
      <w:r w:rsidR="003E5C32">
        <w:rPr>
          <w:rFonts w:ascii="Arial" w:hAnsi="Arial" w:cs="Arial"/>
          <w:color w:val="000000"/>
          <w:lang w:val="es-CO"/>
        </w:rPr>
        <w:t xml:space="preserve"> </w:t>
      </w:r>
      <w:r w:rsidR="006A4671">
        <w:rPr>
          <w:rFonts w:ascii="Arial" w:hAnsi="Arial" w:cs="Arial"/>
          <w:color w:val="000000"/>
          <w:lang w:val="es-CO"/>
        </w:rPr>
        <w:t>hacerlo</w:t>
      </w:r>
      <w:r>
        <w:rPr>
          <w:rFonts w:ascii="Arial" w:hAnsi="Arial" w:cs="Arial"/>
          <w:color w:val="000000"/>
          <w:lang w:val="es-CO"/>
        </w:rPr>
        <w:t>.</w:t>
      </w:r>
    </w:p>
    <w:p w:rsidR="00811A56" w:rsidRPr="00AB3928" w:rsidRDefault="00811A56" w:rsidP="00811A56">
      <w:pPr>
        <w:pStyle w:val="Retraitcorpsdetexte"/>
        <w:spacing w:after="0" w:line="360" w:lineRule="auto"/>
        <w:ind w:left="0"/>
        <w:jc w:val="both"/>
        <w:rPr>
          <w:rFonts w:ascii="Arial" w:hAnsi="Arial" w:cs="Arial"/>
          <w:color w:val="000000"/>
          <w:sz w:val="16"/>
          <w:szCs w:val="16"/>
          <w:lang w:val="es-CO"/>
        </w:rPr>
      </w:pPr>
    </w:p>
    <w:p w:rsidR="004D5064" w:rsidRDefault="004D5064" w:rsidP="00811A56">
      <w:pPr>
        <w:pStyle w:val="Retraitcorpsdetexte"/>
        <w:spacing w:after="0" w:line="360" w:lineRule="auto"/>
        <w:ind w:left="0"/>
        <w:jc w:val="both"/>
        <w:rPr>
          <w:rFonts w:ascii="Arial" w:hAnsi="Arial" w:cs="Arial"/>
          <w:color w:val="000000"/>
          <w:lang w:val="es-CO"/>
        </w:rPr>
      </w:pPr>
      <w:r>
        <w:rPr>
          <w:rFonts w:ascii="Arial" w:hAnsi="Arial" w:cs="Arial"/>
          <w:color w:val="000000"/>
          <w:lang w:val="es-CO"/>
        </w:rPr>
        <w:t xml:space="preserve">La carga </w:t>
      </w:r>
      <w:r w:rsidRPr="004D5064">
        <w:rPr>
          <w:rFonts w:ascii="Arial" w:hAnsi="Arial" w:cs="Arial"/>
          <w:i/>
          <w:color w:val="000000"/>
          <w:lang w:val="es-CO"/>
        </w:rPr>
        <w:t>“judicial”</w:t>
      </w:r>
      <w:r>
        <w:rPr>
          <w:rFonts w:ascii="Arial" w:hAnsi="Arial" w:cs="Arial"/>
          <w:color w:val="000000"/>
          <w:lang w:val="es-CO"/>
        </w:rPr>
        <w:t xml:space="preserve"> que la jueza impone a una de las partes, que guarda estricta relación con el deber de colaboración con la administración de justicia, se presenta como una adicional a las contenidas en la normativa (Sustentación y pago de copias)</w:t>
      </w:r>
      <w:r w:rsidR="006A4671">
        <w:rPr>
          <w:rFonts w:ascii="Arial" w:hAnsi="Arial" w:cs="Arial"/>
          <w:color w:val="000000"/>
          <w:lang w:val="es-CO"/>
        </w:rPr>
        <w:t xml:space="preserve"> y</w:t>
      </w:r>
      <w:r>
        <w:rPr>
          <w:rFonts w:ascii="Arial" w:hAnsi="Arial" w:cs="Arial"/>
          <w:color w:val="000000"/>
          <w:lang w:val="es-CO"/>
        </w:rPr>
        <w:t xml:space="preserve"> que </w:t>
      </w:r>
      <w:r w:rsidR="00A454F6">
        <w:rPr>
          <w:rFonts w:ascii="Arial" w:hAnsi="Arial" w:cs="Arial"/>
          <w:color w:val="000000"/>
          <w:lang w:val="es-CO"/>
        </w:rPr>
        <w:t xml:space="preserve">también </w:t>
      </w:r>
      <w:r>
        <w:rPr>
          <w:rFonts w:ascii="Arial" w:hAnsi="Arial" w:cs="Arial"/>
          <w:color w:val="000000"/>
          <w:lang w:val="es-CO"/>
        </w:rPr>
        <w:t xml:space="preserve">debe cumplirse para que no se trunque el trámite de la apelación. </w:t>
      </w:r>
      <w:r w:rsidR="003E5C32">
        <w:rPr>
          <w:rFonts w:ascii="Arial" w:hAnsi="Arial" w:cs="Arial"/>
          <w:color w:val="000000"/>
          <w:lang w:val="es-CO"/>
        </w:rPr>
        <w:t>D</w:t>
      </w:r>
      <w:r>
        <w:rPr>
          <w:rFonts w:ascii="Arial" w:hAnsi="Arial" w:cs="Arial"/>
          <w:color w:val="000000"/>
          <w:lang w:val="es-CO"/>
        </w:rPr>
        <w:t xml:space="preserve">eterminar los medios idóneos </w:t>
      </w:r>
      <w:r w:rsidR="006A4671">
        <w:rPr>
          <w:rFonts w:ascii="Arial" w:hAnsi="Arial" w:cs="Arial"/>
          <w:color w:val="000000"/>
          <w:lang w:val="es-CO"/>
        </w:rPr>
        <w:t>para la remisión</w:t>
      </w:r>
      <w:r w:rsidR="003E5C32">
        <w:rPr>
          <w:rFonts w:ascii="Arial" w:hAnsi="Arial" w:cs="Arial"/>
          <w:color w:val="000000"/>
          <w:lang w:val="es-CO"/>
        </w:rPr>
        <w:t xml:space="preserve">, señalar los plazos para su realización </w:t>
      </w:r>
      <w:r>
        <w:rPr>
          <w:rFonts w:ascii="Arial" w:hAnsi="Arial" w:cs="Arial"/>
          <w:color w:val="000000"/>
          <w:lang w:val="es-CO"/>
        </w:rPr>
        <w:t xml:space="preserve">e imponer a las partes </w:t>
      </w:r>
      <w:r w:rsidR="006A4671">
        <w:rPr>
          <w:rFonts w:ascii="Arial" w:hAnsi="Arial" w:cs="Arial"/>
          <w:color w:val="000000"/>
          <w:lang w:val="es-CO"/>
        </w:rPr>
        <w:t xml:space="preserve">el pago de las expensas necesarias, es claramente, </w:t>
      </w:r>
      <w:r w:rsidR="003E5C32">
        <w:rPr>
          <w:rFonts w:ascii="Arial" w:hAnsi="Arial" w:cs="Arial"/>
          <w:color w:val="000000"/>
          <w:lang w:val="es-CO"/>
        </w:rPr>
        <w:t xml:space="preserve">una potestad otorgada al </w:t>
      </w:r>
      <w:r w:rsidR="007E7368">
        <w:rPr>
          <w:rFonts w:ascii="Arial" w:hAnsi="Arial" w:cs="Arial"/>
          <w:color w:val="000000"/>
          <w:lang w:val="es-CO"/>
        </w:rPr>
        <w:t xml:space="preserve">juez </w:t>
      </w:r>
      <w:r w:rsidR="003E5C32">
        <w:rPr>
          <w:rFonts w:ascii="Arial" w:hAnsi="Arial" w:cs="Arial"/>
          <w:color w:val="000000"/>
          <w:lang w:val="es-CO"/>
        </w:rPr>
        <w:t xml:space="preserve">y es, en sí misma, </w:t>
      </w:r>
      <w:r w:rsidR="006A4671">
        <w:rPr>
          <w:rFonts w:ascii="Arial" w:hAnsi="Arial" w:cs="Arial"/>
          <w:color w:val="000000"/>
          <w:lang w:val="es-CO"/>
        </w:rPr>
        <w:t>un</w:t>
      </w:r>
      <w:r w:rsidR="003E5C32">
        <w:rPr>
          <w:rFonts w:ascii="Arial" w:hAnsi="Arial" w:cs="Arial"/>
          <w:color w:val="000000"/>
          <w:lang w:val="es-CO"/>
        </w:rPr>
        <w:t>a</w:t>
      </w:r>
      <w:r w:rsidR="006A4671">
        <w:rPr>
          <w:rFonts w:ascii="Arial" w:hAnsi="Arial" w:cs="Arial"/>
          <w:color w:val="000000"/>
          <w:lang w:val="es-CO"/>
        </w:rPr>
        <w:t xml:space="preserve"> </w:t>
      </w:r>
      <w:r w:rsidR="003E5C32">
        <w:rPr>
          <w:rFonts w:ascii="Arial" w:hAnsi="Arial" w:cs="Arial"/>
          <w:color w:val="000000"/>
          <w:lang w:val="es-CO"/>
        </w:rPr>
        <w:t xml:space="preserve">carga </w:t>
      </w:r>
      <w:r w:rsidR="007E7368">
        <w:rPr>
          <w:rFonts w:ascii="Arial" w:hAnsi="Arial" w:cs="Arial"/>
          <w:color w:val="000000"/>
          <w:lang w:val="es-CO"/>
        </w:rPr>
        <w:t xml:space="preserve">relacionada con </w:t>
      </w:r>
      <w:r w:rsidR="008E3415">
        <w:rPr>
          <w:rFonts w:ascii="Arial" w:hAnsi="Arial" w:cs="Arial"/>
          <w:color w:val="000000"/>
          <w:lang w:val="es-CO"/>
        </w:rPr>
        <w:t xml:space="preserve">los </w:t>
      </w:r>
      <w:r w:rsidR="006A4671">
        <w:rPr>
          <w:rFonts w:ascii="Arial" w:hAnsi="Arial" w:cs="Arial"/>
          <w:color w:val="000000"/>
          <w:lang w:val="es-CO"/>
        </w:rPr>
        <w:t>presupuesto</w:t>
      </w:r>
      <w:r w:rsidR="008E3415">
        <w:rPr>
          <w:rFonts w:ascii="Arial" w:hAnsi="Arial" w:cs="Arial"/>
          <w:color w:val="000000"/>
          <w:lang w:val="es-CO"/>
        </w:rPr>
        <w:t>s</w:t>
      </w:r>
      <w:r w:rsidR="006A4671">
        <w:rPr>
          <w:rFonts w:ascii="Arial" w:hAnsi="Arial" w:cs="Arial"/>
          <w:color w:val="000000"/>
          <w:lang w:val="es-CO"/>
        </w:rPr>
        <w:t xml:space="preserve"> de viabilidad del recurso, por ende, su desatención no da lugar</w:t>
      </w:r>
      <w:r w:rsidR="007E7368">
        <w:rPr>
          <w:rFonts w:ascii="Arial" w:hAnsi="Arial" w:cs="Arial"/>
          <w:color w:val="000000"/>
          <w:lang w:val="es-CO"/>
        </w:rPr>
        <w:t>, sino</w:t>
      </w:r>
      <w:r w:rsidR="006A4671">
        <w:rPr>
          <w:rFonts w:ascii="Arial" w:hAnsi="Arial" w:cs="Arial"/>
          <w:color w:val="000000"/>
          <w:lang w:val="es-CO"/>
        </w:rPr>
        <w:t xml:space="preserve"> a declarar desierta la apelación. </w:t>
      </w:r>
    </w:p>
    <w:p w:rsidR="004D5064" w:rsidRPr="00AB3928" w:rsidRDefault="004D5064" w:rsidP="00811A56">
      <w:pPr>
        <w:pStyle w:val="Retraitcorpsdetexte"/>
        <w:spacing w:after="0" w:line="360" w:lineRule="auto"/>
        <w:ind w:left="0"/>
        <w:jc w:val="both"/>
        <w:rPr>
          <w:rFonts w:ascii="Arial" w:hAnsi="Arial" w:cs="Arial"/>
          <w:color w:val="000000"/>
          <w:sz w:val="16"/>
          <w:szCs w:val="16"/>
          <w:lang w:val="es-CO"/>
        </w:rPr>
      </w:pPr>
    </w:p>
    <w:p w:rsidR="00811A56" w:rsidRDefault="00811A56" w:rsidP="00811A56">
      <w:pPr>
        <w:pStyle w:val="Retraitcorpsdetexte"/>
        <w:spacing w:after="0" w:line="360" w:lineRule="auto"/>
        <w:ind w:left="0"/>
        <w:jc w:val="both"/>
        <w:rPr>
          <w:rFonts w:ascii="Arial" w:hAnsi="Arial" w:cs="Arial"/>
          <w:color w:val="000000"/>
          <w:lang w:val="es-CO"/>
        </w:rPr>
      </w:pPr>
      <w:r>
        <w:rPr>
          <w:rFonts w:ascii="Arial" w:hAnsi="Arial" w:cs="Arial"/>
          <w:color w:val="000000"/>
          <w:lang w:val="es-CO"/>
        </w:rPr>
        <w:t xml:space="preserve">Evidentemente, si la </w:t>
      </w:r>
      <w:r w:rsidR="0031283F">
        <w:rPr>
          <w:rFonts w:ascii="Arial" w:hAnsi="Arial" w:cs="Arial"/>
          <w:color w:val="000000"/>
          <w:lang w:val="es-CO"/>
        </w:rPr>
        <w:t xml:space="preserve">jueza dispone </w:t>
      </w:r>
      <w:r>
        <w:rPr>
          <w:rFonts w:ascii="Arial" w:hAnsi="Arial" w:cs="Arial"/>
          <w:color w:val="000000"/>
          <w:lang w:val="es-CO"/>
        </w:rPr>
        <w:t>con arreglo al artículo 125 del CGP</w:t>
      </w:r>
      <w:r w:rsidR="008E3415">
        <w:rPr>
          <w:rFonts w:ascii="Arial" w:hAnsi="Arial" w:cs="Arial"/>
          <w:color w:val="000000"/>
          <w:lang w:val="es-CO"/>
        </w:rPr>
        <w:t>,</w:t>
      </w:r>
      <w:r>
        <w:rPr>
          <w:rFonts w:ascii="Arial" w:hAnsi="Arial" w:cs="Arial"/>
          <w:color w:val="000000"/>
          <w:lang w:val="es-CO"/>
        </w:rPr>
        <w:t xml:space="preserve"> </w:t>
      </w:r>
      <w:r w:rsidR="0031283F">
        <w:rPr>
          <w:rFonts w:ascii="Arial" w:hAnsi="Arial" w:cs="Arial"/>
          <w:color w:val="000000"/>
          <w:lang w:val="es-CO"/>
        </w:rPr>
        <w:t xml:space="preserve">que el recurrente debe </w:t>
      </w:r>
      <w:r>
        <w:rPr>
          <w:rFonts w:ascii="Arial" w:hAnsi="Arial" w:cs="Arial"/>
          <w:color w:val="000000"/>
          <w:lang w:val="es-CO"/>
        </w:rPr>
        <w:t xml:space="preserve">cumplir una carga </w:t>
      </w:r>
      <w:r w:rsidR="002268A0" w:rsidRPr="002268A0">
        <w:rPr>
          <w:rFonts w:ascii="Arial" w:hAnsi="Arial" w:cs="Arial"/>
          <w:i/>
          <w:color w:val="000000"/>
          <w:lang w:val="es-CO"/>
        </w:rPr>
        <w:t>“</w:t>
      </w:r>
      <w:r w:rsidRPr="002268A0">
        <w:rPr>
          <w:rFonts w:ascii="Arial" w:hAnsi="Arial" w:cs="Arial"/>
          <w:i/>
          <w:color w:val="000000"/>
          <w:lang w:val="es-CO"/>
        </w:rPr>
        <w:t>judicial</w:t>
      </w:r>
      <w:r w:rsidR="002268A0" w:rsidRPr="002268A0">
        <w:rPr>
          <w:rFonts w:ascii="Arial" w:hAnsi="Arial" w:cs="Arial"/>
          <w:i/>
          <w:color w:val="000000"/>
          <w:lang w:val="es-CO"/>
        </w:rPr>
        <w:t>”</w:t>
      </w:r>
      <w:r>
        <w:rPr>
          <w:rFonts w:ascii="Arial" w:hAnsi="Arial" w:cs="Arial"/>
          <w:color w:val="000000"/>
          <w:lang w:val="es-CO"/>
        </w:rPr>
        <w:t xml:space="preserve"> relacionada con la remisión del expediente, a efectos de que se desate la alzada que ella misma promovió, </w:t>
      </w:r>
      <w:r w:rsidR="0031283F">
        <w:rPr>
          <w:rFonts w:ascii="Arial" w:hAnsi="Arial" w:cs="Arial"/>
          <w:color w:val="000000"/>
          <w:lang w:val="es-CO"/>
        </w:rPr>
        <w:t xml:space="preserve">su desatención implica la sanción de deserción, puesto </w:t>
      </w:r>
      <w:r w:rsidR="00172558">
        <w:rPr>
          <w:rFonts w:ascii="Arial" w:hAnsi="Arial" w:cs="Arial"/>
          <w:color w:val="000000"/>
          <w:lang w:val="es-CO"/>
        </w:rPr>
        <w:t xml:space="preserve">que </w:t>
      </w:r>
      <w:r w:rsidR="008E3415">
        <w:rPr>
          <w:rFonts w:ascii="Arial" w:hAnsi="Arial" w:cs="Arial"/>
          <w:color w:val="000000"/>
          <w:lang w:val="es-CO"/>
        </w:rPr>
        <w:t xml:space="preserve">ello </w:t>
      </w:r>
      <w:r w:rsidR="0031283F">
        <w:rPr>
          <w:rFonts w:ascii="Arial" w:hAnsi="Arial" w:cs="Arial"/>
          <w:color w:val="000000"/>
          <w:lang w:val="es-CO"/>
        </w:rPr>
        <w:t>re</w:t>
      </w:r>
      <w:r w:rsidR="00A71698">
        <w:rPr>
          <w:rFonts w:ascii="Arial" w:hAnsi="Arial" w:cs="Arial"/>
          <w:color w:val="000000"/>
          <w:lang w:val="es-CO"/>
        </w:rPr>
        <w:t>v</w:t>
      </w:r>
      <w:r w:rsidR="0031283F">
        <w:rPr>
          <w:rFonts w:ascii="Arial" w:hAnsi="Arial" w:cs="Arial"/>
          <w:color w:val="000000"/>
          <w:lang w:val="es-CO"/>
        </w:rPr>
        <w:t xml:space="preserve">ela el abandono </w:t>
      </w:r>
      <w:r w:rsidR="008E3415">
        <w:rPr>
          <w:rFonts w:ascii="Arial" w:hAnsi="Arial" w:cs="Arial"/>
          <w:color w:val="000000"/>
          <w:lang w:val="es-CO"/>
        </w:rPr>
        <w:t xml:space="preserve">o desidia </w:t>
      </w:r>
      <w:r w:rsidR="0031283F">
        <w:rPr>
          <w:rFonts w:ascii="Arial" w:hAnsi="Arial" w:cs="Arial"/>
          <w:color w:val="000000"/>
          <w:lang w:val="es-CO"/>
        </w:rPr>
        <w:t>del recurrente</w:t>
      </w:r>
      <w:r w:rsidR="008E3415">
        <w:rPr>
          <w:rFonts w:ascii="Arial" w:hAnsi="Arial" w:cs="Arial"/>
          <w:color w:val="000000"/>
          <w:lang w:val="es-CO"/>
        </w:rPr>
        <w:t>, en cuyo único interés se surte la impugnación</w:t>
      </w:r>
      <w:r w:rsidR="0031283F">
        <w:rPr>
          <w:rFonts w:ascii="Arial" w:hAnsi="Arial" w:cs="Arial"/>
          <w:color w:val="000000"/>
          <w:lang w:val="es-CO"/>
        </w:rPr>
        <w:t xml:space="preserve">. Además, se itera, el trámite de la alzada no puede suspenderse por el capricho de la parte que recurre en desmedro de los intereses de las demás partes en el asunto. </w:t>
      </w:r>
      <w:r w:rsidR="008E3415">
        <w:rPr>
          <w:rFonts w:ascii="Arial" w:hAnsi="Arial" w:cs="Arial"/>
          <w:color w:val="000000"/>
          <w:lang w:val="es-CO"/>
        </w:rPr>
        <w:t xml:space="preserve">Una interpretación diferente, desdice de los principios de celeridad y </w:t>
      </w:r>
      <w:r w:rsidR="007E7368">
        <w:rPr>
          <w:rFonts w:ascii="Arial" w:hAnsi="Arial" w:cs="Arial"/>
          <w:color w:val="000000"/>
          <w:lang w:val="es-CO"/>
        </w:rPr>
        <w:t>resolución</w:t>
      </w:r>
      <w:r w:rsidR="008E3415">
        <w:rPr>
          <w:rFonts w:ascii="Arial" w:hAnsi="Arial" w:cs="Arial"/>
          <w:color w:val="000000"/>
          <w:lang w:val="es-CO"/>
        </w:rPr>
        <w:t xml:space="preserve"> de los litigios en plazos razonables, según la nueva estructura del CGP</w:t>
      </w:r>
      <w:r w:rsidR="002A02A6">
        <w:rPr>
          <w:rFonts w:ascii="Arial" w:hAnsi="Arial" w:cs="Arial"/>
          <w:color w:val="000000"/>
          <w:lang w:val="es-CO"/>
        </w:rPr>
        <w:t>.</w:t>
      </w:r>
      <w:r w:rsidR="008E3415">
        <w:rPr>
          <w:rFonts w:ascii="Arial" w:hAnsi="Arial" w:cs="Arial"/>
          <w:color w:val="000000"/>
          <w:lang w:val="es-CO"/>
        </w:rPr>
        <w:t xml:space="preserve"> </w:t>
      </w:r>
    </w:p>
    <w:p w:rsidR="0031283F" w:rsidRPr="00AB3928" w:rsidRDefault="0031283F" w:rsidP="00811A56">
      <w:pPr>
        <w:pStyle w:val="Retraitcorpsdetexte"/>
        <w:spacing w:after="0" w:line="360" w:lineRule="auto"/>
        <w:ind w:left="0"/>
        <w:jc w:val="both"/>
        <w:rPr>
          <w:rFonts w:ascii="Arial" w:hAnsi="Arial" w:cs="Arial"/>
          <w:color w:val="000000"/>
          <w:sz w:val="16"/>
          <w:szCs w:val="16"/>
          <w:lang w:val="es-CO"/>
        </w:rPr>
      </w:pPr>
    </w:p>
    <w:p w:rsidR="0031283F" w:rsidRPr="00A454F6" w:rsidRDefault="004D5064" w:rsidP="00811A56">
      <w:pPr>
        <w:pStyle w:val="Retraitcorpsdetexte"/>
        <w:spacing w:after="0" w:line="360" w:lineRule="auto"/>
        <w:ind w:left="0"/>
        <w:jc w:val="both"/>
        <w:rPr>
          <w:rFonts w:ascii="Arial" w:hAnsi="Arial" w:cs="Arial"/>
          <w:color w:val="000000"/>
          <w:lang w:val="es-CO"/>
        </w:rPr>
      </w:pPr>
      <w:r>
        <w:rPr>
          <w:rFonts w:ascii="Arial" w:hAnsi="Arial" w:cs="Arial"/>
          <w:color w:val="000000"/>
          <w:lang w:val="es-CO"/>
        </w:rPr>
        <w:t>Cabe traer a colación la opinión doctrinal</w:t>
      </w:r>
      <w:r>
        <w:rPr>
          <w:rStyle w:val="Appelnotedebasdep"/>
          <w:rFonts w:ascii="Arial" w:hAnsi="Arial"/>
          <w:color w:val="000000"/>
          <w:lang w:val="es-CO"/>
        </w:rPr>
        <w:footnoteReference w:id="24"/>
      </w:r>
      <w:r>
        <w:rPr>
          <w:rFonts w:ascii="Arial" w:hAnsi="Arial" w:cs="Arial"/>
          <w:color w:val="000000"/>
          <w:lang w:val="es-CO"/>
        </w:rPr>
        <w:t xml:space="preserve">: </w:t>
      </w:r>
      <w:r w:rsidRPr="004D5064">
        <w:rPr>
          <w:rFonts w:ascii="Arial" w:hAnsi="Arial" w:cs="Arial"/>
          <w:i/>
          <w:color w:val="000000"/>
          <w:sz w:val="22"/>
          <w:lang w:val="es-CO"/>
        </w:rPr>
        <w:t>“(…</w:t>
      </w:r>
      <w:r w:rsidR="00A454F6">
        <w:rPr>
          <w:rFonts w:ascii="Arial" w:hAnsi="Arial" w:cs="Arial"/>
          <w:i/>
          <w:color w:val="000000"/>
          <w:sz w:val="22"/>
          <w:lang w:val="es-CO"/>
        </w:rPr>
        <w:t>) La ley</w:t>
      </w:r>
      <w:r w:rsidRPr="004D5064">
        <w:rPr>
          <w:rFonts w:ascii="Arial" w:hAnsi="Arial" w:cs="Arial"/>
          <w:i/>
          <w:color w:val="000000"/>
          <w:sz w:val="22"/>
          <w:lang w:val="es-CO"/>
        </w:rPr>
        <w:t xml:space="preserve"> </w:t>
      </w:r>
      <w:r w:rsidRPr="00A454F6">
        <w:rPr>
          <w:rFonts w:ascii="Arial" w:hAnsi="Arial" w:cs="Arial"/>
          <w:i/>
          <w:color w:val="000000"/>
          <w:sz w:val="22"/>
          <w:lang w:val="es-CO"/>
        </w:rPr>
        <w:t>no precisa consecuencia por la inobservancia de dicha carga, pero se entiende que si ésta se impone para llevar a feliz término el recurso interpuesto, la renuencia impide que la impugnación siga su trámite y como consecuencia de ello la providencia cuestionada cobra ejecutoria (…)”</w:t>
      </w:r>
      <w:r w:rsidR="008E3415">
        <w:rPr>
          <w:rFonts w:ascii="Arial" w:hAnsi="Arial" w:cs="Arial"/>
          <w:i/>
          <w:color w:val="000000"/>
          <w:sz w:val="22"/>
          <w:lang w:val="es-CO"/>
        </w:rPr>
        <w:t xml:space="preserve">, </w:t>
      </w:r>
      <w:r w:rsidR="008E3415" w:rsidRPr="008E3415">
        <w:rPr>
          <w:rFonts w:ascii="Arial" w:hAnsi="Arial" w:cs="Arial"/>
          <w:color w:val="000000"/>
          <w:lang w:val="es-CO"/>
        </w:rPr>
        <w:t>de donde puede colegirse la necesaria consecuencia para la parte incumplida.</w:t>
      </w:r>
    </w:p>
    <w:p w:rsidR="0031283F" w:rsidRPr="00AB3928" w:rsidRDefault="0031283F" w:rsidP="00811A56">
      <w:pPr>
        <w:pStyle w:val="Retraitcorpsdetexte"/>
        <w:spacing w:after="0" w:line="360" w:lineRule="auto"/>
        <w:ind w:left="0"/>
        <w:jc w:val="both"/>
        <w:rPr>
          <w:rFonts w:ascii="Arial" w:hAnsi="Arial" w:cs="Arial"/>
          <w:color w:val="000000"/>
          <w:sz w:val="16"/>
          <w:szCs w:val="16"/>
          <w:lang w:val="es-CO"/>
        </w:rPr>
      </w:pPr>
    </w:p>
    <w:p w:rsidR="008E3415" w:rsidRDefault="008E3415" w:rsidP="00811A56">
      <w:pPr>
        <w:pStyle w:val="Retraitcorpsdetexte"/>
        <w:spacing w:after="0" w:line="360" w:lineRule="auto"/>
        <w:ind w:left="0"/>
        <w:jc w:val="both"/>
        <w:rPr>
          <w:rFonts w:ascii="Arial" w:hAnsi="Arial" w:cs="Arial"/>
          <w:color w:val="000000"/>
          <w:lang w:val="es-CO"/>
        </w:rPr>
      </w:pPr>
      <w:r>
        <w:rPr>
          <w:rFonts w:ascii="Arial" w:hAnsi="Arial" w:cs="Arial"/>
          <w:color w:val="000000"/>
          <w:lang w:val="es-CO"/>
        </w:rPr>
        <w:t xml:space="preserve">En síntesis, la ausencia de mención expresa en la norma </w:t>
      </w:r>
      <w:r w:rsidR="007E7368">
        <w:rPr>
          <w:rFonts w:ascii="Arial" w:hAnsi="Arial" w:cs="Arial"/>
          <w:color w:val="000000"/>
          <w:lang w:val="es-CO"/>
        </w:rPr>
        <w:t xml:space="preserve">de </w:t>
      </w:r>
      <w:r>
        <w:rPr>
          <w:rFonts w:ascii="Arial" w:hAnsi="Arial" w:cs="Arial"/>
          <w:color w:val="000000"/>
          <w:lang w:val="es-CO"/>
        </w:rPr>
        <w:t xml:space="preserve">la declaratoria de deserción de la apelación por la desatención </w:t>
      </w:r>
      <w:r w:rsidR="007E7368">
        <w:rPr>
          <w:rFonts w:ascii="Arial" w:hAnsi="Arial" w:cs="Arial"/>
          <w:color w:val="000000"/>
          <w:lang w:val="es-CO"/>
        </w:rPr>
        <w:t xml:space="preserve">del recurrente </w:t>
      </w:r>
      <w:r>
        <w:rPr>
          <w:rFonts w:ascii="Arial" w:hAnsi="Arial" w:cs="Arial"/>
          <w:color w:val="000000"/>
          <w:lang w:val="es-CO"/>
        </w:rPr>
        <w:t>de la carga impuesta por el juez</w:t>
      </w:r>
      <w:r w:rsidR="007E7368">
        <w:rPr>
          <w:rFonts w:ascii="Arial" w:hAnsi="Arial" w:cs="Arial"/>
          <w:color w:val="000000"/>
          <w:lang w:val="es-CO"/>
        </w:rPr>
        <w:t>,</w:t>
      </w:r>
      <w:r>
        <w:rPr>
          <w:rFonts w:ascii="Arial" w:hAnsi="Arial" w:cs="Arial"/>
          <w:color w:val="000000"/>
          <w:lang w:val="es-CO"/>
        </w:rPr>
        <w:t xml:space="preserve"> debe colmarse con arreglo a las disposiciones que regulan el trámite de </w:t>
      </w:r>
      <w:r w:rsidR="00EC345D">
        <w:rPr>
          <w:rFonts w:ascii="Arial" w:hAnsi="Arial" w:cs="Arial"/>
          <w:color w:val="000000"/>
          <w:lang w:val="es-CO"/>
        </w:rPr>
        <w:t xml:space="preserve">los recursos </w:t>
      </w:r>
      <w:r w:rsidR="00607E75">
        <w:rPr>
          <w:rFonts w:ascii="Arial" w:hAnsi="Arial" w:cs="Arial"/>
          <w:color w:val="000000"/>
          <w:lang w:val="es-CO"/>
        </w:rPr>
        <w:t xml:space="preserve">en procura de identificar el sentido útil de </w:t>
      </w:r>
      <w:r w:rsidR="007E7368">
        <w:rPr>
          <w:rFonts w:ascii="Arial" w:hAnsi="Arial" w:cs="Arial"/>
          <w:color w:val="000000"/>
          <w:lang w:val="es-CO"/>
        </w:rPr>
        <w:t xml:space="preserve">la </w:t>
      </w:r>
      <w:r w:rsidR="00607E75">
        <w:rPr>
          <w:rFonts w:ascii="Arial" w:hAnsi="Arial" w:cs="Arial"/>
          <w:color w:val="000000"/>
          <w:lang w:val="es-CO"/>
        </w:rPr>
        <w:t>norma</w:t>
      </w:r>
      <w:r>
        <w:rPr>
          <w:rFonts w:ascii="Arial" w:hAnsi="Arial" w:cs="Arial"/>
          <w:color w:val="000000"/>
          <w:lang w:val="es-CO"/>
        </w:rPr>
        <w:t xml:space="preserve">, en consecuencia, tendrá que entenderse que al tratarse de una carga necesaria para </w:t>
      </w:r>
      <w:r w:rsidR="007E7368">
        <w:rPr>
          <w:rFonts w:ascii="Arial" w:hAnsi="Arial" w:cs="Arial"/>
          <w:color w:val="000000"/>
          <w:lang w:val="es-CO"/>
        </w:rPr>
        <w:t>su gestión</w:t>
      </w:r>
      <w:r>
        <w:rPr>
          <w:rFonts w:ascii="Arial" w:hAnsi="Arial" w:cs="Arial"/>
          <w:color w:val="000000"/>
          <w:lang w:val="es-CO"/>
        </w:rPr>
        <w:t xml:space="preserve">, su incumplimiento no puede conllevar sino </w:t>
      </w:r>
      <w:r w:rsidR="00607E75">
        <w:rPr>
          <w:rFonts w:ascii="Arial" w:hAnsi="Arial" w:cs="Arial"/>
          <w:color w:val="000000"/>
          <w:lang w:val="es-CO"/>
        </w:rPr>
        <w:t xml:space="preserve">a la declaratoria de </w:t>
      </w:r>
      <w:r>
        <w:rPr>
          <w:rFonts w:ascii="Arial" w:hAnsi="Arial" w:cs="Arial"/>
          <w:color w:val="000000"/>
          <w:lang w:val="es-CO"/>
        </w:rPr>
        <w:t xml:space="preserve">deserción. </w:t>
      </w:r>
      <w:r w:rsidR="007E7368">
        <w:rPr>
          <w:rFonts w:ascii="Arial" w:hAnsi="Arial" w:cs="Arial"/>
          <w:color w:val="000000"/>
          <w:lang w:val="es-CO"/>
        </w:rPr>
        <w:t>C</w:t>
      </w:r>
      <w:r w:rsidR="00EC345D">
        <w:rPr>
          <w:rFonts w:ascii="Arial" w:hAnsi="Arial" w:cs="Arial"/>
          <w:color w:val="000000"/>
          <w:lang w:val="es-CO"/>
        </w:rPr>
        <w:t xml:space="preserve">oncebirse </w:t>
      </w:r>
      <w:r>
        <w:rPr>
          <w:rFonts w:ascii="Arial" w:hAnsi="Arial" w:cs="Arial"/>
          <w:color w:val="000000"/>
          <w:lang w:val="es-CO"/>
        </w:rPr>
        <w:t>de otra manera</w:t>
      </w:r>
      <w:r w:rsidR="007E7368">
        <w:rPr>
          <w:rFonts w:ascii="Arial" w:hAnsi="Arial" w:cs="Arial"/>
          <w:color w:val="000000"/>
          <w:lang w:val="es-CO"/>
        </w:rPr>
        <w:t>,</w:t>
      </w:r>
      <w:r>
        <w:rPr>
          <w:rFonts w:ascii="Arial" w:hAnsi="Arial" w:cs="Arial"/>
          <w:color w:val="000000"/>
          <w:lang w:val="es-CO"/>
        </w:rPr>
        <w:t xml:space="preserve"> </w:t>
      </w:r>
      <w:r w:rsidR="00607E75">
        <w:rPr>
          <w:rFonts w:ascii="Arial" w:hAnsi="Arial" w:cs="Arial"/>
          <w:color w:val="000000"/>
          <w:lang w:val="es-CO"/>
        </w:rPr>
        <w:t xml:space="preserve">favorecería injustamente </w:t>
      </w:r>
      <w:r w:rsidR="007E7368">
        <w:rPr>
          <w:rFonts w:ascii="Arial" w:hAnsi="Arial" w:cs="Arial"/>
          <w:color w:val="000000"/>
          <w:lang w:val="es-CO"/>
        </w:rPr>
        <w:t>al impugnante negligente</w:t>
      </w:r>
      <w:r w:rsidR="00F30291">
        <w:rPr>
          <w:rFonts w:ascii="Arial" w:hAnsi="Arial" w:cs="Arial"/>
          <w:color w:val="000000"/>
          <w:lang w:val="es-CO"/>
        </w:rPr>
        <w:t xml:space="preserve">, </w:t>
      </w:r>
      <w:r w:rsidR="00607E75">
        <w:rPr>
          <w:rFonts w:ascii="Arial" w:hAnsi="Arial" w:cs="Arial"/>
          <w:color w:val="000000"/>
          <w:lang w:val="es-CO"/>
        </w:rPr>
        <w:t xml:space="preserve">abiertamente </w:t>
      </w:r>
      <w:r>
        <w:rPr>
          <w:rFonts w:ascii="Arial" w:hAnsi="Arial" w:cs="Arial"/>
          <w:color w:val="000000"/>
          <w:lang w:val="es-CO"/>
        </w:rPr>
        <w:t xml:space="preserve">en contra </w:t>
      </w:r>
      <w:r>
        <w:rPr>
          <w:rFonts w:ascii="Arial" w:hAnsi="Arial" w:cs="Arial"/>
          <w:color w:val="000000"/>
          <w:lang w:val="es-CO"/>
        </w:rPr>
        <w:lastRenderedPageBreak/>
        <w:t xml:space="preserve">de </w:t>
      </w:r>
      <w:r w:rsidR="00607E75">
        <w:rPr>
          <w:rFonts w:ascii="Arial" w:hAnsi="Arial" w:cs="Arial"/>
          <w:color w:val="000000"/>
          <w:lang w:val="es-CO"/>
        </w:rPr>
        <w:t xml:space="preserve">los intereses de las demás </w:t>
      </w:r>
      <w:r>
        <w:rPr>
          <w:rFonts w:ascii="Arial" w:hAnsi="Arial" w:cs="Arial"/>
          <w:color w:val="000000"/>
          <w:lang w:val="es-CO"/>
        </w:rPr>
        <w:t xml:space="preserve">partes que verían paralizado </w:t>
      </w:r>
      <w:r w:rsidR="007E7368">
        <w:rPr>
          <w:rFonts w:ascii="Arial" w:hAnsi="Arial" w:cs="Arial"/>
          <w:color w:val="000000"/>
          <w:lang w:val="es-CO"/>
        </w:rPr>
        <w:t xml:space="preserve">el litigio, </w:t>
      </w:r>
      <w:r>
        <w:rPr>
          <w:rFonts w:ascii="Arial" w:hAnsi="Arial" w:cs="Arial"/>
          <w:color w:val="000000"/>
          <w:lang w:val="es-CO"/>
        </w:rPr>
        <w:t xml:space="preserve">sin </w:t>
      </w:r>
      <w:r w:rsidR="00607E75">
        <w:rPr>
          <w:rFonts w:ascii="Arial" w:hAnsi="Arial" w:cs="Arial"/>
          <w:color w:val="000000"/>
          <w:lang w:val="es-CO"/>
        </w:rPr>
        <w:t xml:space="preserve">que puedan esperar que se emita </w:t>
      </w:r>
      <w:r w:rsidR="00656426">
        <w:rPr>
          <w:rFonts w:ascii="Arial" w:hAnsi="Arial" w:cs="Arial"/>
          <w:color w:val="000000"/>
          <w:lang w:val="es-CO"/>
        </w:rPr>
        <w:t xml:space="preserve">una </w:t>
      </w:r>
      <w:r w:rsidR="00607E75">
        <w:rPr>
          <w:rFonts w:ascii="Arial" w:hAnsi="Arial" w:cs="Arial"/>
          <w:color w:val="000000"/>
          <w:lang w:val="es-CO"/>
        </w:rPr>
        <w:t xml:space="preserve">decisión </w:t>
      </w:r>
      <w:r w:rsidR="00656426">
        <w:rPr>
          <w:rFonts w:ascii="Arial" w:hAnsi="Arial" w:cs="Arial"/>
          <w:color w:val="000000"/>
          <w:lang w:val="es-CO"/>
        </w:rPr>
        <w:t xml:space="preserve">judicial definitiva. </w:t>
      </w:r>
    </w:p>
    <w:p w:rsidR="008E3415" w:rsidRPr="00AB3928" w:rsidRDefault="008E3415" w:rsidP="00811A56">
      <w:pPr>
        <w:pStyle w:val="Retraitcorpsdetexte"/>
        <w:spacing w:after="0" w:line="360" w:lineRule="auto"/>
        <w:ind w:left="0"/>
        <w:jc w:val="both"/>
        <w:rPr>
          <w:rFonts w:ascii="Arial" w:hAnsi="Arial" w:cs="Arial"/>
          <w:color w:val="000000"/>
          <w:sz w:val="16"/>
          <w:szCs w:val="16"/>
          <w:lang w:val="es-CO"/>
        </w:rPr>
      </w:pPr>
      <w:r>
        <w:rPr>
          <w:rFonts w:ascii="Arial" w:hAnsi="Arial" w:cs="Arial"/>
          <w:color w:val="000000"/>
          <w:lang w:val="es-CO"/>
        </w:rPr>
        <w:t xml:space="preserve"> </w:t>
      </w:r>
      <w:r w:rsidRPr="00AB3928">
        <w:rPr>
          <w:rFonts w:ascii="Arial" w:hAnsi="Arial" w:cs="Arial"/>
          <w:color w:val="000000"/>
          <w:sz w:val="16"/>
          <w:szCs w:val="16"/>
          <w:lang w:val="es-CO"/>
        </w:rPr>
        <w:t xml:space="preserve">  </w:t>
      </w:r>
    </w:p>
    <w:p w:rsidR="00A7399F" w:rsidRPr="00A454F6" w:rsidRDefault="0031283F" w:rsidP="00811A56">
      <w:pPr>
        <w:spacing w:line="360" w:lineRule="auto"/>
        <w:jc w:val="both"/>
        <w:rPr>
          <w:rFonts w:ascii="Arial" w:hAnsi="Arial"/>
          <w:lang w:val="es-CO"/>
        </w:rPr>
      </w:pPr>
      <w:r w:rsidRPr="00A454F6">
        <w:rPr>
          <w:rFonts w:ascii="Arial" w:hAnsi="Arial"/>
        </w:rPr>
        <w:t xml:space="preserve">Así las cosas, </w:t>
      </w:r>
      <w:r w:rsidR="00A454F6">
        <w:rPr>
          <w:rFonts w:ascii="Arial" w:hAnsi="Arial"/>
        </w:rPr>
        <w:t>no se advierte capricho ni arbitrariedad de la jueza</w:t>
      </w:r>
      <w:r w:rsidR="00A454F6">
        <w:rPr>
          <w:rFonts w:ascii="Arial" w:hAnsi="Arial"/>
          <w:lang w:val="es-CO"/>
        </w:rPr>
        <w:t xml:space="preserve"> en sus decisiones, más bien descuido del accionante respecto al pago del porte de correo, por lo tanto, </w:t>
      </w:r>
      <w:r w:rsidRPr="00A454F6">
        <w:rPr>
          <w:rFonts w:ascii="Arial" w:hAnsi="Arial"/>
          <w:lang w:val="es-CO"/>
        </w:rPr>
        <w:t>es inexistente la vulneración del derecho fundamental al debido proceso por defecto sustantivo.</w:t>
      </w:r>
    </w:p>
    <w:p w:rsidR="00A7399F" w:rsidRPr="00AB3928" w:rsidRDefault="00A7399F" w:rsidP="00811A56">
      <w:pPr>
        <w:spacing w:line="360" w:lineRule="auto"/>
        <w:jc w:val="both"/>
        <w:rPr>
          <w:rFonts w:ascii="Arial" w:hAnsi="Arial"/>
          <w:sz w:val="20"/>
          <w:szCs w:val="20"/>
          <w:highlight w:val="yellow"/>
          <w:lang w:val="es-CO"/>
        </w:rPr>
      </w:pPr>
    </w:p>
    <w:p w:rsidR="006E3281" w:rsidRPr="003E253D" w:rsidRDefault="003E253D" w:rsidP="00BB0EF5">
      <w:pPr>
        <w:pStyle w:val="Corpsdetexte"/>
        <w:numPr>
          <w:ilvl w:val="0"/>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mallCaps/>
          <w:szCs w:val="24"/>
        </w:rPr>
      </w:pPr>
      <w:r>
        <w:rPr>
          <w:rFonts w:ascii="Arial" w:hAnsi="Arial" w:cs="Arial"/>
          <w:smallCaps/>
          <w:sz w:val="28"/>
          <w:szCs w:val="24"/>
        </w:rPr>
        <w:t>L</w:t>
      </w:r>
      <w:r w:rsidRPr="003E253D">
        <w:rPr>
          <w:rFonts w:ascii="Arial" w:hAnsi="Arial" w:cs="Arial"/>
          <w:smallCaps/>
          <w:sz w:val="28"/>
          <w:szCs w:val="24"/>
        </w:rPr>
        <w:t xml:space="preserve">as conclusiones </w:t>
      </w:r>
    </w:p>
    <w:p w:rsidR="006E3281" w:rsidRPr="00AB3928"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6"/>
          <w:szCs w:val="16"/>
        </w:rPr>
      </w:pPr>
    </w:p>
    <w:p w:rsidR="00A71329" w:rsidRDefault="006E3281" w:rsidP="00A71329">
      <w:pPr>
        <w:pStyle w:val="Retraitcorpsdetexte"/>
        <w:spacing w:after="0" w:line="360" w:lineRule="auto"/>
        <w:ind w:left="0"/>
        <w:jc w:val="both"/>
        <w:rPr>
          <w:rFonts w:ascii="Arial" w:hAnsi="Arial" w:cs="Arial"/>
          <w:color w:val="000000"/>
        </w:rPr>
      </w:pPr>
      <w:r w:rsidRPr="00951700">
        <w:rPr>
          <w:rFonts w:ascii="Arial" w:hAnsi="Arial"/>
        </w:rPr>
        <w:t>En armonía con las premisas expuestas en los acápites anteriores</w:t>
      </w:r>
      <w:r w:rsidR="00A7399F">
        <w:rPr>
          <w:rFonts w:ascii="Arial" w:hAnsi="Arial"/>
        </w:rPr>
        <w:t xml:space="preserve"> se </w:t>
      </w:r>
      <w:r w:rsidR="002268A0">
        <w:rPr>
          <w:rFonts w:ascii="Arial" w:hAnsi="Arial"/>
        </w:rPr>
        <w:t>negará</w:t>
      </w:r>
      <w:r w:rsidR="00A7399F">
        <w:rPr>
          <w:rFonts w:ascii="Arial" w:hAnsi="Arial"/>
        </w:rPr>
        <w:t xml:space="preserve"> el amparo constitucional promovido frente al </w:t>
      </w:r>
      <w:r w:rsidR="00A71329">
        <w:rPr>
          <w:rFonts w:ascii="Arial" w:hAnsi="Arial" w:cs="Arial"/>
        </w:rPr>
        <w:t xml:space="preserve">Juzgado Civil del Circuito de Santa Rosa de Cabal por </w:t>
      </w:r>
      <w:r w:rsidR="00A7399F">
        <w:rPr>
          <w:rFonts w:ascii="Arial" w:hAnsi="Arial" w:cs="Arial"/>
        </w:rPr>
        <w:t xml:space="preserve">inexistencia de </w:t>
      </w:r>
      <w:r w:rsidR="00A71329">
        <w:rPr>
          <w:rFonts w:ascii="Arial" w:hAnsi="Arial" w:cs="Arial"/>
        </w:rPr>
        <w:t xml:space="preserve">vulneración </w:t>
      </w:r>
      <w:r w:rsidR="00A7399F">
        <w:rPr>
          <w:rFonts w:ascii="Arial" w:hAnsi="Arial" w:cs="Arial"/>
        </w:rPr>
        <w:t xml:space="preserve">o amenaza del derecho al </w:t>
      </w:r>
      <w:r w:rsidR="00A71329">
        <w:rPr>
          <w:rFonts w:ascii="Arial" w:hAnsi="Arial" w:cs="Arial"/>
        </w:rPr>
        <w:t xml:space="preserve">debido proceso </w:t>
      </w:r>
      <w:r w:rsidR="00A7399F">
        <w:rPr>
          <w:rFonts w:ascii="Arial" w:hAnsi="Arial" w:cs="Arial"/>
        </w:rPr>
        <w:t>por defecto sustantivo</w:t>
      </w:r>
      <w:r w:rsidR="00A71329">
        <w:rPr>
          <w:rFonts w:ascii="Arial" w:hAnsi="Arial" w:cs="Arial"/>
          <w:color w:val="000000"/>
        </w:rPr>
        <w:t xml:space="preserve">. </w:t>
      </w:r>
    </w:p>
    <w:p w:rsidR="00D07BE1" w:rsidRPr="00AB3928" w:rsidRDefault="00D07BE1" w:rsidP="00D07BE1">
      <w:pPr>
        <w:spacing w:line="360" w:lineRule="auto"/>
        <w:ind w:right="51"/>
        <w:jc w:val="both"/>
        <w:rPr>
          <w:rFonts w:ascii="Arial" w:hAnsi="Arial" w:cs="Arial"/>
          <w:sz w:val="16"/>
          <w:szCs w:val="16"/>
          <w:lang w:val="es-CO"/>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Default="006E3281" w:rsidP="006E3281">
      <w:pPr>
        <w:pStyle w:val="Corpsdetexte"/>
        <w:spacing w:line="360" w:lineRule="auto"/>
        <w:jc w:val="center"/>
        <w:rPr>
          <w:rFonts w:ascii="Arial" w:hAnsi="Arial" w:cs="Arial"/>
          <w:bCs/>
          <w:smallCaps/>
          <w:szCs w:val="24"/>
        </w:rPr>
      </w:pPr>
      <w:r w:rsidRPr="006E3281">
        <w:rPr>
          <w:rFonts w:ascii="Arial" w:hAnsi="Arial" w:cs="Arial"/>
          <w:bCs/>
          <w:smallCaps/>
          <w:szCs w:val="24"/>
        </w:rPr>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72700A" w:rsidRPr="00AB3928" w:rsidRDefault="0072700A" w:rsidP="006E3281">
      <w:pPr>
        <w:pStyle w:val="Corpsdetexte"/>
        <w:spacing w:line="360" w:lineRule="auto"/>
        <w:jc w:val="center"/>
        <w:rPr>
          <w:rFonts w:ascii="Arial" w:hAnsi="Arial" w:cs="Arial"/>
          <w:bCs/>
          <w:smallCaps/>
          <w:sz w:val="16"/>
          <w:szCs w:val="16"/>
        </w:rPr>
      </w:pPr>
    </w:p>
    <w:p w:rsidR="00851940" w:rsidRDefault="00A7399F" w:rsidP="00851940">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sidR="00851940">
        <w:rPr>
          <w:rFonts w:ascii="Arial" w:hAnsi="Arial" w:cs="Arial"/>
        </w:rPr>
        <w:t>la tutela presentada</w:t>
      </w:r>
      <w:r w:rsidR="00A71329">
        <w:rPr>
          <w:rFonts w:ascii="Arial" w:hAnsi="Arial" w:cs="Arial"/>
        </w:rPr>
        <w:t xml:space="preserve"> por la señora </w:t>
      </w:r>
      <w:proofErr w:type="spellStart"/>
      <w:r w:rsidR="00A71329">
        <w:rPr>
          <w:rFonts w:ascii="Arial" w:hAnsi="Arial" w:cs="Arial"/>
        </w:rPr>
        <w:t>Leidy</w:t>
      </w:r>
      <w:proofErr w:type="spellEnd"/>
      <w:r w:rsidR="00A71329">
        <w:rPr>
          <w:rFonts w:ascii="Arial" w:hAnsi="Arial" w:cs="Arial"/>
        </w:rPr>
        <w:t xml:space="preserve"> Tatiana González Orozco frente al Juzgado </w:t>
      </w:r>
      <w:r w:rsidR="00851940">
        <w:rPr>
          <w:rFonts w:ascii="Arial" w:hAnsi="Arial" w:cs="Arial"/>
        </w:rPr>
        <w:t>Civil del Circuito de Santa Rosa de Cabal, R</w:t>
      </w:r>
      <w:r>
        <w:rPr>
          <w:rFonts w:ascii="Arial" w:hAnsi="Arial" w:cs="Arial"/>
        </w:rPr>
        <w:t xml:space="preserve"> y el </w:t>
      </w:r>
      <w:r w:rsidRPr="00851940">
        <w:rPr>
          <w:rFonts w:ascii="Arial" w:hAnsi="Arial" w:cs="Arial"/>
          <w:color w:val="000000"/>
        </w:rPr>
        <w:t>señor José Plácido Alzate Echeverry</w:t>
      </w:r>
      <w:r w:rsidR="00851940">
        <w:rPr>
          <w:rFonts w:ascii="Arial" w:hAnsi="Arial" w:cs="Arial"/>
        </w:rPr>
        <w:t>.</w:t>
      </w:r>
      <w:r>
        <w:rPr>
          <w:rFonts w:ascii="Arial" w:hAnsi="Arial" w:cs="Arial"/>
        </w:rPr>
        <w:t xml:space="preserve"> </w:t>
      </w:r>
    </w:p>
    <w:p w:rsidR="00A7399F" w:rsidRPr="00AB3928" w:rsidRDefault="00A7399F" w:rsidP="00A7399F">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6"/>
          <w:szCs w:val="16"/>
          <w:lang w:val="es-ES_tradnl"/>
        </w:rPr>
      </w:pPr>
    </w:p>
    <w:p w:rsidR="006E3281" w:rsidRPr="000F5F85"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AB3928" w:rsidRDefault="006E3281" w:rsidP="000F5F85">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6"/>
          <w:szCs w:val="16"/>
          <w:lang w:val="es-ES_tradnl"/>
        </w:rPr>
      </w:pPr>
    </w:p>
    <w:p w:rsidR="006E3281"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AB3928" w:rsidRDefault="00023B2D" w:rsidP="00023B2D">
      <w:pPr>
        <w:pStyle w:val="Paragraphedeliste"/>
        <w:rPr>
          <w:rFonts w:ascii="Arial" w:hAnsi="Arial"/>
          <w:spacing w:val="-3"/>
          <w:sz w:val="16"/>
          <w:szCs w:val="16"/>
          <w:lang w:val="es-ES_tradnl"/>
        </w:rPr>
      </w:pPr>
    </w:p>
    <w:p w:rsidR="001F4C1B" w:rsidRPr="000F5F85" w:rsidRDefault="001F4C1B"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2268A0" w:rsidRDefault="00984EE4" w:rsidP="00126266">
      <w:pPr>
        <w:pStyle w:val="Corpsdetexte"/>
        <w:spacing w:line="360" w:lineRule="auto"/>
        <w:jc w:val="center"/>
        <w:rPr>
          <w:rFonts w:ascii="Arial" w:hAnsi="Arial"/>
          <w:smallCaps/>
          <w:sz w:val="10"/>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A71698" w:rsidRDefault="00A71698"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AB3928" w:rsidRDefault="00AB3928"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2268A0"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szCs w:val="18"/>
          <w:lang w:val="en-US"/>
        </w:rPr>
      </w:pPr>
    </w:p>
    <w:p w:rsidR="00017666"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A71698" w:rsidRPr="002268A0" w:rsidRDefault="00A71698"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1B6BBA">
        <w:rPr>
          <w:rFonts w:ascii="Arial" w:hAnsi="Arial"/>
          <w:i/>
          <w:w w:val="150"/>
          <w:sz w:val="28"/>
          <w:szCs w:val="18"/>
          <w:lang w:val="en-US"/>
        </w:rPr>
        <w:t>E</w:t>
      </w:r>
      <w:r w:rsidRPr="001B6BBA">
        <w:rPr>
          <w:rFonts w:ascii="Arial" w:hAnsi="Arial"/>
          <w:i/>
          <w:w w:val="150"/>
          <w:sz w:val="18"/>
          <w:szCs w:val="18"/>
          <w:lang w:val="en-US"/>
        </w:rPr>
        <w:t>DDER</w:t>
      </w:r>
      <w:proofErr w:type="spellEnd"/>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proofErr w:type="gramEnd"/>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bookmarkStart w:id="0" w:name="_GoBack"/>
      <w:bookmarkEnd w:id="0"/>
    </w:p>
    <w:sectPr w:rsidR="00671332" w:rsidSect="00C5255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19" w:rsidRDefault="00EE7019" w:rsidP="0099045D">
      <w:r>
        <w:separator/>
      </w:r>
    </w:p>
  </w:endnote>
  <w:endnote w:type="continuationSeparator" w:id="0">
    <w:p w:rsidR="00EE7019" w:rsidRDefault="00EE701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64" w:rsidRDefault="004D5064"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4D5064" w:rsidRDefault="004D5064" w:rsidP="0013771A">
    <w:pPr>
      <w:pStyle w:val="Pieddepage"/>
      <w:spacing w:line="360" w:lineRule="auto"/>
      <w:jc w:val="right"/>
      <w:rPr>
        <w:rFonts w:ascii="Arial" w:hAnsi="Arial" w:cs="Arial"/>
        <w:spacing w:val="20"/>
        <w:w w:val="200"/>
        <w:sz w:val="14"/>
        <w:szCs w:val="10"/>
        <w:lang w:val="es-CO"/>
      </w:rPr>
    </w:pPr>
  </w:p>
  <w:p w:rsidR="004D5064" w:rsidRPr="003E18D8" w:rsidRDefault="004D5064"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D5064" w:rsidRPr="007F7D49" w:rsidRDefault="004D5064"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19" w:rsidRDefault="00EE7019" w:rsidP="0099045D">
      <w:r>
        <w:separator/>
      </w:r>
    </w:p>
  </w:footnote>
  <w:footnote w:type="continuationSeparator" w:id="0">
    <w:p w:rsidR="00EE7019" w:rsidRDefault="00EE7019" w:rsidP="0099045D">
      <w:r>
        <w:continuationSeparator/>
      </w:r>
    </w:p>
  </w:footnote>
  <w:footnote w:id="1">
    <w:p w:rsidR="004D5064" w:rsidRDefault="004D5064" w:rsidP="00795CDC">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D5064" w:rsidRPr="00567558" w:rsidRDefault="004D5064" w:rsidP="00795CDC">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4D5064" w:rsidRPr="00567558" w:rsidRDefault="004D5064" w:rsidP="00795CDC">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4D5064" w:rsidRPr="00FF68BE" w:rsidRDefault="004D5064" w:rsidP="00795CDC">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4D5064" w:rsidRPr="005D1B2D" w:rsidRDefault="004D5064" w:rsidP="00795CDC">
      <w:pPr>
        <w:pStyle w:val="Notedebasdepage"/>
        <w:rPr>
          <w:lang w:val="es-CO"/>
        </w:rPr>
      </w:pPr>
      <w:r>
        <w:rPr>
          <w:rStyle w:val="Appelnotedebasdep"/>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D5064" w:rsidRPr="00567558" w:rsidRDefault="004D5064" w:rsidP="00795CDC">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4D5064" w:rsidRDefault="004D5064" w:rsidP="00795CDC">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D5064" w:rsidRPr="001556AA" w:rsidRDefault="004D5064" w:rsidP="008128A7">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1556AA">
        <w:rPr>
          <w:rFonts w:asciiTheme="minorHAnsi" w:hAnsiTheme="minorHAnsi" w:cs="Calibri"/>
          <w:lang w:val="fr-FR"/>
        </w:rPr>
        <w:t xml:space="preserve"> CC. Sentencia T-231 de 1994.</w:t>
      </w:r>
    </w:p>
  </w:footnote>
  <w:footnote w:id="9">
    <w:p w:rsidR="004D5064" w:rsidRPr="001556AA" w:rsidRDefault="004D5064" w:rsidP="008128A7">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1556AA">
        <w:rPr>
          <w:rFonts w:asciiTheme="minorHAnsi" w:hAnsiTheme="minorHAnsi" w:cs="Calibri"/>
          <w:lang w:val="fr-FR"/>
        </w:rPr>
        <w:t xml:space="preserve"> CC. Sentencia T-831 de 2012.</w:t>
      </w:r>
    </w:p>
  </w:footnote>
  <w:footnote w:id="10">
    <w:p w:rsidR="004D5064" w:rsidRPr="00052412" w:rsidRDefault="004D5064" w:rsidP="008128A7">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1">
    <w:p w:rsidR="004D5064" w:rsidRPr="001556AA" w:rsidRDefault="004D5064" w:rsidP="008128A7">
      <w:pPr>
        <w:pStyle w:val="Notedebasdepage"/>
        <w:jc w:val="both"/>
        <w:rPr>
          <w:rFonts w:asciiTheme="minorHAnsi" w:hAnsiTheme="minorHAnsi"/>
          <w:lang w:val="fr-FR"/>
        </w:rPr>
      </w:pPr>
      <w:r w:rsidRPr="000A1B5D">
        <w:rPr>
          <w:rFonts w:asciiTheme="minorHAnsi" w:hAnsiTheme="minorHAnsi"/>
          <w:vertAlign w:val="superscript"/>
        </w:rPr>
        <w:footnoteRef/>
      </w:r>
      <w:r w:rsidRPr="001556AA">
        <w:rPr>
          <w:rFonts w:asciiTheme="minorHAnsi" w:hAnsiTheme="minorHAnsi"/>
          <w:lang w:val="fr-FR"/>
        </w:rPr>
        <w:t xml:space="preserve"> </w:t>
      </w:r>
      <w:r w:rsidRPr="001556AA">
        <w:rPr>
          <w:rFonts w:asciiTheme="minorHAnsi" w:hAnsiTheme="minorHAnsi" w:cs="Calibri"/>
          <w:lang w:val="fr-FR"/>
        </w:rPr>
        <w:t>CC</w:t>
      </w:r>
      <w:r w:rsidRPr="001556AA">
        <w:rPr>
          <w:rFonts w:asciiTheme="minorHAnsi" w:hAnsiTheme="minorHAnsi"/>
          <w:lang w:val="fr-FR"/>
        </w:rPr>
        <w:t>. Sentencia T-573 de 1997.</w:t>
      </w:r>
    </w:p>
  </w:footnote>
  <w:footnote w:id="12">
    <w:p w:rsidR="004D5064" w:rsidRPr="001556AA" w:rsidRDefault="004D5064" w:rsidP="008128A7">
      <w:pPr>
        <w:pStyle w:val="Notedebasdepage"/>
        <w:jc w:val="both"/>
        <w:rPr>
          <w:rFonts w:asciiTheme="minorHAnsi" w:hAnsiTheme="minorHAnsi"/>
          <w:lang w:val="fr-FR"/>
        </w:rPr>
      </w:pPr>
      <w:r w:rsidRPr="000A1B5D">
        <w:rPr>
          <w:rFonts w:asciiTheme="minorHAnsi" w:hAnsiTheme="minorHAnsi"/>
          <w:vertAlign w:val="superscript"/>
        </w:rPr>
        <w:footnoteRef/>
      </w:r>
      <w:r w:rsidRPr="001556AA">
        <w:rPr>
          <w:rFonts w:asciiTheme="minorHAnsi" w:hAnsiTheme="minorHAnsi"/>
          <w:lang w:val="fr-FR"/>
        </w:rPr>
        <w:t xml:space="preserve"> </w:t>
      </w:r>
      <w:r w:rsidRPr="001556AA">
        <w:rPr>
          <w:rFonts w:asciiTheme="minorHAnsi" w:hAnsiTheme="minorHAnsi" w:cs="Calibri"/>
          <w:lang w:val="fr-FR"/>
        </w:rPr>
        <w:t>CC</w:t>
      </w:r>
      <w:r w:rsidRPr="001556AA">
        <w:rPr>
          <w:rFonts w:asciiTheme="minorHAnsi" w:hAnsiTheme="minorHAnsi"/>
          <w:lang w:val="fr-FR"/>
        </w:rPr>
        <w:t>. Sentencia T-567 de 1998.</w:t>
      </w:r>
    </w:p>
  </w:footnote>
  <w:footnote w:id="13">
    <w:p w:rsidR="004D5064" w:rsidRPr="000A1B5D" w:rsidRDefault="004D5064" w:rsidP="008128A7">
      <w:pPr>
        <w:pStyle w:val="Notedebasdepag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Sentencia T-001 de 1999.</w:t>
      </w:r>
    </w:p>
  </w:footnote>
  <w:footnote w:id="14">
    <w:p w:rsidR="004D5064" w:rsidRPr="000A1B5D" w:rsidRDefault="004D5064" w:rsidP="008128A7">
      <w:pPr>
        <w:pStyle w:val="Notedebasdepage"/>
        <w:rPr>
          <w:rFonts w:asciiTheme="minorHAnsi" w:hAnsiTheme="minorHAnsi"/>
          <w:lang w:val="es-CO"/>
        </w:rPr>
      </w:pPr>
      <w:r w:rsidRPr="000A1B5D">
        <w:rPr>
          <w:rStyle w:val="Appelnotedebasdep"/>
          <w:rFonts w:asciiTheme="minorHAnsi" w:hAnsiTheme="minorHAnsi"/>
        </w:rPr>
        <w:footnoteRef/>
      </w:r>
      <w:r w:rsidRPr="000A1B5D">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xml:space="preserve">. Sentencia SU-949 </w:t>
      </w:r>
      <w:r>
        <w:rPr>
          <w:rFonts w:asciiTheme="minorHAnsi" w:hAnsiTheme="minorHAnsi" w:cs="Calibri"/>
          <w:lang w:val="es-MX"/>
        </w:rPr>
        <w:t xml:space="preserve">de </w:t>
      </w:r>
      <w:r w:rsidRPr="000A1B5D">
        <w:rPr>
          <w:rFonts w:asciiTheme="minorHAnsi" w:hAnsiTheme="minorHAnsi" w:cs="Calibri"/>
          <w:lang w:val="es-MX"/>
        </w:rPr>
        <w:t>2014.</w:t>
      </w:r>
    </w:p>
  </w:footnote>
  <w:footnote w:id="15">
    <w:p w:rsidR="004D5064" w:rsidRPr="00993BE7" w:rsidRDefault="004D5064" w:rsidP="008128A7">
      <w:pPr>
        <w:pStyle w:val="Notedebasdepage"/>
        <w:rPr>
          <w:rFonts w:asciiTheme="minorHAnsi" w:hAnsiTheme="minorHAnsi" w:cs="Calibri"/>
          <w:lang w:val="es-MX"/>
        </w:rPr>
      </w:pPr>
      <w:r>
        <w:rPr>
          <w:rStyle w:val="Appelnotedebasdep"/>
        </w:rPr>
        <w:footnoteRef/>
      </w:r>
      <w:r>
        <w:t xml:space="preserve"> </w:t>
      </w:r>
      <w:r>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Pr>
          <w:rFonts w:asciiTheme="minorHAnsi" w:hAnsiTheme="minorHAnsi" w:cs="Calibri"/>
          <w:lang w:val="es-MX"/>
        </w:rPr>
        <w:t xml:space="preserve"> 2015</w:t>
      </w:r>
      <w:r w:rsidRPr="000A1B5D">
        <w:rPr>
          <w:rFonts w:asciiTheme="minorHAnsi" w:hAnsiTheme="minorHAnsi" w:cs="Calibri"/>
          <w:lang w:val="es-MX"/>
        </w:rPr>
        <w:t>.</w:t>
      </w:r>
    </w:p>
  </w:footnote>
  <w:footnote w:id="16">
    <w:p w:rsidR="004D5064" w:rsidRPr="003F120A" w:rsidRDefault="004D5064" w:rsidP="008128A7">
      <w:pPr>
        <w:pStyle w:val="Notedebasdepage"/>
        <w:rPr>
          <w:rFonts w:asciiTheme="minorHAnsi" w:hAnsiTheme="minorHAnsi"/>
          <w:lang w:val="es-CO"/>
        </w:rPr>
      </w:pPr>
      <w:r w:rsidRPr="003F120A">
        <w:rPr>
          <w:rStyle w:val="Appelnotedebasdep"/>
          <w:rFonts w:asciiTheme="minorHAnsi" w:hAnsiTheme="minorHAnsi"/>
        </w:rPr>
        <w:footnoteRef/>
      </w:r>
      <w:r w:rsidRPr="003F120A">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Sentencia SU-949 de</w:t>
      </w:r>
      <w:r>
        <w:rPr>
          <w:rFonts w:asciiTheme="minorHAnsi" w:hAnsiTheme="minorHAnsi" w:cs="Calibri"/>
          <w:lang w:val="es-MX"/>
        </w:rPr>
        <w:t xml:space="preserve"> </w:t>
      </w:r>
      <w:r w:rsidRPr="000A1B5D">
        <w:rPr>
          <w:rFonts w:asciiTheme="minorHAnsi" w:hAnsiTheme="minorHAnsi" w:cs="Calibri"/>
          <w:lang w:val="es-MX"/>
        </w:rPr>
        <w:t>2014</w:t>
      </w:r>
      <w:r>
        <w:rPr>
          <w:rFonts w:asciiTheme="minorHAnsi" w:hAnsiTheme="minorHAnsi" w:cs="Calibri"/>
          <w:lang w:val="es-MX"/>
        </w:rPr>
        <w:t>.</w:t>
      </w:r>
      <w:r w:rsidRPr="003F120A">
        <w:rPr>
          <w:rFonts w:asciiTheme="minorHAnsi" w:hAnsiTheme="minorHAnsi"/>
          <w:lang w:val="es-CO"/>
        </w:rPr>
        <w:t xml:space="preserve"> </w:t>
      </w:r>
    </w:p>
  </w:footnote>
  <w:footnote w:id="17">
    <w:p w:rsidR="004D5064" w:rsidRDefault="004D5064" w:rsidP="00710BFF">
      <w:pPr>
        <w:pStyle w:val="Notedebasdepage"/>
        <w:jc w:val="both"/>
      </w:pPr>
      <w:r w:rsidRPr="00951C2E">
        <w:rPr>
          <w:rFonts w:ascii="Calibri" w:hAnsi="Calibri" w:cs="Calibri"/>
          <w:vertAlign w:val="superscript"/>
        </w:rPr>
        <w:footnoteRef/>
      </w:r>
      <w:r w:rsidRPr="00951C2E">
        <w:rPr>
          <w:rFonts w:ascii="Calibri" w:hAnsi="Calibri" w:cs="Calibri"/>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xml:space="preserve">, </w:t>
      </w:r>
      <w:proofErr w:type="spellStart"/>
      <w:r w:rsidRPr="003A4792">
        <w:rPr>
          <w:rFonts w:asciiTheme="minorHAnsi" w:hAnsiTheme="minorHAnsi" w:cs="Calibri"/>
          <w:szCs w:val="18"/>
          <w:lang w:val="es-CO"/>
        </w:rPr>
        <w:t>p.</w:t>
      </w:r>
      <w:r>
        <w:rPr>
          <w:rFonts w:asciiTheme="minorHAnsi" w:hAnsiTheme="minorHAnsi" w:cs="Calibri"/>
          <w:szCs w:val="18"/>
          <w:lang w:val="es-CO"/>
        </w:rPr>
        <w:t>769</w:t>
      </w:r>
      <w:proofErr w:type="spellEnd"/>
      <w:r>
        <w:rPr>
          <w:rFonts w:asciiTheme="minorHAnsi" w:hAnsiTheme="minorHAnsi" w:cs="Calibri"/>
          <w:szCs w:val="18"/>
          <w:lang w:val="es-CO"/>
        </w:rPr>
        <w:t>-776</w:t>
      </w:r>
      <w:r w:rsidRPr="00951C2E">
        <w:rPr>
          <w:rFonts w:ascii="Calibri" w:hAnsi="Calibri" w:cs="Calibri"/>
        </w:rPr>
        <w:t>.</w:t>
      </w:r>
    </w:p>
  </w:footnote>
  <w:footnote w:id="18">
    <w:p w:rsidR="004D5064" w:rsidRDefault="004D5064" w:rsidP="00710BFF">
      <w:pPr>
        <w:pStyle w:val="Notedebasdepage"/>
        <w:jc w:val="both"/>
      </w:pPr>
      <w:r w:rsidRPr="00951C2E">
        <w:rPr>
          <w:rFonts w:ascii="Calibri" w:hAnsi="Calibri" w:cs="Calibri"/>
          <w:vertAlign w:val="superscript"/>
        </w:rPr>
        <w:footnoteRef/>
      </w:r>
      <w:r w:rsidRPr="00951C2E">
        <w:rPr>
          <w:rFonts w:ascii="Calibri" w:hAnsi="Calibri" w:cs="Calibri"/>
        </w:rPr>
        <w:t xml:space="preserve"> PARRA QUIJANO, Jairo. Derecho procesal civil, tomo I, Santafé de Bogotá D.C., Temis, 1992, p.276.</w:t>
      </w:r>
    </w:p>
  </w:footnote>
  <w:footnote w:id="19">
    <w:p w:rsidR="004D5064" w:rsidRPr="00825EA0" w:rsidRDefault="004D5064" w:rsidP="00F51E2A">
      <w:pPr>
        <w:pStyle w:val="Sansinterligne"/>
        <w:jc w:val="both"/>
        <w:rPr>
          <w:sz w:val="20"/>
        </w:rPr>
      </w:pPr>
      <w:r w:rsidRPr="00825EA0">
        <w:rPr>
          <w:rFonts w:ascii="Calibri" w:hAnsi="Calibri" w:cs="Calibri"/>
          <w:sz w:val="20"/>
          <w:vertAlign w:val="superscript"/>
        </w:rPr>
        <w:footnoteRef/>
      </w:r>
      <w:r w:rsidRPr="00825EA0">
        <w:rPr>
          <w:rFonts w:ascii="Calibri" w:hAnsi="Calibri" w:cs="Calibri"/>
          <w:sz w:val="20"/>
        </w:rPr>
        <w:t xml:space="preserve"> </w:t>
      </w:r>
      <w:r w:rsidRPr="00825EA0">
        <w:rPr>
          <w:rFonts w:asciiTheme="minorHAnsi" w:hAnsiTheme="minorHAnsi" w:cs="Calibri"/>
          <w:sz w:val="20"/>
          <w:lang w:val="es-CO"/>
        </w:rPr>
        <w:t xml:space="preserve">LÓPEZ BLANCO, Hernán Fabio. </w:t>
      </w:r>
      <w:r>
        <w:rPr>
          <w:rFonts w:ascii="Calibri" w:hAnsi="Calibri" w:cs="Calibri"/>
          <w:sz w:val="20"/>
        </w:rPr>
        <w:t>O</w:t>
      </w:r>
      <w:r w:rsidRPr="00825EA0">
        <w:rPr>
          <w:rFonts w:ascii="Calibri" w:hAnsi="Calibri" w:cs="Calibri"/>
          <w:sz w:val="20"/>
        </w:rPr>
        <w:t xml:space="preserve">b. </w:t>
      </w:r>
      <w:r>
        <w:rPr>
          <w:rFonts w:ascii="Calibri" w:hAnsi="Calibri" w:cs="Calibri"/>
          <w:sz w:val="20"/>
        </w:rPr>
        <w:t>c</w:t>
      </w:r>
      <w:r w:rsidRPr="00825EA0">
        <w:rPr>
          <w:rFonts w:ascii="Calibri" w:hAnsi="Calibri" w:cs="Calibri"/>
          <w:sz w:val="20"/>
        </w:rPr>
        <w:t>it., p.7</w:t>
      </w:r>
      <w:r>
        <w:rPr>
          <w:rFonts w:ascii="Calibri" w:hAnsi="Calibri" w:cs="Calibri"/>
          <w:sz w:val="20"/>
        </w:rPr>
        <w:t>69</w:t>
      </w:r>
      <w:r w:rsidRPr="00825EA0">
        <w:rPr>
          <w:rFonts w:ascii="Calibri" w:hAnsi="Calibri" w:cs="Calibri"/>
          <w:sz w:val="20"/>
        </w:rPr>
        <w:t xml:space="preserve">. </w:t>
      </w:r>
    </w:p>
  </w:footnote>
  <w:footnote w:id="20">
    <w:p w:rsidR="004D5064" w:rsidRDefault="004D5064" w:rsidP="00F51E2A">
      <w:pPr>
        <w:pStyle w:val="Notedebasdepage"/>
        <w:jc w:val="both"/>
      </w:pPr>
      <w:r w:rsidRPr="00951C2E">
        <w:rPr>
          <w:rStyle w:val="Appelnotedebasdep"/>
          <w:rFonts w:ascii="Calibri" w:hAnsi="Calibri" w:cs="Calibri"/>
        </w:rPr>
        <w:footnoteRef/>
      </w:r>
      <w:r w:rsidRPr="00951C2E">
        <w:rPr>
          <w:rFonts w:ascii="Calibri" w:hAnsi="Calibri" w:cs="Calibri"/>
        </w:rPr>
        <w:t xml:space="preserve"> ROJAS GÓMEZ, Miguel Enrique. Apuntes sobre la ley de descongestión, Ediciones Doctrina y Ley Ltda., 2010, Bogotá DC, p.242.</w:t>
      </w:r>
    </w:p>
  </w:footnote>
  <w:footnote w:id="21">
    <w:p w:rsidR="004D5064" w:rsidRPr="00C608FF" w:rsidRDefault="004D5064" w:rsidP="00973DD5">
      <w:pPr>
        <w:pStyle w:val="Notedebasdepage"/>
        <w:rPr>
          <w:lang w:val="es-CO"/>
        </w:rPr>
      </w:pPr>
      <w:r>
        <w:rPr>
          <w:rStyle w:val="Appelnotedebasdep"/>
        </w:rPr>
        <w:footnoteRef/>
      </w:r>
      <w:r>
        <w:t xml:space="preserve"> </w:t>
      </w:r>
      <w:r w:rsidRPr="00951C2E">
        <w:rPr>
          <w:rFonts w:ascii="Calibri" w:hAnsi="Calibri" w:cs="Calibri"/>
        </w:rPr>
        <w:t>LÓPEZ BLANCO, Hernán Fabio. Ob. cit., p.7</w:t>
      </w:r>
      <w:r>
        <w:rPr>
          <w:rFonts w:ascii="Calibri" w:hAnsi="Calibri" w:cs="Calibri"/>
        </w:rPr>
        <w:t>76</w:t>
      </w:r>
    </w:p>
  </w:footnote>
  <w:footnote w:id="22">
    <w:p w:rsidR="004D5064" w:rsidRPr="00973DD5" w:rsidRDefault="004D5064" w:rsidP="00973DD5">
      <w:pPr>
        <w:pStyle w:val="Notedebasdepage"/>
        <w:jc w:val="both"/>
      </w:pPr>
      <w:r>
        <w:rPr>
          <w:rStyle w:val="Appelnotedebasdep"/>
        </w:rPr>
        <w:footnoteRef/>
      </w:r>
      <w:r>
        <w:t xml:space="preserve"> </w:t>
      </w:r>
      <w:r w:rsidRPr="00951C2E">
        <w:rPr>
          <w:rFonts w:ascii="Calibri" w:hAnsi="Calibri" w:cs="Calibri"/>
        </w:rPr>
        <w:t xml:space="preserve">ROJAS GÓMEZ, Miguel Enrique. </w:t>
      </w:r>
      <w:r>
        <w:rPr>
          <w:rFonts w:ascii="Calibri" w:hAnsi="Calibri" w:cs="Calibri"/>
        </w:rPr>
        <w:t>Lecciones de derecho procesal, Tomo II, Procedimiento Civil.</w:t>
      </w:r>
      <w:r w:rsidRPr="00951C2E">
        <w:rPr>
          <w:rFonts w:ascii="Calibri" w:hAnsi="Calibri" w:cs="Calibri"/>
        </w:rPr>
        <w:t xml:space="preserve"> </w:t>
      </w:r>
      <w:r>
        <w:rPr>
          <w:rFonts w:ascii="Calibri" w:hAnsi="Calibri" w:cs="Calibri"/>
        </w:rPr>
        <w:t xml:space="preserve">Editorial </w:t>
      </w:r>
      <w:proofErr w:type="spellStart"/>
      <w:r>
        <w:rPr>
          <w:rFonts w:ascii="Calibri" w:hAnsi="Calibri" w:cs="Calibri"/>
        </w:rPr>
        <w:t>esaju</w:t>
      </w:r>
      <w:proofErr w:type="spellEnd"/>
      <w:r w:rsidRPr="00951C2E">
        <w:rPr>
          <w:rFonts w:ascii="Calibri" w:hAnsi="Calibri" w:cs="Calibri"/>
        </w:rPr>
        <w:t xml:space="preserve">, </w:t>
      </w:r>
      <w:r>
        <w:rPr>
          <w:rFonts w:ascii="Calibri" w:hAnsi="Calibri" w:cs="Calibri"/>
        </w:rPr>
        <w:t>quinta edición, 2013</w:t>
      </w:r>
      <w:r w:rsidRPr="00951C2E">
        <w:rPr>
          <w:rFonts w:ascii="Calibri" w:hAnsi="Calibri" w:cs="Calibri"/>
        </w:rPr>
        <w:t>, Bogotá DC, p.</w:t>
      </w:r>
      <w:r>
        <w:rPr>
          <w:rFonts w:ascii="Calibri" w:hAnsi="Calibri" w:cs="Calibri"/>
        </w:rPr>
        <w:t>336-337</w:t>
      </w:r>
      <w:r w:rsidRPr="00951C2E">
        <w:rPr>
          <w:rFonts w:ascii="Calibri" w:hAnsi="Calibri" w:cs="Calibri"/>
        </w:rPr>
        <w:t>.</w:t>
      </w:r>
    </w:p>
  </w:footnote>
  <w:footnote w:id="23">
    <w:p w:rsidR="003E5C32" w:rsidRPr="00EC345D" w:rsidRDefault="003E5C32">
      <w:pPr>
        <w:pStyle w:val="Notedebasdepage"/>
        <w:rPr>
          <w:rFonts w:ascii="Calibri" w:hAnsi="Calibri"/>
          <w:lang w:val="es-CO"/>
        </w:rPr>
      </w:pPr>
      <w:r w:rsidRPr="00EC345D">
        <w:rPr>
          <w:rStyle w:val="Appelnotedebasdep"/>
          <w:rFonts w:ascii="Calibri" w:hAnsi="Calibri"/>
        </w:rPr>
        <w:footnoteRef/>
      </w:r>
      <w:r w:rsidRPr="00EC345D">
        <w:rPr>
          <w:rFonts w:ascii="Calibri" w:hAnsi="Calibri"/>
        </w:rPr>
        <w:t xml:space="preserve"> </w:t>
      </w:r>
      <w:r w:rsidRPr="00EC345D">
        <w:rPr>
          <w:rFonts w:ascii="Calibri" w:hAnsi="Calibri"/>
          <w:lang w:val="es-CO"/>
        </w:rPr>
        <w:t>CC. Sentencia T-001 de 1992.</w:t>
      </w:r>
    </w:p>
  </w:footnote>
  <w:footnote w:id="24">
    <w:p w:rsidR="004D5064" w:rsidRPr="004D5064" w:rsidRDefault="004D5064">
      <w:pPr>
        <w:pStyle w:val="Notedebasdepage"/>
        <w:rPr>
          <w:lang w:val="es-CO"/>
        </w:rPr>
      </w:pPr>
      <w:r>
        <w:rPr>
          <w:rStyle w:val="Appelnotedebasdep"/>
        </w:rPr>
        <w:footnoteRef/>
      </w:r>
      <w:r>
        <w:t xml:space="preserve"> </w:t>
      </w:r>
      <w:r w:rsidRPr="00951C2E">
        <w:rPr>
          <w:rFonts w:ascii="Calibri" w:hAnsi="Calibri" w:cs="Calibri"/>
        </w:rPr>
        <w:t xml:space="preserve">ROJAS GÓMEZ, Miguel Enrique. </w:t>
      </w:r>
      <w:r>
        <w:rPr>
          <w:rFonts w:ascii="Calibri" w:hAnsi="Calibri" w:cs="Calibri"/>
        </w:rPr>
        <w:t>Lecciones de derecho procesal, Tomo II, Procedimiento Civil.</w:t>
      </w:r>
      <w:r w:rsidRPr="00951C2E">
        <w:rPr>
          <w:rFonts w:ascii="Calibri" w:hAnsi="Calibri" w:cs="Calibri"/>
        </w:rPr>
        <w:t xml:space="preserve"> </w:t>
      </w:r>
      <w:r>
        <w:rPr>
          <w:rFonts w:ascii="Calibri" w:hAnsi="Calibri" w:cs="Calibri"/>
        </w:rPr>
        <w:t xml:space="preserve">Editorial </w:t>
      </w:r>
      <w:proofErr w:type="spellStart"/>
      <w:r>
        <w:rPr>
          <w:rFonts w:ascii="Calibri" w:hAnsi="Calibri" w:cs="Calibri"/>
        </w:rPr>
        <w:t>esaju</w:t>
      </w:r>
      <w:proofErr w:type="spellEnd"/>
      <w:r w:rsidRPr="00951C2E">
        <w:rPr>
          <w:rFonts w:ascii="Calibri" w:hAnsi="Calibri" w:cs="Calibri"/>
        </w:rPr>
        <w:t xml:space="preserve">, </w:t>
      </w:r>
      <w:r>
        <w:rPr>
          <w:rFonts w:ascii="Calibri" w:hAnsi="Calibri" w:cs="Calibri"/>
        </w:rPr>
        <w:t>quinta edición, 2013</w:t>
      </w:r>
      <w:r w:rsidRPr="00951C2E">
        <w:rPr>
          <w:rFonts w:ascii="Calibri" w:hAnsi="Calibri" w:cs="Calibri"/>
        </w:rPr>
        <w:t>, Bogotá DC, p.</w:t>
      </w:r>
      <w:r w:rsidR="00A454F6">
        <w:rPr>
          <w:rFonts w:ascii="Calibri" w:hAnsi="Calibri" w:cs="Calibri"/>
        </w:rPr>
        <w:t>166</w:t>
      </w:r>
      <w:r w:rsidRPr="00951C2E">
        <w:rPr>
          <w:rFonts w:ascii="Calibri" w:hAnsi="Calibr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64" w:rsidRPr="006414F7" w:rsidRDefault="004D5064"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B3928">
      <w:rPr>
        <w:rFonts w:ascii="Calibri" w:hAnsi="Calibri" w:cs="Calibri"/>
        <w:i/>
        <w:noProof/>
        <w:sz w:val="20"/>
      </w:rPr>
      <w:t>10</w:t>
    </w:r>
    <w:r w:rsidRPr="006414F7">
      <w:rPr>
        <w:rFonts w:ascii="Calibri" w:hAnsi="Calibri" w:cs="Calibri"/>
        <w:i/>
        <w:sz w:val="20"/>
      </w:rPr>
      <w:fldChar w:fldCharType="end"/>
    </w:r>
  </w:p>
  <w:p w:rsidR="004D5064" w:rsidRPr="002A70E1" w:rsidRDefault="004D5064"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Pr>
        <w:rFonts w:ascii="Calibri" w:hAnsi="Calibri" w:cs="Calibri"/>
        <w:i/>
        <w:sz w:val="20"/>
        <w:szCs w:val="22"/>
      </w:rPr>
      <w:t>2016-01027-00 LLRR</w:t>
    </w:r>
  </w:p>
  <w:p w:rsidR="004D5064" w:rsidRPr="006414F7" w:rsidRDefault="004D5064"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2C67434"/>
    <w:multiLevelType w:val="multilevel"/>
    <w:tmpl w:val="9000E3A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B162A5CA"/>
    <w:lvl w:ilvl="0" w:tplc="A4827C38">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4"/>
  </w:num>
  <w:num w:numId="3">
    <w:abstractNumId w:val="13"/>
  </w:num>
  <w:num w:numId="4">
    <w:abstractNumId w:val="2"/>
  </w:num>
  <w:num w:numId="5">
    <w:abstractNumId w:val="27"/>
  </w:num>
  <w:num w:numId="6">
    <w:abstractNumId w:val="0"/>
  </w:num>
  <w:num w:numId="7">
    <w:abstractNumId w:val="21"/>
  </w:num>
  <w:num w:numId="8">
    <w:abstractNumId w:val="1"/>
  </w:num>
  <w:num w:numId="9">
    <w:abstractNumId w:val="28"/>
  </w:num>
  <w:num w:numId="10">
    <w:abstractNumId w:val="22"/>
  </w:num>
  <w:num w:numId="11">
    <w:abstractNumId w:val="18"/>
  </w:num>
  <w:num w:numId="12">
    <w:abstractNumId w:val="26"/>
  </w:num>
  <w:num w:numId="13">
    <w:abstractNumId w:val="9"/>
  </w:num>
  <w:num w:numId="14">
    <w:abstractNumId w:val="10"/>
  </w:num>
  <w:num w:numId="15">
    <w:abstractNumId w:val="16"/>
  </w:num>
  <w:num w:numId="16">
    <w:abstractNumId w:val="4"/>
  </w:num>
  <w:num w:numId="17">
    <w:abstractNumId w:val="17"/>
  </w:num>
  <w:num w:numId="18">
    <w:abstractNumId w:val="7"/>
  </w:num>
  <w:num w:numId="19">
    <w:abstractNumId w:val="5"/>
  </w:num>
  <w:num w:numId="20">
    <w:abstractNumId w:val="11"/>
  </w:num>
  <w:num w:numId="21">
    <w:abstractNumId w:val="19"/>
  </w:num>
  <w:num w:numId="22">
    <w:abstractNumId w:val="25"/>
  </w:num>
  <w:num w:numId="23">
    <w:abstractNumId w:val="6"/>
  </w:num>
  <w:num w:numId="24">
    <w:abstractNumId w:val="23"/>
  </w:num>
  <w:num w:numId="25">
    <w:abstractNumId w:val="3"/>
  </w:num>
  <w:num w:numId="26">
    <w:abstractNumId w:val="12"/>
  </w:num>
  <w:num w:numId="27">
    <w:abstractNumId w:val="24"/>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15C"/>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4C46"/>
    <w:rsid w:val="000D6276"/>
    <w:rsid w:val="000D763A"/>
    <w:rsid w:val="000D78F8"/>
    <w:rsid w:val="000D7C4A"/>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AA"/>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2C6"/>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2558"/>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2"/>
    <w:rsid w:val="001A52A7"/>
    <w:rsid w:val="001A6A5E"/>
    <w:rsid w:val="001A6BD6"/>
    <w:rsid w:val="001A7270"/>
    <w:rsid w:val="001B024F"/>
    <w:rsid w:val="001B0E0F"/>
    <w:rsid w:val="001B184A"/>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4D"/>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8A0"/>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1FA0"/>
    <w:rsid w:val="002821C2"/>
    <w:rsid w:val="0028314C"/>
    <w:rsid w:val="00283B13"/>
    <w:rsid w:val="00283CD0"/>
    <w:rsid w:val="0028437A"/>
    <w:rsid w:val="002843E7"/>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055"/>
    <w:rsid w:val="00295335"/>
    <w:rsid w:val="00295F3F"/>
    <w:rsid w:val="002972E0"/>
    <w:rsid w:val="00297686"/>
    <w:rsid w:val="00297747"/>
    <w:rsid w:val="00297C65"/>
    <w:rsid w:val="002A02A6"/>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5F6"/>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6BC"/>
    <w:rsid w:val="002F37F9"/>
    <w:rsid w:val="002F3875"/>
    <w:rsid w:val="002F3E1D"/>
    <w:rsid w:val="002F413A"/>
    <w:rsid w:val="002F4C69"/>
    <w:rsid w:val="002F55D1"/>
    <w:rsid w:val="002F5CFC"/>
    <w:rsid w:val="002F6CFE"/>
    <w:rsid w:val="0030086F"/>
    <w:rsid w:val="00300E34"/>
    <w:rsid w:val="00301345"/>
    <w:rsid w:val="00301699"/>
    <w:rsid w:val="00302001"/>
    <w:rsid w:val="00302228"/>
    <w:rsid w:val="0030262F"/>
    <w:rsid w:val="00303DD9"/>
    <w:rsid w:val="0030430B"/>
    <w:rsid w:val="00304C7E"/>
    <w:rsid w:val="00305B90"/>
    <w:rsid w:val="003065E0"/>
    <w:rsid w:val="00307BEF"/>
    <w:rsid w:val="00307D28"/>
    <w:rsid w:val="003109EF"/>
    <w:rsid w:val="003120B9"/>
    <w:rsid w:val="0031283F"/>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27DDB"/>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1E9"/>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CA1"/>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185"/>
    <w:rsid w:val="003D65B3"/>
    <w:rsid w:val="003D6763"/>
    <w:rsid w:val="003D6BEE"/>
    <w:rsid w:val="003D72AF"/>
    <w:rsid w:val="003E0939"/>
    <w:rsid w:val="003E0D08"/>
    <w:rsid w:val="003E0DA0"/>
    <w:rsid w:val="003E15C3"/>
    <w:rsid w:val="003E15EB"/>
    <w:rsid w:val="003E18D8"/>
    <w:rsid w:val="003E253D"/>
    <w:rsid w:val="003E2887"/>
    <w:rsid w:val="003E288D"/>
    <w:rsid w:val="003E35E2"/>
    <w:rsid w:val="003E3CD6"/>
    <w:rsid w:val="003E3F84"/>
    <w:rsid w:val="003E44F9"/>
    <w:rsid w:val="003E4897"/>
    <w:rsid w:val="003E5253"/>
    <w:rsid w:val="003E5C32"/>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67C52"/>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28BD"/>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F73"/>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63FD"/>
    <w:rsid w:val="004B7439"/>
    <w:rsid w:val="004C0EA4"/>
    <w:rsid w:val="004C1276"/>
    <w:rsid w:val="004C1BA7"/>
    <w:rsid w:val="004C1C12"/>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064"/>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13D"/>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9"/>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1A59"/>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1A6"/>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07E75"/>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24E3"/>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426"/>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90E"/>
    <w:rsid w:val="00674A79"/>
    <w:rsid w:val="0067589D"/>
    <w:rsid w:val="006758F9"/>
    <w:rsid w:val="00676248"/>
    <w:rsid w:val="00676E64"/>
    <w:rsid w:val="00677C1C"/>
    <w:rsid w:val="006803AE"/>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671"/>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0B4"/>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797"/>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19A"/>
    <w:rsid w:val="00705F12"/>
    <w:rsid w:val="0070650E"/>
    <w:rsid w:val="007073D1"/>
    <w:rsid w:val="00707648"/>
    <w:rsid w:val="00707B0A"/>
    <w:rsid w:val="007106FD"/>
    <w:rsid w:val="00710A01"/>
    <w:rsid w:val="00710BFF"/>
    <w:rsid w:val="0071180F"/>
    <w:rsid w:val="007118F0"/>
    <w:rsid w:val="0071194E"/>
    <w:rsid w:val="00711C9A"/>
    <w:rsid w:val="00712527"/>
    <w:rsid w:val="00713A83"/>
    <w:rsid w:val="007149F4"/>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0A"/>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92E"/>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1F8"/>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986"/>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4F54"/>
    <w:rsid w:val="00795469"/>
    <w:rsid w:val="00795CDC"/>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AC7"/>
    <w:rsid w:val="007B5232"/>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6F9"/>
    <w:rsid w:val="007E45CF"/>
    <w:rsid w:val="007E611C"/>
    <w:rsid w:val="007E614B"/>
    <w:rsid w:val="007E61FB"/>
    <w:rsid w:val="007E63C7"/>
    <w:rsid w:val="007E7055"/>
    <w:rsid w:val="007E7368"/>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8D6"/>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A56"/>
    <w:rsid w:val="00811CD1"/>
    <w:rsid w:val="00812556"/>
    <w:rsid w:val="008128A7"/>
    <w:rsid w:val="0081322E"/>
    <w:rsid w:val="00813552"/>
    <w:rsid w:val="0081546B"/>
    <w:rsid w:val="008154F0"/>
    <w:rsid w:val="00815EF9"/>
    <w:rsid w:val="008163C1"/>
    <w:rsid w:val="00816781"/>
    <w:rsid w:val="008200A3"/>
    <w:rsid w:val="00820AFB"/>
    <w:rsid w:val="008216F7"/>
    <w:rsid w:val="008217F2"/>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940"/>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6B2"/>
    <w:rsid w:val="00896A8A"/>
    <w:rsid w:val="00897B89"/>
    <w:rsid w:val="008A0C58"/>
    <w:rsid w:val="008A119F"/>
    <w:rsid w:val="008A3363"/>
    <w:rsid w:val="008A4F3D"/>
    <w:rsid w:val="008A59F2"/>
    <w:rsid w:val="008A616E"/>
    <w:rsid w:val="008A69A5"/>
    <w:rsid w:val="008A6EBD"/>
    <w:rsid w:val="008A7371"/>
    <w:rsid w:val="008A7CE9"/>
    <w:rsid w:val="008A7F47"/>
    <w:rsid w:val="008A7FFC"/>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1E61"/>
    <w:rsid w:val="008C25A0"/>
    <w:rsid w:val="008C2679"/>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415"/>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1BC0"/>
    <w:rsid w:val="0093201B"/>
    <w:rsid w:val="00932CAA"/>
    <w:rsid w:val="00934393"/>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4E3"/>
    <w:rsid w:val="00972A96"/>
    <w:rsid w:val="009736C5"/>
    <w:rsid w:val="009737E1"/>
    <w:rsid w:val="00973DD5"/>
    <w:rsid w:val="00973E19"/>
    <w:rsid w:val="009740D5"/>
    <w:rsid w:val="00975D9D"/>
    <w:rsid w:val="00975FA1"/>
    <w:rsid w:val="0097600A"/>
    <w:rsid w:val="00976010"/>
    <w:rsid w:val="009763D6"/>
    <w:rsid w:val="00976AB5"/>
    <w:rsid w:val="00976E97"/>
    <w:rsid w:val="00980A11"/>
    <w:rsid w:val="00980AC5"/>
    <w:rsid w:val="0098136D"/>
    <w:rsid w:val="009816F4"/>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0C0"/>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407"/>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C92"/>
    <w:rsid w:val="00A06EB8"/>
    <w:rsid w:val="00A07CF3"/>
    <w:rsid w:val="00A1129E"/>
    <w:rsid w:val="00A12D3F"/>
    <w:rsid w:val="00A131C0"/>
    <w:rsid w:val="00A1320F"/>
    <w:rsid w:val="00A132ED"/>
    <w:rsid w:val="00A13483"/>
    <w:rsid w:val="00A13E15"/>
    <w:rsid w:val="00A14098"/>
    <w:rsid w:val="00A1487A"/>
    <w:rsid w:val="00A149AF"/>
    <w:rsid w:val="00A1553C"/>
    <w:rsid w:val="00A156CD"/>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4F6"/>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329"/>
    <w:rsid w:val="00A7163A"/>
    <w:rsid w:val="00A71698"/>
    <w:rsid w:val="00A72360"/>
    <w:rsid w:val="00A72986"/>
    <w:rsid w:val="00A7349E"/>
    <w:rsid w:val="00A7386D"/>
    <w:rsid w:val="00A7399F"/>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928"/>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80C"/>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405"/>
    <w:rsid w:val="00B00555"/>
    <w:rsid w:val="00B013CA"/>
    <w:rsid w:val="00B01CA9"/>
    <w:rsid w:val="00B01EBF"/>
    <w:rsid w:val="00B02C05"/>
    <w:rsid w:val="00B03045"/>
    <w:rsid w:val="00B04081"/>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0EF5"/>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24C"/>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47D3"/>
    <w:rsid w:val="00C04958"/>
    <w:rsid w:val="00C04DB2"/>
    <w:rsid w:val="00C04F48"/>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4A9"/>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7E02"/>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B7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7E7"/>
    <w:rsid w:val="00DC1B10"/>
    <w:rsid w:val="00DC2105"/>
    <w:rsid w:val="00DC2E33"/>
    <w:rsid w:val="00DC33F6"/>
    <w:rsid w:val="00DC4815"/>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329"/>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8"/>
    <w:rsid w:val="00E331DA"/>
    <w:rsid w:val="00E33D4F"/>
    <w:rsid w:val="00E33FB9"/>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77E"/>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355D"/>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95"/>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45D"/>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019"/>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291"/>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1E2A"/>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F5E"/>
    <w:rsid w:val="00F72213"/>
    <w:rsid w:val="00F7268E"/>
    <w:rsid w:val="00F7312B"/>
    <w:rsid w:val="00F731B0"/>
    <w:rsid w:val="00F73664"/>
    <w:rsid w:val="00F738CC"/>
    <w:rsid w:val="00F7395A"/>
    <w:rsid w:val="00F73BA6"/>
    <w:rsid w:val="00F74127"/>
    <w:rsid w:val="00F74276"/>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36DB"/>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D17E02"/>
    <w:rPr>
      <w:sz w:val="16"/>
      <w:szCs w:val="16"/>
    </w:rPr>
  </w:style>
  <w:style w:type="paragraph" w:styleId="Commentaire">
    <w:name w:val="annotation text"/>
    <w:basedOn w:val="Normal"/>
    <w:link w:val="CommentaireCar"/>
    <w:uiPriority w:val="99"/>
    <w:semiHidden/>
    <w:unhideWhenUsed/>
    <w:rsid w:val="00D17E02"/>
    <w:rPr>
      <w:sz w:val="20"/>
      <w:szCs w:val="20"/>
    </w:rPr>
  </w:style>
  <w:style w:type="character" w:customStyle="1" w:styleId="CommentaireCar">
    <w:name w:val="Commentaire Car"/>
    <w:basedOn w:val="Policepardfaut"/>
    <w:link w:val="Commentaire"/>
    <w:uiPriority w:val="99"/>
    <w:semiHidden/>
    <w:rsid w:val="00D17E0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D17E02"/>
    <w:rPr>
      <w:b/>
      <w:bCs/>
    </w:rPr>
  </w:style>
  <w:style w:type="character" w:customStyle="1" w:styleId="ObjetducommentaireCar">
    <w:name w:val="Objet du commentaire Car"/>
    <w:basedOn w:val="CommentaireCar"/>
    <w:link w:val="Objetducommentaire"/>
    <w:uiPriority w:val="99"/>
    <w:semiHidden/>
    <w:rsid w:val="00D17E02"/>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D17E02"/>
    <w:rPr>
      <w:sz w:val="16"/>
      <w:szCs w:val="16"/>
    </w:rPr>
  </w:style>
  <w:style w:type="paragraph" w:styleId="Commentaire">
    <w:name w:val="annotation text"/>
    <w:basedOn w:val="Normal"/>
    <w:link w:val="CommentaireCar"/>
    <w:uiPriority w:val="99"/>
    <w:semiHidden/>
    <w:unhideWhenUsed/>
    <w:rsid w:val="00D17E02"/>
    <w:rPr>
      <w:sz w:val="20"/>
      <w:szCs w:val="20"/>
    </w:rPr>
  </w:style>
  <w:style w:type="character" w:customStyle="1" w:styleId="CommentaireCar">
    <w:name w:val="Commentaire Car"/>
    <w:basedOn w:val="Policepardfaut"/>
    <w:link w:val="Commentaire"/>
    <w:uiPriority w:val="99"/>
    <w:semiHidden/>
    <w:rsid w:val="00D17E0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D17E02"/>
    <w:rPr>
      <w:b/>
      <w:bCs/>
    </w:rPr>
  </w:style>
  <w:style w:type="character" w:customStyle="1" w:styleId="ObjetducommentaireCar">
    <w:name w:val="Objet du commentaire Car"/>
    <w:basedOn w:val="CommentaireCar"/>
    <w:link w:val="Objetducommentaire"/>
    <w:uiPriority w:val="99"/>
    <w:semiHidden/>
    <w:rsid w:val="00D17E02"/>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0476">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708408993">
      <w:bodyDiv w:val="1"/>
      <w:marLeft w:val="0"/>
      <w:marRight w:val="0"/>
      <w:marTop w:val="0"/>
      <w:marBottom w:val="0"/>
      <w:divBdr>
        <w:top w:val="none" w:sz="0" w:space="0" w:color="auto"/>
        <w:left w:val="none" w:sz="0" w:space="0" w:color="auto"/>
        <w:bottom w:val="none" w:sz="0" w:space="0" w:color="auto"/>
        <w:right w:val="none" w:sz="0" w:space="0" w:color="auto"/>
      </w:divBdr>
    </w:div>
    <w:div w:id="920601764">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D72C-6CB8-4909-AB75-6FD4B6C6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10</Pages>
  <Words>3727</Words>
  <Characters>20504</Characters>
  <Application>Microsoft Office Word</Application>
  <DocSecurity>0</DocSecurity>
  <Lines>170</Lines>
  <Paragraphs>48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27</cp:revision>
  <cp:lastPrinted>2016-11-30T18:59:00Z</cp:lastPrinted>
  <dcterms:created xsi:type="dcterms:W3CDTF">2016-11-16T18:08:00Z</dcterms:created>
  <dcterms:modified xsi:type="dcterms:W3CDTF">2017-03-17T10:22:00Z</dcterms:modified>
</cp:coreProperties>
</file>