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04" w:rsidRPr="00452004" w:rsidRDefault="00452004" w:rsidP="0045200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45200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52004">
        <w:rPr>
          <w:rFonts w:ascii="Calibri" w:eastAsia="Calibri" w:hAnsi="Calibri" w:cs="Calibri"/>
          <w:color w:val="222222"/>
          <w:sz w:val="18"/>
          <w:szCs w:val="18"/>
          <w:lang w:val="es-CO" w:eastAsia="fr-FR"/>
        </w:rPr>
        <w:t> </w:t>
      </w:r>
    </w:p>
    <w:p w:rsidR="00452004" w:rsidRPr="00452004" w:rsidRDefault="00452004" w:rsidP="00452004">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452004">
        <w:rPr>
          <w:rFonts w:ascii="Calibri" w:hAnsi="Calibri" w:cs="Calibri"/>
          <w:color w:val="222222"/>
          <w:sz w:val="18"/>
          <w:szCs w:val="18"/>
          <w:lang w:val="es-CO" w:eastAsia="fr-FR"/>
        </w:rPr>
        <w:t>Providencia:</w:t>
      </w:r>
      <w:r w:rsidRPr="00452004">
        <w:rPr>
          <w:rFonts w:ascii="Calibri" w:hAnsi="Calibri" w:cs="Calibri"/>
          <w:color w:val="222222"/>
          <w:sz w:val="18"/>
          <w:szCs w:val="18"/>
          <w:lang w:val="es-CO" w:eastAsia="fr-FR"/>
        </w:rPr>
        <w:tab/>
        <w:t>SENTENCIA DE TUTELA –1ª Instancia – 02 de diciembre de 2016</w:t>
      </w:r>
    </w:p>
    <w:p w:rsidR="00452004" w:rsidRPr="00452004" w:rsidRDefault="00452004" w:rsidP="00452004">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452004">
        <w:rPr>
          <w:rFonts w:ascii="Calibri" w:eastAsia="Calibri" w:hAnsi="Calibri" w:cs="Calibri"/>
          <w:color w:val="222222"/>
          <w:sz w:val="18"/>
          <w:szCs w:val="18"/>
          <w:lang w:val="es-CO" w:eastAsia="fr-FR"/>
        </w:rPr>
        <w:t>Radicación Nro. :</w:t>
      </w:r>
      <w:r w:rsidRPr="00452004">
        <w:rPr>
          <w:rFonts w:ascii="Calibri" w:eastAsia="Calibri" w:hAnsi="Calibri" w:cs="Calibri"/>
          <w:color w:val="222222"/>
          <w:sz w:val="18"/>
          <w:szCs w:val="18"/>
          <w:lang w:val="es-CO" w:eastAsia="fr-FR"/>
        </w:rPr>
        <w:tab/>
        <w:t xml:space="preserve">  </w:t>
      </w:r>
      <w:r w:rsidRPr="00452004">
        <w:rPr>
          <w:rFonts w:ascii="Calibri" w:eastAsia="Calibri" w:hAnsi="Calibri" w:cs="Calibri"/>
          <w:color w:val="222222"/>
          <w:sz w:val="18"/>
          <w:szCs w:val="18"/>
          <w:lang w:val="es-CO" w:eastAsia="fr-FR"/>
        </w:rPr>
        <w:tab/>
      </w:r>
      <w:r w:rsidRPr="00452004">
        <w:rPr>
          <w:rFonts w:ascii="Calibri" w:eastAsia="Calibri" w:hAnsi="Calibri" w:cs="Calibri"/>
          <w:color w:val="222222"/>
          <w:sz w:val="18"/>
          <w:szCs w:val="18"/>
          <w:lang w:eastAsia="fr-FR"/>
        </w:rPr>
        <w:t>2016-01030-00</w:t>
      </w:r>
    </w:p>
    <w:p w:rsidR="00452004" w:rsidRPr="00452004" w:rsidRDefault="00452004" w:rsidP="00452004">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452004">
        <w:rPr>
          <w:rFonts w:ascii="Calibri" w:eastAsia="Calibri" w:hAnsi="Calibri" w:cs="Calibri"/>
          <w:color w:val="222222"/>
          <w:sz w:val="18"/>
          <w:szCs w:val="18"/>
          <w:lang w:val="es-CO" w:eastAsia="fr-FR"/>
        </w:rPr>
        <w:t>Accionante:</w:t>
      </w:r>
      <w:r w:rsidRPr="00452004">
        <w:rPr>
          <w:rFonts w:ascii="Calibri" w:eastAsia="Calibri" w:hAnsi="Calibri" w:cs="Calibri"/>
          <w:color w:val="222222"/>
          <w:sz w:val="18"/>
          <w:szCs w:val="18"/>
          <w:lang w:val="es-CO" w:eastAsia="fr-FR"/>
        </w:rPr>
        <w:tab/>
      </w:r>
      <w:r w:rsidRPr="00452004">
        <w:rPr>
          <w:rFonts w:ascii="Calibri" w:eastAsia="Calibri" w:hAnsi="Calibri" w:cs="Calibri"/>
          <w:color w:val="222222"/>
          <w:sz w:val="18"/>
          <w:szCs w:val="18"/>
          <w:lang w:val="es-CO" w:eastAsia="fr-FR"/>
        </w:rPr>
        <w:tab/>
      </w:r>
      <w:r w:rsidRPr="00452004">
        <w:rPr>
          <w:rFonts w:ascii="Calibri" w:eastAsia="Calibri" w:hAnsi="Calibri" w:cs="Calibri"/>
          <w:bCs/>
          <w:color w:val="222222"/>
          <w:sz w:val="18"/>
          <w:szCs w:val="18"/>
          <w:lang w:eastAsia="fr-FR"/>
        </w:rPr>
        <w:t xml:space="preserve">MANUEL </w:t>
      </w:r>
      <w:proofErr w:type="spellStart"/>
      <w:r w:rsidRPr="00452004">
        <w:rPr>
          <w:rFonts w:ascii="Calibri" w:eastAsia="Calibri" w:hAnsi="Calibri" w:cs="Calibri"/>
          <w:bCs/>
          <w:color w:val="222222"/>
          <w:sz w:val="18"/>
          <w:szCs w:val="18"/>
          <w:lang w:eastAsia="fr-FR"/>
        </w:rPr>
        <w:t>ANTONIIO</w:t>
      </w:r>
      <w:proofErr w:type="spellEnd"/>
      <w:r w:rsidRPr="00452004">
        <w:rPr>
          <w:rFonts w:ascii="Calibri" w:eastAsia="Calibri" w:hAnsi="Calibri" w:cs="Calibri"/>
          <w:bCs/>
          <w:color w:val="222222"/>
          <w:sz w:val="18"/>
          <w:szCs w:val="18"/>
          <w:lang w:eastAsia="fr-FR"/>
        </w:rPr>
        <w:t xml:space="preserve"> MORALES NARANJO</w:t>
      </w:r>
    </w:p>
    <w:p w:rsidR="00452004" w:rsidRPr="00452004" w:rsidRDefault="00452004" w:rsidP="00452004">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452004">
        <w:rPr>
          <w:rFonts w:ascii="Calibri" w:eastAsia="Calibri" w:hAnsi="Calibri" w:cs="Calibri"/>
          <w:bCs/>
          <w:color w:val="222222"/>
          <w:sz w:val="18"/>
          <w:szCs w:val="18"/>
          <w:lang w:val="es-ES_tradnl" w:eastAsia="fr-FR"/>
        </w:rPr>
        <w:t>A</w:t>
      </w:r>
      <w:proofErr w:type="spellStart"/>
      <w:r w:rsidRPr="00452004">
        <w:rPr>
          <w:rFonts w:ascii="Calibri" w:eastAsia="Calibri" w:hAnsi="Calibri" w:cs="Calibri"/>
          <w:color w:val="222222"/>
          <w:sz w:val="18"/>
          <w:szCs w:val="18"/>
          <w:lang w:val="es-CO" w:eastAsia="fr-FR"/>
        </w:rPr>
        <w:t>ccionados</w:t>
      </w:r>
      <w:proofErr w:type="spellEnd"/>
      <w:r w:rsidRPr="00452004">
        <w:rPr>
          <w:rFonts w:ascii="Calibri" w:eastAsia="Calibri" w:hAnsi="Calibri" w:cs="Calibri"/>
          <w:color w:val="222222"/>
          <w:sz w:val="18"/>
          <w:szCs w:val="18"/>
          <w:lang w:val="es-CO" w:eastAsia="fr-FR"/>
        </w:rPr>
        <w:t>:</w:t>
      </w:r>
      <w:r w:rsidRPr="00452004">
        <w:rPr>
          <w:rFonts w:ascii="Calibri" w:eastAsia="Calibri" w:hAnsi="Calibri" w:cs="Calibri"/>
          <w:color w:val="222222"/>
          <w:sz w:val="18"/>
          <w:szCs w:val="18"/>
          <w:lang w:val="es-CO" w:eastAsia="fr-FR"/>
        </w:rPr>
        <w:tab/>
        <w:t xml:space="preserve">      </w:t>
      </w:r>
      <w:r w:rsidRPr="00452004">
        <w:rPr>
          <w:rFonts w:ascii="Calibri" w:eastAsia="Calibri" w:hAnsi="Calibri" w:cs="Calibri"/>
          <w:color w:val="222222"/>
          <w:sz w:val="18"/>
          <w:szCs w:val="18"/>
          <w:lang w:val="es-CO" w:eastAsia="fr-FR"/>
        </w:rPr>
        <w:tab/>
        <w:t>OFICINA DE BONOS PENSIONALES DEL MINISTERIO DE HACIENDA Y CRÉDITO PÚBLICO y OTRO</w:t>
      </w:r>
    </w:p>
    <w:p w:rsidR="00452004" w:rsidRPr="00452004" w:rsidRDefault="00452004" w:rsidP="00452004">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452004">
        <w:rPr>
          <w:rFonts w:ascii="Calibri" w:eastAsia="Calibri" w:hAnsi="Calibri" w:cs="Calibri"/>
          <w:color w:val="222222"/>
          <w:sz w:val="18"/>
          <w:szCs w:val="18"/>
          <w:lang w:val="es-CO" w:eastAsia="fr-FR"/>
        </w:rPr>
        <w:t>Proceso:                </w:t>
      </w:r>
      <w:r w:rsidRPr="00452004">
        <w:rPr>
          <w:rFonts w:ascii="Calibri" w:eastAsia="Calibri" w:hAnsi="Calibri" w:cs="Calibri"/>
          <w:color w:val="222222"/>
          <w:sz w:val="18"/>
          <w:szCs w:val="18"/>
          <w:lang w:val="es-CO" w:eastAsia="fr-FR"/>
        </w:rPr>
        <w:tab/>
        <w:t xml:space="preserve">Acción de Tutela – Declara improcedente la acción frente al Ministerio y la carencia actual de objeto frente a </w:t>
      </w:r>
      <w:proofErr w:type="spellStart"/>
      <w:r w:rsidRPr="00452004">
        <w:rPr>
          <w:rFonts w:ascii="Calibri" w:eastAsia="Calibri" w:hAnsi="Calibri" w:cs="Calibri"/>
          <w:color w:val="222222"/>
          <w:sz w:val="18"/>
          <w:szCs w:val="18"/>
          <w:lang w:val="es-CO" w:eastAsia="fr-FR"/>
        </w:rPr>
        <w:t>COLPENSIONES</w:t>
      </w:r>
      <w:proofErr w:type="spellEnd"/>
      <w:r w:rsidRPr="00452004">
        <w:rPr>
          <w:rFonts w:ascii="Calibri" w:eastAsia="Calibri" w:hAnsi="Calibri" w:cs="Calibri"/>
          <w:color w:val="222222"/>
          <w:sz w:val="18"/>
          <w:szCs w:val="18"/>
          <w:lang w:val="es-CO" w:eastAsia="fr-FR"/>
        </w:rPr>
        <w:t xml:space="preserve"> </w:t>
      </w:r>
    </w:p>
    <w:p w:rsidR="00452004" w:rsidRPr="00452004" w:rsidRDefault="00452004" w:rsidP="00452004">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452004">
        <w:rPr>
          <w:rFonts w:ascii="Calibri" w:eastAsia="Calibri" w:hAnsi="Calibri" w:cs="Calibri"/>
          <w:color w:val="222222"/>
          <w:sz w:val="18"/>
          <w:szCs w:val="18"/>
          <w:lang w:val="es-CO" w:eastAsia="fr-FR"/>
        </w:rPr>
        <w:t>Magistrado Ponente: </w:t>
      </w:r>
      <w:r w:rsidRPr="00452004">
        <w:rPr>
          <w:rFonts w:ascii="Calibri" w:eastAsia="Calibri" w:hAnsi="Calibri" w:cs="Calibri"/>
          <w:color w:val="222222"/>
          <w:sz w:val="18"/>
          <w:szCs w:val="18"/>
          <w:lang w:val="es-CO" w:eastAsia="fr-FR"/>
        </w:rPr>
        <w:tab/>
      </w:r>
      <w:proofErr w:type="spellStart"/>
      <w:r w:rsidRPr="00452004">
        <w:rPr>
          <w:rFonts w:ascii="Calibri" w:eastAsia="Calibri" w:hAnsi="Calibri" w:cs="Calibri"/>
          <w:bCs/>
          <w:iCs/>
          <w:color w:val="222222"/>
          <w:sz w:val="18"/>
          <w:szCs w:val="18"/>
          <w:lang w:eastAsia="fr-FR"/>
        </w:rPr>
        <w:t>DUBERNEY</w:t>
      </w:r>
      <w:proofErr w:type="spellEnd"/>
      <w:r w:rsidRPr="00452004">
        <w:rPr>
          <w:rFonts w:ascii="Calibri" w:eastAsia="Calibri" w:hAnsi="Calibri" w:cs="Calibri"/>
          <w:bCs/>
          <w:iCs/>
          <w:color w:val="222222"/>
          <w:sz w:val="18"/>
          <w:szCs w:val="18"/>
          <w:lang w:eastAsia="fr-FR"/>
        </w:rPr>
        <w:t xml:space="preserve"> GRISALES HERRERA</w:t>
      </w:r>
      <w:r w:rsidRPr="00452004">
        <w:rPr>
          <w:rFonts w:ascii="Calibri" w:eastAsia="Calibri" w:hAnsi="Calibri" w:cs="Calibri"/>
          <w:bCs/>
          <w:iCs/>
          <w:color w:val="222222"/>
          <w:sz w:val="18"/>
          <w:szCs w:val="18"/>
          <w:lang w:eastAsia="fr-FR"/>
        </w:rPr>
        <w:tab/>
      </w:r>
    </w:p>
    <w:p w:rsidR="00452004" w:rsidRPr="00452004" w:rsidRDefault="00452004" w:rsidP="00452004">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452004" w:rsidRPr="00452004" w:rsidRDefault="00452004" w:rsidP="00452004">
      <w:pPr>
        <w:widowControl/>
        <w:shd w:val="clear" w:color="auto" w:fill="FFFFFF"/>
        <w:autoSpaceDE/>
        <w:autoSpaceDN/>
        <w:adjustRightInd/>
        <w:spacing w:after="200"/>
        <w:jc w:val="both"/>
        <w:rPr>
          <w:rFonts w:ascii="Calibri" w:eastAsia="Calibri" w:hAnsi="Calibri" w:cs="Calibri"/>
          <w:bCs/>
          <w:color w:val="222222"/>
          <w:sz w:val="18"/>
          <w:szCs w:val="18"/>
          <w:lang w:val="es-ES_tradnl" w:eastAsia="fr-FR"/>
        </w:rPr>
      </w:pPr>
      <w:r w:rsidRPr="00452004">
        <w:rPr>
          <w:rFonts w:ascii="Calibri" w:eastAsia="Calibri" w:hAnsi="Calibri" w:cs="Calibri"/>
          <w:b/>
          <w:bCs/>
          <w:color w:val="222222"/>
          <w:sz w:val="18"/>
          <w:szCs w:val="18"/>
          <w:lang w:val="es-CO" w:eastAsia="fr-FR"/>
        </w:rPr>
        <w:t>Temas:</w:t>
      </w:r>
      <w:r w:rsidRPr="00452004">
        <w:rPr>
          <w:rFonts w:ascii="Calibri" w:eastAsia="Calibri" w:hAnsi="Calibri" w:cs="Calibri"/>
          <w:b/>
          <w:bCs/>
          <w:color w:val="222222"/>
          <w:sz w:val="18"/>
          <w:szCs w:val="18"/>
          <w:lang w:val="es-CO" w:eastAsia="fr-FR"/>
        </w:rPr>
        <w:tab/>
      </w:r>
      <w:r w:rsidRPr="00452004">
        <w:rPr>
          <w:rFonts w:ascii="Calibri" w:eastAsia="Calibri" w:hAnsi="Calibri" w:cs="Calibri"/>
          <w:b/>
          <w:bCs/>
          <w:color w:val="222222"/>
          <w:sz w:val="18"/>
          <w:szCs w:val="18"/>
          <w:lang w:val="es-CO" w:eastAsia="fr-FR"/>
        </w:rPr>
        <w:tab/>
      </w:r>
      <w:r w:rsidRPr="00452004">
        <w:rPr>
          <w:rFonts w:ascii="Calibri" w:eastAsia="Calibri" w:hAnsi="Calibri" w:cs="Calibri"/>
          <w:b/>
          <w:bCs/>
          <w:color w:val="222222"/>
          <w:sz w:val="18"/>
          <w:szCs w:val="18"/>
          <w:lang w:val="es-CO" w:eastAsia="fr-FR"/>
        </w:rPr>
        <w:tab/>
        <w:t xml:space="preserve">DERECHO DE PETICIÓN / TRASLADO DE RÉGIMEN PENSIONAL / FALTA DE LEGITIMACIÓN POR PASIVA / HECHO SUPERADO. </w:t>
      </w:r>
      <w:r w:rsidRPr="00452004">
        <w:rPr>
          <w:rFonts w:ascii="Calibri" w:eastAsia="Calibri" w:hAnsi="Calibri" w:cs="Calibri"/>
          <w:bCs/>
          <w:color w:val="222222"/>
          <w:sz w:val="18"/>
          <w:szCs w:val="18"/>
          <w:lang w:val="es-CO" w:eastAsia="fr-FR"/>
        </w:rPr>
        <w:t>“</w:t>
      </w:r>
      <w:r w:rsidRPr="00452004">
        <w:rPr>
          <w:rFonts w:ascii="Calibri" w:eastAsia="Calibri" w:hAnsi="Calibri" w:cs="Calibri"/>
          <w:bCs/>
          <w:color w:val="222222"/>
          <w:sz w:val="18"/>
          <w:szCs w:val="18"/>
          <w:lang w:eastAsia="fr-FR"/>
        </w:rPr>
        <w:t xml:space="preserve">En el extremo pasivo (…) [n]o sucede lo mismo con la Oficina de Bonos Pensionales del Ministerio de Hacienda y Crédito Público,  porque no le corresponde atender temas relacionados con el traslado de régimen y tampoco ha sido destinataria de solicitud alguna, por lo tanto, se declarará improcedente el amparo constitucional en su contra. (…) </w:t>
      </w:r>
      <w:r w:rsidRPr="00452004">
        <w:rPr>
          <w:rFonts w:ascii="Calibri" w:eastAsia="Calibri" w:hAnsi="Calibri" w:cs="Calibri"/>
          <w:bCs/>
          <w:color w:val="222222"/>
          <w:sz w:val="18"/>
          <w:szCs w:val="18"/>
          <w:lang w:val="es-ES_tradnl" w:eastAsia="fr-FR"/>
        </w:rPr>
        <w:t xml:space="preserve">Pretendía el accionante que se ordenara efectuar el traslado de régimen pensional de </w:t>
      </w:r>
      <w:proofErr w:type="spellStart"/>
      <w:r w:rsidRPr="00452004">
        <w:rPr>
          <w:rFonts w:ascii="Calibri" w:eastAsia="Calibri" w:hAnsi="Calibri" w:cs="Calibri"/>
          <w:bCs/>
          <w:color w:val="222222"/>
          <w:sz w:val="18"/>
          <w:szCs w:val="18"/>
          <w:lang w:val="es-ES_tradnl" w:eastAsia="fr-FR"/>
        </w:rPr>
        <w:t>Colpensiones</w:t>
      </w:r>
      <w:proofErr w:type="spellEnd"/>
      <w:r w:rsidRPr="00452004">
        <w:rPr>
          <w:rFonts w:ascii="Calibri" w:eastAsia="Calibri" w:hAnsi="Calibri" w:cs="Calibri"/>
          <w:bCs/>
          <w:color w:val="222222"/>
          <w:sz w:val="18"/>
          <w:szCs w:val="18"/>
          <w:lang w:val="es-ES_tradnl" w:eastAsia="fr-FR"/>
        </w:rPr>
        <w:t xml:space="preserve"> a la AFP Protección, solicitado el día 01-03-2015, y </w:t>
      </w:r>
      <w:r w:rsidRPr="00452004">
        <w:rPr>
          <w:rFonts w:ascii="Calibri" w:eastAsia="Calibri" w:hAnsi="Calibri" w:cs="Calibri"/>
          <w:bCs/>
          <w:color w:val="222222"/>
          <w:sz w:val="18"/>
          <w:szCs w:val="18"/>
          <w:lang w:val="es-CO" w:eastAsia="fr-FR"/>
        </w:rPr>
        <w:t>según lo informan la AFP (Folios 23 a 25, ib.) y la Oficina de Bonos Pensionales del Ministerio de Hacienda y Crédito Público (Folio 13 vto., ib.), el mismo se realizó el día 02-09-2016, afirmación que el actor así lo reconoce (Folio 7, ib.).</w:t>
      </w:r>
      <w:r w:rsidRPr="00452004">
        <w:rPr>
          <w:rFonts w:ascii="Calibri" w:eastAsia="Calibri" w:hAnsi="Calibri" w:cs="Calibri"/>
          <w:bCs/>
          <w:color w:val="222222"/>
          <w:sz w:val="18"/>
          <w:szCs w:val="18"/>
          <w:lang w:val="es-ES_tradnl" w:eastAsia="fr-FR"/>
        </w:rPr>
        <w:t xml:space="preserve"> </w:t>
      </w:r>
      <w:r w:rsidRPr="00452004">
        <w:rPr>
          <w:rFonts w:ascii="Calibri" w:eastAsia="Calibri" w:hAnsi="Calibri" w:cs="Calibri"/>
          <w:bCs/>
          <w:color w:val="222222"/>
          <w:sz w:val="18"/>
          <w:szCs w:val="18"/>
          <w:lang w:val="es-CO" w:eastAsia="fr-FR"/>
        </w:rPr>
        <w:t xml:space="preserve">Por lo tanto, si hubo vulneración o amenaza de los derechos fundamentales, cesó; en consecuencia </w:t>
      </w:r>
      <w:r w:rsidRPr="00452004">
        <w:rPr>
          <w:rFonts w:ascii="Calibri" w:eastAsia="Calibri" w:hAnsi="Calibri" w:cs="Calibri"/>
          <w:bCs/>
          <w:color w:val="222222"/>
          <w:sz w:val="18"/>
          <w:szCs w:val="18"/>
          <w:lang w:val="es-ES_tradnl" w:eastAsia="fr-FR"/>
        </w:rPr>
        <w:t xml:space="preserve">no hay objeto jurídico sobre el cual fallar y la decisión que se adopte resultará inocua. De esta manera, se configura el hecho superado, pues la aludida pretensión se encuentra satisfecha y los derechos a salvo. </w:t>
      </w:r>
      <w:r w:rsidRPr="00452004">
        <w:rPr>
          <w:rFonts w:ascii="Calibri" w:eastAsia="Calibri" w:hAnsi="Calibri" w:cs="Calibri"/>
          <w:bCs/>
          <w:color w:val="222222"/>
          <w:sz w:val="18"/>
          <w:szCs w:val="18"/>
          <w:lang w:val="es-CO" w:eastAsia="fr-FR"/>
        </w:rPr>
        <w:t>No obstante lo anterior, es preciso resaltar que es inviable adelantar el estudio referente al reconocimiento y pago de la pensión familiar que refiere el accionante en el escrito arrimado ante esta instancia (Folio 7, ib.), porque no fue precisamente una pretensión de la tutela, que si se pasara por alto, implicaría atentar contra el derecho de defensa de las accionadas.</w:t>
      </w:r>
      <w:r w:rsidRPr="00452004">
        <w:rPr>
          <w:rFonts w:ascii="Arial" w:hAnsi="Arial" w:cs="Times New Roman"/>
          <w:spacing w:val="-3"/>
          <w:lang w:val="es-ES_tradnl"/>
        </w:rPr>
        <w:t xml:space="preserve"> </w:t>
      </w:r>
      <w:r w:rsidRPr="00452004">
        <w:rPr>
          <w:rFonts w:ascii="Calibri" w:eastAsia="Calibri" w:hAnsi="Calibri" w:cs="Calibri"/>
          <w:bCs/>
          <w:color w:val="222222"/>
          <w:sz w:val="18"/>
          <w:szCs w:val="18"/>
          <w:lang w:val="es-ES_tradnl" w:eastAsia="fr-FR"/>
        </w:rPr>
        <w:t xml:space="preserve">En todo caso, si en cuenta se tiene que la solicitud relacionada con dicho trámite fue radicada por la señora María del Carmen González Suárez con anterioridad a que se solicitara el traslado de régimen (Folio 12, cuaderno </w:t>
      </w:r>
      <w:proofErr w:type="spellStart"/>
      <w:r w:rsidRPr="00452004">
        <w:rPr>
          <w:rFonts w:ascii="Calibri" w:eastAsia="Calibri" w:hAnsi="Calibri" w:cs="Calibri"/>
          <w:bCs/>
          <w:color w:val="222222"/>
          <w:sz w:val="18"/>
          <w:szCs w:val="18"/>
          <w:lang w:val="es-ES_tradnl" w:eastAsia="fr-FR"/>
        </w:rPr>
        <w:t>No.1</w:t>
      </w:r>
      <w:proofErr w:type="spellEnd"/>
      <w:r w:rsidRPr="00452004">
        <w:rPr>
          <w:rFonts w:ascii="Calibri" w:eastAsia="Calibri" w:hAnsi="Calibri" w:cs="Calibri"/>
          <w:bCs/>
          <w:color w:val="222222"/>
          <w:sz w:val="18"/>
          <w:szCs w:val="18"/>
          <w:lang w:val="es-ES_tradnl" w:eastAsia="fr-FR"/>
        </w:rPr>
        <w:t xml:space="preserve">), se advierte con claridad la inexistencia de vulneración o amenaza endilgada, dada la premura de aquel pedimento, sin que aún se haya hecho efectivo el traslado, indispensable para que la AFP inicie el trámite administrativo de reconocimiento.”. </w:t>
      </w:r>
    </w:p>
    <w:p w:rsidR="00452004" w:rsidRPr="00452004" w:rsidRDefault="00452004" w:rsidP="00452004">
      <w:pPr>
        <w:widowControl/>
        <w:autoSpaceDE/>
        <w:autoSpaceDN/>
        <w:adjustRightInd/>
        <w:jc w:val="both"/>
        <w:rPr>
          <w:rFonts w:ascii="Calibri" w:eastAsia="Calibri" w:hAnsi="Calibri" w:cs="Calibri"/>
          <w:color w:val="000000"/>
          <w:sz w:val="18"/>
          <w:szCs w:val="18"/>
          <w:bdr w:val="none" w:sz="0" w:space="0" w:color="auto" w:frame="1"/>
          <w:lang w:val="es-CO" w:eastAsia="en-US"/>
        </w:rPr>
      </w:pPr>
      <w:r w:rsidRPr="00452004">
        <w:rPr>
          <w:rFonts w:ascii="Calibri" w:eastAsia="Calibri" w:hAnsi="Calibri" w:cs="Calibri"/>
          <w:b/>
          <w:bCs/>
          <w:color w:val="222222"/>
          <w:sz w:val="18"/>
          <w:szCs w:val="18"/>
          <w:lang w:val="es-ES_tradnl" w:eastAsia="fr-FR"/>
        </w:rPr>
        <w:t>Citación Jurisprudencial:</w:t>
      </w:r>
      <w:r w:rsidRPr="00452004">
        <w:rPr>
          <w:rFonts w:ascii="Calibri" w:eastAsia="Calibri" w:hAnsi="Calibri" w:cs="Calibri"/>
          <w:bCs/>
          <w:color w:val="222222"/>
          <w:sz w:val="18"/>
          <w:szCs w:val="18"/>
          <w:lang w:val="es-ES_tradnl" w:eastAsia="fr-FR"/>
        </w:rPr>
        <w:t xml:space="preserve"> CORTE CONSTITUCIONAL, Se</w:t>
      </w:r>
      <w:r w:rsidRPr="00452004">
        <w:rPr>
          <w:rFonts w:ascii="Calibri" w:eastAsia="Calibri" w:hAnsi="Calibri" w:cs="Calibri"/>
          <w:bCs/>
          <w:sz w:val="18"/>
          <w:szCs w:val="18"/>
          <w:lang w:val="es-ES_tradnl" w:eastAsia="fr-FR"/>
        </w:rPr>
        <w:t xml:space="preserve">ntencia </w:t>
      </w:r>
      <w:hyperlink r:id="rId9" w:history="1">
        <w:r w:rsidRPr="00452004">
          <w:rPr>
            <w:rFonts w:ascii="Calibri" w:eastAsia="Calibri" w:hAnsi="Calibri" w:cs="Calibri"/>
            <w:bCs/>
            <w:sz w:val="18"/>
            <w:szCs w:val="18"/>
            <w:lang w:val="es-ES_tradnl" w:eastAsia="fr-FR"/>
          </w:rPr>
          <w:t> SU-499 de 2016</w:t>
        </w:r>
      </w:hyperlink>
      <w:r w:rsidRPr="00452004">
        <w:rPr>
          <w:rFonts w:ascii="Calibri" w:eastAsia="Calibri" w:hAnsi="Calibri" w:cs="Calibri"/>
          <w:bCs/>
          <w:sz w:val="18"/>
          <w:szCs w:val="18"/>
          <w:lang w:val="es-ES_tradnl" w:eastAsia="fr-FR"/>
        </w:rPr>
        <w:t xml:space="preserve"> / </w:t>
      </w:r>
      <w:r w:rsidRPr="00452004">
        <w:rPr>
          <w:rFonts w:ascii="Calibri" w:eastAsia="Calibri" w:hAnsi="Calibri" w:cs="Calibri"/>
          <w:sz w:val="18"/>
          <w:szCs w:val="18"/>
          <w:lang w:val="es-ES_tradnl" w:eastAsia="en-US"/>
        </w:rPr>
        <w:t xml:space="preserve">Sentencia T-217 de 2013 / Sentencia T-600 de 2002 / Sentencia T-046 de 1995 / Sentencia T-100 de 1994 / Sentencia T-256 de 1995 / Sentencia T-325 de 1995 / Sentencia T-455 de 1996 / Sentencia T-459 de 1996 / Sentencia T-083 de 1997 / Sentencia SU-133 de 1998 </w:t>
      </w:r>
      <w:r w:rsidRPr="00452004">
        <w:rPr>
          <w:rFonts w:ascii="Calibri" w:eastAsia="Calibri" w:hAnsi="Calibri" w:cs="Calibri"/>
          <w:sz w:val="18"/>
          <w:szCs w:val="18"/>
          <w:lang w:val="es-CO" w:eastAsia="en-US"/>
        </w:rPr>
        <w:t xml:space="preserve">/ Sentencia T-225 de 1993 </w:t>
      </w:r>
      <w:r w:rsidRPr="00452004">
        <w:rPr>
          <w:rFonts w:ascii="Calibri" w:eastAsia="Calibri" w:hAnsi="Calibri" w:cs="Calibri"/>
          <w:sz w:val="18"/>
          <w:szCs w:val="18"/>
          <w:lang w:val="es-ES_tradnl" w:eastAsia="en-US"/>
        </w:rPr>
        <w:t>/ Sentencia T-970 de 2014 / Sentencia</w:t>
      </w:r>
      <w:r w:rsidRPr="00452004">
        <w:rPr>
          <w:rFonts w:ascii="Calibri" w:eastAsia="Calibri" w:hAnsi="Calibri" w:cs="Calibri"/>
          <w:bCs/>
          <w:sz w:val="18"/>
          <w:szCs w:val="18"/>
          <w:lang w:val="es-ES_tradnl" w:eastAsia="en-US"/>
        </w:rPr>
        <w:t xml:space="preserve"> T-011 de 2016 </w:t>
      </w:r>
      <w:r w:rsidRPr="00452004">
        <w:rPr>
          <w:rFonts w:ascii="Calibri" w:eastAsia="Calibri" w:hAnsi="Calibri" w:cs="Calibri"/>
          <w:sz w:val="18"/>
          <w:szCs w:val="18"/>
          <w:lang w:val="es-ES_tradnl" w:eastAsia="en-US"/>
        </w:rPr>
        <w:t xml:space="preserve">/ Sentencia SU-540 de 2007 / Sentencia T-414 de 2005 / Sentencia T-1038 de 2005 / Sentencia T-539 de 2003 / Sentencia </w:t>
      </w:r>
      <w:r w:rsidRPr="00452004">
        <w:rPr>
          <w:rFonts w:ascii="Calibri" w:eastAsia="Calibri" w:hAnsi="Calibri" w:cs="Calibri"/>
          <w:bCs/>
          <w:sz w:val="18"/>
          <w:szCs w:val="18"/>
          <w:lang w:val="es-ES_tradnl" w:eastAsia="en-US"/>
        </w:rPr>
        <w:t xml:space="preserve">T-011 de 2016 </w:t>
      </w:r>
      <w:r w:rsidRPr="00452004">
        <w:rPr>
          <w:rFonts w:ascii="Calibri" w:eastAsia="Calibri" w:hAnsi="Calibri" w:cs="Calibri"/>
          <w:sz w:val="18"/>
          <w:szCs w:val="18"/>
          <w:lang w:val="es-ES_tradnl" w:eastAsia="en-US"/>
        </w:rPr>
        <w:t>/ Sentencia</w:t>
      </w:r>
      <w:r w:rsidRPr="00452004">
        <w:rPr>
          <w:rFonts w:ascii="Calibri" w:eastAsia="Calibri" w:hAnsi="Calibri" w:cs="Calibri"/>
          <w:color w:val="000000"/>
          <w:sz w:val="18"/>
          <w:szCs w:val="18"/>
          <w:bdr w:val="none" w:sz="0" w:space="0" w:color="auto" w:frame="1"/>
          <w:lang w:val="es-CO" w:eastAsia="en-US"/>
        </w:rPr>
        <w:t xml:space="preserve"> T-045 de 2008 </w:t>
      </w:r>
      <w:r w:rsidRPr="00452004">
        <w:rPr>
          <w:rFonts w:ascii="Calibri" w:eastAsia="Calibri" w:hAnsi="Calibri" w:cs="Calibri"/>
          <w:sz w:val="18"/>
          <w:szCs w:val="18"/>
          <w:lang w:val="es-ES_tradnl" w:eastAsia="en-US"/>
        </w:rPr>
        <w:t>/ Sentencia</w:t>
      </w:r>
      <w:r w:rsidRPr="00452004">
        <w:rPr>
          <w:rFonts w:ascii="Calibri" w:eastAsia="Calibri" w:hAnsi="Calibri" w:cs="Calibri"/>
          <w:color w:val="000000"/>
          <w:sz w:val="18"/>
          <w:szCs w:val="18"/>
          <w:bdr w:val="none" w:sz="0" w:space="0" w:color="auto" w:frame="1"/>
          <w:lang w:val="es-CO" w:eastAsia="en-US"/>
        </w:rPr>
        <w:t xml:space="preserve"> T-059 de 2016 </w:t>
      </w:r>
      <w:r w:rsidRPr="00452004">
        <w:rPr>
          <w:rFonts w:ascii="Calibri" w:eastAsia="Calibri" w:hAnsi="Calibri" w:cs="Calibri"/>
          <w:sz w:val="18"/>
          <w:szCs w:val="18"/>
          <w:lang w:val="es-ES_tradnl" w:eastAsia="en-US"/>
        </w:rPr>
        <w:t>/ Sentencia</w:t>
      </w:r>
      <w:r w:rsidRPr="00452004">
        <w:rPr>
          <w:rFonts w:ascii="Calibri" w:eastAsia="Calibri" w:hAnsi="Calibri" w:cs="Calibri"/>
          <w:color w:val="000000"/>
          <w:sz w:val="18"/>
          <w:szCs w:val="18"/>
          <w:bdr w:val="none" w:sz="0" w:space="0" w:color="auto" w:frame="1"/>
          <w:lang w:val="es-CO" w:eastAsia="en-US"/>
        </w:rPr>
        <w:t xml:space="preserve"> T-041 de 2016.</w:t>
      </w:r>
    </w:p>
    <w:p w:rsidR="00452004" w:rsidRPr="00452004" w:rsidRDefault="00452004" w:rsidP="00452004">
      <w:pPr>
        <w:widowControl/>
        <w:autoSpaceDE/>
        <w:autoSpaceDN/>
        <w:adjustRightInd/>
        <w:jc w:val="both"/>
        <w:rPr>
          <w:rFonts w:ascii="Calibri" w:eastAsia="Calibri" w:hAnsi="Calibri" w:cs="Calibri"/>
          <w:b/>
          <w:bCs/>
          <w:color w:val="222222"/>
          <w:sz w:val="18"/>
          <w:szCs w:val="18"/>
          <w:lang w:val="es-ES_tradnl" w:eastAsia="fr-FR"/>
        </w:rPr>
      </w:pPr>
    </w:p>
    <w:p w:rsidR="00452004" w:rsidRPr="00452004" w:rsidRDefault="00452004" w:rsidP="00452004">
      <w:pPr>
        <w:widowControl/>
        <w:autoSpaceDE/>
        <w:autoSpaceDN/>
        <w:adjustRightInd/>
        <w:jc w:val="both"/>
        <w:rPr>
          <w:rFonts w:ascii="Calibri" w:eastAsia="Calibri" w:hAnsi="Calibri" w:cs="Calibri"/>
          <w:b/>
          <w:sz w:val="18"/>
          <w:szCs w:val="18"/>
          <w:lang w:val="es-CO" w:eastAsia="en-US"/>
        </w:rPr>
      </w:pPr>
      <w:r w:rsidRPr="00452004">
        <w:rPr>
          <w:rFonts w:ascii="Calibri" w:eastAsia="Calibri" w:hAnsi="Calibri" w:cs="Calibri"/>
          <w:sz w:val="18"/>
          <w:szCs w:val="18"/>
          <w:lang w:val="es-CO" w:eastAsia="en-US"/>
        </w:rPr>
        <w:t xml:space="preserve">CORTE SUPREMA DE JUSTICIA, </w:t>
      </w:r>
      <w:proofErr w:type="spellStart"/>
      <w:r w:rsidRPr="00452004">
        <w:rPr>
          <w:rFonts w:ascii="Calibri" w:eastAsia="Calibri" w:hAnsi="Calibri" w:cs="Calibri"/>
          <w:sz w:val="18"/>
          <w:szCs w:val="18"/>
          <w:lang w:val="es-CO" w:eastAsia="en-US"/>
        </w:rPr>
        <w:t>SCC</w:t>
      </w:r>
      <w:proofErr w:type="spellEnd"/>
      <w:r w:rsidRPr="00452004">
        <w:rPr>
          <w:rFonts w:ascii="Calibri" w:eastAsia="Calibri" w:hAnsi="Calibri" w:cs="Calibri"/>
          <w:sz w:val="18"/>
          <w:szCs w:val="18"/>
          <w:lang w:val="es-CO" w:eastAsia="en-US"/>
        </w:rPr>
        <w:t xml:space="preserve">, Sentencia </w:t>
      </w:r>
      <w:proofErr w:type="spellStart"/>
      <w:r w:rsidRPr="00452004">
        <w:rPr>
          <w:rFonts w:ascii="Calibri" w:eastAsia="Calibri" w:hAnsi="Calibri" w:cs="Calibri"/>
          <w:sz w:val="18"/>
          <w:szCs w:val="18"/>
          <w:lang w:val="es-CO" w:eastAsia="en-US"/>
        </w:rPr>
        <w:t>STC10329</w:t>
      </w:r>
      <w:proofErr w:type="spellEnd"/>
      <w:r w:rsidRPr="00452004">
        <w:rPr>
          <w:rFonts w:ascii="Calibri" w:eastAsia="Calibri" w:hAnsi="Calibri" w:cs="Calibri"/>
          <w:sz w:val="18"/>
          <w:szCs w:val="18"/>
          <w:lang w:val="es-CO" w:eastAsia="en-US"/>
        </w:rPr>
        <w:t>-2015.</w:t>
      </w:r>
    </w:p>
    <w:p w:rsidR="00452004" w:rsidRPr="00452004" w:rsidRDefault="00452004" w:rsidP="002403C8">
      <w:pPr>
        <w:pStyle w:val="Sansinterligne"/>
        <w:tabs>
          <w:tab w:val="left" w:pos="3579"/>
        </w:tabs>
        <w:spacing w:line="360" w:lineRule="auto"/>
        <w:jc w:val="center"/>
        <w:rPr>
          <w:rFonts w:ascii="Arial" w:hAnsi="Arial" w:cs="Arial"/>
          <w:w w:val="140"/>
          <w:sz w:val="14"/>
          <w:lang w:val="es-CO"/>
        </w:rPr>
      </w:pPr>
    </w:p>
    <w:p w:rsidR="00452004" w:rsidRDefault="00452004"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Corpsdetex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Corpsdetex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r w:rsidR="00575419">
        <w:rPr>
          <w:rFonts w:ascii="Arial" w:hAnsi="Arial" w:cs="Arial"/>
          <w:sz w:val="22"/>
        </w:rPr>
        <w:t>Manuel Antonio Morales Naranjo</w:t>
      </w:r>
    </w:p>
    <w:p w:rsidR="008B5131" w:rsidRDefault="008B5131" w:rsidP="006F6F94">
      <w:pPr>
        <w:pStyle w:val="Corpsdetex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proofErr w:type="spellStart"/>
      <w:r w:rsidR="00575419">
        <w:rPr>
          <w:rFonts w:ascii="Arial" w:hAnsi="Arial" w:cs="Arial"/>
          <w:sz w:val="22"/>
        </w:rPr>
        <w:t>Colpensiones</w:t>
      </w:r>
      <w:proofErr w:type="spellEnd"/>
      <w:r w:rsidR="00575419">
        <w:rPr>
          <w:rFonts w:ascii="Arial" w:hAnsi="Arial" w:cs="Arial"/>
          <w:sz w:val="22"/>
        </w:rPr>
        <w:t xml:space="preserve"> y otro</w:t>
      </w:r>
    </w:p>
    <w:p w:rsidR="00575419" w:rsidRDefault="006F6F94" w:rsidP="006F6F94">
      <w:pPr>
        <w:pStyle w:val="Corpsdetexte"/>
        <w:spacing w:line="360" w:lineRule="auto"/>
        <w:ind w:left="1416"/>
        <w:rPr>
          <w:rFonts w:ascii="Arial" w:hAnsi="Arial" w:cs="Arial"/>
          <w:sz w:val="22"/>
        </w:rPr>
      </w:pPr>
      <w:r>
        <w:rPr>
          <w:rFonts w:ascii="Arial" w:hAnsi="Arial" w:cs="Arial"/>
          <w:sz w:val="22"/>
        </w:rPr>
        <w:t>Litisconsorte (s)</w:t>
      </w:r>
      <w:r>
        <w:rPr>
          <w:rFonts w:ascii="Arial" w:hAnsi="Arial" w:cs="Arial"/>
          <w:sz w:val="22"/>
        </w:rPr>
        <w:tab/>
        <w:t xml:space="preserve">: </w:t>
      </w:r>
      <w:r w:rsidR="00575419">
        <w:rPr>
          <w:rFonts w:ascii="Arial" w:hAnsi="Arial" w:cs="Arial"/>
          <w:sz w:val="22"/>
        </w:rPr>
        <w:t xml:space="preserve">Oficina de Bonos Pensionales del Ministerio de Hacienda y </w:t>
      </w:r>
    </w:p>
    <w:p w:rsidR="006F6F94" w:rsidRDefault="00575419" w:rsidP="006F6F94">
      <w:pPr>
        <w:pStyle w:val="Corpsdetexte"/>
        <w:spacing w:line="360" w:lineRule="auto"/>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575419">
        <w:rPr>
          <w:rFonts w:ascii="Arial" w:hAnsi="Arial" w:cs="Arial"/>
          <w:color w:val="FFFFFF" w:themeColor="background1"/>
          <w:sz w:val="22"/>
        </w:rPr>
        <w:t xml:space="preserve">: </w:t>
      </w:r>
      <w:r>
        <w:rPr>
          <w:rFonts w:ascii="Arial" w:hAnsi="Arial" w:cs="Arial"/>
          <w:sz w:val="22"/>
        </w:rPr>
        <w:t>Crédito Público</w:t>
      </w:r>
    </w:p>
    <w:p w:rsidR="008B5131" w:rsidRPr="008B5131" w:rsidRDefault="008B5131" w:rsidP="008B5131">
      <w:pPr>
        <w:pStyle w:val="Corpsdetex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575419">
        <w:rPr>
          <w:rFonts w:ascii="Arial" w:hAnsi="Arial" w:cs="Arial"/>
          <w:sz w:val="22"/>
        </w:rPr>
        <w:t>01030</w:t>
      </w:r>
      <w:r w:rsidRPr="008B5131">
        <w:rPr>
          <w:rFonts w:ascii="Arial" w:hAnsi="Arial" w:cs="Arial"/>
          <w:sz w:val="22"/>
        </w:rPr>
        <w:t>-00 (Interno No.</w:t>
      </w:r>
      <w:r w:rsidR="00575419">
        <w:rPr>
          <w:rFonts w:ascii="Arial" w:hAnsi="Arial" w:cs="Arial"/>
          <w:sz w:val="22"/>
        </w:rPr>
        <w:t>1030</w:t>
      </w:r>
      <w:r w:rsidRPr="008B5131">
        <w:rPr>
          <w:rFonts w:ascii="Arial" w:hAnsi="Arial" w:cs="Arial"/>
          <w:sz w:val="22"/>
        </w:rPr>
        <w:t>)</w:t>
      </w:r>
    </w:p>
    <w:p w:rsidR="008E5334" w:rsidRPr="00583786" w:rsidRDefault="00970930" w:rsidP="008E5334">
      <w:pPr>
        <w:pStyle w:val="Corpsdetexte"/>
        <w:spacing w:line="360" w:lineRule="auto"/>
        <w:rPr>
          <w:rFonts w:ascii="Arial" w:hAnsi="Arial" w:cs="Arial"/>
          <w:sz w:val="22"/>
          <w:szCs w:val="22"/>
          <w:lang w:val="es-CO"/>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583786">
        <w:rPr>
          <w:rFonts w:ascii="Arial" w:hAnsi="Arial" w:cs="Arial"/>
          <w:sz w:val="20"/>
          <w:szCs w:val="22"/>
        </w:rPr>
        <w:t>Carencia actual de objeto por hecho superado</w:t>
      </w:r>
    </w:p>
    <w:p w:rsidR="0099045D" w:rsidRPr="008B5131" w:rsidRDefault="008E5334" w:rsidP="008E5334">
      <w:pPr>
        <w:pStyle w:val="Corpsdetex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583786">
        <w:rPr>
          <w:rFonts w:ascii="Arial" w:hAnsi="Arial"/>
          <w:sz w:val="22"/>
          <w:szCs w:val="22"/>
        </w:rPr>
        <w:t>573 del 02-12-2016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583786">
        <w:rPr>
          <w:rFonts w:ascii="Arial" w:hAnsi="Arial" w:cs="Arial"/>
          <w:iCs/>
          <w:smallCaps/>
          <w:sz w:val="28"/>
          <w:szCs w:val="28"/>
          <w:lang w:val="es-CO"/>
        </w:rPr>
        <w:t>dos</w:t>
      </w:r>
      <w:r w:rsidR="00575419">
        <w:rPr>
          <w:rFonts w:ascii="Arial" w:hAnsi="Arial" w:cs="Arial"/>
          <w:iCs/>
          <w:smallCaps/>
          <w:sz w:val="28"/>
          <w:szCs w:val="28"/>
          <w:lang w:val="es-CO"/>
        </w:rPr>
        <w:t xml:space="preserve"> </w:t>
      </w:r>
      <w:r w:rsidR="00F80828" w:rsidRPr="00FF0451">
        <w:rPr>
          <w:rFonts w:ascii="Arial" w:hAnsi="Arial" w:cs="Arial"/>
          <w:iCs/>
          <w:smallCaps/>
          <w:sz w:val="28"/>
          <w:szCs w:val="28"/>
          <w:lang w:val="es-CO"/>
        </w:rPr>
        <w:t>(</w:t>
      </w:r>
      <w:r w:rsidR="00583786">
        <w:rPr>
          <w:rFonts w:ascii="Arial" w:hAnsi="Arial" w:cs="Arial"/>
          <w:iCs/>
          <w:smallCaps/>
          <w:sz w:val="28"/>
          <w:szCs w:val="28"/>
          <w:lang w:val="es-CO"/>
        </w:rPr>
        <w:t>2</w:t>
      </w:r>
      <w:r w:rsidRPr="00FF0451">
        <w:rPr>
          <w:rFonts w:ascii="Arial" w:hAnsi="Arial" w:cs="Arial"/>
          <w:iCs/>
          <w:smallCaps/>
          <w:sz w:val="28"/>
          <w:szCs w:val="28"/>
          <w:lang w:val="es-CO"/>
        </w:rPr>
        <w:t xml:space="preserve">) </w:t>
      </w:r>
      <w:r w:rsidR="00575419">
        <w:rPr>
          <w:rFonts w:ascii="Arial" w:hAnsi="Arial" w:cs="Arial"/>
          <w:iCs/>
          <w:smallCaps/>
          <w:sz w:val="28"/>
          <w:szCs w:val="28"/>
          <w:lang w:val="es-CO"/>
        </w:rPr>
        <w:t xml:space="preserve">diciembre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dieciséis</w:t>
      </w:r>
      <w:r w:rsidRPr="00FF0451">
        <w:rPr>
          <w:rFonts w:ascii="Arial" w:hAnsi="Arial" w:cs="Arial"/>
          <w:iCs/>
          <w:smallCaps/>
          <w:sz w:val="28"/>
          <w:szCs w:val="28"/>
          <w:lang w:val="es-CO"/>
        </w:rPr>
        <w:t xml:space="preserve"> (201</w:t>
      </w:r>
      <w:r w:rsidR="008B5131" w:rsidRPr="00FF0451">
        <w:rPr>
          <w:rFonts w:ascii="Arial" w:hAnsi="Arial" w:cs="Arial"/>
          <w:iCs/>
          <w:smallCaps/>
          <w:sz w:val="28"/>
          <w:szCs w:val="28"/>
          <w:lang w:val="es-CO"/>
        </w:rPr>
        <w:t>6</w:t>
      </w:r>
      <w:r w:rsidRPr="00FF0451">
        <w:rPr>
          <w:rFonts w:ascii="Arial" w:hAnsi="Arial" w:cs="Arial"/>
          <w:iCs/>
          <w:smallCaps/>
          <w:sz w:val="28"/>
          <w:szCs w:val="28"/>
          <w:lang w:val="es-CO"/>
        </w:rPr>
        <w:t>)</w:t>
      </w:r>
      <w:r w:rsidRPr="00FF0451">
        <w:rPr>
          <w:rFonts w:ascii="Arial" w:hAnsi="Arial" w:cs="Arial"/>
          <w:iCs/>
          <w:sz w:val="28"/>
          <w:szCs w:val="28"/>
          <w:lang w:val="es-CO"/>
        </w:rPr>
        <w:t>.</w:t>
      </w:r>
    </w:p>
    <w:p w:rsidR="0099045D" w:rsidRPr="006F6F94" w:rsidRDefault="006F6F94" w:rsidP="0099045D">
      <w:pPr>
        <w:pStyle w:val="Corpsdetexte"/>
        <w:numPr>
          <w:ilvl w:val="0"/>
          <w:numId w:val="1"/>
        </w:numPr>
        <w:spacing w:line="360" w:lineRule="auto"/>
        <w:rPr>
          <w:rFonts w:ascii="Arial" w:hAnsi="Arial"/>
          <w:smallCaps/>
          <w:sz w:val="28"/>
          <w:szCs w:val="24"/>
        </w:rPr>
      </w:pPr>
      <w:r w:rsidRPr="006F6F94">
        <w:rPr>
          <w:rFonts w:ascii="Arial" w:hAnsi="Arial"/>
          <w:smallCaps/>
          <w:sz w:val="28"/>
          <w:szCs w:val="24"/>
        </w:rPr>
        <w:lastRenderedPageBreak/>
        <w:t>El asunto por decidir</w:t>
      </w:r>
    </w:p>
    <w:p w:rsidR="00134F0A" w:rsidRPr="006F6F94" w:rsidRDefault="00134F0A" w:rsidP="0099045D">
      <w:pPr>
        <w:pStyle w:val="Corpsdetexte"/>
        <w:spacing w:line="360" w:lineRule="auto"/>
        <w:rPr>
          <w:rFonts w:ascii="Arial" w:hAnsi="Arial"/>
          <w:szCs w:val="24"/>
        </w:rPr>
      </w:pPr>
    </w:p>
    <w:p w:rsidR="00A35FC0" w:rsidRPr="00F9418E" w:rsidRDefault="008B5131" w:rsidP="00A35FC0">
      <w:pPr>
        <w:pStyle w:val="Corpsdetex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6F6F94" w:rsidRDefault="000147A2" w:rsidP="0099045D">
      <w:pPr>
        <w:pStyle w:val="Corpsdetexte"/>
        <w:spacing w:line="360" w:lineRule="auto"/>
        <w:rPr>
          <w:rFonts w:ascii="Arial" w:hAnsi="Arial"/>
          <w:szCs w:val="24"/>
        </w:rPr>
      </w:pPr>
    </w:p>
    <w:p w:rsidR="0099045D" w:rsidRPr="006F6F94" w:rsidRDefault="006F6F94" w:rsidP="0099045D">
      <w:pPr>
        <w:pStyle w:val="Corpsdetexte"/>
        <w:numPr>
          <w:ilvl w:val="0"/>
          <w:numId w:val="1"/>
        </w:numPr>
        <w:spacing w:line="360" w:lineRule="auto"/>
        <w:rPr>
          <w:rFonts w:ascii="Arial" w:hAnsi="Arial"/>
          <w:smallCaps/>
          <w:szCs w:val="24"/>
        </w:rPr>
      </w:pPr>
      <w:r>
        <w:rPr>
          <w:rFonts w:ascii="Arial" w:hAnsi="Arial"/>
          <w:smallCaps/>
          <w:sz w:val="28"/>
          <w:szCs w:val="24"/>
        </w:rPr>
        <w:t>L</w:t>
      </w:r>
      <w:r w:rsidRPr="006F6F94">
        <w:rPr>
          <w:rFonts w:ascii="Arial" w:hAnsi="Arial"/>
          <w:smallCaps/>
          <w:sz w:val="28"/>
          <w:szCs w:val="24"/>
        </w:rPr>
        <w:t>a síntesis de los supuestos fácticos relevantes</w:t>
      </w:r>
    </w:p>
    <w:p w:rsidR="0099045D" w:rsidRPr="006F6F94" w:rsidRDefault="0099045D" w:rsidP="0099045D">
      <w:pPr>
        <w:pStyle w:val="Corpsdetexte"/>
        <w:spacing w:line="360" w:lineRule="auto"/>
        <w:rPr>
          <w:rFonts w:ascii="Arial" w:hAnsi="Arial" w:cs="Arial"/>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el accionante</w:t>
      </w:r>
      <w:r w:rsidR="001A0183">
        <w:rPr>
          <w:rFonts w:ascii="Arial" w:hAnsi="Arial" w:cs="Arial"/>
        </w:rPr>
        <w:t xml:space="preserve"> </w:t>
      </w:r>
      <w:r w:rsidR="006F6F94">
        <w:rPr>
          <w:rFonts w:ascii="Arial" w:hAnsi="Arial" w:cs="Arial"/>
        </w:rPr>
        <w:t xml:space="preserve">el día </w:t>
      </w:r>
      <w:r w:rsidR="00575419">
        <w:rPr>
          <w:rFonts w:ascii="Arial" w:hAnsi="Arial" w:cs="Arial"/>
        </w:rPr>
        <w:t xml:space="preserve">01-03-2015 solicitó el traslado de régimen pensional de </w:t>
      </w:r>
      <w:proofErr w:type="spellStart"/>
      <w:r w:rsidR="00575419">
        <w:rPr>
          <w:rFonts w:ascii="Arial" w:hAnsi="Arial" w:cs="Arial"/>
        </w:rPr>
        <w:t>Colpensiones</w:t>
      </w:r>
      <w:proofErr w:type="spellEnd"/>
      <w:r w:rsidR="00575419">
        <w:rPr>
          <w:rFonts w:ascii="Arial" w:hAnsi="Arial" w:cs="Arial"/>
        </w:rPr>
        <w:t xml:space="preserve"> a la AFP Protección con el fin de poder acceder a una pensión familiar junto con su compañera; petición que fue comunicada a </w:t>
      </w:r>
      <w:proofErr w:type="spellStart"/>
      <w:r w:rsidR="00575419">
        <w:rPr>
          <w:rFonts w:ascii="Arial" w:hAnsi="Arial" w:cs="Arial"/>
        </w:rPr>
        <w:t>Colpensiones</w:t>
      </w:r>
      <w:proofErr w:type="spellEnd"/>
      <w:r w:rsidR="00575419">
        <w:rPr>
          <w:rFonts w:ascii="Arial" w:hAnsi="Arial" w:cs="Arial"/>
        </w:rPr>
        <w:t xml:space="preserve"> el 01-02-2016, pero a la fecha de presentación del amparo aún no se ha resuelto. Dijo que cuenta con 80 años de edad y que padece serios quebrantos de salud. </w:t>
      </w:r>
      <w:r w:rsidR="00CC2232" w:rsidRPr="00AF753A">
        <w:rPr>
          <w:rFonts w:ascii="Arial" w:hAnsi="Arial" w:cs="Arial"/>
        </w:rPr>
        <w:t>(Folio</w:t>
      </w:r>
      <w:r>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sidR="00575419">
        <w:rPr>
          <w:rFonts w:ascii="Arial" w:hAnsi="Arial" w:cs="Arial"/>
        </w:rPr>
        <w:t>cuaderno No.1</w:t>
      </w:r>
      <w:r w:rsidR="00AB506D">
        <w:rPr>
          <w:rFonts w:ascii="Arial" w:hAnsi="Arial" w:cs="Arial"/>
        </w:rPr>
        <w:t>)</w:t>
      </w:r>
      <w:r w:rsidR="006A7A1D" w:rsidRPr="00AF753A">
        <w:rPr>
          <w:rFonts w:ascii="Arial" w:hAnsi="Arial" w:cs="Arial"/>
        </w:rPr>
        <w:t xml:space="preserve">. </w:t>
      </w:r>
    </w:p>
    <w:p w:rsidR="002B0607" w:rsidRPr="00144906" w:rsidRDefault="002B0607" w:rsidP="0099045D">
      <w:pPr>
        <w:pStyle w:val="Corpsdetexte"/>
        <w:spacing w:line="360" w:lineRule="auto"/>
        <w:rPr>
          <w:rFonts w:ascii="Arial" w:hAnsi="Arial"/>
          <w:sz w:val="20"/>
          <w:szCs w:val="24"/>
          <w:lang w:val="es-ES"/>
        </w:rPr>
      </w:pPr>
    </w:p>
    <w:p w:rsidR="0099045D" w:rsidRPr="006F6F94" w:rsidRDefault="00575419"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 xml:space="preserve">Los </w:t>
      </w:r>
      <w:r w:rsidR="006F6F94" w:rsidRPr="006F6F94">
        <w:rPr>
          <w:rFonts w:ascii="Arial" w:hAnsi="Arial"/>
          <w:smallCaps/>
          <w:sz w:val="28"/>
          <w:szCs w:val="24"/>
        </w:rPr>
        <w:t>derecho</w:t>
      </w:r>
      <w:r>
        <w:rPr>
          <w:rFonts w:ascii="Arial" w:hAnsi="Arial"/>
          <w:smallCaps/>
          <w:sz w:val="28"/>
          <w:szCs w:val="24"/>
        </w:rPr>
        <w:t>s</w:t>
      </w:r>
      <w:r w:rsidR="006F6F94" w:rsidRPr="006F6F94">
        <w:rPr>
          <w:rFonts w:ascii="Arial" w:hAnsi="Arial"/>
          <w:smallCaps/>
          <w:sz w:val="28"/>
          <w:szCs w:val="24"/>
        </w:rPr>
        <w:t xml:space="preserve"> invocado</w:t>
      </w:r>
      <w:r>
        <w:rPr>
          <w:rFonts w:ascii="Arial" w:hAnsi="Arial"/>
          <w:smallCaps/>
          <w:sz w:val="28"/>
          <w:szCs w:val="24"/>
        </w:rPr>
        <w:t>s</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75419">
        <w:rPr>
          <w:rFonts w:ascii="Arial" w:hAnsi="Arial" w:cs="Arial"/>
          <w:spacing w:val="-3"/>
          <w:lang w:val="es-ES_tradnl"/>
        </w:rPr>
        <w:t xml:space="preserve">n los derechos a la igualdad, el debido proceso, la seguridad social, la dignidad humana, la libre escogencia del régimen pensional y de petición </w:t>
      </w:r>
      <w:r w:rsidR="008259FB">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923BD">
        <w:rPr>
          <w:rFonts w:ascii="Arial" w:hAnsi="Arial" w:cs="Arial"/>
        </w:rPr>
        <w:t>cuaderno</w:t>
      </w:r>
      <w:r w:rsidR="00575419">
        <w:rPr>
          <w:rFonts w:ascii="Arial" w:hAnsi="Arial" w:cs="Arial"/>
        </w:rPr>
        <w:t xml:space="preserve"> No.1</w:t>
      </w:r>
      <w:r w:rsidR="00B40B09">
        <w:rPr>
          <w:rFonts w:ascii="Arial" w:hAnsi="Arial" w:cs="Arial"/>
        </w:rPr>
        <w:t>)</w:t>
      </w:r>
      <w:r w:rsidR="00B40B09">
        <w:rPr>
          <w:rFonts w:ascii="Arial" w:hAnsi="Arial" w:cs="Arial"/>
          <w:spacing w:val="-3"/>
          <w:lang w:val="es-ES_tradnl"/>
        </w:rPr>
        <w:t xml:space="preserve">. </w:t>
      </w:r>
    </w:p>
    <w:p w:rsidR="007923BD" w:rsidRPr="00144906"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5664D7" w:rsidRDefault="005664D7"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5664D7">
        <w:rPr>
          <w:rFonts w:ascii="Arial" w:hAnsi="Arial"/>
          <w:smallCaps/>
          <w:sz w:val="28"/>
          <w:szCs w:val="24"/>
        </w:rPr>
        <w:t>a petición de protección</w:t>
      </w:r>
    </w:p>
    <w:p w:rsidR="00F1682F" w:rsidRDefault="00B40B09" w:rsidP="000145EA">
      <w:pPr>
        <w:pStyle w:val="Sansinterligne"/>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 xml:space="preserve">a </w:t>
      </w:r>
      <w:r w:rsidR="00575419">
        <w:rPr>
          <w:rFonts w:ascii="Arial" w:hAnsi="Arial" w:cs="Arial"/>
          <w:szCs w:val="24"/>
        </w:rPr>
        <w:t>tutelar los derechos fundamentales invocados, y en consecuencia, se ordene a las accionadas realizar el traslado de régimen pensional conforme lo dispuesto por el Decreto 288 de 2014</w:t>
      </w:r>
      <w:r w:rsidR="00E8060A">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F1682F">
        <w:rPr>
          <w:rFonts w:ascii="Arial" w:hAnsi="Arial" w:cs="Arial"/>
          <w:szCs w:val="24"/>
        </w:rPr>
        <w:t>olios 3 y 4</w:t>
      </w:r>
      <w:r w:rsidR="00285E3E">
        <w:rPr>
          <w:rFonts w:ascii="Arial" w:hAnsi="Arial" w:cs="Arial"/>
          <w:szCs w:val="24"/>
        </w:rPr>
        <w:t>,</w:t>
      </w:r>
      <w:r w:rsidR="00F1682F">
        <w:rPr>
          <w:rFonts w:ascii="Arial" w:hAnsi="Arial" w:cs="Arial"/>
        </w:rPr>
        <w:t xml:space="preserve"> cuaderno No.1</w:t>
      </w:r>
      <w:r w:rsidR="00A76268">
        <w:rPr>
          <w:rFonts w:ascii="Arial" w:hAnsi="Arial" w:cs="Arial"/>
          <w:szCs w:val="24"/>
        </w:rPr>
        <w:t>)</w:t>
      </w:r>
      <w:r w:rsidR="00800EF6">
        <w:rPr>
          <w:rFonts w:ascii="Arial" w:hAnsi="Arial" w:cs="Arial"/>
          <w:szCs w:val="24"/>
        </w:rPr>
        <w:t>.</w:t>
      </w:r>
    </w:p>
    <w:p w:rsidR="008154F0" w:rsidRDefault="00FD0032" w:rsidP="000145EA">
      <w:pPr>
        <w:pStyle w:val="Sansinterligne"/>
        <w:spacing w:line="360" w:lineRule="auto"/>
        <w:jc w:val="both"/>
        <w:rPr>
          <w:rFonts w:ascii="Arial" w:hAnsi="Arial" w:cs="Arial"/>
          <w:szCs w:val="24"/>
        </w:rPr>
      </w:pPr>
      <w:r>
        <w:rPr>
          <w:rFonts w:ascii="Arial" w:hAnsi="Arial" w:cs="Arial"/>
          <w:szCs w:val="24"/>
        </w:rPr>
        <w:t xml:space="preserve"> </w:t>
      </w:r>
    </w:p>
    <w:p w:rsidR="0099045D" w:rsidRPr="0069343D" w:rsidRDefault="0069343D" w:rsidP="00101AE0">
      <w:pPr>
        <w:pStyle w:val="Sansinterligne"/>
        <w:numPr>
          <w:ilvl w:val="0"/>
          <w:numId w:val="1"/>
        </w:numPr>
        <w:spacing w:line="360" w:lineRule="auto"/>
        <w:jc w:val="both"/>
        <w:rPr>
          <w:rFonts w:ascii="Arial" w:hAnsi="Arial"/>
          <w:smallCaps/>
          <w:szCs w:val="24"/>
        </w:rPr>
      </w:pPr>
      <w:r w:rsidRPr="0069343D">
        <w:rPr>
          <w:rFonts w:ascii="Arial" w:hAnsi="Arial"/>
          <w:smallCaps/>
          <w:sz w:val="28"/>
          <w:szCs w:val="24"/>
        </w:rPr>
        <w:t>La síntesis de la crónica procesal</w:t>
      </w:r>
    </w:p>
    <w:p w:rsidR="00E8060A" w:rsidRPr="00704D44" w:rsidRDefault="00E8060A" w:rsidP="00E8060A">
      <w:pPr>
        <w:pStyle w:val="Sansinterligne"/>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F1682F">
        <w:rPr>
          <w:rFonts w:ascii="Arial" w:hAnsi="Arial"/>
        </w:rPr>
        <w:t>03-11</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w:t>
      </w:r>
      <w:r w:rsidR="0069343D">
        <w:rPr>
          <w:rFonts w:ascii="Arial" w:hAnsi="Arial"/>
        </w:rPr>
        <w:t xml:space="preserve">, se vinculó a quienes se estimó conveniente </w:t>
      </w:r>
      <w:r>
        <w:rPr>
          <w:rFonts w:ascii="Arial" w:hAnsi="Arial"/>
        </w:rPr>
        <w:t>y</w:t>
      </w:r>
      <w:r w:rsidR="00843C12" w:rsidRPr="008E5A62">
        <w:rPr>
          <w:rFonts w:ascii="Arial" w:hAnsi="Arial"/>
        </w:rPr>
        <w:t xml:space="preserve"> se dispuso notificar a la partes, entre otros ordenamientos (Folio</w:t>
      </w:r>
      <w:r w:rsidR="009D2F83">
        <w:rPr>
          <w:rFonts w:ascii="Arial" w:hAnsi="Arial"/>
        </w:rPr>
        <w:t xml:space="preserve"> </w:t>
      </w:r>
      <w:r w:rsidR="00F1682F">
        <w:rPr>
          <w:rFonts w:ascii="Arial" w:hAnsi="Arial"/>
        </w:rPr>
        <w:t>4</w:t>
      </w:r>
      <w:r w:rsidR="00260330">
        <w:rPr>
          <w:rFonts w:ascii="Arial" w:hAnsi="Arial"/>
        </w:rPr>
        <w:t xml:space="preserve">, </w:t>
      </w:r>
      <w:r w:rsidR="00F1682F">
        <w:rPr>
          <w:rFonts w:ascii="Arial" w:hAnsi="Arial"/>
        </w:rPr>
        <w:t>cuaderno No.5</w:t>
      </w:r>
      <w:r w:rsidR="00843C12" w:rsidRPr="008E5A62">
        <w:rPr>
          <w:rFonts w:ascii="Arial" w:hAnsi="Arial"/>
        </w:rPr>
        <w:t>).</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F1682F">
        <w:rPr>
          <w:rFonts w:ascii="Arial" w:hAnsi="Arial"/>
        </w:rPr>
        <w:t>5 y 6</w:t>
      </w:r>
      <w:r w:rsidR="00D52424">
        <w:rPr>
          <w:rFonts w:ascii="Arial" w:hAnsi="Arial"/>
        </w:rPr>
        <w:t>,</w:t>
      </w:r>
      <w:r w:rsidR="00D52424" w:rsidRPr="008E5A62">
        <w:rPr>
          <w:rFonts w:ascii="Arial" w:hAnsi="Arial"/>
        </w:rPr>
        <w:t xml:space="preserve"> </w:t>
      </w:r>
      <w:r w:rsidR="00F1682F">
        <w:rPr>
          <w:rFonts w:ascii="Arial" w:hAnsi="Arial"/>
        </w:rPr>
        <w:t>cuaderno No.5</w:t>
      </w:r>
      <w:r w:rsidR="00D52424" w:rsidRPr="008E5A62">
        <w:rPr>
          <w:rFonts w:ascii="Arial" w:hAnsi="Arial"/>
        </w:rPr>
        <w:t>).</w:t>
      </w:r>
      <w:r w:rsidR="00FB14AC">
        <w:rPr>
          <w:rFonts w:ascii="Arial" w:hAnsi="Arial"/>
        </w:rPr>
        <w:t xml:space="preserve"> </w:t>
      </w:r>
      <w:r w:rsidR="003A0740">
        <w:rPr>
          <w:rFonts w:ascii="Arial" w:hAnsi="Arial"/>
        </w:rPr>
        <w:t>Contestaron</w:t>
      </w:r>
      <w:r w:rsidR="00F1682F">
        <w:rPr>
          <w:rFonts w:ascii="Arial" w:hAnsi="Arial"/>
        </w:rPr>
        <w:t xml:space="preserve"> la Oficina de Bonos Pensionales del Ministerio de Hacienda y Crédito Público y la AFP Protección (Folios 13 a 20 y 23 a 25, cuaderno No.5). </w:t>
      </w:r>
      <w:proofErr w:type="spellStart"/>
      <w:r w:rsidR="00F1682F">
        <w:rPr>
          <w:rFonts w:ascii="Arial" w:hAnsi="Arial"/>
        </w:rPr>
        <w:t>Colpensiones</w:t>
      </w:r>
      <w:proofErr w:type="spellEnd"/>
      <w:r w:rsidR="00F1682F">
        <w:rPr>
          <w:rFonts w:ascii="Arial" w:hAnsi="Arial"/>
        </w:rPr>
        <w:t xml:space="preserve"> guardó silencio, y el accionante arrimó la documentación requerida (Folios 7 a 11, ibídem)</w:t>
      </w:r>
      <w:r w:rsidR="00E8060A">
        <w:rPr>
          <w:rFonts w:ascii="Arial" w:hAnsi="Arial"/>
        </w:rPr>
        <w:t>.</w:t>
      </w:r>
      <w:r w:rsidR="007215DB">
        <w:rPr>
          <w:rFonts w:ascii="Arial" w:hAnsi="Arial"/>
        </w:rPr>
        <w:t xml:space="preserve"> </w:t>
      </w:r>
    </w:p>
    <w:p w:rsidR="00164D33" w:rsidRDefault="00164D33" w:rsidP="00CF429F">
      <w:pPr>
        <w:spacing w:line="360" w:lineRule="auto"/>
        <w:jc w:val="both"/>
        <w:rPr>
          <w:rFonts w:ascii="Arial" w:hAnsi="Arial"/>
          <w:sz w:val="20"/>
        </w:rPr>
      </w:pPr>
    </w:p>
    <w:p w:rsidR="003A0740" w:rsidRPr="003A0740" w:rsidRDefault="003A0740" w:rsidP="003A0740">
      <w:pPr>
        <w:numPr>
          <w:ilvl w:val="0"/>
          <w:numId w:val="18"/>
        </w:numPr>
        <w:spacing w:line="360" w:lineRule="auto"/>
        <w:jc w:val="both"/>
        <w:rPr>
          <w:rFonts w:ascii="Arial" w:hAnsi="Arial"/>
          <w:smallCaps/>
          <w:sz w:val="28"/>
        </w:rPr>
      </w:pPr>
      <w:r>
        <w:rPr>
          <w:rFonts w:ascii="Arial" w:hAnsi="Arial"/>
          <w:smallCaps/>
          <w:sz w:val="28"/>
        </w:rPr>
        <w:t>L</w:t>
      </w:r>
      <w:r w:rsidRPr="003A0740">
        <w:rPr>
          <w:rFonts w:ascii="Arial" w:hAnsi="Arial"/>
          <w:smallCaps/>
          <w:sz w:val="28"/>
        </w:rPr>
        <w:t>a sinopsis de las respuestas</w:t>
      </w:r>
    </w:p>
    <w:p w:rsidR="003A0740" w:rsidRDefault="003A0740" w:rsidP="003A0740">
      <w:pPr>
        <w:pStyle w:val="Corpsdetexte"/>
        <w:spacing w:line="360" w:lineRule="auto"/>
        <w:rPr>
          <w:rFonts w:ascii="Arial" w:hAnsi="Arial"/>
          <w:sz w:val="20"/>
          <w:szCs w:val="24"/>
        </w:rPr>
      </w:pPr>
    </w:p>
    <w:p w:rsidR="00452004" w:rsidRPr="001971C0" w:rsidRDefault="00452004" w:rsidP="003A0740">
      <w:pPr>
        <w:pStyle w:val="Corpsdetexte"/>
        <w:spacing w:line="360" w:lineRule="auto"/>
        <w:rPr>
          <w:rFonts w:ascii="Arial" w:hAnsi="Arial"/>
          <w:sz w:val="20"/>
          <w:szCs w:val="24"/>
        </w:rPr>
      </w:pPr>
    </w:p>
    <w:p w:rsidR="003A0740" w:rsidRPr="00FD594D" w:rsidRDefault="003A0740" w:rsidP="003A0740">
      <w:pPr>
        <w:pStyle w:val="Paragraphedeliste"/>
        <w:numPr>
          <w:ilvl w:val="1"/>
          <w:numId w:val="18"/>
        </w:numPr>
        <w:spacing w:line="360" w:lineRule="auto"/>
        <w:jc w:val="both"/>
        <w:rPr>
          <w:rFonts w:ascii="Arial" w:hAnsi="Arial"/>
        </w:rPr>
      </w:pPr>
      <w:r>
        <w:rPr>
          <w:rFonts w:ascii="Arial" w:hAnsi="Arial"/>
        </w:rPr>
        <w:lastRenderedPageBreak/>
        <w:t>La Oficina de Bonos Pensionales del Ministerio de Hacienda y Crédito público</w:t>
      </w:r>
    </w:p>
    <w:p w:rsidR="003A0740" w:rsidRPr="001971C0" w:rsidRDefault="003A0740" w:rsidP="003A0740">
      <w:pPr>
        <w:spacing w:line="360" w:lineRule="auto"/>
        <w:jc w:val="both"/>
        <w:rPr>
          <w:rFonts w:ascii="Arial" w:hAnsi="Arial"/>
          <w:sz w:val="20"/>
        </w:rPr>
      </w:pPr>
    </w:p>
    <w:p w:rsidR="003A0740" w:rsidRPr="00FD594D" w:rsidRDefault="003A0740" w:rsidP="003A0740">
      <w:pPr>
        <w:spacing w:line="360" w:lineRule="auto"/>
        <w:jc w:val="both"/>
        <w:rPr>
          <w:rFonts w:ascii="Arial" w:hAnsi="Arial"/>
        </w:rPr>
      </w:pPr>
      <w:r>
        <w:rPr>
          <w:rFonts w:ascii="Arial" w:hAnsi="Arial"/>
        </w:rPr>
        <w:t xml:space="preserve">Adujo que no es de su competencia autorizar el traslado de régimen pensional de un afiliado, puesto que solo le corresponde la liquidación, emisión, expedición, redención, pago o anulación de bonos pensionales o cupos de bonos pensionales (Artículo 11. Decreto 4712 de 2008). También expuso que la AFP Protección no le ha hecho solicitud alguna relacionada con un bono pensional a favor del accionante. Asimismo, refirió </w:t>
      </w:r>
      <w:r w:rsidR="00D67389">
        <w:rPr>
          <w:rFonts w:ascii="Arial" w:hAnsi="Arial"/>
        </w:rPr>
        <w:t xml:space="preserve">que el accionante ya fue trasladado a la AFP Protección, y que el amparo es improcedente para el reconocimiento y pago de un bono pensional. Pidió rechazar la tutela por temeraria </w:t>
      </w:r>
      <w:r w:rsidRPr="00FD594D">
        <w:rPr>
          <w:rFonts w:ascii="Arial" w:hAnsi="Arial"/>
        </w:rPr>
        <w:t>(Folio</w:t>
      </w:r>
      <w:r>
        <w:rPr>
          <w:rFonts w:ascii="Arial" w:hAnsi="Arial"/>
        </w:rPr>
        <w:t>s</w:t>
      </w:r>
      <w:r w:rsidRPr="00FD594D">
        <w:rPr>
          <w:rFonts w:ascii="Arial" w:hAnsi="Arial"/>
        </w:rPr>
        <w:t xml:space="preserve"> </w:t>
      </w:r>
      <w:r w:rsidR="00D67389">
        <w:rPr>
          <w:rFonts w:ascii="Arial" w:hAnsi="Arial"/>
        </w:rPr>
        <w:t>13 a 20</w:t>
      </w:r>
      <w:r>
        <w:rPr>
          <w:rFonts w:ascii="Arial" w:hAnsi="Arial"/>
        </w:rPr>
        <w:t xml:space="preserve">, </w:t>
      </w:r>
      <w:r w:rsidRPr="00FD594D">
        <w:rPr>
          <w:rFonts w:ascii="Arial" w:hAnsi="Arial"/>
        </w:rPr>
        <w:t xml:space="preserve">ib.). </w:t>
      </w:r>
    </w:p>
    <w:p w:rsidR="003A0740" w:rsidRPr="001971C0" w:rsidRDefault="003A0740" w:rsidP="003A0740">
      <w:pPr>
        <w:pStyle w:val="Corpsdetexte"/>
        <w:spacing w:line="360" w:lineRule="auto"/>
        <w:rPr>
          <w:rFonts w:ascii="Arial" w:hAnsi="Arial"/>
          <w:sz w:val="20"/>
          <w:szCs w:val="24"/>
        </w:rPr>
      </w:pPr>
    </w:p>
    <w:p w:rsidR="003A0740" w:rsidRDefault="00D67389" w:rsidP="003A0740">
      <w:pPr>
        <w:pStyle w:val="Paragraphedeliste"/>
        <w:numPr>
          <w:ilvl w:val="1"/>
          <w:numId w:val="18"/>
        </w:numPr>
        <w:spacing w:line="360" w:lineRule="auto"/>
        <w:jc w:val="both"/>
        <w:rPr>
          <w:rFonts w:ascii="Arial" w:hAnsi="Arial"/>
        </w:rPr>
      </w:pPr>
      <w:r>
        <w:rPr>
          <w:rFonts w:ascii="Arial" w:hAnsi="Arial"/>
        </w:rPr>
        <w:t>La AFP Protección</w:t>
      </w:r>
    </w:p>
    <w:p w:rsidR="003A0740" w:rsidRPr="001971C0" w:rsidRDefault="003A0740" w:rsidP="003A0740">
      <w:pPr>
        <w:pStyle w:val="Paragraphedeliste"/>
        <w:spacing w:line="360" w:lineRule="auto"/>
        <w:ind w:left="720"/>
        <w:jc w:val="both"/>
        <w:rPr>
          <w:rFonts w:ascii="Arial" w:hAnsi="Arial"/>
          <w:sz w:val="20"/>
        </w:rPr>
      </w:pPr>
    </w:p>
    <w:p w:rsidR="00D74D67" w:rsidRDefault="00D67389" w:rsidP="003A0740">
      <w:pPr>
        <w:spacing w:line="360" w:lineRule="auto"/>
        <w:jc w:val="both"/>
        <w:rPr>
          <w:rFonts w:ascii="Arial" w:hAnsi="Arial"/>
        </w:rPr>
      </w:pPr>
      <w:r>
        <w:rPr>
          <w:rFonts w:ascii="Arial" w:hAnsi="Arial"/>
        </w:rPr>
        <w:t xml:space="preserve">Informó que </w:t>
      </w:r>
      <w:r w:rsidR="003C1967">
        <w:rPr>
          <w:rFonts w:ascii="Arial" w:hAnsi="Arial"/>
        </w:rPr>
        <w:t xml:space="preserve">ya </w:t>
      </w:r>
      <w:r w:rsidR="00207571">
        <w:rPr>
          <w:rFonts w:ascii="Arial" w:hAnsi="Arial"/>
        </w:rPr>
        <w:t xml:space="preserve">hizo el </w:t>
      </w:r>
      <w:r w:rsidR="003C1967">
        <w:rPr>
          <w:rFonts w:ascii="Arial" w:hAnsi="Arial"/>
        </w:rPr>
        <w:t xml:space="preserve">traslado </w:t>
      </w:r>
      <w:r>
        <w:rPr>
          <w:rFonts w:ascii="Arial" w:hAnsi="Arial"/>
        </w:rPr>
        <w:t xml:space="preserve">de régimen </w:t>
      </w:r>
      <w:r w:rsidR="00207571">
        <w:rPr>
          <w:rFonts w:ascii="Arial" w:hAnsi="Arial"/>
        </w:rPr>
        <w:t>pensional</w:t>
      </w:r>
      <w:r w:rsidR="003C1967">
        <w:rPr>
          <w:rFonts w:ascii="Arial" w:hAnsi="Arial"/>
        </w:rPr>
        <w:t xml:space="preserve">, pero </w:t>
      </w:r>
      <w:proofErr w:type="spellStart"/>
      <w:r w:rsidR="003C1967">
        <w:rPr>
          <w:rFonts w:ascii="Arial" w:hAnsi="Arial"/>
        </w:rPr>
        <w:t>Colpensiones</w:t>
      </w:r>
      <w:proofErr w:type="spellEnd"/>
      <w:r w:rsidR="003C1967">
        <w:rPr>
          <w:rFonts w:ascii="Arial" w:hAnsi="Arial"/>
        </w:rPr>
        <w:t xml:space="preserve"> aún no le ha transferido los recursos (Artículo 4º del Decreto 288 de 2014), necesarios para adelantar el trámite de reconocimiento de la garantía pensional ante la Oficina de Bonos Pensionales (Artículo 8º ídem). Indicó, además, que </w:t>
      </w:r>
      <w:r w:rsidR="00D74D67">
        <w:rPr>
          <w:rFonts w:ascii="Arial" w:hAnsi="Arial"/>
        </w:rPr>
        <w:t xml:space="preserve">el accionante le solicitó la pensión familiar, </w:t>
      </w:r>
      <w:r w:rsidR="00207571">
        <w:rPr>
          <w:rFonts w:ascii="Arial" w:hAnsi="Arial"/>
        </w:rPr>
        <w:t xml:space="preserve">sin </w:t>
      </w:r>
      <w:r w:rsidR="00D74D67">
        <w:rPr>
          <w:rFonts w:ascii="Arial" w:hAnsi="Arial"/>
        </w:rPr>
        <w:t>el lleno de los requisitos, entre ellos</w:t>
      </w:r>
      <w:r w:rsidR="00207571">
        <w:rPr>
          <w:rFonts w:ascii="Arial" w:hAnsi="Arial"/>
        </w:rPr>
        <w:t>,</w:t>
      </w:r>
      <w:r w:rsidR="00D74D67">
        <w:rPr>
          <w:rFonts w:ascii="Arial" w:hAnsi="Arial"/>
        </w:rPr>
        <w:t xml:space="preserve"> suscribir </w:t>
      </w:r>
      <w:r w:rsidR="00207571">
        <w:rPr>
          <w:rFonts w:ascii="Arial" w:hAnsi="Arial"/>
        </w:rPr>
        <w:t xml:space="preserve">junto con su compañera </w:t>
      </w:r>
      <w:r w:rsidR="00D74D67">
        <w:rPr>
          <w:rFonts w:ascii="Arial" w:hAnsi="Arial"/>
        </w:rPr>
        <w:t xml:space="preserve">el formato </w:t>
      </w:r>
      <w:r w:rsidR="00207571">
        <w:rPr>
          <w:rFonts w:ascii="Arial" w:hAnsi="Arial"/>
        </w:rPr>
        <w:t xml:space="preserve">de solicitud de pensión familiar </w:t>
      </w:r>
      <w:r w:rsidR="00D74D67">
        <w:rPr>
          <w:rFonts w:ascii="Arial" w:hAnsi="Arial"/>
        </w:rPr>
        <w:t>y acreditar cinco años de relación conyugal o convivencia permanente (Folios 23 a 25, ib.).</w:t>
      </w:r>
    </w:p>
    <w:p w:rsidR="003A0740" w:rsidRPr="00144906" w:rsidRDefault="003A0740" w:rsidP="00CF429F">
      <w:pPr>
        <w:spacing w:line="360" w:lineRule="auto"/>
        <w:jc w:val="both"/>
        <w:rPr>
          <w:rFonts w:ascii="Arial" w:hAnsi="Arial"/>
          <w:sz w:val="20"/>
        </w:rPr>
      </w:pPr>
    </w:p>
    <w:p w:rsidR="00CF429F" w:rsidRPr="0069343D" w:rsidRDefault="0069343D" w:rsidP="00CF429F">
      <w:pPr>
        <w:pStyle w:val="Corpsdetexte"/>
        <w:numPr>
          <w:ilvl w:val="0"/>
          <w:numId w:val="18"/>
        </w:numPr>
        <w:spacing w:line="360" w:lineRule="auto"/>
        <w:rPr>
          <w:rFonts w:ascii="Arial" w:hAnsi="Arial"/>
          <w:smallCaps/>
          <w:szCs w:val="24"/>
        </w:rPr>
      </w:pPr>
      <w:r w:rsidRPr="0069343D">
        <w:rPr>
          <w:rFonts w:ascii="Arial" w:hAnsi="Arial"/>
          <w:smallCaps/>
          <w:sz w:val="28"/>
          <w:szCs w:val="24"/>
        </w:rPr>
        <w:t>La fundamentación jurídica para decidir</w:t>
      </w:r>
    </w:p>
    <w:p w:rsidR="00F134D6" w:rsidRPr="00144906" w:rsidRDefault="00F134D6" w:rsidP="00F134D6">
      <w:pPr>
        <w:pStyle w:val="Corpsdetexte"/>
        <w:spacing w:line="360" w:lineRule="auto"/>
        <w:ind w:left="400"/>
        <w:rPr>
          <w:rFonts w:ascii="Arial" w:hAnsi="Arial"/>
          <w:sz w:val="20"/>
          <w:szCs w:val="24"/>
        </w:rPr>
      </w:pPr>
    </w:p>
    <w:p w:rsidR="00CF429F" w:rsidRPr="00E830DF"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E830DF">
        <w:rPr>
          <w:rFonts w:ascii="Arial" w:hAnsi="Arial"/>
          <w:smallCaps/>
          <w:szCs w:val="24"/>
        </w:rPr>
        <w:t>La competencia</w:t>
      </w:r>
    </w:p>
    <w:p w:rsidR="00A543E7" w:rsidRPr="00144906" w:rsidRDefault="00A543E7" w:rsidP="00A543E7">
      <w:pPr>
        <w:pStyle w:val="Corpsdetexte"/>
        <w:tabs>
          <w:tab w:val="clear" w:pos="708"/>
          <w:tab w:val="left" w:pos="709"/>
        </w:tabs>
        <w:spacing w:line="360" w:lineRule="auto"/>
        <w:ind w:left="720"/>
        <w:rPr>
          <w:rFonts w:ascii="Arial" w:hAnsi="Arial"/>
          <w:sz w:val="20"/>
          <w:szCs w:val="24"/>
        </w:rPr>
      </w:pPr>
    </w:p>
    <w:p w:rsidR="00680F16" w:rsidRDefault="00680F16" w:rsidP="00680F16">
      <w:pPr>
        <w:pStyle w:val="Retraitcorpsdetexte2"/>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w:t>
      </w:r>
      <w:r w:rsidR="00480EC8">
        <w:rPr>
          <w:rFonts w:ascii="Arial" w:hAnsi="Arial" w:cs="Arial"/>
          <w:sz w:val="24"/>
          <w:szCs w:val="24"/>
        </w:rPr>
        <w:t>la</w:t>
      </w:r>
      <w:r w:rsidR="009D2F83">
        <w:rPr>
          <w:rFonts w:ascii="Arial" w:hAnsi="Arial" w:cs="Arial"/>
          <w:sz w:val="24"/>
          <w:szCs w:val="24"/>
        </w:rPr>
        <w:t xml:space="preserve"> </w:t>
      </w:r>
      <w:r>
        <w:rPr>
          <w:rFonts w:ascii="Arial" w:hAnsi="Arial" w:cs="Arial"/>
          <w:sz w:val="24"/>
          <w:szCs w:val="24"/>
        </w:rPr>
        <w:t xml:space="preserve">accionante su domicilio en este Distrito (Artículos 86 de la CP y 37 del Decreto 2591 de 1991) y conoce esta Corporación, pues </w:t>
      </w:r>
      <w:r w:rsidR="00F1682F">
        <w:rPr>
          <w:rFonts w:ascii="Arial" w:hAnsi="Arial" w:cs="Arial"/>
          <w:sz w:val="24"/>
          <w:szCs w:val="24"/>
        </w:rPr>
        <w:t>la Oficina de Bonos Pensionales vinculada</w:t>
      </w:r>
      <w:r>
        <w:rPr>
          <w:rFonts w:ascii="Arial" w:hAnsi="Arial" w:cs="Arial"/>
          <w:sz w:val="24"/>
          <w:szCs w:val="24"/>
        </w:rPr>
        <w:t xml:space="preserve">, </w:t>
      </w:r>
      <w:r w:rsidR="00E830DF">
        <w:rPr>
          <w:rFonts w:ascii="Arial" w:hAnsi="Arial" w:cs="Arial"/>
          <w:sz w:val="24"/>
          <w:szCs w:val="24"/>
        </w:rPr>
        <w:t xml:space="preserve">es una </w:t>
      </w:r>
      <w:r>
        <w:rPr>
          <w:rFonts w:ascii="Arial" w:hAnsi="Arial" w:cs="Arial"/>
          <w:sz w:val="24"/>
          <w:szCs w:val="24"/>
        </w:rPr>
        <w:t>entidad del orden nacional (Artículo 1°-1°, Decreto 1382 del 2000).</w:t>
      </w:r>
    </w:p>
    <w:p w:rsidR="00A543E7" w:rsidRDefault="00A543E7" w:rsidP="00680F16">
      <w:pPr>
        <w:pStyle w:val="Retraitcorpsdetexte2"/>
        <w:spacing w:after="0" w:line="360" w:lineRule="auto"/>
        <w:ind w:left="0"/>
        <w:jc w:val="both"/>
        <w:rPr>
          <w:rFonts w:ascii="Arial" w:hAnsi="Arial" w:cs="Arial"/>
          <w:szCs w:val="24"/>
        </w:rPr>
      </w:pPr>
    </w:p>
    <w:p w:rsidR="005664D7" w:rsidRPr="005664D7" w:rsidRDefault="005664D7" w:rsidP="005664D7">
      <w:pPr>
        <w:pStyle w:val="Corpsdetexte"/>
        <w:numPr>
          <w:ilvl w:val="1"/>
          <w:numId w:val="18"/>
        </w:numPr>
        <w:tabs>
          <w:tab w:val="clear" w:pos="0"/>
          <w:tab w:val="clear" w:pos="1416"/>
        </w:tabs>
        <w:spacing w:line="360" w:lineRule="auto"/>
        <w:textAlignment w:val="auto"/>
        <w:rPr>
          <w:rFonts w:ascii="Arial" w:hAnsi="Arial"/>
          <w:smallCaps/>
          <w:szCs w:val="24"/>
        </w:rPr>
      </w:pPr>
      <w:r w:rsidRPr="005664D7">
        <w:rPr>
          <w:rFonts w:ascii="Arial" w:hAnsi="Arial"/>
          <w:smallCaps/>
          <w:szCs w:val="24"/>
        </w:rPr>
        <w:t>La legitimación en la causa</w:t>
      </w:r>
    </w:p>
    <w:p w:rsidR="005664D7" w:rsidRPr="00144906" w:rsidRDefault="005664D7" w:rsidP="005664D7">
      <w:pPr>
        <w:pStyle w:val="Corpsdetexte"/>
        <w:spacing w:line="360" w:lineRule="auto"/>
        <w:rPr>
          <w:rFonts w:ascii="Arial" w:hAnsi="Arial" w:cs="Arial"/>
          <w:sz w:val="20"/>
          <w:szCs w:val="24"/>
        </w:rPr>
      </w:pPr>
    </w:p>
    <w:p w:rsidR="005664D7" w:rsidRDefault="005664D7" w:rsidP="005664D7">
      <w:pPr>
        <w:pStyle w:val="Corpsdetexte"/>
        <w:spacing w:line="360" w:lineRule="auto"/>
        <w:rPr>
          <w:rFonts w:ascii="Arial" w:hAnsi="Arial" w:cs="Arial"/>
          <w:szCs w:val="24"/>
        </w:rPr>
      </w:pPr>
      <w:r>
        <w:rPr>
          <w:rFonts w:ascii="Arial" w:hAnsi="Arial" w:cs="Arial"/>
          <w:szCs w:val="24"/>
          <w:lang w:val="es-CO"/>
        </w:rPr>
        <w:t xml:space="preserve">Por activa se cumple en consideración a que el </w:t>
      </w:r>
      <w:r>
        <w:rPr>
          <w:rFonts w:ascii="Arial" w:hAnsi="Arial" w:cs="Arial"/>
          <w:szCs w:val="24"/>
        </w:rPr>
        <w:t xml:space="preserve">señor </w:t>
      </w:r>
      <w:r w:rsidR="00F1682F">
        <w:rPr>
          <w:rFonts w:ascii="Arial" w:hAnsi="Arial" w:cs="Arial"/>
          <w:szCs w:val="24"/>
        </w:rPr>
        <w:t>Manuel Antonio Morales Naranjo</w:t>
      </w:r>
      <w:r w:rsidR="00207571">
        <w:rPr>
          <w:rFonts w:ascii="Arial" w:hAnsi="Arial" w:cs="Arial"/>
          <w:szCs w:val="24"/>
        </w:rPr>
        <w:t xml:space="preserve"> </w:t>
      </w:r>
      <w:r w:rsidR="00583786">
        <w:rPr>
          <w:rFonts w:ascii="Arial" w:hAnsi="Arial" w:cs="Arial"/>
          <w:szCs w:val="24"/>
        </w:rPr>
        <w:t xml:space="preserve">está solicitó </w:t>
      </w:r>
      <w:r w:rsidR="00207571">
        <w:rPr>
          <w:rFonts w:ascii="Arial" w:hAnsi="Arial" w:cs="Arial"/>
          <w:szCs w:val="24"/>
        </w:rPr>
        <w:t xml:space="preserve">el </w:t>
      </w:r>
      <w:r w:rsidR="00F1682F">
        <w:rPr>
          <w:rFonts w:ascii="Arial" w:hAnsi="Arial" w:cs="Arial"/>
          <w:szCs w:val="24"/>
          <w:lang w:val="es-CO"/>
        </w:rPr>
        <w:t xml:space="preserve">traslado de régimen pensional </w:t>
      </w:r>
      <w:r>
        <w:rPr>
          <w:rFonts w:ascii="Arial" w:hAnsi="Arial" w:cs="Arial"/>
          <w:szCs w:val="24"/>
        </w:rPr>
        <w:t xml:space="preserve">(Artículos 86 de la CP y 1º, Decreto 2591 de 1991).  </w:t>
      </w:r>
    </w:p>
    <w:p w:rsidR="005664D7" w:rsidRPr="00144906" w:rsidRDefault="005664D7" w:rsidP="005664D7">
      <w:pPr>
        <w:pStyle w:val="Corpsdetexte"/>
        <w:spacing w:line="360" w:lineRule="auto"/>
        <w:rPr>
          <w:rFonts w:ascii="Arial" w:hAnsi="Arial" w:cs="Arial"/>
          <w:sz w:val="20"/>
          <w:szCs w:val="24"/>
        </w:rPr>
      </w:pPr>
    </w:p>
    <w:p w:rsidR="000A794D" w:rsidRDefault="005664D7" w:rsidP="000A794D">
      <w:pPr>
        <w:pStyle w:val="Corpsdetexte"/>
        <w:tabs>
          <w:tab w:val="clear" w:pos="4248"/>
        </w:tabs>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proofErr w:type="spellStart"/>
      <w:r w:rsidR="000A794D">
        <w:rPr>
          <w:rFonts w:ascii="Arial" w:hAnsi="Arial" w:cs="Arial"/>
          <w:szCs w:val="24"/>
        </w:rPr>
        <w:t>Colpensiones</w:t>
      </w:r>
      <w:proofErr w:type="spellEnd"/>
      <w:r w:rsidR="000A794D">
        <w:rPr>
          <w:rFonts w:ascii="Arial" w:hAnsi="Arial" w:cs="Arial"/>
          <w:szCs w:val="24"/>
        </w:rPr>
        <w:t xml:space="preserve"> y </w:t>
      </w:r>
      <w:r w:rsidR="00F1682F">
        <w:rPr>
          <w:rFonts w:ascii="Arial" w:hAnsi="Arial" w:cs="Arial"/>
          <w:szCs w:val="24"/>
        </w:rPr>
        <w:t>la AFP Protección</w:t>
      </w:r>
      <w:r w:rsidR="000A794D">
        <w:rPr>
          <w:rFonts w:ascii="Arial" w:hAnsi="Arial" w:cs="Arial"/>
          <w:szCs w:val="24"/>
        </w:rPr>
        <w:t xml:space="preserve"> porque fueron las destinatarias de las diversas solicitudes de traslado de régimen realizadas por el accionante.</w:t>
      </w:r>
    </w:p>
    <w:p w:rsidR="00207571" w:rsidRDefault="000A794D" w:rsidP="000A794D">
      <w:pPr>
        <w:pStyle w:val="Corpsdetexte"/>
        <w:tabs>
          <w:tab w:val="clear" w:pos="4248"/>
        </w:tabs>
        <w:spacing w:line="360" w:lineRule="auto"/>
        <w:rPr>
          <w:rFonts w:ascii="Arial" w:hAnsi="Arial" w:cs="Arial"/>
          <w:szCs w:val="24"/>
        </w:rPr>
      </w:pPr>
      <w:r>
        <w:rPr>
          <w:rFonts w:ascii="Arial" w:hAnsi="Arial" w:cs="Arial"/>
          <w:szCs w:val="24"/>
        </w:rPr>
        <w:lastRenderedPageBreak/>
        <w:t xml:space="preserve">No sucede lo mismo respeto de la Oficina de Bonos Pensionales del Ministerio de Hacienda y Crédito Público, porque no le corresponde atender temas relacionados con el traslado de régimen y tampoco ha sido destinataria de solicitud alguna, por lo tanto, se </w:t>
      </w:r>
      <w:r w:rsidR="001D7939">
        <w:rPr>
          <w:rFonts w:ascii="Arial" w:hAnsi="Arial" w:cs="Arial"/>
          <w:szCs w:val="24"/>
        </w:rPr>
        <w:t xml:space="preserve">declarará improcedente el </w:t>
      </w:r>
      <w:r>
        <w:rPr>
          <w:rFonts w:ascii="Arial" w:hAnsi="Arial" w:cs="Arial"/>
          <w:szCs w:val="24"/>
        </w:rPr>
        <w:t xml:space="preserve">amparo constitucional en su contra. </w:t>
      </w:r>
    </w:p>
    <w:p w:rsidR="00207571" w:rsidRDefault="00207571" w:rsidP="000A794D">
      <w:pPr>
        <w:pStyle w:val="Corpsdetexte"/>
        <w:tabs>
          <w:tab w:val="clear" w:pos="4248"/>
        </w:tabs>
        <w:spacing w:line="360" w:lineRule="auto"/>
        <w:rPr>
          <w:rFonts w:ascii="Arial" w:hAnsi="Arial" w:cs="Arial"/>
          <w:szCs w:val="24"/>
        </w:rPr>
      </w:pPr>
    </w:p>
    <w:p w:rsidR="005664D7" w:rsidRDefault="000A794D" w:rsidP="000A794D">
      <w:pPr>
        <w:pStyle w:val="Corpsdetexte"/>
        <w:tabs>
          <w:tab w:val="clear" w:pos="4248"/>
        </w:tabs>
        <w:spacing w:line="360" w:lineRule="auto"/>
        <w:rPr>
          <w:rFonts w:ascii="Arial" w:hAnsi="Arial" w:cs="Arial"/>
          <w:szCs w:val="24"/>
        </w:rPr>
      </w:pPr>
      <w:r>
        <w:rPr>
          <w:rFonts w:ascii="Arial" w:hAnsi="Arial" w:cs="Arial"/>
          <w:szCs w:val="24"/>
        </w:rPr>
        <w:t xml:space="preserve">Ahora, es preciso advertir que </w:t>
      </w:r>
      <w:r w:rsidR="00207571">
        <w:rPr>
          <w:rFonts w:ascii="Arial" w:hAnsi="Arial" w:cs="Arial"/>
          <w:szCs w:val="24"/>
        </w:rPr>
        <w:t xml:space="preserve">en </w:t>
      </w:r>
      <w:r>
        <w:rPr>
          <w:rFonts w:ascii="Arial" w:hAnsi="Arial" w:cs="Arial"/>
          <w:szCs w:val="24"/>
        </w:rPr>
        <w:t xml:space="preserve">Sala </w:t>
      </w:r>
      <w:r w:rsidR="00207571">
        <w:rPr>
          <w:rFonts w:ascii="Arial" w:hAnsi="Arial" w:cs="Arial"/>
          <w:szCs w:val="24"/>
        </w:rPr>
        <w:t xml:space="preserve">Unitaria </w:t>
      </w:r>
      <w:r>
        <w:rPr>
          <w:rFonts w:ascii="Arial" w:hAnsi="Arial" w:cs="Arial"/>
          <w:szCs w:val="24"/>
        </w:rPr>
        <w:t xml:space="preserve">de la Corporación </w:t>
      </w:r>
      <w:r w:rsidR="00207571">
        <w:rPr>
          <w:rFonts w:ascii="Arial" w:hAnsi="Arial" w:cs="Arial"/>
          <w:szCs w:val="24"/>
        </w:rPr>
        <w:t xml:space="preserve">se </w:t>
      </w:r>
      <w:r>
        <w:rPr>
          <w:rFonts w:ascii="Arial" w:hAnsi="Arial" w:cs="Arial"/>
          <w:szCs w:val="24"/>
        </w:rPr>
        <w:t>asumió el conocimiento del presente amparo</w:t>
      </w:r>
      <w:r w:rsidR="00207571">
        <w:rPr>
          <w:rFonts w:ascii="Arial" w:hAnsi="Arial" w:cs="Arial"/>
          <w:szCs w:val="24"/>
        </w:rPr>
        <w:t>,</w:t>
      </w:r>
      <w:r>
        <w:rPr>
          <w:rFonts w:ascii="Arial" w:hAnsi="Arial" w:cs="Arial"/>
          <w:szCs w:val="24"/>
        </w:rPr>
        <w:t xml:space="preserve"> pese a la evidente vinculación aparente, porque el asunto ha permanecido sin resolución definitiva desde el 29-07-2016, fecha en la que fue radicada la tutela. Se conoce el sentir de la CSJ en este aspecto, pero como fue una Sala de esta misma Corporación la que declaró la incompetencia del </w:t>
      </w:r>
      <w:r w:rsidRPr="000A794D">
        <w:rPr>
          <w:rFonts w:ascii="Arial" w:hAnsi="Arial" w:cs="Arial"/>
          <w:i/>
          <w:szCs w:val="24"/>
        </w:rPr>
        <w:t>a quo</w:t>
      </w:r>
      <w:r>
        <w:rPr>
          <w:rFonts w:ascii="Arial" w:hAnsi="Arial" w:cs="Arial"/>
          <w:szCs w:val="24"/>
        </w:rPr>
        <w:t xml:space="preserve"> y dispuso su nuevo reparto, se consideró pertinente </w:t>
      </w:r>
      <w:r w:rsidR="003A0740">
        <w:rPr>
          <w:rFonts w:ascii="Arial" w:hAnsi="Arial" w:cs="Arial"/>
          <w:szCs w:val="24"/>
        </w:rPr>
        <w:t>adentrarse en su estudio.</w:t>
      </w:r>
    </w:p>
    <w:p w:rsidR="005664D7" w:rsidRPr="00144906" w:rsidRDefault="005664D7" w:rsidP="00680F16">
      <w:pPr>
        <w:pStyle w:val="Retraitcorpsdetexte2"/>
        <w:spacing w:after="0" w:line="360" w:lineRule="auto"/>
        <w:ind w:left="0"/>
        <w:jc w:val="both"/>
        <w:rPr>
          <w:rFonts w:ascii="Arial" w:hAnsi="Arial" w:cs="Arial"/>
          <w:szCs w:val="24"/>
        </w:rPr>
      </w:pPr>
    </w:p>
    <w:p w:rsidR="00CF429F" w:rsidRPr="005664D7" w:rsidRDefault="00CF429F" w:rsidP="00CF429F">
      <w:pPr>
        <w:pStyle w:val="Corpsdetexte"/>
        <w:numPr>
          <w:ilvl w:val="1"/>
          <w:numId w:val="18"/>
        </w:numPr>
        <w:spacing w:line="360" w:lineRule="auto"/>
        <w:rPr>
          <w:rFonts w:ascii="Arial" w:hAnsi="Arial"/>
          <w:smallCaps/>
          <w:szCs w:val="24"/>
        </w:rPr>
      </w:pPr>
      <w:r w:rsidRPr="005664D7">
        <w:rPr>
          <w:rFonts w:ascii="Arial" w:hAnsi="Arial"/>
          <w:smallCaps/>
          <w:szCs w:val="24"/>
        </w:rPr>
        <w:t>El problema jurídico a resolver</w:t>
      </w:r>
    </w:p>
    <w:p w:rsidR="00843C12" w:rsidRPr="005664D7" w:rsidRDefault="00843C12" w:rsidP="00843C12">
      <w:pPr>
        <w:pStyle w:val="Corpsdetexte"/>
        <w:spacing w:line="360" w:lineRule="auto"/>
        <w:ind w:left="720"/>
        <w:rPr>
          <w:rFonts w:ascii="Arial" w:hAnsi="Arial"/>
          <w:sz w:val="20"/>
          <w:szCs w:val="24"/>
        </w:rPr>
      </w:pPr>
    </w:p>
    <w:p w:rsidR="00CF429F" w:rsidRPr="005664D7" w:rsidRDefault="00CF429F" w:rsidP="00CF429F">
      <w:pPr>
        <w:pStyle w:val="Corpsdetexte"/>
        <w:tabs>
          <w:tab w:val="clear" w:pos="708"/>
          <w:tab w:val="clear" w:pos="1416"/>
          <w:tab w:val="left" w:pos="709"/>
          <w:tab w:val="left" w:pos="1418"/>
        </w:tabs>
        <w:spacing w:line="360" w:lineRule="auto"/>
        <w:rPr>
          <w:rFonts w:ascii="Arial" w:hAnsi="Arial" w:cs="Arial"/>
          <w:szCs w:val="24"/>
        </w:rPr>
      </w:pPr>
      <w:r w:rsidRPr="005664D7">
        <w:rPr>
          <w:rFonts w:ascii="Arial" w:hAnsi="Arial"/>
          <w:sz w:val="22"/>
          <w:szCs w:val="22"/>
        </w:rPr>
        <w:t>¿</w:t>
      </w:r>
      <w:proofErr w:type="spellStart"/>
      <w:r w:rsidR="003A0740">
        <w:rPr>
          <w:rFonts w:ascii="Arial" w:hAnsi="Arial" w:cs="Arial"/>
          <w:szCs w:val="24"/>
        </w:rPr>
        <w:t>Colpensiones</w:t>
      </w:r>
      <w:proofErr w:type="spellEnd"/>
      <w:r w:rsidR="003A0740">
        <w:rPr>
          <w:rFonts w:ascii="Arial" w:hAnsi="Arial" w:cs="Arial"/>
          <w:szCs w:val="24"/>
        </w:rPr>
        <w:t xml:space="preserve"> y la AFP Protección</w:t>
      </w:r>
      <w:r w:rsidRPr="005664D7">
        <w:rPr>
          <w:rFonts w:ascii="Arial" w:hAnsi="Arial"/>
          <w:szCs w:val="24"/>
        </w:rPr>
        <w:t>, viola</w:t>
      </w:r>
      <w:r w:rsidR="006B1423" w:rsidRPr="005664D7">
        <w:rPr>
          <w:rFonts w:ascii="Arial" w:hAnsi="Arial"/>
          <w:szCs w:val="24"/>
        </w:rPr>
        <w:t>n</w:t>
      </w:r>
      <w:r w:rsidRPr="005664D7">
        <w:rPr>
          <w:rFonts w:ascii="Arial" w:hAnsi="Arial"/>
          <w:szCs w:val="24"/>
        </w:rPr>
        <w:t xml:space="preserve"> o amena</w:t>
      </w:r>
      <w:r w:rsidR="00170F1F" w:rsidRPr="005664D7">
        <w:rPr>
          <w:rFonts w:ascii="Arial" w:hAnsi="Arial"/>
          <w:szCs w:val="24"/>
        </w:rPr>
        <w:t>za</w:t>
      </w:r>
      <w:r w:rsidR="006B1423" w:rsidRPr="005664D7">
        <w:rPr>
          <w:rFonts w:ascii="Arial" w:hAnsi="Arial"/>
          <w:szCs w:val="24"/>
        </w:rPr>
        <w:t>n</w:t>
      </w:r>
      <w:r w:rsidRPr="005664D7">
        <w:rPr>
          <w:rFonts w:ascii="Arial" w:hAnsi="Arial"/>
          <w:szCs w:val="24"/>
        </w:rPr>
        <w:t xml:space="preserve"> </w:t>
      </w:r>
      <w:r w:rsidR="003A0740">
        <w:rPr>
          <w:rFonts w:ascii="Arial" w:hAnsi="Arial"/>
          <w:szCs w:val="24"/>
        </w:rPr>
        <w:t xml:space="preserve">los </w:t>
      </w:r>
      <w:r w:rsidRPr="005664D7">
        <w:rPr>
          <w:rFonts w:ascii="Arial" w:hAnsi="Arial"/>
          <w:szCs w:val="24"/>
        </w:rPr>
        <w:t>derecho</w:t>
      </w:r>
      <w:r w:rsidR="003A0740">
        <w:rPr>
          <w:rFonts w:ascii="Arial" w:hAnsi="Arial"/>
          <w:szCs w:val="24"/>
        </w:rPr>
        <w:t>s</w:t>
      </w:r>
      <w:r w:rsidRPr="005664D7">
        <w:rPr>
          <w:rFonts w:ascii="Arial" w:hAnsi="Arial"/>
          <w:szCs w:val="24"/>
        </w:rPr>
        <w:t xml:space="preserve"> fundamental</w:t>
      </w:r>
      <w:r w:rsidR="003A0740">
        <w:rPr>
          <w:rFonts w:ascii="Arial" w:hAnsi="Arial"/>
          <w:szCs w:val="24"/>
        </w:rPr>
        <w:t>es</w:t>
      </w:r>
      <w:r w:rsidRPr="005664D7">
        <w:rPr>
          <w:rFonts w:ascii="Arial" w:hAnsi="Arial"/>
          <w:szCs w:val="24"/>
        </w:rPr>
        <w:t xml:space="preserve"> alegado</w:t>
      </w:r>
      <w:r w:rsidR="003A0740">
        <w:rPr>
          <w:rFonts w:ascii="Arial" w:hAnsi="Arial"/>
          <w:szCs w:val="24"/>
        </w:rPr>
        <w:t>s</w:t>
      </w:r>
      <w:r w:rsidRPr="005664D7">
        <w:rPr>
          <w:rFonts w:ascii="Arial" w:hAnsi="Arial"/>
          <w:szCs w:val="24"/>
        </w:rPr>
        <w:t xml:space="preserve"> por la parte accionante, según los hechos expuestos en la petición de tutela</w:t>
      </w:r>
      <w:r w:rsidRPr="005664D7">
        <w:rPr>
          <w:rFonts w:ascii="Arial" w:hAnsi="Arial" w:cs="Arial"/>
          <w:szCs w:val="24"/>
        </w:rPr>
        <w:t>?</w:t>
      </w:r>
    </w:p>
    <w:p w:rsidR="00CF429F" w:rsidRPr="005664D7" w:rsidRDefault="00CF429F" w:rsidP="00CF429F">
      <w:pPr>
        <w:pStyle w:val="Corpsdetexte"/>
        <w:tabs>
          <w:tab w:val="clear" w:pos="708"/>
          <w:tab w:val="clear" w:pos="1416"/>
          <w:tab w:val="left" w:pos="709"/>
          <w:tab w:val="left" w:pos="1418"/>
        </w:tabs>
        <w:spacing w:line="360" w:lineRule="auto"/>
        <w:rPr>
          <w:rFonts w:ascii="Arial" w:hAnsi="Arial" w:cs="Arial"/>
          <w:sz w:val="20"/>
          <w:szCs w:val="24"/>
        </w:rPr>
      </w:pPr>
    </w:p>
    <w:p w:rsidR="00CF429F" w:rsidRPr="005664D7" w:rsidRDefault="00CF429F" w:rsidP="0066018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5664D7">
        <w:rPr>
          <w:rFonts w:ascii="Arial" w:hAnsi="Arial"/>
          <w:smallCaps/>
          <w:szCs w:val="24"/>
        </w:rPr>
        <w:t>La resolución del problema jurídico</w:t>
      </w:r>
    </w:p>
    <w:p w:rsidR="00CF429F" w:rsidRDefault="00CF429F" w:rsidP="00CF429F">
      <w:pPr>
        <w:pStyle w:val="Corpsdetexte"/>
        <w:tabs>
          <w:tab w:val="clear" w:pos="708"/>
          <w:tab w:val="clear" w:pos="1416"/>
          <w:tab w:val="left" w:pos="709"/>
          <w:tab w:val="left" w:pos="1418"/>
        </w:tabs>
        <w:spacing w:line="360" w:lineRule="auto"/>
        <w:rPr>
          <w:rFonts w:ascii="Arial" w:hAnsi="Arial"/>
          <w:sz w:val="20"/>
          <w:szCs w:val="24"/>
        </w:rPr>
      </w:pPr>
    </w:p>
    <w:p w:rsidR="00112A4F" w:rsidRPr="00383E2F" w:rsidRDefault="00112A4F" w:rsidP="00112A4F">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112A4F" w:rsidRPr="008C4B67" w:rsidRDefault="00112A4F" w:rsidP="00112A4F">
      <w:pPr>
        <w:spacing w:line="360" w:lineRule="auto"/>
        <w:jc w:val="both"/>
        <w:rPr>
          <w:rFonts w:ascii="Arial" w:hAnsi="Arial" w:cs="Arial"/>
          <w:noProof/>
          <w:szCs w:val="22"/>
        </w:rPr>
      </w:pPr>
    </w:p>
    <w:p w:rsidR="00112A4F" w:rsidRDefault="00112A4F" w:rsidP="00112A4F">
      <w:pPr>
        <w:pStyle w:val="Sansinterligne"/>
        <w:spacing w:line="360" w:lineRule="auto"/>
        <w:jc w:val="both"/>
        <w:rPr>
          <w:rFonts w:ascii="Arial" w:hAnsi="Arial" w:cs="Arial"/>
        </w:rPr>
      </w:pPr>
      <w:r w:rsidRPr="00AD2F16">
        <w:rPr>
          <w:rFonts w:ascii="Arial" w:hAnsi="Arial" w:cs="Arial"/>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112A4F">
        <w:rPr>
          <w:rFonts w:ascii="Arial" w:hAnsi="Arial" w:cs="Arial"/>
          <w:i/>
          <w:sz w:val="18"/>
        </w:rPr>
        <w:t xml:space="preserve">“(…) </w:t>
      </w:r>
      <w:r w:rsidRPr="00112A4F">
        <w:rPr>
          <w:rFonts w:ascii="Arial" w:hAnsi="Arial" w:cs="Arial"/>
          <w:i/>
          <w:sz w:val="22"/>
        </w:rPr>
        <w:t>solo procederá cuando el afectado no disponga de otro medio de defensa judicial, salvo que aquella se utilice como mecanismo transitorio para evitar un perjuicio irremediable.</w:t>
      </w:r>
      <w:r w:rsidRPr="00112A4F">
        <w:rPr>
          <w:rFonts w:ascii="Arial" w:hAnsi="Arial" w:cs="Arial"/>
          <w:i/>
          <w:sz w:val="18"/>
        </w:rPr>
        <w:t>”.</w:t>
      </w:r>
      <w:r w:rsidRPr="00112A4F">
        <w:rPr>
          <w:rFonts w:ascii="Arial" w:hAnsi="Arial" w:cs="Arial"/>
          <w:sz w:val="22"/>
        </w:rPr>
        <w:t xml:space="preserve"> </w:t>
      </w:r>
    </w:p>
    <w:p w:rsidR="00112A4F" w:rsidRPr="00885771" w:rsidRDefault="00112A4F" w:rsidP="00112A4F">
      <w:pPr>
        <w:pStyle w:val="Sansinterligne"/>
        <w:spacing w:line="360" w:lineRule="auto"/>
        <w:jc w:val="both"/>
        <w:rPr>
          <w:rFonts w:ascii="Arial" w:hAnsi="Arial" w:cs="Arial"/>
        </w:rPr>
      </w:pPr>
    </w:p>
    <w:p w:rsidR="00112A4F" w:rsidRPr="00860DAD" w:rsidRDefault="00112A4F" w:rsidP="00112A4F">
      <w:pPr>
        <w:pStyle w:val="Sansinterligne"/>
        <w:spacing w:line="360" w:lineRule="auto"/>
        <w:jc w:val="both"/>
        <w:rPr>
          <w:rFonts w:ascii="Arial" w:hAnsi="Arial" w:cs="Arial"/>
          <w:i/>
          <w:lang w:val="es-CO"/>
        </w:rPr>
      </w:pPr>
      <w:r>
        <w:rPr>
          <w:rFonts w:ascii="Arial" w:hAnsi="Arial" w:cs="Arial"/>
          <w:noProof/>
        </w:rPr>
        <w:t xml:space="preserve">En ese entendido, </w:t>
      </w:r>
      <w:r w:rsidRPr="00AD2F16">
        <w:rPr>
          <w:rFonts w:ascii="Arial" w:hAnsi="Arial" w:cs="Arial"/>
          <w:noProof/>
        </w:rPr>
        <w:t>nuestra Corte Constitucional estableci</w:t>
      </w:r>
      <w:r>
        <w:rPr>
          <w:rFonts w:ascii="Arial" w:hAnsi="Arial" w:cs="Arial"/>
          <w:noProof/>
        </w:rPr>
        <w:t>ó</w:t>
      </w:r>
      <w:r w:rsidRPr="00AD2F16">
        <w:rPr>
          <w:rFonts w:ascii="Arial" w:hAnsi="Arial" w:cs="Arial"/>
          <w:noProof/>
        </w:rPr>
        <w:t xml:space="preserve"> que</w:t>
      </w:r>
      <w:r>
        <w:rPr>
          <w:rFonts w:ascii="Arial" w:hAnsi="Arial" w:cs="Arial"/>
          <w:noProof/>
        </w:rPr>
        <w:t>:</w:t>
      </w:r>
      <w:r w:rsidRPr="00AD2F16">
        <w:rPr>
          <w:rFonts w:ascii="Arial" w:hAnsi="Arial" w:cs="Arial"/>
          <w:noProof/>
        </w:rPr>
        <w:t xml:space="preserve"> (i) La </w:t>
      </w:r>
      <w:r w:rsidRPr="00AD2F16">
        <w:rPr>
          <w:rFonts w:ascii="Arial" w:hAnsi="Arial" w:cs="Arial"/>
          <w:iCs/>
          <w:noProof/>
        </w:rPr>
        <w:t>subsidiariedad</w:t>
      </w:r>
      <w:r w:rsidRPr="00AD2F16">
        <w:rPr>
          <w:rFonts w:ascii="Arial" w:hAnsi="Arial" w:cs="Arial"/>
          <w:noProof/>
        </w:rPr>
        <w:t xml:space="preserve"> o residualidad, y (ii) La </w:t>
      </w:r>
      <w:r w:rsidRPr="00AD2F16">
        <w:rPr>
          <w:rFonts w:ascii="Arial" w:hAnsi="Arial" w:cs="Arial"/>
          <w:iCs/>
          <w:noProof/>
        </w:rPr>
        <w:t>inmediatez</w:t>
      </w:r>
      <w:r w:rsidRPr="00AD2F16">
        <w:rPr>
          <w:rFonts w:ascii="Arial" w:hAnsi="Arial" w:cs="Arial"/>
          <w:noProof/>
        </w:rPr>
        <w:t xml:space="preserve">, son exigencias generales de procedencia de la acción, condiciones indispensables para el conocimiento de fondo de las solicitudes de protección de derechos fundamentales.  </w:t>
      </w:r>
    </w:p>
    <w:p w:rsidR="00112A4F" w:rsidRDefault="00112A4F" w:rsidP="00112A4F">
      <w:pPr>
        <w:tabs>
          <w:tab w:val="left" w:pos="1979"/>
        </w:tabs>
        <w:spacing w:line="360" w:lineRule="auto"/>
        <w:jc w:val="both"/>
        <w:rPr>
          <w:rFonts w:ascii="Arial" w:hAnsi="Arial" w:cs="Arial"/>
          <w:lang w:val="es-ES_tradnl"/>
        </w:rPr>
      </w:pPr>
    </w:p>
    <w:p w:rsidR="00112A4F" w:rsidRDefault="00112A4F" w:rsidP="00112A4F">
      <w:pPr>
        <w:widowControl/>
        <w:autoSpaceDE/>
        <w:autoSpaceDN/>
        <w:adjustRightInd/>
        <w:spacing w:line="360" w:lineRule="auto"/>
        <w:jc w:val="both"/>
        <w:rPr>
          <w:rFonts w:ascii="Arial" w:hAnsi="Arial" w:cs="Arial"/>
          <w:i/>
          <w:iCs/>
          <w:sz w:val="22"/>
          <w:szCs w:val="22"/>
          <w:lang w:val="es-CO"/>
        </w:rPr>
      </w:pPr>
      <w:r>
        <w:rPr>
          <w:rFonts w:ascii="Arial" w:hAnsi="Arial" w:cs="Arial"/>
        </w:rPr>
        <w:t xml:space="preserve">En lo tocante a la inmediatez, se halla cumplido, no obstante que la solicitud de traslado de régimen se haya realizado el día 01-03-2015, es decir, por fuera de los </w:t>
      </w:r>
      <w:r>
        <w:rPr>
          <w:rFonts w:ascii="Arial" w:hAnsi="Arial" w:cs="Arial"/>
          <w:noProof/>
          <w:szCs w:val="22"/>
          <w:lang w:val="es-CO"/>
        </w:rPr>
        <w:t>seis (6) meses, que es el plazo general, fijado por la doctrina constitucional</w:t>
      </w:r>
      <w:r w:rsidRPr="001E3F11">
        <w:rPr>
          <w:rStyle w:val="Appelnotedebasdep"/>
          <w:rFonts w:ascii="Arial" w:hAnsi="Arial"/>
          <w:noProof/>
          <w:szCs w:val="22"/>
        </w:rPr>
        <w:footnoteReference w:id="1"/>
      </w:r>
      <w:r>
        <w:rPr>
          <w:rFonts w:ascii="Arial" w:hAnsi="Arial" w:cs="Arial"/>
          <w:noProof/>
          <w:szCs w:val="22"/>
          <w:lang w:val="es-CO"/>
        </w:rPr>
        <w:t xml:space="preserve"> </w:t>
      </w:r>
      <w:r>
        <w:rPr>
          <w:rFonts w:ascii="Arial" w:hAnsi="Arial" w:cs="Arial"/>
        </w:rPr>
        <w:t>y ordinaria</w:t>
      </w:r>
      <w:r>
        <w:rPr>
          <w:rStyle w:val="Appelnotedebasdep"/>
          <w:rFonts w:ascii="Arial" w:hAnsi="Arial" w:cs="Arial"/>
        </w:rPr>
        <w:footnoteReference w:id="2"/>
      </w:r>
      <w:r>
        <w:rPr>
          <w:rFonts w:ascii="Arial" w:hAnsi="Arial"/>
        </w:rPr>
        <w:t xml:space="preserve">, según lo expuesto por la misma CC en cuanto a la protección de derechos pensionales: </w:t>
      </w:r>
      <w:r>
        <w:rPr>
          <w:rFonts w:ascii="Arial" w:hAnsi="Arial" w:cs="Arial"/>
          <w:i/>
          <w:sz w:val="22"/>
          <w:szCs w:val="22"/>
        </w:rPr>
        <w:t xml:space="preserve">“(…) </w:t>
      </w:r>
      <w:r>
        <w:rPr>
          <w:rFonts w:ascii="Arial" w:hAnsi="Arial" w:cs="Arial"/>
          <w:i/>
          <w:iCs/>
          <w:sz w:val="22"/>
          <w:szCs w:val="22"/>
          <w:lang w:val="es-CO"/>
        </w:rPr>
        <w:lastRenderedPageBreak/>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Pr>
          <w:rStyle w:val="Appelnotedebasdep"/>
          <w:rFonts w:ascii="Arial" w:hAnsi="Arial"/>
          <w:i/>
          <w:iCs/>
          <w:sz w:val="22"/>
          <w:szCs w:val="22"/>
          <w:lang w:val="es-CO"/>
        </w:rPr>
        <w:footnoteReference w:id="3"/>
      </w:r>
      <w:r>
        <w:rPr>
          <w:rFonts w:ascii="Arial" w:hAnsi="Arial" w:cs="Arial"/>
          <w:i/>
          <w:iCs/>
          <w:sz w:val="22"/>
          <w:szCs w:val="22"/>
          <w:lang w:val="es-CO"/>
        </w:rPr>
        <w:t xml:space="preserve">.  </w:t>
      </w:r>
    </w:p>
    <w:p w:rsidR="00112A4F" w:rsidRDefault="00112A4F" w:rsidP="00112A4F">
      <w:pPr>
        <w:pStyle w:val="Corpsdetexte"/>
        <w:spacing w:line="360" w:lineRule="auto"/>
        <w:rPr>
          <w:rFonts w:ascii="Arial" w:hAnsi="Arial" w:cs="Arial"/>
          <w:i/>
          <w:iCs/>
          <w:sz w:val="22"/>
          <w:szCs w:val="22"/>
          <w:lang w:val="es-CO"/>
        </w:rPr>
      </w:pPr>
    </w:p>
    <w:p w:rsidR="00112A4F" w:rsidRDefault="00112A4F" w:rsidP="00112A4F">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4"/>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5"/>
      </w:r>
      <w:r>
        <w:rPr>
          <w:rFonts w:ascii="Arial" w:hAnsi="Arial" w:cs="Arial"/>
        </w:rPr>
        <w:t xml:space="preserve"> o porque la cuestión debatida es eminentemente constitucional</w:t>
      </w:r>
      <w:r>
        <w:rPr>
          <w:rFonts w:ascii="Arial" w:hAnsi="Arial" w:cs="Arial"/>
          <w:vertAlign w:val="superscript"/>
        </w:rPr>
        <w:footnoteReference w:id="6"/>
      </w:r>
      <w:r>
        <w:rPr>
          <w:rFonts w:ascii="Arial" w:hAnsi="Arial" w:cs="Arial"/>
        </w:rPr>
        <w:t>, y (ii) cuando se trata de evitar la ocurrencia de un perjuicio irremediable cuando se la quiera usar como mecanismo transitorio (Artículo 86 CP)</w:t>
      </w:r>
      <w:r>
        <w:rPr>
          <w:rFonts w:ascii="Arial" w:hAnsi="Arial" w:cs="Arial"/>
          <w:vertAlign w:val="superscript"/>
        </w:rPr>
        <w:footnoteReference w:id="7"/>
      </w:r>
      <w:r>
        <w:rPr>
          <w:rFonts w:ascii="Arial" w:hAnsi="Arial" w:cs="Arial"/>
        </w:rPr>
        <w:t>. En este caso se considera superado también este requisito, porque el accionante es una persona de especial protección constitucional con quebrantos de salud, afirmación indefinida no controvertida por ninguna de las partes.</w:t>
      </w:r>
    </w:p>
    <w:p w:rsidR="00112A4F" w:rsidRDefault="00112A4F" w:rsidP="00112A4F">
      <w:pPr>
        <w:spacing w:line="360" w:lineRule="auto"/>
        <w:ind w:right="51"/>
        <w:jc w:val="both"/>
        <w:rPr>
          <w:rFonts w:ascii="Arial" w:hAnsi="Arial" w:cs="Arial"/>
        </w:rPr>
      </w:pPr>
      <w:r>
        <w:rPr>
          <w:rFonts w:ascii="Arial" w:hAnsi="Arial" w:cs="Arial"/>
        </w:rPr>
        <w:t xml:space="preserve"> </w:t>
      </w:r>
    </w:p>
    <w:p w:rsidR="0041291D" w:rsidRDefault="0041291D" w:rsidP="0041291D">
      <w:pPr>
        <w:pStyle w:val="Corpsdetex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rPr>
      </w:pPr>
      <w:r>
        <w:rPr>
          <w:rFonts w:ascii="Arial" w:hAnsi="Arial" w:cs="Arial"/>
          <w:szCs w:val="24"/>
        </w:rPr>
        <w:t>En reiterada jurisprudencia</w:t>
      </w:r>
      <w:r>
        <w:rPr>
          <w:rStyle w:val="Appelnotedebasdep"/>
          <w:rFonts w:ascii="Arial" w:hAnsi="Arial" w:cs="Arial"/>
          <w:szCs w:val="24"/>
        </w:rPr>
        <w:footnoteReference w:id="8"/>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Appelnotedebasdep"/>
          <w:rFonts w:ascii="Arial" w:hAnsi="Arial"/>
          <w:i/>
          <w:sz w:val="22"/>
          <w:szCs w:val="24"/>
        </w:rPr>
        <w:footnoteReference w:id="9"/>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lang w:val="es-ES"/>
        </w:rPr>
      </w:pPr>
      <w:r>
        <w:rPr>
          <w:rFonts w:ascii="Arial" w:hAnsi="Arial" w:cs="Arial"/>
          <w:szCs w:val="24"/>
        </w:rPr>
        <w:lastRenderedPageBreak/>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Appelnotedebasdep"/>
          <w:rFonts w:ascii="Arial" w:hAnsi="Arial"/>
          <w:szCs w:val="24"/>
        </w:rPr>
        <w:footnoteReference w:id="10"/>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Appelnotedebasdep"/>
          <w:rFonts w:ascii="Arial" w:hAnsi="Arial"/>
          <w:szCs w:val="24"/>
        </w:rPr>
        <w:footnoteReference w:id="11"/>
      </w:r>
      <w:r>
        <w:rPr>
          <w:rFonts w:ascii="Arial" w:hAnsi="Arial" w:cs="Arial"/>
          <w:szCs w:val="24"/>
        </w:rPr>
        <w:t>.</w:t>
      </w:r>
      <w:r>
        <w:rPr>
          <w:rFonts w:ascii="Arial" w:hAnsi="Arial" w:cs="Arial"/>
          <w:b/>
          <w:bCs/>
          <w:szCs w:val="24"/>
        </w:rPr>
        <w:t xml:space="preserve"> </w:t>
      </w:r>
    </w:p>
    <w:p w:rsidR="0041291D" w:rsidRPr="00F06C11" w:rsidRDefault="0041291D" w:rsidP="0041291D">
      <w:pPr>
        <w:pStyle w:val="Corpsdetexte"/>
        <w:spacing w:line="360" w:lineRule="auto"/>
        <w:rPr>
          <w:rFonts w:ascii="Arial" w:hAnsi="Arial" w:cs="Arial"/>
          <w:sz w:val="20"/>
          <w:szCs w:val="24"/>
          <w:lang w:val="es-ES"/>
        </w:rPr>
      </w:pPr>
    </w:p>
    <w:p w:rsidR="0041291D" w:rsidRDefault="0041291D" w:rsidP="0041291D">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Appelnotedebasdep"/>
          <w:rFonts w:ascii="Arial" w:hAnsi="Arial" w:cs="Arial"/>
        </w:rPr>
        <w:footnoteReference w:id="12"/>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41291D" w:rsidRPr="00F06C11" w:rsidRDefault="0041291D" w:rsidP="0041291D">
      <w:pPr>
        <w:shd w:val="clear" w:color="auto" w:fill="FFFFFF"/>
        <w:spacing w:line="360" w:lineRule="auto"/>
        <w:jc w:val="both"/>
        <w:textAlignment w:val="baseline"/>
        <w:rPr>
          <w:rFonts w:ascii="Arial" w:hAnsi="Arial" w:cs="Arial"/>
          <w:sz w:val="20"/>
        </w:rPr>
      </w:pPr>
    </w:p>
    <w:p w:rsidR="0041291D" w:rsidRDefault="0041291D" w:rsidP="0041291D">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Appelnotedebasdep"/>
          <w:rFonts w:ascii="Arial" w:hAnsi="Arial"/>
          <w:i/>
          <w:sz w:val="22"/>
          <w:lang w:val="es-CO"/>
        </w:rPr>
        <w:footnoteReference w:id="13"/>
      </w:r>
      <w:r>
        <w:rPr>
          <w:rFonts w:ascii="Arial" w:hAnsi="Arial" w:cs="Arial"/>
          <w:i/>
          <w:sz w:val="22"/>
          <w:lang w:val="es-CO"/>
        </w:rPr>
        <w:t>.</w:t>
      </w:r>
    </w:p>
    <w:p w:rsidR="00C12E0E" w:rsidRPr="00144906" w:rsidRDefault="00C12E0E" w:rsidP="00AD6046">
      <w:pPr>
        <w:spacing w:line="360" w:lineRule="auto"/>
        <w:ind w:right="51"/>
        <w:jc w:val="both"/>
        <w:rPr>
          <w:rFonts w:ascii="Arial" w:hAnsi="Arial" w:cs="Arial"/>
          <w:sz w:val="20"/>
          <w:lang w:val="es-CO"/>
        </w:rPr>
      </w:pPr>
    </w:p>
    <w:p w:rsidR="00653BAF"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sidRPr="005664D7">
        <w:rPr>
          <w:rFonts w:ascii="Arial" w:hAnsi="Arial"/>
          <w:smallCaps/>
          <w:sz w:val="28"/>
          <w:lang w:val="es-ES_tradnl"/>
        </w:rPr>
        <w:t>El análisis del caso en concreto</w:t>
      </w:r>
    </w:p>
    <w:p w:rsidR="00104962" w:rsidRPr="00144906" w:rsidRDefault="00104962" w:rsidP="00104962">
      <w:pPr>
        <w:shd w:val="clear" w:color="auto" w:fill="FFFFFF"/>
        <w:spacing w:line="360" w:lineRule="auto"/>
        <w:jc w:val="both"/>
        <w:rPr>
          <w:rFonts w:ascii="Arial" w:hAnsi="Arial" w:cs="Arial"/>
          <w:color w:val="000000"/>
          <w:spacing w:val="-4"/>
          <w:sz w:val="20"/>
          <w:shd w:val="clear" w:color="auto" w:fill="FFFFFF"/>
        </w:rPr>
      </w:pPr>
    </w:p>
    <w:p w:rsidR="0041291D" w:rsidRPr="0019227F" w:rsidRDefault="0041291D" w:rsidP="0041291D">
      <w:pPr>
        <w:pStyle w:val="Corpsdetexte"/>
        <w:spacing w:line="360" w:lineRule="auto"/>
        <w:rPr>
          <w:rFonts w:ascii="Arial" w:hAnsi="Arial"/>
          <w:szCs w:val="24"/>
        </w:rPr>
      </w:pPr>
      <w:r w:rsidRPr="0019227F">
        <w:rPr>
          <w:rFonts w:ascii="Arial" w:hAnsi="Arial"/>
          <w:szCs w:val="24"/>
        </w:rPr>
        <w:t xml:space="preserve">Pretendía el accionante que se ordenara </w:t>
      </w:r>
      <w:r>
        <w:rPr>
          <w:rFonts w:ascii="Arial" w:hAnsi="Arial"/>
          <w:szCs w:val="24"/>
        </w:rPr>
        <w:t xml:space="preserve">efectuar el traslado de régimen pensional de </w:t>
      </w:r>
      <w:proofErr w:type="spellStart"/>
      <w:r>
        <w:rPr>
          <w:rFonts w:ascii="Arial" w:hAnsi="Arial"/>
          <w:szCs w:val="24"/>
        </w:rPr>
        <w:t>Colpensiones</w:t>
      </w:r>
      <w:proofErr w:type="spellEnd"/>
      <w:r>
        <w:rPr>
          <w:rFonts w:ascii="Arial" w:hAnsi="Arial"/>
          <w:szCs w:val="24"/>
        </w:rPr>
        <w:t xml:space="preserve"> a la AFP Protección</w:t>
      </w:r>
      <w:r w:rsidR="007A547E">
        <w:rPr>
          <w:rFonts w:ascii="Arial" w:hAnsi="Arial"/>
          <w:szCs w:val="24"/>
        </w:rPr>
        <w:t>,</w:t>
      </w:r>
      <w:r>
        <w:rPr>
          <w:rFonts w:ascii="Arial" w:hAnsi="Arial"/>
          <w:szCs w:val="24"/>
        </w:rPr>
        <w:t xml:space="preserve"> solicitado el día 01-03-2015</w:t>
      </w:r>
      <w:r w:rsidRPr="0019227F">
        <w:rPr>
          <w:rFonts w:ascii="Arial" w:hAnsi="Arial" w:cs="Arial"/>
          <w:szCs w:val="24"/>
        </w:rPr>
        <w:t xml:space="preserve">, y </w:t>
      </w:r>
      <w:r w:rsidRPr="0019227F">
        <w:rPr>
          <w:rFonts w:ascii="Arial" w:hAnsi="Arial" w:cs="Arial"/>
          <w:szCs w:val="24"/>
          <w:lang w:val="es-CO" w:eastAsia="es-CO"/>
        </w:rPr>
        <w:t>según lo informa</w:t>
      </w:r>
      <w:r w:rsidR="00052190">
        <w:rPr>
          <w:rFonts w:ascii="Arial" w:hAnsi="Arial" w:cs="Arial"/>
          <w:szCs w:val="24"/>
          <w:lang w:val="es-CO" w:eastAsia="es-CO"/>
        </w:rPr>
        <w:t>n</w:t>
      </w:r>
      <w:r w:rsidRPr="0019227F">
        <w:rPr>
          <w:rFonts w:ascii="Arial" w:hAnsi="Arial" w:cs="Arial"/>
          <w:szCs w:val="24"/>
          <w:lang w:val="es-CO" w:eastAsia="es-CO"/>
        </w:rPr>
        <w:t xml:space="preserve"> </w:t>
      </w:r>
      <w:r>
        <w:rPr>
          <w:rFonts w:ascii="Arial" w:hAnsi="Arial" w:cs="Arial"/>
          <w:szCs w:val="24"/>
          <w:lang w:val="es-CO" w:eastAsia="es-CO"/>
        </w:rPr>
        <w:t xml:space="preserve">la AFP </w:t>
      </w:r>
      <w:r w:rsidR="00052190">
        <w:rPr>
          <w:rFonts w:ascii="Arial" w:hAnsi="Arial" w:cs="Arial"/>
          <w:szCs w:val="24"/>
          <w:lang w:val="es-CO" w:eastAsia="es-CO"/>
        </w:rPr>
        <w:t>(Folios 23 a 25, ib.)</w:t>
      </w:r>
      <w:r w:rsidR="007A547E">
        <w:rPr>
          <w:rFonts w:ascii="Arial" w:hAnsi="Arial" w:cs="Arial"/>
          <w:szCs w:val="24"/>
          <w:lang w:val="es-CO" w:eastAsia="es-CO"/>
        </w:rPr>
        <w:t xml:space="preserve"> y</w:t>
      </w:r>
      <w:r>
        <w:rPr>
          <w:rFonts w:ascii="Arial" w:hAnsi="Arial" w:cs="Arial"/>
          <w:szCs w:val="24"/>
          <w:lang w:val="es-CO" w:eastAsia="es-CO"/>
        </w:rPr>
        <w:t xml:space="preserve"> la Oficina de Bonos Pensionales del Ministerio de Hacienda y Crédito Público</w:t>
      </w:r>
      <w:r w:rsidR="00052190">
        <w:rPr>
          <w:rFonts w:ascii="Arial" w:hAnsi="Arial" w:cs="Arial"/>
          <w:szCs w:val="24"/>
          <w:lang w:val="es-CO" w:eastAsia="es-CO"/>
        </w:rPr>
        <w:t xml:space="preserve"> (Folio 13 vto., ib.),</w:t>
      </w:r>
      <w:r w:rsidRPr="0019227F">
        <w:rPr>
          <w:rFonts w:ascii="Arial" w:hAnsi="Arial" w:cs="Arial"/>
          <w:szCs w:val="24"/>
          <w:lang w:val="es-CO" w:eastAsia="es-CO"/>
        </w:rPr>
        <w:t xml:space="preserve"> </w:t>
      </w:r>
      <w:r w:rsidR="00052190">
        <w:rPr>
          <w:rFonts w:ascii="Arial" w:hAnsi="Arial" w:cs="Arial"/>
          <w:szCs w:val="24"/>
          <w:lang w:val="es-CO" w:eastAsia="es-CO"/>
        </w:rPr>
        <w:t>el mismo se realizó</w:t>
      </w:r>
      <w:r w:rsidR="00A00204">
        <w:rPr>
          <w:rFonts w:ascii="Arial" w:hAnsi="Arial" w:cs="Arial"/>
          <w:szCs w:val="24"/>
          <w:lang w:val="es-CO" w:eastAsia="es-CO"/>
        </w:rPr>
        <w:t xml:space="preserve"> el día 02-09-2016</w:t>
      </w:r>
      <w:r w:rsidR="007A547E">
        <w:rPr>
          <w:rFonts w:ascii="Arial" w:hAnsi="Arial" w:cs="Arial"/>
          <w:szCs w:val="24"/>
          <w:lang w:val="es-CO" w:eastAsia="es-CO"/>
        </w:rPr>
        <w:t>, afirmación que el actor así lo reconoce (Folio 7, ib</w:t>
      </w:r>
      <w:r w:rsidR="00A00204">
        <w:rPr>
          <w:rFonts w:ascii="Arial" w:hAnsi="Arial" w:cs="Arial"/>
          <w:szCs w:val="24"/>
          <w:lang w:val="es-CO" w:eastAsia="es-CO"/>
        </w:rPr>
        <w:t>.</w:t>
      </w:r>
      <w:r w:rsidR="007A547E">
        <w:rPr>
          <w:rFonts w:ascii="Arial" w:hAnsi="Arial" w:cs="Arial"/>
          <w:szCs w:val="24"/>
          <w:lang w:val="es-CO" w:eastAsia="es-CO"/>
        </w:rPr>
        <w:t>).</w:t>
      </w:r>
      <w:r w:rsidRPr="0019227F">
        <w:rPr>
          <w:rFonts w:ascii="Arial" w:hAnsi="Arial"/>
          <w:szCs w:val="24"/>
        </w:rPr>
        <w:t xml:space="preserve"> </w:t>
      </w:r>
    </w:p>
    <w:p w:rsidR="0041291D" w:rsidRPr="00F06C11" w:rsidRDefault="0041291D" w:rsidP="0041291D">
      <w:pPr>
        <w:pStyle w:val="Corpsdetexte"/>
        <w:spacing w:line="360" w:lineRule="auto"/>
        <w:rPr>
          <w:rFonts w:ascii="Arial" w:hAnsi="Arial"/>
          <w:sz w:val="20"/>
          <w:szCs w:val="24"/>
        </w:rPr>
      </w:pPr>
    </w:p>
    <w:p w:rsidR="0041291D" w:rsidRPr="0019227F" w:rsidRDefault="0041291D" w:rsidP="0041291D">
      <w:pPr>
        <w:pStyle w:val="Corpsdetex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w:t>
      </w:r>
      <w:r w:rsidR="00A00204">
        <w:rPr>
          <w:rFonts w:ascii="Arial" w:hAnsi="Arial" w:cs="Arial"/>
          <w:szCs w:val="24"/>
          <w:lang w:val="es-CO" w:eastAsia="es-CO"/>
        </w:rPr>
        <w:t>de los derechos fundamentales</w:t>
      </w:r>
      <w:r w:rsidRPr="0019227F">
        <w:rPr>
          <w:rFonts w:ascii="Arial" w:hAnsi="Arial" w:cs="Arial"/>
          <w:szCs w:val="24"/>
          <w:lang w:val="es-CO" w:eastAsia="es-CO"/>
        </w:rPr>
        <w:t xml:space="preserve">, cesó; en consecuencia </w:t>
      </w:r>
      <w:r w:rsidRPr="0019227F">
        <w:rPr>
          <w:rFonts w:ascii="Arial" w:hAnsi="Arial" w:cs="Arial"/>
          <w:szCs w:val="24"/>
        </w:rPr>
        <w:t xml:space="preserve">no hay objeto jurídico sobre el cual fallar y la decisión que se adopte resultará inocua. De esta manera, se configura el hecho superado, pues la aludida pretensión se encuentra satisfecha y los derechos a salvo. </w:t>
      </w:r>
    </w:p>
    <w:p w:rsidR="0041291D" w:rsidRPr="00F06C11" w:rsidRDefault="0041291D" w:rsidP="0041291D">
      <w:pPr>
        <w:pStyle w:val="Corpsdetexte"/>
        <w:spacing w:line="360" w:lineRule="auto"/>
        <w:rPr>
          <w:rFonts w:ascii="Arial" w:hAnsi="Arial" w:cs="Arial"/>
          <w:sz w:val="20"/>
          <w:szCs w:val="24"/>
        </w:rPr>
      </w:pPr>
    </w:p>
    <w:p w:rsidR="007A547E" w:rsidRDefault="0041291D" w:rsidP="0041291D">
      <w:pPr>
        <w:pStyle w:val="Corpsdetexte"/>
        <w:spacing w:line="360" w:lineRule="auto"/>
        <w:rPr>
          <w:rFonts w:ascii="Arial" w:hAnsi="Arial"/>
          <w:szCs w:val="24"/>
        </w:rPr>
      </w:pPr>
      <w:r>
        <w:rPr>
          <w:rFonts w:ascii="Arial" w:hAnsi="Arial"/>
          <w:szCs w:val="24"/>
        </w:rPr>
        <w:lastRenderedPageBreak/>
        <w:t xml:space="preserve">No obstante lo anterior, es preciso resaltar </w:t>
      </w:r>
      <w:r w:rsidR="00A00204">
        <w:rPr>
          <w:rFonts w:ascii="Arial" w:hAnsi="Arial"/>
          <w:szCs w:val="24"/>
        </w:rPr>
        <w:t xml:space="preserve">que es inviable adelantar el estudio referente </w:t>
      </w:r>
      <w:r w:rsidR="007A547E">
        <w:rPr>
          <w:rFonts w:ascii="Arial" w:hAnsi="Arial"/>
          <w:szCs w:val="24"/>
        </w:rPr>
        <w:t xml:space="preserve">al reconocimiento y pago de </w:t>
      </w:r>
      <w:r w:rsidR="00A00204">
        <w:rPr>
          <w:rFonts w:ascii="Arial" w:hAnsi="Arial"/>
          <w:szCs w:val="24"/>
        </w:rPr>
        <w:t xml:space="preserve">la pensión familiar que refiere </w:t>
      </w:r>
      <w:r w:rsidR="007A547E">
        <w:rPr>
          <w:rFonts w:ascii="Arial" w:hAnsi="Arial"/>
          <w:szCs w:val="24"/>
        </w:rPr>
        <w:t xml:space="preserve">el accionante </w:t>
      </w:r>
      <w:r w:rsidR="00A00204">
        <w:rPr>
          <w:rFonts w:ascii="Arial" w:hAnsi="Arial"/>
          <w:szCs w:val="24"/>
        </w:rPr>
        <w:t xml:space="preserve">en el escrito arrimado </w:t>
      </w:r>
      <w:r w:rsidR="007A547E">
        <w:rPr>
          <w:rFonts w:ascii="Arial" w:hAnsi="Arial"/>
          <w:szCs w:val="24"/>
        </w:rPr>
        <w:t>ante esta instancia (Folio 7, ib.), porque no fue precisamente una pretensión de la tutela, que si se pasara por alto, implicaría atentar contra el derecho de defensa de las accionadas.</w:t>
      </w:r>
    </w:p>
    <w:p w:rsidR="007A547E" w:rsidRDefault="007A547E" w:rsidP="0041291D">
      <w:pPr>
        <w:pStyle w:val="Corpsdetexte"/>
        <w:spacing w:line="360" w:lineRule="auto"/>
        <w:rPr>
          <w:rFonts w:ascii="Arial" w:hAnsi="Arial"/>
          <w:szCs w:val="24"/>
        </w:rPr>
      </w:pPr>
    </w:p>
    <w:p w:rsidR="001D7939" w:rsidRDefault="007A547E" w:rsidP="0041291D">
      <w:pPr>
        <w:pStyle w:val="Corpsdetexte"/>
        <w:spacing w:line="360" w:lineRule="auto"/>
        <w:rPr>
          <w:rFonts w:ascii="Arial" w:hAnsi="Arial"/>
          <w:szCs w:val="24"/>
        </w:rPr>
      </w:pPr>
      <w:r>
        <w:rPr>
          <w:rFonts w:ascii="Arial" w:hAnsi="Arial"/>
          <w:szCs w:val="24"/>
        </w:rPr>
        <w:t xml:space="preserve">En todo caso, si en cuenta </w:t>
      </w:r>
      <w:r w:rsidR="001D7939">
        <w:rPr>
          <w:rFonts w:ascii="Arial" w:hAnsi="Arial"/>
          <w:szCs w:val="24"/>
        </w:rPr>
        <w:t xml:space="preserve">se tiene </w:t>
      </w:r>
      <w:r>
        <w:rPr>
          <w:rFonts w:ascii="Arial" w:hAnsi="Arial"/>
          <w:szCs w:val="24"/>
        </w:rPr>
        <w:t>que la solicitud relacionada con dicho trámite fue radicada por la señora María del Carmen González Suárez con anterioridad a que se solicitara el traslado de régimen</w:t>
      </w:r>
      <w:r w:rsidR="001D7939">
        <w:rPr>
          <w:rFonts w:ascii="Arial" w:hAnsi="Arial"/>
          <w:szCs w:val="24"/>
        </w:rPr>
        <w:t xml:space="preserve"> (Folio 12, cuaderno No.1)</w:t>
      </w:r>
      <w:r>
        <w:rPr>
          <w:rFonts w:ascii="Arial" w:hAnsi="Arial"/>
          <w:szCs w:val="24"/>
        </w:rPr>
        <w:t xml:space="preserve">, </w:t>
      </w:r>
      <w:r w:rsidR="001D7939">
        <w:rPr>
          <w:rFonts w:ascii="Arial" w:hAnsi="Arial"/>
          <w:szCs w:val="24"/>
        </w:rPr>
        <w:t xml:space="preserve">se advierte con claridad </w:t>
      </w:r>
      <w:r>
        <w:rPr>
          <w:rFonts w:ascii="Arial" w:hAnsi="Arial"/>
          <w:szCs w:val="24"/>
        </w:rPr>
        <w:t>la inexistencia de vulneración o amenaza</w:t>
      </w:r>
      <w:r w:rsidR="001D7939">
        <w:rPr>
          <w:rFonts w:ascii="Arial" w:hAnsi="Arial"/>
          <w:szCs w:val="24"/>
        </w:rPr>
        <w:t xml:space="preserve"> endilgada</w:t>
      </w:r>
      <w:r>
        <w:rPr>
          <w:rFonts w:ascii="Arial" w:hAnsi="Arial"/>
          <w:szCs w:val="24"/>
        </w:rPr>
        <w:t>, dada la premura de aquel pedimento</w:t>
      </w:r>
      <w:r w:rsidR="001D7939">
        <w:rPr>
          <w:rFonts w:ascii="Arial" w:hAnsi="Arial"/>
          <w:szCs w:val="24"/>
        </w:rPr>
        <w:t>,</w:t>
      </w:r>
      <w:r>
        <w:rPr>
          <w:rFonts w:ascii="Arial" w:hAnsi="Arial"/>
          <w:szCs w:val="24"/>
        </w:rPr>
        <w:t xml:space="preserve"> sin que aún se haya hecho efectivo el traslado</w:t>
      </w:r>
      <w:r w:rsidR="001D7939">
        <w:rPr>
          <w:rFonts w:ascii="Arial" w:hAnsi="Arial"/>
          <w:szCs w:val="24"/>
        </w:rPr>
        <w:t>,</w:t>
      </w:r>
      <w:r>
        <w:rPr>
          <w:rFonts w:ascii="Arial" w:hAnsi="Arial"/>
          <w:szCs w:val="24"/>
        </w:rPr>
        <w:t xml:space="preserve"> indispensable para que la AFP </w:t>
      </w:r>
      <w:r w:rsidR="001D7939">
        <w:rPr>
          <w:rFonts w:ascii="Arial" w:hAnsi="Arial"/>
          <w:szCs w:val="24"/>
        </w:rPr>
        <w:t xml:space="preserve">inicie </w:t>
      </w:r>
      <w:r>
        <w:rPr>
          <w:rFonts w:ascii="Arial" w:hAnsi="Arial"/>
          <w:szCs w:val="24"/>
        </w:rPr>
        <w:t xml:space="preserve">el trámite </w:t>
      </w:r>
      <w:r w:rsidR="001D7939">
        <w:rPr>
          <w:rFonts w:ascii="Arial" w:hAnsi="Arial"/>
          <w:szCs w:val="24"/>
        </w:rPr>
        <w:t xml:space="preserve">administrativo </w:t>
      </w:r>
      <w:r>
        <w:rPr>
          <w:rFonts w:ascii="Arial" w:hAnsi="Arial"/>
          <w:szCs w:val="24"/>
        </w:rPr>
        <w:t xml:space="preserve">de reconocimiento. </w:t>
      </w:r>
    </w:p>
    <w:p w:rsidR="001D7939" w:rsidRDefault="001D7939" w:rsidP="0041291D">
      <w:pPr>
        <w:pStyle w:val="Corpsdetexte"/>
        <w:spacing w:line="360" w:lineRule="auto"/>
        <w:rPr>
          <w:rFonts w:ascii="Arial" w:hAnsi="Arial"/>
          <w:szCs w:val="24"/>
        </w:rPr>
      </w:pPr>
    </w:p>
    <w:p w:rsidR="007A547E" w:rsidRPr="007A547E" w:rsidRDefault="007A547E" w:rsidP="0041291D">
      <w:pPr>
        <w:pStyle w:val="Corpsdetexte"/>
        <w:spacing w:line="360" w:lineRule="auto"/>
        <w:rPr>
          <w:rFonts w:ascii="Arial" w:hAnsi="Arial"/>
          <w:szCs w:val="24"/>
          <w:lang w:val="es-CO"/>
        </w:rPr>
      </w:pPr>
      <w:r>
        <w:rPr>
          <w:rFonts w:ascii="Arial" w:hAnsi="Arial"/>
          <w:szCs w:val="24"/>
        </w:rPr>
        <w:t xml:space="preserve">También es </w:t>
      </w:r>
      <w:r w:rsidR="00583786">
        <w:rPr>
          <w:rFonts w:ascii="Arial" w:hAnsi="Arial"/>
          <w:szCs w:val="24"/>
        </w:rPr>
        <w:t xml:space="preserve">del caso </w:t>
      </w:r>
      <w:r>
        <w:rPr>
          <w:rFonts w:ascii="Arial" w:hAnsi="Arial"/>
          <w:szCs w:val="24"/>
        </w:rPr>
        <w:t xml:space="preserve">señalar que se carece de prueba de </w:t>
      </w:r>
      <w:r w:rsidR="001D7939">
        <w:rPr>
          <w:rFonts w:ascii="Arial" w:hAnsi="Arial"/>
          <w:szCs w:val="24"/>
        </w:rPr>
        <w:t xml:space="preserve">una </w:t>
      </w:r>
      <w:r>
        <w:rPr>
          <w:rFonts w:ascii="Arial" w:hAnsi="Arial"/>
          <w:szCs w:val="24"/>
        </w:rPr>
        <w:t>petición posterior con el lleno de los requisitos</w:t>
      </w:r>
      <w:r w:rsidR="00583786">
        <w:rPr>
          <w:rFonts w:ascii="Arial" w:hAnsi="Arial"/>
          <w:szCs w:val="24"/>
        </w:rPr>
        <w:t xml:space="preserve"> expuestos por la AFP</w:t>
      </w:r>
      <w:r>
        <w:rPr>
          <w:rFonts w:ascii="Arial" w:hAnsi="Arial"/>
          <w:szCs w:val="24"/>
          <w:lang w:val="es-CO"/>
        </w:rPr>
        <w:t xml:space="preserve">, </w:t>
      </w:r>
      <w:r w:rsidR="001D7939">
        <w:rPr>
          <w:rFonts w:ascii="Arial" w:hAnsi="Arial"/>
          <w:szCs w:val="24"/>
          <w:lang w:val="es-CO"/>
        </w:rPr>
        <w:t>de tal suerte que,</w:t>
      </w:r>
      <w:r>
        <w:rPr>
          <w:rFonts w:ascii="Arial" w:hAnsi="Arial"/>
          <w:szCs w:val="24"/>
          <w:lang w:val="es-CO"/>
        </w:rPr>
        <w:t xml:space="preserve"> tampoco</w:t>
      </w:r>
      <w:r w:rsidR="001D7939">
        <w:rPr>
          <w:rFonts w:ascii="Arial" w:hAnsi="Arial"/>
          <w:szCs w:val="24"/>
          <w:lang w:val="es-CO"/>
        </w:rPr>
        <w:t>,</w:t>
      </w:r>
      <w:r>
        <w:rPr>
          <w:rFonts w:ascii="Arial" w:hAnsi="Arial"/>
          <w:szCs w:val="24"/>
          <w:lang w:val="es-CO"/>
        </w:rPr>
        <w:t xml:space="preserve"> se podría </w:t>
      </w:r>
      <w:r w:rsidR="001D7939">
        <w:rPr>
          <w:rFonts w:ascii="Arial" w:hAnsi="Arial"/>
          <w:szCs w:val="24"/>
          <w:lang w:val="es-CO"/>
        </w:rPr>
        <w:t xml:space="preserve">imputar </w:t>
      </w:r>
      <w:r>
        <w:rPr>
          <w:rFonts w:ascii="Arial" w:hAnsi="Arial"/>
          <w:szCs w:val="24"/>
          <w:lang w:val="es-CO"/>
        </w:rPr>
        <w:t>un quebranto de los derechos, cuando, ni siquiera, ha recibido el formulado debidamente diligenciado.</w:t>
      </w:r>
    </w:p>
    <w:p w:rsidR="0041291D" w:rsidRDefault="0041291D" w:rsidP="00156295">
      <w:pPr>
        <w:shd w:val="clear" w:color="auto" w:fill="FFFFFF"/>
        <w:spacing w:line="360" w:lineRule="auto"/>
        <w:jc w:val="both"/>
        <w:rPr>
          <w:rFonts w:ascii="Arial" w:hAnsi="Arial" w:cs="Arial"/>
          <w:color w:val="000000"/>
          <w:lang w:eastAsia="es-CO"/>
        </w:rPr>
      </w:pPr>
    </w:p>
    <w:p w:rsidR="00AC3A2B" w:rsidRPr="008A49EF" w:rsidRDefault="00AC3A2B" w:rsidP="00AC3A2B">
      <w:pPr>
        <w:pStyle w:val="Corpsdetexte"/>
        <w:spacing w:line="360" w:lineRule="auto"/>
        <w:rPr>
          <w:rFonts w:ascii="Arial" w:hAnsi="Arial"/>
          <w:szCs w:val="24"/>
        </w:rPr>
      </w:pPr>
      <w:r>
        <w:rPr>
          <w:rFonts w:ascii="Arial" w:hAnsi="Arial" w:cs="Arial"/>
          <w:iCs/>
          <w:szCs w:val="24"/>
        </w:rPr>
        <w:t xml:space="preserve">Así las cosas, </w:t>
      </w:r>
      <w:r w:rsidR="00806D08">
        <w:rPr>
          <w:rFonts w:ascii="Arial" w:hAnsi="Arial" w:cs="Arial"/>
          <w:iCs/>
          <w:szCs w:val="24"/>
        </w:rPr>
        <w:t>estima esta Magistratura</w:t>
      </w:r>
      <w:r>
        <w:rPr>
          <w:rFonts w:ascii="Arial" w:hAnsi="Arial" w:cs="Arial"/>
          <w:iCs/>
          <w:szCs w:val="24"/>
        </w:rPr>
        <w:t xml:space="preserve">, que no puede predicarse una violación </w:t>
      </w:r>
      <w:r w:rsidR="001D7939">
        <w:rPr>
          <w:rFonts w:ascii="Arial" w:hAnsi="Arial" w:cs="Arial"/>
          <w:iCs/>
          <w:szCs w:val="24"/>
        </w:rPr>
        <w:t>de los derechos fundamentales de la parte accionante, y por el contrario su pretensión principal se encuentra satisfecha.</w:t>
      </w:r>
    </w:p>
    <w:p w:rsidR="001C75AD" w:rsidRPr="00144906" w:rsidRDefault="001C75AD" w:rsidP="0017324D">
      <w:pPr>
        <w:shd w:val="clear" w:color="auto" w:fill="FFFFFF"/>
        <w:spacing w:line="360" w:lineRule="auto"/>
        <w:jc w:val="both"/>
        <w:rPr>
          <w:rFonts w:ascii="Arial" w:hAnsi="Arial" w:cs="Arial"/>
          <w:color w:val="000000"/>
          <w:sz w:val="20"/>
          <w:lang w:eastAsia="es-CO"/>
        </w:rPr>
      </w:pPr>
    </w:p>
    <w:p w:rsidR="000020DD"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Pr>
          <w:rFonts w:ascii="Arial" w:hAnsi="Arial"/>
          <w:smallCaps/>
          <w:sz w:val="28"/>
          <w:lang w:val="es-ES_tradnl"/>
        </w:rPr>
        <w:t>L</w:t>
      </w:r>
      <w:r w:rsidRPr="005664D7">
        <w:rPr>
          <w:rFonts w:ascii="Arial" w:hAnsi="Arial"/>
          <w:smallCaps/>
          <w:sz w:val="28"/>
          <w:lang w:val="es-ES_tradnl"/>
        </w:rPr>
        <w:t xml:space="preserve">as conclusiones </w:t>
      </w:r>
    </w:p>
    <w:p w:rsidR="000020DD" w:rsidRPr="00144906" w:rsidRDefault="000020DD" w:rsidP="000020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w:t>
      </w:r>
      <w:r w:rsidR="001D7939">
        <w:rPr>
          <w:rFonts w:ascii="Arial" w:hAnsi="Arial"/>
        </w:rPr>
        <w:t>: (i) Se declarará la carencia actual de objeto por el hecho superado; y, (ii) Se declarará improcedente el amparo frente a la Oficina de Bonos Pensionales del Ministerio de Hacienda y Crédito Público, por carecer de legitimación por pasiva.</w:t>
      </w:r>
      <w:r w:rsidR="001C75AD">
        <w:rPr>
          <w:rFonts w:ascii="Arial" w:hAnsi="Arial"/>
        </w:rPr>
        <w:t xml:space="preserve">  </w:t>
      </w:r>
    </w:p>
    <w:p w:rsidR="00B53A87" w:rsidRPr="00144906" w:rsidRDefault="00643FAA" w:rsidP="001C75AD">
      <w:pPr>
        <w:spacing w:line="360" w:lineRule="auto"/>
        <w:ind w:right="51"/>
        <w:jc w:val="both"/>
        <w:rPr>
          <w:rFonts w:ascii="Arial" w:hAnsi="Arial" w:cs="Arial"/>
          <w:sz w:val="20"/>
          <w:lang w:val="es-CO"/>
        </w:rPr>
      </w:pPr>
      <w:r>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Corpsdetex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144906" w:rsidRDefault="00B53A87" w:rsidP="00B53A87">
      <w:pPr>
        <w:pStyle w:val="Corpsdetexte"/>
        <w:spacing w:line="360" w:lineRule="auto"/>
        <w:jc w:val="center"/>
        <w:rPr>
          <w:rFonts w:ascii="Arial" w:hAnsi="Arial" w:cs="Arial"/>
          <w:bCs/>
          <w:smallCaps/>
          <w:sz w:val="16"/>
          <w:szCs w:val="22"/>
        </w:rPr>
      </w:pPr>
    </w:p>
    <w:p w:rsidR="006548DE" w:rsidRPr="0033247D" w:rsidRDefault="001D7939" w:rsidP="006548DE">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la carencia actual de objeto del amparo constitucional promovido por el señor Manuel Antonio Morales Naranjo contra </w:t>
      </w:r>
      <w:proofErr w:type="spellStart"/>
      <w:r>
        <w:rPr>
          <w:rFonts w:ascii="Arial" w:hAnsi="Arial" w:cs="Arial"/>
        </w:rPr>
        <w:t>Colpensiones</w:t>
      </w:r>
      <w:proofErr w:type="spellEnd"/>
      <w:r>
        <w:rPr>
          <w:rFonts w:ascii="Arial" w:hAnsi="Arial" w:cs="Arial"/>
        </w:rPr>
        <w:t xml:space="preserve"> y la AFP Protección por el hecho superado. </w:t>
      </w:r>
    </w:p>
    <w:p w:rsidR="00797B46" w:rsidRPr="00144906" w:rsidRDefault="00797B46" w:rsidP="00797B46">
      <w:pPr>
        <w:pStyle w:val="Corpsdetexte"/>
        <w:tabs>
          <w:tab w:val="clear" w:pos="708"/>
        </w:tabs>
        <w:spacing w:line="360" w:lineRule="auto"/>
        <w:ind w:left="360"/>
        <w:rPr>
          <w:rFonts w:ascii="Arial" w:hAnsi="Arial"/>
          <w:sz w:val="16"/>
          <w:szCs w:val="24"/>
        </w:rPr>
      </w:pPr>
    </w:p>
    <w:p w:rsidR="006548DE" w:rsidRDefault="00F643E7" w:rsidP="006548DE">
      <w:pPr>
        <w:pStyle w:val="Corpsdetexte"/>
        <w:numPr>
          <w:ilvl w:val="0"/>
          <w:numId w:val="6"/>
        </w:numPr>
        <w:tabs>
          <w:tab w:val="clear" w:pos="720"/>
          <w:tab w:val="num" w:pos="360"/>
        </w:tabs>
        <w:spacing w:line="360" w:lineRule="auto"/>
        <w:ind w:left="360"/>
        <w:rPr>
          <w:rFonts w:ascii="Arial" w:hAnsi="Arial"/>
        </w:rPr>
      </w:pPr>
      <w:r w:rsidRPr="006548DE">
        <w:rPr>
          <w:rFonts w:ascii="Arial" w:hAnsi="Arial"/>
          <w:szCs w:val="24"/>
        </w:rPr>
        <w:lastRenderedPageBreak/>
        <w:t xml:space="preserve">DECLARAR improcedente el amparo constitucional frente </w:t>
      </w:r>
      <w:r w:rsidR="006548DE">
        <w:rPr>
          <w:rFonts w:ascii="Arial" w:hAnsi="Arial"/>
          <w:szCs w:val="24"/>
        </w:rPr>
        <w:t xml:space="preserve">a </w:t>
      </w:r>
      <w:r w:rsidR="001D7939">
        <w:rPr>
          <w:rFonts w:ascii="Arial" w:hAnsi="Arial"/>
          <w:szCs w:val="24"/>
        </w:rPr>
        <w:t>la Oficina de Bonos Pensionales del Ministerio de Hacienda y Crédito Público</w:t>
      </w:r>
      <w:r w:rsidR="006548DE">
        <w:rPr>
          <w:rFonts w:ascii="Arial" w:hAnsi="Arial"/>
        </w:rPr>
        <w:t>.</w:t>
      </w:r>
    </w:p>
    <w:p w:rsidR="00E350FF" w:rsidRDefault="00E350FF" w:rsidP="00E350FF">
      <w:pPr>
        <w:pStyle w:val="Corpsdetexte"/>
        <w:tabs>
          <w:tab w:val="clear" w:pos="708"/>
        </w:tabs>
        <w:spacing w:line="360" w:lineRule="auto"/>
        <w:rPr>
          <w:rFonts w:ascii="Arial" w:hAnsi="Arial"/>
        </w:rPr>
      </w:pPr>
    </w:p>
    <w:p w:rsidR="00B53A87" w:rsidRDefault="00B53A87" w:rsidP="00B53A87">
      <w:pPr>
        <w:pStyle w:val="Corpsdetex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E275DD" w:rsidRPr="00B77970" w:rsidRDefault="00E275DD" w:rsidP="00E275DD">
      <w:pPr>
        <w:pStyle w:val="Corpsdetexte"/>
        <w:tabs>
          <w:tab w:val="clear" w:pos="708"/>
        </w:tabs>
        <w:spacing w:line="360" w:lineRule="auto"/>
        <w:ind w:left="360"/>
        <w:rPr>
          <w:rFonts w:ascii="Arial" w:hAnsi="Arial"/>
          <w:szCs w:val="24"/>
        </w:rPr>
      </w:pPr>
    </w:p>
    <w:p w:rsidR="00B53A87" w:rsidRPr="00B77970" w:rsidRDefault="00B53A87" w:rsidP="00B53A87">
      <w:pPr>
        <w:pStyle w:val="Corpsdetex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D477A0" w:rsidRDefault="00B53A87" w:rsidP="00B53A87">
      <w:pPr>
        <w:pStyle w:val="Corpsdetexte"/>
        <w:tabs>
          <w:tab w:val="clear" w:pos="708"/>
        </w:tabs>
        <w:spacing w:line="360" w:lineRule="auto"/>
        <w:rPr>
          <w:rFonts w:ascii="Arial" w:hAnsi="Arial"/>
          <w:sz w:val="20"/>
          <w:szCs w:val="24"/>
        </w:rPr>
      </w:pPr>
    </w:p>
    <w:p w:rsidR="00AC4804" w:rsidRPr="00075459" w:rsidRDefault="00B53A87" w:rsidP="00B53A8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075459" w:rsidRPr="00075459" w:rsidRDefault="00075459" w:rsidP="00075459">
      <w:pPr>
        <w:pStyle w:val="Paragraphedeliste"/>
        <w:rPr>
          <w:rFonts w:ascii="Arial" w:hAnsi="Arial" w:cs="Arial"/>
          <w:spacing w:val="-3"/>
        </w:rPr>
      </w:pPr>
    </w:p>
    <w:p w:rsidR="00126266" w:rsidRPr="00452004" w:rsidRDefault="00126266" w:rsidP="00126266">
      <w:pPr>
        <w:pStyle w:val="Corpsdetexte"/>
        <w:spacing w:line="360" w:lineRule="auto"/>
        <w:jc w:val="center"/>
        <w:rPr>
          <w:rFonts w:ascii="Arial" w:hAnsi="Arial"/>
          <w:smallCaps/>
          <w:szCs w:val="24"/>
          <w:lang w:val="en-GB"/>
        </w:rPr>
      </w:pPr>
      <w:proofErr w:type="spellStart"/>
      <w:r w:rsidRPr="00452004">
        <w:rPr>
          <w:rFonts w:ascii="Arial" w:hAnsi="Arial"/>
          <w:smallCaps/>
          <w:szCs w:val="24"/>
          <w:lang w:val="en-GB"/>
        </w:rPr>
        <w:t>Notifíquese</w:t>
      </w:r>
      <w:proofErr w:type="spellEnd"/>
      <w:r w:rsidRPr="00452004">
        <w:rPr>
          <w:rFonts w:ascii="Arial" w:hAnsi="Arial"/>
          <w:smallCaps/>
          <w:szCs w:val="24"/>
          <w:lang w:val="en-GB"/>
        </w:rPr>
        <w:t>,</w:t>
      </w:r>
    </w:p>
    <w:p w:rsidR="00726918" w:rsidRPr="00452004" w:rsidRDefault="00BA3070" w:rsidP="00BA3070">
      <w:pPr>
        <w:pStyle w:val="Corpsdetexte"/>
        <w:spacing w:line="360" w:lineRule="auto"/>
        <w:jc w:val="right"/>
        <w:rPr>
          <w:rFonts w:ascii="Arial" w:hAnsi="Arial"/>
          <w:szCs w:val="24"/>
          <w:lang w:val="en-GB"/>
        </w:rPr>
      </w:pPr>
      <w:r w:rsidRPr="00FB14AC">
        <w:rPr>
          <w:rFonts w:ascii="Arial" w:hAnsi="Arial"/>
          <w:w w:val="150"/>
          <w:szCs w:val="24"/>
          <w:lang w:val="en-GB"/>
        </w:rPr>
        <w:tab/>
      </w:r>
    </w:p>
    <w:p w:rsidR="005900E8" w:rsidRPr="00452004" w:rsidRDefault="005900E8" w:rsidP="00C641FE">
      <w:pPr>
        <w:pStyle w:val="Corpsdetexte"/>
        <w:spacing w:line="360" w:lineRule="auto"/>
        <w:jc w:val="center"/>
        <w:rPr>
          <w:rFonts w:ascii="Arial" w:hAnsi="Arial"/>
          <w:sz w:val="40"/>
          <w:szCs w:val="24"/>
          <w:lang w:val="en-GB"/>
        </w:rPr>
      </w:pPr>
    </w:p>
    <w:p w:rsidR="00806D08" w:rsidRPr="00452004" w:rsidRDefault="00806D08" w:rsidP="00C641FE">
      <w:pPr>
        <w:pStyle w:val="Corpsdetexte"/>
        <w:spacing w:line="360" w:lineRule="auto"/>
        <w:jc w:val="center"/>
        <w:rPr>
          <w:rFonts w:ascii="Arial" w:hAnsi="Arial"/>
          <w:sz w:val="4"/>
          <w:szCs w:val="24"/>
          <w:lang w:val="en-GB"/>
        </w:rPr>
      </w:pPr>
    </w:p>
    <w:p w:rsidR="00951517" w:rsidRPr="00452004"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452004">
        <w:rPr>
          <w:rFonts w:ascii="Arial" w:hAnsi="Arial" w:cs="Arial"/>
          <w:i/>
          <w:spacing w:val="-3"/>
          <w:w w:val="150"/>
          <w:sz w:val="28"/>
          <w:lang w:val="en-GB"/>
        </w:rPr>
        <w:t>D</w:t>
      </w:r>
      <w:r w:rsidRPr="00452004">
        <w:rPr>
          <w:rFonts w:ascii="Arial" w:hAnsi="Arial" w:cs="Arial"/>
          <w:i/>
          <w:spacing w:val="-3"/>
          <w:w w:val="150"/>
          <w:sz w:val="18"/>
          <w:szCs w:val="16"/>
          <w:lang w:val="en-GB"/>
        </w:rPr>
        <w:t>UBERNEY</w:t>
      </w:r>
      <w:proofErr w:type="spellEnd"/>
      <w:r w:rsidRPr="00452004">
        <w:rPr>
          <w:rFonts w:ascii="Arial" w:hAnsi="Arial" w:cs="Arial"/>
          <w:i/>
          <w:spacing w:val="-3"/>
          <w:w w:val="150"/>
          <w:sz w:val="18"/>
          <w:szCs w:val="16"/>
          <w:lang w:val="en-GB"/>
        </w:rPr>
        <w:t xml:space="preserve"> </w:t>
      </w:r>
      <w:proofErr w:type="spellStart"/>
      <w:r w:rsidRPr="00452004">
        <w:rPr>
          <w:rFonts w:ascii="Arial" w:hAnsi="Arial" w:cs="Arial"/>
          <w:i/>
          <w:spacing w:val="-3"/>
          <w:w w:val="150"/>
          <w:sz w:val="28"/>
          <w:lang w:val="en-GB"/>
        </w:rPr>
        <w:t>G</w:t>
      </w:r>
      <w:r w:rsidRPr="00452004">
        <w:rPr>
          <w:rFonts w:ascii="Arial" w:hAnsi="Arial" w:cs="Arial"/>
          <w:i/>
          <w:spacing w:val="-3"/>
          <w:w w:val="150"/>
          <w:sz w:val="18"/>
          <w:szCs w:val="16"/>
          <w:lang w:val="en-GB"/>
        </w:rPr>
        <w:t>RISALES</w:t>
      </w:r>
      <w:proofErr w:type="spellEnd"/>
      <w:r w:rsidRPr="00452004">
        <w:rPr>
          <w:rFonts w:ascii="Arial" w:hAnsi="Arial" w:cs="Arial"/>
          <w:i/>
          <w:spacing w:val="-3"/>
          <w:w w:val="150"/>
          <w:sz w:val="18"/>
          <w:szCs w:val="16"/>
          <w:lang w:val="en-GB"/>
        </w:rPr>
        <w:t xml:space="preserve"> </w:t>
      </w:r>
      <w:r w:rsidRPr="00452004">
        <w:rPr>
          <w:rFonts w:ascii="Arial" w:hAnsi="Arial" w:cs="Arial"/>
          <w:i/>
          <w:spacing w:val="-3"/>
          <w:w w:val="150"/>
          <w:sz w:val="28"/>
          <w:lang w:val="en-GB"/>
        </w:rPr>
        <w:t>H</w:t>
      </w:r>
      <w:r w:rsidRPr="00452004">
        <w:rPr>
          <w:rFonts w:ascii="Arial" w:hAnsi="Arial" w:cs="Arial"/>
          <w:i/>
          <w:spacing w:val="-3"/>
          <w:w w:val="150"/>
          <w:sz w:val="18"/>
          <w:szCs w:val="16"/>
          <w:lang w:val="en-GB"/>
        </w:rPr>
        <w:t>ERRERA</w:t>
      </w:r>
    </w:p>
    <w:p w:rsidR="00951517" w:rsidRPr="00452004"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452004">
        <w:rPr>
          <w:rFonts w:ascii="Arial" w:hAnsi="Arial" w:cs="Arial"/>
          <w:i/>
          <w:spacing w:val="-3"/>
          <w:w w:val="150"/>
          <w:sz w:val="28"/>
          <w:lang w:val="en-GB"/>
        </w:rPr>
        <w:t>M</w:t>
      </w:r>
      <w:r w:rsidRPr="00452004">
        <w:rPr>
          <w:rFonts w:ascii="Arial" w:hAnsi="Arial" w:cs="Arial"/>
          <w:i/>
          <w:spacing w:val="-3"/>
          <w:w w:val="150"/>
          <w:lang w:val="en-GB"/>
        </w:rPr>
        <w:t xml:space="preserve"> </w:t>
      </w:r>
      <w:r w:rsidRPr="00452004">
        <w:rPr>
          <w:rFonts w:ascii="Arial" w:hAnsi="Arial" w:cs="Arial"/>
          <w:i/>
          <w:spacing w:val="-3"/>
          <w:w w:val="150"/>
          <w:sz w:val="18"/>
          <w:szCs w:val="20"/>
          <w:lang w:val="en-GB"/>
        </w:rPr>
        <w:t>A G I S T R A D O</w:t>
      </w:r>
    </w:p>
    <w:p w:rsidR="00BE5D79" w:rsidRPr="00452004"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4E2B44" w:rsidRPr="00452004"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GB"/>
        </w:rPr>
      </w:pPr>
    </w:p>
    <w:p w:rsidR="00BE5D79" w:rsidRPr="00452004"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n-GB"/>
        </w:rPr>
      </w:pPr>
    </w:p>
    <w:p w:rsidR="00951517" w:rsidRPr="00452004"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951517" w:rsidRPr="00452004"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452004">
        <w:rPr>
          <w:rFonts w:ascii="Arial" w:hAnsi="Arial"/>
          <w:i/>
          <w:w w:val="150"/>
          <w:sz w:val="28"/>
          <w:szCs w:val="18"/>
          <w:lang w:val="en-GB"/>
        </w:rPr>
        <w:t>E</w:t>
      </w:r>
      <w:r w:rsidRPr="00452004">
        <w:rPr>
          <w:rFonts w:ascii="Arial" w:hAnsi="Arial"/>
          <w:i/>
          <w:w w:val="150"/>
          <w:sz w:val="18"/>
          <w:szCs w:val="18"/>
          <w:lang w:val="en-GB"/>
        </w:rPr>
        <w:t>DDER</w:t>
      </w:r>
      <w:proofErr w:type="spellEnd"/>
      <w:r w:rsidRPr="00452004">
        <w:rPr>
          <w:rFonts w:ascii="Arial" w:hAnsi="Arial"/>
          <w:i/>
          <w:w w:val="150"/>
          <w:sz w:val="18"/>
          <w:lang w:val="en-GB"/>
        </w:rPr>
        <w:t xml:space="preserve"> </w:t>
      </w:r>
      <w:r w:rsidRPr="00452004">
        <w:rPr>
          <w:rFonts w:ascii="Arial" w:hAnsi="Arial"/>
          <w:i/>
          <w:w w:val="150"/>
          <w:sz w:val="28"/>
          <w:lang w:val="en-GB"/>
        </w:rPr>
        <w:t>J</w:t>
      </w:r>
      <w:r w:rsidRPr="00452004">
        <w:rPr>
          <w:rFonts w:ascii="Arial" w:hAnsi="Arial"/>
          <w:i/>
          <w:w w:val="150"/>
          <w:sz w:val="18"/>
          <w:szCs w:val="18"/>
          <w:lang w:val="en-GB"/>
        </w:rPr>
        <w:t xml:space="preserve">IMMY </w:t>
      </w:r>
      <w:r w:rsidRPr="00452004">
        <w:rPr>
          <w:rFonts w:ascii="Arial" w:hAnsi="Arial"/>
          <w:i/>
          <w:w w:val="150"/>
          <w:sz w:val="28"/>
          <w:lang w:val="en-GB"/>
        </w:rPr>
        <w:t>S</w:t>
      </w:r>
      <w:r w:rsidRPr="00452004">
        <w:rPr>
          <w:rFonts w:ascii="Arial" w:hAnsi="Arial"/>
          <w:i/>
          <w:w w:val="150"/>
          <w:sz w:val="18"/>
          <w:szCs w:val="18"/>
          <w:lang w:val="en-GB"/>
        </w:rPr>
        <w:t xml:space="preserve">ÁNCHEZ </w:t>
      </w:r>
      <w:r w:rsidRPr="00452004">
        <w:rPr>
          <w:rFonts w:ascii="Arial" w:hAnsi="Arial"/>
          <w:i/>
          <w:w w:val="150"/>
          <w:sz w:val="28"/>
          <w:szCs w:val="18"/>
          <w:lang w:val="en-GB"/>
        </w:rPr>
        <w:t>C.</w:t>
      </w:r>
      <w:proofErr w:type="gramEnd"/>
      <w:r w:rsidRPr="00452004">
        <w:rPr>
          <w:rFonts w:ascii="Arial" w:hAnsi="Arial"/>
          <w:i/>
          <w:w w:val="150"/>
          <w:sz w:val="28"/>
          <w:szCs w:val="18"/>
          <w:lang w:val="en-GB"/>
        </w:rPr>
        <w:tab/>
      </w:r>
      <w:r w:rsidRPr="00452004">
        <w:rPr>
          <w:rFonts w:ascii="Arial" w:hAnsi="Arial"/>
          <w:i/>
          <w:w w:val="150"/>
          <w:sz w:val="28"/>
          <w:szCs w:val="18"/>
          <w:lang w:val="en-GB"/>
        </w:rPr>
        <w:tab/>
      </w:r>
      <w:r w:rsidRPr="00452004">
        <w:rPr>
          <w:rFonts w:ascii="Arial" w:hAnsi="Arial" w:cs="Arial"/>
          <w:i/>
          <w:spacing w:val="-3"/>
          <w:w w:val="150"/>
          <w:sz w:val="28"/>
          <w:szCs w:val="18"/>
          <w:lang w:val="en-GB"/>
        </w:rPr>
        <w:t>J</w:t>
      </w:r>
      <w:r w:rsidRPr="00452004">
        <w:rPr>
          <w:rFonts w:ascii="Arial" w:hAnsi="Arial" w:cs="Arial"/>
          <w:i/>
          <w:spacing w:val="-3"/>
          <w:w w:val="150"/>
          <w:sz w:val="18"/>
          <w:szCs w:val="18"/>
          <w:lang w:val="en-GB"/>
        </w:rPr>
        <w:t xml:space="preserve">AIME </w:t>
      </w:r>
      <w:r w:rsidRPr="00452004">
        <w:rPr>
          <w:rFonts w:ascii="Arial" w:hAnsi="Arial" w:cs="Arial"/>
          <w:i/>
          <w:spacing w:val="-3"/>
          <w:w w:val="150"/>
          <w:sz w:val="28"/>
          <w:szCs w:val="18"/>
          <w:lang w:val="en-GB"/>
        </w:rPr>
        <w:t>A</w:t>
      </w:r>
      <w:r w:rsidRPr="00452004">
        <w:rPr>
          <w:rFonts w:ascii="Arial" w:hAnsi="Arial"/>
          <w:i/>
          <w:w w:val="150"/>
          <w:sz w:val="18"/>
          <w:szCs w:val="18"/>
          <w:lang w:val="en-GB"/>
        </w:rPr>
        <w:t xml:space="preserve">LBERTO </w:t>
      </w:r>
      <w:proofErr w:type="spellStart"/>
      <w:r w:rsidRPr="00452004">
        <w:rPr>
          <w:rFonts w:ascii="Arial" w:hAnsi="Arial" w:cs="Arial"/>
          <w:i/>
          <w:spacing w:val="-3"/>
          <w:w w:val="150"/>
          <w:sz w:val="28"/>
          <w:szCs w:val="18"/>
          <w:lang w:val="en-GB"/>
        </w:rPr>
        <w:t>S</w:t>
      </w:r>
      <w:r w:rsidRPr="00452004">
        <w:rPr>
          <w:rFonts w:ascii="Arial" w:hAnsi="Arial" w:cs="Arial"/>
          <w:i/>
          <w:spacing w:val="-3"/>
          <w:w w:val="150"/>
          <w:sz w:val="18"/>
          <w:szCs w:val="16"/>
          <w:lang w:val="en-GB"/>
        </w:rPr>
        <w:t>ARAZA</w:t>
      </w:r>
      <w:proofErr w:type="spellEnd"/>
      <w:r w:rsidRPr="00452004">
        <w:rPr>
          <w:rFonts w:ascii="Arial" w:hAnsi="Arial" w:cs="Arial"/>
          <w:i/>
          <w:spacing w:val="-3"/>
          <w:w w:val="150"/>
          <w:sz w:val="18"/>
          <w:szCs w:val="16"/>
          <w:lang w:val="en-GB"/>
        </w:rPr>
        <w:t xml:space="preserve"> </w:t>
      </w:r>
      <w:r w:rsidRPr="00452004">
        <w:rPr>
          <w:rFonts w:ascii="Arial" w:hAnsi="Arial" w:cs="Arial"/>
          <w:i/>
          <w:spacing w:val="-3"/>
          <w:w w:val="150"/>
          <w:sz w:val="28"/>
          <w:szCs w:val="18"/>
          <w:lang w:val="en-GB"/>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452004">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bookmarkStart w:id="0" w:name="_GoBack"/>
      <w:bookmarkEnd w:id="0"/>
      <w:r w:rsidRPr="00D9225F">
        <w:rPr>
          <w:rFonts w:ascii="Arial" w:hAnsi="Arial"/>
          <w:w w:val="150"/>
          <w:sz w:val="10"/>
          <w:szCs w:val="10"/>
          <w:lang w:val="en-US"/>
        </w:rPr>
        <w:t>DGH/</w:t>
      </w:r>
      <w:r w:rsidR="00BE5D79">
        <w:rPr>
          <w:rFonts w:ascii="Arial" w:hAnsi="Arial"/>
          <w:w w:val="150"/>
          <w:sz w:val="10"/>
          <w:szCs w:val="10"/>
          <w:lang w:val="en-US"/>
        </w:rPr>
        <w:t>ODCD</w:t>
      </w:r>
      <w:r w:rsidR="00F8054D">
        <w:rPr>
          <w:rFonts w:ascii="Arial" w:hAnsi="Arial"/>
          <w:w w:val="150"/>
          <w:sz w:val="10"/>
          <w:szCs w:val="10"/>
          <w:lang w:val="en-US"/>
        </w:rPr>
        <w:t>/2016</w:t>
      </w:r>
    </w:p>
    <w:sectPr w:rsidR="00A955B1" w:rsidSect="004B79E0">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D1" w:rsidRDefault="006836D1" w:rsidP="0099045D">
      <w:r>
        <w:separator/>
      </w:r>
    </w:p>
  </w:endnote>
  <w:endnote w:type="continuationSeparator" w:id="0">
    <w:p w:rsidR="006836D1" w:rsidRDefault="006836D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D1" w:rsidRDefault="006836D1" w:rsidP="0099045D">
      <w:r>
        <w:separator/>
      </w:r>
    </w:p>
  </w:footnote>
  <w:footnote w:type="continuationSeparator" w:id="0">
    <w:p w:rsidR="006836D1" w:rsidRDefault="006836D1" w:rsidP="0099045D">
      <w:r>
        <w:continuationSeparator/>
      </w:r>
    </w:p>
  </w:footnote>
  <w:footnote w:id="1">
    <w:p w:rsidR="00112A4F" w:rsidRPr="0075099F" w:rsidRDefault="00112A4F" w:rsidP="00112A4F">
      <w:pPr>
        <w:pStyle w:val="Notedebasdepage"/>
        <w:rPr>
          <w:rFonts w:ascii="Calibri" w:hAnsi="Calibr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Pr>
          <w:rFonts w:asciiTheme="minorHAnsi" w:hAnsiTheme="minorHAnsi" w:cs="Courier New"/>
          <w:lang w:val="es-CO"/>
        </w:rPr>
        <w:t>CC. S</w:t>
      </w:r>
      <w:r w:rsidRPr="0075099F">
        <w:rPr>
          <w:rFonts w:ascii="Calibri" w:hAnsi="Calibri" w:cs="Courier New"/>
          <w:lang w:val="es-CO"/>
        </w:rPr>
        <w:t xml:space="preserve">entencia </w:t>
      </w:r>
      <w:hyperlink r:id="rId1" w:history="1">
        <w:r w:rsidRPr="0075099F">
          <w:rPr>
            <w:rStyle w:val="Lienhypertexte"/>
            <w:rFonts w:ascii="Calibri" w:hAnsi="Calibri" w:cs="Courier New"/>
            <w:color w:val="auto"/>
            <w:u w:val="none"/>
            <w:lang w:val="es-CO"/>
          </w:rPr>
          <w:t> SU-499 de 2016</w:t>
        </w:r>
      </w:hyperlink>
      <w:r w:rsidRPr="0075099F">
        <w:rPr>
          <w:rFonts w:ascii="Calibri" w:hAnsi="Calibri" w:cs="Courier New"/>
          <w:lang w:val="es-CO"/>
        </w:rPr>
        <w:t xml:space="preserve">. </w:t>
      </w:r>
    </w:p>
  </w:footnote>
  <w:footnote w:id="2">
    <w:p w:rsidR="00112A4F" w:rsidRPr="000C6F22" w:rsidRDefault="00112A4F" w:rsidP="00112A4F">
      <w:pPr>
        <w:pStyle w:val="Notedebasdepage"/>
        <w:jc w:val="both"/>
        <w:rPr>
          <w:rFonts w:asciiTheme="minorHAnsi" w:hAnsiTheme="minorHAnsi"/>
          <w:b/>
        </w:rPr>
      </w:pPr>
      <w:r w:rsidRPr="000C6F22">
        <w:rPr>
          <w:rStyle w:val="Appelnotedebasdep"/>
          <w:rFonts w:asciiTheme="minorHAnsi" w:hAnsiTheme="minorHAnsi"/>
          <w:lang w:val="es-CO"/>
        </w:rPr>
        <w:footnoteRef/>
      </w:r>
      <w:r w:rsidRPr="000C6F22">
        <w:rPr>
          <w:rFonts w:asciiTheme="minorHAnsi" w:hAnsiTheme="minorHAnsi"/>
          <w:lang w:val="es-CO"/>
        </w:rPr>
        <w:t xml:space="preserve"> </w:t>
      </w:r>
      <w:r>
        <w:rPr>
          <w:rFonts w:asciiTheme="minorHAnsi" w:hAnsiTheme="minorHAnsi"/>
          <w:lang w:val="es-CO"/>
        </w:rPr>
        <w:t>CSJ</w:t>
      </w:r>
      <w:r w:rsidRPr="000C6F22">
        <w:rPr>
          <w:rFonts w:asciiTheme="minorHAnsi" w:hAnsiTheme="minorHAnsi"/>
          <w:lang w:val="es-CO"/>
        </w:rPr>
        <w:t xml:space="preserve">, Sala de Casación Civil. Sentencia </w:t>
      </w:r>
      <w:r>
        <w:rPr>
          <w:rFonts w:asciiTheme="minorHAnsi" w:hAnsiTheme="minorHAnsi"/>
        </w:rPr>
        <w:t>STC10329-</w:t>
      </w:r>
      <w:r w:rsidRPr="000C6F22">
        <w:rPr>
          <w:rFonts w:asciiTheme="minorHAnsi" w:hAnsiTheme="minorHAnsi"/>
        </w:rPr>
        <w:t>2015.</w:t>
      </w:r>
    </w:p>
  </w:footnote>
  <w:footnote w:id="3">
    <w:p w:rsidR="00112A4F" w:rsidRDefault="00112A4F" w:rsidP="00112A4F">
      <w:pPr>
        <w:pStyle w:val="Notedebasdepage"/>
        <w:rPr>
          <w:rFonts w:asciiTheme="minorHAnsi" w:hAnsiTheme="minorHAnsi"/>
          <w:lang w:val="es-CO"/>
        </w:rPr>
      </w:pPr>
      <w:r>
        <w:rPr>
          <w:rStyle w:val="Appelnotedebasdep"/>
          <w:rFonts w:asciiTheme="minorHAnsi" w:hAnsiTheme="minorHAnsi"/>
        </w:rPr>
        <w:footnoteRef/>
      </w:r>
      <w:r w:rsidRPr="00C21DEC">
        <w:rPr>
          <w:rFonts w:asciiTheme="minorHAnsi" w:hAnsiTheme="minorHAnsi"/>
          <w:lang w:val="es-CO"/>
        </w:rPr>
        <w:t xml:space="preserve"> </w:t>
      </w:r>
      <w:r>
        <w:rPr>
          <w:rFonts w:asciiTheme="minorHAnsi" w:hAnsiTheme="minorHAnsi"/>
          <w:lang w:val="es-CO"/>
        </w:rPr>
        <w:t>CC</w:t>
      </w:r>
      <w:r w:rsidRPr="00C21DEC">
        <w:rPr>
          <w:rFonts w:asciiTheme="minorHAnsi" w:hAnsiTheme="minorHAnsi"/>
          <w:lang w:val="es-CO"/>
        </w:rPr>
        <w:t xml:space="preserve">.  </w:t>
      </w:r>
      <w:r>
        <w:rPr>
          <w:rFonts w:asciiTheme="minorHAnsi" w:hAnsiTheme="minorHAnsi"/>
          <w:lang w:val="es-CO"/>
        </w:rPr>
        <w:t>Sentencia</w:t>
      </w:r>
      <w:r w:rsidRPr="00C21DEC">
        <w:rPr>
          <w:rFonts w:asciiTheme="minorHAnsi" w:hAnsiTheme="minorHAnsi"/>
          <w:lang w:val="es-CO"/>
        </w:rPr>
        <w:t xml:space="preserve"> T-217 de</w:t>
      </w:r>
      <w:r>
        <w:rPr>
          <w:rFonts w:asciiTheme="minorHAnsi" w:hAnsiTheme="minorHAnsi"/>
          <w:lang w:val="es-CO"/>
        </w:rPr>
        <w:t xml:space="preserve"> </w:t>
      </w:r>
      <w:r w:rsidRPr="00C21DEC">
        <w:rPr>
          <w:rFonts w:asciiTheme="minorHAnsi" w:hAnsiTheme="minorHAnsi"/>
          <w:lang w:val="es-CO"/>
        </w:rPr>
        <w:t>2013.</w:t>
      </w:r>
    </w:p>
  </w:footnote>
  <w:footnote w:id="4">
    <w:p w:rsidR="00112A4F" w:rsidRPr="00C21DEC" w:rsidRDefault="00112A4F" w:rsidP="00112A4F">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Pr>
          <w:rFonts w:asciiTheme="minorHAnsi" w:hAnsiTheme="minorHAnsi"/>
          <w:lang w:val="es-CO"/>
        </w:rPr>
        <w:t>CC</w:t>
      </w:r>
      <w:r w:rsidRPr="00C21DEC">
        <w:rPr>
          <w:rFonts w:asciiTheme="minorHAnsi" w:hAnsiTheme="minorHAnsi"/>
          <w:lang w:val="es-CO"/>
        </w:rPr>
        <w:t xml:space="preserve">.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T-600 de 2002.</w:t>
      </w:r>
    </w:p>
  </w:footnote>
  <w:footnote w:id="5">
    <w:p w:rsidR="00112A4F" w:rsidRPr="00C21DEC" w:rsidRDefault="00112A4F" w:rsidP="00112A4F">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Pr>
          <w:rFonts w:asciiTheme="minorHAnsi" w:hAnsiTheme="minorHAnsi"/>
          <w:lang w:val="es-CO"/>
        </w:rPr>
        <w:t>CC</w:t>
      </w:r>
      <w:r w:rsidRPr="00C21DEC">
        <w:rPr>
          <w:rFonts w:asciiTheme="minorHAnsi" w:hAnsiTheme="minorHAnsi"/>
          <w:lang w:val="es-CO"/>
        </w:rPr>
        <w:t xml:space="preserve">.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 xml:space="preserve">T-046 de 1995. </w:t>
      </w:r>
      <w:smartTag w:uri="urn:schemas-microsoft-com:office:smarttags" w:element="PersonName">
        <w:smartTagPr>
          <w:attr w:name="ProductID" w:val="la Sala"/>
        </w:smartTagPr>
        <w:r>
          <w:rPr>
            <w:rFonts w:asciiTheme="minorHAnsi" w:hAnsiTheme="minorHAnsi" w:cs="Calibri"/>
            <w:lang w:val="es-CO"/>
          </w:rPr>
          <w:t>La Corte</w:t>
        </w:r>
      </w:smartTag>
      <w:r>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Pr>
            <w:rFonts w:asciiTheme="minorHAnsi" w:hAnsiTheme="minorHAnsi" w:cs="Calibri"/>
            <w:lang w:val="es-CO"/>
          </w:rPr>
          <w:t>La Sala</w:t>
        </w:r>
      </w:smartTag>
      <w:r>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6">
    <w:p w:rsidR="00112A4F" w:rsidRPr="00452004" w:rsidRDefault="00112A4F" w:rsidP="00112A4F">
      <w:pPr>
        <w:pStyle w:val="Notedebasdepage"/>
        <w:jc w:val="both"/>
        <w:rPr>
          <w:rFonts w:asciiTheme="minorHAnsi" w:hAnsiTheme="minorHAnsi" w:cs="Calibri"/>
          <w:lang w:val="fr-FR"/>
        </w:rPr>
      </w:pPr>
      <w:r>
        <w:rPr>
          <w:rFonts w:asciiTheme="minorHAnsi" w:hAnsiTheme="minorHAnsi" w:cs="Calibri"/>
          <w:vertAlign w:val="superscript"/>
        </w:rPr>
        <w:footnoteRef/>
      </w:r>
      <w:r w:rsidRPr="00452004">
        <w:rPr>
          <w:rFonts w:asciiTheme="minorHAnsi" w:hAnsiTheme="minorHAnsi" w:cs="Calibri"/>
          <w:lang w:val="fr-FR"/>
        </w:rPr>
        <w:t xml:space="preserve"> </w:t>
      </w:r>
      <w:r w:rsidRPr="00452004">
        <w:rPr>
          <w:rFonts w:asciiTheme="minorHAnsi" w:hAnsiTheme="minorHAnsi"/>
          <w:lang w:val="fr-FR"/>
        </w:rPr>
        <w:t xml:space="preserve">CC.  Sentencias </w:t>
      </w:r>
      <w:r w:rsidRPr="00452004">
        <w:rPr>
          <w:rFonts w:asciiTheme="minorHAnsi" w:hAnsiTheme="minorHAnsi" w:cs="Calibri"/>
          <w:lang w:val="fr-FR"/>
        </w:rPr>
        <w:t>T-100 de 1994, T-256 de 1995, T-325 de 1995, T-455 de 1996, T-459 de 1996, T-083 de 1997 y SU-133 de 1998.</w:t>
      </w:r>
    </w:p>
  </w:footnote>
  <w:footnote w:id="7">
    <w:p w:rsidR="00112A4F" w:rsidRDefault="00112A4F" w:rsidP="00112A4F">
      <w:pPr>
        <w:pStyle w:val="Notedebasdepag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Pr>
          <w:rFonts w:asciiTheme="minorHAnsi" w:hAnsiTheme="minorHAnsi"/>
          <w:lang w:val="es-CO"/>
        </w:rPr>
        <w:t>CC</w:t>
      </w:r>
      <w:r w:rsidRPr="00C21DEC">
        <w:rPr>
          <w:rFonts w:asciiTheme="minorHAnsi" w:hAnsiTheme="minorHAnsi"/>
          <w:lang w:val="es-CO"/>
        </w:rPr>
        <w:t xml:space="preserve">.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41291D" w:rsidRPr="00452004"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52004">
        <w:rPr>
          <w:rFonts w:asciiTheme="minorHAnsi" w:hAnsiTheme="minorHAnsi"/>
          <w:lang w:val="fr-FR"/>
        </w:rPr>
        <w:t xml:space="preserve"> </w:t>
      </w:r>
      <w:r w:rsidR="00112A4F" w:rsidRPr="00452004">
        <w:rPr>
          <w:rFonts w:asciiTheme="minorHAnsi" w:hAnsiTheme="minorHAnsi"/>
          <w:lang w:val="fr-FR"/>
        </w:rPr>
        <w:t>CC</w:t>
      </w:r>
      <w:r w:rsidRPr="00452004">
        <w:rPr>
          <w:rFonts w:asciiTheme="minorHAnsi" w:hAnsiTheme="minorHAnsi"/>
          <w:lang w:val="fr-FR"/>
        </w:rPr>
        <w:t>. Sentencia T-970 de 2014.</w:t>
      </w:r>
    </w:p>
  </w:footnote>
  <w:footnote w:id="9">
    <w:p w:rsidR="0041291D" w:rsidRPr="00452004"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52004">
        <w:rPr>
          <w:rFonts w:asciiTheme="minorHAnsi" w:hAnsiTheme="minorHAnsi"/>
          <w:lang w:val="fr-FR"/>
        </w:rPr>
        <w:t xml:space="preserve"> </w:t>
      </w:r>
      <w:r w:rsidR="00112A4F" w:rsidRPr="00452004">
        <w:rPr>
          <w:rFonts w:asciiTheme="minorHAnsi" w:hAnsiTheme="minorHAnsi"/>
          <w:lang w:val="fr-FR"/>
        </w:rPr>
        <w:t>CC</w:t>
      </w:r>
      <w:r w:rsidRPr="00452004">
        <w:rPr>
          <w:rFonts w:asciiTheme="minorHAnsi" w:hAnsiTheme="minorHAnsi"/>
          <w:lang w:val="fr-FR"/>
        </w:rPr>
        <w:t xml:space="preserve">. </w:t>
      </w:r>
      <w:r w:rsidRPr="00452004">
        <w:rPr>
          <w:rFonts w:asciiTheme="minorHAnsi" w:hAnsiTheme="minorHAnsi"/>
          <w:bCs/>
          <w:lang w:val="fr-FR"/>
        </w:rPr>
        <w:t>Sentencia T-011 de 2016.</w:t>
      </w:r>
    </w:p>
  </w:footnote>
  <w:footnote w:id="10">
    <w:p w:rsidR="0041291D" w:rsidRPr="00452004"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52004">
        <w:rPr>
          <w:rFonts w:asciiTheme="minorHAnsi" w:hAnsiTheme="minorHAnsi"/>
          <w:lang w:val="fr-FR"/>
        </w:rPr>
        <w:t xml:space="preserve"> </w:t>
      </w:r>
      <w:r w:rsidR="00112A4F" w:rsidRPr="00452004">
        <w:rPr>
          <w:rFonts w:asciiTheme="minorHAnsi" w:hAnsiTheme="minorHAnsi"/>
          <w:lang w:val="fr-FR"/>
        </w:rPr>
        <w:t>CC</w:t>
      </w:r>
      <w:r w:rsidRPr="00452004">
        <w:rPr>
          <w:rFonts w:asciiTheme="minorHAnsi" w:hAnsiTheme="minorHAnsi"/>
          <w:lang w:val="fr-FR"/>
        </w:rPr>
        <w:t>. Sentencia SU-540 de 2007.</w:t>
      </w:r>
    </w:p>
  </w:footnote>
  <w:footnote w:id="11">
    <w:p w:rsidR="0041291D" w:rsidRPr="00452004"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52004">
        <w:rPr>
          <w:rFonts w:asciiTheme="minorHAnsi" w:hAnsiTheme="minorHAnsi"/>
          <w:lang w:val="fr-FR"/>
        </w:rPr>
        <w:t xml:space="preserve"> </w:t>
      </w:r>
      <w:r w:rsidR="00112A4F" w:rsidRPr="00452004">
        <w:rPr>
          <w:rFonts w:asciiTheme="minorHAnsi" w:hAnsiTheme="minorHAnsi"/>
          <w:lang w:val="fr-FR"/>
        </w:rPr>
        <w:t>CC</w:t>
      </w:r>
      <w:r w:rsidRPr="00452004">
        <w:rPr>
          <w:rFonts w:asciiTheme="minorHAnsi" w:hAnsiTheme="minorHAnsi"/>
          <w:lang w:val="fr-FR"/>
        </w:rPr>
        <w:t xml:space="preserve">. Sentencias T-414 de 2005, T-1038 de 2005, T-539 de 2003, entre otras, reiteradas en la sentencia </w:t>
      </w:r>
      <w:r w:rsidRPr="00452004">
        <w:rPr>
          <w:rFonts w:asciiTheme="minorHAnsi" w:hAnsiTheme="minorHAnsi"/>
          <w:bCs/>
          <w:lang w:val="fr-FR"/>
        </w:rPr>
        <w:t>T-011 de 2016.</w:t>
      </w:r>
    </w:p>
  </w:footnote>
  <w:footnote w:id="12">
    <w:p w:rsidR="0041291D" w:rsidRDefault="0041291D" w:rsidP="0041291D">
      <w:pPr>
        <w:pStyle w:val="Notedebasdepage"/>
        <w:jc w:val="both"/>
        <w:rPr>
          <w:rFonts w:asciiTheme="minorHAnsi" w:hAnsiTheme="minorHAnsi"/>
          <w:color w:val="000000"/>
          <w:bdr w:val="none" w:sz="0" w:space="0" w:color="auto" w:frame="1"/>
        </w:rPr>
      </w:pPr>
      <w:r>
        <w:rPr>
          <w:rStyle w:val="Appelnotedebasdep"/>
          <w:rFonts w:asciiTheme="minorHAnsi" w:hAnsiTheme="minorHAnsi"/>
        </w:rPr>
        <w:footnoteRef/>
      </w:r>
      <w:r>
        <w:rPr>
          <w:rFonts w:asciiTheme="minorHAnsi" w:hAnsiTheme="minorHAnsi"/>
        </w:rPr>
        <w:t xml:space="preserve"> </w:t>
      </w:r>
      <w:r w:rsidR="00112A4F">
        <w:rPr>
          <w:rFonts w:asciiTheme="minorHAnsi" w:hAnsiTheme="minorHAnsi"/>
        </w:rPr>
        <w:t>CC</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13">
    <w:p w:rsidR="0041291D" w:rsidRDefault="0041291D" w:rsidP="0041291D">
      <w:pPr>
        <w:pStyle w:val="Notedebasdepage"/>
        <w:jc w:val="both"/>
        <w:rPr>
          <w:rFonts w:asciiTheme="minorHAnsi" w:hAnsiTheme="minorHAnsi"/>
          <w:b/>
          <w:color w:val="000000"/>
          <w:bdr w:val="none" w:sz="0" w:space="0" w:color="auto" w:frame="1"/>
          <w:lang w:val="es-CO"/>
        </w:rPr>
      </w:pPr>
      <w:r>
        <w:rPr>
          <w:rStyle w:val="Appelnotedebasdep"/>
        </w:rPr>
        <w:footnoteRef/>
      </w:r>
      <w:r>
        <w:t xml:space="preserve"> </w:t>
      </w:r>
      <w:r w:rsidR="00112A4F">
        <w:rPr>
          <w:rFonts w:asciiTheme="minorHAnsi" w:hAnsiTheme="minorHAnsi"/>
        </w:rPr>
        <w:t>CC</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52004">
      <w:rPr>
        <w:rFonts w:ascii="Calibri" w:hAnsi="Calibri" w:cs="Calibri"/>
        <w:i/>
        <w:noProof/>
        <w:sz w:val="20"/>
      </w:rPr>
      <w:t>8</w:t>
    </w:r>
    <w:r w:rsidRPr="006414F7">
      <w:rPr>
        <w:rFonts w:ascii="Calibri" w:hAnsi="Calibri" w:cs="Calibri"/>
        <w:i/>
        <w:sz w:val="20"/>
      </w:rPr>
      <w:fldChar w:fldCharType="end"/>
    </w:r>
  </w:p>
  <w:p w:rsidR="00CC51AE" w:rsidRPr="006414F7" w:rsidRDefault="00CC51AE" w:rsidP="00F41FF0">
    <w:pPr>
      <w:pStyle w:val="En-tte"/>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575419">
      <w:rPr>
        <w:rFonts w:ascii="Calibri" w:hAnsi="Calibri" w:cs="Calibri"/>
        <w:i/>
        <w:sz w:val="20"/>
        <w:szCs w:val="22"/>
      </w:rPr>
      <w:t>01030</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2D36"/>
    <w:rsid w:val="00183194"/>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2004"/>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6D1"/>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A927-8B56-4866-B6E6-02701E50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2016-11-28T14:36:00Z</cp:lastPrinted>
  <dcterms:created xsi:type="dcterms:W3CDTF">2016-12-02T14:37:00Z</dcterms:created>
  <dcterms:modified xsi:type="dcterms:W3CDTF">2017-03-17T12:35:00Z</dcterms:modified>
</cp:coreProperties>
</file>