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28" w:rsidRPr="004F5128" w:rsidRDefault="004F5128" w:rsidP="004F512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4F512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4F5128">
        <w:rPr>
          <w:rFonts w:ascii="Calibri" w:eastAsia="Calibri" w:hAnsi="Calibri" w:cs="Calibri"/>
          <w:color w:val="222222"/>
          <w:sz w:val="18"/>
          <w:szCs w:val="18"/>
          <w:lang w:val="es-CO" w:eastAsia="fr-FR"/>
        </w:rPr>
        <w:t> </w:t>
      </w:r>
    </w:p>
    <w:p w:rsidR="004F5128" w:rsidRPr="004F5128" w:rsidRDefault="004F5128" w:rsidP="004F5128">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4F5128">
        <w:rPr>
          <w:rFonts w:ascii="Calibri" w:hAnsi="Calibri" w:cs="Calibri"/>
          <w:color w:val="222222"/>
          <w:sz w:val="18"/>
          <w:szCs w:val="18"/>
          <w:lang w:val="es-CO" w:eastAsia="fr-FR"/>
        </w:rPr>
        <w:t>Providencia:</w:t>
      </w:r>
      <w:r w:rsidRPr="004F5128">
        <w:rPr>
          <w:rFonts w:ascii="Calibri" w:hAnsi="Calibri" w:cs="Calibri"/>
          <w:color w:val="222222"/>
          <w:sz w:val="18"/>
          <w:szCs w:val="18"/>
          <w:lang w:val="es-CO" w:eastAsia="fr-FR"/>
        </w:rPr>
        <w:tab/>
        <w:t>SENTENCIA DE TUTELA – 1ª Instancia – 12 de diciembre de 2016</w:t>
      </w:r>
    </w:p>
    <w:p w:rsidR="004F5128" w:rsidRPr="004F5128" w:rsidRDefault="004F5128" w:rsidP="004F5128">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4F5128">
        <w:rPr>
          <w:rFonts w:ascii="Calibri" w:eastAsia="Calibri" w:hAnsi="Calibri" w:cs="Calibri"/>
          <w:color w:val="222222"/>
          <w:sz w:val="18"/>
          <w:szCs w:val="18"/>
          <w:lang w:val="es-CO" w:eastAsia="fr-FR"/>
        </w:rPr>
        <w:t>Radicación Nro. :</w:t>
      </w:r>
      <w:r w:rsidRPr="004F5128">
        <w:rPr>
          <w:rFonts w:ascii="Calibri" w:eastAsia="Calibri" w:hAnsi="Calibri" w:cs="Calibri"/>
          <w:color w:val="222222"/>
          <w:sz w:val="18"/>
          <w:szCs w:val="18"/>
          <w:lang w:val="es-CO" w:eastAsia="fr-FR"/>
        </w:rPr>
        <w:tab/>
        <w:t xml:space="preserve">  </w:t>
      </w:r>
      <w:r w:rsidRPr="004F5128">
        <w:rPr>
          <w:rFonts w:ascii="Calibri" w:eastAsia="Calibri" w:hAnsi="Calibri" w:cs="Calibri"/>
          <w:color w:val="222222"/>
          <w:sz w:val="18"/>
          <w:szCs w:val="18"/>
          <w:lang w:val="es-CO" w:eastAsia="fr-FR"/>
        </w:rPr>
        <w:tab/>
        <w:t>2016-01093-00</w:t>
      </w:r>
      <w:r w:rsidRPr="004F5128">
        <w:rPr>
          <w:rFonts w:ascii="Calibri" w:eastAsia="Calibri" w:hAnsi="Calibri" w:cs="Calibri"/>
          <w:color w:val="222222"/>
          <w:sz w:val="18"/>
          <w:szCs w:val="18"/>
          <w:lang w:eastAsia="fr-FR"/>
        </w:rPr>
        <w:tab/>
      </w:r>
    </w:p>
    <w:p w:rsidR="004F5128" w:rsidRPr="004F5128" w:rsidRDefault="004F5128" w:rsidP="004F5128">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4F5128">
        <w:rPr>
          <w:rFonts w:ascii="Calibri" w:eastAsia="Calibri" w:hAnsi="Calibri" w:cs="Calibri"/>
          <w:color w:val="222222"/>
          <w:sz w:val="18"/>
          <w:szCs w:val="18"/>
          <w:lang w:val="es-CO" w:eastAsia="fr-FR"/>
        </w:rPr>
        <w:t>Accionante:</w:t>
      </w:r>
      <w:r w:rsidRPr="004F5128">
        <w:rPr>
          <w:rFonts w:ascii="Calibri" w:eastAsia="Calibri" w:hAnsi="Calibri" w:cs="Calibri"/>
          <w:color w:val="222222"/>
          <w:sz w:val="18"/>
          <w:szCs w:val="18"/>
          <w:lang w:val="es-CO" w:eastAsia="fr-FR"/>
        </w:rPr>
        <w:tab/>
      </w:r>
      <w:r w:rsidRPr="004F5128">
        <w:rPr>
          <w:rFonts w:ascii="Calibri" w:eastAsia="Calibri" w:hAnsi="Calibri" w:cs="Calibri"/>
          <w:color w:val="222222"/>
          <w:sz w:val="18"/>
          <w:szCs w:val="18"/>
          <w:lang w:val="es-CO" w:eastAsia="fr-FR"/>
        </w:rPr>
        <w:tab/>
      </w:r>
      <w:r w:rsidRPr="004F5128">
        <w:rPr>
          <w:rFonts w:ascii="Calibri" w:eastAsia="Calibri" w:hAnsi="Calibri" w:cs="Calibri"/>
          <w:bCs/>
          <w:color w:val="222222"/>
          <w:sz w:val="18"/>
          <w:szCs w:val="18"/>
          <w:lang w:eastAsia="fr-FR"/>
        </w:rPr>
        <w:t xml:space="preserve">JAVIER ELÍAS ARIAS </w:t>
      </w:r>
      <w:proofErr w:type="spellStart"/>
      <w:r w:rsidRPr="004F5128">
        <w:rPr>
          <w:rFonts w:ascii="Calibri" w:eastAsia="Calibri" w:hAnsi="Calibri" w:cs="Calibri"/>
          <w:bCs/>
          <w:color w:val="222222"/>
          <w:sz w:val="18"/>
          <w:szCs w:val="18"/>
          <w:lang w:eastAsia="fr-FR"/>
        </w:rPr>
        <w:t>IDÁRRAGA</w:t>
      </w:r>
      <w:proofErr w:type="spellEnd"/>
    </w:p>
    <w:p w:rsidR="004F5128" w:rsidRPr="004F5128" w:rsidRDefault="004F5128" w:rsidP="004F5128">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4F5128">
        <w:rPr>
          <w:rFonts w:ascii="Calibri" w:eastAsia="Calibri" w:hAnsi="Calibri" w:cs="Calibri"/>
          <w:bCs/>
          <w:color w:val="222222"/>
          <w:sz w:val="18"/>
          <w:szCs w:val="18"/>
          <w:lang w:val="es-ES_tradnl" w:eastAsia="fr-FR"/>
        </w:rPr>
        <w:t>A</w:t>
      </w:r>
      <w:proofErr w:type="spellStart"/>
      <w:r w:rsidRPr="004F5128">
        <w:rPr>
          <w:rFonts w:ascii="Calibri" w:eastAsia="Calibri" w:hAnsi="Calibri" w:cs="Calibri"/>
          <w:color w:val="222222"/>
          <w:sz w:val="18"/>
          <w:szCs w:val="18"/>
          <w:lang w:val="es-CO" w:eastAsia="fr-FR"/>
        </w:rPr>
        <w:t>ccionados</w:t>
      </w:r>
      <w:proofErr w:type="spellEnd"/>
      <w:r w:rsidRPr="004F5128">
        <w:rPr>
          <w:rFonts w:ascii="Calibri" w:eastAsia="Calibri" w:hAnsi="Calibri" w:cs="Calibri"/>
          <w:color w:val="222222"/>
          <w:sz w:val="18"/>
          <w:szCs w:val="18"/>
          <w:lang w:val="es-CO" w:eastAsia="fr-FR"/>
        </w:rPr>
        <w:t>:</w:t>
      </w:r>
      <w:r w:rsidRPr="004F5128">
        <w:rPr>
          <w:rFonts w:ascii="Calibri" w:eastAsia="Calibri" w:hAnsi="Calibri" w:cs="Calibri"/>
          <w:color w:val="222222"/>
          <w:sz w:val="18"/>
          <w:szCs w:val="18"/>
          <w:lang w:val="es-CO" w:eastAsia="fr-FR"/>
        </w:rPr>
        <w:tab/>
        <w:t xml:space="preserve">      </w:t>
      </w:r>
      <w:r w:rsidRPr="004F5128">
        <w:rPr>
          <w:rFonts w:ascii="Calibri" w:eastAsia="Calibri" w:hAnsi="Calibri" w:cs="Calibri"/>
          <w:color w:val="222222"/>
          <w:sz w:val="18"/>
          <w:szCs w:val="18"/>
          <w:lang w:val="es-CO" w:eastAsia="fr-FR"/>
        </w:rPr>
        <w:tab/>
        <w:t>JUZGADO SEGUNDO CIVIL DEL CIRCUITO DE PEREIRA</w:t>
      </w:r>
    </w:p>
    <w:p w:rsidR="004F5128" w:rsidRPr="004F5128" w:rsidRDefault="004F5128" w:rsidP="004F5128">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4F5128">
        <w:rPr>
          <w:rFonts w:ascii="Calibri" w:eastAsia="Calibri" w:hAnsi="Calibri" w:cs="Calibri"/>
          <w:color w:val="222222"/>
          <w:sz w:val="18"/>
          <w:szCs w:val="18"/>
          <w:lang w:val="es-CO" w:eastAsia="fr-FR"/>
        </w:rPr>
        <w:t>Proceso:                </w:t>
      </w:r>
      <w:r w:rsidRPr="004F5128">
        <w:rPr>
          <w:rFonts w:ascii="Calibri" w:eastAsia="Calibri" w:hAnsi="Calibri" w:cs="Calibri"/>
          <w:color w:val="222222"/>
          <w:sz w:val="18"/>
          <w:szCs w:val="18"/>
          <w:lang w:val="es-CO" w:eastAsia="fr-FR"/>
        </w:rPr>
        <w:tab/>
        <w:t>Acción de Tutela – Declara improcedente la acción</w:t>
      </w:r>
    </w:p>
    <w:p w:rsidR="004F5128" w:rsidRPr="004F5128" w:rsidRDefault="004F5128" w:rsidP="004F5128">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4F5128">
        <w:rPr>
          <w:rFonts w:ascii="Calibri" w:eastAsia="Calibri" w:hAnsi="Calibri" w:cs="Calibri"/>
          <w:color w:val="222222"/>
          <w:sz w:val="18"/>
          <w:szCs w:val="18"/>
          <w:lang w:val="es-CO" w:eastAsia="fr-FR"/>
        </w:rPr>
        <w:t>Magistrado Ponente: </w:t>
      </w:r>
      <w:r w:rsidRPr="004F5128">
        <w:rPr>
          <w:rFonts w:ascii="Calibri" w:eastAsia="Calibri" w:hAnsi="Calibri" w:cs="Calibri"/>
          <w:color w:val="222222"/>
          <w:sz w:val="18"/>
          <w:szCs w:val="18"/>
          <w:lang w:val="es-CO" w:eastAsia="fr-FR"/>
        </w:rPr>
        <w:tab/>
      </w:r>
      <w:proofErr w:type="spellStart"/>
      <w:r w:rsidRPr="004F5128">
        <w:rPr>
          <w:rFonts w:ascii="Calibri" w:eastAsia="Calibri" w:hAnsi="Calibri" w:cs="Calibri"/>
          <w:bCs/>
          <w:iCs/>
          <w:color w:val="222222"/>
          <w:sz w:val="18"/>
          <w:szCs w:val="18"/>
          <w:lang w:eastAsia="fr-FR"/>
        </w:rPr>
        <w:t>DUBERNEY</w:t>
      </w:r>
      <w:proofErr w:type="spellEnd"/>
      <w:r w:rsidRPr="004F5128">
        <w:rPr>
          <w:rFonts w:ascii="Calibri" w:eastAsia="Calibri" w:hAnsi="Calibri" w:cs="Calibri"/>
          <w:bCs/>
          <w:iCs/>
          <w:color w:val="222222"/>
          <w:sz w:val="18"/>
          <w:szCs w:val="18"/>
          <w:lang w:eastAsia="fr-FR"/>
        </w:rPr>
        <w:t xml:space="preserve"> GRISALES HERRERA</w:t>
      </w:r>
      <w:r w:rsidRPr="004F5128">
        <w:rPr>
          <w:rFonts w:ascii="Calibri" w:eastAsia="Calibri" w:hAnsi="Calibri" w:cs="Calibri"/>
          <w:bCs/>
          <w:iCs/>
          <w:color w:val="222222"/>
          <w:sz w:val="18"/>
          <w:szCs w:val="18"/>
          <w:lang w:eastAsia="fr-FR"/>
        </w:rPr>
        <w:tab/>
      </w:r>
    </w:p>
    <w:p w:rsidR="004F5128" w:rsidRPr="004F5128" w:rsidRDefault="004F5128" w:rsidP="004F5128">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4F5128" w:rsidRPr="004F5128" w:rsidRDefault="004F5128" w:rsidP="004F5128">
      <w:pPr>
        <w:widowControl/>
        <w:shd w:val="clear" w:color="auto" w:fill="FFFFFF"/>
        <w:autoSpaceDE/>
        <w:autoSpaceDN/>
        <w:adjustRightInd/>
        <w:spacing w:after="200"/>
        <w:jc w:val="both"/>
        <w:rPr>
          <w:rFonts w:ascii="Calibri" w:eastAsia="Calibri" w:hAnsi="Calibri" w:cs="Calibri"/>
          <w:b/>
          <w:bCs/>
          <w:color w:val="222222"/>
          <w:sz w:val="18"/>
          <w:szCs w:val="18"/>
          <w:lang w:val="es-CO" w:eastAsia="fr-FR"/>
        </w:rPr>
      </w:pPr>
      <w:r w:rsidRPr="004F5128">
        <w:rPr>
          <w:rFonts w:ascii="Calibri" w:eastAsia="Calibri" w:hAnsi="Calibri" w:cs="Calibri"/>
          <w:b/>
          <w:bCs/>
          <w:color w:val="222222"/>
          <w:sz w:val="18"/>
          <w:szCs w:val="18"/>
          <w:lang w:val="es-CO" w:eastAsia="fr-FR"/>
        </w:rPr>
        <w:t>Temas:</w:t>
      </w:r>
      <w:r w:rsidRPr="004F5128">
        <w:rPr>
          <w:rFonts w:ascii="Calibri" w:eastAsia="Calibri" w:hAnsi="Calibri" w:cs="Calibri"/>
          <w:b/>
          <w:bCs/>
          <w:color w:val="222222"/>
          <w:sz w:val="18"/>
          <w:szCs w:val="18"/>
          <w:lang w:val="es-CO" w:eastAsia="fr-FR"/>
        </w:rPr>
        <w:tab/>
      </w:r>
      <w:r w:rsidRPr="004F5128">
        <w:rPr>
          <w:rFonts w:ascii="Calibri" w:eastAsia="Calibri" w:hAnsi="Calibri" w:cs="Calibri"/>
          <w:b/>
          <w:bCs/>
          <w:color w:val="222222"/>
          <w:sz w:val="18"/>
          <w:szCs w:val="18"/>
          <w:lang w:val="es-CO" w:eastAsia="fr-FR"/>
        </w:rPr>
        <w:tab/>
      </w:r>
      <w:r w:rsidRPr="004F5128">
        <w:rPr>
          <w:rFonts w:ascii="Calibri" w:eastAsia="Calibri" w:hAnsi="Calibri" w:cs="Calibri"/>
          <w:b/>
          <w:bCs/>
          <w:color w:val="222222"/>
          <w:sz w:val="18"/>
          <w:szCs w:val="18"/>
          <w:lang w:val="es-CO" w:eastAsia="fr-FR"/>
        </w:rPr>
        <w:tab/>
        <w:t xml:space="preserve">DEBIDO PROCESO / TUTELA CONTRA PROVIDENCIA JUDICIAL / IMPROCEDENCIA / RECURSO DE REPOSICIÓN EN TRAMITE / EXISTE OTRO MECANISMO DE DEFENSA JUDICIAL. </w:t>
      </w:r>
      <w:r w:rsidRPr="004F5128">
        <w:rPr>
          <w:rFonts w:ascii="Calibri" w:eastAsia="Calibri" w:hAnsi="Calibri" w:cs="Calibri"/>
          <w:bCs/>
          <w:color w:val="222222"/>
          <w:sz w:val="18"/>
          <w:szCs w:val="18"/>
          <w:lang w:val="es-CO" w:eastAsia="fr-FR"/>
        </w:rPr>
        <w:t>“[S]</w:t>
      </w:r>
      <w:proofErr w:type="spellStart"/>
      <w:r w:rsidRPr="004F5128">
        <w:rPr>
          <w:rFonts w:ascii="Calibri" w:eastAsia="Calibri" w:hAnsi="Calibri" w:cs="Calibri"/>
          <w:bCs/>
          <w:color w:val="222222"/>
          <w:sz w:val="18"/>
          <w:szCs w:val="18"/>
          <w:lang w:val="es-ES_tradnl" w:eastAsia="fr-FR"/>
        </w:rPr>
        <w:t>egún</w:t>
      </w:r>
      <w:proofErr w:type="spellEnd"/>
      <w:r w:rsidRPr="004F5128">
        <w:rPr>
          <w:rFonts w:ascii="Calibri" w:eastAsia="Calibri" w:hAnsi="Calibri" w:cs="Calibri"/>
          <w:bCs/>
          <w:color w:val="222222"/>
          <w:sz w:val="18"/>
          <w:szCs w:val="18"/>
          <w:lang w:val="es-ES_tradnl" w:eastAsia="fr-FR"/>
        </w:rPr>
        <w:t xml:space="preserve"> el acervo probatorio el despacho judicial accionado mediante proveído dictado el día 23-11-2016, declaró la nulidad de lo actuado porque no se había surtido adecuadamente el aviso a la comunidad, y en consecuencia, dispuso que el accionante realizara dicha publicación en un término de 30 días (Artículo 317, </w:t>
      </w:r>
      <w:proofErr w:type="spellStart"/>
      <w:r w:rsidRPr="004F5128">
        <w:rPr>
          <w:rFonts w:ascii="Calibri" w:eastAsia="Calibri" w:hAnsi="Calibri" w:cs="Calibri"/>
          <w:bCs/>
          <w:color w:val="222222"/>
          <w:sz w:val="18"/>
          <w:szCs w:val="18"/>
          <w:lang w:val="es-ES_tradnl" w:eastAsia="fr-FR"/>
        </w:rPr>
        <w:t>CGP</w:t>
      </w:r>
      <w:proofErr w:type="spellEnd"/>
      <w:r w:rsidRPr="004F5128">
        <w:rPr>
          <w:rFonts w:ascii="Calibri" w:eastAsia="Calibri" w:hAnsi="Calibri" w:cs="Calibri"/>
          <w:bCs/>
          <w:color w:val="222222"/>
          <w:sz w:val="18"/>
          <w:szCs w:val="18"/>
          <w:lang w:val="es-ES_tradnl" w:eastAsia="fr-FR"/>
        </w:rPr>
        <w:t xml:space="preserve">) (Folio 107 del disco compacto visible a folio 27 vto. ib.). Aquel auto se notificó por estado del día 24-11-2016 y fue recurrido por el actor el día 28-11-2016, pero aún no se ha resuelto. Allí expuso el accionante que recurría </w:t>
      </w:r>
      <w:r w:rsidRPr="004F5128">
        <w:rPr>
          <w:rFonts w:ascii="Calibri" w:eastAsia="Calibri" w:hAnsi="Calibri" w:cs="Calibri"/>
          <w:bCs/>
          <w:i/>
          <w:color w:val="222222"/>
          <w:sz w:val="18"/>
          <w:szCs w:val="18"/>
          <w:lang w:val="es-ES_tradnl" w:eastAsia="fr-FR"/>
        </w:rPr>
        <w:t xml:space="preserve">“(…) el auto que pretende terminar una acción constitucional (…) Curioso que solo se aplique el </w:t>
      </w:r>
      <w:proofErr w:type="spellStart"/>
      <w:r w:rsidRPr="004F5128">
        <w:rPr>
          <w:rFonts w:ascii="Calibri" w:eastAsia="Calibri" w:hAnsi="Calibri" w:cs="Calibri"/>
          <w:bCs/>
          <w:i/>
          <w:color w:val="222222"/>
          <w:sz w:val="18"/>
          <w:szCs w:val="18"/>
          <w:lang w:val="es-ES_tradnl" w:eastAsia="fr-FR"/>
        </w:rPr>
        <w:t>CGP</w:t>
      </w:r>
      <w:proofErr w:type="spellEnd"/>
      <w:r w:rsidRPr="004F5128">
        <w:rPr>
          <w:rFonts w:ascii="Calibri" w:eastAsia="Calibri" w:hAnsi="Calibri" w:cs="Calibri"/>
          <w:bCs/>
          <w:i/>
          <w:color w:val="222222"/>
          <w:sz w:val="18"/>
          <w:szCs w:val="18"/>
          <w:lang w:val="es-ES_tradnl" w:eastAsia="fr-FR"/>
        </w:rPr>
        <w:t xml:space="preserve">, para el desistimiento, empero NO SE APLIQUE EL ART 121 DEL </w:t>
      </w:r>
      <w:proofErr w:type="spellStart"/>
      <w:r w:rsidRPr="004F5128">
        <w:rPr>
          <w:rFonts w:ascii="Calibri" w:eastAsia="Calibri" w:hAnsi="Calibri" w:cs="Calibri"/>
          <w:bCs/>
          <w:i/>
          <w:color w:val="222222"/>
          <w:sz w:val="18"/>
          <w:szCs w:val="18"/>
          <w:lang w:val="es-ES_tradnl" w:eastAsia="fr-FR"/>
        </w:rPr>
        <w:t>CGP</w:t>
      </w:r>
      <w:proofErr w:type="spellEnd"/>
      <w:r w:rsidRPr="004F5128">
        <w:rPr>
          <w:rFonts w:ascii="Calibri" w:eastAsia="Calibri" w:hAnsi="Calibri" w:cs="Calibri"/>
          <w:bCs/>
          <w:i/>
          <w:color w:val="222222"/>
          <w:sz w:val="18"/>
          <w:szCs w:val="18"/>
          <w:lang w:val="es-ES_tradnl" w:eastAsia="fr-FR"/>
        </w:rPr>
        <w:t xml:space="preserve"> (…)”.</w:t>
      </w:r>
      <w:r w:rsidRPr="004F5128">
        <w:rPr>
          <w:rFonts w:ascii="Calibri" w:eastAsia="Calibri" w:hAnsi="Calibri" w:cs="Calibri"/>
          <w:bCs/>
          <w:color w:val="222222"/>
          <w:sz w:val="18"/>
          <w:szCs w:val="18"/>
          <w:lang w:val="es-ES_tradnl" w:eastAsia="fr-FR"/>
        </w:rPr>
        <w:t xml:space="preserve"> (….) </w:t>
      </w:r>
      <w:r w:rsidRPr="004F5128">
        <w:rPr>
          <w:rFonts w:ascii="Calibri" w:eastAsia="Calibri" w:hAnsi="Calibri" w:cs="Calibri"/>
          <w:bCs/>
          <w:color w:val="222222"/>
          <w:sz w:val="18"/>
          <w:szCs w:val="18"/>
          <w:lang w:eastAsia="fr-FR"/>
        </w:rPr>
        <w:t xml:space="preserve">Así las cosas, para la Sala el amparo es notoriamente improcedente, por prematuro, en razón a que la decisión cuestionada aun no </w:t>
      </w:r>
      <w:r w:rsidRPr="004F5128">
        <w:rPr>
          <w:rFonts w:ascii="Calibri" w:eastAsia="Calibri" w:hAnsi="Calibri" w:cs="Calibri"/>
          <w:bCs/>
          <w:color w:val="222222"/>
          <w:sz w:val="18"/>
          <w:szCs w:val="18"/>
          <w:lang w:val="es-CO" w:eastAsia="fr-FR"/>
        </w:rPr>
        <w:t xml:space="preserve">es definitiva, pues falta resolver la impugnación, es decir, </w:t>
      </w:r>
      <w:r w:rsidRPr="004F5128">
        <w:rPr>
          <w:rFonts w:ascii="Calibri" w:eastAsia="Calibri" w:hAnsi="Calibri" w:cs="Calibri"/>
          <w:bCs/>
          <w:color w:val="222222"/>
          <w:sz w:val="18"/>
          <w:szCs w:val="18"/>
          <w:lang w:eastAsia="fr-FR"/>
        </w:rPr>
        <w:t>el trámite en el que se alega la vulneración aún se encuentra en curso</w:t>
      </w:r>
      <w:r w:rsidRPr="004F5128">
        <w:rPr>
          <w:rFonts w:ascii="Calibri" w:eastAsia="Calibri" w:hAnsi="Calibri" w:cs="Calibri"/>
          <w:bCs/>
          <w:color w:val="222222"/>
          <w:sz w:val="18"/>
          <w:szCs w:val="18"/>
          <w:lang w:val="es-CO" w:eastAsia="fr-FR"/>
        </w:rPr>
        <w:t>.</w:t>
      </w:r>
      <w:r w:rsidRPr="004F5128">
        <w:rPr>
          <w:rFonts w:ascii="Calibri" w:eastAsia="Calibri" w:hAnsi="Calibri" w:cs="Calibri"/>
          <w:bCs/>
          <w:color w:val="222222"/>
          <w:sz w:val="18"/>
          <w:szCs w:val="18"/>
          <w:lang w:eastAsia="fr-FR"/>
        </w:rPr>
        <w:t xml:space="preserve"> Lo anterior, conforme la doctrina jurisprudencial tanto de la CC como de la CSJ.”.</w:t>
      </w:r>
    </w:p>
    <w:p w:rsidR="004F5128" w:rsidRPr="004F5128" w:rsidRDefault="004F5128" w:rsidP="004F5128">
      <w:pPr>
        <w:widowControl/>
        <w:shd w:val="clear" w:color="auto" w:fill="FFFFFF"/>
        <w:autoSpaceDE/>
        <w:autoSpaceDN/>
        <w:adjustRightInd/>
        <w:spacing w:after="200"/>
        <w:jc w:val="both"/>
        <w:rPr>
          <w:rFonts w:ascii="Calibri" w:eastAsia="Calibri" w:hAnsi="Calibri" w:cs="Calibri"/>
          <w:b/>
          <w:bCs/>
          <w:color w:val="222222"/>
          <w:sz w:val="18"/>
          <w:szCs w:val="18"/>
          <w:lang w:eastAsia="fr-FR"/>
        </w:rPr>
      </w:pPr>
      <w:r w:rsidRPr="004F5128">
        <w:rPr>
          <w:rFonts w:ascii="Calibri" w:eastAsia="Calibri" w:hAnsi="Calibri" w:cs="Calibri"/>
          <w:b/>
          <w:bCs/>
          <w:color w:val="222222"/>
          <w:sz w:val="18"/>
          <w:szCs w:val="18"/>
          <w:lang w:eastAsia="fr-FR"/>
        </w:rPr>
        <w:t>Citación jurisprudencial:</w:t>
      </w:r>
      <w:r w:rsidRPr="004F5128">
        <w:rPr>
          <w:rFonts w:ascii="Calibri" w:eastAsia="Calibri" w:hAnsi="Calibri" w:cs="Calibri"/>
          <w:bCs/>
          <w:color w:val="222222"/>
          <w:sz w:val="18"/>
          <w:szCs w:val="18"/>
          <w:lang w:eastAsia="fr-FR"/>
        </w:rPr>
        <w:t xml:space="preserve"> CORTE CONSTITUCIONAL, </w:t>
      </w:r>
      <w:r w:rsidRPr="004F5128">
        <w:rPr>
          <w:rFonts w:ascii="Calibri" w:eastAsia="Calibri" w:hAnsi="Calibri" w:cs="Calibri"/>
          <w:bCs/>
          <w:color w:val="222222"/>
          <w:sz w:val="18"/>
          <w:szCs w:val="18"/>
          <w:lang w:val="es-MX" w:eastAsia="fr-FR"/>
        </w:rPr>
        <w:t>Sentencia T-917 de 2011 / Sentencia C-590 de 2005 /</w:t>
      </w:r>
      <w:r w:rsidRPr="004F5128">
        <w:rPr>
          <w:rFonts w:ascii="Calibri" w:eastAsia="Calibri" w:hAnsi="Calibri" w:cs="Calibri"/>
          <w:bCs/>
          <w:color w:val="222222"/>
          <w:sz w:val="18"/>
          <w:szCs w:val="18"/>
          <w:vertAlign w:val="superscript"/>
          <w:lang w:eastAsia="fr-FR"/>
        </w:rPr>
        <w:t xml:space="preserve"> </w:t>
      </w:r>
      <w:r w:rsidRPr="004F5128">
        <w:rPr>
          <w:rFonts w:ascii="Calibri" w:eastAsia="Calibri" w:hAnsi="Calibri" w:cs="Calibri"/>
          <w:bCs/>
          <w:color w:val="222222"/>
          <w:sz w:val="18"/>
          <w:szCs w:val="18"/>
          <w:lang w:val="es-MX" w:eastAsia="fr-FR"/>
        </w:rPr>
        <w:t xml:space="preserve">Sentencia </w:t>
      </w:r>
      <w:r w:rsidRPr="004F5128">
        <w:rPr>
          <w:rFonts w:ascii="Calibri" w:eastAsia="Calibri" w:hAnsi="Calibri" w:cs="Calibri"/>
          <w:bCs/>
          <w:color w:val="222222"/>
          <w:sz w:val="18"/>
          <w:szCs w:val="18"/>
          <w:lang w:eastAsia="fr-FR"/>
        </w:rPr>
        <w:t xml:space="preserve">T-107 de 2016 / Sentencia </w:t>
      </w:r>
      <w:r w:rsidRPr="004F5128">
        <w:rPr>
          <w:rFonts w:ascii="Calibri" w:eastAsia="Calibri" w:hAnsi="Calibri" w:cs="Calibri"/>
          <w:bCs/>
          <w:color w:val="222222"/>
          <w:sz w:val="18"/>
          <w:szCs w:val="18"/>
          <w:lang w:val="es-MX" w:eastAsia="fr-FR"/>
        </w:rPr>
        <w:t>T-064 de 2015 /</w:t>
      </w:r>
      <w:r w:rsidRPr="004F5128">
        <w:rPr>
          <w:rFonts w:ascii="Calibri" w:eastAsia="Calibri" w:hAnsi="Calibri" w:cs="Calibri"/>
          <w:bCs/>
          <w:color w:val="222222"/>
          <w:sz w:val="18"/>
          <w:szCs w:val="18"/>
          <w:vertAlign w:val="superscript"/>
          <w:lang w:eastAsia="fr-FR"/>
        </w:rPr>
        <w:t xml:space="preserve"> </w:t>
      </w:r>
      <w:r w:rsidRPr="004F5128">
        <w:rPr>
          <w:rFonts w:ascii="Calibri" w:eastAsia="Calibri" w:hAnsi="Calibri" w:cs="Calibri"/>
          <w:bCs/>
          <w:color w:val="222222"/>
          <w:sz w:val="18"/>
          <w:szCs w:val="18"/>
          <w:lang w:val="es-MX" w:eastAsia="fr-FR"/>
        </w:rPr>
        <w:t xml:space="preserve">Sentencia T-307 de 2015 / </w:t>
      </w:r>
      <w:r w:rsidRPr="004F5128">
        <w:rPr>
          <w:rFonts w:ascii="Calibri" w:eastAsia="Calibri" w:hAnsi="Calibri" w:cs="Calibri"/>
          <w:bCs/>
          <w:color w:val="222222"/>
          <w:sz w:val="18"/>
          <w:szCs w:val="18"/>
          <w:lang w:val="es-CO" w:eastAsia="fr-FR"/>
        </w:rPr>
        <w:t xml:space="preserve">Sentencia T-134 de 1994  </w:t>
      </w:r>
      <w:r w:rsidRPr="004F5128">
        <w:rPr>
          <w:rFonts w:ascii="Calibri" w:eastAsia="Calibri" w:hAnsi="Calibri" w:cs="Calibri"/>
          <w:bCs/>
          <w:color w:val="222222"/>
          <w:sz w:val="18"/>
          <w:szCs w:val="18"/>
          <w:lang w:eastAsia="fr-FR"/>
        </w:rPr>
        <w:t xml:space="preserve"> Sentencia T-103 de 2014 / Sentencia T-567 de 1998 / Sentencia T-662 de 2013 /</w:t>
      </w:r>
      <w:r w:rsidRPr="004F5128">
        <w:rPr>
          <w:rFonts w:ascii="Calibri" w:eastAsia="Calibri" w:hAnsi="Calibri" w:cs="Calibri"/>
          <w:bCs/>
          <w:color w:val="222222"/>
          <w:sz w:val="18"/>
          <w:szCs w:val="18"/>
          <w:vertAlign w:val="superscript"/>
          <w:lang w:eastAsia="fr-FR"/>
        </w:rPr>
        <w:t xml:space="preserve"> </w:t>
      </w:r>
      <w:r w:rsidRPr="004F5128">
        <w:rPr>
          <w:rFonts w:ascii="Calibri" w:eastAsia="Calibri" w:hAnsi="Calibri" w:cs="Calibri"/>
          <w:bCs/>
          <w:color w:val="222222"/>
          <w:sz w:val="18"/>
          <w:szCs w:val="18"/>
          <w:lang w:eastAsia="fr-FR"/>
        </w:rPr>
        <w:t xml:space="preserve"> Sentencia T-037 de 2016 / Sentencia T-120 de 2016 / Sentencia SU-297 de 2015 / Sentencia T-717 de 2011.</w:t>
      </w:r>
    </w:p>
    <w:p w:rsidR="004F5128" w:rsidRPr="004F5128" w:rsidRDefault="004F5128" w:rsidP="004F5128">
      <w:pPr>
        <w:widowControl/>
        <w:shd w:val="clear" w:color="auto" w:fill="FFFFFF"/>
        <w:autoSpaceDE/>
        <w:autoSpaceDN/>
        <w:adjustRightInd/>
        <w:spacing w:after="200"/>
        <w:jc w:val="both"/>
        <w:rPr>
          <w:rFonts w:ascii="Arial" w:hAnsi="Arial" w:cs="Arial"/>
          <w:w w:val="140"/>
          <w:sz w:val="14"/>
          <w:lang w:val="es-CO"/>
        </w:rPr>
      </w:pPr>
      <w:r w:rsidRPr="004F5128">
        <w:rPr>
          <w:rFonts w:ascii="Calibri" w:eastAsia="Calibri" w:hAnsi="Calibri" w:cs="Calibri"/>
          <w:bCs/>
          <w:color w:val="222222"/>
          <w:sz w:val="18"/>
          <w:szCs w:val="18"/>
          <w:lang w:val="es-CO" w:eastAsia="fr-FR"/>
        </w:rPr>
        <w:t xml:space="preserve">CORTE SUPREMA DE JUSTICIA, </w:t>
      </w:r>
      <w:proofErr w:type="spellStart"/>
      <w:r w:rsidRPr="004F5128">
        <w:rPr>
          <w:rFonts w:ascii="Calibri" w:eastAsia="Calibri" w:hAnsi="Calibri" w:cs="Calibri"/>
          <w:bCs/>
          <w:color w:val="222222"/>
          <w:sz w:val="18"/>
          <w:szCs w:val="18"/>
          <w:lang w:val="es-CO" w:eastAsia="fr-FR"/>
        </w:rPr>
        <w:t>SCC</w:t>
      </w:r>
      <w:proofErr w:type="spellEnd"/>
      <w:r w:rsidRPr="004F5128">
        <w:rPr>
          <w:rFonts w:ascii="Calibri" w:eastAsia="Calibri" w:hAnsi="Calibri" w:cs="Calibri"/>
          <w:bCs/>
          <w:color w:val="222222"/>
          <w:sz w:val="18"/>
          <w:szCs w:val="18"/>
          <w:lang w:val="es-CO" w:eastAsia="fr-FR"/>
        </w:rPr>
        <w:t xml:space="preserve">, Sentencia del 02-09-2014, Rad. 23001-22-14-000-2014-00097-01 / </w:t>
      </w:r>
      <w:r w:rsidRPr="004F5128">
        <w:rPr>
          <w:rFonts w:ascii="Calibri" w:eastAsia="Calibri" w:hAnsi="Calibri" w:cs="Calibri"/>
          <w:bCs/>
          <w:color w:val="222222"/>
          <w:sz w:val="18"/>
          <w:szCs w:val="18"/>
          <w:lang w:eastAsia="fr-FR"/>
        </w:rPr>
        <w:t xml:space="preserve">Providencia </w:t>
      </w:r>
      <w:proofErr w:type="spellStart"/>
      <w:r w:rsidRPr="004F5128">
        <w:rPr>
          <w:rFonts w:ascii="Calibri" w:eastAsia="Calibri" w:hAnsi="Calibri" w:cs="Calibri"/>
          <w:bCs/>
          <w:color w:val="222222"/>
          <w:sz w:val="18"/>
          <w:szCs w:val="18"/>
          <w:lang w:eastAsia="fr-FR"/>
        </w:rPr>
        <w:t>STC6121</w:t>
      </w:r>
      <w:proofErr w:type="spellEnd"/>
      <w:r w:rsidRPr="004F5128">
        <w:rPr>
          <w:rFonts w:ascii="Calibri" w:eastAsia="Calibri" w:hAnsi="Calibri" w:cs="Calibri"/>
          <w:bCs/>
          <w:color w:val="222222"/>
          <w:sz w:val="18"/>
          <w:szCs w:val="18"/>
          <w:lang w:eastAsia="fr-FR"/>
        </w:rPr>
        <w:t xml:space="preserve">-2015 / Providencia </w:t>
      </w:r>
      <w:proofErr w:type="spellStart"/>
      <w:r w:rsidRPr="004F5128">
        <w:rPr>
          <w:rFonts w:ascii="Calibri" w:eastAsia="Calibri" w:hAnsi="Calibri" w:cs="Calibri"/>
          <w:bCs/>
          <w:color w:val="222222"/>
          <w:sz w:val="18"/>
          <w:szCs w:val="18"/>
          <w:lang w:val="es-CO" w:eastAsia="fr-FR"/>
        </w:rPr>
        <w:t>STC3931</w:t>
      </w:r>
      <w:proofErr w:type="spellEnd"/>
      <w:r w:rsidRPr="004F5128">
        <w:rPr>
          <w:rFonts w:ascii="Calibri" w:eastAsia="Calibri" w:hAnsi="Calibri" w:cs="Calibri"/>
          <w:bCs/>
          <w:color w:val="222222"/>
          <w:sz w:val="18"/>
          <w:szCs w:val="18"/>
          <w:lang w:val="es-CO" w:eastAsia="fr-FR"/>
        </w:rPr>
        <w:t xml:space="preserve">-2016 / </w:t>
      </w:r>
      <w:r w:rsidRPr="004F5128">
        <w:rPr>
          <w:rFonts w:ascii="Calibri" w:eastAsia="Calibri" w:hAnsi="Calibri" w:cs="Calibri"/>
          <w:bCs/>
          <w:color w:val="222222"/>
          <w:sz w:val="18"/>
          <w:szCs w:val="18"/>
          <w:lang w:eastAsia="fr-FR"/>
        </w:rPr>
        <w:t xml:space="preserve">Providencia </w:t>
      </w:r>
      <w:proofErr w:type="spellStart"/>
      <w:r w:rsidRPr="004F5128">
        <w:rPr>
          <w:rFonts w:ascii="Calibri" w:eastAsia="Calibri" w:hAnsi="Calibri" w:cs="Calibri"/>
          <w:bCs/>
          <w:color w:val="222222"/>
          <w:sz w:val="18"/>
          <w:szCs w:val="18"/>
          <w:lang w:eastAsia="fr-FR"/>
        </w:rPr>
        <w:t>STC3950</w:t>
      </w:r>
      <w:proofErr w:type="spellEnd"/>
      <w:r w:rsidRPr="004F5128">
        <w:rPr>
          <w:rFonts w:ascii="Calibri" w:eastAsia="Calibri" w:hAnsi="Calibri" w:cs="Calibri"/>
          <w:bCs/>
          <w:color w:val="222222"/>
          <w:sz w:val="18"/>
          <w:szCs w:val="18"/>
          <w:lang w:eastAsia="fr-FR"/>
        </w:rPr>
        <w:t>-2016.</w:t>
      </w:r>
    </w:p>
    <w:p w:rsidR="004F5128" w:rsidRDefault="004F5128"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B4B55">
        <w:rPr>
          <w:rFonts w:ascii="Arial" w:hAnsi="Arial" w:cs="Arial"/>
          <w:sz w:val="22"/>
        </w:rPr>
        <w:t xml:space="preserve">Javier Elías Arias </w:t>
      </w:r>
      <w:proofErr w:type="spellStart"/>
      <w:r w:rsidR="00FB4B55">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FB4B55">
        <w:rPr>
          <w:rFonts w:ascii="Arial" w:hAnsi="Arial" w:cs="Arial"/>
          <w:sz w:val="22"/>
          <w:lang w:val="es-CO"/>
        </w:rPr>
        <w:t xml:space="preserve">Segundo </w:t>
      </w:r>
      <w:r w:rsidR="003843DB">
        <w:rPr>
          <w:rFonts w:ascii="Arial" w:hAnsi="Arial" w:cs="Arial"/>
          <w:sz w:val="22"/>
        </w:rPr>
        <w:t xml:space="preserve">Civil del Circuito </w:t>
      </w:r>
      <w:r w:rsidR="00FB4B55">
        <w:rPr>
          <w:rFonts w:ascii="Arial" w:hAnsi="Arial" w:cs="Arial"/>
          <w:sz w:val="22"/>
        </w:rPr>
        <w:t xml:space="preserve">de Pereira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4D7BFF">
        <w:rPr>
          <w:rFonts w:ascii="Arial" w:hAnsi="Arial" w:cs="Arial"/>
          <w:sz w:val="22"/>
          <w:szCs w:val="22"/>
        </w:rPr>
        <w:t>Cooperativa Financiera de Antioquia CFA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4D7BFF">
        <w:rPr>
          <w:rFonts w:ascii="Arial" w:hAnsi="Arial" w:cs="Arial"/>
          <w:sz w:val="22"/>
        </w:rPr>
        <w:t>01093</w:t>
      </w:r>
      <w:r w:rsidR="00BF5544">
        <w:rPr>
          <w:rFonts w:ascii="Arial" w:hAnsi="Arial" w:cs="Arial"/>
          <w:sz w:val="22"/>
        </w:rPr>
        <w:t xml:space="preserve">-00 </w:t>
      </w:r>
      <w:r w:rsidRPr="00A00766">
        <w:rPr>
          <w:rFonts w:ascii="Arial" w:hAnsi="Arial" w:cs="Arial"/>
          <w:sz w:val="22"/>
        </w:rPr>
        <w:t>(Interno No.</w:t>
      </w:r>
      <w:r w:rsidR="004D7BFF">
        <w:rPr>
          <w:rFonts w:ascii="Arial" w:hAnsi="Arial" w:cs="Arial"/>
          <w:sz w:val="22"/>
        </w:rPr>
        <w:t>1093</w:t>
      </w:r>
      <w:r w:rsidRPr="00A00766">
        <w:rPr>
          <w:rFonts w:ascii="Arial" w:hAnsi="Arial" w:cs="Arial"/>
          <w:sz w:val="22"/>
        </w:rPr>
        <w:t>)</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F2CD3">
        <w:rPr>
          <w:rFonts w:ascii="Arial" w:hAnsi="Arial"/>
          <w:sz w:val="22"/>
          <w:szCs w:val="22"/>
        </w:rPr>
        <w:t>582</w:t>
      </w:r>
      <w:r w:rsidR="00704D19">
        <w:rPr>
          <w:rFonts w:ascii="Arial" w:hAnsi="Arial"/>
          <w:sz w:val="22"/>
          <w:szCs w:val="22"/>
        </w:rPr>
        <w:t xml:space="preserve"> de 12-12-2016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B94E2C">
        <w:rPr>
          <w:rFonts w:ascii="Arial" w:hAnsi="Arial" w:cs="Arial"/>
          <w:iCs/>
          <w:smallCaps/>
          <w:sz w:val="28"/>
          <w:szCs w:val="28"/>
          <w:lang w:val="es-CO"/>
        </w:rPr>
        <w:t>doce</w:t>
      </w:r>
      <w:r w:rsidR="00FB4B55">
        <w:rPr>
          <w:rFonts w:ascii="Arial" w:hAnsi="Arial" w:cs="Arial"/>
          <w:iCs/>
          <w:smallCaps/>
          <w:sz w:val="28"/>
          <w:szCs w:val="28"/>
          <w:lang w:val="es-CO"/>
        </w:rPr>
        <w:t xml:space="preserve"> </w:t>
      </w:r>
      <w:r w:rsidRPr="00BC082A">
        <w:rPr>
          <w:rFonts w:ascii="Arial" w:hAnsi="Arial" w:cs="Arial"/>
          <w:iCs/>
          <w:smallCaps/>
          <w:sz w:val="28"/>
          <w:szCs w:val="28"/>
          <w:lang w:val="es-CO"/>
        </w:rPr>
        <w:t>(</w:t>
      </w:r>
      <w:r w:rsidR="00B94E2C">
        <w:rPr>
          <w:rFonts w:ascii="Arial" w:hAnsi="Arial" w:cs="Arial"/>
          <w:iCs/>
          <w:smallCaps/>
          <w:sz w:val="28"/>
          <w:szCs w:val="28"/>
          <w:lang w:val="es-CO"/>
        </w:rPr>
        <w:t>12</w:t>
      </w:r>
      <w:r w:rsidRPr="00BC082A">
        <w:rPr>
          <w:rFonts w:ascii="Arial" w:hAnsi="Arial" w:cs="Arial"/>
          <w:iCs/>
          <w:smallCaps/>
          <w:sz w:val="28"/>
          <w:szCs w:val="28"/>
          <w:lang w:val="es-CO"/>
        </w:rPr>
        <w:t xml:space="preserve">) de </w:t>
      </w:r>
      <w:r w:rsidR="00FB4B55">
        <w:rPr>
          <w:rFonts w:ascii="Arial" w:hAnsi="Arial" w:cs="Arial"/>
          <w:iCs/>
          <w:smallCaps/>
          <w:sz w:val="28"/>
          <w:szCs w:val="28"/>
          <w:lang w:val="es-CO"/>
        </w:rPr>
        <w:t xml:space="preserve">diciembre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E77AB" w:rsidRDefault="00134F0A" w:rsidP="007949D4">
      <w:pPr>
        <w:pStyle w:val="Corpsdetexte"/>
        <w:spacing w:line="360" w:lineRule="auto"/>
        <w:rPr>
          <w:rFonts w:ascii="Arial" w:hAnsi="Arial"/>
          <w:sz w:val="22"/>
          <w:szCs w:val="24"/>
        </w:rPr>
      </w:pPr>
    </w:p>
    <w:p w:rsidR="00455E2D" w:rsidRDefault="00455E2D" w:rsidP="00455E2D">
      <w:pPr>
        <w:pStyle w:val="Corpsdetexte"/>
        <w:spacing w:line="360" w:lineRule="auto"/>
        <w:rPr>
          <w:rFonts w:ascii="Arial" w:hAnsi="Arial"/>
          <w:szCs w:val="24"/>
        </w:rPr>
      </w:pPr>
      <w:r w:rsidRPr="00F9418E">
        <w:rPr>
          <w:rFonts w:ascii="Arial" w:hAnsi="Arial"/>
          <w:szCs w:val="24"/>
        </w:rPr>
        <w:t xml:space="preserve">La </w:t>
      </w:r>
      <w:r>
        <w:rPr>
          <w:rFonts w:ascii="Arial" w:hAnsi="Arial"/>
          <w:szCs w:val="24"/>
        </w:rPr>
        <w:t xml:space="preserve">acción constitucional referida,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 xml:space="preserve"> invalide</w:t>
      </w:r>
      <w:r w:rsidRPr="00F9418E">
        <w:rPr>
          <w:rFonts w:ascii="Arial" w:hAnsi="Arial"/>
          <w:szCs w:val="24"/>
        </w:rPr>
        <w:t>.</w:t>
      </w:r>
    </w:p>
    <w:p w:rsidR="009C568C" w:rsidRPr="004E77AB" w:rsidRDefault="009C568C"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w:t>
      </w:r>
      <w:r w:rsidR="000F5C1C">
        <w:rPr>
          <w:rFonts w:ascii="Arial" w:hAnsi="Arial" w:cs="Arial"/>
        </w:rPr>
        <w:t xml:space="preserve">Segundo </w:t>
      </w:r>
      <w:r w:rsidR="003843DB" w:rsidRPr="00FD594D">
        <w:rPr>
          <w:rFonts w:ascii="Arial" w:hAnsi="Arial" w:cs="Arial"/>
        </w:rPr>
        <w:t xml:space="preserve">Civil del Circuito </w:t>
      </w:r>
      <w:r w:rsidR="000F5C1C">
        <w:rPr>
          <w:rFonts w:ascii="Arial" w:hAnsi="Arial" w:cs="Arial"/>
        </w:rPr>
        <w:t>de Pereira</w:t>
      </w:r>
      <w:r w:rsidR="003843DB">
        <w:rPr>
          <w:rFonts w:ascii="Arial" w:hAnsi="Arial" w:cs="Arial"/>
        </w:rPr>
        <w:t xml:space="preserve">, </w:t>
      </w:r>
      <w:r w:rsidR="00455E2D">
        <w:rPr>
          <w:rFonts w:ascii="Arial" w:hAnsi="Arial" w:cs="Arial"/>
        </w:rPr>
        <w:t>la acción popular No.</w:t>
      </w:r>
      <w:r w:rsidR="004D7BFF">
        <w:rPr>
          <w:rFonts w:ascii="Arial" w:hAnsi="Arial" w:cs="Arial"/>
        </w:rPr>
        <w:t>2015-00055-00</w:t>
      </w:r>
      <w:r w:rsidR="004E77AB">
        <w:rPr>
          <w:rFonts w:ascii="Arial" w:hAnsi="Arial" w:cs="Arial"/>
        </w:rPr>
        <w:t xml:space="preserve">, </w:t>
      </w:r>
      <w:r w:rsidR="004D7BFF">
        <w:rPr>
          <w:rFonts w:ascii="Arial" w:hAnsi="Arial" w:cs="Arial"/>
        </w:rPr>
        <w:t xml:space="preserve">quien ha </w:t>
      </w:r>
      <w:r w:rsidR="009F6B3F">
        <w:rPr>
          <w:rFonts w:ascii="Arial" w:hAnsi="Arial" w:cs="Arial"/>
        </w:rPr>
        <w:t>in</w:t>
      </w:r>
      <w:r w:rsidR="000F5C1C">
        <w:rPr>
          <w:rFonts w:ascii="Arial" w:hAnsi="Arial" w:cs="Arial"/>
        </w:rPr>
        <w:t>aplicado los artículos 5º y 84 de la Ley 472</w:t>
      </w:r>
      <w:r w:rsidR="004D7BFF">
        <w:rPr>
          <w:rFonts w:ascii="Arial" w:hAnsi="Arial" w:cs="Arial"/>
        </w:rPr>
        <w:t xml:space="preserve">, así como, </w:t>
      </w:r>
      <w:r w:rsidR="000F5C1C">
        <w:rPr>
          <w:rFonts w:ascii="Arial" w:hAnsi="Arial" w:cs="Arial"/>
        </w:rPr>
        <w:t>el 121 del CGP</w:t>
      </w:r>
      <w:r w:rsidR="004D7BFF">
        <w:rPr>
          <w:rFonts w:ascii="Arial" w:hAnsi="Arial" w:cs="Arial"/>
        </w:rPr>
        <w:t xml:space="preserve">, pese a que ha decretado el desistimiento tácito </w:t>
      </w:r>
      <w:r w:rsidR="004E77AB">
        <w:rPr>
          <w:rFonts w:ascii="Arial" w:hAnsi="Arial" w:cs="Arial"/>
        </w:rPr>
        <w:t xml:space="preserve">(Folio </w:t>
      </w:r>
      <w:r w:rsidR="004C6769">
        <w:rPr>
          <w:rFonts w:ascii="Arial" w:hAnsi="Arial" w:cs="Arial"/>
        </w:rPr>
        <w:t>1</w:t>
      </w:r>
      <w:r w:rsidR="004E77AB">
        <w:rPr>
          <w:rFonts w:ascii="Arial" w:hAnsi="Arial" w:cs="Arial"/>
        </w:rPr>
        <w:t xml:space="preserve">,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455E2D">
        <w:rPr>
          <w:rFonts w:ascii="Arial" w:hAnsi="Arial" w:cs="Arial"/>
        </w:rPr>
        <w:t>(Folio 1</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4E77AB" w:rsidRDefault="004E77AB" w:rsidP="003843DB">
      <w:pPr>
        <w:spacing w:line="360" w:lineRule="auto"/>
        <w:jc w:val="both"/>
        <w:rPr>
          <w:rFonts w:ascii="Arial" w:hAnsi="Arial" w:cs="Arial"/>
        </w:rPr>
      </w:pPr>
    </w:p>
    <w:p w:rsidR="003843DB" w:rsidRPr="00FD594D" w:rsidRDefault="004D7BFF" w:rsidP="003843DB">
      <w:pPr>
        <w:spacing w:line="360" w:lineRule="auto"/>
        <w:jc w:val="both"/>
        <w:rPr>
          <w:rFonts w:ascii="Arial" w:hAnsi="Arial" w:cs="Arial"/>
        </w:rPr>
      </w:pPr>
      <w:r>
        <w:rPr>
          <w:rFonts w:ascii="Arial" w:hAnsi="Arial" w:cs="Arial"/>
        </w:rPr>
        <w:t>El actor p</w:t>
      </w:r>
      <w:r w:rsidR="003843DB" w:rsidRPr="00FD594D">
        <w:rPr>
          <w:rFonts w:ascii="Arial" w:hAnsi="Arial" w:cs="Arial"/>
        </w:rPr>
        <w:t xml:space="preserve">retende que </w:t>
      </w:r>
      <w:r>
        <w:rPr>
          <w:rFonts w:ascii="Arial" w:hAnsi="Arial" w:cs="Arial"/>
        </w:rPr>
        <w:t>s</w:t>
      </w:r>
      <w:r w:rsidR="009F6B3F">
        <w:rPr>
          <w:rFonts w:ascii="Arial" w:hAnsi="Arial" w:cs="Arial"/>
        </w:rPr>
        <w:t xml:space="preserve">e ordene </w:t>
      </w:r>
      <w:r>
        <w:rPr>
          <w:rFonts w:ascii="Arial" w:hAnsi="Arial" w:cs="Arial"/>
        </w:rPr>
        <w:t xml:space="preserve">al Despacho Judicial accionado dar aplicación inmediata de los artículos 84 de la Ley 472 y 121 del CGP </w:t>
      </w:r>
      <w:r w:rsidR="00455E2D">
        <w:rPr>
          <w:rFonts w:ascii="Arial" w:hAnsi="Arial" w:cs="Arial"/>
        </w:rPr>
        <w:t>(Folio</w:t>
      </w:r>
      <w:r w:rsidR="00645B05" w:rsidRPr="00FD594D">
        <w:rPr>
          <w:rFonts w:ascii="Arial" w:hAnsi="Arial" w:cs="Arial"/>
        </w:rPr>
        <w:t xml:space="preserve"> </w:t>
      </w:r>
      <w:r w:rsidR="00455E2D">
        <w:rPr>
          <w:rFonts w:ascii="Arial" w:hAnsi="Arial" w:cs="Arial"/>
        </w:rPr>
        <w:t>1</w:t>
      </w:r>
      <w:r w:rsidR="00645B05" w:rsidRPr="00FD594D">
        <w:rPr>
          <w:rFonts w:ascii="Arial" w:hAnsi="Arial" w:cs="Arial"/>
        </w:rPr>
        <w:t>, este cuaderno).</w:t>
      </w: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ansinterligne"/>
        <w:tabs>
          <w:tab w:val="left" w:pos="1200"/>
        </w:tabs>
        <w:spacing w:line="360" w:lineRule="auto"/>
        <w:jc w:val="both"/>
        <w:rPr>
          <w:rFonts w:ascii="Arial" w:hAnsi="Arial"/>
          <w:sz w:val="22"/>
          <w:szCs w:val="24"/>
        </w:rPr>
      </w:pPr>
    </w:p>
    <w:p w:rsidR="00220B87" w:rsidRPr="009F6B3F" w:rsidRDefault="004A4E9F" w:rsidP="00B50331">
      <w:pPr>
        <w:spacing w:line="360" w:lineRule="auto"/>
        <w:jc w:val="both"/>
        <w:rPr>
          <w:rFonts w:ascii="Arial" w:hAnsi="Arial"/>
          <w:lang w:val="es-CO"/>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9F6B3F">
        <w:rPr>
          <w:rFonts w:ascii="Arial" w:hAnsi="Arial"/>
        </w:rPr>
        <w:t>28-11</w:t>
      </w:r>
      <w:r w:rsidR="004E77AB">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4E77AB">
        <w:rPr>
          <w:rFonts w:ascii="Arial" w:hAnsi="Arial" w:cs="Arial"/>
          <w:color w:val="000000"/>
        </w:rPr>
        <w:t xml:space="preserve">día hábil siguiente </w:t>
      </w:r>
      <w:r w:rsidR="00455E2D">
        <w:rPr>
          <w:rFonts w:ascii="Arial" w:hAnsi="Arial" w:cs="Arial"/>
          <w:color w:val="000000"/>
        </w:rPr>
        <w:t>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9F6B3F">
        <w:rPr>
          <w:rFonts w:ascii="Arial" w:hAnsi="Arial" w:cs="Arial"/>
          <w:color w:val="000000"/>
        </w:rPr>
        <w:t>s</w:t>
      </w:r>
      <w:r w:rsidR="00455E2D" w:rsidRPr="00FD594D">
        <w:rPr>
          <w:rFonts w:ascii="Arial" w:hAnsi="Arial" w:cs="Arial"/>
          <w:color w:val="000000"/>
        </w:rPr>
        <w:t xml:space="preserve"> </w:t>
      </w:r>
      <w:r w:rsidR="009F6B3F">
        <w:rPr>
          <w:rFonts w:ascii="Arial" w:hAnsi="Arial" w:cs="Arial"/>
          <w:color w:val="000000"/>
        </w:rPr>
        <w:t>5 y 6</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9F6B3F">
        <w:rPr>
          <w:rFonts w:ascii="Arial" w:hAnsi="Arial"/>
        </w:rPr>
        <w:t>s</w:t>
      </w:r>
      <w:r w:rsidR="008E50E4">
        <w:rPr>
          <w:rFonts w:ascii="Arial" w:hAnsi="Arial"/>
        </w:rPr>
        <w:t xml:space="preserve"> </w:t>
      </w:r>
      <w:r w:rsidR="009F6B3F">
        <w:rPr>
          <w:rFonts w:ascii="Arial" w:hAnsi="Arial"/>
        </w:rPr>
        <w:t>7</w:t>
      </w:r>
      <w:r w:rsidR="004D7BFF">
        <w:rPr>
          <w:rFonts w:ascii="Arial" w:hAnsi="Arial"/>
        </w:rPr>
        <w:t>, 8 y 16</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3351D6">
        <w:rPr>
          <w:rFonts w:ascii="Arial" w:hAnsi="Arial"/>
          <w:lang w:val="es-CO"/>
        </w:rPr>
        <w:t xml:space="preserve"> </w:t>
      </w:r>
      <w:r w:rsidR="004D7BFF">
        <w:rPr>
          <w:rFonts w:ascii="Arial" w:hAnsi="Arial"/>
          <w:lang w:val="es-CO"/>
        </w:rPr>
        <w:t xml:space="preserve">Contestó la Alcaldía de Medellín (Folios 9 a 11, ibídem) </w:t>
      </w:r>
      <w:r w:rsidR="008F51FB">
        <w:rPr>
          <w:rFonts w:ascii="Arial" w:hAnsi="Arial"/>
          <w:lang w:val="es-CO"/>
        </w:rPr>
        <w:t xml:space="preserve">El accionado arrimó </w:t>
      </w:r>
      <w:r w:rsidR="009F6B3F">
        <w:rPr>
          <w:rFonts w:ascii="Arial" w:hAnsi="Arial"/>
          <w:lang w:val="es-CO"/>
        </w:rPr>
        <w:t xml:space="preserve">disco compacto con documento en formato </w:t>
      </w:r>
      <w:r w:rsidR="009F6B3F" w:rsidRPr="009F6B3F">
        <w:rPr>
          <w:rFonts w:ascii="Arial" w:hAnsi="Arial"/>
          <w:i/>
          <w:sz w:val="22"/>
          <w:lang w:val="es-CO"/>
        </w:rPr>
        <w:t>“PDF”</w:t>
      </w:r>
      <w:r w:rsidR="009F6B3F">
        <w:rPr>
          <w:rFonts w:ascii="Arial" w:hAnsi="Arial"/>
          <w:lang w:val="es-CO"/>
        </w:rPr>
        <w:t xml:space="preserve"> de la acción popular </w:t>
      </w:r>
      <w:r w:rsidR="00127786">
        <w:rPr>
          <w:rFonts w:ascii="Arial" w:hAnsi="Arial" w:cs="Arial"/>
          <w:spacing w:val="3"/>
        </w:rPr>
        <w:t>(Folio</w:t>
      </w:r>
      <w:r w:rsidR="008E50E4">
        <w:rPr>
          <w:rFonts w:ascii="Arial" w:hAnsi="Arial" w:cs="Arial"/>
          <w:spacing w:val="3"/>
        </w:rPr>
        <w:t xml:space="preserve"> </w:t>
      </w:r>
      <w:r w:rsidR="004D7BFF">
        <w:rPr>
          <w:rFonts w:ascii="Arial" w:hAnsi="Arial" w:cs="Arial"/>
          <w:spacing w:val="3"/>
        </w:rPr>
        <w:t>27</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Default="00B41B34" w:rsidP="00B50331">
      <w:pPr>
        <w:spacing w:line="360" w:lineRule="auto"/>
        <w:jc w:val="both"/>
        <w:rPr>
          <w:rFonts w:ascii="Arial" w:hAnsi="Arial"/>
          <w:sz w:val="22"/>
        </w:rPr>
      </w:pPr>
    </w:p>
    <w:p w:rsidR="004D7BFF" w:rsidRPr="00C57632" w:rsidRDefault="004D7BFF" w:rsidP="004D7BFF">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4D7BFF" w:rsidRPr="00C57632" w:rsidRDefault="004D7BFF" w:rsidP="004D7BFF">
      <w:pPr>
        <w:spacing w:line="360" w:lineRule="auto"/>
        <w:jc w:val="both"/>
        <w:rPr>
          <w:rFonts w:ascii="Arial" w:hAnsi="Arial"/>
          <w:sz w:val="20"/>
        </w:rPr>
      </w:pPr>
    </w:p>
    <w:p w:rsidR="004D7BFF" w:rsidRDefault="004D7BFF" w:rsidP="004D7BFF">
      <w:pPr>
        <w:spacing w:line="360" w:lineRule="auto"/>
        <w:jc w:val="both"/>
        <w:rPr>
          <w:rFonts w:ascii="Arial" w:hAnsi="Arial"/>
        </w:rPr>
      </w:pPr>
      <w:r>
        <w:rPr>
          <w:rFonts w:ascii="Arial" w:hAnsi="Arial"/>
        </w:rPr>
        <w:t>La Alcaldía de Medellín consideró que carece de legitimación en la causa por pasiva, en tanto que la violación señalada no tuvo ocasión con acción u omisión suya, pues fue el juzgado accionado quien profirió la decisión que ataca el accionante (Folios 9 a 11, ib.).</w:t>
      </w:r>
    </w:p>
    <w:p w:rsidR="004D7BFF" w:rsidRPr="00455E2D" w:rsidRDefault="004D7BFF" w:rsidP="00B50331">
      <w:pPr>
        <w:spacing w:line="360" w:lineRule="auto"/>
        <w:jc w:val="both"/>
        <w:rPr>
          <w:rFonts w:ascii="Arial" w:hAnsi="Arial"/>
          <w:sz w:val="22"/>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Corpsdetexte"/>
        <w:spacing w:line="360" w:lineRule="auto"/>
        <w:ind w:left="400"/>
        <w:rPr>
          <w:rFonts w:ascii="Arial" w:hAnsi="Arial"/>
          <w:sz w:val="20"/>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Corpsdetexte"/>
        <w:tabs>
          <w:tab w:val="clear" w:pos="708"/>
          <w:tab w:val="left" w:pos="709"/>
        </w:tabs>
        <w:spacing w:line="360" w:lineRule="auto"/>
        <w:ind w:left="720"/>
        <w:rPr>
          <w:rFonts w:ascii="Arial" w:hAnsi="Arial"/>
          <w:sz w:val="20"/>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9723B6">
        <w:rPr>
          <w:rFonts w:ascii="Arial" w:hAnsi="Arial" w:cs="Arial"/>
          <w:color w:val="000000"/>
          <w:sz w:val="24"/>
          <w:szCs w:val="24"/>
        </w:rPr>
        <w:t xml:space="preserve">Segundo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9723B6">
        <w:rPr>
          <w:rFonts w:ascii="Arial" w:hAnsi="Arial" w:cs="Arial"/>
          <w:color w:val="000000"/>
          <w:sz w:val="24"/>
          <w:szCs w:val="24"/>
        </w:rPr>
        <w:t>de Pereira</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Retraitcorpsdetexte2"/>
        <w:spacing w:after="0" w:line="360" w:lineRule="auto"/>
        <w:ind w:left="0"/>
        <w:jc w:val="both"/>
        <w:rPr>
          <w:rFonts w:ascii="Arial" w:hAnsi="Arial" w:cs="Arial"/>
          <w:sz w:val="24"/>
          <w:szCs w:val="24"/>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lastRenderedPageBreak/>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9723B6">
        <w:rPr>
          <w:rFonts w:ascii="Arial" w:hAnsi="Arial" w:cs="Arial"/>
          <w:color w:val="000000"/>
        </w:rPr>
        <w:t>Segundo Civil del Circuito de Pereira</w:t>
      </w:r>
      <w:r w:rsidR="00AC1EFF">
        <w:rPr>
          <w:rFonts w:ascii="Arial" w:hAnsi="Arial" w:cs="Arial"/>
        </w:rPr>
        <w:t>,</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acción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3351D6" w:rsidRDefault="003351D6" w:rsidP="003351D6">
      <w:pPr>
        <w:pStyle w:val="Corpsdetexte"/>
        <w:tabs>
          <w:tab w:val="clear" w:pos="0"/>
          <w:tab w:val="clear" w:pos="708"/>
          <w:tab w:val="clear" w:pos="1416"/>
          <w:tab w:val="left" w:pos="709"/>
        </w:tabs>
        <w:spacing w:line="360" w:lineRule="auto"/>
        <w:ind w:left="720"/>
        <w:rPr>
          <w:rFonts w:ascii="Arial" w:hAnsi="Arial"/>
          <w:szCs w:val="24"/>
        </w:rPr>
      </w:pPr>
    </w:p>
    <w:p w:rsidR="003351D6" w:rsidRPr="00DF74B6"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Corpsdetexte"/>
        <w:spacing w:line="360" w:lineRule="auto"/>
        <w:rPr>
          <w:rFonts w:ascii="Arial" w:hAnsi="Arial" w:cs="Arial"/>
          <w:sz w:val="20"/>
          <w:szCs w:val="24"/>
        </w:rPr>
      </w:pPr>
    </w:p>
    <w:p w:rsidR="009723B6" w:rsidRDefault="009723B6" w:rsidP="009723B6">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en el proceso judicial que se reprocha la falta al debido proceso</w:t>
      </w:r>
      <w:r w:rsidRPr="00902F93">
        <w:rPr>
          <w:rFonts w:ascii="Arial" w:hAnsi="Arial" w:cs="Arial"/>
          <w:szCs w:val="24"/>
        </w:rPr>
        <w:t xml:space="preserve">. Y por pasiva, </w:t>
      </w:r>
      <w:r>
        <w:rPr>
          <w:rFonts w:ascii="Arial" w:hAnsi="Arial" w:cs="Arial"/>
          <w:szCs w:val="24"/>
        </w:rPr>
        <w:t>lo es el Juzgado Segundo Civil del Circuito de Pereira, al ser</w:t>
      </w:r>
      <w:r w:rsidRPr="009A3C9D">
        <w:rPr>
          <w:rFonts w:ascii="Arial" w:hAnsi="Arial" w:cs="Arial"/>
          <w:szCs w:val="24"/>
        </w:rPr>
        <w:t xml:space="preserve"> la autoridad judicial que </w:t>
      </w:r>
      <w:r>
        <w:rPr>
          <w:rFonts w:ascii="Arial" w:hAnsi="Arial" w:cs="Arial"/>
          <w:szCs w:val="24"/>
        </w:rPr>
        <w:t>conoció del juicio.</w:t>
      </w:r>
    </w:p>
    <w:p w:rsidR="009723B6" w:rsidRPr="009723B6" w:rsidRDefault="009723B6" w:rsidP="009723B6">
      <w:pPr>
        <w:pStyle w:val="Corpsdetexte"/>
        <w:spacing w:line="360" w:lineRule="auto"/>
      </w:pPr>
    </w:p>
    <w:p w:rsidR="009723B6" w:rsidRDefault="009723B6" w:rsidP="009723B6">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w:t>
      </w:r>
      <w:r w:rsidR="004D7BFF">
        <w:rPr>
          <w:rFonts w:ascii="Arial" w:hAnsi="Arial" w:cs="Arial"/>
        </w:rPr>
        <w:t>Antioquia</w:t>
      </w:r>
      <w:r>
        <w:rPr>
          <w:rFonts w:ascii="Arial" w:hAnsi="Arial" w:cs="Arial"/>
        </w:rPr>
        <w:t xml:space="preserve">, y la Alcaldía y la Personería de </w:t>
      </w:r>
      <w:r w:rsidR="004D7BFF">
        <w:rPr>
          <w:rFonts w:ascii="Arial" w:hAnsi="Arial" w:cs="Arial"/>
        </w:rPr>
        <w:t>Medellín, A.</w:t>
      </w:r>
      <w:r>
        <w:rPr>
          <w:rFonts w:ascii="Arial" w:hAnsi="Arial" w:cs="Arial"/>
        </w:rPr>
        <w:t xml:space="preserve"> no participaron en la acción popular dentro de la cual se alega la vulneración al debido proceso, carecen de legitimación, por ende, se declarará improcedente el amparo en su contra; asimismo, y como quiera que la </w:t>
      </w:r>
      <w:r w:rsidR="004D7BFF">
        <w:rPr>
          <w:rFonts w:ascii="Arial" w:hAnsi="Arial" w:cs="Arial"/>
        </w:rPr>
        <w:t>Cooperativa Financiera de Antioquia CFA</w:t>
      </w:r>
      <w:r>
        <w:rPr>
          <w:rFonts w:ascii="Arial" w:hAnsi="Arial" w:cs="Arial"/>
        </w:rPr>
        <w:t>, no incurrió en violación o amenaza alguna, se negará la tutela en su contra.</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014C4" w:rsidRPr="007251E6" w:rsidRDefault="00D014C4" w:rsidP="00F260D7">
      <w:pPr>
        <w:pStyle w:val="Corpsdetexte"/>
        <w:spacing w:line="360" w:lineRule="auto"/>
        <w:rPr>
          <w:rFonts w:ascii="Arial" w:hAnsi="Arial" w:cs="Arial"/>
          <w:sz w:val="20"/>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w:t>
      </w:r>
      <w:r w:rsidRPr="006A3AB9">
        <w:rPr>
          <w:rFonts w:ascii="Arial" w:hAnsi="Arial" w:cs="Arial"/>
          <w:szCs w:val="24"/>
        </w:rPr>
        <w:lastRenderedPageBreak/>
        <w:t xml:space="preserve">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sidR="009723B6">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704D19" w:rsidRDefault="00704D19" w:rsidP="00F260D7">
      <w:pPr>
        <w:pStyle w:val="Corpsdetexte"/>
        <w:spacing w:line="360" w:lineRule="auto"/>
        <w:rPr>
          <w:rFonts w:ascii="Arial" w:hAnsi="Arial" w:cs="Arial"/>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 xml:space="preserve">De otra parte, </w:t>
      </w:r>
      <w:r w:rsidR="00704D19">
        <w:rPr>
          <w:rFonts w:ascii="Arial" w:hAnsi="Arial" w:cs="Arial"/>
          <w:szCs w:val="24"/>
        </w:rPr>
        <w:t xml:space="preserve"> </w:t>
      </w:r>
      <w:r w:rsidRPr="006A3AB9">
        <w:rPr>
          <w:rFonts w:ascii="Arial" w:hAnsi="Arial" w:cs="Arial"/>
          <w:szCs w:val="24"/>
        </w:rPr>
        <w:t xml:space="preserve">como </w:t>
      </w:r>
      <w:r w:rsidR="00704D19">
        <w:rPr>
          <w:rFonts w:ascii="Arial" w:hAnsi="Arial" w:cs="Arial"/>
          <w:szCs w:val="24"/>
        </w:rPr>
        <w:t xml:space="preserve"> </w:t>
      </w:r>
      <w:r w:rsidRPr="006A3AB9">
        <w:rPr>
          <w:rFonts w:ascii="Arial" w:hAnsi="Arial" w:cs="Arial"/>
          <w:szCs w:val="24"/>
        </w:rPr>
        <w:t>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F4929"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D014C4" w:rsidRDefault="00D014C4" w:rsidP="00D014C4">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efecto, un mecanismo judicial de origen constitucional de evidente carácter residual que está previsto para asegurar la tutela efectiva y sustancia de los derechos constitucionales fundamentales, pues solo procederá cuando el afectado no disponga de otro medio de defensa </w:t>
      </w:r>
      <w:r w:rsidRPr="00FF4929">
        <w:rPr>
          <w:rFonts w:ascii="Arial" w:hAnsi="Arial" w:cs="Arial"/>
          <w:i/>
          <w:sz w:val="22"/>
          <w:szCs w:val="22"/>
        </w:rPr>
        <w:lastRenderedPageBreak/>
        <w:t>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AE15D2" w:rsidRPr="00F164B1" w:rsidRDefault="00AE15D2" w:rsidP="00D014C4">
      <w:pPr>
        <w:pStyle w:val="Corpsdetexte"/>
        <w:tabs>
          <w:tab w:val="clear" w:pos="0"/>
        </w:tabs>
        <w:spacing w:line="360" w:lineRule="auto"/>
        <w:rPr>
          <w:rFonts w:ascii="Arial" w:hAnsi="Arial" w:cs="Arial"/>
          <w:i/>
          <w:szCs w:val="22"/>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sidR="009723B6">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164B1" w:rsidRDefault="004B554C" w:rsidP="00D014C4">
      <w:pPr>
        <w:widowControl/>
        <w:autoSpaceDE/>
        <w:autoSpaceDN/>
        <w:adjustRightInd/>
        <w:spacing w:line="360" w:lineRule="auto"/>
        <w:jc w:val="both"/>
        <w:rPr>
          <w:rFonts w:ascii="Arial" w:hAnsi="Arial" w:cs="Arial"/>
          <w:lang w:val="es-CO"/>
        </w:rPr>
      </w:pPr>
    </w:p>
    <w:p w:rsidR="00D014C4" w:rsidRDefault="00D014C4" w:rsidP="00D014C4">
      <w:pPr>
        <w:pStyle w:val="Corpsdetex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F164B1" w:rsidRDefault="004B554C" w:rsidP="00D014C4">
      <w:pPr>
        <w:pStyle w:val="Corpsdetex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D014C4" w:rsidRPr="00F164B1" w:rsidRDefault="00D014C4" w:rsidP="00D014C4">
      <w:pPr>
        <w:pStyle w:val="Corpsdetexte"/>
        <w:tabs>
          <w:tab w:val="clear" w:pos="0"/>
        </w:tabs>
        <w:spacing w:line="360" w:lineRule="auto"/>
        <w:rPr>
          <w:rFonts w:ascii="Arial" w:hAnsi="Arial" w:cs="Arial"/>
          <w:szCs w:val="24"/>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 xml:space="preserve">También la </w:t>
      </w:r>
      <w:r w:rsidR="009723B6">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164B1" w:rsidRDefault="008E1295" w:rsidP="00952597">
      <w:pPr>
        <w:pStyle w:val="Corpsdetexte"/>
        <w:numPr>
          <w:ilvl w:val="0"/>
          <w:numId w:val="18"/>
        </w:numPr>
        <w:spacing w:line="360" w:lineRule="auto"/>
        <w:rPr>
          <w:rFonts w:ascii="Arial" w:hAnsi="Arial"/>
          <w:szCs w:val="24"/>
        </w:rPr>
      </w:pPr>
      <w:r w:rsidRPr="00F164B1">
        <w:rPr>
          <w:rFonts w:ascii="Arial" w:hAnsi="Arial"/>
          <w:szCs w:val="24"/>
        </w:rPr>
        <w:t xml:space="preserve">EL CASO CONCRETO </w:t>
      </w:r>
    </w:p>
    <w:p w:rsidR="008139F4" w:rsidRPr="00F164B1" w:rsidRDefault="008139F4" w:rsidP="008139F4">
      <w:pPr>
        <w:pStyle w:val="Corpsdetexte"/>
        <w:spacing w:line="360" w:lineRule="auto"/>
        <w:ind w:left="400"/>
        <w:rPr>
          <w:rFonts w:ascii="Arial" w:hAnsi="Arial"/>
          <w:szCs w:val="24"/>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w:t>
      </w:r>
      <w:r w:rsidR="009723B6">
        <w:rPr>
          <w:rFonts w:ascii="Arial" w:hAnsi="Arial" w:cs="Arial"/>
          <w:lang w:val="es-ES_tradnl"/>
        </w:rPr>
        <w:t xml:space="preserve">en consecuencia, </w:t>
      </w:r>
      <w:r w:rsidRPr="00F164B1">
        <w:rPr>
          <w:rFonts w:ascii="Arial" w:hAnsi="Arial" w:cs="Arial"/>
          <w:lang w:val="es-ES_tradnl"/>
        </w:rPr>
        <w:t>el análisis que sigue se limitará a la subsidiariedad, porque es el elemento que se advierte ausente y resulta suficiente para el fracaso del amparo.</w:t>
      </w:r>
    </w:p>
    <w:p w:rsidR="00AE15D2" w:rsidRPr="00F016AE" w:rsidRDefault="0073447B" w:rsidP="00AE15D2">
      <w:pPr>
        <w:spacing w:line="360" w:lineRule="auto"/>
        <w:jc w:val="both"/>
        <w:rPr>
          <w:rFonts w:ascii="Arial" w:hAnsi="Arial" w:cs="Arial"/>
        </w:rPr>
      </w:pPr>
      <w:r>
        <w:rPr>
          <w:rFonts w:ascii="Arial" w:hAnsi="Arial" w:cs="Arial"/>
          <w:lang w:val="es-ES_tradnl"/>
        </w:rPr>
        <w:lastRenderedPageBreak/>
        <w:t xml:space="preserve">Conforme lo expuesto </w:t>
      </w:r>
      <w:r w:rsidR="00F55BDD">
        <w:rPr>
          <w:rFonts w:ascii="Arial" w:hAnsi="Arial" w:cs="Arial"/>
          <w:lang w:val="es-ES_tradnl"/>
        </w:rPr>
        <w:t>en el petitorio de tutela</w:t>
      </w:r>
      <w:r w:rsidR="007A6872">
        <w:rPr>
          <w:rFonts w:ascii="Arial" w:hAnsi="Arial" w:cs="Arial"/>
          <w:lang w:val="es-ES_tradnl"/>
        </w:rPr>
        <w:t>,</w:t>
      </w:r>
      <w:r w:rsidR="00F55BDD">
        <w:rPr>
          <w:rFonts w:ascii="Arial" w:hAnsi="Arial" w:cs="Arial"/>
          <w:lang w:val="es-ES_tradnl"/>
        </w:rPr>
        <w:t xml:space="preserve"> </w:t>
      </w:r>
      <w:r>
        <w:rPr>
          <w:rFonts w:ascii="Arial" w:hAnsi="Arial" w:cs="Arial"/>
          <w:lang w:val="es-ES_tradnl"/>
        </w:rPr>
        <w:t xml:space="preserve">aunado al </w:t>
      </w:r>
      <w:r w:rsidR="00F55BDD">
        <w:rPr>
          <w:rFonts w:ascii="Arial" w:hAnsi="Arial" w:cs="Arial"/>
          <w:lang w:val="es-ES_tradnl"/>
        </w:rPr>
        <w:t xml:space="preserve">estado actual de la acción popular, </w:t>
      </w:r>
      <w:r>
        <w:rPr>
          <w:rFonts w:ascii="Arial" w:hAnsi="Arial" w:cs="Arial"/>
          <w:lang w:val="es-ES_tradnl"/>
        </w:rPr>
        <w:t xml:space="preserve">entiende la Sala que el actor se </w:t>
      </w:r>
      <w:r w:rsidR="00AE15D2" w:rsidRPr="00F164B1">
        <w:rPr>
          <w:rFonts w:ascii="Arial" w:hAnsi="Arial" w:cs="Arial"/>
          <w:lang w:val="es-ES_tradnl"/>
        </w:rPr>
        <w:t xml:space="preserve">duele </w:t>
      </w:r>
      <w:r w:rsidR="00F55BDD">
        <w:rPr>
          <w:rFonts w:ascii="Arial" w:hAnsi="Arial" w:cs="Arial"/>
          <w:lang w:val="es-ES_tradnl"/>
        </w:rPr>
        <w:t xml:space="preserve">porque el </w:t>
      </w:r>
      <w:r w:rsidR="00AE15D2" w:rsidRPr="00F164B1">
        <w:rPr>
          <w:rFonts w:ascii="Arial" w:hAnsi="Arial" w:cs="Arial"/>
          <w:lang w:val="es-ES_tradnl"/>
        </w:rPr>
        <w:t xml:space="preserve">Juzgado </w:t>
      </w:r>
      <w:r w:rsidR="00F55BDD">
        <w:rPr>
          <w:rFonts w:ascii="Arial" w:hAnsi="Arial" w:cs="Arial"/>
          <w:lang w:val="es-ES_tradnl"/>
        </w:rPr>
        <w:t xml:space="preserve">Segundo </w:t>
      </w:r>
      <w:r w:rsidR="00AE15D2" w:rsidRPr="00F164B1">
        <w:rPr>
          <w:rFonts w:ascii="Arial" w:hAnsi="Arial" w:cs="Arial"/>
          <w:lang w:val="es-ES_tradnl"/>
        </w:rPr>
        <w:t xml:space="preserve">Civil del Circuito </w:t>
      </w:r>
      <w:r w:rsidR="00F55BDD">
        <w:rPr>
          <w:rFonts w:ascii="Arial" w:hAnsi="Arial" w:cs="Arial"/>
          <w:lang w:val="es-ES_tradnl"/>
        </w:rPr>
        <w:t xml:space="preserve">de Pereira </w:t>
      </w:r>
      <w:r w:rsidR="00AE15D2" w:rsidRPr="00F164B1">
        <w:rPr>
          <w:rFonts w:ascii="Arial" w:hAnsi="Arial" w:cs="Arial"/>
          <w:lang w:val="es-ES_tradnl"/>
        </w:rPr>
        <w:t>no</w:t>
      </w:r>
      <w:r w:rsidR="00AE15D2">
        <w:rPr>
          <w:rFonts w:ascii="Arial" w:hAnsi="Arial" w:cs="Arial"/>
          <w:lang w:val="es-ES_tradnl"/>
        </w:rPr>
        <w:t xml:space="preserve"> </w:t>
      </w:r>
      <w:r>
        <w:rPr>
          <w:rFonts w:ascii="Arial" w:hAnsi="Arial" w:cs="Arial"/>
          <w:lang w:val="es-ES_tradnl"/>
        </w:rPr>
        <w:t xml:space="preserve">ha efectuado </w:t>
      </w:r>
      <w:r w:rsidR="00F55BDD">
        <w:rPr>
          <w:rFonts w:ascii="Arial" w:hAnsi="Arial" w:cs="Arial"/>
          <w:lang w:val="es-ES_tradnl"/>
        </w:rPr>
        <w:t>de oficio el aviso a la comunidad</w:t>
      </w:r>
      <w:r>
        <w:rPr>
          <w:rFonts w:ascii="Arial" w:hAnsi="Arial" w:cs="Arial"/>
          <w:lang w:val="es-ES_tradnl"/>
        </w:rPr>
        <w:t xml:space="preserve"> (Artículo 5, Ley 472), </w:t>
      </w:r>
      <w:r w:rsidR="00F76C84">
        <w:rPr>
          <w:rFonts w:ascii="Arial" w:hAnsi="Arial" w:cs="Arial"/>
          <w:lang w:val="es-ES_tradnl"/>
        </w:rPr>
        <w:t xml:space="preserve">tampoco </w:t>
      </w:r>
      <w:r>
        <w:rPr>
          <w:rFonts w:ascii="Arial" w:hAnsi="Arial" w:cs="Arial"/>
          <w:lang w:val="es-ES_tradnl"/>
        </w:rPr>
        <w:t xml:space="preserve">ha dictado </w:t>
      </w:r>
      <w:r w:rsidR="007A6872">
        <w:rPr>
          <w:rFonts w:ascii="Arial" w:hAnsi="Arial" w:cs="Arial"/>
          <w:lang w:val="es-ES_tradnl"/>
        </w:rPr>
        <w:t xml:space="preserve">la </w:t>
      </w:r>
      <w:r>
        <w:rPr>
          <w:rFonts w:ascii="Arial" w:hAnsi="Arial" w:cs="Arial"/>
          <w:lang w:val="es-ES_tradnl"/>
        </w:rPr>
        <w:t xml:space="preserve">sentencia dentro de los </w:t>
      </w:r>
      <w:r w:rsidR="007A6872" w:rsidRPr="007A6872">
        <w:rPr>
          <w:rFonts w:ascii="Arial" w:hAnsi="Arial" w:cs="Arial"/>
          <w:i/>
          <w:sz w:val="22"/>
          <w:lang w:val="es-ES_tradnl"/>
        </w:rPr>
        <w:t>“</w:t>
      </w:r>
      <w:r w:rsidRPr="007A6872">
        <w:rPr>
          <w:rFonts w:ascii="Arial" w:hAnsi="Arial" w:cs="Arial"/>
          <w:i/>
          <w:sz w:val="22"/>
          <w:lang w:val="es-ES_tradnl"/>
        </w:rPr>
        <w:t xml:space="preserve">plazos perentorios </w:t>
      </w:r>
      <w:r w:rsidR="007A6872" w:rsidRPr="007A6872">
        <w:rPr>
          <w:rFonts w:ascii="Arial" w:hAnsi="Arial" w:cs="Arial"/>
          <w:i/>
          <w:sz w:val="22"/>
          <w:lang w:val="es-ES_tradnl"/>
        </w:rPr>
        <w:t>e improrrogables”</w:t>
      </w:r>
      <w:r w:rsidR="007A6872">
        <w:rPr>
          <w:rFonts w:ascii="Arial" w:hAnsi="Arial" w:cs="Arial"/>
          <w:lang w:val="es-ES_tradnl"/>
        </w:rPr>
        <w:t xml:space="preserve"> </w:t>
      </w:r>
      <w:r>
        <w:rPr>
          <w:rFonts w:ascii="Arial" w:hAnsi="Arial" w:cs="Arial"/>
          <w:lang w:val="es-ES_tradnl"/>
        </w:rPr>
        <w:t xml:space="preserve">que rigen </w:t>
      </w:r>
      <w:r w:rsidR="007A6872">
        <w:rPr>
          <w:rFonts w:ascii="Arial" w:hAnsi="Arial" w:cs="Arial"/>
          <w:lang w:val="es-ES_tradnl"/>
        </w:rPr>
        <w:t>ese</w:t>
      </w:r>
      <w:r>
        <w:rPr>
          <w:rFonts w:ascii="Arial" w:hAnsi="Arial" w:cs="Arial"/>
          <w:lang w:val="es-ES_tradnl"/>
        </w:rPr>
        <w:t xml:space="preserve"> tipo de </w:t>
      </w:r>
      <w:r w:rsidRPr="00F016AE">
        <w:rPr>
          <w:rFonts w:ascii="Arial" w:hAnsi="Arial" w:cs="Arial"/>
          <w:lang w:val="es-ES_tradnl"/>
        </w:rPr>
        <w:t>asuntos (Artículo 84, Ley 472), ni ha declarado su incompetencia y remitido el expediente al juez que sigue en turno (Artículo 121, CGP)</w:t>
      </w:r>
      <w:r w:rsidR="00AE15D2" w:rsidRPr="00F016AE">
        <w:rPr>
          <w:rFonts w:ascii="Arial" w:hAnsi="Arial" w:cs="Arial"/>
          <w:lang w:val="es-ES_tradnl"/>
        </w:rPr>
        <w:t xml:space="preserve">. </w:t>
      </w:r>
    </w:p>
    <w:p w:rsidR="00AE15D2" w:rsidRPr="00F016AE" w:rsidRDefault="00AE15D2" w:rsidP="00AE15D2">
      <w:pPr>
        <w:pStyle w:val="Corpsdetexte"/>
        <w:spacing w:line="360" w:lineRule="auto"/>
        <w:rPr>
          <w:rFonts w:ascii="Arial" w:hAnsi="Arial" w:cs="Arial"/>
          <w:szCs w:val="24"/>
        </w:rPr>
      </w:pPr>
    </w:p>
    <w:p w:rsidR="009F638F" w:rsidRPr="00F016AE" w:rsidRDefault="009F638F" w:rsidP="00AE15D2">
      <w:pPr>
        <w:spacing w:line="360" w:lineRule="auto"/>
        <w:jc w:val="both"/>
        <w:rPr>
          <w:rFonts w:ascii="Arial" w:hAnsi="Arial" w:cs="Arial"/>
          <w:lang w:val="es-ES_tradnl"/>
        </w:rPr>
      </w:pPr>
      <w:r w:rsidRPr="00F016AE">
        <w:rPr>
          <w:rFonts w:ascii="Arial" w:hAnsi="Arial" w:cs="Arial"/>
          <w:lang w:val="es-ES_tradnl"/>
        </w:rPr>
        <w:t xml:space="preserve">Ahora, según </w:t>
      </w:r>
      <w:r w:rsidR="0073447B" w:rsidRPr="00F016AE">
        <w:rPr>
          <w:rFonts w:ascii="Arial" w:hAnsi="Arial" w:cs="Arial"/>
          <w:lang w:val="es-ES_tradnl"/>
        </w:rPr>
        <w:t xml:space="preserve">el </w:t>
      </w:r>
      <w:r w:rsidR="00AE15D2" w:rsidRPr="00F016AE">
        <w:rPr>
          <w:rFonts w:ascii="Arial" w:hAnsi="Arial" w:cs="Arial"/>
          <w:lang w:val="es-ES_tradnl"/>
        </w:rPr>
        <w:t xml:space="preserve">acervo probatorio </w:t>
      </w:r>
      <w:r w:rsidR="004C1F30" w:rsidRPr="00F016AE">
        <w:rPr>
          <w:rFonts w:ascii="Arial" w:hAnsi="Arial" w:cs="Arial"/>
          <w:lang w:val="es-ES_tradnl"/>
        </w:rPr>
        <w:t xml:space="preserve">el despacho judicial accionado </w:t>
      </w:r>
      <w:r w:rsidR="00AE15D2" w:rsidRPr="00F016AE">
        <w:rPr>
          <w:rFonts w:ascii="Arial" w:hAnsi="Arial" w:cs="Arial"/>
          <w:lang w:val="es-ES_tradnl"/>
        </w:rPr>
        <w:t xml:space="preserve">mediante proveído dictado el día </w:t>
      </w:r>
      <w:r w:rsidR="0073447B" w:rsidRPr="00F016AE">
        <w:rPr>
          <w:rFonts w:ascii="Arial" w:hAnsi="Arial" w:cs="Arial"/>
          <w:lang w:val="es-ES_tradnl"/>
        </w:rPr>
        <w:t>23-11-2016</w:t>
      </w:r>
      <w:r w:rsidR="00AE15D2" w:rsidRPr="00F016AE">
        <w:rPr>
          <w:rFonts w:ascii="Arial" w:hAnsi="Arial" w:cs="Arial"/>
          <w:lang w:val="es-ES_tradnl"/>
        </w:rPr>
        <w:t xml:space="preserve">, </w:t>
      </w:r>
      <w:r w:rsidR="0073447B" w:rsidRPr="00F016AE">
        <w:rPr>
          <w:rFonts w:ascii="Arial" w:hAnsi="Arial" w:cs="Arial"/>
          <w:lang w:val="es-ES_tradnl"/>
        </w:rPr>
        <w:t>declaró la nulidad de lo actuado porque no se había surtido adecuadamente el aviso a la comunidad, y en consecuencia, dispuso que el accionante realizara dicha publicación</w:t>
      </w:r>
      <w:r w:rsidR="007A6872">
        <w:rPr>
          <w:rFonts w:ascii="Arial" w:hAnsi="Arial" w:cs="Arial"/>
          <w:lang w:val="es-ES_tradnl"/>
        </w:rPr>
        <w:t xml:space="preserve"> en un término </w:t>
      </w:r>
      <w:r w:rsidRPr="00F016AE">
        <w:rPr>
          <w:rFonts w:ascii="Arial" w:hAnsi="Arial" w:cs="Arial"/>
          <w:lang w:val="es-ES_tradnl"/>
        </w:rPr>
        <w:t xml:space="preserve">de </w:t>
      </w:r>
      <w:r w:rsidR="0073447B" w:rsidRPr="00F016AE">
        <w:rPr>
          <w:rFonts w:ascii="Arial" w:hAnsi="Arial" w:cs="Arial"/>
          <w:lang w:val="es-ES_tradnl"/>
        </w:rPr>
        <w:t>30 días (Artículo 317, CGP)</w:t>
      </w:r>
      <w:r w:rsidRPr="00F016AE">
        <w:rPr>
          <w:rFonts w:ascii="Arial" w:hAnsi="Arial" w:cs="Arial"/>
          <w:lang w:val="es-ES_tradnl"/>
        </w:rPr>
        <w:t xml:space="preserve"> (Folio 107 del disco compacto visible a folio 27 vto. ib.)</w:t>
      </w:r>
      <w:r w:rsidR="0073447B" w:rsidRPr="00F016AE">
        <w:rPr>
          <w:rFonts w:ascii="Arial" w:hAnsi="Arial" w:cs="Arial"/>
          <w:lang w:val="es-ES_tradnl"/>
        </w:rPr>
        <w:t xml:space="preserve">. </w:t>
      </w:r>
    </w:p>
    <w:p w:rsidR="009F638F" w:rsidRPr="00F016AE" w:rsidRDefault="009F638F" w:rsidP="00AE15D2">
      <w:pPr>
        <w:spacing w:line="360" w:lineRule="auto"/>
        <w:jc w:val="both"/>
        <w:rPr>
          <w:rFonts w:ascii="Arial" w:hAnsi="Arial" w:cs="Arial"/>
          <w:lang w:val="es-ES_tradnl"/>
        </w:rPr>
      </w:pPr>
    </w:p>
    <w:p w:rsidR="009F638F" w:rsidRDefault="009F638F" w:rsidP="009F638F">
      <w:pPr>
        <w:spacing w:line="360" w:lineRule="auto"/>
        <w:jc w:val="both"/>
        <w:rPr>
          <w:rFonts w:ascii="Arial" w:hAnsi="Arial" w:cs="Arial"/>
          <w:lang w:val="es-ES_tradnl"/>
        </w:rPr>
      </w:pPr>
      <w:r w:rsidRPr="00F016AE">
        <w:rPr>
          <w:rFonts w:ascii="Arial" w:hAnsi="Arial" w:cs="Arial"/>
          <w:lang w:val="es-ES_tradnl"/>
        </w:rPr>
        <w:t xml:space="preserve">Aquel auto se </w:t>
      </w:r>
      <w:r w:rsidR="0073447B" w:rsidRPr="00F016AE">
        <w:rPr>
          <w:rFonts w:ascii="Arial" w:hAnsi="Arial" w:cs="Arial"/>
          <w:lang w:val="es-ES_tradnl"/>
        </w:rPr>
        <w:t xml:space="preserve">notificó por estado del día 24-11-2016 y fue recurrido por el actor el día 28-11-2016, </w:t>
      </w:r>
      <w:r w:rsidRPr="00F016AE">
        <w:rPr>
          <w:rFonts w:ascii="Arial" w:hAnsi="Arial" w:cs="Arial"/>
          <w:lang w:val="es-ES_tradnl"/>
        </w:rPr>
        <w:t xml:space="preserve">pero </w:t>
      </w:r>
      <w:r w:rsidR="0073447B" w:rsidRPr="00F016AE">
        <w:rPr>
          <w:rFonts w:ascii="Arial" w:hAnsi="Arial" w:cs="Arial"/>
          <w:lang w:val="es-ES_tradnl"/>
        </w:rPr>
        <w:t xml:space="preserve">aún </w:t>
      </w:r>
      <w:r w:rsidRPr="00F016AE">
        <w:rPr>
          <w:rFonts w:ascii="Arial" w:hAnsi="Arial" w:cs="Arial"/>
          <w:lang w:val="es-ES_tradnl"/>
        </w:rPr>
        <w:t xml:space="preserve">no se ha </w:t>
      </w:r>
      <w:r w:rsidR="0073447B" w:rsidRPr="00F016AE">
        <w:rPr>
          <w:rFonts w:ascii="Arial" w:hAnsi="Arial" w:cs="Arial"/>
          <w:lang w:val="es-ES_tradnl"/>
        </w:rPr>
        <w:t>resuelto.</w:t>
      </w:r>
      <w:r w:rsidRPr="00F016AE">
        <w:rPr>
          <w:rFonts w:ascii="Arial" w:hAnsi="Arial" w:cs="Arial"/>
          <w:lang w:val="es-ES_tradnl"/>
        </w:rPr>
        <w:t xml:space="preserve"> Allí expuso el accionante que recurría </w:t>
      </w:r>
      <w:r w:rsidRPr="00F016AE">
        <w:rPr>
          <w:rFonts w:ascii="Arial" w:hAnsi="Arial" w:cs="Arial"/>
          <w:i/>
          <w:sz w:val="22"/>
          <w:lang w:val="es-ES_tradnl"/>
        </w:rPr>
        <w:t>“(…) el auto que pretende terminar una acción constitucional (…) Curioso que solo se aplique el CGP, para el desistimiento, empero NO SE APLIQUE EL ART 121 DEL CGP (…)”</w:t>
      </w:r>
      <w:r w:rsidRPr="00F016AE">
        <w:rPr>
          <w:rFonts w:ascii="Arial" w:hAnsi="Arial" w:cs="Arial"/>
          <w:lang w:val="es-ES_tradnl"/>
        </w:rPr>
        <w:t xml:space="preserve">  (Folio 108 del disco compacto visible a folio 27 vto. ib.). </w:t>
      </w:r>
    </w:p>
    <w:p w:rsidR="004F5128" w:rsidRPr="00F016AE" w:rsidRDefault="004F5128" w:rsidP="009F638F">
      <w:pPr>
        <w:spacing w:line="360" w:lineRule="auto"/>
        <w:jc w:val="both"/>
        <w:rPr>
          <w:rFonts w:ascii="Arial" w:hAnsi="Arial" w:cs="Arial"/>
          <w:lang w:val="es-ES_tradnl"/>
        </w:rPr>
      </w:pPr>
    </w:p>
    <w:p w:rsidR="00704D19" w:rsidRDefault="005367AE" w:rsidP="005367AE">
      <w:pPr>
        <w:spacing w:line="360" w:lineRule="auto"/>
        <w:ind w:right="51"/>
        <w:jc w:val="both"/>
        <w:rPr>
          <w:rFonts w:ascii="Arial" w:hAnsi="Arial" w:cs="Arial"/>
        </w:rPr>
      </w:pPr>
      <w:r w:rsidRPr="00A80FCC">
        <w:rPr>
          <w:rFonts w:ascii="Arial" w:hAnsi="Arial" w:cs="Arial"/>
        </w:rPr>
        <w:t xml:space="preserve">Sin que sea necesario ahondar en el asunto, hay que decir que a estas alturas de las diligencias el amparo se torna prematuro porque </w:t>
      </w:r>
      <w:r w:rsidR="00954B1E">
        <w:rPr>
          <w:rFonts w:ascii="Arial" w:hAnsi="Arial" w:cs="Arial"/>
        </w:rPr>
        <w:t xml:space="preserve">el </w:t>
      </w:r>
      <w:r w:rsidR="009F638F">
        <w:rPr>
          <w:rFonts w:ascii="Arial" w:hAnsi="Arial" w:cs="Arial"/>
        </w:rPr>
        <w:t xml:space="preserve">recurso de reposición </w:t>
      </w:r>
      <w:r w:rsidR="00954B1E">
        <w:rPr>
          <w:rFonts w:ascii="Arial" w:hAnsi="Arial" w:cs="Arial"/>
        </w:rPr>
        <w:t xml:space="preserve">todavía </w:t>
      </w:r>
      <w:r w:rsidR="009F638F">
        <w:rPr>
          <w:rFonts w:ascii="Arial" w:hAnsi="Arial" w:cs="Arial"/>
        </w:rPr>
        <w:t>no ha sido decidido por el Juzgado accionado</w:t>
      </w:r>
      <w:r w:rsidR="00E25879">
        <w:rPr>
          <w:rFonts w:ascii="Arial" w:hAnsi="Arial" w:cs="Arial"/>
        </w:rPr>
        <w:t>;</w:t>
      </w:r>
      <w:r w:rsidR="009F638F">
        <w:rPr>
          <w:rFonts w:ascii="Arial" w:hAnsi="Arial" w:cs="Arial"/>
        </w:rPr>
        <w:t xml:space="preserve"> </w:t>
      </w:r>
      <w:r w:rsidR="00954B1E">
        <w:rPr>
          <w:rFonts w:ascii="Arial" w:hAnsi="Arial" w:cs="Arial"/>
        </w:rPr>
        <w:t>mecanismo ordinario que</w:t>
      </w:r>
      <w:r w:rsidR="00E25879">
        <w:rPr>
          <w:rFonts w:ascii="Arial" w:hAnsi="Arial" w:cs="Arial"/>
        </w:rPr>
        <w:t xml:space="preserve">, además, </w:t>
      </w:r>
      <w:r w:rsidR="00954B1E">
        <w:rPr>
          <w:rFonts w:ascii="Arial" w:hAnsi="Arial" w:cs="Arial"/>
        </w:rPr>
        <w:t xml:space="preserve">debe agotarse previamente a la promoción del amparo constitucional. Claramente el actor en aquella impugnación </w:t>
      </w:r>
      <w:r w:rsidR="009F638F">
        <w:rPr>
          <w:rFonts w:ascii="Arial" w:hAnsi="Arial" w:cs="Arial"/>
        </w:rPr>
        <w:t xml:space="preserve">refleja la </w:t>
      </w:r>
      <w:r w:rsidR="00954B1E">
        <w:rPr>
          <w:rFonts w:ascii="Arial" w:hAnsi="Arial" w:cs="Arial"/>
        </w:rPr>
        <w:t xml:space="preserve">misma </w:t>
      </w:r>
      <w:r w:rsidR="009F638F">
        <w:rPr>
          <w:rFonts w:ascii="Arial" w:hAnsi="Arial" w:cs="Arial"/>
        </w:rPr>
        <w:t xml:space="preserve">queja propuesta en </w:t>
      </w:r>
      <w:r w:rsidR="00E25879">
        <w:rPr>
          <w:rFonts w:ascii="Arial" w:hAnsi="Arial" w:cs="Arial"/>
        </w:rPr>
        <w:t>la tutela</w:t>
      </w:r>
      <w:r w:rsidR="007A6872">
        <w:rPr>
          <w:rFonts w:ascii="Arial" w:hAnsi="Arial" w:cs="Arial"/>
        </w:rPr>
        <w:t xml:space="preserve">, </w:t>
      </w:r>
      <w:r w:rsidR="00E25879">
        <w:rPr>
          <w:rFonts w:ascii="Arial" w:hAnsi="Arial" w:cs="Arial"/>
        </w:rPr>
        <w:t>no obstante</w:t>
      </w:r>
      <w:r w:rsidR="007A6872">
        <w:rPr>
          <w:rFonts w:ascii="Arial" w:hAnsi="Arial" w:cs="Arial"/>
        </w:rPr>
        <w:t xml:space="preserve">, </w:t>
      </w:r>
      <w:r w:rsidR="00E25879">
        <w:rPr>
          <w:rFonts w:ascii="Arial" w:hAnsi="Arial" w:cs="Arial"/>
        </w:rPr>
        <w:t xml:space="preserve">debió esperar a que sea </w:t>
      </w:r>
      <w:r w:rsidR="00954B1E">
        <w:rPr>
          <w:rFonts w:ascii="Arial" w:hAnsi="Arial" w:cs="Arial"/>
        </w:rPr>
        <w:t xml:space="preserve">resuelta </w:t>
      </w:r>
      <w:r w:rsidR="00E25879">
        <w:rPr>
          <w:rFonts w:ascii="Arial" w:hAnsi="Arial" w:cs="Arial"/>
        </w:rPr>
        <w:t xml:space="preserve">antes de presentar la acción de tutela. </w:t>
      </w:r>
    </w:p>
    <w:p w:rsidR="00704D19" w:rsidRDefault="00704D19" w:rsidP="005367AE">
      <w:pPr>
        <w:spacing w:line="360" w:lineRule="auto"/>
        <w:ind w:right="51"/>
        <w:jc w:val="both"/>
        <w:rPr>
          <w:rFonts w:ascii="Arial" w:hAnsi="Arial" w:cs="Arial"/>
        </w:rPr>
      </w:pPr>
    </w:p>
    <w:p w:rsidR="005367AE" w:rsidRPr="00A80FCC" w:rsidRDefault="00954B1E" w:rsidP="005367AE">
      <w:pPr>
        <w:spacing w:line="360" w:lineRule="auto"/>
        <w:ind w:right="51"/>
        <w:jc w:val="both"/>
        <w:rPr>
          <w:rFonts w:ascii="Arial" w:hAnsi="Arial" w:cs="Arial"/>
        </w:rPr>
      </w:pPr>
      <w:r>
        <w:rPr>
          <w:rFonts w:ascii="Arial" w:hAnsi="Arial" w:cs="Arial"/>
        </w:rPr>
        <w:t xml:space="preserve">Así las cosas, </w:t>
      </w:r>
      <w:r w:rsidR="00E25879">
        <w:rPr>
          <w:rFonts w:ascii="Arial" w:hAnsi="Arial" w:cs="Arial"/>
        </w:rPr>
        <w:t xml:space="preserve">para la Sala el </w:t>
      </w:r>
      <w:r>
        <w:rPr>
          <w:rFonts w:ascii="Arial" w:hAnsi="Arial" w:cs="Arial"/>
        </w:rPr>
        <w:t xml:space="preserve">amparo es </w:t>
      </w:r>
      <w:r w:rsidR="00E25879">
        <w:rPr>
          <w:rFonts w:ascii="Arial" w:hAnsi="Arial" w:cs="Arial"/>
        </w:rPr>
        <w:t xml:space="preserve">notoriamente </w:t>
      </w:r>
      <w:r w:rsidR="005367AE" w:rsidRPr="00A80FCC">
        <w:rPr>
          <w:rFonts w:ascii="Arial" w:hAnsi="Arial" w:cs="Arial"/>
        </w:rPr>
        <w:t>improcedente</w:t>
      </w:r>
      <w:r w:rsidR="00704D19">
        <w:rPr>
          <w:rFonts w:ascii="Arial" w:hAnsi="Arial" w:cs="Arial"/>
        </w:rPr>
        <w:t>,</w:t>
      </w:r>
      <w:r w:rsidR="005367AE" w:rsidRPr="00A80FCC">
        <w:rPr>
          <w:rFonts w:ascii="Arial" w:hAnsi="Arial" w:cs="Arial"/>
        </w:rPr>
        <w:t xml:space="preserve"> </w:t>
      </w:r>
      <w:r w:rsidR="00E25879">
        <w:rPr>
          <w:rFonts w:ascii="Arial" w:hAnsi="Arial" w:cs="Arial"/>
        </w:rPr>
        <w:t>por prematuro</w:t>
      </w:r>
      <w:r w:rsidR="00704D19">
        <w:rPr>
          <w:rFonts w:ascii="Arial" w:hAnsi="Arial" w:cs="Arial"/>
        </w:rPr>
        <w:t>,</w:t>
      </w:r>
      <w:r w:rsidR="00E25879">
        <w:rPr>
          <w:rFonts w:ascii="Arial" w:hAnsi="Arial" w:cs="Arial"/>
        </w:rPr>
        <w:t xml:space="preserve"> </w:t>
      </w:r>
      <w:r w:rsidR="005367AE" w:rsidRPr="00A80FCC">
        <w:rPr>
          <w:rFonts w:ascii="Arial" w:hAnsi="Arial" w:cs="Arial"/>
        </w:rPr>
        <w:t xml:space="preserve">en razón a que </w:t>
      </w:r>
      <w:r>
        <w:rPr>
          <w:rFonts w:ascii="Arial" w:hAnsi="Arial" w:cs="Arial"/>
        </w:rPr>
        <w:t xml:space="preserve">la decisión cuestionada aun no </w:t>
      </w:r>
      <w:r w:rsidR="00F016AE">
        <w:rPr>
          <w:rFonts w:ascii="Arial" w:hAnsi="Arial" w:cs="Arial"/>
          <w:lang w:val="es-CO"/>
        </w:rPr>
        <w:t>es definitiva</w:t>
      </w:r>
      <w:r w:rsidR="00E25879">
        <w:rPr>
          <w:rFonts w:ascii="Arial" w:hAnsi="Arial" w:cs="Arial"/>
          <w:lang w:val="es-CO"/>
        </w:rPr>
        <w:t>, pues f</w:t>
      </w:r>
      <w:r w:rsidR="00F016AE">
        <w:rPr>
          <w:rFonts w:ascii="Arial" w:hAnsi="Arial" w:cs="Arial"/>
          <w:lang w:val="es-CO"/>
        </w:rPr>
        <w:t xml:space="preserve">alta resolver la impugnación, </w:t>
      </w:r>
      <w:r w:rsidR="00E25879">
        <w:rPr>
          <w:rFonts w:ascii="Arial" w:hAnsi="Arial" w:cs="Arial"/>
          <w:lang w:val="es-CO"/>
        </w:rPr>
        <w:t>es decir</w:t>
      </w:r>
      <w:r w:rsidR="00F016AE">
        <w:rPr>
          <w:rFonts w:ascii="Arial" w:hAnsi="Arial" w:cs="Arial"/>
          <w:lang w:val="es-CO"/>
        </w:rPr>
        <w:t xml:space="preserve">, </w:t>
      </w:r>
      <w:r w:rsidR="005367AE" w:rsidRPr="00A80FCC">
        <w:rPr>
          <w:rFonts w:ascii="Arial" w:hAnsi="Arial" w:cs="Arial"/>
        </w:rPr>
        <w:t xml:space="preserve">el trámite en el que se alega </w:t>
      </w:r>
      <w:r>
        <w:rPr>
          <w:rFonts w:ascii="Arial" w:hAnsi="Arial" w:cs="Arial"/>
        </w:rPr>
        <w:t>la vulneración aún se encuentra</w:t>
      </w:r>
      <w:r w:rsidR="005367AE" w:rsidRPr="00A80FCC">
        <w:rPr>
          <w:rFonts w:ascii="Arial" w:hAnsi="Arial" w:cs="Arial"/>
        </w:rPr>
        <w:t xml:space="preserve"> en curso</w:t>
      </w:r>
      <w:r w:rsidR="005367AE" w:rsidRPr="00A80FCC">
        <w:rPr>
          <w:rFonts w:ascii="Arial" w:hAnsi="Arial" w:cs="Arial"/>
          <w:lang w:val="es-CO"/>
        </w:rPr>
        <w:t>.</w:t>
      </w:r>
      <w:r w:rsidR="005367AE" w:rsidRPr="00A80FCC">
        <w:rPr>
          <w:rFonts w:ascii="Arial" w:hAnsi="Arial" w:cs="Arial"/>
        </w:rPr>
        <w:t xml:space="preserve"> </w:t>
      </w:r>
      <w:r w:rsidR="00E25879">
        <w:rPr>
          <w:rFonts w:ascii="Arial" w:hAnsi="Arial" w:cs="Arial"/>
        </w:rPr>
        <w:t>Lo anterior, conforme la doctrina jurisprudencial tanto de la CC</w:t>
      </w:r>
      <w:r w:rsidR="005367AE" w:rsidRPr="00A80FCC">
        <w:rPr>
          <w:rStyle w:val="Appelnotedebasdep"/>
          <w:rFonts w:ascii="Arial" w:hAnsi="Arial"/>
        </w:rPr>
        <w:footnoteReference w:id="16"/>
      </w:r>
      <w:r w:rsidR="00E25879">
        <w:rPr>
          <w:rFonts w:ascii="Arial" w:hAnsi="Arial" w:cs="Arial"/>
        </w:rPr>
        <w:t xml:space="preserve"> como de </w:t>
      </w:r>
      <w:r w:rsidR="005367AE" w:rsidRPr="00A80FCC">
        <w:rPr>
          <w:rFonts w:ascii="Arial" w:hAnsi="Arial" w:cs="Arial"/>
        </w:rPr>
        <w:t>la CSJ</w:t>
      </w:r>
      <w:r w:rsidR="005367AE" w:rsidRPr="00A80FCC">
        <w:rPr>
          <w:rStyle w:val="Appelnotedebasdep"/>
          <w:rFonts w:ascii="Arial" w:hAnsi="Arial"/>
        </w:rPr>
        <w:footnoteReference w:id="17"/>
      </w:r>
      <w:r w:rsidR="005367AE" w:rsidRPr="00A80FCC">
        <w:rPr>
          <w:rFonts w:ascii="Arial" w:hAnsi="Arial" w:cs="Arial"/>
        </w:rPr>
        <w:t>.</w:t>
      </w:r>
    </w:p>
    <w:p w:rsidR="005367AE" w:rsidRPr="00A80FCC" w:rsidRDefault="005367AE" w:rsidP="00AE15D2">
      <w:pPr>
        <w:pStyle w:val="Corpsdetexte"/>
        <w:spacing w:line="360" w:lineRule="auto"/>
        <w:rPr>
          <w:rFonts w:ascii="Arial" w:hAnsi="Arial" w:cs="Arial"/>
          <w:szCs w:val="24"/>
        </w:rPr>
      </w:pPr>
    </w:p>
    <w:p w:rsidR="00AE15D2" w:rsidRDefault="00AE15D2" w:rsidP="005367AE">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Corte Constitucional, que reiteradamente ha referido que la acción de </w:t>
      </w:r>
      <w:r w:rsidRPr="00A80FCC">
        <w:rPr>
          <w:rFonts w:ascii="Arial" w:hAnsi="Arial" w:cs="Arial"/>
        </w:rPr>
        <w:lastRenderedPageBreak/>
        <w:t xml:space="preserve">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8"/>
      </w:r>
      <w:r w:rsidRPr="00A80FCC">
        <w:rPr>
          <w:rFonts w:ascii="Arial" w:hAnsi="Arial" w:cs="Arial"/>
        </w:rPr>
        <w:t xml:space="preserve">. </w:t>
      </w:r>
    </w:p>
    <w:p w:rsidR="00F164B1" w:rsidRPr="00A80FCC" w:rsidRDefault="00F164B1" w:rsidP="005367AE">
      <w:pPr>
        <w:spacing w:line="360" w:lineRule="auto"/>
        <w:ind w:right="51"/>
        <w:jc w:val="both"/>
        <w:rPr>
          <w:rFonts w:ascii="Arial" w:hAnsi="Arial" w:cs="Arial"/>
        </w:rPr>
      </w:pPr>
    </w:p>
    <w:p w:rsidR="00AE15D2" w:rsidRPr="00A80FCC" w:rsidRDefault="00AE15D2" w:rsidP="00AE15D2">
      <w:pPr>
        <w:spacing w:line="360" w:lineRule="auto"/>
        <w:ind w:right="51"/>
        <w:jc w:val="both"/>
        <w:rPr>
          <w:rFonts w:ascii="Arial" w:hAnsi="Arial"/>
        </w:rPr>
      </w:pPr>
      <w:r w:rsidRPr="00A80FCC">
        <w:rPr>
          <w:rFonts w:ascii="Arial" w:hAnsi="Arial"/>
        </w:rPr>
        <w:t xml:space="preserve">Cabe acotar que nada se arguyó y menos acreditó por parte del accionante, de forma que pudiera estimarse </w:t>
      </w:r>
      <w:r w:rsidRPr="00A80FCC">
        <w:rPr>
          <w:rFonts w:ascii="Arial" w:hAnsi="Arial" w:cs="Arial"/>
          <w:bCs/>
          <w:lang w:val="es-CO"/>
        </w:rPr>
        <w:t>que es una persona que requiere de protección reforzada</w:t>
      </w:r>
      <w:r w:rsidRPr="00A80FCC">
        <w:rPr>
          <w:rStyle w:val="Appelnotedebasdep"/>
          <w:rFonts w:ascii="Arial" w:hAnsi="Arial"/>
          <w:bCs/>
          <w:lang w:val="es-CO"/>
        </w:rPr>
        <w:footnoteReference w:id="19"/>
      </w:r>
      <w:r w:rsidRPr="00A80FCC">
        <w:rPr>
          <w:rFonts w:ascii="Arial" w:hAnsi="Arial" w:cs="Arial"/>
          <w:bCs/>
          <w:lang w:val="es-CO"/>
        </w:rPr>
        <w:t>, de tal modo que amerite un análisis flexible del requisito de procedibilidad echado de menos</w:t>
      </w:r>
      <w:r w:rsidRPr="00A80FCC">
        <w:rPr>
          <w:rFonts w:ascii="Arial" w:hAnsi="Arial"/>
        </w:rPr>
        <w:t>.</w:t>
      </w:r>
    </w:p>
    <w:p w:rsidR="00F016AE" w:rsidRDefault="00F016AE" w:rsidP="00AE15D2">
      <w:pPr>
        <w:spacing w:line="360" w:lineRule="auto"/>
        <w:ind w:right="51"/>
        <w:jc w:val="both"/>
        <w:rPr>
          <w:rFonts w:ascii="Arial" w:hAnsi="Arial" w:cs="Arial"/>
          <w:lang w:val="es-ES_tradnl"/>
        </w:rPr>
      </w:pPr>
    </w:p>
    <w:p w:rsidR="00AE15D2" w:rsidRDefault="00AE15D2" w:rsidP="00AE15D2">
      <w:pPr>
        <w:spacing w:line="360" w:lineRule="auto"/>
        <w:ind w:right="51"/>
        <w:jc w:val="both"/>
        <w:rPr>
          <w:rFonts w:ascii="Arial" w:hAnsi="Arial"/>
        </w:rPr>
      </w:pPr>
      <w:r w:rsidRPr="00A80FCC">
        <w:rPr>
          <w:rFonts w:ascii="Arial" w:hAnsi="Arial" w:cs="Arial"/>
          <w:lang w:val="es-ES_tradnl"/>
        </w:rPr>
        <w:t xml:space="preserve">En ese contexto, </w:t>
      </w:r>
      <w:r w:rsidRPr="00A80FCC">
        <w:rPr>
          <w:rFonts w:ascii="Arial" w:hAnsi="Arial"/>
        </w:rPr>
        <w:t xml:space="preserve">la presente acción de tutela es improcedente toda vez que se incumple con uno de los siete (7) requisitos generales de procedibilidad, como lo es el de la subsidiariedad, </w:t>
      </w:r>
      <w:r w:rsidRPr="00A80FCC">
        <w:rPr>
          <w:rFonts w:ascii="Arial" w:hAnsi="Arial"/>
          <w:u w:val="single"/>
        </w:rPr>
        <w:t>pues aún se encuentran en trámite la acción popular</w:t>
      </w:r>
      <w:r w:rsidRPr="00A80FCC">
        <w:rPr>
          <w:rFonts w:ascii="Arial" w:hAnsi="Arial"/>
        </w:rPr>
        <w:t>.</w:t>
      </w:r>
    </w:p>
    <w:p w:rsidR="004C1F30" w:rsidRPr="00A80FCC" w:rsidRDefault="004C1F30" w:rsidP="00AE15D2">
      <w:pPr>
        <w:spacing w:line="360" w:lineRule="auto"/>
        <w:ind w:right="51"/>
        <w:jc w:val="both"/>
        <w:rPr>
          <w:rFonts w:ascii="Arial" w:hAnsi="Arial"/>
        </w:rPr>
      </w:pPr>
    </w:p>
    <w:p w:rsidR="00FF5B57" w:rsidRPr="00A80FCC" w:rsidRDefault="00FF5B57" w:rsidP="00FF5B57">
      <w:pPr>
        <w:pStyle w:val="Corpsdetexte"/>
        <w:numPr>
          <w:ilvl w:val="0"/>
          <w:numId w:val="18"/>
        </w:numPr>
        <w:spacing w:line="360" w:lineRule="auto"/>
        <w:rPr>
          <w:rFonts w:ascii="Arial" w:hAnsi="Arial"/>
          <w:szCs w:val="24"/>
        </w:rPr>
      </w:pPr>
      <w:r w:rsidRPr="00A80FCC">
        <w:rPr>
          <w:rFonts w:ascii="Arial" w:hAnsi="Arial"/>
          <w:szCs w:val="24"/>
        </w:rPr>
        <w:t xml:space="preserve">LAS CONCLUSIONES </w:t>
      </w:r>
    </w:p>
    <w:p w:rsidR="00747B00" w:rsidRPr="00ED40DF" w:rsidRDefault="00747B00" w:rsidP="00747B00">
      <w:pPr>
        <w:pStyle w:val="Corpsdetexte"/>
        <w:spacing w:line="360" w:lineRule="auto"/>
        <w:ind w:left="400"/>
        <w:rPr>
          <w:rFonts w:ascii="Arial" w:hAnsi="Arial"/>
          <w:sz w:val="22"/>
          <w:szCs w:val="24"/>
        </w:rPr>
      </w:pPr>
    </w:p>
    <w:p w:rsidR="00ED44D2" w:rsidRPr="00A80FCC"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A80FCC">
        <w:rPr>
          <w:rFonts w:ascii="Arial" w:hAnsi="Arial" w:cs="Arial"/>
          <w:szCs w:val="24"/>
          <w:lang w:val="es-ES"/>
        </w:rPr>
        <w:t xml:space="preserve">Con fundamento en las consideraciones expuestas, </w:t>
      </w:r>
      <w:r w:rsidRPr="00A80FCC">
        <w:rPr>
          <w:rFonts w:ascii="Arial" w:hAnsi="Arial" w:cs="Arial"/>
          <w:szCs w:val="24"/>
        </w:rPr>
        <w:t xml:space="preserve">en los acápites anteriores: (i) Se declarará improcedente </w:t>
      </w:r>
      <w:r w:rsidR="004B554C" w:rsidRPr="00A80FCC">
        <w:rPr>
          <w:rFonts w:ascii="Arial" w:hAnsi="Arial" w:cs="Arial"/>
          <w:szCs w:val="24"/>
        </w:rPr>
        <w:t xml:space="preserve">la acción </w:t>
      </w:r>
      <w:r w:rsidRPr="00A80FCC">
        <w:rPr>
          <w:rFonts w:ascii="Arial" w:hAnsi="Arial" w:cs="Arial"/>
          <w:szCs w:val="24"/>
        </w:rPr>
        <w:t xml:space="preserve">constitucional invocada con estribo en que se incumplió el presupuesto de subsidiariedad; </w:t>
      </w:r>
      <w:r w:rsidR="004B554C" w:rsidRPr="00A80FCC">
        <w:rPr>
          <w:rFonts w:ascii="Arial" w:hAnsi="Arial" w:cs="Arial"/>
          <w:szCs w:val="24"/>
        </w:rPr>
        <w:t>también</w:t>
      </w:r>
      <w:r w:rsidRPr="00A80FCC">
        <w:rPr>
          <w:rFonts w:ascii="Arial" w:hAnsi="Arial" w:cs="Arial"/>
          <w:szCs w:val="24"/>
        </w:rPr>
        <w:t>, (ii)</w:t>
      </w:r>
      <w:r w:rsidRPr="00A80FCC">
        <w:rPr>
          <w:rFonts w:ascii="Arial" w:hAnsi="Arial" w:cs="Arial"/>
          <w:szCs w:val="24"/>
          <w:lang w:val="es-ES"/>
        </w:rPr>
        <w:t xml:space="preserve"> </w:t>
      </w:r>
      <w:r w:rsidRPr="00A80FCC">
        <w:rPr>
          <w:rFonts w:ascii="Arial" w:hAnsi="Arial" w:cs="Arial"/>
          <w:szCs w:val="24"/>
        </w:rPr>
        <w:t xml:space="preserve">Se </w:t>
      </w:r>
      <w:r w:rsidR="004B554C" w:rsidRPr="00A80FCC">
        <w:rPr>
          <w:rFonts w:ascii="Arial" w:hAnsi="Arial" w:cs="Arial"/>
          <w:szCs w:val="24"/>
        </w:rPr>
        <w:t xml:space="preserve">declarará improcedente </w:t>
      </w:r>
      <w:r w:rsidRPr="00A80FCC">
        <w:rPr>
          <w:rFonts w:ascii="Arial" w:hAnsi="Arial" w:cs="Arial"/>
          <w:szCs w:val="24"/>
        </w:rPr>
        <w:t>respecto a los vinculados</w:t>
      </w:r>
      <w:r w:rsidR="004B554C" w:rsidRPr="00A80FCC">
        <w:rPr>
          <w:rFonts w:ascii="Arial" w:hAnsi="Arial" w:cs="Arial"/>
          <w:szCs w:val="24"/>
        </w:rPr>
        <w:t xml:space="preserve"> por carecer de legitimación</w:t>
      </w:r>
      <w:r w:rsidR="00E25879">
        <w:rPr>
          <w:rFonts w:ascii="Arial" w:hAnsi="Arial" w:cs="Arial"/>
          <w:szCs w:val="24"/>
        </w:rPr>
        <w:t>; y (iii) Se negará frente a la Cooperativa Financiera de Antioquia CFA por inexistencia de vulneración o amenaza de los derechos fundamentales invocados</w:t>
      </w:r>
      <w:r w:rsidRPr="00A80FCC">
        <w:rPr>
          <w:rFonts w:ascii="Arial" w:hAnsi="Arial" w:cs="Arial"/>
          <w:szCs w:val="24"/>
          <w:lang w:val="es-ES"/>
        </w:rPr>
        <w:t>.</w:t>
      </w:r>
    </w:p>
    <w:p w:rsidR="00ED44D2" w:rsidRPr="00ED40DF"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Pr="00A80FCC"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ED44D2" w:rsidRPr="00ED40DF" w:rsidRDefault="00ED44D2" w:rsidP="00ED44D2">
      <w:pPr>
        <w:pStyle w:val="Corpsdetexte"/>
        <w:spacing w:line="360" w:lineRule="auto"/>
        <w:jc w:val="center"/>
        <w:rPr>
          <w:rFonts w:ascii="Arial" w:hAnsi="Arial" w:cs="Arial"/>
          <w:bCs/>
          <w:smallCaps/>
          <w:sz w:val="22"/>
          <w:szCs w:val="24"/>
        </w:rPr>
      </w:pPr>
    </w:p>
    <w:p w:rsidR="00E25879" w:rsidRPr="00E25879" w:rsidRDefault="00ED44D2"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 xml:space="preserve">DECLARAR improcedente la tutela propuesta por el señor </w:t>
      </w:r>
      <w:r w:rsidR="00E25879">
        <w:rPr>
          <w:rFonts w:ascii="Arial" w:hAnsi="Arial" w:cs="Arial"/>
        </w:rPr>
        <w:t xml:space="preserve">Javier Elías Arias </w:t>
      </w:r>
      <w:proofErr w:type="spellStart"/>
      <w:r w:rsidR="00E25879">
        <w:rPr>
          <w:rFonts w:ascii="Arial" w:hAnsi="Arial" w:cs="Arial"/>
        </w:rPr>
        <w:t>Idárraga</w:t>
      </w:r>
      <w:proofErr w:type="spellEnd"/>
      <w:r w:rsidR="00E25879">
        <w:rPr>
          <w:rFonts w:ascii="Arial" w:hAnsi="Arial" w:cs="Arial"/>
        </w:rPr>
        <w:t xml:space="preserve"> </w:t>
      </w:r>
      <w:r w:rsidRPr="00A80FCC">
        <w:rPr>
          <w:rFonts w:ascii="Arial" w:hAnsi="Arial" w:cs="Arial"/>
        </w:rPr>
        <w:t xml:space="preserve">contra </w:t>
      </w:r>
      <w:r w:rsidR="00A80FCC" w:rsidRPr="00A80FCC">
        <w:rPr>
          <w:rFonts w:ascii="Arial" w:hAnsi="Arial" w:cs="Arial"/>
        </w:rPr>
        <w:t xml:space="preserve">el Juzgado </w:t>
      </w:r>
      <w:r w:rsidR="00E25879">
        <w:rPr>
          <w:rFonts w:ascii="Arial" w:hAnsi="Arial" w:cs="Arial"/>
          <w:lang w:val="es-CO"/>
        </w:rPr>
        <w:t xml:space="preserve">Segundo </w:t>
      </w:r>
      <w:r w:rsidRPr="00A80FCC">
        <w:rPr>
          <w:rFonts w:ascii="Arial" w:hAnsi="Arial" w:cs="Arial"/>
        </w:rPr>
        <w:t>Civil del Circ</w:t>
      </w:r>
      <w:r w:rsidR="00AC1810" w:rsidRPr="00A80FCC">
        <w:rPr>
          <w:rFonts w:ascii="Arial" w:hAnsi="Arial" w:cs="Arial"/>
        </w:rPr>
        <w:t xml:space="preserve">uito </w:t>
      </w:r>
      <w:r w:rsidR="00E25879">
        <w:rPr>
          <w:rFonts w:ascii="Arial" w:hAnsi="Arial" w:cs="Arial"/>
        </w:rPr>
        <w:t>de Pereira</w:t>
      </w:r>
      <w:r w:rsidR="00AC1810" w:rsidRPr="00A80FCC">
        <w:rPr>
          <w:rFonts w:ascii="Arial" w:hAnsi="Arial" w:cs="Arial"/>
        </w:rPr>
        <w:t xml:space="preserve">, </w:t>
      </w:r>
      <w:r w:rsidRPr="00A80FCC">
        <w:rPr>
          <w:rFonts w:ascii="Arial" w:hAnsi="Arial" w:cs="Arial"/>
        </w:rPr>
        <w:t xml:space="preserve">la Defensoría del </w:t>
      </w:r>
      <w:bookmarkStart w:id="0" w:name="_GoBack"/>
      <w:bookmarkEnd w:id="0"/>
      <w:r w:rsidRPr="00A80FCC">
        <w:rPr>
          <w:rFonts w:ascii="Arial" w:hAnsi="Arial" w:cs="Arial"/>
        </w:rPr>
        <w:t>Pueblo y la Procuraduría General de la Nación, Regional</w:t>
      </w:r>
      <w:r w:rsidR="00E25879">
        <w:rPr>
          <w:rFonts w:ascii="Arial" w:hAnsi="Arial" w:cs="Arial"/>
        </w:rPr>
        <w:t>es</w:t>
      </w:r>
      <w:r w:rsidRPr="00A80FCC">
        <w:rPr>
          <w:rFonts w:ascii="Arial" w:hAnsi="Arial" w:cs="Arial"/>
        </w:rPr>
        <w:t xml:space="preserve"> de </w:t>
      </w:r>
      <w:r w:rsidR="00E25879">
        <w:rPr>
          <w:rFonts w:ascii="Arial" w:hAnsi="Arial" w:cs="Arial"/>
        </w:rPr>
        <w:t>Antioquia</w:t>
      </w:r>
      <w:r w:rsidRPr="00A80FCC">
        <w:rPr>
          <w:rFonts w:ascii="Arial" w:hAnsi="Arial" w:cs="Arial"/>
        </w:rPr>
        <w:t>, y la Alcaldía y Personería</w:t>
      </w:r>
      <w:r w:rsidR="00E25879">
        <w:rPr>
          <w:rFonts w:ascii="Arial" w:hAnsi="Arial" w:cs="Arial"/>
        </w:rPr>
        <w:t xml:space="preserve"> </w:t>
      </w:r>
      <w:r w:rsidRPr="00A80FCC">
        <w:rPr>
          <w:rFonts w:ascii="Arial" w:hAnsi="Arial" w:cs="Arial"/>
          <w:spacing w:val="3"/>
        </w:rPr>
        <w:t xml:space="preserve">de </w:t>
      </w:r>
      <w:r w:rsidR="00E25879">
        <w:rPr>
          <w:rFonts w:ascii="Arial" w:hAnsi="Arial" w:cs="Arial"/>
          <w:spacing w:val="3"/>
        </w:rPr>
        <w:t>Medellín</w:t>
      </w:r>
    </w:p>
    <w:p w:rsidR="00E25879" w:rsidRPr="00E25879" w:rsidRDefault="00E25879" w:rsidP="00E25879">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ED44D2" w:rsidRPr="00A80FCC" w:rsidRDefault="00E25879"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NEGAR el amparo constitucional frente Cooperativa Financiera de Antioquia CFA</w:t>
      </w:r>
      <w:r w:rsidR="00ED44D2" w:rsidRPr="00A80FCC">
        <w:rPr>
          <w:rFonts w:ascii="Arial" w:hAnsi="Arial" w:cs="Arial"/>
        </w:rPr>
        <w:t>.</w:t>
      </w:r>
    </w:p>
    <w:p w:rsidR="007657D5" w:rsidRPr="00ED40DF" w:rsidRDefault="007657D5" w:rsidP="007657D5">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FF5B57" w:rsidRPr="00A80FCC"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lastRenderedPageBreak/>
        <w:t>ORDENAR el archivo del expediente, surtidos los trámites anteriores.</w:t>
      </w:r>
    </w:p>
    <w:p w:rsidR="00626C89" w:rsidRPr="00E25879" w:rsidRDefault="00626C89" w:rsidP="00FF5B57">
      <w:pPr>
        <w:pStyle w:val="Paragraphedeliste"/>
        <w:widowControl/>
        <w:autoSpaceDE/>
        <w:autoSpaceDN/>
        <w:adjustRightInd/>
        <w:spacing w:line="360" w:lineRule="auto"/>
        <w:ind w:left="360" w:right="51"/>
        <w:contextualSpacing/>
        <w:jc w:val="both"/>
        <w:rPr>
          <w:rFonts w:ascii="Arial" w:hAnsi="Arial"/>
          <w:sz w:val="20"/>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E25879" w:rsidRDefault="00DA569C" w:rsidP="00417DA5">
      <w:pPr>
        <w:pStyle w:val="Corpsdetexte"/>
        <w:spacing w:line="360" w:lineRule="auto"/>
        <w:jc w:val="center"/>
        <w:rPr>
          <w:rFonts w:ascii="Arial" w:hAnsi="Arial"/>
          <w:sz w:val="36"/>
          <w:szCs w:val="24"/>
          <w:lang w:val="en-US"/>
        </w:rPr>
      </w:pPr>
    </w:p>
    <w:p w:rsidR="003E66CE" w:rsidRPr="003843DB" w:rsidRDefault="003E66CE" w:rsidP="00417DA5">
      <w:pPr>
        <w:pStyle w:val="Corpsdetexte"/>
        <w:spacing w:line="360" w:lineRule="auto"/>
        <w:jc w:val="center"/>
        <w:rPr>
          <w:rFonts w:ascii="Arial" w:hAnsi="Arial"/>
          <w:sz w:val="22"/>
          <w:szCs w:val="24"/>
          <w:lang w:val="en-US"/>
        </w:rPr>
      </w:pPr>
    </w:p>
    <w:p w:rsidR="00B30152" w:rsidRPr="004C1F30" w:rsidRDefault="00B30152" w:rsidP="00417DA5">
      <w:pPr>
        <w:pStyle w:val="Corpsdetex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E25879" w:rsidRPr="00E25879" w:rsidRDefault="00E25879" w:rsidP="00E25879">
      <w:pPr>
        <w:pStyle w:val="Corpsdetexte"/>
        <w:spacing w:line="360" w:lineRule="auto"/>
        <w:jc w:val="center"/>
        <w:rPr>
          <w:rFonts w:ascii="Arial" w:hAnsi="Arial"/>
          <w:sz w:val="36"/>
          <w:szCs w:val="24"/>
          <w:lang w:val="en-US"/>
        </w:rPr>
      </w:pPr>
    </w:p>
    <w:p w:rsidR="00E25879" w:rsidRPr="003843DB" w:rsidRDefault="00E25879" w:rsidP="00E25879">
      <w:pPr>
        <w:pStyle w:val="Corpsdetexte"/>
        <w:spacing w:line="360" w:lineRule="auto"/>
        <w:jc w:val="center"/>
        <w:rPr>
          <w:rFonts w:ascii="Arial" w:hAnsi="Arial"/>
          <w:sz w:val="22"/>
          <w:szCs w:val="24"/>
          <w:lang w:val="en-US"/>
        </w:rPr>
      </w:pPr>
    </w:p>
    <w:p w:rsidR="00E25879" w:rsidRPr="004C1F30" w:rsidRDefault="00E25879" w:rsidP="00E25879">
      <w:pPr>
        <w:pStyle w:val="Corpsdetex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C1F30"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193686" w:rsidSect="007154D7">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7E" w:rsidRDefault="00745A7E" w:rsidP="0099045D">
      <w:r>
        <w:separator/>
      </w:r>
    </w:p>
  </w:endnote>
  <w:endnote w:type="continuationSeparator" w:id="0">
    <w:p w:rsidR="00745A7E" w:rsidRDefault="00745A7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7E" w:rsidRDefault="00745A7E" w:rsidP="0099045D">
      <w:r>
        <w:separator/>
      </w:r>
    </w:p>
  </w:footnote>
  <w:footnote w:type="continuationSeparator" w:id="0">
    <w:p w:rsidR="00745A7E" w:rsidRDefault="00745A7E" w:rsidP="0099045D">
      <w:r>
        <w:continuationSeparator/>
      </w:r>
    </w:p>
  </w:footnote>
  <w:footnote w:id="1">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009723B6">
        <w:rPr>
          <w:rFonts w:ascii="Calibri" w:hAnsi="Calibri" w:cs="Calibri"/>
          <w:lang w:val="es-MX"/>
        </w:rPr>
        <w:t xml:space="preserve">.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4">
    <w:p w:rsidR="003351D6" w:rsidRPr="00FF68BE" w:rsidRDefault="003351D6" w:rsidP="003351D6">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Notedebasdepage"/>
        <w:rPr>
          <w:lang w:val="es-CO"/>
        </w:rPr>
      </w:pPr>
      <w:r>
        <w:rPr>
          <w:rStyle w:val="Appelnotedebasdep"/>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6">
    <w:p w:rsidR="00F260D7" w:rsidRPr="00567558" w:rsidRDefault="00F260D7"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Pr="004F5128" w:rsidRDefault="00D014C4" w:rsidP="00D014C4">
      <w:pPr>
        <w:pStyle w:val="Notedebasdepage"/>
        <w:jc w:val="both"/>
        <w:rPr>
          <w:lang w:val="fr-FR"/>
        </w:rPr>
      </w:pPr>
      <w:r w:rsidRPr="0088104A">
        <w:rPr>
          <w:rStyle w:val="Appelnotedebasdep"/>
          <w:rFonts w:asciiTheme="minorHAnsi" w:hAnsiTheme="minorHAnsi"/>
        </w:rPr>
        <w:footnoteRef/>
      </w:r>
      <w:r w:rsidRPr="004F5128">
        <w:rPr>
          <w:rFonts w:asciiTheme="minorHAnsi" w:hAnsiTheme="minorHAnsi"/>
          <w:lang w:val="fr-FR"/>
        </w:rPr>
        <w:t xml:space="preserve"> </w:t>
      </w:r>
      <w:r w:rsidR="00983D7D" w:rsidRPr="004F5128">
        <w:rPr>
          <w:rFonts w:asciiTheme="minorHAnsi" w:hAnsiTheme="minorHAnsi" w:cs="Calibri"/>
          <w:lang w:val="fr-FR"/>
        </w:rPr>
        <w:t>CC</w:t>
      </w:r>
      <w:r w:rsidRPr="004F5128">
        <w:rPr>
          <w:rFonts w:asciiTheme="minorHAnsi" w:hAnsiTheme="minorHAnsi" w:cs="Calibri"/>
          <w:lang w:val="fr-FR"/>
        </w:rPr>
        <w:t xml:space="preserve">. Sentencia T-134 de 1994. </w:t>
      </w:r>
    </w:p>
  </w:footnote>
  <w:footnote w:id="9">
    <w:p w:rsidR="00D014C4" w:rsidRPr="004F5128" w:rsidRDefault="00D014C4" w:rsidP="00D014C4">
      <w:pPr>
        <w:pStyle w:val="Notedebasdepage"/>
        <w:rPr>
          <w:lang w:val="fr-FR"/>
        </w:rPr>
      </w:pPr>
      <w:r>
        <w:rPr>
          <w:rStyle w:val="Appelnotedebasdep"/>
        </w:rPr>
        <w:footnoteRef/>
      </w:r>
      <w:r w:rsidRPr="004F5128">
        <w:rPr>
          <w:lang w:val="fr-FR"/>
        </w:rPr>
        <w:t xml:space="preserve"> </w:t>
      </w:r>
      <w:r w:rsidR="00983D7D" w:rsidRPr="004F5128">
        <w:rPr>
          <w:rFonts w:asciiTheme="minorHAnsi" w:hAnsiTheme="minorHAnsi" w:cs="Calibri"/>
          <w:lang w:val="fr-FR"/>
        </w:rPr>
        <w:t>CC</w:t>
      </w:r>
      <w:r w:rsidRPr="004F5128">
        <w:rPr>
          <w:rFonts w:asciiTheme="minorHAnsi" w:hAnsiTheme="minorHAnsi" w:cs="Calibri"/>
          <w:lang w:val="fr-FR"/>
        </w:rPr>
        <w:t>. Sentencia T-103 de 2014.</w:t>
      </w:r>
    </w:p>
  </w:footnote>
  <w:footnote w:id="10">
    <w:p w:rsidR="00D014C4" w:rsidRPr="004F5128" w:rsidRDefault="00D014C4" w:rsidP="00D014C4">
      <w:pPr>
        <w:pStyle w:val="Notedebasdepage"/>
        <w:jc w:val="both"/>
        <w:rPr>
          <w:lang w:val="fr-FR"/>
        </w:rPr>
      </w:pPr>
      <w:r w:rsidRPr="0088104A">
        <w:rPr>
          <w:rStyle w:val="Appelnotedebasdep"/>
          <w:rFonts w:asciiTheme="minorHAnsi" w:hAnsiTheme="minorHAnsi" w:cs="Calibri"/>
        </w:rPr>
        <w:footnoteRef/>
      </w:r>
      <w:r w:rsidRPr="004F5128">
        <w:rPr>
          <w:rFonts w:asciiTheme="minorHAnsi" w:hAnsiTheme="minorHAnsi" w:cs="Calibri"/>
          <w:lang w:val="fr-FR"/>
        </w:rPr>
        <w:t xml:space="preserve"> </w:t>
      </w:r>
      <w:r w:rsidR="00983D7D" w:rsidRPr="004F5128">
        <w:rPr>
          <w:rFonts w:asciiTheme="minorHAnsi" w:hAnsiTheme="minorHAnsi" w:cs="Calibri"/>
          <w:lang w:val="fr-FR"/>
        </w:rPr>
        <w:t>CC</w:t>
      </w:r>
      <w:r w:rsidRPr="004F5128">
        <w:rPr>
          <w:rFonts w:asciiTheme="minorHAnsi" w:hAnsiTheme="minorHAnsi" w:cs="Calibri"/>
          <w:lang w:val="fr-FR"/>
        </w:rPr>
        <w:t>. Sentencia T-567 de 1998.</w:t>
      </w:r>
    </w:p>
  </w:footnote>
  <w:footnote w:id="11">
    <w:p w:rsidR="00D014C4" w:rsidRPr="004F5128" w:rsidRDefault="00D014C4" w:rsidP="00D014C4">
      <w:pPr>
        <w:pStyle w:val="Notedebasdepage"/>
        <w:jc w:val="both"/>
        <w:rPr>
          <w:lang w:val="fr-FR"/>
        </w:rPr>
      </w:pPr>
      <w:r w:rsidRPr="0088104A">
        <w:rPr>
          <w:rStyle w:val="Appelnotedebasdep"/>
          <w:rFonts w:asciiTheme="minorHAnsi" w:hAnsiTheme="minorHAnsi"/>
        </w:rPr>
        <w:footnoteRef/>
      </w:r>
      <w:r w:rsidRPr="004F5128">
        <w:rPr>
          <w:rFonts w:asciiTheme="minorHAnsi" w:hAnsiTheme="minorHAnsi"/>
          <w:lang w:val="fr-FR"/>
        </w:rPr>
        <w:t xml:space="preserve"> </w:t>
      </w:r>
      <w:r w:rsidR="00983D7D" w:rsidRPr="004F5128">
        <w:rPr>
          <w:rFonts w:asciiTheme="minorHAnsi" w:hAnsiTheme="minorHAnsi" w:cs="Calibri"/>
          <w:lang w:val="fr-FR"/>
        </w:rPr>
        <w:t>CC</w:t>
      </w:r>
      <w:r w:rsidRPr="004F5128">
        <w:rPr>
          <w:rFonts w:asciiTheme="minorHAnsi" w:hAnsiTheme="minorHAnsi" w:cs="Calibri"/>
          <w:lang w:val="fr-FR"/>
        </w:rPr>
        <w:t>. Sentencia T-662 de 2013.</w:t>
      </w:r>
      <w:r w:rsidRPr="004F5128">
        <w:rPr>
          <w:b/>
          <w:bCs/>
          <w:color w:val="2D2D2D"/>
          <w:sz w:val="28"/>
          <w:szCs w:val="28"/>
          <w:bdr w:val="none" w:sz="0" w:space="0" w:color="auto" w:frame="1"/>
          <w:shd w:val="clear" w:color="auto" w:fill="FFFFFF"/>
          <w:lang w:val="fr-FR"/>
        </w:rPr>
        <w:t xml:space="preserve"> </w:t>
      </w:r>
    </w:p>
  </w:footnote>
  <w:footnote w:id="12">
    <w:p w:rsidR="00D014C4" w:rsidRPr="004F5128" w:rsidRDefault="00D014C4" w:rsidP="00D014C4">
      <w:pPr>
        <w:pStyle w:val="Notedebasdepage"/>
        <w:jc w:val="both"/>
        <w:rPr>
          <w:lang w:val="fr-FR"/>
        </w:rPr>
      </w:pPr>
      <w:r w:rsidRPr="005648CB">
        <w:rPr>
          <w:rStyle w:val="Appelnotedebasdep"/>
        </w:rPr>
        <w:footnoteRef/>
      </w:r>
      <w:r w:rsidRPr="004F5128">
        <w:rPr>
          <w:lang w:val="fr-FR"/>
        </w:rPr>
        <w:t xml:space="preserve"> </w:t>
      </w:r>
      <w:r w:rsidR="00983D7D" w:rsidRPr="004F5128">
        <w:rPr>
          <w:rFonts w:asciiTheme="minorHAnsi" w:hAnsiTheme="minorHAnsi" w:cs="Calibri"/>
          <w:lang w:val="fr-FR"/>
        </w:rPr>
        <w:t>CC</w:t>
      </w:r>
      <w:r w:rsidRPr="004F5128">
        <w:rPr>
          <w:rFonts w:asciiTheme="minorHAnsi" w:hAnsiTheme="minorHAnsi" w:cs="Calibri"/>
          <w:lang w:val="fr-FR"/>
        </w:rPr>
        <w:t xml:space="preserve">. </w:t>
      </w:r>
      <w:r w:rsidRPr="004F5128">
        <w:rPr>
          <w:rFonts w:ascii="Calibri" w:hAnsi="Calibri"/>
          <w:bCs/>
          <w:bdr w:val="none" w:sz="0" w:space="0" w:color="auto" w:frame="1"/>
          <w:shd w:val="clear" w:color="auto" w:fill="FFFFFF"/>
          <w:lang w:val="fr-FR"/>
        </w:rPr>
        <w:t>Sentencia T-037 de 2016 y T-120 de 2016.</w:t>
      </w:r>
    </w:p>
  </w:footnote>
  <w:footnote w:id="13">
    <w:p w:rsidR="00D014C4" w:rsidRDefault="00D014C4" w:rsidP="00D014C4">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00983D7D">
        <w:rPr>
          <w:rFonts w:asciiTheme="minorHAnsi" w:hAnsiTheme="minorHAnsi" w:cs="Calibri"/>
          <w:lang w:val="es-CO"/>
        </w:rPr>
        <w:t>CSJ</w:t>
      </w:r>
      <w:r>
        <w:rPr>
          <w:rFonts w:asciiTheme="minorHAnsi" w:hAnsiTheme="minorHAnsi" w:cs="Calibri"/>
          <w:lang w:val="es-CO"/>
        </w:rPr>
        <w:t>,</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sidR="00983D7D">
        <w:rPr>
          <w:rFonts w:asciiTheme="minorHAnsi" w:hAnsiTheme="minorHAnsi" w:cs="Calibri"/>
          <w:lang w:val="es-CO"/>
        </w:rPr>
        <w:t xml:space="preserve">. </w:t>
      </w:r>
      <w:r w:rsidRPr="0088104A">
        <w:rPr>
          <w:rFonts w:asciiTheme="minorHAnsi" w:hAnsiTheme="minorHAnsi" w:cs="Calibri"/>
          <w:lang w:val="es-CO"/>
        </w:rPr>
        <w:t>No</w:t>
      </w:r>
      <w:r w:rsidR="00983D7D">
        <w:rPr>
          <w:rFonts w:asciiTheme="minorHAnsi" w:hAnsiTheme="minorHAnsi" w:cs="Calibri"/>
          <w:lang w:val="es-CO"/>
        </w:rPr>
        <w:t>.23001-22-14-000-2014-00097-</w:t>
      </w:r>
      <w:r>
        <w:rPr>
          <w:rFonts w:asciiTheme="minorHAnsi" w:hAnsiTheme="minorHAnsi" w:cs="Calibri"/>
          <w:lang w:val="es-CO"/>
        </w:rPr>
        <w:t>01</w:t>
      </w:r>
      <w:r w:rsidRPr="0088104A">
        <w:rPr>
          <w:rFonts w:asciiTheme="minorHAnsi" w:hAnsiTheme="minorHAnsi" w:cs="Calibri"/>
          <w:w w:val="110"/>
          <w:lang w:val="es-CO"/>
        </w:rPr>
        <w:t>.</w:t>
      </w:r>
    </w:p>
  </w:footnote>
  <w:footnote w:id="14">
    <w:p w:rsidR="00D014C4" w:rsidRPr="00EE61B2" w:rsidRDefault="00D014C4" w:rsidP="00D014C4">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D014C4" w:rsidRPr="00EE61B2" w:rsidRDefault="00D014C4" w:rsidP="00D014C4">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5367AE" w:rsidRDefault="005367AE" w:rsidP="005367AE">
      <w:pPr>
        <w:pStyle w:val="Notedebasdepage"/>
        <w:jc w:val="both"/>
        <w:rPr>
          <w:rFonts w:ascii="Calibri" w:hAnsi="Calibri"/>
          <w:lang w:val="es-CO"/>
        </w:rPr>
      </w:pPr>
      <w:r>
        <w:rPr>
          <w:rStyle w:val="Appelnotedebasdep"/>
          <w:rFonts w:ascii="Calibri" w:hAnsi="Calibri"/>
        </w:rPr>
        <w:footnoteRef/>
      </w:r>
      <w:r>
        <w:rPr>
          <w:rFonts w:ascii="Calibri" w:hAnsi="Calibri"/>
        </w:rPr>
        <w:t xml:space="preserve"> </w:t>
      </w:r>
      <w:r w:rsidR="00983D7D">
        <w:rPr>
          <w:rFonts w:ascii="Calibri" w:hAnsi="Calibri"/>
        </w:rPr>
        <w:t>CC</w:t>
      </w:r>
      <w:r>
        <w:rPr>
          <w:rFonts w:ascii="Calibri" w:hAnsi="Calibri"/>
        </w:rPr>
        <w:t xml:space="preserve">. Sentencia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7">
    <w:p w:rsidR="005367AE" w:rsidRDefault="005367AE" w:rsidP="005367AE">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Pr>
          <w:rFonts w:ascii="Calibri" w:hAnsi="Calibri" w:cs="Calibri"/>
          <w:lang w:val="es-CO"/>
        </w:rPr>
        <w:t xml:space="preserve">, </w:t>
      </w:r>
      <w:r w:rsidR="00983D7D">
        <w:rPr>
          <w:rFonts w:ascii="Calibri" w:hAnsi="Calibri" w:cs="Calibri"/>
        </w:rPr>
        <w:t xml:space="preserve">Sala </w:t>
      </w:r>
      <w:r>
        <w:rPr>
          <w:rFonts w:ascii="Calibri" w:hAnsi="Calibri" w:cs="Calibri"/>
        </w:rPr>
        <w:t>Civil.  Providencia STC3950-2016.</w:t>
      </w:r>
    </w:p>
  </w:footnote>
  <w:footnote w:id="18">
    <w:p w:rsidR="00AE15D2" w:rsidRDefault="00AE15D2" w:rsidP="00AE15D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983D7D">
        <w:rPr>
          <w:rFonts w:asciiTheme="minorHAnsi" w:hAnsiTheme="minorHAnsi" w:cs="Calibri"/>
        </w:rPr>
        <w:t>CC</w:t>
      </w:r>
      <w:r>
        <w:rPr>
          <w:rFonts w:asciiTheme="minorHAnsi" w:hAnsiTheme="minorHAnsi" w:cs="Calibri"/>
        </w:rPr>
        <w:t xml:space="preserve">. Sentencia T-103 de 2014, citada en la </w:t>
      </w:r>
      <w:r>
        <w:rPr>
          <w:rFonts w:asciiTheme="minorHAnsi" w:hAnsiTheme="minorHAnsi" w:cs="Calibri"/>
          <w:bCs/>
        </w:rPr>
        <w:t>Sentencia SU-297 de 2015.</w:t>
      </w:r>
    </w:p>
  </w:footnote>
  <w:footnote w:id="19">
    <w:p w:rsidR="00AE15D2" w:rsidRDefault="00AE15D2" w:rsidP="00AE15D2">
      <w:pPr>
        <w:pStyle w:val="Notedebasdepage"/>
        <w:rPr>
          <w:lang w:val="es-CO"/>
        </w:rPr>
      </w:pPr>
      <w:r>
        <w:rPr>
          <w:rStyle w:val="Appelnotedebasdep"/>
        </w:rPr>
        <w:footnoteRef/>
      </w:r>
      <w:r>
        <w:t xml:space="preserve"> </w:t>
      </w:r>
      <w:r w:rsidR="00983D7D">
        <w:rPr>
          <w:rFonts w:asciiTheme="minorHAnsi" w:hAnsiTheme="minorHAnsi" w:cs="Calibri"/>
        </w:rPr>
        <w:t>CC</w:t>
      </w:r>
      <w:r>
        <w:rPr>
          <w:rFonts w:asciiTheme="minorHAnsi" w:hAnsiTheme="minorHAnsi" w:cs="Calibri"/>
        </w:rPr>
        <w:t>.  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F5128">
      <w:rPr>
        <w:rFonts w:ascii="Calibri" w:hAnsi="Calibri" w:cs="Calibri"/>
        <w:i/>
        <w:noProof/>
        <w:sz w:val="20"/>
      </w:rPr>
      <w:t>8</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5D0715">
      <w:rPr>
        <w:rFonts w:ascii="Calibri" w:hAnsi="Calibri" w:cs="Calibri"/>
        <w:i/>
        <w:sz w:val="20"/>
        <w:szCs w:val="22"/>
      </w:rPr>
      <w:t>01093</w:t>
    </w:r>
    <w:r w:rsidR="008A7511">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5C1C"/>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8D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8D2"/>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0D"/>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769"/>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D7BFF"/>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128"/>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6CD"/>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0715"/>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460"/>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19"/>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47B"/>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5A7E"/>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6872"/>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CD3"/>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B1E"/>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3B6"/>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5F12"/>
    <w:rsid w:val="009F638F"/>
    <w:rsid w:val="009F6457"/>
    <w:rsid w:val="009F6B3F"/>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2DC"/>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FEC"/>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E2C"/>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69A"/>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5879"/>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6AE"/>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827"/>
    <w:rsid w:val="00F50AA8"/>
    <w:rsid w:val="00F51456"/>
    <w:rsid w:val="00F5189C"/>
    <w:rsid w:val="00F5194D"/>
    <w:rsid w:val="00F52923"/>
    <w:rsid w:val="00F54045"/>
    <w:rsid w:val="00F55267"/>
    <w:rsid w:val="00F55591"/>
    <w:rsid w:val="00F55BDD"/>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76C84"/>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B55"/>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0AB2-6EDC-4CF6-B44F-732EB33B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2451</Words>
  <Characters>13485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2016-12-12T19:02:00Z</cp:lastPrinted>
  <dcterms:created xsi:type="dcterms:W3CDTF">2016-12-09T12:39:00Z</dcterms:created>
  <dcterms:modified xsi:type="dcterms:W3CDTF">2017-03-17T08:56:00Z</dcterms:modified>
</cp:coreProperties>
</file>