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6D" w:rsidRPr="00C7336D" w:rsidRDefault="00C7336D" w:rsidP="00C7336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C7336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7336D">
        <w:rPr>
          <w:rFonts w:ascii="Calibri" w:eastAsia="Calibri" w:hAnsi="Calibri" w:cs="Calibri"/>
          <w:color w:val="222222"/>
          <w:sz w:val="18"/>
          <w:szCs w:val="18"/>
          <w:lang w:val="es-CO" w:eastAsia="fr-FR"/>
        </w:rPr>
        <w:t> </w:t>
      </w:r>
    </w:p>
    <w:p w:rsidR="00C7336D" w:rsidRPr="00C7336D" w:rsidRDefault="00C7336D" w:rsidP="00C7336D">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C7336D">
        <w:rPr>
          <w:rFonts w:ascii="Calibri" w:hAnsi="Calibri" w:cs="Calibri"/>
          <w:color w:val="222222"/>
          <w:sz w:val="18"/>
          <w:szCs w:val="18"/>
          <w:lang w:val="es-CO" w:eastAsia="fr-FR"/>
        </w:rPr>
        <w:t>Providencia:</w:t>
      </w:r>
      <w:r w:rsidRPr="00C7336D">
        <w:rPr>
          <w:rFonts w:ascii="Calibri" w:hAnsi="Calibri" w:cs="Calibri"/>
          <w:color w:val="222222"/>
          <w:sz w:val="18"/>
          <w:szCs w:val="18"/>
          <w:lang w:val="es-CO" w:eastAsia="fr-FR"/>
        </w:rPr>
        <w:tab/>
        <w:t>SENTENCIA DE TUTELA –1ª Instancia – 14 de diciembre de 2016</w:t>
      </w:r>
    </w:p>
    <w:p w:rsidR="00C7336D" w:rsidRPr="00C7336D" w:rsidRDefault="00C7336D" w:rsidP="00C7336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C7336D">
        <w:rPr>
          <w:rFonts w:ascii="Calibri" w:eastAsia="Calibri" w:hAnsi="Calibri" w:cs="Calibri"/>
          <w:color w:val="222222"/>
          <w:sz w:val="18"/>
          <w:szCs w:val="18"/>
          <w:lang w:val="es-CO" w:eastAsia="fr-FR"/>
        </w:rPr>
        <w:t>Radicación Nro. :</w:t>
      </w:r>
      <w:r w:rsidRPr="00C7336D">
        <w:rPr>
          <w:rFonts w:ascii="Calibri" w:eastAsia="Calibri" w:hAnsi="Calibri" w:cs="Calibri"/>
          <w:color w:val="222222"/>
          <w:sz w:val="18"/>
          <w:szCs w:val="18"/>
          <w:lang w:val="es-CO" w:eastAsia="fr-FR"/>
        </w:rPr>
        <w:tab/>
        <w:t xml:space="preserve">  </w:t>
      </w:r>
      <w:r w:rsidRPr="00C7336D">
        <w:rPr>
          <w:rFonts w:ascii="Calibri" w:eastAsia="Calibri" w:hAnsi="Calibri" w:cs="Calibri"/>
          <w:color w:val="222222"/>
          <w:sz w:val="18"/>
          <w:szCs w:val="18"/>
          <w:lang w:val="es-CO" w:eastAsia="fr-FR"/>
        </w:rPr>
        <w:tab/>
      </w:r>
      <w:r w:rsidRPr="00C7336D">
        <w:rPr>
          <w:rFonts w:ascii="Calibri" w:eastAsia="Calibri" w:hAnsi="Calibri" w:cs="Calibri"/>
          <w:color w:val="222222"/>
          <w:sz w:val="18"/>
          <w:szCs w:val="18"/>
          <w:lang w:eastAsia="fr-FR"/>
        </w:rPr>
        <w:t>2016-01111-00</w:t>
      </w:r>
    </w:p>
    <w:p w:rsidR="00C7336D" w:rsidRPr="00C7336D" w:rsidRDefault="00C7336D" w:rsidP="00C7336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C7336D">
        <w:rPr>
          <w:rFonts w:ascii="Calibri" w:eastAsia="Calibri" w:hAnsi="Calibri" w:cs="Calibri"/>
          <w:color w:val="222222"/>
          <w:sz w:val="18"/>
          <w:szCs w:val="18"/>
          <w:lang w:val="es-CO" w:eastAsia="fr-FR"/>
        </w:rPr>
        <w:t>Accionante:</w:t>
      </w:r>
      <w:r w:rsidRPr="00C7336D">
        <w:rPr>
          <w:rFonts w:ascii="Calibri" w:eastAsia="Calibri" w:hAnsi="Calibri" w:cs="Calibri"/>
          <w:color w:val="222222"/>
          <w:sz w:val="18"/>
          <w:szCs w:val="18"/>
          <w:lang w:val="es-CO" w:eastAsia="fr-FR"/>
        </w:rPr>
        <w:tab/>
      </w:r>
      <w:r w:rsidRPr="00C7336D">
        <w:rPr>
          <w:rFonts w:ascii="Calibri" w:eastAsia="Calibri" w:hAnsi="Calibri" w:cs="Calibri"/>
          <w:color w:val="222222"/>
          <w:sz w:val="18"/>
          <w:szCs w:val="18"/>
          <w:lang w:val="es-CO" w:eastAsia="fr-FR"/>
        </w:rPr>
        <w:tab/>
      </w:r>
      <w:r w:rsidRPr="00C7336D">
        <w:rPr>
          <w:rFonts w:ascii="Calibri" w:eastAsia="Calibri" w:hAnsi="Calibri" w:cs="Calibri"/>
          <w:bCs/>
          <w:color w:val="222222"/>
          <w:sz w:val="18"/>
          <w:szCs w:val="18"/>
          <w:lang w:eastAsia="fr-FR"/>
        </w:rPr>
        <w:t>JUAN GABRIEL GÁLVEZ ARANGO</w:t>
      </w:r>
    </w:p>
    <w:p w:rsidR="00C7336D" w:rsidRPr="00C7336D" w:rsidRDefault="00C7336D" w:rsidP="00C7336D">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C7336D">
        <w:rPr>
          <w:rFonts w:ascii="Calibri" w:eastAsia="Calibri" w:hAnsi="Calibri" w:cs="Calibri"/>
          <w:bCs/>
          <w:color w:val="222222"/>
          <w:sz w:val="18"/>
          <w:szCs w:val="18"/>
          <w:lang w:val="es-ES_tradnl" w:eastAsia="fr-FR"/>
        </w:rPr>
        <w:t>A</w:t>
      </w:r>
      <w:proofErr w:type="spellStart"/>
      <w:r w:rsidRPr="00C7336D">
        <w:rPr>
          <w:rFonts w:ascii="Calibri" w:eastAsia="Calibri" w:hAnsi="Calibri" w:cs="Calibri"/>
          <w:color w:val="222222"/>
          <w:sz w:val="18"/>
          <w:szCs w:val="18"/>
          <w:lang w:val="es-CO" w:eastAsia="fr-FR"/>
        </w:rPr>
        <w:t>ccionados</w:t>
      </w:r>
      <w:proofErr w:type="spellEnd"/>
      <w:r w:rsidRPr="00C7336D">
        <w:rPr>
          <w:rFonts w:ascii="Calibri" w:eastAsia="Calibri" w:hAnsi="Calibri" w:cs="Calibri"/>
          <w:color w:val="222222"/>
          <w:sz w:val="18"/>
          <w:szCs w:val="18"/>
          <w:lang w:val="es-CO" w:eastAsia="fr-FR"/>
        </w:rPr>
        <w:t>:</w:t>
      </w:r>
      <w:r w:rsidRPr="00C7336D">
        <w:rPr>
          <w:rFonts w:ascii="Calibri" w:eastAsia="Calibri" w:hAnsi="Calibri" w:cs="Calibri"/>
          <w:color w:val="222222"/>
          <w:sz w:val="18"/>
          <w:szCs w:val="18"/>
          <w:lang w:val="es-CO" w:eastAsia="fr-FR"/>
        </w:rPr>
        <w:tab/>
        <w:t xml:space="preserve">      </w:t>
      </w:r>
      <w:r w:rsidRPr="00C7336D">
        <w:rPr>
          <w:rFonts w:ascii="Calibri" w:eastAsia="Calibri" w:hAnsi="Calibri" w:cs="Calibri"/>
          <w:color w:val="222222"/>
          <w:sz w:val="18"/>
          <w:szCs w:val="18"/>
          <w:lang w:val="es-CO" w:eastAsia="fr-FR"/>
        </w:rPr>
        <w:tab/>
        <w:t>DIRECCIÓN DE SANIDAD DE LA POLICÍA NACIONAL - RISARALDA</w:t>
      </w:r>
    </w:p>
    <w:p w:rsidR="00C7336D" w:rsidRPr="00C7336D" w:rsidRDefault="00C7336D" w:rsidP="00C7336D">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C7336D">
        <w:rPr>
          <w:rFonts w:ascii="Calibri" w:eastAsia="Calibri" w:hAnsi="Calibri" w:cs="Calibri"/>
          <w:color w:val="222222"/>
          <w:sz w:val="18"/>
          <w:szCs w:val="18"/>
          <w:lang w:val="es-CO" w:eastAsia="fr-FR"/>
        </w:rPr>
        <w:t>Proceso:                </w:t>
      </w:r>
      <w:r w:rsidRPr="00C7336D">
        <w:rPr>
          <w:rFonts w:ascii="Calibri" w:eastAsia="Calibri" w:hAnsi="Calibri" w:cs="Calibri"/>
          <w:color w:val="222222"/>
          <w:sz w:val="18"/>
          <w:szCs w:val="18"/>
          <w:lang w:val="es-CO" w:eastAsia="fr-FR"/>
        </w:rPr>
        <w:tab/>
        <w:t>Acción de Tutela – Niega el amparo solicitado</w:t>
      </w:r>
    </w:p>
    <w:p w:rsidR="00C7336D" w:rsidRPr="00C7336D" w:rsidRDefault="00C7336D" w:rsidP="00C7336D">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C7336D">
        <w:rPr>
          <w:rFonts w:ascii="Calibri" w:eastAsia="Calibri" w:hAnsi="Calibri" w:cs="Calibri"/>
          <w:color w:val="222222"/>
          <w:sz w:val="18"/>
          <w:szCs w:val="18"/>
          <w:lang w:val="es-CO" w:eastAsia="fr-FR"/>
        </w:rPr>
        <w:t>Magistrado Ponente: </w:t>
      </w:r>
      <w:r w:rsidRPr="00C7336D">
        <w:rPr>
          <w:rFonts w:ascii="Calibri" w:eastAsia="Calibri" w:hAnsi="Calibri" w:cs="Calibri"/>
          <w:color w:val="222222"/>
          <w:sz w:val="18"/>
          <w:szCs w:val="18"/>
          <w:lang w:val="es-CO" w:eastAsia="fr-FR"/>
        </w:rPr>
        <w:tab/>
      </w:r>
      <w:proofErr w:type="spellStart"/>
      <w:r w:rsidRPr="00C7336D">
        <w:rPr>
          <w:rFonts w:ascii="Calibri" w:eastAsia="Calibri" w:hAnsi="Calibri" w:cs="Calibri"/>
          <w:bCs/>
          <w:iCs/>
          <w:color w:val="222222"/>
          <w:sz w:val="18"/>
          <w:szCs w:val="18"/>
          <w:lang w:eastAsia="fr-FR"/>
        </w:rPr>
        <w:t>DUBERNEY</w:t>
      </w:r>
      <w:proofErr w:type="spellEnd"/>
      <w:r w:rsidRPr="00C7336D">
        <w:rPr>
          <w:rFonts w:ascii="Calibri" w:eastAsia="Calibri" w:hAnsi="Calibri" w:cs="Calibri"/>
          <w:bCs/>
          <w:iCs/>
          <w:color w:val="222222"/>
          <w:sz w:val="18"/>
          <w:szCs w:val="18"/>
          <w:lang w:eastAsia="fr-FR"/>
        </w:rPr>
        <w:t xml:space="preserve"> GRISALES HERRERA</w:t>
      </w:r>
      <w:r w:rsidRPr="00C7336D">
        <w:rPr>
          <w:rFonts w:ascii="Calibri" w:eastAsia="Calibri" w:hAnsi="Calibri" w:cs="Calibri"/>
          <w:bCs/>
          <w:iCs/>
          <w:color w:val="222222"/>
          <w:sz w:val="18"/>
          <w:szCs w:val="18"/>
          <w:lang w:eastAsia="fr-FR"/>
        </w:rPr>
        <w:tab/>
      </w:r>
    </w:p>
    <w:p w:rsidR="00C7336D" w:rsidRPr="00C7336D" w:rsidRDefault="00C7336D" w:rsidP="00C7336D">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C7336D" w:rsidRPr="00C7336D" w:rsidRDefault="00C7336D" w:rsidP="00C7336D">
      <w:pPr>
        <w:widowControl/>
        <w:shd w:val="clear" w:color="auto" w:fill="FFFFFF"/>
        <w:autoSpaceDE/>
        <w:autoSpaceDN/>
        <w:adjustRightInd/>
        <w:spacing w:after="200"/>
        <w:jc w:val="both"/>
        <w:rPr>
          <w:rFonts w:ascii="Calibri" w:eastAsia="Calibri" w:hAnsi="Calibri" w:cs="Calibri"/>
          <w:b/>
          <w:bCs/>
          <w:color w:val="222222"/>
          <w:sz w:val="18"/>
          <w:szCs w:val="18"/>
          <w:lang w:val="es-CO" w:eastAsia="fr-FR"/>
        </w:rPr>
      </w:pPr>
      <w:r w:rsidRPr="00C7336D">
        <w:rPr>
          <w:rFonts w:ascii="Calibri" w:eastAsia="Calibri" w:hAnsi="Calibri" w:cs="Calibri"/>
          <w:b/>
          <w:bCs/>
          <w:color w:val="222222"/>
          <w:sz w:val="18"/>
          <w:szCs w:val="18"/>
          <w:lang w:val="es-CO" w:eastAsia="fr-FR"/>
        </w:rPr>
        <w:t>Temas:</w:t>
      </w:r>
      <w:r w:rsidRPr="00C7336D">
        <w:rPr>
          <w:rFonts w:ascii="Calibri" w:eastAsia="Calibri" w:hAnsi="Calibri" w:cs="Calibri"/>
          <w:b/>
          <w:bCs/>
          <w:color w:val="222222"/>
          <w:sz w:val="18"/>
          <w:szCs w:val="18"/>
          <w:lang w:val="es-CO" w:eastAsia="fr-FR"/>
        </w:rPr>
        <w:tab/>
      </w:r>
      <w:r w:rsidRPr="00C7336D">
        <w:rPr>
          <w:rFonts w:ascii="Calibri" w:eastAsia="Calibri" w:hAnsi="Calibri" w:cs="Calibri"/>
          <w:b/>
          <w:bCs/>
          <w:color w:val="222222"/>
          <w:sz w:val="18"/>
          <w:szCs w:val="18"/>
          <w:lang w:val="es-CO" w:eastAsia="fr-FR"/>
        </w:rPr>
        <w:tab/>
      </w:r>
      <w:r w:rsidRPr="00C7336D">
        <w:rPr>
          <w:rFonts w:ascii="Calibri" w:eastAsia="Calibri" w:hAnsi="Calibri" w:cs="Calibri"/>
          <w:b/>
          <w:bCs/>
          <w:color w:val="222222"/>
          <w:sz w:val="18"/>
          <w:szCs w:val="18"/>
          <w:lang w:val="es-CO" w:eastAsia="fr-FR"/>
        </w:rPr>
        <w:tab/>
        <w:t xml:space="preserve">DERECHO A LA SALUD / PRESTACIÓN DE SERVICIOS MÉDICOS / NIEGA / ACCIONANTE NO HA SOLICITADO LA AUTORIZACIÓN DE LA CIRUGÍA. </w:t>
      </w:r>
      <w:r w:rsidRPr="00C7336D">
        <w:rPr>
          <w:rFonts w:ascii="Calibri" w:eastAsia="Calibri" w:hAnsi="Calibri" w:cs="Calibri"/>
          <w:bCs/>
          <w:color w:val="222222"/>
          <w:sz w:val="18"/>
          <w:szCs w:val="18"/>
          <w:lang w:val="es-CO" w:eastAsia="fr-FR"/>
        </w:rPr>
        <w:t xml:space="preserve">“No pueden confundirse, entonces, la historia clínica con la orden médica, como lo hace el accionante, pues, aquella, solo resume la consulta realizada ante el médico y, la última, en sí misma, es la disposición médica a autorizar. Es cierto que en la historia clínica se alude </w:t>
      </w:r>
      <w:r w:rsidRPr="00C7336D">
        <w:rPr>
          <w:rFonts w:ascii="Calibri" w:eastAsia="Calibri" w:hAnsi="Calibri" w:cs="Calibri"/>
          <w:bCs/>
          <w:i/>
          <w:color w:val="222222"/>
          <w:sz w:val="18"/>
          <w:szCs w:val="18"/>
          <w:lang w:val="es-CO" w:eastAsia="fr-FR"/>
        </w:rPr>
        <w:t>“</w:t>
      </w:r>
      <w:proofErr w:type="spellStart"/>
      <w:r w:rsidRPr="00C7336D">
        <w:rPr>
          <w:rFonts w:ascii="Calibri" w:eastAsia="Calibri" w:hAnsi="Calibri" w:cs="Calibri"/>
          <w:bCs/>
          <w:i/>
          <w:color w:val="222222"/>
          <w:sz w:val="18"/>
          <w:szCs w:val="18"/>
          <w:lang w:val="es-CO" w:eastAsia="fr-FR"/>
        </w:rPr>
        <w:t>ss</w:t>
      </w:r>
      <w:proofErr w:type="spellEnd"/>
      <w:r w:rsidRPr="00C7336D">
        <w:rPr>
          <w:rFonts w:ascii="Calibri" w:eastAsia="Calibri" w:hAnsi="Calibri" w:cs="Calibri"/>
          <w:bCs/>
          <w:i/>
          <w:color w:val="222222"/>
          <w:sz w:val="18"/>
          <w:szCs w:val="18"/>
          <w:lang w:val="es-CO" w:eastAsia="fr-FR"/>
        </w:rPr>
        <w:t xml:space="preserve"> autorización de la </w:t>
      </w:r>
      <w:proofErr w:type="spellStart"/>
      <w:r w:rsidRPr="00C7336D">
        <w:rPr>
          <w:rFonts w:ascii="Calibri" w:eastAsia="Calibri" w:hAnsi="Calibri" w:cs="Calibri"/>
          <w:bCs/>
          <w:i/>
          <w:color w:val="222222"/>
          <w:sz w:val="18"/>
          <w:szCs w:val="18"/>
          <w:lang w:val="es-CO" w:eastAsia="fr-FR"/>
        </w:rPr>
        <w:t>cirugia</w:t>
      </w:r>
      <w:proofErr w:type="spellEnd"/>
      <w:r w:rsidRPr="00C7336D">
        <w:rPr>
          <w:rFonts w:ascii="Calibri" w:eastAsia="Calibri" w:hAnsi="Calibri" w:cs="Calibri"/>
          <w:bCs/>
          <w:i/>
          <w:color w:val="222222"/>
          <w:sz w:val="18"/>
          <w:szCs w:val="18"/>
          <w:lang w:val="es-CO" w:eastAsia="fr-FR"/>
        </w:rPr>
        <w:t xml:space="preserve"> (Sic) por parte de la </w:t>
      </w:r>
      <w:proofErr w:type="spellStart"/>
      <w:r w:rsidRPr="00C7336D">
        <w:rPr>
          <w:rFonts w:ascii="Calibri" w:eastAsia="Calibri" w:hAnsi="Calibri" w:cs="Calibri"/>
          <w:bCs/>
          <w:i/>
          <w:color w:val="222222"/>
          <w:sz w:val="18"/>
          <w:szCs w:val="18"/>
          <w:lang w:val="es-CO" w:eastAsia="fr-FR"/>
        </w:rPr>
        <w:t>policia</w:t>
      </w:r>
      <w:proofErr w:type="spellEnd"/>
      <w:r w:rsidRPr="00C7336D">
        <w:rPr>
          <w:rFonts w:ascii="Calibri" w:eastAsia="Calibri" w:hAnsi="Calibri" w:cs="Calibri"/>
          <w:bCs/>
          <w:i/>
          <w:color w:val="222222"/>
          <w:sz w:val="18"/>
          <w:szCs w:val="18"/>
          <w:lang w:val="es-CO" w:eastAsia="fr-FR"/>
        </w:rPr>
        <w:t xml:space="preserve"> (Sic) para realizar artroscopia”, </w:t>
      </w:r>
      <w:r w:rsidRPr="00C7336D">
        <w:rPr>
          <w:rFonts w:ascii="Calibri" w:eastAsia="Calibri" w:hAnsi="Calibri" w:cs="Calibri"/>
          <w:bCs/>
          <w:color w:val="222222"/>
          <w:sz w:val="18"/>
          <w:szCs w:val="18"/>
          <w:lang w:val="es-CO" w:eastAsia="fr-FR"/>
        </w:rPr>
        <w:t>pero es inapropiado considerar que con ella se supla la formalidad de la prescripción médica que el galeno entrega a su paciente en escrito separado. Existen ciertas formalidades que deben cumplirse, en este caso, la expedición y radicación de la orden de cirugía, totalmente ausente en la tutela, por ello, se disiente del argumento del actor, fundado en que la historia clínica corresponde a la orden echada de menos (Folio 25 vto., ib.). Así las cosas, es inaceptable endilgar vulneración o amenaza de algún derecho fundamental a quien desconoce las solicitudes supuestamente dejadas de atender, y menos, conceder el amparo a quien ni siquiera ha agotado las mínimas diligencias que le competen.”.</w:t>
      </w:r>
    </w:p>
    <w:p w:rsidR="00C7336D" w:rsidRPr="00C7336D" w:rsidRDefault="00C7336D" w:rsidP="00C7336D">
      <w:pPr>
        <w:widowControl/>
        <w:shd w:val="clear" w:color="auto" w:fill="FFFFFF"/>
        <w:autoSpaceDE/>
        <w:autoSpaceDN/>
        <w:adjustRightInd/>
        <w:spacing w:after="200"/>
        <w:jc w:val="both"/>
        <w:rPr>
          <w:rFonts w:ascii="Calibri" w:eastAsia="Calibri" w:hAnsi="Calibri" w:cs="Calibri"/>
          <w:b/>
          <w:bCs/>
          <w:color w:val="222222"/>
          <w:sz w:val="18"/>
          <w:szCs w:val="18"/>
          <w:lang w:val="es-CO" w:eastAsia="fr-FR"/>
        </w:rPr>
      </w:pPr>
      <w:r w:rsidRPr="00C7336D">
        <w:rPr>
          <w:rFonts w:ascii="Calibri" w:eastAsia="Calibri" w:hAnsi="Calibri" w:cs="Calibri"/>
          <w:b/>
          <w:bCs/>
          <w:color w:val="222222"/>
          <w:sz w:val="18"/>
          <w:szCs w:val="18"/>
          <w:lang w:val="es-CO" w:eastAsia="fr-FR"/>
        </w:rPr>
        <w:t xml:space="preserve">Citación jurisprudencial: </w:t>
      </w:r>
      <w:r w:rsidRPr="00C7336D">
        <w:rPr>
          <w:rFonts w:ascii="Calibri" w:eastAsia="Calibri" w:hAnsi="Calibri" w:cs="Calibri"/>
          <w:bCs/>
          <w:sz w:val="18"/>
          <w:szCs w:val="18"/>
          <w:lang w:val="es-CO" w:eastAsia="fr-FR"/>
        </w:rPr>
        <w:t>CORTE CONSTITUCIONAL, Sentencia T-324 de 1993 /</w:t>
      </w:r>
      <w:r w:rsidRPr="00C7336D">
        <w:rPr>
          <w:rFonts w:ascii="Calibri" w:eastAsia="Calibri" w:hAnsi="Calibri" w:cs="Calibri"/>
          <w:bCs/>
          <w:sz w:val="18"/>
          <w:szCs w:val="18"/>
          <w:lang w:eastAsia="fr-FR"/>
        </w:rPr>
        <w:t xml:space="preserve"> Sentencia T-328 de 2010 / Sentencia </w:t>
      </w:r>
      <w:hyperlink r:id="rId9" w:history="1">
        <w:r w:rsidRPr="00C7336D">
          <w:rPr>
            <w:rFonts w:ascii="Calibri" w:eastAsia="Calibri" w:hAnsi="Calibri" w:cs="Calibri"/>
            <w:bCs/>
            <w:sz w:val="18"/>
            <w:szCs w:val="18"/>
            <w:lang w:eastAsia="fr-FR"/>
          </w:rPr>
          <w:t> SU-499 de 2016</w:t>
        </w:r>
      </w:hyperlink>
      <w:r w:rsidRPr="00C7336D">
        <w:rPr>
          <w:rFonts w:ascii="Calibri" w:eastAsia="Calibri" w:hAnsi="Calibri" w:cs="Calibri"/>
          <w:bCs/>
          <w:sz w:val="18"/>
          <w:szCs w:val="18"/>
          <w:lang w:val="es-CO" w:eastAsia="fr-FR"/>
        </w:rPr>
        <w:t xml:space="preserve"> </w:t>
      </w:r>
      <w:r w:rsidRPr="00C7336D">
        <w:rPr>
          <w:rFonts w:ascii="Calibri" w:eastAsia="Calibri" w:hAnsi="Calibri" w:cs="Calibri"/>
          <w:bCs/>
          <w:sz w:val="18"/>
          <w:szCs w:val="18"/>
          <w:lang w:eastAsia="fr-FR"/>
        </w:rPr>
        <w:t xml:space="preserve">/ Sentencia T-142 de 2016 / Sentencia T-760 del 2008 / </w:t>
      </w:r>
      <w:r w:rsidRPr="00C7336D">
        <w:rPr>
          <w:rFonts w:ascii="Calibri" w:eastAsia="Calibri" w:hAnsi="Calibri" w:cs="Calibri"/>
          <w:bCs/>
          <w:sz w:val="18"/>
          <w:szCs w:val="18"/>
          <w:lang w:val="es-MX" w:eastAsia="fr-FR"/>
        </w:rPr>
        <w:t>Sentencia T-644 de 2014.</w:t>
      </w:r>
    </w:p>
    <w:p w:rsidR="00C7336D" w:rsidRDefault="00C7336D"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Corpsdetex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Corpsdetex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3E60FB">
        <w:rPr>
          <w:rFonts w:ascii="Arial" w:hAnsi="Arial" w:cs="Arial"/>
          <w:sz w:val="22"/>
        </w:rPr>
        <w:t xml:space="preserve">Juan Gabriel Gálvez Arango </w:t>
      </w:r>
    </w:p>
    <w:p w:rsidR="00AE620D" w:rsidRPr="00282D73" w:rsidRDefault="00AE620D" w:rsidP="00AE620D">
      <w:pPr>
        <w:pStyle w:val="Corpsdetexte"/>
        <w:spacing w:line="360" w:lineRule="auto"/>
        <w:ind w:left="3544" w:hanging="2128"/>
        <w:rPr>
          <w:rFonts w:ascii="Arial" w:hAnsi="Arial" w:cs="Arial"/>
          <w:sz w:val="20"/>
          <w:szCs w:val="22"/>
        </w:rPr>
      </w:pPr>
      <w:r w:rsidRPr="00AE620D">
        <w:rPr>
          <w:rFonts w:ascii="Arial" w:hAnsi="Arial" w:cs="Arial"/>
          <w:sz w:val="22"/>
          <w:szCs w:val="22"/>
        </w:rPr>
        <w:t>Presunt</w:t>
      </w:r>
      <w:r w:rsidR="006A6366">
        <w:rPr>
          <w:rFonts w:ascii="Arial" w:hAnsi="Arial" w:cs="Arial"/>
          <w:sz w:val="22"/>
          <w:szCs w:val="22"/>
        </w:rPr>
        <w:t>o</w:t>
      </w:r>
      <w:r w:rsidR="00282D73">
        <w:rPr>
          <w:rFonts w:ascii="Arial" w:hAnsi="Arial" w:cs="Arial"/>
          <w:sz w:val="22"/>
          <w:szCs w:val="22"/>
        </w:rPr>
        <w:t>s</w:t>
      </w:r>
      <w:r w:rsidR="006A6366">
        <w:rPr>
          <w:rFonts w:ascii="Arial" w:hAnsi="Arial" w:cs="Arial"/>
          <w:sz w:val="22"/>
          <w:szCs w:val="22"/>
        </w:rPr>
        <w:t xml:space="preserve"> infractor</w:t>
      </w:r>
      <w:r w:rsidR="00282D73">
        <w:rPr>
          <w:rFonts w:ascii="Arial" w:hAnsi="Arial" w:cs="Arial"/>
          <w:sz w:val="22"/>
          <w:szCs w:val="22"/>
        </w:rPr>
        <w:t>es</w:t>
      </w:r>
      <w:r w:rsidRPr="00AE620D">
        <w:rPr>
          <w:rFonts w:ascii="Arial" w:hAnsi="Arial" w:cs="Arial"/>
          <w:sz w:val="22"/>
          <w:szCs w:val="22"/>
        </w:rPr>
        <w:tab/>
        <w:t xml:space="preserve">: </w:t>
      </w:r>
      <w:r w:rsidR="00282D73" w:rsidRPr="00282D73">
        <w:rPr>
          <w:rFonts w:ascii="Arial" w:hAnsi="Arial" w:cs="Arial"/>
          <w:sz w:val="20"/>
          <w:szCs w:val="22"/>
        </w:rPr>
        <w:t>Dirección de Sanidad de la Policía Nacional Seccional Risaralda y</w:t>
      </w:r>
      <w:r w:rsidR="00282D73">
        <w:rPr>
          <w:rFonts w:ascii="Arial" w:hAnsi="Arial" w:cs="Arial"/>
          <w:sz w:val="20"/>
          <w:szCs w:val="22"/>
        </w:rPr>
        <w:t>/</w:t>
      </w:r>
      <w:r w:rsidR="00282D73" w:rsidRPr="00282D73">
        <w:rPr>
          <w:rFonts w:ascii="Arial" w:hAnsi="Arial" w:cs="Arial"/>
          <w:sz w:val="20"/>
          <w:szCs w:val="22"/>
        </w:rPr>
        <w:t>o</w:t>
      </w:r>
    </w:p>
    <w:p w:rsidR="00AE620D" w:rsidRPr="00AE620D" w:rsidRDefault="006A6366" w:rsidP="00AE620D">
      <w:pPr>
        <w:pStyle w:val="Corpsdetexte"/>
        <w:spacing w:line="360" w:lineRule="auto"/>
        <w:ind w:left="708" w:firstLine="708"/>
        <w:rPr>
          <w:rFonts w:ascii="Arial" w:hAnsi="Arial" w:cs="Arial"/>
          <w:sz w:val="22"/>
          <w:szCs w:val="22"/>
        </w:rPr>
      </w:pPr>
      <w:r>
        <w:rPr>
          <w:rFonts w:ascii="Arial" w:hAnsi="Arial" w:cs="Arial"/>
          <w:sz w:val="22"/>
        </w:rPr>
        <w:t>Vinculada (s)</w:t>
      </w:r>
      <w:r w:rsidR="00AE620D" w:rsidRPr="00AE620D">
        <w:rPr>
          <w:rFonts w:ascii="Arial" w:hAnsi="Arial" w:cs="Arial"/>
          <w:sz w:val="22"/>
        </w:rPr>
        <w:t xml:space="preserve"> </w:t>
      </w:r>
      <w:r w:rsidR="00AE620D" w:rsidRPr="00AE620D">
        <w:rPr>
          <w:rFonts w:ascii="Arial" w:hAnsi="Arial" w:cs="Arial"/>
          <w:sz w:val="22"/>
        </w:rPr>
        <w:tab/>
      </w:r>
      <w:r w:rsidR="00AE620D" w:rsidRPr="00AE620D">
        <w:rPr>
          <w:rFonts w:ascii="Arial" w:hAnsi="Arial" w:cs="Arial"/>
          <w:sz w:val="22"/>
        </w:rPr>
        <w:tab/>
        <w:t xml:space="preserve">: </w:t>
      </w:r>
      <w:r w:rsidR="006E7221">
        <w:rPr>
          <w:rFonts w:ascii="Arial" w:hAnsi="Arial" w:cs="Arial"/>
          <w:sz w:val="22"/>
          <w:szCs w:val="22"/>
        </w:rPr>
        <w:t xml:space="preserve">Dirección </w:t>
      </w:r>
      <w:r w:rsidR="00282D73">
        <w:rPr>
          <w:rFonts w:ascii="Arial" w:hAnsi="Arial" w:cs="Arial"/>
          <w:sz w:val="22"/>
          <w:szCs w:val="22"/>
        </w:rPr>
        <w:t>General de Sanidad de la Policía Nacional</w:t>
      </w:r>
    </w:p>
    <w:p w:rsidR="00AE620D" w:rsidRPr="00AE620D" w:rsidRDefault="00AE620D" w:rsidP="00AE620D">
      <w:pPr>
        <w:pStyle w:val="Corpsdetex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2016-</w:t>
      </w:r>
      <w:r w:rsidR="00282D73">
        <w:rPr>
          <w:rFonts w:ascii="Arial" w:hAnsi="Arial" w:cs="Arial"/>
          <w:sz w:val="22"/>
        </w:rPr>
        <w:t>01111</w:t>
      </w:r>
      <w:r w:rsidR="00832E70">
        <w:rPr>
          <w:rFonts w:ascii="Arial" w:hAnsi="Arial" w:cs="Arial"/>
          <w:sz w:val="22"/>
        </w:rPr>
        <w:t xml:space="preserve">-00 </w:t>
      </w:r>
      <w:r w:rsidRPr="00AE620D">
        <w:rPr>
          <w:rFonts w:ascii="Arial" w:hAnsi="Arial" w:cs="Arial"/>
          <w:sz w:val="22"/>
        </w:rPr>
        <w:t>(Interno No.</w:t>
      </w:r>
      <w:r w:rsidR="00282D73">
        <w:rPr>
          <w:rFonts w:ascii="Arial" w:hAnsi="Arial" w:cs="Arial"/>
          <w:sz w:val="22"/>
        </w:rPr>
        <w:t>1111</w:t>
      </w:r>
      <w:r w:rsidRPr="00AE620D">
        <w:rPr>
          <w:rFonts w:ascii="Arial" w:hAnsi="Arial" w:cs="Arial"/>
          <w:sz w:val="22"/>
        </w:rPr>
        <w:t>)</w:t>
      </w:r>
    </w:p>
    <w:p w:rsidR="00C82923" w:rsidRPr="00AE620D" w:rsidRDefault="00970930" w:rsidP="00970930">
      <w:pPr>
        <w:pStyle w:val="Corpsdetex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282D73">
        <w:rPr>
          <w:rFonts w:ascii="Arial" w:hAnsi="Arial" w:cs="Arial"/>
          <w:sz w:val="20"/>
          <w:szCs w:val="22"/>
        </w:rPr>
        <w:t xml:space="preserve">Inexistencia de vulneración </w:t>
      </w:r>
      <w:r w:rsidR="00333B0B">
        <w:rPr>
          <w:rFonts w:ascii="Arial" w:hAnsi="Arial" w:cs="Arial"/>
          <w:sz w:val="20"/>
          <w:szCs w:val="22"/>
        </w:rPr>
        <w:t>– sin prescripción médica</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282D73">
        <w:rPr>
          <w:rFonts w:ascii="Arial" w:hAnsi="Arial" w:cs="Arial"/>
          <w:smallCaps/>
          <w:sz w:val="20"/>
          <w:szCs w:val="22"/>
        </w:rPr>
        <w:t>Duberney</w:t>
      </w:r>
      <w:proofErr w:type="spellEnd"/>
      <w:r w:rsidRPr="00282D73">
        <w:rPr>
          <w:rFonts w:ascii="Arial" w:hAnsi="Arial" w:cs="Arial"/>
          <w:smallCaps/>
          <w:sz w:val="20"/>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337C54">
        <w:rPr>
          <w:rFonts w:ascii="Arial" w:hAnsi="Arial" w:cs="Arial"/>
          <w:sz w:val="22"/>
          <w:szCs w:val="22"/>
        </w:rPr>
        <w:t>589 de 14-12-2016</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337C54">
        <w:rPr>
          <w:rFonts w:ascii="Arial" w:hAnsi="Arial" w:cs="Arial"/>
          <w:iCs/>
          <w:smallCaps/>
          <w:sz w:val="28"/>
          <w:szCs w:val="28"/>
          <w:lang w:val="es-CO"/>
        </w:rPr>
        <w:t xml:space="preserve">catorce </w:t>
      </w:r>
      <w:r w:rsidR="005319C2" w:rsidRPr="00832E70">
        <w:rPr>
          <w:rFonts w:ascii="Arial" w:hAnsi="Arial" w:cs="Arial"/>
          <w:iCs/>
          <w:smallCaps/>
          <w:sz w:val="28"/>
          <w:szCs w:val="28"/>
          <w:lang w:val="es-CO"/>
        </w:rPr>
        <w:t>(</w:t>
      </w:r>
      <w:r w:rsidR="00337C54">
        <w:rPr>
          <w:rFonts w:ascii="Arial" w:hAnsi="Arial" w:cs="Arial"/>
          <w:iCs/>
          <w:smallCaps/>
          <w:sz w:val="28"/>
          <w:szCs w:val="28"/>
          <w:lang w:val="es-CO"/>
        </w:rPr>
        <w:t>14</w:t>
      </w:r>
      <w:r w:rsidR="00122B6C" w:rsidRPr="00832E70">
        <w:rPr>
          <w:rFonts w:ascii="Arial" w:hAnsi="Arial" w:cs="Arial"/>
          <w:iCs/>
          <w:smallCaps/>
          <w:sz w:val="28"/>
          <w:szCs w:val="28"/>
          <w:lang w:val="es-CO"/>
        </w:rPr>
        <w:t xml:space="preserve">) de </w:t>
      </w:r>
      <w:r w:rsidR="00282D73">
        <w:rPr>
          <w:rFonts w:ascii="Arial" w:hAnsi="Arial" w:cs="Arial"/>
          <w:iCs/>
          <w:smallCaps/>
          <w:sz w:val="28"/>
          <w:szCs w:val="28"/>
          <w:lang w:val="es-CO"/>
        </w:rPr>
        <w:t xml:space="preserve">diciembre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32E70">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sidR="00832E70">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Corpsdetexte"/>
        <w:spacing w:line="360" w:lineRule="auto"/>
        <w:ind w:left="360"/>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Corpsdetexte"/>
        <w:spacing w:line="360" w:lineRule="auto"/>
        <w:rPr>
          <w:rFonts w:ascii="Arial" w:hAnsi="Arial"/>
          <w:sz w:val="20"/>
          <w:szCs w:val="24"/>
        </w:rPr>
      </w:pPr>
    </w:p>
    <w:p w:rsidR="0099045D" w:rsidRPr="00F9418E" w:rsidRDefault="00AE620D" w:rsidP="0099045D">
      <w:pPr>
        <w:pStyle w:val="Corpsdetex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Corpsdetexte"/>
        <w:spacing w:line="360" w:lineRule="auto"/>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Corpsdetex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E7221">
        <w:rPr>
          <w:rFonts w:ascii="Arial" w:hAnsi="Arial" w:cs="Arial"/>
        </w:rPr>
        <w:t xml:space="preserve">la accionante </w:t>
      </w:r>
      <w:r w:rsidR="00282D73">
        <w:rPr>
          <w:rFonts w:ascii="Arial" w:hAnsi="Arial" w:cs="Arial"/>
        </w:rPr>
        <w:t xml:space="preserve">padece de síndrome del manguito rotador y que su </w:t>
      </w:r>
      <w:r w:rsidR="00282D73">
        <w:rPr>
          <w:rFonts w:ascii="Arial" w:hAnsi="Arial" w:cs="Arial"/>
        </w:rPr>
        <w:lastRenderedPageBreak/>
        <w:t>médico tratante ordenó el procedimiento denominado “</w:t>
      </w:r>
      <w:r w:rsidR="00282D73" w:rsidRPr="00282D73">
        <w:rPr>
          <w:rFonts w:ascii="Arial" w:hAnsi="Arial" w:cs="Arial"/>
          <w:i/>
          <w:sz w:val="22"/>
        </w:rPr>
        <w:t>ARTROSCOPIA</w:t>
      </w:r>
      <w:r w:rsidR="00282D73">
        <w:rPr>
          <w:rFonts w:ascii="Arial" w:hAnsi="Arial" w:cs="Arial"/>
        </w:rPr>
        <w:t xml:space="preserve">”, pero las accionadas </w:t>
      </w:r>
      <w:r w:rsidR="00337C54">
        <w:rPr>
          <w:rFonts w:ascii="Arial" w:hAnsi="Arial" w:cs="Arial"/>
        </w:rPr>
        <w:t>aún</w:t>
      </w:r>
      <w:r w:rsidR="00282D73">
        <w:rPr>
          <w:rFonts w:ascii="Arial" w:hAnsi="Arial" w:cs="Arial"/>
        </w:rPr>
        <w:t xml:space="preserve"> no lo han autorizado</w:t>
      </w:r>
      <w:r w:rsidR="007B0D53">
        <w:rPr>
          <w:rFonts w:ascii="Arial" w:hAnsi="Arial" w:cs="Arial"/>
        </w:rPr>
        <w:t xml:space="preserve">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sidR="009827CA">
        <w:rPr>
          <w:rFonts w:ascii="Arial" w:hAnsi="Arial" w:cs="Arial"/>
        </w:rPr>
        <w:t>1</w:t>
      </w:r>
      <w:r w:rsidR="00282D73">
        <w:rPr>
          <w:rFonts w:ascii="Arial" w:hAnsi="Arial" w:cs="Arial"/>
        </w:rPr>
        <w:t xml:space="preserve"> a 3</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Corpsdetex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282D73"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La seguridad social, salud y calidad de vida </w:t>
      </w:r>
      <w:r w:rsidR="00B3226E">
        <w:rPr>
          <w:rFonts w:ascii="Arial" w:hAnsi="Arial" w:cs="Arial"/>
        </w:rPr>
        <w:t>(Folio</w:t>
      </w:r>
      <w:r>
        <w:rPr>
          <w:rFonts w:ascii="Arial" w:hAnsi="Arial" w:cs="Arial"/>
        </w:rPr>
        <w:t>s</w:t>
      </w:r>
      <w:r w:rsidR="00B3226E">
        <w:rPr>
          <w:rFonts w:ascii="Arial" w:hAnsi="Arial" w:cs="Arial"/>
        </w:rPr>
        <w:t xml:space="preserve"> </w:t>
      </w:r>
      <w:r w:rsidR="007B0D53">
        <w:rPr>
          <w:rFonts w:ascii="Arial" w:hAnsi="Arial" w:cs="Arial"/>
        </w:rPr>
        <w:t>1</w:t>
      </w:r>
      <w:r>
        <w:rPr>
          <w:rFonts w:ascii="Arial" w:hAnsi="Arial" w:cs="Arial"/>
        </w:rPr>
        <w:t xml:space="preserve"> a 3</w:t>
      </w:r>
      <w:r w:rsidR="00B3226E">
        <w:rPr>
          <w:rFonts w:ascii="Arial" w:hAnsi="Arial" w:cs="Arial"/>
        </w:rPr>
        <w:t xml:space="preserve">, </w:t>
      </w:r>
      <w:r w:rsidR="009827CA">
        <w:rPr>
          <w:rFonts w:ascii="Arial" w:hAnsi="Arial" w:cs="Arial"/>
        </w:rPr>
        <w:t>este cuaderno</w:t>
      </w:r>
      <w:r w:rsidR="00B3226E">
        <w:rPr>
          <w:rFonts w:ascii="Arial" w:hAnsi="Arial" w:cs="Arial"/>
        </w:rPr>
        <w:t>)</w:t>
      </w:r>
      <w:r w:rsidR="00B3226E">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Corpsdetexte"/>
        <w:spacing w:line="360" w:lineRule="auto"/>
        <w:ind w:left="360"/>
        <w:rPr>
          <w:rFonts w:ascii="Arial" w:hAnsi="Arial"/>
          <w:sz w:val="20"/>
          <w:szCs w:val="24"/>
        </w:rPr>
      </w:pPr>
    </w:p>
    <w:p w:rsidR="008154F0" w:rsidRPr="00B5411C" w:rsidRDefault="00A703FB" w:rsidP="009827CA">
      <w:pPr>
        <w:pStyle w:val="Sansinterligne"/>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w:t>
      </w:r>
      <w:r w:rsidR="00282D73">
        <w:rPr>
          <w:rFonts w:ascii="Arial" w:hAnsi="Arial" w:cs="Arial"/>
          <w:szCs w:val="24"/>
        </w:rPr>
        <w:t>s</w:t>
      </w:r>
      <w:r w:rsidR="00297AC4">
        <w:rPr>
          <w:rFonts w:ascii="Arial" w:hAnsi="Arial" w:cs="Arial"/>
          <w:szCs w:val="24"/>
        </w:rPr>
        <w:t xml:space="preserve"> accionada</w:t>
      </w:r>
      <w:r w:rsidR="00282D73">
        <w:rPr>
          <w:rFonts w:ascii="Arial" w:hAnsi="Arial" w:cs="Arial"/>
          <w:szCs w:val="24"/>
        </w:rPr>
        <w:t>s</w:t>
      </w:r>
      <w:r w:rsidR="009827CA">
        <w:rPr>
          <w:rFonts w:ascii="Arial" w:hAnsi="Arial" w:cs="Arial"/>
          <w:szCs w:val="24"/>
        </w:rPr>
        <w:t xml:space="preserve">: i) </w:t>
      </w:r>
      <w:r w:rsidR="00282D73">
        <w:rPr>
          <w:rFonts w:ascii="Arial" w:hAnsi="Arial" w:cs="Arial"/>
          <w:szCs w:val="24"/>
        </w:rPr>
        <w:t xml:space="preserve">Autorizar y realizar el procedimiento denominado </w:t>
      </w:r>
      <w:r w:rsidR="00282D73" w:rsidRPr="00282D73">
        <w:rPr>
          <w:rFonts w:ascii="Arial" w:hAnsi="Arial" w:cs="Arial"/>
          <w:i/>
          <w:sz w:val="22"/>
          <w:szCs w:val="24"/>
        </w:rPr>
        <w:t>“ARTROSCOPIA”</w:t>
      </w:r>
      <w:r w:rsidR="00282D73">
        <w:rPr>
          <w:rFonts w:ascii="Arial" w:hAnsi="Arial" w:cs="Arial"/>
          <w:i/>
          <w:sz w:val="22"/>
          <w:szCs w:val="24"/>
        </w:rPr>
        <w:t xml:space="preserve">; </w:t>
      </w:r>
      <w:r w:rsidR="00282D73">
        <w:rPr>
          <w:rFonts w:ascii="Arial" w:hAnsi="Arial" w:cs="Arial"/>
          <w:szCs w:val="24"/>
        </w:rPr>
        <w:t>y</w:t>
      </w:r>
      <w:r w:rsidR="00282D73" w:rsidRPr="00282D73">
        <w:rPr>
          <w:rFonts w:ascii="Arial" w:hAnsi="Arial" w:cs="Arial"/>
          <w:szCs w:val="24"/>
        </w:rPr>
        <w:t>, (ii)</w:t>
      </w:r>
      <w:r w:rsidR="00282D73">
        <w:rPr>
          <w:rFonts w:ascii="Arial" w:hAnsi="Arial" w:cs="Arial"/>
          <w:szCs w:val="24"/>
        </w:rPr>
        <w:t xml:space="preserve"> Brindar tratamiento médico integral </w:t>
      </w:r>
      <w:r w:rsidR="00A76268">
        <w:rPr>
          <w:rFonts w:ascii="Arial" w:hAnsi="Arial" w:cs="Arial"/>
          <w:szCs w:val="24"/>
        </w:rPr>
        <w:t>(</w:t>
      </w:r>
      <w:r w:rsidR="008259FB">
        <w:rPr>
          <w:rFonts w:ascii="Arial" w:hAnsi="Arial" w:cs="Arial"/>
          <w:szCs w:val="24"/>
        </w:rPr>
        <w:t>F</w:t>
      </w:r>
      <w:r w:rsidR="00282D73">
        <w:rPr>
          <w:rFonts w:ascii="Arial" w:hAnsi="Arial" w:cs="Arial"/>
          <w:szCs w:val="24"/>
        </w:rPr>
        <w:t>olios 1 a 3</w:t>
      </w:r>
      <w:r w:rsidR="00A76268">
        <w:rPr>
          <w:rFonts w:ascii="Arial" w:hAnsi="Arial" w:cs="Arial"/>
          <w:szCs w:val="24"/>
        </w:rPr>
        <w:t xml:space="preserve">, </w:t>
      </w:r>
      <w:r w:rsidR="00282D73">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ansinterligne"/>
        <w:spacing w:line="360" w:lineRule="auto"/>
        <w:jc w:val="both"/>
        <w:rPr>
          <w:rFonts w:ascii="Arial" w:hAnsi="Arial" w:cs="Arial"/>
          <w:sz w:val="20"/>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ansinterligne"/>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282D73">
        <w:rPr>
          <w:rFonts w:ascii="Arial" w:hAnsi="Arial" w:cs="Arial"/>
        </w:rPr>
        <w:t>29-11</w:t>
      </w:r>
      <w:r w:rsidR="007B0D53">
        <w:rPr>
          <w:rFonts w:ascii="Arial" w:hAnsi="Arial" w:cs="Arial"/>
        </w:rPr>
        <w:t>-2016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282D73">
        <w:rPr>
          <w:rFonts w:ascii="Arial" w:hAnsi="Arial"/>
        </w:rPr>
        <w:t>11</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282D73">
        <w:rPr>
          <w:rFonts w:ascii="Arial" w:hAnsi="Arial"/>
        </w:rPr>
        <w:t>12 a 14</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1E087A">
        <w:rPr>
          <w:rFonts w:ascii="Arial" w:hAnsi="Arial"/>
        </w:rPr>
        <w:t xml:space="preserve">Contestaron </w:t>
      </w:r>
      <w:r w:rsidR="00282D73">
        <w:rPr>
          <w:rFonts w:ascii="Arial" w:hAnsi="Arial"/>
        </w:rPr>
        <w:t xml:space="preserve">la Dirección de Sanidad Seccional Risaralda de la Policía Nacional (Folio 15, ídem) </w:t>
      </w:r>
      <w:r w:rsidR="001E087A">
        <w:rPr>
          <w:rFonts w:ascii="Arial" w:hAnsi="Arial"/>
        </w:rPr>
        <w:t xml:space="preserve">y la </w:t>
      </w:r>
      <w:r w:rsidR="00282D73">
        <w:rPr>
          <w:rFonts w:ascii="Arial" w:hAnsi="Arial"/>
        </w:rPr>
        <w:t xml:space="preserve">Previsora SA Compañía de Seguros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E64839">
        <w:rPr>
          <w:rFonts w:ascii="Arial" w:hAnsi="Arial"/>
        </w:rPr>
        <w:t>18 a 21</w:t>
      </w:r>
      <w:r w:rsidR="001E3F11">
        <w:rPr>
          <w:rFonts w:ascii="Arial" w:hAnsi="Arial"/>
        </w:rPr>
        <w:t xml:space="preserve">, </w:t>
      </w:r>
      <w:r w:rsidR="00E64839">
        <w:rPr>
          <w:rFonts w:ascii="Arial" w:hAnsi="Arial"/>
        </w:rPr>
        <w:t>íd.</w:t>
      </w:r>
      <w:r w:rsidR="00C830C7" w:rsidRPr="00834D1D">
        <w:rPr>
          <w:rFonts w:ascii="Arial" w:hAnsi="Arial"/>
        </w:rPr>
        <w:t>)</w:t>
      </w:r>
      <w:r w:rsidR="00834D1D" w:rsidRPr="000A518B">
        <w:rPr>
          <w:rFonts w:ascii="Arial" w:hAnsi="Arial"/>
        </w:rPr>
        <w:t>.</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1E087A" w:rsidRPr="001E087A" w:rsidRDefault="00E64839" w:rsidP="001E087A">
      <w:pPr>
        <w:pStyle w:val="Paragraphedeliste"/>
        <w:numPr>
          <w:ilvl w:val="1"/>
          <w:numId w:val="18"/>
        </w:numPr>
        <w:spacing w:line="360" w:lineRule="auto"/>
        <w:jc w:val="both"/>
        <w:rPr>
          <w:rFonts w:ascii="Arial" w:hAnsi="Arial"/>
        </w:rPr>
      </w:pPr>
      <w:r>
        <w:rPr>
          <w:rFonts w:ascii="Arial" w:hAnsi="Arial"/>
        </w:rPr>
        <w:t xml:space="preserve">La Dirección de Sanidad Seccional Risaralda de la Policía Nacional </w:t>
      </w:r>
    </w:p>
    <w:p w:rsidR="001E087A" w:rsidRPr="005F6F1F" w:rsidRDefault="001E087A" w:rsidP="00085B3A">
      <w:pPr>
        <w:spacing w:line="360" w:lineRule="auto"/>
        <w:jc w:val="both"/>
        <w:rPr>
          <w:rFonts w:ascii="Arial" w:hAnsi="Arial"/>
          <w:sz w:val="20"/>
        </w:rPr>
      </w:pPr>
    </w:p>
    <w:p w:rsidR="00CF429F" w:rsidRPr="00FC7583" w:rsidRDefault="00E64839" w:rsidP="00085B3A">
      <w:pPr>
        <w:spacing w:line="360" w:lineRule="auto"/>
        <w:jc w:val="both"/>
        <w:rPr>
          <w:rFonts w:ascii="Arial" w:hAnsi="Arial"/>
          <w:lang w:val="es-CO"/>
        </w:rPr>
      </w:pPr>
      <w:r>
        <w:rPr>
          <w:rFonts w:ascii="Arial" w:hAnsi="Arial"/>
        </w:rPr>
        <w:t>Refirió que no ha negado el servicio de salud al accionante y que son inexistentes soportes que den cuenta que se haya radicado la orden médica para su eventual autorización. Adujo, también, que en sus instalaciones brinda servicios de primer nivel ambulatorio y que los de mayor complejidad los presta por intermedio de IPS contratadas.   Pidió que el actor radique la orden de médica del especialista y negar el amparo en su contra (Folio</w:t>
      </w:r>
      <w:r w:rsidR="00FC7583">
        <w:rPr>
          <w:rFonts w:ascii="Arial" w:hAnsi="Arial"/>
        </w:rPr>
        <w:t xml:space="preserve"> </w:t>
      </w:r>
      <w:r>
        <w:rPr>
          <w:rFonts w:ascii="Arial" w:hAnsi="Arial"/>
        </w:rPr>
        <w:t>15</w:t>
      </w:r>
      <w:r w:rsidR="00637780">
        <w:rPr>
          <w:rFonts w:ascii="Arial" w:hAnsi="Arial"/>
        </w:rPr>
        <w:t>, id.</w:t>
      </w:r>
      <w:r w:rsidR="00FC7583">
        <w:rPr>
          <w:rFonts w:ascii="Arial" w:hAnsi="Arial"/>
        </w:rPr>
        <w:t>).</w:t>
      </w:r>
    </w:p>
    <w:p w:rsidR="00085B3A" w:rsidRPr="005F6F1F" w:rsidRDefault="00085B3A" w:rsidP="00085B3A">
      <w:pPr>
        <w:spacing w:line="360" w:lineRule="auto"/>
        <w:jc w:val="both"/>
        <w:rPr>
          <w:rFonts w:ascii="Arial" w:hAnsi="Arial"/>
          <w:sz w:val="20"/>
        </w:rPr>
      </w:pPr>
    </w:p>
    <w:p w:rsidR="00C85443" w:rsidRDefault="00637780" w:rsidP="00C85443">
      <w:pPr>
        <w:pStyle w:val="Paragraphedeliste"/>
        <w:numPr>
          <w:ilvl w:val="1"/>
          <w:numId w:val="18"/>
        </w:numPr>
        <w:spacing w:line="360" w:lineRule="auto"/>
        <w:jc w:val="both"/>
        <w:rPr>
          <w:rFonts w:ascii="Arial" w:hAnsi="Arial"/>
        </w:rPr>
      </w:pPr>
      <w:r>
        <w:rPr>
          <w:rFonts w:ascii="Arial" w:hAnsi="Arial"/>
        </w:rPr>
        <w:t>La Previsora SA Compañía de Seguros</w:t>
      </w:r>
    </w:p>
    <w:p w:rsidR="00C85443" w:rsidRPr="005F6F1F" w:rsidRDefault="00C85443" w:rsidP="00C85443">
      <w:pPr>
        <w:spacing w:line="360" w:lineRule="auto"/>
        <w:jc w:val="both"/>
        <w:rPr>
          <w:rFonts w:ascii="Arial" w:hAnsi="Arial"/>
          <w:sz w:val="20"/>
        </w:rPr>
      </w:pPr>
    </w:p>
    <w:p w:rsidR="00C85443" w:rsidRDefault="00637780" w:rsidP="00C85443">
      <w:pPr>
        <w:spacing w:line="360" w:lineRule="auto"/>
        <w:jc w:val="both"/>
        <w:rPr>
          <w:rFonts w:ascii="Arial" w:hAnsi="Arial"/>
        </w:rPr>
      </w:pPr>
      <w:r>
        <w:rPr>
          <w:rFonts w:ascii="Arial" w:hAnsi="Arial"/>
        </w:rPr>
        <w:t xml:space="preserve">Manifestó que no ha vulnerado los derechos fundamentales del accionante </w:t>
      </w:r>
      <w:r w:rsidR="008A7068">
        <w:rPr>
          <w:rFonts w:ascii="Arial" w:hAnsi="Arial"/>
        </w:rPr>
        <w:t xml:space="preserve">y que </w:t>
      </w:r>
      <w:r>
        <w:rPr>
          <w:rFonts w:ascii="Arial" w:hAnsi="Arial"/>
        </w:rPr>
        <w:t xml:space="preserve">no le compete brindar </w:t>
      </w:r>
      <w:r w:rsidR="008A7068">
        <w:rPr>
          <w:rFonts w:ascii="Arial" w:hAnsi="Arial"/>
        </w:rPr>
        <w:t xml:space="preserve">la </w:t>
      </w:r>
      <w:r>
        <w:rPr>
          <w:rFonts w:ascii="Arial" w:hAnsi="Arial"/>
        </w:rPr>
        <w:t>asistencia en salud</w:t>
      </w:r>
      <w:r w:rsidR="008A7068">
        <w:rPr>
          <w:rFonts w:ascii="Arial" w:hAnsi="Arial"/>
        </w:rPr>
        <w:t xml:space="preserve"> requerida</w:t>
      </w:r>
      <w:r>
        <w:rPr>
          <w:rFonts w:ascii="Arial" w:hAnsi="Arial"/>
        </w:rPr>
        <w:t xml:space="preserve">. Agregó que se le puede solicitar el pago por la atención médica con cargo a la póliza de daños corporales. Solicitó, en consecuencia, negar la tutela  </w:t>
      </w:r>
      <w:r w:rsidR="00C85443">
        <w:rPr>
          <w:rFonts w:ascii="Arial" w:hAnsi="Arial"/>
        </w:rPr>
        <w:t xml:space="preserve">(Folios </w:t>
      </w:r>
      <w:r>
        <w:rPr>
          <w:rFonts w:ascii="Arial" w:hAnsi="Arial"/>
        </w:rPr>
        <w:t>18 a 21 id.</w:t>
      </w:r>
      <w:r w:rsidR="00C85443">
        <w:rPr>
          <w:rFonts w:ascii="Arial" w:hAnsi="Arial"/>
        </w:rPr>
        <w:t>).</w:t>
      </w:r>
    </w:p>
    <w:p w:rsidR="005F6F1F" w:rsidRPr="005F6F1F" w:rsidRDefault="005F6F1F" w:rsidP="00C85443">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0A518B">
        <w:rPr>
          <w:rFonts w:ascii="Arial" w:hAnsi="Arial"/>
          <w:szCs w:val="24"/>
        </w:rPr>
        <w:t>LA FUNDAMENTACIÓN JURÍDICA PARA DECIDIR</w:t>
      </w:r>
    </w:p>
    <w:p w:rsidR="00A83C8C" w:rsidRDefault="007262D7" w:rsidP="00A83C8C">
      <w:pPr>
        <w:pStyle w:val="Corpsdetexte"/>
        <w:numPr>
          <w:ilvl w:val="1"/>
          <w:numId w:val="1"/>
        </w:numPr>
        <w:tabs>
          <w:tab w:val="clear" w:pos="708"/>
          <w:tab w:val="left" w:pos="709"/>
        </w:tabs>
        <w:spacing w:line="360" w:lineRule="auto"/>
        <w:ind w:left="720" w:hanging="720"/>
        <w:rPr>
          <w:rFonts w:ascii="Arial" w:hAnsi="Arial"/>
          <w:szCs w:val="24"/>
        </w:rPr>
      </w:pPr>
      <w:r>
        <w:rPr>
          <w:rFonts w:ascii="Arial" w:hAnsi="Arial"/>
          <w:szCs w:val="24"/>
        </w:rPr>
        <w:lastRenderedPageBreak/>
        <w:t>7.1.</w:t>
      </w:r>
      <w:r w:rsidR="00A83C8C" w:rsidRPr="003E2B88">
        <w:rPr>
          <w:rFonts w:ascii="Arial" w:hAnsi="Arial"/>
          <w:szCs w:val="24"/>
        </w:rPr>
        <w:tab/>
        <w:t>La competencia</w:t>
      </w:r>
    </w:p>
    <w:p w:rsidR="00FC5132" w:rsidRDefault="00FC5132" w:rsidP="00A83C8C">
      <w:pPr>
        <w:pStyle w:val="Corpsdetex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Retraitcorpsdetexte2"/>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A83C8C" w:rsidRPr="005F6F1F" w:rsidRDefault="00A83C8C" w:rsidP="00A83C8C">
      <w:pPr>
        <w:pStyle w:val="Corpsdetexte"/>
        <w:tabs>
          <w:tab w:val="clear" w:pos="708"/>
          <w:tab w:val="clear" w:pos="1416"/>
          <w:tab w:val="left" w:pos="709"/>
          <w:tab w:val="left" w:pos="1418"/>
        </w:tabs>
        <w:spacing w:line="360" w:lineRule="auto"/>
        <w:rPr>
          <w:rFonts w:ascii="Arial" w:hAnsi="Arial" w:cs="Arial"/>
          <w:sz w:val="20"/>
          <w:szCs w:val="24"/>
        </w:rPr>
      </w:pPr>
    </w:p>
    <w:p w:rsidR="00BB7B9F" w:rsidRDefault="00BB7B9F"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BB7B9F" w:rsidRPr="005F6F1F" w:rsidRDefault="00BB7B9F" w:rsidP="00BB7B9F">
      <w:pPr>
        <w:pStyle w:val="Corpsdetex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pStyle w:val="Corpsdetex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sidR="00637780">
        <w:rPr>
          <w:rFonts w:ascii="Arial" w:hAnsi="Arial" w:cs="Arial"/>
          <w:szCs w:val="24"/>
        </w:rPr>
        <w:t>el señor Juan Gabriel Gálvez Arango, se encuentra afiliado</w:t>
      </w:r>
      <w:r w:rsidRPr="001E3F11">
        <w:rPr>
          <w:rFonts w:ascii="Arial" w:hAnsi="Arial" w:cs="Arial"/>
          <w:szCs w:val="24"/>
        </w:rPr>
        <w:t xml:space="preserve"> a la Dirección de Sanidad </w:t>
      </w:r>
      <w:r w:rsidR="00637780">
        <w:rPr>
          <w:rFonts w:ascii="Arial" w:hAnsi="Arial" w:cs="Arial"/>
          <w:szCs w:val="24"/>
        </w:rPr>
        <w:t xml:space="preserve">de la Policía Nacional (Folio 4, id.) </w:t>
      </w:r>
      <w:r w:rsidRPr="001E3F11">
        <w:rPr>
          <w:rFonts w:ascii="Arial" w:hAnsi="Arial" w:cs="Arial"/>
          <w:szCs w:val="24"/>
        </w:rPr>
        <w:t xml:space="preserve">(Artículo 86, CP, y 10º, Decreto 2591 de 1991). Y por pasiva, </w:t>
      </w:r>
      <w:r w:rsidR="00637780">
        <w:rPr>
          <w:rFonts w:ascii="Arial" w:hAnsi="Arial" w:cs="Arial"/>
          <w:szCs w:val="24"/>
        </w:rPr>
        <w:t>la Dirección de Sanidad de la Policía Nacional Seccional Risaralda</w:t>
      </w:r>
      <w:r>
        <w:rPr>
          <w:rFonts w:ascii="Arial" w:hAnsi="Arial"/>
        </w:rPr>
        <w:t xml:space="preserve">, </w:t>
      </w:r>
      <w:r>
        <w:rPr>
          <w:rFonts w:ascii="Arial" w:hAnsi="Arial" w:cs="Arial"/>
          <w:szCs w:val="24"/>
        </w:rPr>
        <w:t xml:space="preserve">pues </w:t>
      </w:r>
      <w:r w:rsidR="00637780">
        <w:rPr>
          <w:rFonts w:ascii="Arial" w:hAnsi="Arial" w:cs="Arial"/>
          <w:szCs w:val="24"/>
        </w:rPr>
        <w:t xml:space="preserve">es la encargada de </w:t>
      </w:r>
      <w:r>
        <w:rPr>
          <w:rFonts w:ascii="Arial" w:hAnsi="Arial" w:cs="Arial"/>
          <w:szCs w:val="24"/>
        </w:rPr>
        <w:t>brinda</w:t>
      </w:r>
      <w:r w:rsidR="00637780">
        <w:rPr>
          <w:rFonts w:ascii="Arial" w:hAnsi="Arial" w:cs="Arial"/>
          <w:szCs w:val="24"/>
        </w:rPr>
        <w:t>r</w:t>
      </w:r>
      <w:r>
        <w:rPr>
          <w:rFonts w:ascii="Arial" w:hAnsi="Arial" w:cs="Arial"/>
          <w:szCs w:val="24"/>
        </w:rPr>
        <w:t xml:space="preserve"> los servicios en salud</w:t>
      </w:r>
      <w:r w:rsidR="00637780">
        <w:rPr>
          <w:rFonts w:ascii="Arial" w:hAnsi="Arial" w:cs="Arial"/>
          <w:szCs w:val="24"/>
        </w:rPr>
        <w:t xml:space="preserve"> al actor</w:t>
      </w:r>
      <w:r>
        <w:rPr>
          <w:rFonts w:ascii="Arial" w:hAnsi="Arial" w:cs="Arial"/>
          <w:szCs w:val="24"/>
        </w:rPr>
        <w:t>.</w:t>
      </w:r>
    </w:p>
    <w:p w:rsidR="00BB7B9F" w:rsidRPr="005F6F1F" w:rsidRDefault="00BB7B9F" w:rsidP="00BB7B9F">
      <w:pPr>
        <w:pStyle w:val="Corpsdetex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widowControl/>
        <w:spacing w:line="360" w:lineRule="auto"/>
        <w:jc w:val="both"/>
        <w:rPr>
          <w:rFonts w:ascii="Arial" w:hAnsi="Arial" w:cs="Arial"/>
        </w:rPr>
      </w:pPr>
      <w:r>
        <w:rPr>
          <w:rFonts w:ascii="Arial" w:hAnsi="Arial" w:cs="Arial"/>
        </w:rPr>
        <w:t xml:space="preserve">Como </w:t>
      </w:r>
      <w:r w:rsidR="00637780">
        <w:rPr>
          <w:rFonts w:ascii="Arial" w:hAnsi="Arial" w:cs="Arial"/>
        </w:rPr>
        <w:t>a La Previsora SA Compañía de Seguros y a la Dirección General de Sanidad de la Policía Nacional</w:t>
      </w:r>
      <w:r>
        <w:rPr>
          <w:rFonts w:ascii="Arial" w:hAnsi="Arial" w:cs="Arial"/>
        </w:rPr>
        <w:t xml:space="preserve">, no les compete autorizar </w:t>
      </w:r>
      <w:r w:rsidR="00637780">
        <w:rPr>
          <w:rFonts w:ascii="Arial" w:hAnsi="Arial" w:cs="Arial"/>
        </w:rPr>
        <w:t>el procedimiento ordenado por el médico tratante</w:t>
      </w:r>
      <w:r>
        <w:rPr>
          <w:rFonts w:ascii="Arial" w:hAnsi="Arial" w:cs="Arial"/>
        </w:rPr>
        <w:t>, carecen de legitimación</w:t>
      </w:r>
      <w:r w:rsidR="00586934">
        <w:rPr>
          <w:rFonts w:ascii="Arial" w:hAnsi="Arial" w:cs="Arial"/>
        </w:rPr>
        <w:t xml:space="preserve">, </w:t>
      </w:r>
      <w:r>
        <w:rPr>
          <w:rFonts w:ascii="Arial" w:hAnsi="Arial" w:cs="Arial"/>
        </w:rPr>
        <w:t>por ende</w:t>
      </w:r>
      <w:r w:rsidR="007A4819">
        <w:rPr>
          <w:rFonts w:ascii="Arial" w:hAnsi="Arial" w:cs="Arial"/>
        </w:rPr>
        <w:t>,</w:t>
      </w:r>
      <w:r>
        <w:rPr>
          <w:rFonts w:ascii="Arial" w:hAnsi="Arial" w:cs="Arial"/>
        </w:rPr>
        <w:t xml:space="preserve"> se declarará improcedente el amparo en su contra.</w:t>
      </w:r>
    </w:p>
    <w:p w:rsidR="006A6366" w:rsidRDefault="006A6366" w:rsidP="006A6366">
      <w:pPr>
        <w:pStyle w:val="Retraitcorpsdetexte2"/>
        <w:spacing w:after="0" w:line="360" w:lineRule="auto"/>
        <w:ind w:left="0"/>
        <w:jc w:val="both"/>
        <w:rPr>
          <w:rFonts w:ascii="Arial" w:hAnsi="Arial" w:cs="Arial"/>
          <w:szCs w:val="24"/>
        </w:rPr>
      </w:pPr>
    </w:p>
    <w:p w:rsidR="006A6366" w:rsidRPr="003E2B88" w:rsidRDefault="006A6366" w:rsidP="006A6366">
      <w:pPr>
        <w:pStyle w:val="Corpsdetexte"/>
        <w:numPr>
          <w:ilvl w:val="1"/>
          <w:numId w:val="27"/>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6A6366" w:rsidRPr="005F6F1F" w:rsidRDefault="006A6366" w:rsidP="006A6366">
      <w:pPr>
        <w:pStyle w:val="Corpsdetexte"/>
        <w:tabs>
          <w:tab w:val="clear" w:pos="708"/>
          <w:tab w:val="clear" w:pos="1416"/>
          <w:tab w:val="left" w:pos="709"/>
          <w:tab w:val="left" w:pos="1418"/>
        </w:tabs>
        <w:spacing w:line="360" w:lineRule="auto"/>
        <w:rPr>
          <w:rFonts w:ascii="Arial" w:hAnsi="Arial"/>
          <w:sz w:val="20"/>
          <w:szCs w:val="24"/>
        </w:rPr>
      </w:pPr>
    </w:p>
    <w:p w:rsidR="006A6366" w:rsidRPr="00213843" w:rsidRDefault="006A6366" w:rsidP="006A6366">
      <w:pPr>
        <w:pStyle w:val="Corpsdetex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E1367C">
        <w:rPr>
          <w:rFonts w:ascii="Arial" w:hAnsi="Arial" w:cs="Arial"/>
          <w:szCs w:val="24"/>
        </w:rPr>
        <w:t xml:space="preserve">La Dirección de Sanidad Seccional Risaralda de la Policía Nacional </w:t>
      </w:r>
      <w:r w:rsidRPr="00213843">
        <w:rPr>
          <w:rFonts w:ascii="Arial" w:hAnsi="Arial"/>
          <w:szCs w:val="24"/>
        </w:rPr>
        <w:t>viola o amenaza los derechos fundamentales alegados por la parte accionante, según los hechos expuestos en la petición de tutela</w:t>
      </w:r>
      <w:r w:rsidRPr="00213843">
        <w:rPr>
          <w:rFonts w:ascii="Arial" w:hAnsi="Arial" w:cs="Arial"/>
          <w:szCs w:val="24"/>
        </w:rPr>
        <w:t>?</w:t>
      </w:r>
    </w:p>
    <w:p w:rsidR="005F6F1F" w:rsidRDefault="005F6F1F" w:rsidP="00BB7B9F">
      <w:pPr>
        <w:widowControl/>
        <w:spacing w:line="360" w:lineRule="auto"/>
        <w:jc w:val="both"/>
        <w:rPr>
          <w:rFonts w:ascii="Arial" w:hAnsi="Arial" w:cs="Arial"/>
          <w:sz w:val="20"/>
        </w:rPr>
      </w:pPr>
    </w:p>
    <w:p w:rsidR="006A6366" w:rsidRPr="003E2B88" w:rsidRDefault="006A6366"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aragraphedeliste"/>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6A6366">
      <w:pPr>
        <w:pStyle w:val="Corpsdetexte"/>
        <w:numPr>
          <w:ilvl w:val="2"/>
          <w:numId w:val="27"/>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Corpsdetex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ansinterligne"/>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Appelnotedebasdep"/>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Corpsdetexte"/>
        <w:spacing w:line="360" w:lineRule="auto"/>
        <w:rPr>
          <w:rFonts w:ascii="Arial" w:hAnsi="Arial" w:cs="Arial"/>
        </w:rPr>
      </w:pPr>
      <w:r w:rsidRPr="001E3F11">
        <w:rPr>
          <w:rFonts w:ascii="Arial" w:hAnsi="Arial" w:cs="Arial"/>
        </w:rPr>
        <w:lastRenderedPageBreak/>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Appelnotedebasdep"/>
          <w:rFonts w:ascii="Arial" w:hAnsi="Arial"/>
          <w:noProof/>
          <w:szCs w:val="22"/>
        </w:rPr>
        <w:footnoteReference w:id="2"/>
      </w:r>
      <w:r w:rsidR="000A518B" w:rsidRPr="001E3F11">
        <w:rPr>
          <w:rFonts w:ascii="Arial" w:hAnsi="Arial" w:cs="Arial"/>
          <w:noProof/>
          <w:szCs w:val="22"/>
        </w:rPr>
        <w:t xml:space="preserve">; </w:t>
      </w:r>
      <w:r w:rsidR="00E1367C">
        <w:rPr>
          <w:rFonts w:ascii="Arial" w:hAnsi="Arial" w:cs="Arial"/>
          <w:noProof/>
          <w:szCs w:val="22"/>
        </w:rPr>
        <w:t xml:space="preserve">notese que la historia clínica que da cuenta sobre </w:t>
      </w:r>
      <w:r w:rsidR="00253CDA">
        <w:rPr>
          <w:rFonts w:ascii="Arial" w:hAnsi="Arial" w:cs="Arial"/>
          <w:noProof/>
          <w:szCs w:val="22"/>
        </w:rPr>
        <w:t xml:space="preserve">la patología del accionante </w:t>
      </w:r>
      <w:r w:rsidR="001E3F11" w:rsidRPr="001E3F11">
        <w:rPr>
          <w:rFonts w:ascii="Arial" w:hAnsi="Arial"/>
          <w:szCs w:val="24"/>
        </w:rPr>
        <w:t xml:space="preserve">data del </w:t>
      </w:r>
      <w:r w:rsidR="00E1367C">
        <w:rPr>
          <w:rFonts w:ascii="Arial" w:hAnsi="Arial"/>
          <w:szCs w:val="24"/>
        </w:rPr>
        <w:t>20-09-</w:t>
      </w:r>
      <w:r w:rsidR="004F38E1">
        <w:rPr>
          <w:rFonts w:ascii="Arial" w:hAnsi="Arial"/>
          <w:szCs w:val="24"/>
        </w:rPr>
        <w:t xml:space="preserve">2016 </w:t>
      </w:r>
      <w:r w:rsidR="001E3F11" w:rsidRPr="001E3F11">
        <w:rPr>
          <w:rFonts w:ascii="Arial" w:hAnsi="Arial"/>
          <w:szCs w:val="24"/>
        </w:rPr>
        <w:t>(Folio</w:t>
      </w:r>
      <w:r w:rsidR="00E1367C">
        <w:rPr>
          <w:rFonts w:ascii="Arial" w:hAnsi="Arial"/>
          <w:szCs w:val="24"/>
        </w:rPr>
        <w:t>s</w:t>
      </w:r>
      <w:r w:rsidRPr="001E3F11">
        <w:rPr>
          <w:rFonts w:ascii="Arial" w:hAnsi="Arial"/>
          <w:szCs w:val="24"/>
        </w:rPr>
        <w:t xml:space="preserve"> </w:t>
      </w:r>
      <w:r w:rsidR="00E1367C">
        <w:rPr>
          <w:rFonts w:ascii="Arial" w:hAnsi="Arial"/>
          <w:szCs w:val="24"/>
        </w:rPr>
        <w:t>7 y 8</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E1367C">
        <w:rPr>
          <w:rFonts w:ascii="Arial" w:hAnsi="Arial" w:cs="Arial"/>
          <w:noProof/>
          <w:szCs w:val="22"/>
          <w:lang w:val="es-CO"/>
        </w:rPr>
        <w:t>29-11</w:t>
      </w:r>
      <w:r w:rsidR="001E3F11" w:rsidRPr="001E3F11">
        <w:rPr>
          <w:rFonts w:ascii="Arial" w:hAnsi="Arial" w:cs="Arial"/>
          <w:noProof/>
          <w:szCs w:val="22"/>
          <w:lang w:val="es-CO"/>
        </w:rPr>
        <w:t xml:space="preserve">-2016 </w:t>
      </w:r>
      <w:r w:rsidRPr="001E3F11">
        <w:rPr>
          <w:rFonts w:ascii="Arial" w:hAnsi="Arial" w:cs="Arial"/>
          <w:noProof/>
          <w:szCs w:val="22"/>
          <w:lang w:val="es-CO"/>
        </w:rPr>
        <w:t xml:space="preserve">(Folio </w:t>
      </w:r>
      <w:r w:rsidR="00E1367C">
        <w:rPr>
          <w:rFonts w:ascii="Arial" w:hAnsi="Arial" w:cs="Arial"/>
          <w:noProof/>
          <w:szCs w:val="22"/>
          <w:lang w:val="es-CO"/>
        </w:rPr>
        <w:t>29</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C3390C" w:rsidRDefault="007B2953" w:rsidP="006A6366">
      <w:pPr>
        <w:pStyle w:val="Corpsdetexte"/>
        <w:numPr>
          <w:ilvl w:val="2"/>
          <w:numId w:val="27"/>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Corpsdetex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E1367C">
        <w:rPr>
          <w:rFonts w:ascii="Arial" w:hAnsi="Arial" w:cs="Arial"/>
          <w:i/>
          <w:sz w:val="22"/>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w:t>
      </w:r>
      <w:r w:rsidR="000E2628">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3"/>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00E1367C">
        <w:rPr>
          <w:rFonts w:ascii="Arial" w:hAnsi="Arial" w:cs="Arial"/>
        </w:rPr>
        <w:t xml:space="preserve"> </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sidR="00E1367C">
        <w:rPr>
          <w:rFonts w:ascii="Arial" w:hAnsi="Arial" w:cs="Arial"/>
          <w:i/>
          <w:color w:val="000000"/>
          <w:sz w:val="22"/>
          <w:shd w:val="clear" w:color="auto" w:fill="FFFFFF"/>
        </w:rPr>
        <w:t xml:space="preserve"> (…)</w:t>
      </w:r>
      <w:r w:rsidRPr="00E15537">
        <w:rPr>
          <w:rFonts w:ascii="Arial" w:hAnsi="Arial" w:cs="Arial"/>
          <w:i/>
          <w:color w:val="000000"/>
          <w:sz w:val="22"/>
          <w:shd w:val="clear" w:color="auto" w:fill="FFFFFF"/>
        </w:rPr>
        <w:t>”</w:t>
      </w:r>
      <w:r>
        <w:rPr>
          <w:rFonts w:ascii="Arial" w:hAnsi="Arial" w:cs="Arial"/>
          <w:color w:val="000000"/>
          <w:shd w:val="clear" w:color="auto" w:fill="FFFFFF"/>
        </w:rPr>
        <w:t>, esto es, las exclusiones son solo aquellas expresamente mencionadas en el artículo 15, además el 3º de la misma Ley, dispone:</w:t>
      </w:r>
      <w:r w:rsidR="00E1367C">
        <w:rPr>
          <w:rFonts w:ascii="Arial" w:hAnsi="Arial" w:cs="Arial"/>
          <w:color w:val="000000"/>
          <w:shd w:val="clear" w:color="auto" w:fill="FFFFFF"/>
        </w:rPr>
        <w:t xml:space="preserve"> </w:t>
      </w:r>
      <w:r w:rsidRPr="00E1367C">
        <w:rPr>
          <w:rFonts w:ascii="Arial" w:hAnsi="Arial" w:cs="Arial"/>
          <w:i/>
          <w:color w:val="000000"/>
          <w:sz w:val="22"/>
          <w:szCs w:val="22"/>
          <w:shd w:val="clear" w:color="auto" w:fill="FFFFFF"/>
        </w:rPr>
        <w:t>“(…) a</w:t>
      </w:r>
      <w:r w:rsidRPr="005A0648">
        <w:rPr>
          <w:rFonts w:ascii="Arial" w:hAnsi="Arial" w:cs="Arial"/>
          <w:i/>
          <w:color w:val="000000"/>
          <w:sz w:val="22"/>
          <w:szCs w:val="22"/>
          <w:shd w:val="clear" w:color="auto" w:fill="FFFFFF"/>
        </w:rPr>
        <w:t xml:space="preserve"> todos los agentes, usuarios y demás que intervengan de manera directa o indirecta, en la garantía del derecho fundamental a la salud</w:t>
      </w:r>
      <w:r w:rsidR="00E1367C">
        <w:rPr>
          <w:rFonts w:ascii="Arial" w:hAnsi="Arial" w:cs="Arial"/>
          <w:i/>
          <w:color w:val="000000"/>
          <w:sz w:val="22"/>
          <w:szCs w:val="22"/>
          <w:shd w:val="clear" w:color="auto" w:fill="FFFFFF"/>
        </w:rPr>
        <w:t xml:space="preserve"> (…)</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333B0B"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Appelnotedebasdep"/>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sidR="00E1367C">
        <w:rPr>
          <w:rFonts w:ascii="Arial" w:hAnsi="Arial" w:cs="Arial"/>
          <w:i/>
          <w:sz w:val="22"/>
          <w:szCs w:val="22"/>
        </w:rPr>
        <w:t xml:space="preserve">(…) </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333B0B">
        <w:rPr>
          <w:rFonts w:ascii="Arial" w:hAnsi="Arial" w:cs="Arial"/>
          <w:i/>
          <w:sz w:val="22"/>
          <w:szCs w:val="22"/>
        </w:rPr>
        <w:t xml:space="preserve">La </w:t>
      </w:r>
      <w:r w:rsidR="000E2628" w:rsidRPr="00333B0B">
        <w:rPr>
          <w:rFonts w:ascii="Arial" w:hAnsi="Arial" w:cs="Arial"/>
          <w:i/>
          <w:sz w:val="22"/>
          <w:szCs w:val="22"/>
        </w:rPr>
        <w:t>CC</w:t>
      </w:r>
      <w:r w:rsidRPr="00333B0B">
        <w:rPr>
          <w:rFonts w:ascii="Arial" w:hAnsi="Arial" w:cs="Arial"/>
          <w:i/>
          <w:sz w:val="22"/>
          <w:szCs w:val="22"/>
        </w:rPr>
        <w:t xml:space="preserve"> ha precisado que los servicios de salud en esos sistemas excepcionales no pueden ser inferiores al modelo general de atención. Así mismo, ha advertido que las reglas de justiciabilidad del derecho a la salud se aplican a todos los sistemas de salud</w:t>
      </w:r>
      <w:r w:rsidR="00E1367C" w:rsidRPr="00333B0B">
        <w:rPr>
          <w:rFonts w:ascii="Arial" w:hAnsi="Arial" w:cs="Arial"/>
          <w:i/>
          <w:sz w:val="22"/>
          <w:szCs w:val="22"/>
        </w:rPr>
        <w:t xml:space="preserve"> (…)</w:t>
      </w:r>
      <w:r w:rsidRPr="00333B0B">
        <w:rPr>
          <w:rFonts w:ascii="Arial" w:hAnsi="Arial" w:cs="Arial"/>
          <w:i/>
          <w:sz w:val="22"/>
          <w:szCs w:val="22"/>
        </w:rPr>
        <w:t>”.</w:t>
      </w:r>
      <w:r w:rsidRPr="00333B0B">
        <w:rPr>
          <w:rFonts w:ascii="Arial" w:hAnsi="Arial" w:cs="Arial"/>
          <w:sz w:val="22"/>
          <w:szCs w:val="22"/>
        </w:rPr>
        <w:t xml:space="preserve">  </w:t>
      </w:r>
    </w:p>
    <w:p w:rsidR="007B2953" w:rsidRPr="008C1322" w:rsidRDefault="007D0231" w:rsidP="006A6366">
      <w:pPr>
        <w:pStyle w:val="Corpsdetexte"/>
        <w:numPr>
          <w:ilvl w:val="0"/>
          <w:numId w:val="27"/>
        </w:numPr>
        <w:spacing w:line="360" w:lineRule="auto"/>
        <w:rPr>
          <w:rFonts w:ascii="Arial" w:hAnsi="Arial"/>
          <w:szCs w:val="24"/>
        </w:rPr>
      </w:pPr>
      <w:r w:rsidRPr="008C1322">
        <w:rPr>
          <w:rFonts w:ascii="Arial" w:hAnsi="Arial"/>
          <w:szCs w:val="24"/>
        </w:rPr>
        <w:lastRenderedPageBreak/>
        <w:t xml:space="preserve">EL </w:t>
      </w:r>
      <w:r w:rsidR="00015AE5" w:rsidRPr="008C1322">
        <w:rPr>
          <w:rFonts w:ascii="Arial" w:hAnsi="Arial"/>
          <w:szCs w:val="24"/>
        </w:rPr>
        <w:t>CASO CONCRETO MATERIA DE ANÁLISIS</w:t>
      </w:r>
    </w:p>
    <w:p w:rsidR="00B51760" w:rsidRPr="005F6F1F" w:rsidRDefault="00B51760" w:rsidP="00B51760">
      <w:pPr>
        <w:pStyle w:val="Corpsdetexte"/>
        <w:spacing w:line="360" w:lineRule="auto"/>
        <w:ind w:left="400"/>
        <w:rPr>
          <w:rFonts w:ascii="Arial" w:hAnsi="Arial"/>
          <w:sz w:val="20"/>
          <w:szCs w:val="24"/>
        </w:rPr>
      </w:pPr>
    </w:p>
    <w:p w:rsidR="009C3437" w:rsidRDefault="00047F79"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Se </w:t>
      </w:r>
      <w:r w:rsidR="009B05FA" w:rsidRPr="006B6A22">
        <w:rPr>
          <w:rFonts w:ascii="Arial" w:hAnsi="Arial" w:cs="Arial"/>
          <w:lang w:val="es-CO" w:eastAsia="es-CO"/>
        </w:rPr>
        <w:t>pretende con la acción constitucional que</w:t>
      </w:r>
      <w:r w:rsidR="00603BA9">
        <w:rPr>
          <w:rFonts w:ascii="Arial" w:hAnsi="Arial" w:cs="Arial"/>
          <w:lang w:val="es-CO" w:eastAsia="es-CO"/>
        </w:rPr>
        <w:t xml:space="preserve"> se ordene a la accionada </w:t>
      </w:r>
      <w:r w:rsidR="000E2628">
        <w:rPr>
          <w:rFonts w:ascii="Arial" w:hAnsi="Arial" w:cs="Arial"/>
          <w:lang w:val="es-CO" w:eastAsia="es-CO"/>
        </w:rPr>
        <w:t xml:space="preserve">autorizar y </w:t>
      </w:r>
      <w:r w:rsidR="00E1367C">
        <w:rPr>
          <w:rFonts w:ascii="Arial" w:hAnsi="Arial" w:cs="Arial"/>
          <w:lang w:val="es-CO" w:eastAsia="es-CO"/>
        </w:rPr>
        <w:t xml:space="preserve">realizar la intervención quirúrgica denominada </w:t>
      </w:r>
      <w:r w:rsidR="00E1367C" w:rsidRPr="00E1367C">
        <w:rPr>
          <w:rFonts w:ascii="Arial" w:hAnsi="Arial" w:cs="Arial"/>
          <w:i/>
          <w:sz w:val="22"/>
          <w:lang w:val="es-CO" w:eastAsia="es-CO"/>
        </w:rPr>
        <w:t>“ARTROSCOPIA”</w:t>
      </w:r>
      <w:r w:rsidR="00E1367C">
        <w:rPr>
          <w:rFonts w:ascii="Arial" w:hAnsi="Arial" w:cs="Arial"/>
          <w:lang w:val="es-CO" w:eastAsia="es-CO"/>
        </w:rPr>
        <w:t xml:space="preserve"> </w:t>
      </w:r>
      <w:r w:rsidR="000E2628">
        <w:rPr>
          <w:rFonts w:ascii="Arial" w:hAnsi="Arial" w:cs="Arial"/>
          <w:lang w:val="es-CO" w:eastAsia="es-CO"/>
        </w:rPr>
        <w:t xml:space="preserve">y </w:t>
      </w:r>
      <w:r w:rsidR="00B87F26">
        <w:rPr>
          <w:rFonts w:ascii="Arial" w:hAnsi="Arial" w:cs="Arial"/>
          <w:lang w:val="es-CO" w:eastAsia="es-CO"/>
        </w:rPr>
        <w:t xml:space="preserve">brindar </w:t>
      </w:r>
      <w:r w:rsidR="000E2628">
        <w:rPr>
          <w:rFonts w:ascii="Arial" w:hAnsi="Arial" w:cs="Arial"/>
          <w:lang w:val="es-CO" w:eastAsia="es-CO"/>
        </w:rPr>
        <w:t>el servicio de salud integral</w:t>
      </w:r>
      <w:r w:rsidR="00B87F26">
        <w:rPr>
          <w:rFonts w:ascii="Arial" w:hAnsi="Arial" w:cs="Arial"/>
          <w:lang w:val="es-CO" w:eastAsia="es-CO"/>
        </w:rPr>
        <w:t>, sin embargo, conforme el acervo probatorio obrante en el asunto y la respuesta de la Dirección de Sanidad, considera esta Sala de la Corporación que el presente amparo tendrá que negarse por</w:t>
      </w:r>
      <w:r w:rsidR="00253CDA">
        <w:rPr>
          <w:rFonts w:ascii="Arial" w:hAnsi="Arial" w:cs="Arial"/>
          <w:lang w:val="es-CO" w:eastAsia="es-CO"/>
        </w:rPr>
        <w:t xml:space="preserve">que luce </w:t>
      </w:r>
      <w:r w:rsidR="00B87F26">
        <w:rPr>
          <w:rFonts w:ascii="Arial" w:hAnsi="Arial" w:cs="Arial"/>
          <w:lang w:val="es-CO" w:eastAsia="es-CO"/>
        </w:rPr>
        <w:t xml:space="preserve">evidente </w:t>
      </w:r>
      <w:r w:rsidR="00253CDA">
        <w:rPr>
          <w:rFonts w:ascii="Arial" w:hAnsi="Arial" w:cs="Arial"/>
          <w:lang w:val="es-CO" w:eastAsia="es-CO"/>
        </w:rPr>
        <w:t xml:space="preserve">la </w:t>
      </w:r>
      <w:r w:rsidR="00B87F26">
        <w:rPr>
          <w:rFonts w:ascii="Arial" w:hAnsi="Arial" w:cs="Arial"/>
          <w:lang w:val="es-CO" w:eastAsia="es-CO"/>
        </w:rPr>
        <w:t xml:space="preserve">ausencia de vulneración o amenaza de los derechos fundamentales invocados. </w:t>
      </w:r>
    </w:p>
    <w:p w:rsidR="000E2628" w:rsidRDefault="000E2628"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E3052E" w:rsidRDefault="00E3052E"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 el petitorio se anexó copia de la historia clínica del accionante donde se relata la consulta realizada el </w:t>
      </w:r>
      <w:r w:rsidR="00B87F26">
        <w:rPr>
          <w:rFonts w:ascii="Arial" w:hAnsi="Arial" w:cs="Arial"/>
          <w:lang w:val="es-CO" w:eastAsia="es-CO"/>
        </w:rPr>
        <w:t xml:space="preserve">día 20-09-2016 </w:t>
      </w:r>
      <w:r>
        <w:rPr>
          <w:rFonts w:ascii="Arial" w:hAnsi="Arial" w:cs="Arial"/>
          <w:lang w:val="es-CO" w:eastAsia="es-CO"/>
        </w:rPr>
        <w:t xml:space="preserve">por </w:t>
      </w:r>
      <w:r w:rsidR="00367D29">
        <w:rPr>
          <w:rFonts w:ascii="Arial" w:hAnsi="Arial" w:cs="Arial"/>
          <w:lang w:val="es-CO" w:eastAsia="es-CO"/>
        </w:rPr>
        <w:t>un</w:t>
      </w:r>
      <w:r w:rsidR="00B87F26">
        <w:rPr>
          <w:rFonts w:ascii="Arial" w:hAnsi="Arial" w:cs="Arial"/>
          <w:lang w:val="es-CO" w:eastAsia="es-CO"/>
        </w:rPr>
        <w:t xml:space="preserve"> médico especialista en traumatología</w:t>
      </w:r>
      <w:r w:rsidR="007A5743">
        <w:rPr>
          <w:rFonts w:ascii="Arial" w:hAnsi="Arial" w:cs="Arial"/>
          <w:lang w:val="es-CO" w:eastAsia="es-CO"/>
        </w:rPr>
        <w:t xml:space="preserve"> y </w:t>
      </w:r>
      <w:r w:rsidR="00367D29">
        <w:rPr>
          <w:rFonts w:ascii="Arial" w:hAnsi="Arial" w:cs="Arial"/>
          <w:lang w:val="es-CO" w:eastAsia="es-CO"/>
        </w:rPr>
        <w:t xml:space="preserve">en </w:t>
      </w:r>
      <w:r w:rsidR="007A5743">
        <w:rPr>
          <w:rFonts w:ascii="Arial" w:hAnsi="Arial" w:cs="Arial"/>
          <w:lang w:val="es-CO" w:eastAsia="es-CO"/>
        </w:rPr>
        <w:t xml:space="preserve">ella </w:t>
      </w:r>
      <w:r w:rsidR="00367D29">
        <w:rPr>
          <w:rFonts w:ascii="Arial" w:hAnsi="Arial" w:cs="Arial"/>
          <w:lang w:val="es-CO" w:eastAsia="es-CO"/>
        </w:rPr>
        <w:t xml:space="preserve">se </w:t>
      </w:r>
      <w:r>
        <w:rPr>
          <w:rFonts w:ascii="Arial" w:hAnsi="Arial" w:cs="Arial"/>
          <w:lang w:val="es-CO" w:eastAsia="es-CO"/>
        </w:rPr>
        <w:t xml:space="preserve">da cuenta sobre el diagnóstico de </w:t>
      </w:r>
      <w:r w:rsidR="00253CDA">
        <w:rPr>
          <w:rFonts w:ascii="Arial" w:hAnsi="Arial" w:cs="Arial"/>
          <w:lang w:val="es-CO" w:eastAsia="es-CO"/>
        </w:rPr>
        <w:t xml:space="preserve">la patología denominada </w:t>
      </w:r>
      <w:r w:rsidR="00B87F26" w:rsidRPr="00B87F26">
        <w:rPr>
          <w:rFonts w:ascii="Arial" w:hAnsi="Arial" w:cs="Arial"/>
          <w:i/>
          <w:sz w:val="22"/>
          <w:lang w:val="es-CO" w:eastAsia="es-CO"/>
        </w:rPr>
        <w:t>“SÍNDROME DE MANGUITO ROTATORIO”</w:t>
      </w:r>
      <w:r w:rsidR="00B87F26" w:rsidRPr="00B87F26">
        <w:rPr>
          <w:rFonts w:ascii="Arial" w:hAnsi="Arial" w:cs="Arial"/>
          <w:sz w:val="22"/>
          <w:lang w:val="es-CO" w:eastAsia="es-CO"/>
        </w:rPr>
        <w:t xml:space="preserve"> </w:t>
      </w:r>
      <w:r w:rsidR="00B87F26">
        <w:rPr>
          <w:rFonts w:ascii="Arial" w:hAnsi="Arial" w:cs="Arial"/>
          <w:lang w:val="es-CO" w:eastAsia="es-CO"/>
        </w:rPr>
        <w:t xml:space="preserve">y </w:t>
      </w:r>
      <w:r>
        <w:rPr>
          <w:rFonts w:ascii="Arial" w:hAnsi="Arial" w:cs="Arial"/>
          <w:lang w:val="es-CO" w:eastAsia="es-CO"/>
        </w:rPr>
        <w:t>el plan terapéutico a seguir, específicamente</w:t>
      </w:r>
      <w:r w:rsidR="00367D29">
        <w:rPr>
          <w:rFonts w:ascii="Arial" w:hAnsi="Arial" w:cs="Arial"/>
          <w:lang w:val="es-CO" w:eastAsia="es-CO"/>
        </w:rPr>
        <w:t>,</w:t>
      </w:r>
      <w:r>
        <w:rPr>
          <w:rFonts w:ascii="Arial" w:hAnsi="Arial" w:cs="Arial"/>
          <w:lang w:val="es-CO" w:eastAsia="es-CO"/>
        </w:rPr>
        <w:t xml:space="preserve"> refiere</w:t>
      </w:r>
      <w:r w:rsidR="007A5743">
        <w:rPr>
          <w:rFonts w:ascii="Arial" w:hAnsi="Arial" w:cs="Arial"/>
          <w:lang w:val="es-CO" w:eastAsia="es-CO"/>
        </w:rPr>
        <w:t>:</w:t>
      </w:r>
      <w:r>
        <w:rPr>
          <w:rFonts w:ascii="Arial" w:hAnsi="Arial" w:cs="Arial"/>
          <w:lang w:val="es-CO" w:eastAsia="es-CO"/>
        </w:rPr>
        <w:t xml:space="preserve"> </w:t>
      </w:r>
      <w:r w:rsidR="00B87F26" w:rsidRPr="00B87F26">
        <w:rPr>
          <w:rFonts w:ascii="Arial" w:hAnsi="Arial" w:cs="Arial"/>
          <w:i/>
          <w:sz w:val="22"/>
          <w:lang w:val="es-CO" w:eastAsia="es-CO"/>
        </w:rPr>
        <w:t>“</w:t>
      </w:r>
      <w:proofErr w:type="spellStart"/>
      <w:r w:rsidR="00B87F26" w:rsidRPr="00B87F26">
        <w:rPr>
          <w:rFonts w:ascii="Arial" w:hAnsi="Arial" w:cs="Arial"/>
          <w:i/>
          <w:sz w:val="22"/>
          <w:lang w:val="es-CO" w:eastAsia="es-CO"/>
        </w:rPr>
        <w:t>ss</w:t>
      </w:r>
      <w:proofErr w:type="spellEnd"/>
      <w:r w:rsidR="00B87F26" w:rsidRPr="00B87F26">
        <w:rPr>
          <w:rFonts w:ascii="Arial" w:hAnsi="Arial" w:cs="Arial"/>
          <w:i/>
          <w:sz w:val="22"/>
          <w:lang w:val="es-CO" w:eastAsia="es-CO"/>
        </w:rPr>
        <w:t xml:space="preserve"> autorización de la </w:t>
      </w:r>
      <w:proofErr w:type="spellStart"/>
      <w:r w:rsidR="00B87F26" w:rsidRPr="00B87F26">
        <w:rPr>
          <w:rFonts w:ascii="Arial" w:hAnsi="Arial" w:cs="Arial"/>
          <w:i/>
          <w:sz w:val="22"/>
          <w:lang w:val="es-CO" w:eastAsia="es-CO"/>
        </w:rPr>
        <w:t>cirugia</w:t>
      </w:r>
      <w:proofErr w:type="spellEnd"/>
      <w:r w:rsidR="00B87F26" w:rsidRPr="00B87F26">
        <w:rPr>
          <w:rFonts w:ascii="Arial" w:hAnsi="Arial" w:cs="Arial"/>
          <w:i/>
          <w:sz w:val="22"/>
          <w:lang w:val="es-CO" w:eastAsia="es-CO"/>
        </w:rPr>
        <w:t xml:space="preserve"> (Sic) por parte de la </w:t>
      </w:r>
      <w:proofErr w:type="spellStart"/>
      <w:r w:rsidR="00B87F26" w:rsidRPr="00B87F26">
        <w:rPr>
          <w:rFonts w:ascii="Arial" w:hAnsi="Arial" w:cs="Arial"/>
          <w:i/>
          <w:sz w:val="22"/>
          <w:lang w:val="es-CO" w:eastAsia="es-CO"/>
        </w:rPr>
        <w:t>policia</w:t>
      </w:r>
      <w:proofErr w:type="spellEnd"/>
      <w:r w:rsidR="00B87F26" w:rsidRPr="00B87F26">
        <w:rPr>
          <w:rFonts w:ascii="Arial" w:hAnsi="Arial" w:cs="Arial"/>
          <w:i/>
          <w:sz w:val="22"/>
          <w:lang w:val="es-CO" w:eastAsia="es-CO"/>
        </w:rPr>
        <w:t xml:space="preserve"> (Sic) para realizar artroscopia”</w:t>
      </w:r>
      <w:r>
        <w:rPr>
          <w:rFonts w:ascii="Arial" w:hAnsi="Arial" w:cs="Arial"/>
          <w:i/>
          <w:sz w:val="22"/>
          <w:lang w:val="es-CO" w:eastAsia="es-CO"/>
        </w:rPr>
        <w:t xml:space="preserve"> </w:t>
      </w:r>
      <w:r>
        <w:rPr>
          <w:rFonts w:ascii="Arial" w:hAnsi="Arial" w:cs="Arial"/>
          <w:szCs w:val="24"/>
          <w:lang w:val="es-CO" w:eastAsia="es-CO"/>
        </w:rPr>
        <w:t>(Folios 7 y 8, ib.),</w:t>
      </w:r>
      <w:r>
        <w:rPr>
          <w:rFonts w:ascii="Arial" w:hAnsi="Arial" w:cs="Arial"/>
          <w:i/>
          <w:sz w:val="22"/>
          <w:lang w:val="es-CO" w:eastAsia="es-CO"/>
        </w:rPr>
        <w:t xml:space="preserve"> </w:t>
      </w:r>
      <w:r w:rsidRPr="00E3052E">
        <w:rPr>
          <w:rFonts w:ascii="Arial" w:hAnsi="Arial" w:cs="Arial"/>
          <w:lang w:val="es-CO" w:eastAsia="es-CO"/>
        </w:rPr>
        <w:t xml:space="preserve">no obstante, </w:t>
      </w:r>
      <w:r w:rsidR="007A5743">
        <w:rPr>
          <w:rFonts w:ascii="Arial" w:hAnsi="Arial" w:cs="Arial"/>
          <w:lang w:val="es-CO" w:eastAsia="es-CO"/>
        </w:rPr>
        <w:t xml:space="preserve">se </w:t>
      </w:r>
      <w:r>
        <w:rPr>
          <w:rFonts w:ascii="Arial" w:hAnsi="Arial" w:cs="Arial"/>
          <w:lang w:val="es-CO" w:eastAsia="es-CO"/>
        </w:rPr>
        <w:t xml:space="preserve">omitió </w:t>
      </w:r>
      <w:r w:rsidR="007A5743">
        <w:rPr>
          <w:rFonts w:ascii="Arial" w:hAnsi="Arial" w:cs="Arial"/>
          <w:lang w:val="es-CO" w:eastAsia="es-CO"/>
        </w:rPr>
        <w:t xml:space="preserve">por </w:t>
      </w:r>
      <w:r>
        <w:rPr>
          <w:rFonts w:ascii="Arial" w:hAnsi="Arial" w:cs="Arial"/>
          <w:lang w:val="es-CO" w:eastAsia="es-CO"/>
        </w:rPr>
        <w:t xml:space="preserve">el actor arrimar la orden médica en la que se </w:t>
      </w:r>
      <w:r w:rsidR="007A5743">
        <w:rPr>
          <w:rFonts w:ascii="Arial" w:hAnsi="Arial" w:cs="Arial"/>
          <w:lang w:val="es-CO" w:eastAsia="es-CO"/>
        </w:rPr>
        <w:t xml:space="preserve">dispuso </w:t>
      </w:r>
      <w:r>
        <w:rPr>
          <w:rFonts w:ascii="Arial" w:hAnsi="Arial" w:cs="Arial"/>
          <w:lang w:val="es-CO" w:eastAsia="es-CO"/>
        </w:rPr>
        <w:t>la realización de la cirugía</w:t>
      </w:r>
      <w:r w:rsidR="007A5743">
        <w:rPr>
          <w:rFonts w:ascii="Arial" w:hAnsi="Arial" w:cs="Arial"/>
          <w:lang w:val="es-CO" w:eastAsia="es-CO"/>
        </w:rPr>
        <w:t xml:space="preserve"> y que debe ser radicada </w:t>
      </w:r>
      <w:r>
        <w:rPr>
          <w:rFonts w:ascii="Arial" w:hAnsi="Arial" w:cs="Arial"/>
          <w:lang w:val="es-CO" w:eastAsia="es-CO"/>
        </w:rPr>
        <w:t>ante la accionada</w:t>
      </w:r>
      <w:r w:rsidR="00367D29">
        <w:rPr>
          <w:rFonts w:ascii="Arial" w:hAnsi="Arial" w:cs="Arial"/>
          <w:lang w:val="es-CO" w:eastAsia="es-CO"/>
        </w:rPr>
        <w:t>,</w:t>
      </w:r>
      <w:r w:rsidR="007A5743">
        <w:rPr>
          <w:rFonts w:ascii="Arial" w:hAnsi="Arial" w:cs="Arial"/>
          <w:lang w:val="es-CO" w:eastAsia="es-CO"/>
        </w:rPr>
        <w:t xml:space="preserve"> a efectos de su autorización</w:t>
      </w:r>
      <w:r>
        <w:rPr>
          <w:rFonts w:ascii="Arial" w:hAnsi="Arial" w:cs="Arial"/>
          <w:lang w:val="es-CO" w:eastAsia="es-CO"/>
        </w:rPr>
        <w:t>.</w:t>
      </w:r>
    </w:p>
    <w:p w:rsidR="00E3052E" w:rsidRDefault="00E3052E"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7A5743" w:rsidRDefault="00E3052E"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Dicho documento (</w:t>
      </w:r>
      <w:r w:rsidR="00367D29">
        <w:rPr>
          <w:rFonts w:ascii="Arial" w:hAnsi="Arial" w:cs="Arial"/>
          <w:lang w:val="es-CO" w:eastAsia="es-CO"/>
        </w:rPr>
        <w:t xml:space="preserve">Prescripción </w:t>
      </w:r>
      <w:r>
        <w:rPr>
          <w:rFonts w:ascii="Arial" w:hAnsi="Arial" w:cs="Arial"/>
          <w:lang w:val="es-CO" w:eastAsia="es-CO"/>
        </w:rPr>
        <w:t xml:space="preserve">médica) es el idóneo para que todo galeno, cuando lo considera pertinente, disponga la </w:t>
      </w:r>
      <w:r w:rsidR="00367D29">
        <w:rPr>
          <w:rFonts w:ascii="Arial" w:hAnsi="Arial" w:cs="Arial"/>
          <w:lang w:val="es-CO" w:eastAsia="es-CO"/>
        </w:rPr>
        <w:t>ejecución</w:t>
      </w:r>
      <w:r>
        <w:rPr>
          <w:rFonts w:ascii="Arial" w:hAnsi="Arial" w:cs="Arial"/>
          <w:lang w:val="es-CO" w:eastAsia="es-CO"/>
        </w:rPr>
        <w:t xml:space="preserve"> de alguna terapia, intervención quirúrgica, entrega de medicamentos, </w:t>
      </w:r>
      <w:proofErr w:type="spellStart"/>
      <w:r>
        <w:rPr>
          <w:rFonts w:ascii="Arial" w:hAnsi="Arial" w:cs="Arial"/>
          <w:lang w:val="es-CO" w:eastAsia="es-CO"/>
        </w:rPr>
        <w:t>etc</w:t>
      </w:r>
      <w:proofErr w:type="spellEnd"/>
      <w:r>
        <w:rPr>
          <w:rFonts w:ascii="Arial" w:hAnsi="Arial" w:cs="Arial"/>
          <w:lang w:val="es-CO" w:eastAsia="es-CO"/>
        </w:rPr>
        <w:t xml:space="preserve">, </w:t>
      </w:r>
      <w:r w:rsidR="00367D29">
        <w:rPr>
          <w:rFonts w:ascii="Arial" w:hAnsi="Arial" w:cs="Arial"/>
          <w:lang w:val="es-CO" w:eastAsia="es-CO"/>
        </w:rPr>
        <w:t xml:space="preserve">y es indispensable </w:t>
      </w:r>
      <w:r w:rsidR="007A5743">
        <w:rPr>
          <w:rFonts w:ascii="Arial" w:hAnsi="Arial" w:cs="Arial"/>
          <w:lang w:val="es-CO" w:eastAsia="es-CO"/>
        </w:rPr>
        <w:t xml:space="preserve">para </w:t>
      </w:r>
      <w:r>
        <w:rPr>
          <w:rFonts w:ascii="Arial" w:hAnsi="Arial" w:cs="Arial"/>
          <w:lang w:val="es-CO" w:eastAsia="es-CO"/>
        </w:rPr>
        <w:t xml:space="preserve">que la </w:t>
      </w:r>
      <w:r w:rsidR="00367D29">
        <w:rPr>
          <w:rFonts w:ascii="Arial" w:hAnsi="Arial" w:cs="Arial"/>
          <w:lang w:val="es-CO" w:eastAsia="es-CO"/>
        </w:rPr>
        <w:t>accionada</w:t>
      </w:r>
      <w:r>
        <w:rPr>
          <w:rFonts w:ascii="Arial" w:hAnsi="Arial" w:cs="Arial"/>
          <w:lang w:val="es-CO" w:eastAsia="es-CO"/>
        </w:rPr>
        <w:t xml:space="preserve"> </w:t>
      </w:r>
      <w:r w:rsidR="00337C54">
        <w:rPr>
          <w:rFonts w:ascii="Arial" w:hAnsi="Arial" w:cs="Arial"/>
          <w:lang w:val="es-CO" w:eastAsia="es-CO"/>
        </w:rPr>
        <w:t xml:space="preserve">emita </w:t>
      </w:r>
      <w:r>
        <w:rPr>
          <w:rFonts w:ascii="Arial" w:hAnsi="Arial" w:cs="Arial"/>
          <w:lang w:val="es-CO" w:eastAsia="es-CO"/>
        </w:rPr>
        <w:t>la</w:t>
      </w:r>
      <w:r w:rsidRPr="00E3052E">
        <w:rPr>
          <w:rFonts w:ascii="Arial" w:hAnsi="Arial" w:cs="Arial"/>
          <w:lang w:val="es-CO" w:eastAsia="es-CO"/>
        </w:rPr>
        <w:t xml:space="preserve"> </w:t>
      </w:r>
      <w:r>
        <w:rPr>
          <w:rFonts w:ascii="Arial" w:hAnsi="Arial" w:cs="Arial"/>
          <w:lang w:val="es-CO" w:eastAsia="es-CO"/>
        </w:rPr>
        <w:t>autorización. No puede</w:t>
      </w:r>
      <w:r w:rsidR="00337C54">
        <w:rPr>
          <w:rFonts w:ascii="Arial" w:hAnsi="Arial" w:cs="Arial"/>
          <w:lang w:val="es-CO" w:eastAsia="es-CO"/>
        </w:rPr>
        <w:t>n</w:t>
      </w:r>
      <w:r>
        <w:rPr>
          <w:rFonts w:ascii="Arial" w:hAnsi="Arial" w:cs="Arial"/>
          <w:lang w:val="es-CO" w:eastAsia="es-CO"/>
        </w:rPr>
        <w:t xml:space="preserve"> confundirse</w:t>
      </w:r>
      <w:r w:rsidR="00337C54">
        <w:rPr>
          <w:rFonts w:ascii="Arial" w:hAnsi="Arial" w:cs="Arial"/>
          <w:lang w:val="es-CO" w:eastAsia="es-CO"/>
        </w:rPr>
        <w:t>, entonces,</w:t>
      </w:r>
      <w:r w:rsidR="00897C2A">
        <w:rPr>
          <w:rFonts w:ascii="Arial" w:hAnsi="Arial" w:cs="Arial"/>
          <w:lang w:val="es-CO" w:eastAsia="es-CO"/>
        </w:rPr>
        <w:t xml:space="preserve"> la historia clínica con la orden médica</w:t>
      </w:r>
      <w:r w:rsidR="007A5743">
        <w:rPr>
          <w:rFonts w:ascii="Arial" w:hAnsi="Arial" w:cs="Arial"/>
          <w:lang w:val="es-CO" w:eastAsia="es-CO"/>
        </w:rPr>
        <w:t>, como lo hace el accionante,</w:t>
      </w:r>
      <w:r>
        <w:rPr>
          <w:rFonts w:ascii="Arial" w:hAnsi="Arial" w:cs="Arial"/>
          <w:lang w:val="es-CO" w:eastAsia="es-CO"/>
        </w:rPr>
        <w:t xml:space="preserve"> </w:t>
      </w:r>
      <w:r w:rsidR="00897C2A">
        <w:rPr>
          <w:rFonts w:ascii="Arial" w:hAnsi="Arial" w:cs="Arial"/>
          <w:lang w:val="es-CO" w:eastAsia="es-CO"/>
        </w:rPr>
        <w:t>pues</w:t>
      </w:r>
      <w:r w:rsidR="00337C54">
        <w:rPr>
          <w:rFonts w:ascii="Arial" w:hAnsi="Arial" w:cs="Arial"/>
          <w:lang w:val="es-CO" w:eastAsia="es-CO"/>
        </w:rPr>
        <w:t>,</w:t>
      </w:r>
      <w:r w:rsidR="00897C2A">
        <w:rPr>
          <w:rFonts w:ascii="Arial" w:hAnsi="Arial" w:cs="Arial"/>
          <w:lang w:val="es-CO" w:eastAsia="es-CO"/>
        </w:rPr>
        <w:t xml:space="preserve"> aquella, solo resume </w:t>
      </w:r>
      <w:r>
        <w:rPr>
          <w:rFonts w:ascii="Arial" w:hAnsi="Arial" w:cs="Arial"/>
          <w:lang w:val="es-CO" w:eastAsia="es-CO"/>
        </w:rPr>
        <w:t xml:space="preserve">la consulta </w:t>
      </w:r>
      <w:r w:rsidR="00897C2A">
        <w:rPr>
          <w:rFonts w:ascii="Arial" w:hAnsi="Arial" w:cs="Arial"/>
          <w:lang w:val="es-CO" w:eastAsia="es-CO"/>
        </w:rPr>
        <w:t xml:space="preserve">realizada </w:t>
      </w:r>
      <w:r>
        <w:rPr>
          <w:rFonts w:ascii="Arial" w:hAnsi="Arial" w:cs="Arial"/>
          <w:lang w:val="es-CO" w:eastAsia="es-CO"/>
        </w:rPr>
        <w:t>ante el médico</w:t>
      </w:r>
      <w:r w:rsidR="00337C54">
        <w:rPr>
          <w:rFonts w:ascii="Arial" w:hAnsi="Arial" w:cs="Arial"/>
          <w:lang w:val="es-CO" w:eastAsia="es-CO"/>
        </w:rPr>
        <w:t xml:space="preserve"> y</w:t>
      </w:r>
      <w:r w:rsidR="00533A61">
        <w:rPr>
          <w:rFonts w:ascii="Arial" w:hAnsi="Arial" w:cs="Arial"/>
          <w:lang w:val="es-CO" w:eastAsia="es-CO"/>
        </w:rPr>
        <w:t>,</w:t>
      </w:r>
      <w:r w:rsidR="00337C54">
        <w:rPr>
          <w:rFonts w:ascii="Arial" w:hAnsi="Arial" w:cs="Arial"/>
          <w:lang w:val="es-CO" w:eastAsia="es-CO"/>
        </w:rPr>
        <w:t xml:space="preserve"> la última</w:t>
      </w:r>
      <w:r w:rsidR="00533A61">
        <w:rPr>
          <w:rFonts w:ascii="Arial" w:hAnsi="Arial" w:cs="Arial"/>
          <w:lang w:val="es-CO" w:eastAsia="es-CO"/>
        </w:rPr>
        <w:t>,</w:t>
      </w:r>
      <w:r w:rsidR="00337C54">
        <w:rPr>
          <w:rFonts w:ascii="Arial" w:hAnsi="Arial" w:cs="Arial"/>
          <w:lang w:val="es-CO" w:eastAsia="es-CO"/>
        </w:rPr>
        <w:t xml:space="preserve"> en sí misma, </w:t>
      </w:r>
      <w:r w:rsidR="00533A61">
        <w:rPr>
          <w:rFonts w:ascii="Arial" w:hAnsi="Arial" w:cs="Arial"/>
          <w:lang w:val="es-CO" w:eastAsia="es-CO"/>
        </w:rPr>
        <w:t xml:space="preserve">es </w:t>
      </w:r>
      <w:r w:rsidR="00337C54">
        <w:rPr>
          <w:rFonts w:ascii="Arial" w:hAnsi="Arial" w:cs="Arial"/>
          <w:lang w:val="es-CO" w:eastAsia="es-CO"/>
        </w:rPr>
        <w:t xml:space="preserve">la disposición médica </w:t>
      </w:r>
      <w:r w:rsidR="00533A61">
        <w:rPr>
          <w:rFonts w:ascii="Arial" w:hAnsi="Arial" w:cs="Arial"/>
          <w:lang w:val="es-CO" w:eastAsia="es-CO"/>
        </w:rPr>
        <w:t xml:space="preserve">a autorizar. </w:t>
      </w:r>
    </w:p>
    <w:p w:rsidR="007A5743" w:rsidRDefault="007A5743"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333B0B" w:rsidRDefault="007A5743" w:rsidP="007B2953">
      <w:pPr>
        <w:pStyle w:val="Corpsdetexte"/>
        <w:tabs>
          <w:tab w:val="clear" w:pos="708"/>
          <w:tab w:val="clear" w:pos="1416"/>
          <w:tab w:val="left" w:pos="709"/>
          <w:tab w:val="left" w:pos="1418"/>
        </w:tabs>
        <w:spacing w:line="360" w:lineRule="auto"/>
        <w:rPr>
          <w:rFonts w:ascii="Arial" w:hAnsi="Arial" w:cs="Arial"/>
          <w:szCs w:val="24"/>
          <w:lang w:val="es-CO" w:eastAsia="es-CO"/>
        </w:rPr>
      </w:pPr>
      <w:r>
        <w:rPr>
          <w:rFonts w:ascii="Arial" w:hAnsi="Arial" w:cs="Arial"/>
          <w:lang w:val="es-CO" w:eastAsia="es-CO"/>
        </w:rPr>
        <w:t xml:space="preserve">Es cierto que en la historia clínica se alude </w:t>
      </w:r>
      <w:r w:rsidRPr="00B87F26">
        <w:rPr>
          <w:rFonts w:ascii="Arial" w:hAnsi="Arial" w:cs="Arial"/>
          <w:i/>
          <w:sz w:val="22"/>
          <w:lang w:val="es-CO" w:eastAsia="es-CO"/>
        </w:rPr>
        <w:t>“</w:t>
      </w:r>
      <w:proofErr w:type="spellStart"/>
      <w:r w:rsidRPr="00B87F26">
        <w:rPr>
          <w:rFonts w:ascii="Arial" w:hAnsi="Arial" w:cs="Arial"/>
          <w:i/>
          <w:sz w:val="22"/>
          <w:lang w:val="es-CO" w:eastAsia="es-CO"/>
        </w:rPr>
        <w:t>ss</w:t>
      </w:r>
      <w:proofErr w:type="spellEnd"/>
      <w:r w:rsidRPr="00B87F26">
        <w:rPr>
          <w:rFonts w:ascii="Arial" w:hAnsi="Arial" w:cs="Arial"/>
          <w:i/>
          <w:sz w:val="22"/>
          <w:lang w:val="es-CO" w:eastAsia="es-CO"/>
        </w:rPr>
        <w:t xml:space="preserve"> autorización de la </w:t>
      </w:r>
      <w:proofErr w:type="spellStart"/>
      <w:r w:rsidRPr="00B87F26">
        <w:rPr>
          <w:rFonts w:ascii="Arial" w:hAnsi="Arial" w:cs="Arial"/>
          <w:i/>
          <w:sz w:val="22"/>
          <w:lang w:val="es-CO" w:eastAsia="es-CO"/>
        </w:rPr>
        <w:t>cirugia</w:t>
      </w:r>
      <w:proofErr w:type="spellEnd"/>
      <w:r w:rsidRPr="00B87F26">
        <w:rPr>
          <w:rFonts w:ascii="Arial" w:hAnsi="Arial" w:cs="Arial"/>
          <w:i/>
          <w:sz w:val="22"/>
          <w:lang w:val="es-CO" w:eastAsia="es-CO"/>
        </w:rPr>
        <w:t xml:space="preserve"> (Sic) por parte de la </w:t>
      </w:r>
      <w:proofErr w:type="spellStart"/>
      <w:r w:rsidRPr="00B87F26">
        <w:rPr>
          <w:rFonts w:ascii="Arial" w:hAnsi="Arial" w:cs="Arial"/>
          <w:i/>
          <w:sz w:val="22"/>
          <w:lang w:val="es-CO" w:eastAsia="es-CO"/>
        </w:rPr>
        <w:t>policia</w:t>
      </w:r>
      <w:proofErr w:type="spellEnd"/>
      <w:r w:rsidRPr="00B87F26">
        <w:rPr>
          <w:rFonts w:ascii="Arial" w:hAnsi="Arial" w:cs="Arial"/>
          <w:i/>
          <w:sz w:val="22"/>
          <w:lang w:val="es-CO" w:eastAsia="es-CO"/>
        </w:rPr>
        <w:t xml:space="preserve"> (Sic) para realizar artroscopia”</w:t>
      </w:r>
      <w:r>
        <w:rPr>
          <w:rFonts w:ascii="Arial" w:hAnsi="Arial" w:cs="Arial"/>
          <w:i/>
          <w:sz w:val="22"/>
          <w:lang w:val="es-CO" w:eastAsia="es-CO"/>
        </w:rPr>
        <w:t xml:space="preserve">, </w:t>
      </w:r>
      <w:r w:rsidRPr="007A5743">
        <w:rPr>
          <w:rFonts w:ascii="Arial" w:hAnsi="Arial" w:cs="Arial"/>
          <w:lang w:val="es-CO" w:eastAsia="es-CO"/>
        </w:rPr>
        <w:t xml:space="preserve">pero es inapropiado considerar que </w:t>
      </w:r>
      <w:r w:rsidR="00367D29">
        <w:rPr>
          <w:rFonts w:ascii="Arial" w:hAnsi="Arial" w:cs="Arial"/>
          <w:lang w:val="es-CO" w:eastAsia="es-CO"/>
        </w:rPr>
        <w:t xml:space="preserve">con ella se </w:t>
      </w:r>
      <w:r w:rsidRPr="007A5743">
        <w:rPr>
          <w:rFonts w:ascii="Arial" w:hAnsi="Arial" w:cs="Arial"/>
          <w:lang w:val="es-CO" w:eastAsia="es-CO"/>
        </w:rPr>
        <w:t xml:space="preserve">supla la formalidad de la </w:t>
      </w:r>
      <w:r w:rsidR="00367D29">
        <w:rPr>
          <w:rFonts w:ascii="Arial" w:hAnsi="Arial" w:cs="Arial"/>
          <w:lang w:val="es-CO" w:eastAsia="es-CO"/>
        </w:rPr>
        <w:t xml:space="preserve">prescripción </w:t>
      </w:r>
      <w:r w:rsidRPr="007A5743">
        <w:rPr>
          <w:rFonts w:ascii="Arial" w:hAnsi="Arial" w:cs="Arial"/>
          <w:lang w:val="es-CO" w:eastAsia="es-CO"/>
        </w:rPr>
        <w:t>médica que el galeno entrega a su paciente en escrito separado</w:t>
      </w:r>
      <w:r>
        <w:rPr>
          <w:rFonts w:ascii="Arial" w:hAnsi="Arial" w:cs="Arial"/>
          <w:lang w:val="es-CO" w:eastAsia="es-CO"/>
        </w:rPr>
        <w:t xml:space="preserve">. </w:t>
      </w:r>
      <w:r w:rsidR="00253CDA">
        <w:rPr>
          <w:rFonts w:ascii="Arial" w:hAnsi="Arial" w:cs="Arial"/>
          <w:szCs w:val="24"/>
          <w:lang w:val="es-CO" w:eastAsia="es-CO"/>
        </w:rPr>
        <w:t xml:space="preserve">Existen ciertas formalidades que </w:t>
      </w:r>
      <w:r>
        <w:rPr>
          <w:rFonts w:ascii="Arial" w:hAnsi="Arial" w:cs="Arial"/>
          <w:szCs w:val="24"/>
          <w:lang w:val="es-CO" w:eastAsia="es-CO"/>
        </w:rPr>
        <w:t xml:space="preserve">deben </w:t>
      </w:r>
      <w:r w:rsidR="00253CDA">
        <w:rPr>
          <w:rFonts w:ascii="Arial" w:hAnsi="Arial" w:cs="Arial"/>
          <w:szCs w:val="24"/>
          <w:lang w:val="es-CO" w:eastAsia="es-CO"/>
        </w:rPr>
        <w:t xml:space="preserve">cumplirse, </w:t>
      </w:r>
      <w:r>
        <w:rPr>
          <w:rFonts w:ascii="Arial" w:hAnsi="Arial" w:cs="Arial"/>
          <w:szCs w:val="24"/>
          <w:lang w:val="es-CO" w:eastAsia="es-CO"/>
        </w:rPr>
        <w:t>en este caso</w:t>
      </w:r>
      <w:r w:rsidR="00253CDA">
        <w:rPr>
          <w:rFonts w:ascii="Arial" w:hAnsi="Arial" w:cs="Arial"/>
          <w:szCs w:val="24"/>
          <w:lang w:val="es-CO" w:eastAsia="es-CO"/>
        </w:rPr>
        <w:t>, la expedición y radicación de la orden de cirugía, totalmente ausente en la tutela</w:t>
      </w:r>
      <w:r>
        <w:rPr>
          <w:rFonts w:ascii="Arial" w:hAnsi="Arial" w:cs="Arial"/>
          <w:szCs w:val="24"/>
          <w:lang w:val="es-CO" w:eastAsia="es-CO"/>
        </w:rPr>
        <w:t>, por ello, s</w:t>
      </w:r>
      <w:r w:rsidR="00253CDA">
        <w:rPr>
          <w:rFonts w:ascii="Arial" w:hAnsi="Arial" w:cs="Arial"/>
          <w:szCs w:val="24"/>
          <w:lang w:val="es-CO" w:eastAsia="es-CO"/>
        </w:rPr>
        <w:t xml:space="preserve">e disiente del argumento del actor, fundado en que </w:t>
      </w:r>
      <w:r>
        <w:rPr>
          <w:rFonts w:ascii="Arial" w:hAnsi="Arial" w:cs="Arial"/>
          <w:szCs w:val="24"/>
          <w:lang w:val="es-CO" w:eastAsia="es-CO"/>
        </w:rPr>
        <w:t xml:space="preserve">la historia clínica </w:t>
      </w:r>
      <w:r w:rsidR="00253CDA">
        <w:rPr>
          <w:rFonts w:ascii="Arial" w:hAnsi="Arial" w:cs="Arial"/>
          <w:szCs w:val="24"/>
          <w:lang w:val="es-CO" w:eastAsia="es-CO"/>
        </w:rPr>
        <w:t xml:space="preserve">corresponde a la orden echada de menos (Folio </w:t>
      </w:r>
      <w:r w:rsidR="00367D29">
        <w:rPr>
          <w:rFonts w:ascii="Arial" w:hAnsi="Arial" w:cs="Arial"/>
          <w:szCs w:val="24"/>
          <w:lang w:val="es-CO" w:eastAsia="es-CO"/>
        </w:rPr>
        <w:t>25 vto.</w:t>
      </w:r>
      <w:r w:rsidR="00253CDA">
        <w:rPr>
          <w:rFonts w:ascii="Arial" w:hAnsi="Arial" w:cs="Arial"/>
          <w:szCs w:val="24"/>
          <w:lang w:val="es-CO" w:eastAsia="es-CO"/>
        </w:rPr>
        <w:t>, ib.).</w:t>
      </w:r>
    </w:p>
    <w:p w:rsidR="004424DE" w:rsidRDefault="00333B0B" w:rsidP="007B2953">
      <w:pPr>
        <w:pStyle w:val="Corpsdetexte"/>
        <w:tabs>
          <w:tab w:val="clear" w:pos="708"/>
          <w:tab w:val="clear" w:pos="1416"/>
          <w:tab w:val="left" w:pos="709"/>
          <w:tab w:val="left" w:pos="1418"/>
        </w:tabs>
        <w:spacing w:line="360" w:lineRule="auto"/>
        <w:rPr>
          <w:rFonts w:ascii="Arial" w:hAnsi="Arial" w:cs="Arial"/>
          <w:szCs w:val="24"/>
          <w:lang w:val="es-CO" w:eastAsia="es-CO"/>
        </w:rPr>
      </w:pPr>
      <w:r>
        <w:rPr>
          <w:rFonts w:ascii="Arial" w:hAnsi="Arial" w:cs="Arial"/>
          <w:szCs w:val="24"/>
          <w:lang w:val="es-CO" w:eastAsia="es-CO"/>
        </w:rPr>
        <w:t xml:space="preserve"> </w:t>
      </w:r>
    </w:p>
    <w:p w:rsidR="004424DE" w:rsidRDefault="006110BD" w:rsidP="007B2953">
      <w:pPr>
        <w:pStyle w:val="Corpsdetexte"/>
        <w:tabs>
          <w:tab w:val="clear" w:pos="708"/>
          <w:tab w:val="clear" w:pos="1416"/>
          <w:tab w:val="left" w:pos="709"/>
          <w:tab w:val="left" w:pos="1418"/>
        </w:tabs>
        <w:spacing w:line="360" w:lineRule="auto"/>
        <w:rPr>
          <w:rFonts w:ascii="Arial" w:hAnsi="Arial" w:cs="Arial"/>
          <w:szCs w:val="24"/>
          <w:lang w:val="es-CO" w:eastAsia="es-CO"/>
        </w:rPr>
      </w:pPr>
      <w:r>
        <w:rPr>
          <w:rFonts w:ascii="Arial" w:hAnsi="Arial" w:cs="Arial"/>
          <w:szCs w:val="24"/>
          <w:lang w:val="es-CO" w:eastAsia="es-CO"/>
        </w:rPr>
        <w:t>Así las cosas, e</w:t>
      </w:r>
      <w:r w:rsidR="002C04DB">
        <w:rPr>
          <w:rFonts w:ascii="Arial" w:hAnsi="Arial" w:cs="Arial"/>
          <w:szCs w:val="24"/>
          <w:lang w:val="es-CO" w:eastAsia="es-CO"/>
        </w:rPr>
        <w:t xml:space="preserve">s inaceptable endilgar vulneración o amenaza de algún derecho fundamental </w:t>
      </w:r>
      <w:r w:rsidR="004424DE">
        <w:rPr>
          <w:rFonts w:ascii="Arial" w:hAnsi="Arial" w:cs="Arial"/>
          <w:szCs w:val="24"/>
          <w:lang w:val="es-CO" w:eastAsia="es-CO"/>
        </w:rPr>
        <w:t>a quien desconoce las solicitudes supuestamente dejadas de atender</w:t>
      </w:r>
      <w:r>
        <w:rPr>
          <w:rFonts w:ascii="Arial" w:hAnsi="Arial" w:cs="Arial"/>
          <w:szCs w:val="24"/>
          <w:lang w:val="es-CO" w:eastAsia="es-CO"/>
        </w:rPr>
        <w:t>,</w:t>
      </w:r>
      <w:r w:rsidR="004424DE">
        <w:rPr>
          <w:rFonts w:ascii="Arial" w:hAnsi="Arial" w:cs="Arial"/>
          <w:szCs w:val="24"/>
          <w:lang w:val="es-CO" w:eastAsia="es-CO"/>
        </w:rPr>
        <w:t xml:space="preserve"> y menos</w:t>
      </w:r>
      <w:r>
        <w:rPr>
          <w:rFonts w:ascii="Arial" w:hAnsi="Arial" w:cs="Arial"/>
          <w:szCs w:val="24"/>
          <w:lang w:val="es-CO" w:eastAsia="es-CO"/>
        </w:rPr>
        <w:t>,</w:t>
      </w:r>
      <w:r w:rsidR="004424DE">
        <w:rPr>
          <w:rFonts w:ascii="Arial" w:hAnsi="Arial" w:cs="Arial"/>
          <w:szCs w:val="24"/>
          <w:lang w:val="es-CO" w:eastAsia="es-CO"/>
        </w:rPr>
        <w:t xml:space="preserve"> </w:t>
      </w:r>
      <w:r>
        <w:rPr>
          <w:rFonts w:ascii="Arial" w:hAnsi="Arial" w:cs="Arial"/>
          <w:szCs w:val="24"/>
          <w:lang w:val="es-CO" w:eastAsia="es-CO"/>
        </w:rPr>
        <w:t xml:space="preserve">conceder </w:t>
      </w:r>
      <w:r w:rsidR="004424DE">
        <w:rPr>
          <w:rFonts w:ascii="Arial" w:hAnsi="Arial" w:cs="Arial"/>
          <w:szCs w:val="24"/>
          <w:lang w:val="es-CO" w:eastAsia="es-CO"/>
        </w:rPr>
        <w:t xml:space="preserve">el amparo a quien </w:t>
      </w:r>
      <w:r w:rsidR="002C04DB">
        <w:rPr>
          <w:rFonts w:ascii="Arial" w:hAnsi="Arial" w:cs="Arial"/>
          <w:szCs w:val="24"/>
          <w:lang w:val="es-CO" w:eastAsia="es-CO"/>
        </w:rPr>
        <w:t xml:space="preserve">ni siquiera </w:t>
      </w:r>
      <w:r w:rsidR="004424DE">
        <w:rPr>
          <w:rFonts w:ascii="Arial" w:hAnsi="Arial" w:cs="Arial"/>
          <w:szCs w:val="24"/>
          <w:lang w:val="es-CO" w:eastAsia="es-CO"/>
        </w:rPr>
        <w:t xml:space="preserve">ha agotado las mínimas diligencias que le competen. </w:t>
      </w:r>
    </w:p>
    <w:p w:rsidR="00C7336D" w:rsidRPr="005F6F1F" w:rsidRDefault="00C7336D" w:rsidP="00624232">
      <w:pPr>
        <w:pStyle w:val="Corpsdetexte"/>
        <w:spacing w:line="360" w:lineRule="auto"/>
        <w:rPr>
          <w:rFonts w:ascii="Arial" w:hAnsi="Arial" w:cs="Arial"/>
          <w:sz w:val="20"/>
          <w:lang w:val="es-CO" w:eastAsia="es-CO"/>
        </w:rPr>
      </w:pPr>
    </w:p>
    <w:p w:rsidR="007B2953" w:rsidRPr="00C3390C"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lastRenderedPageBreak/>
        <w:t>En armonía con las premisas expuestas en los acápites anteriores</w:t>
      </w:r>
      <w:r w:rsidR="006110BD">
        <w:rPr>
          <w:rFonts w:ascii="Arial" w:hAnsi="Arial" w:cs="Arial"/>
        </w:rPr>
        <w:t>: (i) Se negará la acción de tutela frente a la Dirección de Sanidad Seccional Risaralda de la Policía Nacional por inexistencia de vulneración o amenaza a los derechos fundamentales invocados; y, (ii) Se declarará improcedente contra la Dirección General de Sanidad de la Policía Nacional y la Previsora SA Compañía de Seguros por carecer de legitimación</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Corpsdetex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Corpsdetexte"/>
        <w:tabs>
          <w:tab w:val="clear" w:pos="708"/>
        </w:tabs>
        <w:spacing w:line="360" w:lineRule="auto"/>
        <w:rPr>
          <w:rFonts w:ascii="Arial" w:hAnsi="Arial"/>
          <w:sz w:val="16"/>
          <w:szCs w:val="16"/>
        </w:rPr>
      </w:pPr>
    </w:p>
    <w:p w:rsidR="00790EAD" w:rsidRPr="00333B0B" w:rsidRDefault="006110BD" w:rsidP="00790EAD">
      <w:pPr>
        <w:pStyle w:val="Corpsdetexte"/>
        <w:numPr>
          <w:ilvl w:val="0"/>
          <w:numId w:val="6"/>
        </w:numPr>
        <w:tabs>
          <w:tab w:val="clear" w:pos="720"/>
          <w:tab w:val="num" w:pos="360"/>
        </w:tabs>
        <w:spacing w:line="360" w:lineRule="auto"/>
        <w:ind w:left="360"/>
        <w:rPr>
          <w:rFonts w:ascii="Arial" w:hAnsi="Arial"/>
          <w:szCs w:val="24"/>
        </w:rPr>
      </w:pPr>
      <w:r>
        <w:rPr>
          <w:rFonts w:ascii="Arial" w:hAnsi="Arial" w:cs="Arial"/>
          <w:szCs w:val="24"/>
        </w:rPr>
        <w:t xml:space="preserve">NEGAR </w:t>
      </w:r>
      <w:r>
        <w:rPr>
          <w:rFonts w:ascii="Arial" w:hAnsi="Arial" w:cs="Arial"/>
        </w:rPr>
        <w:t>la acción de tutela presentada por el señor Juan Gabriel Gálvez Arango frente a la Dirección de Sanidad Seccional Risaralda de la Policía Nacional por inexistencia de vulneración o amenaza a los derechos fundamentales invocados</w:t>
      </w:r>
      <w:r w:rsidR="00790EAD" w:rsidRPr="002B19F3">
        <w:rPr>
          <w:rFonts w:ascii="Arial" w:hAnsi="Arial" w:cs="Arial"/>
          <w:szCs w:val="24"/>
          <w:lang w:val="es-ES"/>
        </w:rPr>
        <w:t>.</w:t>
      </w:r>
    </w:p>
    <w:p w:rsidR="00333B0B" w:rsidRPr="002B19F3" w:rsidRDefault="00333B0B" w:rsidP="00333B0B">
      <w:pPr>
        <w:pStyle w:val="Corpsdetexte"/>
        <w:tabs>
          <w:tab w:val="clear" w:pos="708"/>
        </w:tabs>
        <w:spacing w:line="360" w:lineRule="auto"/>
        <w:ind w:left="360"/>
        <w:rPr>
          <w:rFonts w:ascii="Arial" w:hAnsi="Arial"/>
          <w:szCs w:val="24"/>
        </w:rPr>
      </w:pPr>
    </w:p>
    <w:p w:rsidR="00637B9C" w:rsidRPr="006F0AEF" w:rsidRDefault="006110BD" w:rsidP="006110BD">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constitucional promovido contra </w:t>
      </w:r>
      <w:r>
        <w:rPr>
          <w:rFonts w:ascii="Arial" w:hAnsi="Arial" w:cs="Arial"/>
        </w:rPr>
        <w:t>la Dirección General de Sanidad de la Policía Nacional y la Previsora SA Compañía de Seguros por carecer de legitimación</w:t>
      </w:r>
      <w:r w:rsidR="00637B9C">
        <w:rPr>
          <w:rFonts w:ascii="Arial" w:hAnsi="Arial" w:cs="Arial"/>
          <w:lang w:val="es-ES" w:eastAsia="es-CO"/>
        </w:rPr>
        <w:t>.</w:t>
      </w:r>
      <w:r w:rsidR="00637B9C" w:rsidRPr="006F0AEF">
        <w:rPr>
          <w:rFonts w:ascii="Arial" w:hAnsi="Arial" w:cs="Arial"/>
          <w:szCs w:val="24"/>
        </w:rPr>
        <w:t xml:space="preserve">  </w:t>
      </w:r>
    </w:p>
    <w:p w:rsidR="00637B9C" w:rsidRPr="002B19F3" w:rsidRDefault="00637B9C" w:rsidP="00637B9C">
      <w:pPr>
        <w:pStyle w:val="Paragraphedeliste"/>
        <w:spacing w:line="360" w:lineRule="auto"/>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Corpsdetexte"/>
        <w:tabs>
          <w:tab w:val="clear" w:pos="708"/>
        </w:tabs>
        <w:spacing w:line="360" w:lineRule="auto"/>
        <w:ind w:left="360"/>
        <w:rPr>
          <w:rFonts w:ascii="Arial" w:hAnsi="Arial" w:cs="Arial"/>
          <w:szCs w:val="24"/>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5F6F1F" w:rsidRDefault="007B2953" w:rsidP="002B19F3">
      <w:pPr>
        <w:pStyle w:val="Corpsdetexte"/>
        <w:tabs>
          <w:tab w:val="clear" w:pos="708"/>
        </w:tabs>
        <w:spacing w:line="360" w:lineRule="auto"/>
        <w:rPr>
          <w:rFonts w:ascii="Arial" w:hAnsi="Arial"/>
          <w:sz w:val="16"/>
          <w:szCs w:val="24"/>
        </w:rPr>
      </w:pPr>
    </w:p>
    <w:p w:rsidR="00126266" w:rsidRPr="00C7336D" w:rsidRDefault="00126266" w:rsidP="00654C5F">
      <w:pPr>
        <w:pStyle w:val="Corpsdetexte"/>
        <w:spacing w:line="360" w:lineRule="auto"/>
        <w:jc w:val="center"/>
        <w:rPr>
          <w:rFonts w:ascii="Arial" w:hAnsi="Arial"/>
          <w:smallCaps/>
          <w:szCs w:val="24"/>
          <w:lang w:val="en-GB"/>
        </w:rPr>
      </w:pPr>
      <w:proofErr w:type="spellStart"/>
      <w:r w:rsidRPr="00C7336D">
        <w:rPr>
          <w:rFonts w:ascii="Arial" w:hAnsi="Arial"/>
          <w:smallCaps/>
          <w:szCs w:val="24"/>
          <w:lang w:val="en-GB"/>
        </w:rPr>
        <w:t>Notifíquese</w:t>
      </w:r>
      <w:proofErr w:type="spellEnd"/>
      <w:r w:rsidRPr="00C7336D">
        <w:rPr>
          <w:rFonts w:ascii="Arial" w:hAnsi="Arial"/>
          <w:smallCaps/>
          <w:szCs w:val="24"/>
          <w:lang w:val="en-GB"/>
        </w:rPr>
        <w:t>,</w:t>
      </w:r>
    </w:p>
    <w:p w:rsidR="001E0127" w:rsidRPr="00C7336D" w:rsidRDefault="001E0127" w:rsidP="00C641FE">
      <w:pPr>
        <w:pStyle w:val="Corpsdetexte"/>
        <w:spacing w:line="360" w:lineRule="auto"/>
        <w:jc w:val="center"/>
        <w:rPr>
          <w:rFonts w:ascii="Arial" w:hAnsi="Arial"/>
          <w:sz w:val="22"/>
          <w:lang w:val="en-GB"/>
        </w:rPr>
      </w:pPr>
    </w:p>
    <w:p w:rsidR="005F6F1F" w:rsidRPr="00C7336D" w:rsidRDefault="005F6F1F" w:rsidP="00C641FE">
      <w:pPr>
        <w:pStyle w:val="Corpsdetexte"/>
        <w:spacing w:line="360" w:lineRule="auto"/>
        <w:jc w:val="center"/>
        <w:rPr>
          <w:rFonts w:ascii="Arial" w:hAnsi="Arial"/>
          <w:sz w:val="8"/>
          <w:lang w:val="en-GB"/>
        </w:rPr>
      </w:pPr>
    </w:p>
    <w:p w:rsidR="00716B1E" w:rsidRPr="00C7336D" w:rsidRDefault="00716B1E" w:rsidP="00C641FE">
      <w:pPr>
        <w:pStyle w:val="Corpsdetexte"/>
        <w:spacing w:line="360" w:lineRule="auto"/>
        <w:jc w:val="center"/>
        <w:rPr>
          <w:rFonts w:ascii="Arial" w:hAnsi="Arial"/>
          <w:sz w:val="22"/>
          <w:lang w:val="en-GB"/>
        </w:rPr>
      </w:pPr>
    </w:p>
    <w:p w:rsidR="008634F9" w:rsidRPr="00C7336D"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C7336D">
        <w:rPr>
          <w:rFonts w:ascii="Arial" w:hAnsi="Arial" w:cs="Arial"/>
          <w:spacing w:val="-3"/>
          <w:w w:val="150"/>
          <w:sz w:val="28"/>
          <w:lang w:val="en-GB"/>
        </w:rPr>
        <w:t>D</w:t>
      </w:r>
      <w:r w:rsidRPr="00C7336D">
        <w:rPr>
          <w:rFonts w:ascii="Arial" w:hAnsi="Arial" w:cs="Arial"/>
          <w:spacing w:val="-3"/>
          <w:w w:val="150"/>
          <w:sz w:val="18"/>
          <w:szCs w:val="16"/>
          <w:lang w:val="en-GB"/>
        </w:rPr>
        <w:t>UBERNEY</w:t>
      </w:r>
      <w:proofErr w:type="spellEnd"/>
      <w:r w:rsidRPr="00C7336D">
        <w:rPr>
          <w:rFonts w:ascii="Arial" w:hAnsi="Arial" w:cs="Arial"/>
          <w:spacing w:val="-3"/>
          <w:w w:val="150"/>
          <w:sz w:val="18"/>
          <w:szCs w:val="16"/>
          <w:lang w:val="en-GB"/>
        </w:rPr>
        <w:t xml:space="preserve"> </w:t>
      </w:r>
      <w:bookmarkStart w:id="0" w:name="_GoBack"/>
      <w:bookmarkEnd w:id="0"/>
      <w:proofErr w:type="spellStart"/>
      <w:r w:rsidRPr="00C7336D">
        <w:rPr>
          <w:rFonts w:ascii="Arial" w:hAnsi="Arial" w:cs="Arial"/>
          <w:spacing w:val="-3"/>
          <w:w w:val="150"/>
          <w:sz w:val="28"/>
          <w:lang w:val="en-GB"/>
        </w:rPr>
        <w:t>G</w:t>
      </w:r>
      <w:r w:rsidRPr="00C7336D">
        <w:rPr>
          <w:rFonts w:ascii="Arial" w:hAnsi="Arial" w:cs="Arial"/>
          <w:spacing w:val="-3"/>
          <w:w w:val="150"/>
          <w:sz w:val="18"/>
          <w:szCs w:val="16"/>
          <w:lang w:val="en-GB"/>
        </w:rPr>
        <w:t>RISALES</w:t>
      </w:r>
      <w:proofErr w:type="spellEnd"/>
      <w:r w:rsidRPr="00C7336D">
        <w:rPr>
          <w:rFonts w:ascii="Arial" w:hAnsi="Arial" w:cs="Arial"/>
          <w:spacing w:val="-3"/>
          <w:w w:val="150"/>
          <w:sz w:val="18"/>
          <w:szCs w:val="16"/>
          <w:lang w:val="en-GB"/>
        </w:rPr>
        <w:t xml:space="preserve"> </w:t>
      </w:r>
      <w:r w:rsidRPr="00C7336D">
        <w:rPr>
          <w:rFonts w:ascii="Arial" w:hAnsi="Arial" w:cs="Arial"/>
          <w:spacing w:val="-3"/>
          <w:w w:val="150"/>
          <w:sz w:val="28"/>
          <w:lang w:val="en-GB"/>
        </w:rPr>
        <w:t>H</w:t>
      </w:r>
      <w:r w:rsidRPr="00C7336D">
        <w:rPr>
          <w:rFonts w:ascii="Arial" w:hAnsi="Arial" w:cs="Arial"/>
          <w:spacing w:val="-3"/>
          <w:w w:val="150"/>
          <w:sz w:val="18"/>
          <w:szCs w:val="16"/>
          <w:lang w:val="en-GB"/>
        </w:rPr>
        <w:t>ERRERA</w:t>
      </w:r>
    </w:p>
    <w:p w:rsidR="008634F9" w:rsidRPr="00C7336D"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C7336D">
        <w:rPr>
          <w:rFonts w:ascii="Arial" w:hAnsi="Arial" w:cs="Arial"/>
          <w:spacing w:val="-3"/>
          <w:w w:val="150"/>
          <w:sz w:val="28"/>
          <w:lang w:val="en-GB"/>
        </w:rPr>
        <w:t>M</w:t>
      </w:r>
      <w:r w:rsidRPr="00C7336D">
        <w:rPr>
          <w:rFonts w:ascii="Arial" w:hAnsi="Arial" w:cs="Arial"/>
          <w:spacing w:val="-3"/>
          <w:w w:val="150"/>
          <w:lang w:val="en-GB"/>
        </w:rPr>
        <w:t xml:space="preserve"> </w:t>
      </w:r>
      <w:r w:rsidRPr="00C7336D">
        <w:rPr>
          <w:rFonts w:ascii="Arial" w:hAnsi="Arial" w:cs="Arial"/>
          <w:spacing w:val="-3"/>
          <w:w w:val="150"/>
          <w:sz w:val="18"/>
          <w:szCs w:val="20"/>
          <w:lang w:val="en-GB"/>
        </w:rPr>
        <w:t>A G I S T R A D O</w:t>
      </w:r>
    </w:p>
    <w:p w:rsidR="007B0F3F" w:rsidRPr="00C7336D"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5F6F1F" w:rsidRPr="00C7336D"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43492B" w:rsidRPr="00C7336D"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A83C8C" w:rsidRPr="00C7336D"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C7336D">
        <w:rPr>
          <w:rFonts w:ascii="Arial" w:hAnsi="Arial"/>
          <w:w w:val="150"/>
          <w:sz w:val="28"/>
          <w:szCs w:val="18"/>
          <w:lang w:val="en-GB"/>
        </w:rPr>
        <w:t>E</w:t>
      </w:r>
      <w:r w:rsidRPr="00C7336D">
        <w:rPr>
          <w:rFonts w:ascii="Arial" w:hAnsi="Arial"/>
          <w:w w:val="150"/>
          <w:sz w:val="18"/>
          <w:szCs w:val="18"/>
          <w:lang w:val="en-GB"/>
        </w:rPr>
        <w:t>DDER</w:t>
      </w:r>
      <w:proofErr w:type="spellEnd"/>
      <w:r w:rsidRPr="00C7336D">
        <w:rPr>
          <w:rFonts w:ascii="Arial" w:hAnsi="Arial"/>
          <w:w w:val="150"/>
          <w:sz w:val="18"/>
          <w:lang w:val="en-GB"/>
        </w:rPr>
        <w:t xml:space="preserve"> </w:t>
      </w:r>
      <w:r w:rsidRPr="00C7336D">
        <w:rPr>
          <w:rFonts w:ascii="Arial" w:hAnsi="Arial"/>
          <w:w w:val="150"/>
          <w:sz w:val="28"/>
          <w:lang w:val="en-GB"/>
        </w:rPr>
        <w:t>J</w:t>
      </w:r>
      <w:r w:rsidRPr="00C7336D">
        <w:rPr>
          <w:rFonts w:ascii="Arial" w:hAnsi="Arial"/>
          <w:w w:val="150"/>
          <w:sz w:val="18"/>
          <w:szCs w:val="18"/>
          <w:lang w:val="en-GB"/>
        </w:rPr>
        <w:t xml:space="preserve">IMMY </w:t>
      </w:r>
      <w:r w:rsidRPr="00C7336D">
        <w:rPr>
          <w:rFonts w:ascii="Arial" w:hAnsi="Arial"/>
          <w:w w:val="150"/>
          <w:sz w:val="28"/>
          <w:lang w:val="en-GB"/>
        </w:rPr>
        <w:t>S</w:t>
      </w:r>
      <w:r w:rsidRPr="00C7336D">
        <w:rPr>
          <w:rFonts w:ascii="Arial" w:hAnsi="Arial"/>
          <w:w w:val="150"/>
          <w:sz w:val="18"/>
          <w:szCs w:val="18"/>
          <w:lang w:val="en-GB"/>
        </w:rPr>
        <w:t xml:space="preserve">ÁNCHEZ </w:t>
      </w:r>
      <w:r w:rsidRPr="00C7336D">
        <w:rPr>
          <w:rFonts w:ascii="Arial" w:hAnsi="Arial"/>
          <w:w w:val="150"/>
          <w:sz w:val="28"/>
          <w:szCs w:val="18"/>
          <w:lang w:val="en-GB"/>
        </w:rPr>
        <w:t>C.</w:t>
      </w:r>
      <w:proofErr w:type="gramEnd"/>
      <w:r w:rsidRPr="00C7336D">
        <w:rPr>
          <w:rFonts w:ascii="Arial" w:hAnsi="Arial"/>
          <w:w w:val="150"/>
          <w:sz w:val="28"/>
          <w:szCs w:val="18"/>
          <w:lang w:val="en-GB"/>
        </w:rPr>
        <w:tab/>
      </w:r>
      <w:r w:rsidRPr="00C7336D">
        <w:rPr>
          <w:rFonts w:ascii="Arial" w:hAnsi="Arial"/>
          <w:w w:val="150"/>
          <w:sz w:val="28"/>
          <w:szCs w:val="18"/>
          <w:lang w:val="en-GB"/>
        </w:rPr>
        <w:tab/>
      </w:r>
      <w:r w:rsidRPr="00C7336D">
        <w:rPr>
          <w:rFonts w:ascii="Arial" w:hAnsi="Arial" w:cs="Arial"/>
          <w:spacing w:val="-3"/>
          <w:w w:val="150"/>
          <w:sz w:val="28"/>
          <w:szCs w:val="18"/>
          <w:lang w:val="en-GB"/>
        </w:rPr>
        <w:t>J</w:t>
      </w:r>
      <w:r w:rsidRPr="00C7336D">
        <w:rPr>
          <w:rFonts w:ascii="Arial" w:hAnsi="Arial" w:cs="Arial"/>
          <w:spacing w:val="-3"/>
          <w:w w:val="150"/>
          <w:sz w:val="18"/>
          <w:szCs w:val="18"/>
          <w:lang w:val="en-GB"/>
        </w:rPr>
        <w:t xml:space="preserve">AIME </w:t>
      </w:r>
      <w:r w:rsidRPr="00C7336D">
        <w:rPr>
          <w:rFonts w:ascii="Arial" w:hAnsi="Arial" w:cs="Arial"/>
          <w:spacing w:val="-3"/>
          <w:w w:val="150"/>
          <w:sz w:val="28"/>
          <w:szCs w:val="18"/>
          <w:lang w:val="en-GB"/>
        </w:rPr>
        <w:t>A</w:t>
      </w:r>
      <w:r w:rsidRPr="00C7336D">
        <w:rPr>
          <w:rFonts w:ascii="Arial" w:hAnsi="Arial"/>
          <w:w w:val="150"/>
          <w:sz w:val="18"/>
          <w:szCs w:val="18"/>
          <w:lang w:val="en-GB"/>
        </w:rPr>
        <w:t xml:space="preserve">LBERTO </w:t>
      </w:r>
      <w:proofErr w:type="spellStart"/>
      <w:r w:rsidRPr="00C7336D">
        <w:rPr>
          <w:rFonts w:ascii="Arial" w:hAnsi="Arial" w:cs="Arial"/>
          <w:spacing w:val="-3"/>
          <w:w w:val="150"/>
          <w:sz w:val="28"/>
          <w:szCs w:val="18"/>
          <w:lang w:val="en-GB"/>
        </w:rPr>
        <w:t>S</w:t>
      </w:r>
      <w:r w:rsidRPr="00C7336D">
        <w:rPr>
          <w:rFonts w:ascii="Arial" w:hAnsi="Arial" w:cs="Arial"/>
          <w:spacing w:val="-3"/>
          <w:w w:val="150"/>
          <w:sz w:val="18"/>
          <w:szCs w:val="16"/>
          <w:lang w:val="en-GB"/>
        </w:rPr>
        <w:t>ARAZA</w:t>
      </w:r>
      <w:proofErr w:type="spellEnd"/>
      <w:r w:rsidRPr="00C7336D">
        <w:rPr>
          <w:rFonts w:ascii="Arial" w:hAnsi="Arial" w:cs="Arial"/>
          <w:spacing w:val="-3"/>
          <w:w w:val="150"/>
          <w:sz w:val="18"/>
          <w:szCs w:val="16"/>
          <w:lang w:val="en-GB"/>
        </w:rPr>
        <w:t xml:space="preserve"> </w:t>
      </w:r>
      <w:r w:rsidRPr="00C7336D">
        <w:rPr>
          <w:rFonts w:ascii="Arial" w:hAnsi="Arial" w:cs="Arial"/>
          <w:spacing w:val="-3"/>
          <w:w w:val="150"/>
          <w:sz w:val="28"/>
          <w:szCs w:val="18"/>
          <w:lang w:val="en-GB"/>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C7336D">
        <w:rPr>
          <w:rFonts w:ascii="Arial" w:hAnsi="Arial" w:cs="Arial"/>
          <w:w w:val="150"/>
          <w:sz w:val="2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Corpsdetexte"/>
        <w:spacing w:line="360" w:lineRule="auto"/>
        <w:jc w:val="right"/>
        <w:rPr>
          <w:rFonts w:ascii="Arial" w:hAnsi="Arial"/>
          <w:w w:val="150"/>
          <w:sz w:val="10"/>
          <w:szCs w:val="10"/>
          <w:lang w:val="en-US"/>
        </w:rPr>
      </w:pPr>
    </w:p>
    <w:p w:rsidR="00575A7C" w:rsidRDefault="00575A7C" w:rsidP="00151241">
      <w:pPr>
        <w:pStyle w:val="Corpsdetex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Corpsdetexte"/>
        <w:spacing w:line="360" w:lineRule="auto"/>
        <w:jc w:val="right"/>
        <w:rPr>
          <w:rFonts w:ascii="Arial" w:hAnsi="Arial"/>
          <w:w w:val="150"/>
          <w:sz w:val="16"/>
          <w:lang w:val="en-US"/>
        </w:rPr>
      </w:pPr>
    </w:p>
    <w:p w:rsidR="00366151" w:rsidRDefault="00366151" w:rsidP="00151241">
      <w:pPr>
        <w:pStyle w:val="Corpsdetex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6F337A">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87" w:rsidRDefault="00855887" w:rsidP="0099045D">
      <w:r>
        <w:separator/>
      </w:r>
    </w:p>
  </w:endnote>
  <w:endnote w:type="continuationSeparator" w:id="0">
    <w:p w:rsidR="00855887" w:rsidRDefault="0085588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Default="0069302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depage"/>
      <w:spacing w:line="360" w:lineRule="auto"/>
      <w:jc w:val="right"/>
      <w:rPr>
        <w:rFonts w:ascii="Arial" w:hAnsi="Arial" w:cs="Arial"/>
        <w:spacing w:val="20"/>
        <w:w w:val="200"/>
        <w:sz w:val="14"/>
        <w:szCs w:val="10"/>
        <w:lang w:val="es-CO"/>
      </w:rPr>
    </w:pPr>
  </w:p>
  <w:p w:rsidR="00693028" w:rsidRPr="003E18D8" w:rsidRDefault="0069302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87" w:rsidRDefault="00855887" w:rsidP="0099045D">
      <w:r>
        <w:separator/>
      </w:r>
    </w:p>
  </w:footnote>
  <w:footnote w:type="continuationSeparator" w:id="0">
    <w:p w:rsidR="00855887" w:rsidRDefault="00855887" w:rsidP="0099045D">
      <w:r>
        <w:continuationSeparator/>
      </w:r>
    </w:p>
  </w:footnote>
  <w:footnote w:id="1">
    <w:p w:rsidR="00693028" w:rsidRPr="00855D9F" w:rsidRDefault="00693028" w:rsidP="007B2953">
      <w:pPr>
        <w:pStyle w:val="Notedebasdepage"/>
        <w:jc w:val="both"/>
        <w:rPr>
          <w:rFonts w:asciiTheme="minorHAnsi" w:hAnsiTheme="minorHAnsi"/>
        </w:rPr>
      </w:pPr>
      <w:r w:rsidRPr="00855D9F">
        <w:rPr>
          <w:rStyle w:val="Appelnotedebasdep"/>
          <w:rFonts w:asciiTheme="minorHAnsi" w:hAnsiTheme="minorHAnsi" w:cs="Calibri"/>
        </w:rPr>
        <w:footnoteRef/>
      </w:r>
      <w:r w:rsidRPr="00855D9F">
        <w:rPr>
          <w:rFonts w:asciiTheme="minorHAnsi" w:hAnsiTheme="minorHAnsi" w:cs="Calibri"/>
        </w:rPr>
        <w:t xml:space="preserve"> </w:t>
      </w:r>
      <w:r>
        <w:rPr>
          <w:rFonts w:asciiTheme="minorHAnsi" w:hAnsiTheme="minorHAnsi" w:cs="Calibri"/>
          <w:lang w:val="es-CO"/>
        </w:rPr>
        <w:t>CC</w:t>
      </w:r>
      <w:r w:rsidRPr="00855D9F">
        <w:rPr>
          <w:rFonts w:asciiTheme="minorHAnsi" w:hAnsiTheme="minorHAnsi" w:cs="Calibri"/>
          <w:lang w:val="es-CO"/>
        </w:rPr>
        <w:t>. Sentencia T-324 de 1993.</w:t>
      </w:r>
    </w:p>
  </w:footnote>
  <w:footnote w:id="2">
    <w:p w:rsidR="00693028" w:rsidRPr="00855D9F" w:rsidRDefault="00693028" w:rsidP="000A518B">
      <w:pPr>
        <w:pStyle w:val="Notedebasdepage"/>
        <w:rPr>
          <w:rFonts w:asciiTheme="minorHAnsi" w:hAnsiTheme="minorHAnsi"/>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Sentencia T-</w:t>
      </w:r>
      <w:r w:rsidR="00AF1FBB">
        <w:rPr>
          <w:rFonts w:asciiTheme="minorHAnsi" w:hAnsiTheme="minorHAnsi" w:cs="Courier New"/>
        </w:rPr>
        <w:t>328</w:t>
      </w:r>
      <w:r w:rsidRPr="00855D9F">
        <w:rPr>
          <w:rFonts w:asciiTheme="minorHAnsi" w:hAnsiTheme="minorHAnsi" w:cs="Courier New"/>
        </w:rPr>
        <w:t xml:space="preserve"> de 2010</w:t>
      </w:r>
      <w:r w:rsidR="00AF1FBB">
        <w:rPr>
          <w:rFonts w:asciiTheme="minorHAnsi" w:hAnsiTheme="minorHAnsi" w:cs="Courier New"/>
        </w:rPr>
        <w:t xml:space="preserve">, reiterada en la sentencia </w:t>
      </w:r>
      <w:hyperlink r:id="rId1" w:history="1">
        <w:r w:rsidR="00AF1FBB" w:rsidRPr="00AF1FBB">
          <w:rPr>
            <w:rStyle w:val="Lienhypertexte"/>
            <w:rFonts w:asciiTheme="minorHAnsi" w:hAnsiTheme="minorHAnsi" w:cs="Courier New"/>
            <w:color w:val="auto"/>
            <w:u w:val="none"/>
          </w:rPr>
          <w:t> </w:t>
        </w:r>
        <w:r w:rsidR="00AF1FBB">
          <w:rPr>
            <w:rStyle w:val="Lienhypertexte"/>
            <w:rFonts w:asciiTheme="minorHAnsi" w:hAnsiTheme="minorHAnsi" w:cs="Courier New"/>
            <w:color w:val="auto"/>
            <w:u w:val="none"/>
          </w:rPr>
          <w:t>SU-499 de 20</w:t>
        </w:r>
        <w:r w:rsidR="00AF1FBB" w:rsidRPr="00AF1FBB">
          <w:rPr>
            <w:rStyle w:val="Lienhypertexte"/>
            <w:rFonts w:asciiTheme="minorHAnsi" w:hAnsiTheme="minorHAnsi" w:cs="Courier New"/>
            <w:color w:val="auto"/>
            <w:u w:val="none"/>
          </w:rPr>
          <w:t>16</w:t>
        </w:r>
      </w:hyperlink>
      <w:r w:rsidRPr="00855D9F">
        <w:rPr>
          <w:rFonts w:asciiTheme="minorHAnsi" w:hAnsiTheme="minorHAnsi" w:cs="Courier New"/>
        </w:rPr>
        <w:t xml:space="preserve">. </w:t>
      </w:r>
    </w:p>
  </w:footnote>
  <w:footnote w:id="3">
    <w:p w:rsidR="00693028" w:rsidRPr="00855D9F" w:rsidRDefault="00693028" w:rsidP="00BB7B9F">
      <w:pPr>
        <w:pStyle w:val="Notedebasdepage"/>
        <w:ind w:left="142" w:hanging="142"/>
        <w:jc w:val="both"/>
        <w:rPr>
          <w:rFonts w:asciiTheme="minorHAnsi" w:hAnsiTheme="minorHAnsi" w:cs="Arial"/>
        </w:rPr>
      </w:pPr>
      <w:r w:rsidRPr="00855D9F">
        <w:rPr>
          <w:rStyle w:val="Appelnotedebasdep"/>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Sentencia</w:t>
      </w:r>
      <w:r w:rsidR="00AF1FBB">
        <w:rPr>
          <w:rFonts w:asciiTheme="minorHAnsi" w:hAnsiTheme="minorHAnsi" w:cs="Arial"/>
        </w:rPr>
        <w:t xml:space="preserve"> </w:t>
      </w:r>
      <w:r w:rsidR="00AF1FBB" w:rsidRPr="00AF1FBB">
        <w:rPr>
          <w:rFonts w:asciiTheme="minorHAnsi" w:hAnsiTheme="minorHAnsi" w:cs="Arial"/>
          <w:bCs/>
        </w:rPr>
        <w:t>T-142 de 2016</w:t>
      </w:r>
      <w:r w:rsidR="00AF1FBB">
        <w:rPr>
          <w:rFonts w:asciiTheme="minorHAnsi" w:hAnsiTheme="minorHAnsi" w:cs="Arial"/>
          <w:bCs/>
        </w:rPr>
        <w:t xml:space="preserve">, consúltese también la sentencia </w:t>
      </w:r>
      <w:r w:rsidR="00AF1FBB" w:rsidRPr="00855D9F">
        <w:rPr>
          <w:rFonts w:asciiTheme="minorHAnsi" w:hAnsiTheme="minorHAnsi" w:cs="Arial"/>
        </w:rPr>
        <w:t>T-760 del 2008</w:t>
      </w:r>
      <w:r w:rsidRPr="00855D9F">
        <w:rPr>
          <w:rFonts w:asciiTheme="minorHAnsi" w:hAnsiTheme="minorHAnsi" w:cs="Arial"/>
        </w:rPr>
        <w:t xml:space="preserve">. </w:t>
      </w:r>
    </w:p>
  </w:footnote>
  <w:footnote w:id="4">
    <w:p w:rsidR="00693028" w:rsidRPr="00B72A79" w:rsidRDefault="00693028">
      <w:pPr>
        <w:pStyle w:val="Notedebasdepage"/>
        <w:rPr>
          <w:rFonts w:ascii="Calibri" w:hAnsi="Calibri"/>
          <w:lang w:val="es-CO"/>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lang w:val="es-MX"/>
        </w:rPr>
        <w:t>CC</w:t>
      </w:r>
      <w:r w:rsidRPr="00855D9F">
        <w:rPr>
          <w:rFonts w:asciiTheme="minorHAnsi" w:hAnsiTheme="minorHAnsi"/>
          <w:lang w:val="es-MX"/>
        </w:rPr>
        <w:t xml:space="preserve">. </w:t>
      </w:r>
      <w:r w:rsidRPr="00B72A79">
        <w:rPr>
          <w:rFonts w:ascii="Calibri" w:hAnsi="Calibri"/>
          <w:lang w:val="es-MX"/>
        </w:rPr>
        <w:t>Sentencia T-644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6414F7" w:rsidRDefault="006930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7336D">
      <w:rPr>
        <w:rFonts w:ascii="Calibri" w:hAnsi="Calibri" w:cs="Calibri"/>
        <w:i/>
        <w:noProof/>
        <w:sz w:val="20"/>
      </w:rPr>
      <w:t>6</w:t>
    </w:r>
    <w:r w:rsidRPr="006414F7">
      <w:rPr>
        <w:rFonts w:ascii="Calibri" w:hAnsi="Calibri" w:cs="Calibri"/>
        <w:i/>
        <w:sz w:val="20"/>
      </w:rPr>
      <w:fldChar w:fldCharType="end"/>
    </w:r>
  </w:p>
  <w:p w:rsidR="00693028" w:rsidRPr="006414F7" w:rsidRDefault="006930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sidR="003E60FB">
      <w:rPr>
        <w:rFonts w:ascii="Calibri" w:hAnsi="Calibri" w:cs="Calibri"/>
        <w:i/>
        <w:sz w:val="20"/>
        <w:szCs w:val="22"/>
      </w:rPr>
      <w:t>01111</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3CDA"/>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D73"/>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4DB"/>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0B"/>
    <w:rsid w:val="00334539"/>
    <w:rsid w:val="00334A5D"/>
    <w:rsid w:val="00334C3A"/>
    <w:rsid w:val="00335FCF"/>
    <w:rsid w:val="00336AC5"/>
    <w:rsid w:val="00337AED"/>
    <w:rsid w:val="00337C54"/>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67D2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5C3"/>
    <w:rsid w:val="003E15EB"/>
    <w:rsid w:val="003E18D8"/>
    <w:rsid w:val="003E2887"/>
    <w:rsid w:val="003E288D"/>
    <w:rsid w:val="003E35E2"/>
    <w:rsid w:val="003E3CD6"/>
    <w:rsid w:val="003E44F9"/>
    <w:rsid w:val="003E4897"/>
    <w:rsid w:val="003E5253"/>
    <w:rsid w:val="003E5CB6"/>
    <w:rsid w:val="003E60FB"/>
    <w:rsid w:val="003E719B"/>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4DE"/>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3A61"/>
    <w:rsid w:val="00534064"/>
    <w:rsid w:val="005340A5"/>
    <w:rsid w:val="00534269"/>
    <w:rsid w:val="005342A8"/>
    <w:rsid w:val="00534744"/>
    <w:rsid w:val="005358CE"/>
    <w:rsid w:val="005363AE"/>
    <w:rsid w:val="00536E5D"/>
    <w:rsid w:val="005403A1"/>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0BD"/>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780"/>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743"/>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887"/>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97C2A"/>
    <w:rsid w:val="008A0B01"/>
    <w:rsid w:val="008A0C58"/>
    <w:rsid w:val="008A119F"/>
    <w:rsid w:val="008A3363"/>
    <w:rsid w:val="008A4F3D"/>
    <w:rsid w:val="008A59F2"/>
    <w:rsid w:val="008A616E"/>
    <w:rsid w:val="008A69A5"/>
    <w:rsid w:val="008A7068"/>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6868"/>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327C"/>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0DB"/>
    <w:rsid w:val="00B8613F"/>
    <w:rsid w:val="00B87979"/>
    <w:rsid w:val="00B87F26"/>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36D"/>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67C"/>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52E"/>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4839"/>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2B9"/>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79C"/>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7E2A-1B9A-47E0-B78D-70E1FB9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2071</Words>
  <Characters>11393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2016-12-13T19:12:00Z</cp:lastPrinted>
  <dcterms:created xsi:type="dcterms:W3CDTF">2016-12-13T14:37:00Z</dcterms:created>
  <dcterms:modified xsi:type="dcterms:W3CDTF">2017-03-17T10:44:00Z</dcterms:modified>
</cp:coreProperties>
</file>