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51" w:rsidRDefault="002F0A51" w:rsidP="002403C8">
      <w:pPr>
        <w:pStyle w:val="Sansinterligne"/>
        <w:tabs>
          <w:tab w:val="left" w:pos="3579"/>
        </w:tabs>
        <w:spacing w:line="360" w:lineRule="auto"/>
        <w:jc w:val="center"/>
        <w:rPr>
          <w:rFonts w:ascii="Arial" w:hAnsi="Arial" w:cs="Arial"/>
          <w:w w:val="140"/>
          <w:sz w:val="14"/>
        </w:rPr>
      </w:pPr>
    </w:p>
    <w:p w:rsidR="002F0A51" w:rsidRPr="002F0A51" w:rsidRDefault="002F0A51" w:rsidP="002F0A5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2F0A5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F0A51">
        <w:rPr>
          <w:rFonts w:ascii="Calibri" w:eastAsia="Calibri" w:hAnsi="Calibri" w:cs="Calibri"/>
          <w:color w:val="222222"/>
          <w:sz w:val="18"/>
          <w:szCs w:val="18"/>
          <w:lang w:val="es-CO" w:eastAsia="fr-FR"/>
        </w:rPr>
        <w:t> </w:t>
      </w:r>
    </w:p>
    <w:p w:rsidR="002F0A51" w:rsidRPr="002F0A51" w:rsidRDefault="002F0A51" w:rsidP="002F0A51">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2F0A51">
        <w:rPr>
          <w:rFonts w:ascii="Calibri" w:hAnsi="Calibri" w:cs="Calibri"/>
          <w:color w:val="222222"/>
          <w:sz w:val="18"/>
          <w:szCs w:val="18"/>
          <w:lang w:val="es-CO" w:eastAsia="fr-FR"/>
        </w:rPr>
        <w:t>Providencia:</w:t>
      </w:r>
      <w:r w:rsidRPr="002F0A51">
        <w:rPr>
          <w:rFonts w:ascii="Calibri" w:hAnsi="Calibri" w:cs="Calibri"/>
          <w:color w:val="222222"/>
          <w:sz w:val="18"/>
          <w:szCs w:val="18"/>
          <w:lang w:val="es-CO" w:eastAsia="fr-FR"/>
        </w:rPr>
        <w:tab/>
        <w:t>SENTENCIA DE TUTELA –1ª Instancia – 15 de diciembre de 2016</w:t>
      </w:r>
    </w:p>
    <w:p w:rsidR="002F0A51" w:rsidRPr="002F0A51" w:rsidRDefault="002F0A51" w:rsidP="002F0A51">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2F0A51">
        <w:rPr>
          <w:rFonts w:ascii="Calibri" w:eastAsia="Calibri" w:hAnsi="Calibri" w:cs="Calibri"/>
          <w:color w:val="222222"/>
          <w:sz w:val="18"/>
          <w:szCs w:val="18"/>
          <w:lang w:val="es-CO" w:eastAsia="fr-FR"/>
        </w:rPr>
        <w:t>Radicación Nro. :</w:t>
      </w:r>
      <w:r w:rsidRPr="002F0A51">
        <w:rPr>
          <w:rFonts w:ascii="Calibri" w:eastAsia="Calibri" w:hAnsi="Calibri" w:cs="Calibri"/>
          <w:color w:val="222222"/>
          <w:sz w:val="18"/>
          <w:szCs w:val="18"/>
          <w:lang w:val="es-CO" w:eastAsia="fr-FR"/>
        </w:rPr>
        <w:tab/>
        <w:t xml:space="preserve">  </w:t>
      </w:r>
      <w:r w:rsidRPr="002F0A51">
        <w:rPr>
          <w:rFonts w:ascii="Calibri" w:eastAsia="Calibri" w:hAnsi="Calibri" w:cs="Calibri"/>
          <w:color w:val="222222"/>
          <w:sz w:val="18"/>
          <w:szCs w:val="18"/>
          <w:lang w:val="es-CO" w:eastAsia="fr-FR"/>
        </w:rPr>
        <w:tab/>
      </w:r>
      <w:r w:rsidRPr="002F0A51">
        <w:rPr>
          <w:rFonts w:ascii="Calibri" w:eastAsia="Calibri" w:hAnsi="Calibri" w:cs="Calibri"/>
          <w:color w:val="222222"/>
          <w:sz w:val="18"/>
          <w:szCs w:val="18"/>
          <w:lang w:eastAsia="fr-FR"/>
        </w:rPr>
        <w:t>2016-01118-00</w:t>
      </w:r>
    </w:p>
    <w:p w:rsidR="002F0A51" w:rsidRPr="002F0A51" w:rsidRDefault="002F0A51" w:rsidP="002F0A51">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2F0A51">
        <w:rPr>
          <w:rFonts w:ascii="Calibri" w:eastAsia="Calibri" w:hAnsi="Calibri" w:cs="Calibri"/>
          <w:color w:val="222222"/>
          <w:sz w:val="18"/>
          <w:szCs w:val="18"/>
          <w:lang w:eastAsia="fr-FR"/>
        </w:rPr>
        <w:tab/>
      </w:r>
      <w:r w:rsidRPr="002F0A51">
        <w:rPr>
          <w:rFonts w:ascii="Calibri" w:eastAsia="Calibri" w:hAnsi="Calibri" w:cs="Calibri"/>
          <w:color w:val="222222"/>
          <w:sz w:val="18"/>
          <w:szCs w:val="18"/>
          <w:lang w:eastAsia="fr-FR"/>
        </w:rPr>
        <w:tab/>
        <w:t>2016-01119-00</w:t>
      </w:r>
    </w:p>
    <w:p w:rsidR="002F0A51" w:rsidRPr="002F0A51" w:rsidRDefault="002F0A51" w:rsidP="002F0A51">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2F0A51">
        <w:rPr>
          <w:rFonts w:ascii="Calibri" w:eastAsia="Calibri" w:hAnsi="Calibri" w:cs="Calibri"/>
          <w:color w:val="222222"/>
          <w:sz w:val="18"/>
          <w:szCs w:val="18"/>
          <w:lang w:val="es-CO" w:eastAsia="fr-FR"/>
        </w:rPr>
        <w:t>Accionante:</w:t>
      </w:r>
      <w:r w:rsidRPr="002F0A51">
        <w:rPr>
          <w:rFonts w:ascii="Calibri" w:eastAsia="Calibri" w:hAnsi="Calibri" w:cs="Calibri"/>
          <w:color w:val="222222"/>
          <w:sz w:val="18"/>
          <w:szCs w:val="18"/>
          <w:lang w:val="es-CO" w:eastAsia="fr-FR"/>
        </w:rPr>
        <w:tab/>
      </w:r>
      <w:r w:rsidRPr="002F0A51">
        <w:rPr>
          <w:rFonts w:ascii="Calibri" w:eastAsia="Calibri" w:hAnsi="Calibri" w:cs="Calibri"/>
          <w:color w:val="222222"/>
          <w:sz w:val="18"/>
          <w:szCs w:val="18"/>
          <w:lang w:val="es-CO" w:eastAsia="fr-FR"/>
        </w:rPr>
        <w:tab/>
      </w:r>
      <w:r w:rsidRPr="002F0A51">
        <w:rPr>
          <w:rFonts w:ascii="Calibri" w:eastAsia="Calibri" w:hAnsi="Calibri" w:cs="Calibri"/>
          <w:bCs/>
          <w:color w:val="222222"/>
          <w:sz w:val="18"/>
          <w:szCs w:val="18"/>
          <w:lang w:eastAsia="fr-FR"/>
        </w:rPr>
        <w:t>CRISTIÁN VÁSQUEZ ARIAS</w:t>
      </w:r>
    </w:p>
    <w:p w:rsidR="002F0A51" w:rsidRPr="002F0A51" w:rsidRDefault="002F0A51" w:rsidP="002F0A51">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2F0A51">
        <w:rPr>
          <w:rFonts w:ascii="Calibri" w:eastAsia="Calibri" w:hAnsi="Calibri" w:cs="Calibri"/>
          <w:bCs/>
          <w:color w:val="222222"/>
          <w:sz w:val="18"/>
          <w:szCs w:val="18"/>
          <w:lang w:val="es-ES_tradnl" w:eastAsia="fr-FR"/>
        </w:rPr>
        <w:t>A</w:t>
      </w:r>
      <w:proofErr w:type="spellStart"/>
      <w:r w:rsidRPr="002F0A51">
        <w:rPr>
          <w:rFonts w:ascii="Calibri" w:eastAsia="Calibri" w:hAnsi="Calibri" w:cs="Calibri"/>
          <w:color w:val="222222"/>
          <w:sz w:val="18"/>
          <w:szCs w:val="18"/>
          <w:lang w:val="es-CO" w:eastAsia="fr-FR"/>
        </w:rPr>
        <w:t>ccionados</w:t>
      </w:r>
      <w:proofErr w:type="spellEnd"/>
      <w:r w:rsidRPr="002F0A51">
        <w:rPr>
          <w:rFonts w:ascii="Calibri" w:eastAsia="Calibri" w:hAnsi="Calibri" w:cs="Calibri"/>
          <w:color w:val="222222"/>
          <w:sz w:val="18"/>
          <w:szCs w:val="18"/>
          <w:lang w:val="es-CO" w:eastAsia="fr-FR"/>
        </w:rPr>
        <w:t>:</w:t>
      </w:r>
      <w:r w:rsidRPr="002F0A51">
        <w:rPr>
          <w:rFonts w:ascii="Calibri" w:eastAsia="Calibri" w:hAnsi="Calibri" w:cs="Calibri"/>
          <w:color w:val="222222"/>
          <w:sz w:val="18"/>
          <w:szCs w:val="18"/>
          <w:lang w:val="es-CO" w:eastAsia="fr-FR"/>
        </w:rPr>
        <w:tab/>
        <w:t xml:space="preserve">      </w:t>
      </w:r>
      <w:r w:rsidRPr="002F0A51">
        <w:rPr>
          <w:rFonts w:ascii="Calibri" w:eastAsia="Calibri" w:hAnsi="Calibri" w:cs="Calibri"/>
          <w:color w:val="222222"/>
          <w:sz w:val="18"/>
          <w:szCs w:val="18"/>
          <w:lang w:val="es-CO" w:eastAsia="fr-FR"/>
        </w:rPr>
        <w:tab/>
        <w:t>JUZGADO TERCERO CIVIL DE PEREIRA</w:t>
      </w:r>
    </w:p>
    <w:p w:rsidR="002F0A51" w:rsidRPr="002F0A51" w:rsidRDefault="002F0A51" w:rsidP="002F0A51">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2F0A51">
        <w:rPr>
          <w:rFonts w:ascii="Calibri" w:eastAsia="Calibri" w:hAnsi="Calibri" w:cs="Calibri"/>
          <w:color w:val="222222"/>
          <w:sz w:val="18"/>
          <w:szCs w:val="18"/>
          <w:lang w:val="es-CO" w:eastAsia="fr-FR"/>
        </w:rPr>
        <w:t>Proceso:                </w:t>
      </w:r>
      <w:r w:rsidRPr="002F0A51">
        <w:rPr>
          <w:rFonts w:ascii="Calibri" w:eastAsia="Calibri" w:hAnsi="Calibri" w:cs="Calibri"/>
          <w:color w:val="222222"/>
          <w:sz w:val="18"/>
          <w:szCs w:val="18"/>
          <w:lang w:val="es-CO" w:eastAsia="fr-FR"/>
        </w:rPr>
        <w:tab/>
        <w:t xml:space="preserve">Acción de Tutela – Declara improcedente la acción </w:t>
      </w:r>
    </w:p>
    <w:p w:rsidR="002F0A51" w:rsidRPr="002F0A51" w:rsidRDefault="002F0A51" w:rsidP="002F0A51">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2F0A51">
        <w:rPr>
          <w:rFonts w:ascii="Calibri" w:eastAsia="Calibri" w:hAnsi="Calibri" w:cs="Calibri"/>
          <w:color w:val="222222"/>
          <w:sz w:val="18"/>
          <w:szCs w:val="18"/>
          <w:lang w:val="es-CO" w:eastAsia="fr-FR"/>
        </w:rPr>
        <w:t>Magistrado Ponente: </w:t>
      </w:r>
      <w:r w:rsidRPr="002F0A51">
        <w:rPr>
          <w:rFonts w:ascii="Calibri" w:eastAsia="Calibri" w:hAnsi="Calibri" w:cs="Calibri"/>
          <w:color w:val="222222"/>
          <w:sz w:val="18"/>
          <w:szCs w:val="18"/>
          <w:lang w:val="es-CO" w:eastAsia="fr-FR"/>
        </w:rPr>
        <w:tab/>
      </w:r>
      <w:proofErr w:type="spellStart"/>
      <w:r w:rsidRPr="002F0A51">
        <w:rPr>
          <w:rFonts w:ascii="Calibri" w:eastAsia="Calibri" w:hAnsi="Calibri" w:cs="Calibri"/>
          <w:bCs/>
          <w:iCs/>
          <w:color w:val="222222"/>
          <w:sz w:val="18"/>
          <w:szCs w:val="18"/>
          <w:lang w:eastAsia="fr-FR"/>
        </w:rPr>
        <w:t>DUBERNEY</w:t>
      </w:r>
      <w:proofErr w:type="spellEnd"/>
      <w:r w:rsidRPr="002F0A51">
        <w:rPr>
          <w:rFonts w:ascii="Calibri" w:eastAsia="Calibri" w:hAnsi="Calibri" w:cs="Calibri"/>
          <w:bCs/>
          <w:iCs/>
          <w:color w:val="222222"/>
          <w:sz w:val="18"/>
          <w:szCs w:val="18"/>
          <w:lang w:eastAsia="fr-FR"/>
        </w:rPr>
        <w:t xml:space="preserve"> GRISALES HERRERA</w:t>
      </w:r>
      <w:r w:rsidRPr="002F0A51">
        <w:rPr>
          <w:rFonts w:ascii="Calibri" w:eastAsia="Calibri" w:hAnsi="Calibri" w:cs="Calibri"/>
          <w:bCs/>
          <w:iCs/>
          <w:color w:val="222222"/>
          <w:sz w:val="18"/>
          <w:szCs w:val="18"/>
          <w:lang w:eastAsia="fr-FR"/>
        </w:rPr>
        <w:tab/>
      </w:r>
    </w:p>
    <w:p w:rsidR="002F0A51" w:rsidRPr="002F0A51" w:rsidRDefault="002F0A51" w:rsidP="002F0A51">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2F0A51" w:rsidRPr="002F0A51" w:rsidRDefault="002F0A51" w:rsidP="002F0A51">
      <w:pPr>
        <w:widowControl/>
        <w:shd w:val="clear" w:color="auto" w:fill="FFFFFF"/>
        <w:autoSpaceDE/>
        <w:autoSpaceDN/>
        <w:adjustRightInd/>
        <w:spacing w:after="200"/>
        <w:jc w:val="both"/>
        <w:rPr>
          <w:rFonts w:ascii="Calibri" w:eastAsia="Calibri" w:hAnsi="Calibri" w:cs="Calibri"/>
          <w:b/>
          <w:bCs/>
          <w:color w:val="222222"/>
          <w:sz w:val="18"/>
          <w:szCs w:val="18"/>
          <w:lang w:eastAsia="fr-FR"/>
        </w:rPr>
      </w:pPr>
      <w:r w:rsidRPr="002F0A51">
        <w:rPr>
          <w:rFonts w:ascii="Calibri" w:eastAsia="Calibri" w:hAnsi="Calibri" w:cs="Calibri"/>
          <w:b/>
          <w:bCs/>
          <w:color w:val="222222"/>
          <w:sz w:val="18"/>
          <w:szCs w:val="18"/>
          <w:lang w:val="es-CO" w:eastAsia="fr-FR"/>
        </w:rPr>
        <w:t>Temas:</w:t>
      </w:r>
      <w:r w:rsidRPr="002F0A51">
        <w:rPr>
          <w:rFonts w:ascii="Calibri" w:eastAsia="Calibri" w:hAnsi="Calibri" w:cs="Calibri"/>
          <w:b/>
          <w:bCs/>
          <w:color w:val="222222"/>
          <w:sz w:val="18"/>
          <w:szCs w:val="18"/>
          <w:lang w:val="es-CO" w:eastAsia="fr-FR"/>
        </w:rPr>
        <w:tab/>
      </w:r>
      <w:r w:rsidRPr="002F0A51">
        <w:rPr>
          <w:rFonts w:ascii="Calibri" w:eastAsia="Calibri" w:hAnsi="Calibri" w:cs="Calibri"/>
          <w:b/>
          <w:bCs/>
          <w:color w:val="222222"/>
          <w:sz w:val="18"/>
          <w:szCs w:val="18"/>
          <w:lang w:val="es-CO" w:eastAsia="fr-FR"/>
        </w:rPr>
        <w:tab/>
      </w:r>
      <w:r w:rsidRPr="002F0A51">
        <w:rPr>
          <w:rFonts w:ascii="Calibri" w:eastAsia="Calibri" w:hAnsi="Calibri" w:cs="Calibri"/>
          <w:b/>
          <w:bCs/>
          <w:color w:val="222222"/>
          <w:sz w:val="18"/>
          <w:szCs w:val="18"/>
          <w:lang w:val="es-CO" w:eastAsia="fr-FR"/>
        </w:rPr>
        <w:tab/>
        <w:t xml:space="preserve">DEBIDO PROCESO / TUTELA CONTRA PROVIDENCIA JUDICIAL / RECHAZO DE ACCIONES POPULARES / IMPROCEDENCIA / AUSENCIA DE INMEDIATEZ. </w:t>
      </w:r>
      <w:r w:rsidRPr="002F0A51">
        <w:rPr>
          <w:rFonts w:ascii="Calibri" w:eastAsia="Calibri" w:hAnsi="Calibri" w:cs="Calibri"/>
          <w:bCs/>
          <w:color w:val="222222"/>
          <w:sz w:val="18"/>
          <w:szCs w:val="18"/>
          <w:lang w:val="es-CO" w:eastAsia="fr-FR"/>
        </w:rPr>
        <w:t>“</w:t>
      </w:r>
      <w:r w:rsidRPr="002F0A51">
        <w:rPr>
          <w:rFonts w:ascii="Calibri" w:eastAsia="Calibri" w:hAnsi="Calibri" w:cs="Calibri"/>
          <w:bCs/>
          <w:color w:val="222222"/>
          <w:sz w:val="18"/>
          <w:szCs w:val="18"/>
          <w:lang w:val="es-ES_tradnl" w:eastAsia="fr-FR"/>
        </w:rPr>
        <w:t xml:space="preserve">El actor se duele porque el </w:t>
      </w:r>
      <w:r w:rsidRPr="002F0A51">
        <w:rPr>
          <w:rFonts w:ascii="Calibri" w:eastAsia="Calibri" w:hAnsi="Calibri" w:cs="Calibri"/>
          <w:bCs/>
          <w:color w:val="222222"/>
          <w:sz w:val="18"/>
          <w:szCs w:val="18"/>
          <w:lang w:eastAsia="fr-FR"/>
        </w:rPr>
        <w:t>Juzgado Tercero Civil del Circuito de Pereira</w:t>
      </w:r>
      <w:r w:rsidRPr="002F0A51">
        <w:rPr>
          <w:rFonts w:ascii="Calibri" w:eastAsia="Calibri" w:hAnsi="Calibri" w:cs="Calibri"/>
          <w:bCs/>
          <w:color w:val="222222"/>
          <w:sz w:val="18"/>
          <w:szCs w:val="18"/>
          <w:lang w:val="es-ES_tradnl" w:eastAsia="fr-FR"/>
        </w:rPr>
        <w:t xml:space="preserve">, R. no asumió el conocimiento de las acciones populares a pesar de que la entidad accionada tiene su domicilio en esta localidad (Artículo 16, Ley 472). (…) </w:t>
      </w:r>
      <w:r w:rsidRPr="002F0A51">
        <w:rPr>
          <w:rFonts w:ascii="Calibri" w:eastAsia="Calibri" w:hAnsi="Calibri" w:cs="Calibri"/>
          <w:bCs/>
          <w:color w:val="222222"/>
          <w:sz w:val="18"/>
          <w:szCs w:val="18"/>
          <w:lang w:eastAsia="fr-FR"/>
        </w:rPr>
        <w:t xml:space="preserve">Sin que sea necesario ahondar en el asunto, hay que decir que a estas alturas de las diligencias los amparos se tornan prematuros porque se desconoce si los juzgados a los cuales se repartan las acciones populares, asumirán su conocimiento o provocarán el conflicto negativo de competencia, lo que revelará al actor el competente para tramitarlas, además, frente a esas decisiones surgirá la oportunidad </w:t>
      </w:r>
      <w:r w:rsidRPr="002F0A51">
        <w:rPr>
          <w:rFonts w:ascii="Calibri" w:eastAsia="Calibri" w:hAnsi="Calibri" w:cs="Calibri"/>
          <w:bCs/>
          <w:color w:val="222222"/>
          <w:sz w:val="18"/>
          <w:szCs w:val="18"/>
          <w:lang w:val="es-CO" w:eastAsia="fr-FR"/>
        </w:rPr>
        <w:t xml:space="preserve">de </w:t>
      </w:r>
      <w:r w:rsidRPr="002F0A51">
        <w:rPr>
          <w:rFonts w:ascii="Calibri" w:eastAsia="Calibri" w:hAnsi="Calibri" w:cs="Calibri"/>
          <w:bCs/>
          <w:color w:val="222222"/>
          <w:sz w:val="18"/>
          <w:szCs w:val="18"/>
          <w:lang w:val="es-419" w:eastAsia="fr-FR"/>
        </w:rPr>
        <w:t xml:space="preserve">recurrir, </w:t>
      </w:r>
      <w:r w:rsidRPr="002F0A51">
        <w:rPr>
          <w:rFonts w:ascii="Calibri" w:eastAsia="Calibri" w:hAnsi="Calibri" w:cs="Calibri"/>
          <w:bCs/>
          <w:color w:val="222222"/>
          <w:sz w:val="18"/>
          <w:szCs w:val="18"/>
          <w:lang w:eastAsia="fr-FR"/>
        </w:rPr>
        <w:t>por manera que es improcedente el amparo constitucional en razón a que el trámite en el que se alega la vulneración aún se encuentran en curso</w:t>
      </w:r>
      <w:r w:rsidRPr="002F0A51">
        <w:rPr>
          <w:rFonts w:ascii="Calibri" w:eastAsia="Calibri" w:hAnsi="Calibri" w:cs="Calibri"/>
          <w:bCs/>
          <w:color w:val="222222"/>
          <w:sz w:val="18"/>
          <w:szCs w:val="18"/>
          <w:lang w:val="es-CO" w:eastAsia="fr-FR"/>
        </w:rPr>
        <w:t>.</w:t>
      </w:r>
      <w:r w:rsidRPr="002F0A51">
        <w:rPr>
          <w:rFonts w:ascii="Calibri" w:eastAsia="Calibri" w:hAnsi="Calibri" w:cs="Calibri"/>
          <w:bCs/>
          <w:color w:val="222222"/>
          <w:sz w:val="18"/>
          <w:szCs w:val="18"/>
          <w:lang w:eastAsia="fr-FR"/>
        </w:rPr>
        <w:t xml:space="preserve"> Así lo ha dispuesto la jurisprudencia de la Corte Constitucional, criterio también expuesto por la CSJ. </w:t>
      </w:r>
      <w:r w:rsidRPr="002F0A51">
        <w:rPr>
          <w:rFonts w:ascii="Calibri" w:eastAsia="Calibri" w:hAnsi="Calibri" w:cs="Calibri"/>
          <w:bCs/>
          <w:color w:val="222222"/>
          <w:sz w:val="18"/>
          <w:szCs w:val="18"/>
          <w:lang w:val="es-ES_tradnl" w:eastAsia="fr-FR"/>
        </w:rPr>
        <w:t xml:space="preserve">Evidente, entonces, es la falta de agotamiento del supuesto de subsidiariedad, como ha explicado </w:t>
      </w:r>
      <w:r w:rsidRPr="002F0A51">
        <w:rPr>
          <w:rFonts w:ascii="Calibri" w:eastAsia="Calibri" w:hAnsi="Calibri" w:cs="Calibri"/>
          <w:bCs/>
          <w:color w:val="222222"/>
          <w:sz w:val="18"/>
          <w:szCs w:val="18"/>
          <w:lang w:eastAsia="fr-FR"/>
        </w:rPr>
        <w:t>la Corte Constitucional, que reiteradamente ha referido que la acción de tutela no puede implementarse como mecanismo alternativo o paralelo para resolver problemas jurídicos que deben ser resueltos al interior del trámite ordinario.”.</w:t>
      </w:r>
      <w:r w:rsidRPr="002F0A51">
        <w:rPr>
          <w:rFonts w:ascii="Calibri" w:eastAsia="Calibri" w:hAnsi="Calibri" w:cs="Calibri"/>
          <w:b/>
          <w:bCs/>
          <w:color w:val="222222"/>
          <w:sz w:val="18"/>
          <w:szCs w:val="18"/>
          <w:lang w:eastAsia="fr-FR"/>
        </w:rPr>
        <w:t xml:space="preserve"> </w:t>
      </w:r>
    </w:p>
    <w:p w:rsidR="002F0A51" w:rsidRPr="002F0A51" w:rsidRDefault="002F0A51" w:rsidP="002F0A51">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2F0A51">
        <w:rPr>
          <w:rFonts w:ascii="Calibri" w:eastAsia="Calibri" w:hAnsi="Calibri" w:cs="Calibri"/>
          <w:b/>
          <w:bCs/>
          <w:color w:val="222222"/>
          <w:sz w:val="18"/>
          <w:szCs w:val="18"/>
          <w:lang w:eastAsia="fr-FR"/>
        </w:rPr>
        <w:t>Citación jurisprudencial:</w:t>
      </w:r>
      <w:r w:rsidRPr="002F0A51">
        <w:rPr>
          <w:rFonts w:ascii="Calibri" w:eastAsia="Calibri" w:hAnsi="Calibri" w:cs="Calibri"/>
          <w:bCs/>
          <w:color w:val="222222"/>
          <w:sz w:val="18"/>
          <w:szCs w:val="18"/>
          <w:lang w:eastAsia="fr-FR"/>
        </w:rPr>
        <w:t xml:space="preserve"> CORTE CONSTITUCIONAL, </w:t>
      </w:r>
      <w:r w:rsidRPr="002F0A51">
        <w:rPr>
          <w:rFonts w:ascii="Calibri" w:eastAsia="Calibri" w:hAnsi="Calibri" w:cs="Calibri"/>
          <w:bCs/>
          <w:color w:val="222222"/>
          <w:sz w:val="18"/>
          <w:szCs w:val="18"/>
          <w:lang w:val="es-MX" w:eastAsia="fr-FR"/>
        </w:rPr>
        <w:t>Sentencia T-917 de 2011 / Sentencia C-590 de 2005 /</w:t>
      </w:r>
      <w:r w:rsidRPr="002F0A51">
        <w:rPr>
          <w:rFonts w:ascii="Calibri" w:eastAsia="Calibri" w:hAnsi="Calibri" w:cs="Calibri"/>
          <w:bCs/>
          <w:color w:val="222222"/>
          <w:sz w:val="18"/>
          <w:szCs w:val="18"/>
          <w:vertAlign w:val="superscript"/>
          <w:lang w:eastAsia="fr-FR"/>
        </w:rPr>
        <w:t xml:space="preserve"> </w:t>
      </w:r>
      <w:r w:rsidRPr="002F0A51">
        <w:rPr>
          <w:rFonts w:ascii="Calibri" w:eastAsia="Calibri" w:hAnsi="Calibri" w:cs="Calibri"/>
          <w:bCs/>
          <w:color w:val="222222"/>
          <w:sz w:val="18"/>
          <w:szCs w:val="18"/>
          <w:lang w:val="es-MX" w:eastAsia="fr-FR"/>
        </w:rPr>
        <w:t xml:space="preserve">Sentencia </w:t>
      </w:r>
      <w:r w:rsidRPr="002F0A51">
        <w:rPr>
          <w:rFonts w:ascii="Calibri" w:eastAsia="Calibri" w:hAnsi="Calibri" w:cs="Calibri"/>
          <w:bCs/>
          <w:color w:val="222222"/>
          <w:sz w:val="18"/>
          <w:szCs w:val="18"/>
          <w:lang w:eastAsia="fr-FR"/>
        </w:rPr>
        <w:t xml:space="preserve">T-107 de 2016 / Sentencia </w:t>
      </w:r>
      <w:r w:rsidRPr="002F0A51">
        <w:rPr>
          <w:rFonts w:ascii="Calibri" w:eastAsia="Calibri" w:hAnsi="Calibri" w:cs="Calibri"/>
          <w:bCs/>
          <w:color w:val="222222"/>
          <w:sz w:val="18"/>
          <w:szCs w:val="18"/>
          <w:lang w:val="es-MX" w:eastAsia="fr-FR"/>
        </w:rPr>
        <w:t>T-064 de 2015 /</w:t>
      </w:r>
      <w:r w:rsidRPr="002F0A51">
        <w:rPr>
          <w:rFonts w:ascii="Calibri" w:eastAsia="Calibri" w:hAnsi="Calibri" w:cs="Calibri"/>
          <w:bCs/>
          <w:color w:val="222222"/>
          <w:sz w:val="18"/>
          <w:szCs w:val="18"/>
          <w:vertAlign w:val="superscript"/>
          <w:lang w:eastAsia="fr-FR"/>
        </w:rPr>
        <w:t xml:space="preserve"> </w:t>
      </w:r>
      <w:r w:rsidRPr="002F0A51">
        <w:rPr>
          <w:rFonts w:ascii="Calibri" w:eastAsia="Calibri" w:hAnsi="Calibri" w:cs="Calibri"/>
          <w:bCs/>
          <w:color w:val="222222"/>
          <w:sz w:val="18"/>
          <w:szCs w:val="18"/>
          <w:lang w:val="es-MX" w:eastAsia="fr-FR"/>
        </w:rPr>
        <w:t xml:space="preserve">Sentencia T-307 de 2015 / </w:t>
      </w:r>
      <w:r w:rsidRPr="002F0A51">
        <w:rPr>
          <w:rFonts w:ascii="Calibri" w:eastAsia="Calibri" w:hAnsi="Calibri" w:cs="Calibri"/>
          <w:bCs/>
          <w:color w:val="222222"/>
          <w:sz w:val="18"/>
          <w:szCs w:val="18"/>
          <w:lang w:val="es-CO" w:eastAsia="fr-FR"/>
        </w:rPr>
        <w:t xml:space="preserve">Sentencia T-134 de 1994  </w:t>
      </w:r>
      <w:r w:rsidRPr="002F0A51">
        <w:rPr>
          <w:rFonts w:ascii="Calibri" w:eastAsia="Calibri" w:hAnsi="Calibri" w:cs="Calibri"/>
          <w:bCs/>
          <w:color w:val="222222"/>
          <w:sz w:val="18"/>
          <w:szCs w:val="18"/>
          <w:lang w:eastAsia="fr-FR"/>
        </w:rPr>
        <w:t xml:space="preserve"> Sentencia T-103 de 2014 / Sentencia T-567 de 1998 / Sentencia T-662 de 2013 /</w:t>
      </w:r>
      <w:r w:rsidRPr="002F0A51">
        <w:rPr>
          <w:rFonts w:ascii="Calibri" w:eastAsia="Calibri" w:hAnsi="Calibri" w:cs="Calibri"/>
          <w:bCs/>
          <w:color w:val="222222"/>
          <w:sz w:val="18"/>
          <w:szCs w:val="18"/>
          <w:vertAlign w:val="superscript"/>
          <w:lang w:eastAsia="fr-FR"/>
        </w:rPr>
        <w:t xml:space="preserve"> </w:t>
      </w:r>
      <w:r w:rsidRPr="002F0A51">
        <w:rPr>
          <w:rFonts w:ascii="Calibri" w:eastAsia="Calibri" w:hAnsi="Calibri" w:cs="Calibri"/>
          <w:bCs/>
          <w:color w:val="222222"/>
          <w:sz w:val="18"/>
          <w:szCs w:val="18"/>
          <w:lang w:eastAsia="fr-FR"/>
        </w:rPr>
        <w:t xml:space="preserve"> Sentencia T-037 de 2016 / Sentencia T-120 de 2016 / Sentencia SU-297 de 2015 / Sentencia T-717 de 2011.</w:t>
      </w:r>
    </w:p>
    <w:p w:rsidR="002F0A51" w:rsidRPr="002F0A51" w:rsidRDefault="002F0A51" w:rsidP="002F0A51">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2F0A51">
        <w:rPr>
          <w:rFonts w:ascii="Calibri" w:eastAsia="Calibri" w:hAnsi="Calibri" w:cs="Calibri"/>
          <w:bCs/>
          <w:color w:val="222222"/>
          <w:sz w:val="18"/>
          <w:szCs w:val="18"/>
          <w:lang w:val="es-CO" w:eastAsia="fr-FR"/>
        </w:rPr>
        <w:t xml:space="preserve">CORTE SUPREMA DE JUSTICIA, </w:t>
      </w:r>
      <w:proofErr w:type="spellStart"/>
      <w:r w:rsidRPr="002F0A51">
        <w:rPr>
          <w:rFonts w:ascii="Calibri" w:eastAsia="Calibri" w:hAnsi="Calibri" w:cs="Calibri"/>
          <w:bCs/>
          <w:color w:val="222222"/>
          <w:sz w:val="18"/>
          <w:szCs w:val="18"/>
          <w:lang w:val="es-CO" w:eastAsia="fr-FR"/>
        </w:rPr>
        <w:t>SCC</w:t>
      </w:r>
      <w:proofErr w:type="spellEnd"/>
      <w:r w:rsidRPr="002F0A51">
        <w:rPr>
          <w:rFonts w:ascii="Calibri" w:eastAsia="Calibri" w:hAnsi="Calibri" w:cs="Calibri"/>
          <w:bCs/>
          <w:color w:val="222222"/>
          <w:sz w:val="18"/>
          <w:szCs w:val="18"/>
          <w:lang w:val="es-CO" w:eastAsia="fr-FR"/>
        </w:rPr>
        <w:t xml:space="preserve">, Sentencia del 02-09-2014, Rad. 23001-22-14-000-2014-00097-01 / </w:t>
      </w:r>
      <w:r w:rsidRPr="002F0A51">
        <w:rPr>
          <w:rFonts w:ascii="Calibri" w:eastAsia="Calibri" w:hAnsi="Calibri" w:cs="Calibri"/>
          <w:bCs/>
          <w:color w:val="222222"/>
          <w:sz w:val="18"/>
          <w:szCs w:val="18"/>
          <w:lang w:eastAsia="fr-FR"/>
        </w:rPr>
        <w:t xml:space="preserve">Providencia </w:t>
      </w:r>
      <w:proofErr w:type="spellStart"/>
      <w:r w:rsidRPr="002F0A51">
        <w:rPr>
          <w:rFonts w:ascii="Calibri" w:eastAsia="Calibri" w:hAnsi="Calibri" w:cs="Calibri"/>
          <w:bCs/>
          <w:color w:val="222222"/>
          <w:sz w:val="18"/>
          <w:szCs w:val="18"/>
          <w:lang w:eastAsia="fr-FR"/>
        </w:rPr>
        <w:t>STC6121</w:t>
      </w:r>
      <w:proofErr w:type="spellEnd"/>
      <w:r w:rsidRPr="002F0A51">
        <w:rPr>
          <w:rFonts w:ascii="Calibri" w:eastAsia="Calibri" w:hAnsi="Calibri" w:cs="Calibri"/>
          <w:bCs/>
          <w:color w:val="222222"/>
          <w:sz w:val="18"/>
          <w:szCs w:val="18"/>
          <w:lang w:eastAsia="fr-FR"/>
        </w:rPr>
        <w:t xml:space="preserve">-2015 / Providencia </w:t>
      </w:r>
      <w:proofErr w:type="spellStart"/>
      <w:r w:rsidRPr="002F0A51">
        <w:rPr>
          <w:rFonts w:ascii="Calibri" w:eastAsia="Calibri" w:hAnsi="Calibri" w:cs="Calibri"/>
          <w:bCs/>
          <w:color w:val="222222"/>
          <w:sz w:val="18"/>
          <w:szCs w:val="18"/>
          <w:lang w:val="es-CO" w:eastAsia="fr-FR"/>
        </w:rPr>
        <w:t>STC3931</w:t>
      </w:r>
      <w:proofErr w:type="spellEnd"/>
      <w:r w:rsidRPr="002F0A51">
        <w:rPr>
          <w:rFonts w:ascii="Calibri" w:eastAsia="Calibri" w:hAnsi="Calibri" w:cs="Calibri"/>
          <w:bCs/>
          <w:color w:val="222222"/>
          <w:sz w:val="18"/>
          <w:szCs w:val="18"/>
          <w:lang w:val="es-CO" w:eastAsia="fr-FR"/>
        </w:rPr>
        <w:t xml:space="preserve">-2016 / </w:t>
      </w:r>
      <w:r w:rsidRPr="002F0A51">
        <w:rPr>
          <w:rFonts w:ascii="Calibri" w:eastAsia="Calibri" w:hAnsi="Calibri" w:cs="Calibri"/>
          <w:bCs/>
          <w:color w:val="222222"/>
          <w:sz w:val="18"/>
          <w:szCs w:val="18"/>
          <w:lang w:eastAsia="fr-FR"/>
        </w:rPr>
        <w:t xml:space="preserve">Providencia </w:t>
      </w:r>
      <w:proofErr w:type="spellStart"/>
      <w:r w:rsidRPr="002F0A51">
        <w:rPr>
          <w:rFonts w:ascii="Calibri" w:eastAsia="Calibri" w:hAnsi="Calibri" w:cs="Calibri"/>
          <w:bCs/>
          <w:color w:val="222222"/>
          <w:sz w:val="18"/>
          <w:szCs w:val="18"/>
          <w:lang w:eastAsia="fr-FR"/>
        </w:rPr>
        <w:t>STC3950</w:t>
      </w:r>
      <w:proofErr w:type="spellEnd"/>
      <w:r w:rsidRPr="002F0A51">
        <w:rPr>
          <w:rFonts w:ascii="Calibri" w:eastAsia="Calibri" w:hAnsi="Calibri" w:cs="Calibri"/>
          <w:bCs/>
          <w:color w:val="222222"/>
          <w:sz w:val="18"/>
          <w:szCs w:val="18"/>
          <w:lang w:eastAsia="fr-FR"/>
        </w:rPr>
        <w:t>-2016.</w:t>
      </w:r>
    </w:p>
    <w:p w:rsidR="002F0A51" w:rsidRPr="002F0A51" w:rsidRDefault="002F0A51"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2F0A51" w:rsidRDefault="00486062" w:rsidP="00ED7F33">
      <w:pPr>
        <w:spacing w:line="360" w:lineRule="auto"/>
        <w:jc w:val="center"/>
        <w:rPr>
          <w:rFonts w:ascii="Arial" w:hAnsi="Arial" w:cs="Arial"/>
          <w:w w:val="140"/>
          <w:sz w:val="16"/>
          <w:szCs w:val="16"/>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63093">
        <w:rPr>
          <w:rFonts w:ascii="Arial" w:hAnsi="Arial" w:cs="Arial"/>
          <w:sz w:val="22"/>
        </w:rPr>
        <w:t>Cristián Vásquez Arias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763093">
        <w:rPr>
          <w:rFonts w:ascii="Arial" w:hAnsi="Arial" w:cs="Arial"/>
          <w:sz w:val="22"/>
        </w:rPr>
        <w:t xml:space="preserve">Tercero </w:t>
      </w:r>
      <w:r w:rsidR="003843DB">
        <w:rPr>
          <w:rFonts w:ascii="Arial" w:hAnsi="Arial" w:cs="Arial"/>
          <w:sz w:val="22"/>
        </w:rPr>
        <w:t xml:space="preserve">Civil del Circuito de </w:t>
      </w:r>
      <w:r w:rsidR="00763093">
        <w:rPr>
          <w:rFonts w:ascii="Arial" w:hAnsi="Arial" w:cs="Arial"/>
          <w:sz w:val="22"/>
        </w:rPr>
        <w:t>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Defensoría del Pueblo – Regional Risaralda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B34114">
        <w:rPr>
          <w:rFonts w:ascii="Arial" w:hAnsi="Arial" w:cs="Arial"/>
          <w:sz w:val="22"/>
        </w:rPr>
        <w:t>0</w:t>
      </w:r>
      <w:r w:rsidR="00763093">
        <w:rPr>
          <w:rFonts w:ascii="Arial" w:hAnsi="Arial" w:cs="Arial"/>
          <w:sz w:val="22"/>
        </w:rPr>
        <w:t>1118</w:t>
      </w:r>
      <w:r w:rsidR="00BF5544">
        <w:rPr>
          <w:rFonts w:ascii="Arial" w:hAnsi="Arial" w:cs="Arial"/>
          <w:sz w:val="22"/>
        </w:rPr>
        <w:t>-00</w:t>
      </w:r>
      <w:r w:rsidR="00763093">
        <w:rPr>
          <w:rFonts w:ascii="Arial" w:hAnsi="Arial" w:cs="Arial"/>
          <w:sz w:val="22"/>
        </w:rPr>
        <w:t xml:space="preserve"> y 2016-01119-00</w:t>
      </w:r>
      <w:r w:rsidR="00BF5544">
        <w:rPr>
          <w:rFonts w:ascii="Arial" w:hAnsi="Arial" w:cs="Arial"/>
          <w:sz w:val="22"/>
        </w:rPr>
        <w:t xml:space="preserve"> </w:t>
      </w:r>
      <w:r w:rsidRPr="00A00766">
        <w:rPr>
          <w:rFonts w:ascii="Arial" w:hAnsi="Arial" w:cs="Arial"/>
          <w:sz w:val="22"/>
        </w:rPr>
        <w:t>(Interno No.</w:t>
      </w:r>
      <w:r w:rsidR="00763093">
        <w:rPr>
          <w:rFonts w:ascii="Arial" w:hAnsi="Arial" w:cs="Arial"/>
          <w:sz w:val="22"/>
        </w:rPr>
        <w:t>1118</w:t>
      </w:r>
      <w:r w:rsidRPr="00A007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B0E1C">
        <w:rPr>
          <w:rFonts w:ascii="Arial" w:hAnsi="Arial"/>
          <w:sz w:val="22"/>
          <w:szCs w:val="22"/>
        </w:rPr>
        <w:t xml:space="preserve">595 de </w:t>
      </w:r>
      <w:r w:rsidR="00D34B56">
        <w:rPr>
          <w:rFonts w:ascii="Arial" w:hAnsi="Arial"/>
          <w:sz w:val="22"/>
          <w:szCs w:val="22"/>
        </w:rPr>
        <w:t>15-12-2016</w:t>
      </w:r>
    </w:p>
    <w:p w:rsidR="00102D82" w:rsidRPr="002F0A51" w:rsidRDefault="00102D82" w:rsidP="00102D82">
      <w:pPr>
        <w:pBdr>
          <w:bottom w:val="double" w:sz="6" w:space="1" w:color="auto"/>
        </w:pBdr>
        <w:spacing w:line="360" w:lineRule="auto"/>
        <w:jc w:val="center"/>
        <w:rPr>
          <w:rFonts w:ascii="Arial" w:hAnsi="Arial" w:cs="Arial"/>
          <w:b/>
          <w:bCs/>
          <w:sz w:val="16"/>
          <w:szCs w:val="16"/>
        </w:rPr>
      </w:pPr>
    </w:p>
    <w:p w:rsidR="00102D82" w:rsidRPr="002F0A51" w:rsidRDefault="00102D82" w:rsidP="00102D82">
      <w:pPr>
        <w:spacing w:line="360" w:lineRule="auto"/>
        <w:jc w:val="center"/>
        <w:rPr>
          <w:rFonts w:ascii="Arial" w:hAnsi="Arial" w:cs="Arial"/>
          <w:b/>
          <w:bCs/>
          <w:sz w:val="16"/>
          <w:szCs w:val="16"/>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D34B56">
        <w:rPr>
          <w:rFonts w:ascii="Arial" w:hAnsi="Arial" w:cs="Arial"/>
          <w:iCs/>
          <w:smallCaps/>
          <w:sz w:val="28"/>
          <w:szCs w:val="28"/>
          <w:lang w:val="es-CO"/>
        </w:rPr>
        <w:t>quince</w:t>
      </w:r>
      <w:r w:rsidR="00B34114">
        <w:rPr>
          <w:rFonts w:ascii="Arial" w:hAnsi="Arial" w:cs="Arial"/>
          <w:iCs/>
          <w:smallCaps/>
          <w:sz w:val="28"/>
          <w:szCs w:val="28"/>
          <w:lang w:val="es-CO"/>
        </w:rPr>
        <w:t xml:space="preserve"> </w:t>
      </w:r>
      <w:r w:rsidRPr="00BC082A">
        <w:rPr>
          <w:rFonts w:ascii="Arial" w:hAnsi="Arial" w:cs="Arial"/>
          <w:iCs/>
          <w:smallCaps/>
          <w:sz w:val="28"/>
          <w:szCs w:val="28"/>
          <w:lang w:val="es-CO"/>
        </w:rPr>
        <w:t>(</w:t>
      </w:r>
      <w:r w:rsidR="00D34B56">
        <w:rPr>
          <w:rFonts w:ascii="Arial" w:hAnsi="Arial" w:cs="Arial"/>
          <w:iCs/>
          <w:smallCaps/>
          <w:sz w:val="28"/>
          <w:szCs w:val="28"/>
          <w:lang w:val="es-CO"/>
        </w:rPr>
        <w:t>15</w:t>
      </w:r>
      <w:r w:rsidRPr="00BC082A">
        <w:rPr>
          <w:rFonts w:ascii="Arial" w:hAnsi="Arial" w:cs="Arial"/>
          <w:iCs/>
          <w:smallCaps/>
          <w:sz w:val="28"/>
          <w:szCs w:val="28"/>
          <w:lang w:val="es-CO"/>
        </w:rPr>
        <w:t xml:space="preserve">) de </w:t>
      </w:r>
      <w:r w:rsidR="00763093">
        <w:rPr>
          <w:rFonts w:ascii="Arial" w:hAnsi="Arial" w:cs="Arial"/>
          <w:iCs/>
          <w:smallCaps/>
          <w:sz w:val="28"/>
          <w:szCs w:val="28"/>
          <w:lang w:val="es-CO"/>
        </w:rPr>
        <w:t>diciem</w:t>
      </w:r>
      <w:r w:rsidR="00B34114">
        <w:rPr>
          <w:rFonts w:ascii="Arial" w:hAnsi="Arial" w:cs="Arial"/>
          <w:iCs/>
          <w:smallCaps/>
          <w:sz w:val="28"/>
          <w:szCs w:val="28"/>
          <w:lang w:val="es-CO"/>
        </w:rPr>
        <w:t xml:space="preserve">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2F0A51" w:rsidRDefault="0023398A" w:rsidP="00102D82">
      <w:pPr>
        <w:spacing w:line="360" w:lineRule="auto"/>
        <w:ind w:left="708" w:firstLine="708"/>
        <w:rPr>
          <w:rFonts w:ascii="Arial" w:hAnsi="Arial" w:cs="Arial"/>
          <w:b/>
          <w:bCs/>
          <w:sz w:val="16"/>
          <w:szCs w:val="16"/>
          <w:lang w:val="es-CO"/>
        </w:rPr>
      </w:pPr>
    </w:p>
    <w:p w:rsidR="0099045D" w:rsidRPr="000F0BE0" w:rsidRDefault="0099045D" w:rsidP="0099045D">
      <w:pPr>
        <w:pStyle w:val="Corpsdetexte"/>
        <w:numPr>
          <w:ilvl w:val="0"/>
          <w:numId w:val="1"/>
        </w:numPr>
        <w:spacing w:line="360" w:lineRule="auto"/>
        <w:rPr>
          <w:rFonts w:ascii="Arial" w:hAnsi="Arial"/>
          <w:smallCaps/>
          <w:sz w:val="28"/>
          <w:szCs w:val="28"/>
        </w:rPr>
      </w:pPr>
      <w:r w:rsidRPr="000F0BE0">
        <w:rPr>
          <w:rFonts w:ascii="Arial" w:hAnsi="Arial"/>
          <w:smallCaps/>
          <w:sz w:val="28"/>
          <w:szCs w:val="28"/>
        </w:rPr>
        <w:t>E</w:t>
      </w:r>
      <w:r w:rsidR="000F0BE0" w:rsidRPr="000F0BE0">
        <w:rPr>
          <w:rFonts w:ascii="Arial" w:hAnsi="Arial"/>
          <w:smallCaps/>
          <w:sz w:val="28"/>
          <w:szCs w:val="28"/>
        </w:rPr>
        <w:t>l asunto por decidir</w:t>
      </w:r>
    </w:p>
    <w:p w:rsidR="00134F0A" w:rsidRPr="002F0A51" w:rsidRDefault="00134F0A" w:rsidP="007949D4">
      <w:pPr>
        <w:pStyle w:val="Corpsdetexte"/>
        <w:spacing w:line="360" w:lineRule="auto"/>
        <w:rPr>
          <w:rFonts w:ascii="Arial" w:hAnsi="Arial"/>
          <w:sz w:val="16"/>
          <w:szCs w:val="16"/>
        </w:rPr>
      </w:pPr>
    </w:p>
    <w:p w:rsidR="00455E2D" w:rsidRDefault="00763093" w:rsidP="00455E2D">
      <w:pPr>
        <w:pStyle w:val="Corpsdetexte"/>
        <w:spacing w:line="360" w:lineRule="auto"/>
        <w:rPr>
          <w:rFonts w:ascii="Arial" w:hAnsi="Arial"/>
          <w:szCs w:val="24"/>
        </w:rPr>
      </w:pPr>
      <w:r>
        <w:rPr>
          <w:rFonts w:ascii="Arial" w:hAnsi="Arial"/>
          <w:szCs w:val="24"/>
        </w:rPr>
        <w:t xml:space="preserve">Los amparos constitucionales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r w:rsidR="00455E2D" w:rsidRPr="00F9418E">
        <w:rPr>
          <w:rFonts w:ascii="Arial" w:hAnsi="Arial"/>
          <w:szCs w:val="24"/>
        </w:rPr>
        <w:t>.</w:t>
      </w: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F0BE0">
        <w:rPr>
          <w:rFonts w:ascii="Arial" w:hAnsi="Arial"/>
          <w:smallCaps/>
          <w:sz w:val="28"/>
          <w:szCs w:val="28"/>
        </w:rPr>
        <w:t>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 xml:space="preserve">Relató </w:t>
      </w:r>
      <w:r w:rsidR="001216C1">
        <w:rPr>
          <w:rFonts w:ascii="Arial" w:hAnsi="Arial" w:cs="Arial"/>
        </w:rPr>
        <w:t>el actor que presentó ante el accionado las acciones populares radicadas a los Nos.2016-00564-00 y 2016-00543-00</w:t>
      </w:r>
      <w:r w:rsidR="004E77AB">
        <w:rPr>
          <w:rFonts w:ascii="Arial" w:hAnsi="Arial" w:cs="Arial"/>
        </w:rPr>
        <w:t>, pero fue</w:t>
      </w:r>
      <w:r w:rsidR="001216C1">
        <w:rPr>
          <w:rFonts w:ascii="Arial" w:hAnsi="Arial" w:cs="Arial"/>
        </w:rPr>
        <w:t>ron</w:t>
      </w:r>
      <w:r w:rsidR="004E77AB">
        <w:rPr>
          <w:rFonts w:ascii="Arial" w:hAnsi="Arial" w:cs="Arial"/>
        </w:rPr>
        <w:t xml:space="preserve"> rechazada</w:t>
      </w:r>
      <w:r w:rsidR="001216C1">
        <w:rPr>
          <w:rFonts w:ascii="Arial" w:hAnsi="Arial" w:cs="Arial"/>
        </w:rPr>
        <w:t>s</w:t>
      </w:r>
      <w:r w:rsidR="004E77AB">
        <w:rPr>
          <w:rFonts w:ascii="Arial" w:hAnsi="Arial" w:cs="Arial"/>
        </w:rPr>
        <w:t xml:space="preserve"> por razones que no comparte; consideró que esa conducta contraviene el artículo 16 de la Ley 472 (Folio</w:t>
      </w:r>
      <w:r w:rsidR="00C130C5">
        <w:rPr>
          <w:rFonts w:ascii="Arial" w:hAnsi="Arial" w:cs="Arial"/>
        </w:rPr>
        <w:t>s 1 y 4 de</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0F0BE0" w:rsidRDefault="00CC24DD"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D34B5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74C9E">
        <w:rPr>
          <w:rFonts w:ascii="Arial" w:hAnsi="Arial" w:cs="Arial"/>
          <w:spacing w:val="-3"/>
          <w:szCs w:val="22"/>
          <w:lang w:val="es-ES_tradnl"/>
        </w:rPr>
        <w:t xml:space="preserve">Conforme </w:t>
      </w:r>
      <w:r w:rsidR="00CC24DD">
        <w:rPr>
          <w:rFonts w:ascii="Arial" w:hAnsi="Arial" w:cs="Arial"/>
          <w:spacing w:val="-3"/>
          <w:szCs w:val="22"/>
          <w:lang w:val="es-ES_tradnl"/>
        </w:rPr>
        <w:t xml:space="preserve">a </w:t>
      </w:r>
      <w:r w:rsidRPr="00A74C9E">
        <w:rPr>
          <w:rFonts w:ascii="Arial" w:hAnsi="Arial" w:cs="Arial"/>
          <w:spacing w:val="-3"/>
          <w:szCs w:val="22"/>
          <w:lang w:val="es-ES_tradnl"/>
        </w:rPr>
        <w:t xml:space="preserve">los escritos de tutela </w:t>
      </w:r>
      <w:r>
        <w:rPr>
          <w:rFonts w:ascii="Arial" w:hAnsi="Arial" w:cs="Arial"/>
          <w:spacing w:val="-3"/>
          <w:szCs w:val="22"/>
          <w:lang w:val="es-ES_tradnl"/>
        </w:rPr>
        <w:t xml:space="preserve">corresponde </w:t>
      </w:r>
      <w:r w:rsidRPr="00A74C9E">
        <w:rPr>
          <w:rFonts w:ascii="Arial" w:hAnsi="Arial" w:cs="Arial"/>
          <w:spacing w:val="-3"/>
          <w:szCs w:val="22"/>
          <w:lang w:val="es-ES_tradnl"/>
        </w:rPr>
        <w:t>a</w:t>
      </w:r>
      <w:r w:rsidRPr="00A74C9E">
        <w:rPr>
          <w:rFonts w:ascii="Arial" w:hAnsi="Arial" w:cs="Arial"/>
          <w:i/>
          <w:spacing w:val="-3"/>
          <w:szCs w:val="22"/>
          <w:lang w:val="es-ES_tradnl"/>
        </w:rPr>
        <w:t xml:space="preserve"> </w:t>
      </w:r>
      <w:r w:rsidR="00633D1D" w:rsidRPr="00633D1D">
        <w:rPr>
          <w:rFonts w:ascii="Arial" w:hAnsi="Arial" w:cs="Arial"/>
          <w:i/>
          <w:spacing w:val="-3"/>
          <w:sz w:val="22"/>
          <w:lang w:val="es-ES_tradnl"/>
        </w:rPr>
        <w:t xml:space="preserve">“(…) las garantías procesales (…)” </w:t>
      </w:r>
      <w:r w:rsidR="00455E2D">
        <w:rPr>
          <w:rFonts w:ascii="Arial" w:hAnsi="Arial" w:cs="Arial"/>
        </w:rPr>
        <w:t>(</w:t>
      </w:r>
      <w:r w:rsidR="00C130C5">
        <w:rPr>
          <w:rFonts w:ascii="Arial" w:hAnsi="Arial" w:cs="Arial"/>
        </w:rPr>
        <w:t>Folios 1 y 4 de 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sidRPr="00633D1D">
        <w:rPr>
          <w:rFonts w:ascii="Arial" w:hAnsi="Arial" w:cs="Arial"/>
        </w:rPr>
        <w:t xml:space="preserve">Pretende que: (i) Se ordene al accionado admitir </w:t>
      </w:r>
      <w:r w:rsidR="00455E2D" w:rsidRPr="00633D1D">
        <w:rPr>
          <w:rFonts w:ascii="Arial" w:hAnsi="Arial" w:cs="Arial"/>
        </w:rPr>
        <w:t>la</w:t>
      </w:r>
      <w:r w:rsidR="00111659" w:rsidRPr="00633D1D">
        <w:rPr>
          <w:rFonts w:ascii="Arial" w:hAnsi="Arial" w:cs="Arial"/>
        </w:rPr>
        <w:t>s</w:t>
      </w:r>
      <w:r w:rsidR="00455E2D" w:rsidRPr="00633D1D">
        <w:rPr>
          <w:rFonts w:ascii="Arial" w:hAnsi="Arial" w:cs="Arial"/>
        </w:rPr>
        <w:t xml:space="preserve"> </w:t>
      </w:r>
      <w:r w:rsidR="00111659" w:rsidRPr="00633D1D">
        <w:rPr>
          <w:rFonts w:ascii="Arial" w:hAnsi="Arial" w:cs="Arial"/>
        </w:rPr>
        <w:t>acciones</w:t>
      </w:r>
      <w:r w:rsidR="00455E2D" w:rsidRPr="00633D1D">
        <w:rPr>
          <w:rFonts w:ascii="Arial" w:hAnsi="Arial" w:cs="Arial"/>
        </w:rPr>
        <w:t xml:space="preserve"> popular</w:t>
      </w:r>
      <w:r w:rsidR="00111659" w:rsidRPr="00633D1D">
        <w:rPr>
          <w:rFonts w:ascii="Arial" w:hAnsi="Arial" w:cs="Arial"/>
        </w:rPr>
        <w:t>es</w:t>
      </w:r>
      <w:r w:rsidRPr="00633D1D">
        <w:rPr>
          <w:rFonts w:ascii="Arial" w:hAnsi="Arial" w:cs="Arial"/>
        </w:rPr>
        <w:t>;</w:t>
      </w:r>
      <w:r w:rsidR="006D6A8A" w:rsidRPr="00633D1D">
        <w:rPr>
          <w:rFonts w:ascii="Arial" w:hAnsi="Arial" w:cs="Arial"/>
        </w:rPr>
        <w:t xml:space="preserve"> </w:t>
      </w:r>
      <w:r w:rsidRPr="00633D1D">
        <w:rPr>
          <w:rFonts w:ascii="Arial" w:hAnsi="Arial" w:cs="Arial"/>
        </w:rPr>
        <w:t>y, (</w:t>
      </w:r>
      <w:r w:rsidR="004E77AB" w:rsidRPr="00633D1D">
        <w:rPr>
          <w:rFonts w:ascii="Arial" w:hAnsi="Arial" w:cs="Arial"/>
        </w:rPr>
        <w:t>ii</w:t>
      </w:r>
      <w:r w:rsidRPr="00633D1D">
        <w:rPr>
          <w:rFonts w:ascii="Arial" w:hAnsi="Arial" w:cs="Arial"/>
        </w:rPr>
        <w:t xml:space="preserve">) Se </w:t>
      </w:r>
      <w:r w:rsidR="001216C1" w:rsidRPr="00633D1D">
        <w:rPr>
          <w:rFonts w:ascii="Arial" w:hAnsi="Arial" w:cs="Arial"/>
        </w:rPr>
        <w:t>decrete la nulidad de</w:t>
      </w:r>
      <w:r w:rsidR="00111659" w:rsidRPr="00633D1D">
        <w:rPr>
          <w:rFonts w:ascii="Arial" w:hAnsi="Arial" w:cs="Arial"/>
        </w:rPr>
        <w:t xml:space="preserve"> </w:t>
      </w:r>
      <w:r w:rsidR="001216C1" w:rsidRPr="00633D1D">
        <w:rPr>
          <w:rFonts w:ascii="Arial" w:hAnsi="Arial" w:cs="Arial"/>
        </w:rPr>
        <w:t>l</w:t>
      </w:r>
      <w:r w:rsidR="00111659" w:rsidRPr="00633D1D">
        <w:rPr>
          <w:rFonts w:ascii="Arial" w:hAnsi="Arial" w:cs="Arial"/>
        </w:rPr>
        <w:t>os</w:t>
      </w:r>
      <w:r w:rsidR="001216C1" w:rsidRPr="00633D1D">
        <w:rPr>
          <w:rFonts w:ascii="Arial" w:hAnsi="Arial" w:cs="Arial"/>
        </w:rPr>
        <w:t xml:space="preserve"> auto</w:t>
      </w:r>
      <w:r w:rsidR="00111659" w:rsidRPr="00633D1D">
        <w:rPr>
          <w:rFonts w:ascii="Arial" w:hAnsi="Arial" w:cs="Arial"/>
        </w:rPr>
        <w:t>s</w:t>
      </w:r>
      <w:r w:rsidR="001216C1" w:rsidRPr="00633D1D">
        <w:rPr>
          <w:rFonts w:ascii="Arial" w:hAnsi="Arial" w:cs="Arial"/>
        </w:rPr>
        <w:t xml:space="preserve"> que </w:t>
      </w:r>
      <w:r w:rsidR="00C130C5" w:rsidRPr="00633D1D">
        <w:rPr>
          <w:rFonts w:ascii="Arial" w:hAnsi="Arial" w:cs="Arial"/>
        </w:rPr>
        <w:t>la</w:t>
      </w:r>
      <w:r w:rsidR="00111659" w:rsidRPr="00633D1D">
        <w:rPr>
          <w:rFonts w:ascii="Arial" w:hAnsi="Arial" w:cs="Arial"/>
        </w:rPr>
        <w:t>s</w:t>
      </w:r>
      <w:r w:rsidR="00C130C5" w:rsidRPr="00633D1D">
        <w:rPr>
          <w:rFonts w:ascii="Arial" w:hAnsi="Arial" w:cs="Arial"/>
        </w:rPr>
        <w:t xml:space="preserve"> </w:t>
      </w:r>
      <w:r w:rsidR="00111659" w:rsidRPr="00633D1D">
        <w:rPr>
          <w:rFonts w:ascii="Arial" w:hAnsi="Arial" w:cs="Arial"/>
        </w:rPr>
        <w:t>rechazaron</w:t>
      </w:r>
      <w:r w:rsidR="00C130C5" w:rsidRPr="00633D1D">
        <w:rPr>
          <w:rFonts w:ascii="Arial" w:hAnsi="Arial" w:cs="Arial"/>
        </w:rPr>
        <w:t xml:space="preserve"> y se requiera a</w:t>
      </w:r>
      <w:r w:rsidR="00111659" w:rsidRPr="00633D1D">
        <w:rPr>
          <w:rFonts w:ascii="Arial" w:hAnsi="Arial" w:cs="Arial"/>
        </w:rPr>
        <w:t xml:space="preserve"> </w:t>
      </w:r>
      <w:r w:rsidR="00C130C5" w:rsidRPr="00633D1D">
        <w:rPr>
          <w:rFonts w:ascii="Arial" w:hAnsi="Arial" w:cs="Arial"/>
        </w:rPr>
        <w:t>l</w:t>
      </w:r>
      <w:r w:rsidR="00111659" w:rsidRPr="00633D1D">
        <w:rPr>
          <w:rFonts w:ascii="Arial" w:hAnsi="Arial" w:cs="Arial"/>
        </w:rPr>
        <w:t>os</w:t>
      </w:r>
      <w:r w:rsidR="00C130C5" w:rsidRPr="00633D1D">
        <w:rPr>
          <w:rFonts w:ascii="Arial" w:hAnsi="Arial" w:cs="Arial"/>
        </w:rPr>
        <w:t xml:space="preserve"> juzgado</w:t>
      </w:r>
      <w:r w:rsidR="00111659" w:rsidRPr="00633D1D">
        <w:rPr>
          <w:rFonts w:ascii="Arial" w:hAnsi="Arial" w:cs="Arial"/>
        </w:rPr>
        <w:t>s donde</w:t>
      </w:r>
      <w:r w:rsidR="00633D1D" w:rsidRPr="00633D1D">
        <w:rPr>
          <w:rFonts w:ascii="Arial" w:hAnsi="Arial" w:cs="Arial"/>
        </w:rPr>
        <w:t xml:space="preserve"> </w:t>
      </w:r>
      <w:r w:rsidR="00111659" w:rsidRPr="00633D1D">
        <w:rPr>
          <w:rFonts w:ascii="Arial" w:hAnsi="Arial" w:cs="Arial"/>
        </w:rPr>
        <w:t>se remitieron</w:t>
      </w:r>
      <w:r w:rsidR="00C130C5" w:rsidRPr="00633D1D">
        <w:rPr>
          <w:rFonts w:ascii="Arial" w:hAnsi="Arial" w:cs="Arial"/>
        </w:rPr>
        <w:t>, para que la</w:t>
      </w:r>
      <w:r w:rsidR="00111659" w:rsidRPr="00633D1D">
        <w:rPr>
          <w:rFonts w:ascii="Arial" w:hAnsi="Arial" w:cs="Arial"/>
        </w:rPr>
        <w:t>s</w:t>
      </w:r>
      <w:r w:rsidR="00C130C5" w:rsidRPr="00633D1D">
        <w:rPr>
          <w:rFonts w:ascii="Arial" w:hAnsi="Arial" w:cs="Arial"/>
        </w:rPr>
        <w:t xml:space="preserve"> devuelva</w:t>
      </w:r>
      <w:r w:rsidR="00111659" w:rsidRPr="00633D1D">
        <w:rPr>
          <w:rFonts w:ascii="Arial" w:hAnsi="Arial" w:cs="Arial"/>
        </w:rPr>
        <w:t>n</w:t>
      </w:r>
      <w:r w:rsidR="00C130C5" w:rsidRPr="00633D1D">
        <w:rPr>
          <w:rFonts w:ascii="Arial" w:hAnsi="Arial" w:cs="Arial"/>
        </w:rPr>
        <w:t xml:space="preserve"> al despacho donde inicialmente la</w:t>
      </w:r>
      <w:r w:rsidR="00111659" w:rsidRPr="00633D1D">
        <w:rPr>
          <w:rFonts w:ascii="Arial" w:hAnsi="Arial" w:cs="Arial"/>
        </w:rPr>
        <w:t>s</w:t>
      </w:r>
      <w:r w:rsidR="00C130C5" w:rsidRPr="00633D1D">
        <w:rPr>
          <w:rFonts w:ascii="Arial" w:hAnsi="Arial" w:cs="Arial"/>
        </w:rPr>
        <w:t xml:space="preserve"> presentó</w:t>
      </w:r>
      <w:r w:rsidR="004E77AB">
        <w:rPr>
          <w:rFonts w:ascii="Arial" w:hAnsi="Arial" w:cs="Arial"/>
        </w:rPr>
        <w:t xml:space="preserve"> </w:t>
      </w:r>
      <w:r w:rsidR="00455E2D">
        <w:rPr>
          <w:rFonts w:ascii="Arial" w:hAnsi="Arial" w:cs="Arial"/>
        </w:rPr>
        <w:t>(</w:t>
      </w:r>
      <w:r w:rsidR="00C130C5">
        <w:rPr>
          <w:rFonts w:ascii="Arial" w:hAnsi="Arial" w:cs="Arial"/>
        </w:rPr>
        <w:t>Folios 1 y 4 de este cuaderno</w:t>
      </w:r>
      <w:r w:rsidR="00645B05" w:rsidRPr="00FD594D">
        <w:rPr>
          <w:rFonts w:ascii="Arial" w:hAnsi="Arial" w:cs="Arial"/>
        </w:rPr>
        <w:t>).</w:t>
      </w:r>
    </w:p>
    <w:p w:rsidR="00CE71D8" w:rsidRPr="00455E2D" w:rsidRDefault="00CE71D8" w:rsidP="000145EA">
      <w:pPr>
        <w:pStyle w:val="Sansinterligne"/>
        <w:spacing w:line="360" w:lineRule="auto"/>
        <w:jc w:val="both"/>
        <w:rPr>
          <w:rFonts w:ascii="Arial" w:hAnsi="Arial" w:cs="Arial"/>
          <w:szCs w:val="24"/>
        </w:rPr>
      </w:pPr>
    </w:p>
    <w:p w:rsidR="0099045D" w:rsidRPr="000F0BE0" w:rsidRDefault="000F0BE0"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Default="00B604B9" w:rsidP="00B50331">
      <w:pPr>
        <w:spacing w:line="360" w:lineRule="auto"/>
        <w:jc w:val="both"/>
        <w:rPr>
          <w:rFonts w:ascii="Arial" w:hAnsi="Arial" w:cs="Arial"/>
        </w:rPr>
      </w:pPr>
      <w:r>
        <w:rPr>
          <w:rFonts w:ascii="Arial" w:hAnsi="Arial"/>
        </w:rPr>
        <w:t>Correspondieron</w:t>
      </w:r>
      <w:r w:rsidR="004A4E9F">
        <w:rPr>
          <w:rFonts w:ascii="Arial" w:hAnsi="Arial"/>
        </w:rPr>
        <w:t xml:space="preserve">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633D1D">
        <w:rPr>
          <w:rFonts w:ascii="Arial" w:hAnsi="Arial"/>
        </w:rPr>
        <w:t>30</w:t>
      </w:r>
      <w:r w:rsidR="00B34114">
        <w:rPr>
          <w:rFonts w:ascii="Arial" w:hAnsi="Arial"/>
        </w:rPr>
        <w:t>-</w:t>
      </w:r>
      <w:r w:rsidR="00633D1D">
        <w:rPr>
          <w:rFonts w:ascii="Arial" w:hAnsi="Arial"/>
        </w:rPr>
        <w:t>11</w:t>
      </w:r>
      <w:r w:rsidR="004E77AB">
        <w:rPr>
          <w:rFonts w:ascii="Arial" w:hAnsi="Arial"/>
        </w:rPr>
        <w:t>-2016</w:t>
      </w:r>
      <w:r w:rsidR="00633D1D">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633D1D">
        <w:rPr>
          <w:rFonts w:ascii="Arial" w:hAnsi="Arial" w:cs="Arial"/>
          <w:color w:val="000000"/>
        </w:rPr>
        <w:t>02-12-2016</w:t>
      </w:r>
      <w:r>
        <w:rPr>
          <w:rFonts w:ascii="Arial" w:hAnsi="Arial" w:cs="Arial"/>
          <w:color w:val="000000"/>
        </w:rPr>
        <w:t>, se admitieron,</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Pr>
          <w:rFonts w:ascii="Arial" w:hAnsi="Arial" w:cs="Arial"/>
          <w:color w:val="000000"/>
        </w:rPr>
        <w:t>s</w:t>
      </w:r>
      <w:r w:rsidR="00455E2D" w:rsidRPr="00FD594D">
        <w:rPr>
          <w:rFonts w:ascii="Arial" w:hAnsi="Arial" w:cs="Arial"/>
          <w:color w:val="000000"/>
        </w:rPr>
        <w:t xml:space="preserve"> </w:t>
      </w:r>
      <w:r>
        <w:rPr>
          <w:rFonts w:ascii="Arial" w:hAnsi="Arial" w:cs="Arial"/>
          <w:color w:val="000000"/>
        </w:rPr>
        <w:t>8 y 9,</w:t>
      </w:r>
      <w:r w:rsidR="00455E2D" w:rsidRPr="00FD594D">
        <w:rPr>
          <w:rFonts w:ascii="Arial" w:hAnsi="Arial" w:cs="Arial"/>
          <w:color w:val="000000"/>
        </w:rPr>
        <w:t xml:space="preserve">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Pr>
          <w:rFonts w:ascii="Arial" w:hAnsi="Arial"/>
        </w:rPr>
        <w:t>s 10 y 11</w:t>
      </w:r>
      <w:r w:rsidR="008E50E4">
        <w:rPr>
          <w:rFonts w:ascii="Arial" w:hAnsi="Arial"/>
        </w:rPr>
        <w:t xml:space="preserve">, </w:t>
      </w:r>
      <w:r w:rsidR="00B1245A">
        <w:rPr>
          <w:rFonts w:ascii="Arial" w:hAnsi="Arial"/>
        </w:rPr>
        <w:t>ib</w:t>
      </w:r>
      <w:r w:rsidR="00893EC7">
        <w:rPr>
          <w:rFonts w:ascii="Arial" w:hAnsi="Arial"/>
        </w:rPr>
        <w:t>.</w:t>
      </w:r>
      <w:r w:rsidR="008E50E4">
        <w:rPr>
          <w:rFonts w:ascii="Arial" w:hAnsi="Arial"/>
        </w:rPr>
        <w:t>)</w:t>
      </w:r>
      <w:r w:rsidR="008E50E4" w:rsidRPr="008E5A62">
        <w:rPr>
          <w:rFonts w:ascii="Arial" w:hAnsi="Arial"/>
        </w:rPr>
        <w:t xml:space="preserve">. </w:t>
      </w:r>
      <w:r w:rsidR="00DB6819">
        <w:rPr>
          <w:rFonts w:ascii="Arial" w:hAnsi="Arial"/>
        </w:rPr>
        <w:t>Contestó</w:t>
      </w:r>
      <w:r>
        <w:rPr>
          <w:rFonts w:ascii="Arial" w:hAnsi="Arial"/>
        </w:rPr>
        <w:t xml:space="preserve"> </w:t>
      </w:r>
      <w:r>
        <w:rPr>
          <w:rFonts w:ascii="Arial" w:hAnsi="Arial"/>
          <w:lang w:val="es-CO"/>
        </w:rPr>
        <w:t>la Alcaldía de Pereira (Folios 12 a 14, ib.),</w:t>
      </w:r>
      <w:r w:rsidR="00DB6819">
        <w:rPr>
          <w:rFonts w:ascii="Arial" w:hAnsi="Arial"/>
        </w:rPr>
        <w:t xml:space="preserve"> </w:t>
      </w:r>
      <w:r w:rsidR="00B34114">
        <w:rPr>
          <w:rFonts w:ascii="Arial" w:hAnsi="Arial"/>
        </w:rPr>
        <w:t xml:space="preserve">la Procuraduría General de la Nación, Regional Risaralda </w:t>
      </w:r>
      <w:r w:rsidR="00B34114">
        <w:rPr>
          <w:rFonts w:ascii="Arial" w:hAnsi="Arial"/>
          <w:lang w:val="es-CO"/>
        </w:rPr>
        <w:t xml:space="preserve">(Folio </w:t>
      </w:r>
      <w:r>
        <w:rPr>
          <w:rFonts w:ascii="Arial" w:hAnsi="Arial"/>
          <w:lang w:val="es-CO"/>
        </w:rPr>
        <w:t>23</w:t>
      </w:r>
      <w:r w:rsidR="00B34114">
        <w:rPr>
          <w:rFonts w:ascii="Arial" w:hAnsi="Arial"/>
          <w:lang w:val="es-CO"/>
        </w:rPr>
        <w:t>, ib</w:t>
      </w:r>
      <w:r>
        <w:rPr>
          <w:rFonts w:ascii="Arial" w:hAnsi="Arial"/>
          <w:lang w:val="es-CO"/>
        </w:rPr>
        <w:t>.</w:t>
      </w:r>
      <w:r w:rsidR="00B34114">
        <w:rPr>
          <w:rFonts w:ascii="Arial" w:hAnsi="Arial"/>
          <w:lang w:val="es-CO"/>
        </w:rPr>
        <w:t xml:space="preserve">), y la Personería de Pereira (Folios </w:t>
      </w:r>
      <w:r w:rsidR="00CA060D">
        <w:rPr>
          <w:rFonts w:ascii="Arial" w:hAnsi="Arial"/>
          <w:lang w:val="es-CO"/>
        </w:rPr>
        <w:t>34</w:t>
      </w:r>
      <w:r w:rsidR="00B34114">
        <w:rPr>
          <w:rFonts w:ascii="Arial" w:hAnsi="Arial"/>
          <w:lang w:val="es-CO"/>
        </w:rPr>
        <w:t xml:space="preserve"> a 3</w:t>
      </w:r>
      <w:r w:rsidR="00CA060D">
        <w:rPr>
          <w:rFonts w:ascii="Arial" w:hAnsi="Arial"/>
          <w:lang w:val="es-CO"/>
        </w:rPr>
        <w:t>6</w:t>
      </w:r>
      <w:r w:rsidR="00893EC7">
        <w:rPr>
          <w:rFonts w:ascii="Arial" w:hAnsi="Arial"/>
          <w:lang w:val="es-CO"/>
        </w:rPr>
        <w:t>, ib.</w:t>
      </w:r>
      <w:r w:rsidR="00B34114">
        <w:rPr>
          <w:rFonts w:ascii="Arial" w:hAnsi="Arial"/>
          <w:lang w:val="es-CO"/>
        </w:rPr>
        <w:t>)</w:t>
      </w:r>
      <w:r w:rsidR="003351D6">
        <w:rPr>
          <w:rFonts w:ascii="Arial" w:hAnsi="Arial"/>
          <w:lang w:val="es-CO"/>
        </w:rPr>
        <w:t xml:space="preserve">. </w:t>
      </w:r>
      <w:r w:rsidR="008F51FB">
        <w:rPr>
          <w:rFonts w:ascii="Arial" w:hAnsi="Arial"/>
          <w:lang w:val="es-CO"/>
        </w:rPr>
        <w:t xml:space="preserve">El accionado arrimó </w:t>
      </w:r>
      <w:r w:rsidR="0086767A">
        <w:rPr>
          <w:rFonts w:ascii="Arial" w:hAnsi="Arial"/>
          <w:lang w:val="es-CO"/>
        </w:rPr>
        <w:t xml:space="preserve">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CA060D">
        <w:rPr>
          <w:rFonts w:ascii="Arial" w:hAnsi="Arial" w:cs="Arial"/>
          <w:spacing w:val="3"/>
        </w:rPr>
        <w:t>27 vto.</w:t>
      </w:r>
      <w:r w:rsidR="00B34114">
        <w:rPr>
          <w:rFonts w:ascii="Arial" w:hAnsi="Arial" w:cs="Arial"/>
          <w:spacing w:val="3"/>
        </w:rPr>
        <w:t xml:space="preserve"> a </w:t>
      </w:r>
      <w:r w:rsidR="00CA060D">
        <w:rPr>
          <w:rFonts w:ascii="Arial" w:hAnsi="Arial" w:cs="Arial"/>
          <w:spacing w:val="3"/>
        </w:rPr>
        <w:t>3</w:t>
      </w:r>
      <w:r w:rsidR="00B34114">
        <w:rPr>
          <w:rFonts w:ascii="Arial" w:hAnsi="Arial" w:cs="Arial"/>
          <w:spacing w:val="3"/>
        </w:rPr>
        <w:t>2</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893EC7" w:rsidRDefault="00B41B34" w:rsidP="00B50331">
      <w:pPr>
        <w:spacing w:line="360" w:lineRule="auto"/>
        <w:jc w:val="both"/>
        <w:rPr>
          <w:rFonts w:ascii="Arial" w:hAnsi="Arial"/>
        </w:rPr>
      </w:pPr>
    </w:p>
    <w:p w:rsidR="00CF429F" w:rsidRPr="000F0BE0" w:rsidRDefault="000F0BE0" w:rsidP="00CF429F">
      <w:pPr>
        <w:numPr>
          <w:ilvl w:val="0"/>
          <w:numId w:val="18"/>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las respuestas</w:t>
      </w:r>
    </w:p>
    <w:p w:rsidR="00310F89" w:rsidRPr="00E65111" w:rsidRDefault="00310F89" w:rsidP="004774FB">
      <w:pPr>
        <w:spacing w:line="360" w:lineRule="auto"/>
        <w:jc w:val="both"/>
        <w:rPr>
          <w:rFonts w:ascii="Arial" w:hAnsi="Arial"/>
          <w:sz w:val="22"/>
        </w:rPr>
      </w:pPr>
    </w:p>
    <w:p w:rsidR="0068769B" w:rsidRPr="00633D1D" w:rsidRDefault="00F35120" w:rsidP="0068769B">
      <w:pPr>
        <w:pStyle w:val="Paragraphedeliste"/>
        <w:numPr>
          <w:ilvl w:val="1"/>
          <w:numId w:val="18"/>
        </w:numPr>
        <w:spacing w:line="360" w:lineRule="auto"/>
        <w:jc w:val="both"/>
        <w:rPr>
          <w:rFonts w:ascii="Arial" w:hAnsi="Arial"/>
          <w:smallCaps/>
          <w:szCs w:val="26"/>
        </w:rPr>
      </w:pPr>
      <w:r w:rsidRPr="00633D1D">
        <w:rPr>
          <w:rFonts w:ascii="Arial" w:hAnsi="Arial"/>
          <w:smallCaps/>
          <w:szCs w:val="26"/>
        </w:rPr>
        <w:t>L</w:t>
      </w:r>
      <w:r w:rsidR="0068769B" w:rsidRPr="00633D1D">
        <w:rPr>
          <w:rFonts w:ascii="Arial" w:hAnsi="Arial"/>
          <w:smallCaps/>
          <w:szCs w:val="26"/>
        </w:rPr>
        <w:t>a Alcaldía de Pereira</w:t>
      </w:r>
    </w:p>
    <w:p w:rsidR="0068769B" w:rsidRDefault="0068769B" w:rsidP="0068769B">
      <w:pPr>
        <w:pStyle w:val="Paragraphedeliste"/>
        <w:spacing w:line="360" w:lineRule="auto"/>
        <w:ind w:left="720"/>
        <w:jc w:val="both"/>
        <w:rPr>
          <w:rFonts w:ascii="Arial" w:hAnsi="Arial"/>
        </w:rPr>
      </w:pPr>
    </w:p>
    <w:p w:rsidR="0068769B" w:rsidRDefault="0068769B" w:rsidP="0068769B">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por lo que solicitó ser desvinculada (Folios 12 a 14, ib.).</w:t>
      </w:r>
    </w:p>
    <w:p w:rsidR="0068769B" w:rsidRDefault="0068769B" w:rsidP="0068769B">
      <w:pPr>
        <w:spacing w:line="360" w:lineRule="auto"/>
        <w:jc w:val="both"/>
        <w:rPr>
          <w:rFonts w:ascii="Arial" w:hAnsi="Arial"/>
        </w:rPr>
      </w:pPr>
    </w:p>
    <w:p w:rsidR="002F0A51" w:rsidRPr="00FD594D" w:rsidRDefault="002F0A51" w:rsidP="0068769B">
      <w:pPr>
        <w:spacing w:line="360" w:lineRule="auto"/>
        <w:jc w:val="both"/>
        <w:rPr>
          <w:rFonts w:ascii="Arial" w:hAnsi="Arial"/>
        </w:rPr>
      </w:pPr>
    </w:p>
    <w:p w:rsidR="00EE32EA" w:rsidRPr="00633D1D" w:rsidRDefault="00EE32EA" w:rsidP="00EE32EA">
      <w:pPr>
        <w:pStyle w:val="Paragraphedeliste"/>
        <w:numPr>
          <w:ilvl w:val="1"/>
          <w:numId w:val="18"/>
        </w:numPr>
        <w:spacing w:line="360" w:lineRule="auto"/>
        <w:jc w:val="both"/>
        <w:rPr>
          <w:rFonts w:ascii="Arial" w:hAnsi="Arial"/>
          <w:smallCaps/>
          <w:szCs w:val="26"/>
        </w:rPr>
      </w:pPr>
      <w:r w:rsidRPr="00633D1D">
        <w:rPr>
          <w:rFonts w:ascii="Arial" w:hAnsi="Arial"/>
          <w:smallCaps/>
          <w:szCs w:val="26"/>
        </w:rPr>
        <w:lastRenderedPageBreak/>
        <w:t>La Procuraduría General de la Nación</w:t>
      </w:r>
      <w:r w:rsidRPr="00633D1D">
        <w:rPr>
          <w:rFonts w:ascii="Arial" w:hAnsi="Arial"/>
          <w:smallCaps/>
          <w:szCs w:val="26"/>
          <w:lang w:val="es-CO"/>
        </w:rPr>
        <w:t xml:space="preserve">, Regional </w:t>
      </w:r>
      <w:r w:rsidR="00E65111" w:rsidRPr="00633D1D">
        <w:rPr>
          <w:rFonts w:ascii="Arial" w:hAnsi="Arial"/>
          <w:smallCaps/>
          <w:szCs w:val="26"/>
          <w:lang w:val="es-CO"/>
        </w:rPr>
        <w:t>Risaralda</w:t>
      </w:r>
    </w:p>
    <w:p w:rsidR="00EE32EA" w:rsidRPr="002F0A51" w:rsidRDefault="00EE32EA" w:rsidP="00EE32EA">
      <w:pPr>
        <w:spacing w:line="360" w:lineRule="auto"/>
        <w:jc w:val="both"/>
        <w:rPr>
          <w:rFonts w:ascii="Arial" w:hAnsi="Arial"/>
          <w:sz w:val="16"/>
          <w:szCs w:val="16"/>
        </w:rPr>
      </w:pPr>
    </w:p>
    <w:p w:rsidR="00E65111" w:rsidRDefault="00E65111" w:rsidP="00E65111">
      <w:pPr>
        <w:spacing w:line="360" w:lineRule="auto"/>
        <w:jc w:val="both"/>
        <w:rPr>
          <w:rFonts w:ascii="Arial" w:hAnsi="Arial"/>
        </w:rPr>
      </w:pPr>
      <w:r>
        <w:rPr>
          <w:rFonts w:ascii="Arial" w:hAnsi="Arial"/>
        </w:rPr>
        <w:t>Refirió su papel en las acciones populares</w:t>
      </w:r>
      <w:r w:rsidR="0068769B">
        <w:rPr>
          <w:rFonts w:ascii="Arial" w:hAnsi="Arial"/>
        </w:rPr>
        <w:t xml:space="preserve"> </w:t>
      </w:r>
      <w:r w:rsidR="0068769B" w:rsidRPr="00AE621B">
        <w:rPr>
          <w:rFonts w:ascii="Arial" w:hAnsi="Arial"/>
        </w:rPr>
        <w:t>y mencionó que la situación alegada, es ajena a su función, por lo que solicitó su desvinculación</w:t>
      </w:r>
      <w:r>
        <w:rPr>
          <w:rFonts w:ascii="Arial" w:hAnsi="Arial"/>
        </w:rPr>
        <w:t xml:space="preserve"> </w:t>
      </w:r>
      <w:r>
        <w:rPr>
          <w:rFonts w:ascii="Arial" w:hAnsi="Arial" w:cs="Arial"/>
          <w:spacing w:val="3"/>
        </w:rPr>
        <w:t>(Folio</w:t>
      </w:r>
      <w:r w:rsidR="00B34114">
        <w:rPr>
          <w:rFonts w:ascii="Arial" w:hAnsi="Arial" w:cs="Arial"/>
          <w:spacing w:val="3"/>
        </w:rPr>
        <w:t xml:space="preserve"> </w:t>
      </w:r>
      <w:r w:rsidR="0068769B">
        <w:rPr>
          <w:rFonts w:ascii="Arial" w:hAnsi="Arial" w:cs="Arial"/>
          <w:spacing w:val="3"/>
        </w:rPr>
        <w:t>23</w:t>
      </w:r>
      <w:r>
        <w:rPr>
          <w:rFonts w:ascii="Arial" w:hAnsi="Arial" w:cs="Arial"/>
          <w:spacing w:val="3"/>
        </w:rPr>
        <w:t>, ib.)</w:t>
      </w:r>
      <w:r>
        <w:rPr>
          <w:rFonts w:ascii="Arial" w:hAnsi="Arial"/>
        </w:rPr>
        <w:t xml:space="preserve">. </w:t>
      </w:r>
    </w:p>
    <w:p w:rsidR="00B34114" w:rsidRDefault="00B34114" w:rsidP="00B34114">
      <w:pPr>
        <w:pStyle w:val="Paragraphedeliste"/>
        <w:spacing w:line="360" w:lineRule="auto"/>
        <w:ind w:left="720"/>
        <w:jc w:val="both"/>
        <w:rPr>
          <w:rFonts w:ascii="Arial" w:hAnsi="Arial"/>
        </w:rPr>
      </w:pPr>
    </w:p>
    <w:p w:rsidR="00CE18D2" w:rsidRPr="00633D1D" w:rsidRDefault="00CE18D2" w:rsidP="00CE18D2">
      <w:pPr>
        <w:pStyle w:val="Paragraphedeliste"/>
        <w:numPr>
          <w:ilvl w:val="1"/>
          <w:numId w:val="18"/>
        </w:numPr>
        <w:spacing w:line="360" w:lineRule="auto"/>
        <w:jc w:val="both"/>
        <w:rPr>
          <w:rFonts w:ascii="Arial" w:hAnsi="Arial"/>
          <w:smallCaps/>
          <w:szCs w:val="26"/>
        </w:rPr>
      </w:pPr>
      <w:r w:rsidRPr="00633D1D">
        <w:rPr>
          <w:rFonts w:ascii="Arial" w:hAnsi="Arial"/>
          <w:smallCaps/>
          <w:szCs w:val="26"/>
        </w:rPr>
        <w:t>La Personería Municipal de Pereira</w:t>
      </w:r>
    </w:p>
    <w:p w:rsidR="00CE18D2" w:rsidRPr="002F0A51" w:rsidRDefault="00CE18D2" w:rsidP="00CE18D2">
      <w:pPr>
        <w:pStyle w:val="Paragraphedeliste"/>
        <w:spacing w:line="360" w:lineRule="auto"/>
        <w:ind w:left="720"/>
        <w:jc w:val="both"/>
        <w:rPr>
          <w:rFonts w:ascii="Arial" w:hAnsi="Arial"/>
          <w:sz w:val="16"/>
          <w:szCs w:val="16"/>
        </w:rPr>
      </w:pPr>
    </w:p>
    <w:p w:rsidR="00CE18D2" w:rsidRDefault="00CE18D2" w:rsidP="00CE18D2">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34 a 36, ib.).</w:t>
      </w:r>
    </w:p>
    <w:p w:rsidR="00B34114" w:rsidRPr="0041349F" w:rsidRDefault="00B34114" w:rsidP="0041349F">
      <w:pPr>
        <w:spacing w:line="360" w:lineRule="auto"/>
        <w:jc w:val="both"/>
        <w:rPr>
          <w:rFonts w:ascii="Arial" w:hAnsi="Arial"/>
        </w:rPr>
      </w:pPr>
    </w:p>
    <w:p w:rsidR="00CF429F" w:rsidRPr="00F35120" w:rsidRDefault="00F35120"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a fundamentación jurídica para decidir</w:t>
      </w:r>
    </w:p>
    <w:p w:rsidR="00AC1EFF" w:rsidRPr="002F0A51" w:rsidRDefault="00AC1EFF" w:rsidP="00AC1EFF">
      <w:pPr>
        <w:pStyle w:val="Corpsdetexte"/>
        <w:spacing w:line="360" w:lineRule="auto"/>
        <w:ind w:left="400"/>
        <w:rPr>
          <w:rFonts w:ascii="Arial" w:hAnsi="Arial"/>
          <w:sz w:val="16"/>
          <w:szCs w:val="16"/>
        </w:rPr>
      </w:pPr>
    </w:p>
    <w:p w:rsidR="00CF429F" w:rsidRPr="00633D1D" w:rsidRDefault="00CF429F" w:rsidP="00CF429F">
      <w:pPr>
        <w:pStyle w:val="Corpsdetexte"/>
        <w:numPr>
          <w:ilvl w:val="1"/>
          <w:numId w:val="18"/>
        </w:numPr>
        <w:tabs>
          <w:tab w:val="clear" w:pos="708"/>
          <w:tab w:val="left" w:pos="709"/>
        </w:tabs>
        <w:spacing w:line="360" w:lineRule="auto"/>
        <w:rPr>
          <w:rFonts w:ascii="Arial" w:hAnsi="Arial"/>
          <w:smallCaps/>
          <w:szCs w:val="26"/>
        </w:rPr>
      </w:pPr>
      <w:r w:rsidRPr="00633D1D">
        <w:rPr>
          <w:rFonts w:ascii="Arial" w:hAnsi="Arial"/>
          <w:smallCaps/>
          <w:szCs w:val="26"/>
        </w:rPr>
        <w:t>La competencia</w:t>
      </w:r>
    </w:p>
    <w:p w:rsidR="00A50109" w:rsidRPr="002F0A51" w:rsidRDefault="00A50109" w:rsidP="00A50109">
      <w:pPr>
        <w:pStyle w:val="Corpsdetexte"/>
        <w:tabs>
          <w:tab w:val="clear" w:pos="708"/>
          <w:tab w:val="left" w:pos="709"/>
        </w:tabs>
        <w:spacing w:line="360" w:lineRule="auto"/>
        <w:ind w:left="720"/>
        <w:rPr>
          <w:rFonts w:ascii="Arial" w:hAnsi="Arial"/>
          <w:sz w:val="16"/>
          <w:szCs w:val="16"/>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CE18D2">
        <w:rPr>
          <w:rFonts w:ascii="Arial" w:hAnsi="Arial" w:cs="Arial"/>
          <w:color w:val="000000"/>
          <w:sz w:val="24"/>
          <w:szCs w:val="24"/>
        </w:rPr>
        <w:t xml:space="preserve">Tercero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CE18D2">
        <w:rPr>
          <w:rFonts w:ascii="Arial" w:hAnsi="Arial" w:cs="Arial"/>
          <w:color w:val="000000"/>
          <w:sz w:val="24"/>
          <w:szCs w:val="24"/>
        </w:rPr>
        <w:t>Pereira</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2C5A17" w:rsidRDefault="002C5A17" w:rsidP="00CF429F">
      <w:pPr>
        <w:pStyle w:val="Retraitcorpsdetexte2"/>
        <w:spacing w:after="0" w:line="360" w:lineRule="auto"/>
        <w:ind w:left="0"/>
        <w:jc w:val="both"/>
        <w:rPr>
          <w:rFonts w:ascii="Arial" w:hAnsi="Arial" w:cs="Arial"/>
          <w:sz w:val="24"/>
          <w:szCs w:val="24"/>
        </w:rPr>
      </w:pPr>
    </w:p>
    <w:p w:rsidR="00CF429F" w:rsidRPr="00F35120" w:rsidRDefault="00CF429F" w:rsidP="00CF429F">
      <w:pPr>
        <w:pStyle w:val="Corpsdetexte"/>
        <w:numPr>
          <w:ilvl w:val="1"/>
          <w:numId w:val="18"/>
        </w:numPr>
        <w:spacing w:line="360" w:lineRule="auto"/>
        <w:rPr>
          <w:rFonts w:ascii="Arial" w:hAnsi="Arial"/>
          <w:smallCaps/>
          <w:sz w:val="26"/>
          <w:szCs w:val="26"/>
        </w:rPr>
      </w:pPr>
      <w:r w:rsidRPr="00F35120">
        <w:rPr>
          <w:rFonts w:ascii="Arial" w:hAnsi="Arial"/>
          <w:smallCaps/>
          <w:sz w:val="26"/>
          <w:szCs w:val="26"/>
        </w:rPr>
        <w:t>El problema jurídico a resolver</w:t>
      </w:r>
    </w:p>
    <w:p w:rsidR="00984EE4" w:rsidRPr="002F0A51" w:rsidRDefault="00984EE4" w:rsidP="00CF429F">
      <w:pPr>
        <w:pStyle w:val="Corpsdetexte"/>
        <w:tabs>
          <w:tab w:val="clear" w:pos="708"/>
          <w:tab w:val="clear" w:pos="1416"/>
          <w:tab w:val="left" w:pos="709"/>
          <w:tab w:val="left" w:pos="1418"/>
        </w:tabs>
        <w:spacing w:line="360" w:lineRule="auto"/>
        <w:rPr>
          <w:rFonts w:ascii="Arial" w:hAnsi="Arial"/>
          <w:sz w:val="16"/>
          <w:szCs w:val="16"/>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57736" w:rsidRPr="00EE1C51">
        <w:rPr>
          <w:rFonts w:ascii="Arial" w:hAnsi="Arial" w:cs="Arial"/>
          <w:color w:val="000000"/>
        </w:rPr>
        <w:t>Juzgado</w:t>
      </w:r>
      <w:r w:rsidR="00B57736">
        <w:rPr>
          <w:rFonts w:ascii="Arial" w:hAnsi="Arial" w:cs="Arial"/>
          <w:color w:val="000000"/>
        </w:rPr>
        <w:t xml:space="preserve"> Tercero Civil del Circuito de Pereira</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la</w:t>
      </w:r>
      <w:r w:rsidR="00B57736">
        <w:rPr>
          <w:rFonts w:ascii="Arial" w:hAnsi="Arial" w:cs="Arial"/>
          <w:spacing w:val="-3"/>
          <w:lang w:val="es-ES_tradnl"/>
        </w:rPr>
        <w:t>s</w:t>
      </w:r>
      <w:r w:rsidR="00071B86">
        <w:rPr>
          <w:rFonts w:ascii="Arial" w:hAnsi="Arial" w:cs="Arial"/>
          <w:spacing w:val="-3"/>
          <w:lang w:val="es-ES_tradnl"/>
        </w:rPr>
        <w:t xml:space="preserve"> </w:t>
      </w:r>
      <w:r w:rsidR="00B57736">
        <w:rPr>
          <w:rFonts w:ascii="Arial" w:hAnsi="Arial" w:cs="Arial"/>
          <w:spacing w:val="-3"/>
          <w:lang w:val="es-ES_tradnl"/>
        </w:rPr>
        <w:t>acciones</w:t>
      </w:r>
      <w:r w:rsidR="00071B86">
        <w:rPr>
          <w:rFonts w:ascii="Arial" w:hAnsi="Arial" w:cs="Arial"/>
          <w:spacing w:val="-3"/>
          <w:lang w:val="es-ES_tradnl"/>
        </w:rPr>
        <w:t xml:space="preserve"> </w:t>
      </w:r>
      <w:r w:rsidR="00AC1EFF">
        <w:rPr>
          <w:rFonts w:ascii="Arial" w:hAnsi="Arial" w:cs="Arial"/>
          <w:spacing w:val="-3"/>
          <w:lang w:val="es-ES_tradnl"/>
        </w:rPr>
        <w:t>popular</w:t>
      </w:r>
      <w:r w:rsidR="00B57736">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l</w:t>
      </w:r>
      <w:r w:rsidR="00B57736">
        <w:rPr>
          <w:rFonts w:ascii="Arial" w:hAnsi="Arial" w:cs="Arial"/>
          <w:spacing w:val="-3"/>
          <w:lang w:val="es-ES_tradnl"/>
        </w:rPr>
        <w:t>os</w:t>
      </w:r>
      <w:r w:rsidR="003D2915">
        <w:rPr>
          <w:rFonts w:ascii="Arial" w:hAnsi="Arial" w:cs="Arial"/>
          <w:spacing w:val="-3"/>
          <w:lang w:val="es-ES_tradnl"/>
        </w:rPr>
        <w:t xml:space="preserve"> escrito</w:t>
      </w:r>
      <w:r w:rsidR="00B57736">
        <w:rPr>
          <w:rFonts w:ascii="Arial" w:hAnsi="Arial" w:cs="Arial"/>
          <w:spacing w:val="-3"/>
          <w:lang w:val="es-ES_tradnl"/>
        </w:rPr>
        <w:t>s</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Pr="00F35120"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3351D6" w:rsidRPr="002F0A51" w:rsidRDefault="003351D6" w:rsidP="003351D6">
      <w:pPr>
        <w:pStyle w:val="Corpsdetexte"/>
        <w:tabs>
          <w:tab w:val="clear" w:pos="0"/>
          <w:tab w:val="clear" w:pos="708"/>
          <w:tab w:val="clear" w:pos="1416"/>
          <w:tab w:val="left" w:pos="709"/>
        </w:tabs>
        <w:spacing w:line="360" w:lineRule="auto"/>
        <w:ind w:left="720"/>
        <w:rPr>
          <w:rFonts w:ascii="Arial" w:hAnsi="Arial"/>
          <w:sz w:val="16"/>
          <w:szCs w:val="16"/>
        </w:rPr>
      </w:pPr>
    </w:p>
    <w:p w:rsidR="003351D6" w:rsidRPr="00F35120"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3351D6" w:rsidRPr="002F0A51" w:rsidRDefault="003351D6" w:rsidP="003351D6">
      <w:pPr>
        <w:pStyle w:val="Corpsdetexte"/>
        <w:spacing w:line="360" w:lineRule="auto"/>
        <w:rPr>
          <w:rFonts w:ascii="Arial" w:hAnsi="Arial" w:cs="Arial"/>
          <w:sz w:val="16"/>
          <w:szCs w:val="16"/>
        </w:rPr>
      </w:pPr>
    </w:p>
    <w:p w:rsidR="00AE15D2" w:rsidRDefault="00AE15D2" w:rsidP="00AE15D2">
      <w:pPr>
        <w:pStyle w:val="Corpsdetexte"/>
        <w:spacing w:line="360" w:lineRule="auto"/>
        <w:rPr>
          <w:rFonts w:ascii="Arial" w:hAnsi="Arial" w:cs="Arial"/>
          <w:szCs w:val="24"/>
        </w:rPr>
      </w:pPr>
      <w:r>
        <w:rPr>
          <w:rFonts w:ascii="Arial" w:hAnsi="Arial" w:cs="Arial"/>
          <w:szCs w:val="24"/>
        </w:rPr>
        <w:t>Se cumple la legitimación por activa dado que el actor es el accionante en la</w:t>
      </w:r>
      <w:r w:rsidR="00B57736">
        <w:rPr>
          <w:rFonts w:ascii="Arial" w:hAnsi="Arial" w:cs="Arial"/>
          <w:szCs w:val="24"/>
        </w:rPr>
        <w:t>s</w:t>
      </w:r>
      <w:r>
        <w:rPr>
          <w:rFonts w:ascii="Arial" w:hAnsi="Arial" w:cs="Arial"/>
          <w:szCs w:val="24"/>
        </w:rPr>
        <w:t xml:space="preserve"> </w:t>
      </w:r>
      <w:r w:rsidR="00B57736">
        <w:rPr>
          <w:rFonts w:ascii="Arial" w:hAnsi="Arial" w:cs="Arial"/>
          <w:szCs w:val="24"/>
        </w:rPr>
        <w:t>acciones</w:t>
      </w:r>
      <w:r>
        <w:rPr>
          <w:rFonts w:ascii="Arial" w:hAnsi="Arial" w:cs="Arial"/>
          <w:szCs w:val="24"/>
        </w:rPr>
        <w:t xml:space="preserve"> popular</w:t>
      </w:r>
      <w:r w:rsidR="00B57736">
        <w:rPr>
          <w:rFonts w:ascii="Arial" w:hAnsi="Arial" w:cs="Arial"/>
          <w:szCs w:val="24"/>
        </w:rPr>
        <w:t>es</w:t>
      </w:r>
      <w:r>
        <w:rPr>
          <w:rFonts w:ascii="Arial" w:hAnsi="Arial" w:cs="Arial"/>
          <w:szCs w:val="24"/>
        </w:rPr>
        <w:t xml:space="preserve"> en la</w:t>
      </w:r>
      <w:r w:rsidR="00B57736">
        <w:rPr>
          <w:rFonts w:ascii="Arial" w:hAnsi="Arial" w:cs="Arial"/>
          <w:szCs w:val="24"/>
        </w:rPr>
        <w:t>s</w:t>
      </w:r>
      <w:r>
        <w:rPr>
          <w:rFonts w:ascii="Arial" w:hAnsi="Arial" w:cs="Arial"/>
          <w:szCs w:val="24"/>
        </w:rPr>
        <w:t xml:space="preserve"> que se reprocha la falta al debido proceso. Y por pasiva, lo es el </w:t>
      </w:r>
      <w:r w:rsidR="00B57736" w:rsidRPr="00EE1C51">
        <w:rPr>
          <w:rFonts w:ascii="Arial" w:hAnsi="Arial" w:cs="Arial"/>
          <w:color w:val="000000"/>
          <w:szCs w:val="24"/>
        </w:rPr>
        <w:t>Juzgado</w:t>
      </w:r>
      <w:r w:rsidR="00B57736">
        <w:rPr>
          <w:rFonts w:ascii="Arial" w:hAnsi="Arial" w:cs="Arial"/>
          <w:color w:val="000000"/>
          <w:szCs w:val="24"/>
        </w:rPr>
        <w:t xml:space="preserve"> Tercero Civil del Circuito de Pereira</w:t>
      </w:r>
      <w:r>
        <w:rPr>
          <w:rFonts w:ascii="Arial" w:hAnsi="Arial" w:cs="Arial"/>
          <w:szCs w:val="24"/>
        </w:rPr>
        <w:t xml:space="preserve">, R., al ser la autoridad judicial que conoce </w:t>
      </w:r>
      <w:r w:rsidR="00061050">
        <w:rPr>
          <w:rFonts w:ascii="Arial" w:hAnsi="Arial" w:cs="Arial"/>
          <w:szCs w:val="24"/>
        </w:rPr>
        <w:t xml:space="preserve">los </w:t>
      </w:r>
      <w:r>
        <w:rPr>
          <w:rFonts w:ascii="Arial" w:hAnsi="Arial" w:cs="Arial"/>
          <w:szCs w:val="24"/>
        </w:rPr>
        <w:t>asunto</w:t>
      </w:r>
      <w:r w:rsidR="00061050">
        <w:rPr>
          <w:rFonts w:ascii="Arial" w:hAnsi="Arial" w:cs="Arial"/>
          <w:szCs w:val="24"/>
        </w:rPr>
        <w:t>s</w:t>
      </w:r>
      <w:r>
        <w:rPr>
          <w:rFonts w:ascii="Arial" w:hAnsi="Arial" w:cs="Arial"/>
          <w:szCs w:val="24"/>
        </w:rPr>
        <w:t>.</w:t>
      </w:r>
    </w:p>
    <w:p w:rsidR="00AE15D2" w:rsidRDefault="00AE15D2" w:rsidP="00AE15D2">
      <w:pPr>
        <w:pStyle w:val="Corpsdetex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p>
    <w:p w:rsidR="002F0A51" w:rsidRPr="007251E6" w:rsidRDefault="002F0A51"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Pr="00F35120"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F260D7" w:rsidRPr="002F0A51"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6"/>
          <w:szCs w:val="16"/>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w:t>
      </w:r>
      <w:r w:rsidRPr="006A3AB9">
        <w:rPr>
          <w:rFonts w:ascii="Arial" w:hAnsi="Arial" w:cs="Arial"/>
          <w:szCs w:val="24"/>
        </w:rPr>
        <w:lastRenderedPageBreak/>
        <w:t xml:space="preserve">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proofErr w:type="gramStart"/>
      <w:r>
        <w:rPr>
          <w:rFonts w:ascii="Arial" w:hAnsi="Arial" w:cs="Arial"/>
          <w:szCs w:val="24"/>
        </w:rPr>
        <w:t>y</w:t>
      </w:r>
      <w:proofErr w:type="gramEnd"/>
      <w:r>
        <w:rPr>
          <w:rFonts w:ascii="Arial" w:hAnsi="Arial" w:cs="Arial"/>
          <w:szCs w:val="24"/>
        </w:rPr>
        <w:t xml:space="preserve">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2F0A51" w:rsidRDefault="00D014C4" w:rsidP="00F260D7">
      <w:pPr>
        <w:pStyle w:val="Corpsdetexte"/>
        <w:spacing w:line="360" w:lineRule="auto"/>
        <w:rPr>
          <w:rFonts w:ascii="Arial" w:hAnsi="Arial" w:cs="Arial"/>
          <w:sz w:val="16"/>
          <w:szCs w:val="16"/>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2F0A51" w:rsidRDefault="00F260D7" w:rsidP="00F260D7">
      <w:pPr>
        <w:pStyle w:val="Corpsdetexte"/>
        <w:spacing w:line="360" w:lineRule="auto"/>
        <w:rPr>
          <w:rFonts w:ascii="Arial" w:hAnsi="Arial" w:cs="Arial"/>
          <w:sz w:val="16"/>
          <w:szCs w:val="16"/>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2F0A51" w:rsidRDefault="00F260D7" w:rsidP="00F260D7">
      <w:pPr>
        <w:pStyle w:val="Corpsdetexte"/>
        <w:spacing w:line="360" w:lineRule="auto"/>
        <w:rPr>
          <w:rFonts w:ascii="Arial" w:hAnsi="Arial" w:cs="Arial"/>
          <w:sz w:val="16"/>
          <w:szCs w:val="16"/>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35120"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130DD6" w:rsidRPr="002F0A51" w:rsidRDefault="00130DD6" w:rsidP="00130DD6">
      <w:pPr>
        <w:pStyle w:val="Corpsdetexte"/>
        <w:tabs>
          <w:tab w:val="clear" w:pos="0"/>
        </w:tabs>
        <w:spacing w:line="360" w:lineRule="auto"/>
        <w:rPr>
          <w:rFonts w:ascii="Arial" w:hAnsi="Arial" w:cs="Arial"/>
          <w:sz w:val="16"/>
          <w:szCs w:val="16"/>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w:t>
      </w:r>
      <w:r w:rsidRPr="00FF4929">
        <w:rPr>
          <w:rFonts w:ascii="Arial" w:hAnsi="Arial" w:cs="Arial"/>
          <w:szCs w:val="24"/>
        </w:rPr>
        <w:lastRenderedPageBreak/>
        <w:t xml:space="preserve">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061050" w:rsidRDefault="00061050" w:rsidP="00D014C4">
      <w:pPr>
        <w:widowControl/>
        <w:autoSpaceDE/>
        <w:autoSpaceDN/>
        <w:adjustRightInd/>
        <w:spacing w:line="360" w:lineRule="auto"/>
        <w:jc w:val="both"/>
        <w:rPr>
          <w:rFonts w:ascii="Arial" w:hAnsi="Arial" w:cs="Arial"/>
          <w:lang w:val="es-ES_tradnl"/>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061050">
        <w:rPr>
          <w:rFonts w:ascii="Arial" w:hAnsi="Arial" w:cs="Arial"/>
          <w:lang w:val="es-ES_tradnl"/>
        </w:rPr>
        <w:t xml:space="preserve"> 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w:t>
      </w:r>
      <w:r w:rsidR="00061050">
        <w:rPr>
          <w:rFonts w:ascii="Arial" w:hAnsi="Arial" w:cs="Arial"/>
          <w:lang w:val="es-ES_tradnl"/>
        </w:rPr>
        <w:t xml:space="preserve"> </w:t>
      </w:r>
      <w:r w:rsidRPr="00FF4929">
        <w:rPr>
          <w:rFonts w:ascii="Arial" w:hAnsi="Arial" w:cs="Arial"/>
          <w:lang w:val="es-ES_tradnl"/>
        </w:rPr>
        <w:t xml:space="preserve">en </w:t>
      </w:r>
      <w:r w:rsidR="00061050">
        <w:rPr>
          <w:rFonts w:ascii="Arial" w:hAnsi="Arial" w:cs="Arial"/>
          <w:lang w:val="es-ES_tradnl"/>
        </w:rPr>
        <w:t xml:space="preserve"> </w:t>
      </w:r>
      <w:r w:rsidRPr="00FF4929">
        <w:rPr>
          <w:rFonts w:ascii="Arial" w:hAnsi="Arial" w:cs="Arial"/>
          <w:lang w:val="es-ES_tradnl"/>
        </w:rPr>
        <w:t xml:space="preserve">su </w:t>
      </w:r>
      <w:r w:rsidR="00061050">
        <w:rPr>
          <w:rFonts w:ascii="Arial" w:hAnsi="Arial" w:cs="Arial"/>
          <w:lang w:val="es-ES_tradnl"/>
        </w:rPr>
        <w:t xml:space="preserve"> </w:t>
      </w:r>
      <w:r w:rsidRPr="00FF4929">
        <w:rPr>
          <w:rFonts w:ascii="Arial" w:hAnsi="Arial" w:cs="Arial"/>
          <w:lang w:val="es-ES_tradnl"/>
        </w:rPr>
        <w:t xml:space="preserve">jurisprudencia </w:t>
      </w:r>
      <w:r w:rsidR="00061050">
        <w:rPr>
          <w:rFonts w:ascii="Arial" w:hAnsi="Arial" w:cs="Arial"/>
          <w:lang w:val="es-ES_tradnl"/>
        </w:rPr>
        <w:t xml:space="preserve"> </w:t>
      </w:r>
      <w:r w:rsidRPr="00FF4929">
        <w:rPr>
          <w:rFonts w:ascii="Arial" w:hAnsi="Arial" w:cs="Arial"/>
          <w:lang w:val="es-ES_tradnl"/>
        </w:rPr>
        <w:t xml:space="preserve">ha </w:t>
      </w:r>
      <w:r w:rsidR="00061050">
        <w:rPr>
          <w:rFonts w:ascii="Arial" w:hAnsi="Arial" w:cs="Arial"/>
          <w:lang w:val="es-ES_tradnl"/>
        </w:rPr>
        <w:t xml:space="preserve"> </w:t>
      </w:r>
      <w:r w:rsidRPr="00FF4929">
        <w:rPr>
          <w:rFonts w:ascii="Arial" w:hAnsi="Arial" w:cs="Arial"/>
          <w:lang w:val="es-ES_tradnl"/>
        </w:rPr>
        <w:t>destacado la importancia de preservar el principio de subsidiariedad en el amparo constitucional:</w:t>
      </w:r>
    </w:p>
    <w:p w:rsidR="004B554C" w:rsidRPr="002F0A51" w:rsidRDefault="004B554C" w:rsidP="00D014C4">
      <w:pPr>
        <w:widowControl/>
        <w:autoSpaceDE/>
        <w:autoSpaceDN/>
        <w:adjustRightInd/>
        <w:spacing w:line="360" w:lineRule="auto"/>
        <w:jc w:val="both"/>
        <w:rPr>
          <w:rFonts w:ascii="Arial" w:hAnsi="Arial" w:cs="Arial"/>
          <w:sz w:val="16"/>
          <w:szCs w:val="16"/>
          <w:lang w:val="es-ES_tradnl"/>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2F0A51" w:rsidRDefault="004B554C" w:rsidP="00D014C4">
      <w:pPr>
        <w:pStyle w:val="Corpsdetexte"/>
        <w:tabs>
          <w:tab w:val="clear" w:pos="0"/>
        </w:tabs>
        <w:spacing w:line="240" w:lineRule="auto"/>
        <w:ind w:left="567" w:right="567"/>
        <w:rPr>
          <w:rFonts w:ascii="Arial" w:hAnsi="Arial" w:cs="Arial"/>
          <w:color w:val="000000"/>
          <w:sz w:val="32"/>
          <w:szCs w:val="32"/>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2F0A51" w:rsidRDefault="00D014C4" w:rsidP="00D014C4">
      <w:pPr>
        <w:pStyle w:val="Corpsdetexte"/>
        <w:tabs>
          <w:tab w:val="clear" w:pos="0"/>
        </w:tabs>
        <w:spacing w:line="360" w:lineRule="auto"/>
        <w:rPr>
          <w:rFonts w:ascii="Arial" w:hAnsi="Arial" w:cs="Arial"/>
          <w:sz w:val="16"/>
          <w:szCs w:val="16"/>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061050">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8E1295" w:rsidRPr="00F35120" w:rsidRDefault="00F35120" w:rsidP="00952597">
      <w:pPr>
        <w:pStyle w:val="Corpsdetexte"/>
        <w:numPr>
          <w:ilvl w:val="0"/>
          <w:numId w:val="18"/>
        </w:numPr>
        <w:spacing w:line="360" w:lineRule="auto"/>
        <w:rPr>
          <w:rFonts w:ascii="Arial" w:hAnsi="Arial"/>
          <w:smallCaps/>
          <w:sz w:val="28"/>
          <w:szCs w:val="28"/>
        </w:rPr>
      </w:pPr>
      <w:r>
        <w:rPr>
          <w:rFonts w:ascii="Arial" w:hAnsi="Arial"/>
          <w:smallCaps/>
          <w:sz w:val="28"/>
          <w:szCs w:val="28"/>
        </w:rPr>
        <w:lastRenderedPageBreak/>
        <w:t>E</w:t>
      </w:r>
      <w:r w:rsidRPr="00F35120">
        <w:rPr>
          <w:rFonts w:ascii="Arial" w:hAnsi="Arial"/>
          <w:smallCaps/>
          <w:sz w:val="28"/>
          <w:szCs w:val="28"/>
        </w:rPr>
        <w:t xml:space="preserve">l caso concreto </w:t>
      </w:r>
    </w:p>
    <w:p w:rsidR="008139F4" w:rsidRPr="002F0A51" w:rsidRDefault="008139F4" w:rsidP="008139F4">
      <w:pPr>
        <w:pStyle w:val="Corpsdetexte"/>
        <w:spacing w:line="360" w:lineRule="auto"/>
        <w:ind w:left="400"/>
        <w:rPr>
          <w:rFonts w:ascii="Arial" w:hAnsi="Arial"/>
          <w:sz w:val="10"/>
          <w:szCs w:val="10"/>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a la subsidiariedad, porque es el </w:t>
      </w:r>
      <w:proofErr w:type="gramStart"/>
      <w:r w:rsidRPr="00F164B1">
        <w:rPr>
          <w:rFonts w:ascii="Arial" w:hAnsi="Arial" w:cs="Arial"/>
          <w:lang w:val="es-ES_tradnl"/>
        </w:rPr>
        <w:t>elemento</w:t>
      </w:r>
      <w:proofErr w:type="gramEnd"/>
      <w:r w:rsidRPr="00F164B1">
        <w:rPr>
          <w:rFonts w:ascii="Arial" w:hAnsi="Arial" w:cs="Arial"/>
          <w:lang w:val="es-ES_tradnl"/>
        </w:rPr>
        <w:t xml:space="preserve"> que se advierte ausente y resulta suficiente para el fracaso del amparo.</w:t>
      </w:r>
    </w:p>
    <w:p w:rsidR="00AE15D2" w:rsidRPr="002F0A51" w:rsidRDefault="00AE15D2" w:rsidP="00AE15D2">
      <w:pPr>
        <w:spacing w:line="360" w:lineRule="auto"/>
        <w:jc w:val="both"/>
        <w:rPr>
          <w:rFonts w:ascii="Arial" w:hAnsi="Arial" w:cs="Arial"/>
          <w:sz w:val="16"/>
          <w:szCs w:val="16"/>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 xml:space="preserve">El actor se duele porque el </w:t>
      </w:r>
      <w:r w:rsidR="00B57736" w:rsidRPr="00EE1C51">
        <w:rPr>
          <w:rFonts w:ascii="Arial" w:hAnsi="Arial" w:cs="Arial"/>
          <w:color w:val="000000"/>
        </w:rPr>
        <w:t>Juzgado</w:t>
      </w:r>
      <w:r w:rsidR="00B57736">
        <w:rPr>
          <w:rFonts w:ascii="Arial" w:hAnsi="Arial" w:cs="Arial"/>
          <w:color w:val="000000"/>
        </w:rPr>
        <w:t xml:space="preserve"> Tercero Civil del Circuito de Pereira</w:t>
      </w:r>
      <w:r w:rsidRPr="00F164B1">
        <w:rPr>
          <w:rFonts w:ascii="Arial" w:hAnsi="Arial" w:cs="Arial"/>
          <w:lang w:val="es-ES_tradnl"/>
        </w:rPr>
        <w:t>, R. no</w:t>
      </w:r>
      <w:r>
        <w:rPr>
          <w:rFonts w:ascii="Arial" w:hAnsi="Arial" w:cs="Arial"/>
          <w:lang w:val="es-ES_tradnl"/>
        </w:rPr>
        <w:t xml:space="preserve"> </w:t>
      </w:r>
      <w:r w:rsidRPr="00A80FCC">
        <w:rPr>
          <w:rFonts w:ascii="Arial" w:hAnsi="Arial" w:cs="Arial"/>
          <w:lang w:val="es-ES_tradnl"/>
        </w:rPr>
        <w:t>asumió el conocimiento de la</w:t>
      </w:r>
      <w:r w:rsidR="00B57736">
        <w:rPr>
          <w:rFonts w:ascii="Arial" w:hAnsi="Arial" w:cs="Arial"/>
          <w:lang w:val="es-ES_tradnl"/>
        </w:rPr>
        <w:t>s</w:t>
      </w:r>
      <w:r w:rsidRPr="00A80FCC">
        <w:rPr>
          <w:rFonts w:ascii="Arial" w:hAnsi="Arial" w:cs="Arial"/>
          <w:lang w:val="es-ES_tradnl"/>
        </w:rPr>
        <w:t xml:space="preserve"> </w:t>
      </w:r>
      <w:r w:rsidR="00B57736" w:rsidRPr="00A80FCC">
        <w:rPr>
          <w:rFonts w:ascii="Arial" w:hAnsi="Arial" w:cs="Arial"/>
          <w:lang w:val="es-ES_tradnl"/>
        </w:rPr>
        <w:t>accion</w:t>
      </w:r>
      <w:r w:rsidR="00B57736">
        <w:rPr>
          <w:rFonts w:ascii="Arial" w:hAnsi="Arial" w:cs="Arial"/>
          <w:lang w:val="es-ES_tradnl"/>
        </w:rPr>
        <w:t>es</w:t>
      </w:r>
      <w:r w:rsidRPr="00A80FCC">
        <w:rPr>
          <w:rFonts w:ascii="Arial" w:hAnsi="Arial" w:cs="Arial"/>
          <w:lang w:val="es-ES_tradnl"/>
        </w:rPr>
        <w:t xml:space="preserve"> popular</w:t>
      </w:r>
      <w:r w:rsidR="00B57736">
        <w:rPr>
          <w:rFonts w:ascii="Arial" w:hAnsi="Arial" w:cs="Arial"/>
          <w:lang w:val="es-ES_tradnl"/>
        </w:rPr>
        <w:t>es</w:t>
      </w:r>
      <w:r w:rsidRPr="00A80FCC">
        <w:rPr>
          <w:rFonts w:ascii="Arial" w:hAnsi="Arial" w:cs="Arial"/>
          <w:lang w:val="es-ES_tradnl"/>
        </w:rPr>
        <w:t xml:space="preserve"> a pesar de que la entidad accionada tiene su domicilio en es</w:t>
      </w:r>
      <w:r w:rsidR="00B57736">
        <w:rPr>
          <w:rFonts w:ascii="Arial" w:hAnsi="Arial" w:cs="Arial"/>
          <w:lang w:val="es-ES_tradnl"/>
        </w:rPr>
        <w:t>t</w:t>
      </w:r>
      <w:r w:rsidRPr="00A80FCC">
        <w:rPr>
          <w:rFonts w:ascii="Arial" w:hAnsi="Arial" w:cs="Arial"/>
          <w:lang w:val="es-ES_tradnl"/>
        </w:rPr>
        <w:t xml:space="preserve">a localidad (Artículo 16, Ley 472). </w:t>
      </w:r>
    </w:p>
    <w:p w:rsidR="00AE15D2" w:rsidRPr="002F0A51" w:rsidRDefault="00AE15D2" w:rsidP="00AE15D2">
      <w:pPr>
        <w:pStyle w:val="Corpsdetexte"/>
        <w:spacing w:line="360" w:lineRule="auto"/>
        <w:rPr>
          <w:rFonts w:ascii="Arial" w:hAnsi="Arial" w:cs="Arial"/>
          <w:sz w:val="16"/>
          <w:szCs w:val="16"/>
        </w:rPr>
      </w:pPr>
    </w:p>
    <w:p w:rsidR="00AE15D2" w:rsidRPr="00A80FCC" w:rsidRDefault="00AE15D2" w:rsidP="00AE15D2">
      <w:pPr>
        <w:spacing w:line="360" w:lineRule="auto"/>
        <w:jc w:val="both"/>
        <w:rPr>
          <w:rFonts w:ascii="Arial" w:hAnsi="Arial" w:cs="Arial"/>
          <w:lang w:val="es-ES_tradnl"/>
        </w:rPr>
      </w:pPr>
      <w:r w:rsidRPr="00A80FCC">
        <w:rPr>
          <w:rFonts w:ascii="Arial" w:hAnsi="Arial" w:cs="Arial"/>
          <w:lang w:val="es-ES_tradnl"/>
        </w:rPr>
        <w:t xml:space="preserve">Conforme al acervo probatorio </w:t>
      </w:r>
      <w:r w:rsidR="004C1F30">
        <w:rPr>
          <w:rFonts w:ascii="Arial" w:hAnsi="Arial" w:cs="Arial"/>
          <w:lang w:val="es-ES_tradnl"/>
        </w:rPr>
        <w:t xml:space="preserve">el despacho judicial accionado </w:t>
      </w:r>
      <w:r w:rsidRPr="00A80FCC">
        <w:rPr>
          <w:rFonts w:ascii="Arial" w:hAnsi="Arial" w:cs="Arial"/>
          <w:lang w:val="es-ES_tradnl"/>
        </w:rPr>
        <w:t>mediante proveído</w:t>
      </w:r>
      <w:r w:rsidR="00F3121B">
        <w:rPr>
          <w:rFonts w:ascii="Arial" w:hAnsi="Arial" w:cs="Arial"/>
          <w:lang w:val="es-ES_tradnl"/>
        </w:rPr>
        <w:t>s</w:t>
      </w:r>
      <w:r w:rsidRPr="00A80FCC">
        <w:rPr>
          <w:rFonts w:ascii="Arial" w:hAnsi="Arial" w:cs="Arial"/>
          <w:lang w:val="es-ES_tradnl"/>
        </w:rPr>
        <w:t xml:space="preserve"> dictado</w:t>
      </w:r>
      <w:r w:rsidR="00F3121B">
        <w:rPr>
          <w:rFonts w:ascii="Arial" w:hAnsi="Arial" w:cs="Arial"/>
          <w:lang w:val="es-ES_tradnl"/>
        </w:rPr>
        <w:t>s</w:t>
      </w:r>
      <w:r w:rsidRPr="00A80FCC">
        <w:rPr>
          <w:rFonts w:ascii="Arial" w:hAnsi="Arial" w:cs="Arial"/>
          <w:lang w:val="es-ES_tradnl"/>
        </w:rPr>
        <w:t xml:space="preserve"> el día 2</w:t>
      </w:r>
      <w:r w:rsidR="00F3121B">
        <w:rPr>
          <w:rFonts w:ascii="Arial" w:hAnsi="Arial" w:cs="Arial"/>
          <w:lang w:val="es-ES_tradnl"/>
        </w:rPr>
        <w:t>8</w:t>
      </w:r>
      <w:r w:rsidRPr="00A80FCC">
        <w:rPr>
          <w:rFonts w:ascii="Arial" w:hAnsi="Arial" w:cs="Arial"/>
          <w:lang w:val="es-ES_tradnl"/>
        </w:rPr>
        <w:t>-</w:t>
      </w:r>
      <w:r w:rsidR="007304DC">
        <w:rPr>
          <w:rFonts w:ascii="Arial" w:hAnsi="Arial" w:cs="Arial"/>
          <w:lang w:val="es-ES_tradnl"/>
        </w:rPr>
        <w:t>11</w:t>
      </w:r>
      <w:r w:rsidRPr="00A80FCC">
        <w:rPr>
          <w:rFonts w:ascii="Arial" w:hAnsi="Arial" w:cs="Arial"/>
          <w:lang w:val="es-ES_tradnl"/>
        </w:rPr>
        <w:t>-2016, rechazó la</w:t>
      </w:r>
      <w:r w:rsidR="007304DC">
        <w:rPr>
          <w:rFonts w:ascii="Arial" w:hAnsi="Arial" w:cs="Arial"/>
          <w:lang w:val="es-ES_tradnl"/>
        </w:rPr>
        <w:t>s</w:t>
      </w:r>
      <w:r w:rsidRPr="00A80FCC">
        <w:rPr>
          <w:rFonts w:ascii="Arial" w:hAnsi="Arial" w:cs="Arial"/>
          <w:lang w:val="es-ES_tradnl"/>
        </w:rPr>
        <w:t xml:space="preserve"> </w:t>
      </w:r>
      <w:r w:rsidR="007304DC" w:rsidRPr="00A80FCC">
        <w:rPr>
          <w:rFonts w:ascii="Arial" w:hAnsi="Arial" w:cs="Arial"/>
          <w:lang w:val="es-ES_tradnl"/>
        </w:rPr>
        <w:t>accion</w:t>
      </w:r>
      <w:r w:rsidR="007304DC">
        <w:rPr>
          <w:rFonts w:ascii="Arial" w:hAnsi="Arial" w:cs="Arial"/>
          <w:lang w:val="es-ES_tradnl"/>
        </w:rPr>
        <w:t>es</w:t>
      </w:r>
      <w:r w:rsidRPr="00A80FCC">
        <w:rPr>
          <w:rFonts w:ascii="Arial" w:hAnsi="Arial" w:cs="Arial"/>
          <w:lang w:val="es-ES_tradnl"/>
        </w:rPr>
        <w:t xml:space="preserve"> popular</w:t>
      </w:r>
      <w:r w:rsidR="007304DC">
        <w:rPr>
          <w:rFonts w:ascii="Arial" w:hAnsi="Arial" w:cs="Arial"/>
          <w:lang w:val="es-ES_tradnl"/>
        </w:rPr>
        <w:t>es</w:t>
      </w:r>
      <w:r w:rsidRPr="00A80FCC">
        <w:rPr>
          <w:rFonts w:ascii="Arial" w:hAnsi="Arial" w:cs="Arial"/>
          <w:lang w:val="es-ES_tradnl"/>
        </w:rPr>
        <w:t xml:space="preserve"> por carecer de competencia y ordenó su envío a</w:t>
      </w:r>
      <w:r w:rsidR="007304DC">
        <w:rPr>
          <w:rFonts w:ascii="Arial" w:hAnsi="Arial" w:cs="Arial"/>
          <w:lang w:val="es-ES_tradnl"/>
        </w:rPr>
        <w:t xml:space="preserve"> </w:t>
      </w:r>
      <w:r w:rsidRPr="00A80FCC">
        <w:rPr>
          <w:rFonts w:ascii="Arial" w:hAnsi="Arial" w:cs="Arial"/>
          <w:lang w:val="es-ES_tradnl"/>
        </w:rPr>
        <w:t>l</w:t>
      </w:r>
      <w:r w:rsidR="007304DC">
        <w:rPr>
          <w:rFonts w:ascii="Arial" w:hAnsi="Arial" w:cs="Arial"/>
          <w:lang w:val="es-ES_tradnl"/>
        </w:rPr>
        <w:t>os</w:t>
      </w:r>
      <w:r w:rsidRPr="00A80FCC">
        <w:rPr>
          <w:rFonts w:ascii="Arial" w:hAnsi="Arial" w:cs="Arial"/>
          <w:lang w:val="es-ES_tradnl"/>
        </w:rPr>
        <w:t xml:space="preserve"> Juzgado</w:t>
      </w:r>
      <w:r w:rsidR="007304DC">
        <w:rPr>
          <w:rFonts w:ascii="Arial" w:hAnsi="Arial" w:cs="Arial"/>
          <w:lang w:val="es-ES_tradnl"/>
        </w:rPr>
        <w:t>s</w:t>
      </w:r>
      <w:r w:rsidRPr="00A80FCC">
        <w:rPr>
          <w:rFonts w:ascii="Arial" w:hAnsi="Arial" w:cs="Arial"/>
          <w:lang w:val="es-ES_tradnl"/>
        </w:rPr>
        <w:t xml:space="preserve"> </w:t>
      </w:r>
      <w:r w:rsidR="007304DC">
        <w:rPr>
          <w:rFonts w:ascii="Arial" w:hAnsi="Arial" w:cs="Arial"/>
          <w:lang w:val="es-ES_tradnl"/>
        </w:rPr>
        <w:t>Civiles</w:t>
      </w:r>
      <w:r w:rsidR="004C1F30">
        <w:rPr>
          <w:rFonts w:ascii="Arial" w:hAnsi="Arial" w:cs="Arial"/>
          <w:lang w:val="es-ES_tradnl"/>
        </w:rPr>
        <w:t xml:space="preserve"> del Circuito</w:t>
      </w:r>
      <w:r w:rsidR="007304DC">
        <w:rPr>
          <w:rFonts w:ascii="Arial" w:hAnsi="Arial" w:cs="Arial"/>
          <w:lang w:val="es-ES_tradnl"/>
        </w:rPr>
        <w:t xml:space="preserve"> (Reparto)</w:t>
      </w:r>
      <w:r w:rsidR="004C1F30">
        <w:rPr>
          <w:rFonts w:ascii="Arial" w:hAnsi="Arial" w:cs="Arial"/>
          <w:lang w:val="es-ES_tradnl"/>
        </w:rPr>
        <w:t xml:space="preserve"> de </w:t>
      </w:r>
      <w:r w:rsidR="007304DC">
        <w:rPr>
          <w:rFonts w:ascii="Arial" w:hAnsi="Arial" w:cs="Arial"/>
          <w:lang w:val="es-ES_tradnl"/>
        </w:rPr>
        <w:t>Barranquilla, A. y Calarcá, Q.</w:t>
      </w:r>
      <w:r w:rsidR="001E2344">
        <w:rPr>
          <w:rFonts w:ascii="Arial" w:hAnsi="Arial" w:cs="Arial"/>
          <w:lang w:val="es-ES_tradnl"/>
        </w:rPr>
        <w:t>, respectivamente</w:t>
      </w:r>
      <w:r w:rsidRPr="00A80FCC">
        <w:rPr>
          <w:rFonts w:ascii="Arial" w:hAnsi="Arial" w:cs="Arial"/>
          <w:lang w:val="es-ES_tradnl"/>
        </w:rPr>
        <w:t xml:space="preserve"> (Folio</w:t>
      </w:r>
      <w:r w:rsidR="001E2344">
        <w:rPr>
          <w:rFonts w:ascii="Arial" w:hAnsi="Arial" w:cs="Arial"/>
          <w:lang w:val="es-ES_tradnl"/>
        </w:rPr>
        <w:t>s</w:t>
      </w:r>
      <w:r w:rsidRPr="00A80FCC">
        <w:rPr>
          <w:rFonts w:ascii="Arial" w:hAnsi="Arial" w:cs="Arial"/>
          <w:lang w:val="es-ES_tradnl"/>
        </w:rPr>
        <w:t xml:space="preserve"> </w:t>
      </w:r>
      <w:r w:rsidR="001E2344">
        <w:rPr>
          <w:rFonts w:ascii="Arial" w:hAnsi="Arial" w:cs="Arial"/>
          <w:lang w:val="es-ES_tradnl"/>
        </w:rPr>
        <w:t>28 vto. y 31</w:t>
      </w:r>
      <w:r w:rsidR="00383140">
        <w:rPr>
          <w:rFonts w:ascii="Arial" w:hAnsi="Arial" w:cs="Arial"/>
          <w:lang w:val="es-ES_tradnl"/>
        </w:rPr>
        <w:t>, ib.)</w:t>
      </w:r>
      <w:r w:rsidRPr="00A80FCC">
        <w:rPr>
          <w:rFonts w:ascii="Arial" w:hAnsi="Arial" w:cs="Arial"/>
          <w:lang w:val="es-ES_tradnl"/>
        </w:rPr>
        <w:t xml:space="preserve"> y una vez ejecutoriado</w:t>
      </w:r>
      <w:r w:rsidR="00383140">
        <w:rPr>
          <w:rFonts w:ascii="Arial" w:hAnsi="Arial" w:cs="Arial"/>
          <w:lang w:val="es-ES_tradnl"/>
        </w:rPr>
        <w:t>s, se remitieron</w:t>
      </w:r>
      <w:r w:rsidRPr="00A80FCC">
        <w:rPr>
          <w:rFonts w:ascii="Arial" w:hAnsi="Arial" w:cs="Arial"/>
          <w:lang w:val="es-ES_tradnl"/>
        </w:rPr>
        <w:t xml:space="preserve"> a</w:t>
      </w:r>
      <w:r w:rsidR="00383140">
        <w:rPr>
          <w:rFonts w:ascii="Arial" w:hAnsi="Arial" w:cs="Arial"/>
          <w:lang w:val="es-ES_tradnl"/>
        </w:rPr>
        <w:t xml:space="preserve"> </w:t>
      </w:r>
      <w:r w:rsidRPr="00A80FCC">
        <w:rPr>
          <w:rFonts w:ascii="Arial" w:hAnsi="Arial" w:cs="Arial"/>
          <w:lang w:val="es-ES_tradnl"/>
        </w:rPr>
        <w:t>l</w:t>
      </w:r>
      <w:r w:rsidR="00383140">
        <w:rPr>
          <w:rFonts w:ascii="Arial" w:hAnsi="Arial" w:cs="Arial"/>
          <w:lang w:val="es-ES_tradnl"/>
        </w:rPr>
        <w:t>os</w:t>
      </w:r>
      <w:r w:rsidRPr="00A80FCC">
        <w:rPr>
          <w:rFonts w:ascii="Arial" w:hAnsi="Arial" w:cs="Arial"/>
          <w:lang w:val="es-ES_tradnl"/>
        </w:rPr>
        <w:t xml:space="preserve"> referido</w:t>
      </w:r>
      <w:r w:rsidR="00383140">
        <w:rPr>
          <w:rFonts w:ascii="Arial" w:hAnsi="Arial" w:cs="Arial"/>
          <w:lang w:val="es-ES_tradnl"/>
        </w:rPr>
        <w:t>s</w:t>
      </w:r>
      <w:r w:rsidRPr="00A80FCC">
        <w:rPr>
          <w:rFonts w:ascii="Arial" w:hAnsi="Arial" w:cs="Arial"/>
          <w:lang w:val="es-ES_tradnl"/>
        </w:rPr>
        <w:t xml:space="preserve"> Despacho</w:t>
      </w:r>
      <w:r w:rsidR="00383140">
        <w:rPr>
          <w:rFonts w:ascii="Arial" w:hAnsi="Arial" w:cs="Arial"/>
          <w:lang w:val="es-ES_tradnl"/>
        </w:rPr>
        <w:t>s</w:t>
      </w:r>
      <w:r w:rsidRPr="00A80FCC">
        <w:rPr>
          <w:rFonts w:ascii="Arial" w:hAnsi="Arial" w:cs="Arial"/>
          <w:lang w:val="es-ES_tradnl"/>
        </w:rPr>
        <w:t xml:space="preserve"> Judicial</w:t>
      </w:r>
      <w:r w:rsidR="00383140">
        <w:rPr>
          <w:rFonts w:ascii="Arial" w:hAnsi="Arial" w:cs="Arial"/>
          <w:lang w:val="es-ES_tradnl"/>
        </w:rPr>
        <w:t>es</w:t>
      </w:r>
      <w:r w:rsidRPr="00A80FCC">
        <w:rPr>
          <w:rFonts w:ascii="Arial" w:hAnsi="Arial" w:cs="Arial"/>
          <w:lang w:val="es-ES_tradnl"/>
        </w:rPr>
        <w:t xml:space="preserve"> (Folio</w:t>
      </w:r>
      <w:r w:rsidR="00383140">
        <w:rPr>
          <w:rFonts w:ascii="Arial" w:hAnsi="Arial" w:cs="Arial"/>
          <w:lang w:val="es-ES_tradnl"/>
        </w:rPr>
        <w:t>s</w:t>
      </w:r>
      <w:r w:rsidRPr="00A80FCC">
        <w:rPr>
          <w:rFonts w:ascii="Arial" w:hAnsi="Arial" w:cs="Arial"/>
          <w:lang w:val="es-ES_tradnl"/>
        </w:rPr>
        <w:t xml:space="preserve"> </w:t>
      </w:r>
      <w:r w:rsidR="00383140">
        <w:rPr>
          <w:rFonts w:ascii="Arial" w:hAnsi="Arial" w:cs="Arial"/>
          <w:lang w:val="es-ES_tradnl"/>
        </w:rPr>
        <w:t>29 vto. y 32</w:t>
      </w:r>
      <w:r w:rsidRPr="00A80FCC">
        <w:rPr>
          <w:rFonts w:ascii="Arial" w:hAnsi="Arial" w:cs="Arial"/>
          <w:lang w:val="es-ES_tradnl"/>
        </w:rPr>
        <w:t>, ib.).</w:t>
      </w:r>
    </w:p>
    <w:p w:rsidR="00AE15D2" w:rsidRPr="002F0A51" w:rsidRDefault="00AE15D2" w:rsidP="00AE15D2">
      <w:pPr>
        <w:pStyle w:val="Corpsdetexte"/>
        <w:spacing w:line="360" w:lineRule="auto"/>
        <w:rPr>
          <w:rFonts w:ascii="Arial" w:hAnsi="Arial" w:cs="Arial"/>
          <w:sz w:val="16"/>
          <w:szCs w:val="16"/>
        </w:rPr>
      </w:pPr>
    </w:p>
    <w:p w:rsidR="005367AE" w:rsidRPr="00A80FCC" w:rsidRDefault="005367AE" w:rsidP="005367AE">
      <w:pPr>
        <w:spacing w:line="360" w:lineRule="auto"/>
        <w:ind w:right="51"/>
        <w:jc w:val="both"/>
        <w:rPr>
          <w:rFonts w:ascii="Arial" w:hAnsi="Arial" w:cs="Arial"/>
        </w:rPr>
      </w:pPr>
      <w:r w:rsidRPr="00A80FCC">
        <w:rPr>
          <w:rFonts w:ascii="Arial" w:hAnsi="Arial" w:cs="Arial"/>
        </w:rPr>
        <w:t>Sin que sea necesario ahondar en el asunto, hay que decir que a estas alturas de las diligencias l</w:t>
      </w:r>
      <w:r w:rsidR="00812385">
        <w:rPr>
          <w:rFonts w:ascii="Arial" w:hAnsi="Arial" w:cs="Arial"/>
        </w:rPr>
        <w:t>os</w:t>
      </w:r>
      <w:r w:rsidRPr="00A80FCC">
        <w:rPr>
          <w:rFonts w:ascii="Arial" w:hAnsi="Arial" w:cs="Arial"/>
        </w:rPr>
        <w:t xml:space="preserve"> amparo</w:t>
      </w:r>
      <w:r w:rsidR="00812385">
        <w:rPr>
          <w:rFonts w:ascii="Arial" w:hAnsi="Arial" w:cs="Arial"/>
        </w:rPr>
        <w:t>s</w:t>
      </w:r>
      <w:r w:rsidRPr="00A80FCC">
        <w:rPr>
          <w:rFonts w:ascii="Arial" w:hAnsi="Arial" w:cs="Arial"/>
        </w:rPr>
        <w:t xml:space="preserve"> se torna</w:t>
      </w:r>
      <w:r w:rsidR="00812385">
        <w:rPr>
          <w:rFonts w:ascii="Arial" w:hAnsi="Arial" w:cs="Arial"/>
        </w:rPr>
        <w:t>n</w:t>
      </w:r>
      <w:r w:rsidRPr="00A80FCC">
        <w:rPr>
          <w:rFonts w:ascii="Arial" w:hAnsi="Arial" w:cs="Arial"/>
        </w:rPr>
        <w:t xml:space="preserve"> prematuro</w:t>
      </w:r>
      <w:r w:rsidR="00812385">
        <w:rPr>
          <w:rFonts w:ascii="Arial" w:hAnsi="Arial" w:cs="Arial"/>
        </w:rPr>
        <w:t>s</w:t>
      </w:r>
      <w:r w:rsidRPr="00A80FCC">
        <w:rPr>
          <w:rFonts w:ascii="Arial" w:hAnsi="Arial" w:cs="Arial"/>
        </w:rPr>
        <w:t xml:space="preserve"> porque se desconoce si l</w:t>
      </w:r>
      <w:r w:rsidR="00812385">
        <w:rPr>
          <w:rFonts w:ascii="Arial" w:hAnsi="Arial" w:cs="Arial"/>
        </w:rPr>
        <w:t>os</w:t>
      </w:r>
      <w:r w:rsidRPr="00A80FCC">
        <w:rPr>
          <w:rFonts w:ascii="Arial" w:hAnsi="Arial" w:cs="Arial"/>
        </w:rPr>
        <w:t xml:space="preserve"> juzgado</w:t>
      </w:r>
      <w:r w:rsidR="00812385">
        <w:rPr>
          <w:rFonts w:ascii="Arial" w:hAnsi="Arial" w:cs="Arial"/>
        </w:rPr>
        <w:t>s</w:t>
      </w:r>
      <w:r w:rsidRPr="00A80FCC">
        <w:rPr>
          <w:rFonts w:ascii="Arial" w:hAnsi="Arial" w:cs="Arial"/>
        </w:rPr>
        <w:t xml:space="preserve"> a</w:t>
      </w:r>
      <w:r w:rsidR="00812385">
        <w:rPr>
          <w:rFonts w:ascii="Arial" w:hAnsi="Arial" w:cs="Arial"/>
        </w:rPr>
        <w:t xml:space="preserve"> </w:t>
      </w:r>
      <w:r w:rsidRPr="00A80FCC">
        <w:rPr>
          <w:rFonts w:ascii="Arial" w:hAnsi="Arial" w:cs="Arial"/>
        </w:rPr>
        <w:t>l</w:t>
      </w:r>
      <w:r w:rsidR="00812385">
        <w:rPr>
          <w:rFonts w:ascii="Arial" w:hAnsi="Arial" w:cs="Arial"/>
        </w:rPr>
        <w:t>os</w:t>
      </w:r>
      <w:r w:rsidRPr="00A80FCC">
        <w:rPr>
          <w:rFonts w:ascii="Arial" w:hAnsi="Arial" w:cs="Arial"/>
        </w:rPr>
        <w:t xml:space="preserve"> cual</w:t>
      </w:r>
      <w:r w:rsidR="00812385">
        <w:rPr>
          <w:rFonts w:ascii="Arial" w:hAnsi="Arial" w:cs="Arial"/>
        </w:rPr>
        <w:t>es</w:t>
      </w:r>
      <w:r w:rsidRPr="00A80FCC">
        <w:rPr>
          <w:rFonts w:ascii="Arial" w:hAnsi="Arial" w:cs="Arial"/>
        </w:rPr>
        <w:t xml:space="preserve"> se reparta</w:t>
      </w:r>
      <w:r w:rsidR="00812385">
        <w:rPr>
          <w:rFonts w:ascii="Arial" w:hAnsi="Arial" w:cs="Arial"/>
        </w:rPr>
        <w:t>n</w:t>
      </w:r>
      <w:r w:rsidRPr="00A80FCC">
        <w:rPr>
          <w:rFonts w:ascii="Arial" w:hAnsi="Arial" w:cs="Arial"/>
        </w:rPr>
        <w:t xml:space="preserve"> la</w:t>
      </w:r>
      <w:r w:rsidR="00812385">
        <w:rPr>
          <w:rFonts w:ascii="Arial" w:hAnsi="Arial" w:cs="Arial"/>
        </w:rPr>
        <w:t>s</w:t>
      </w:r>
      <w:r w:rsidRPr="00A80FCC">
        <w:rPr>
          <w:rFonts w:ascii="Arial" w:hAnsi="Arial" w:cs="Arial"/>
        </w:rPr>
        <w:t xml:space="preserve"> </w:t>
      </w:r>
      <w:r w:rsidR="00812385" w:rsidRPr="00A80FCC">
        <w:rPr>
          <w:rFonts w:ascii="Arial" w:hAnsi="Arial" w:cs="Arial"/>
        </w:rPr>
        <w:t>accion</w:t>
      </w:r>
      <w:r w:rsidR="00812385">
        <w:rPr>
          <w:rFonts w:ascii="Arial" w:hAnsi="Arial" w:cs="Arial"/>
        </w:rPr>
        <w:t>es</w:t>
      </w:r>
      <w:r w:rsidRPr="00A80FCC">
        <w:rPr>
          <w:rFonts w:ascii="Arial" w:hAnsi="Arial" w:cs="Arial"/>
        </w:rPr>
        <w:t xml:space="preserve"> popular</w:t>
      </w:r>
      <w:r w:rsidR="00812385">
        <w:rPr>
          <w:rFonts w:ascii="Arial" w:hAnsi="Arial" w:cs="Arial"/>
        </w:rPr>
        <w:t>es</w:t>
      </w:r>
      <w:r w:rsidRPr="00A80FCC">
        <w:rPr>
          <w:rFonts w:ascii="Arial" w:hAnsi="Arial" w:cs="Arial"/>
        </w:rPr>
        <w:t>, asumirá</w:t>
      </w:r>
      <w:r w:rsidR="00812385">
        <w:rPr>
          <w:rFonts w:ascii="Arial" w:hAnsi="Arial" w:cs="Arial"/>
        </w:rPr>
        <w:t>n</w:t>
      </w:r>
      <w:r w:rsidRPr="00A80FCC">
        <w:rPr>
          <w:rFonts w:ascii="Arial" w:hAnsi="Arial" w:cs="Arial"/>
        </w:rPr>
        <w:t xml:space="preserve"> su conocimiento o provocará</w:t>
      </w:r>
      <w:r w:rsidR="00812385">
        <w:rPr>
          <w:rFonts w:ascii="Arial" w:hAnsi="Arial" w:cs="Arial"/>
        </w:rPr>
        <w:t>n</w:t>
      </w:r>
      <w:r w:rsidRPr="00A80FCC">
        <w:rPr>
          <w:rFonts w:ascii="Arial" w:hAnsi="Arial" w:cs="Arial"/>
        </w:rPr>
        <w:t xml:space="preserve"> el conflicto negativo de competencia, lo que </w:t>
      </w:r>
      <w:r w:rsidRPr="00A80FCC">
        <w:rPr>
          <w:rFonts w:ascii="Arial" w:hAnsi="Arial" w:cs="Arial"/>
          <w:bCs/>
        </w:rPr>
        <w:t>revelará</w:t>
      </w:r>
      <w:r w:rsidRPr="00A80FCC">
        <w:rPr>
          <w:rFonts w:ascii="Arial" w:hAnsi="Arial" w:cs="Arial"/>
        </w:rPr>
        <w:t xml:space="preserve"> </w:t>
      </w:r>
      <w:r w:rsidR="00F164B1">
        <w:rPr>
          <w:rFonts w:ascii="Arial" w:hAnsi="Arial" w:cs="Arial"/>
        </w:rPr>
        <w:t xml:space="preserve">al actor </w:t>
      </w:r>
      <w:r w:rsidRPr="00A80FCC">
        <w:rPr>
          <w:rFonts w:ascii="Arial" w:hAnsi="Arial" w:cs="Arial"/>
        </w:rPr>
        <w:t>el competente para tramitarla</w:t>
      </w:r>
      <w:r w:rsidR="00812385">
        <w:rPr>
          <w:rFonts w:ascii="Arial" w:hAnsi="Arial" w:cs="Arial"/>
        </w:rPr>
        <w:t>s</w:t>
      </w:r>
      <w:r w:rsidR="004C1F30">
        <w:rPr>
          <w:rFonts w:ascii="Arial" w:hAnsi="Arial" w:cs="Arial"/>
        </w:rPr>
        <w:t>,</w:t>
      </w:r>
      <w:r w:rsidRPr="00A80FCC">
        <w:rPr>
          <w:rFonts w:ascii="Arial" w:hAnsi="Arial" w:cs="Arial"/>
        </w:rPr>
        <w:t xml:space="preserve"> además, frente a esas decisiones surgirá la oportunidad </w:t>
      </w:r>
      <w:r w:rsidRPr="00A80FCC">
        <w:rPr>
          <w:rFonts w:ascii="Arial" w:hAnsi="Arial" w:cs="Arial"/>
          <w:lang w:val="es-CO"/>
        </w:rPr>
        <w:t xml:space="preserve">de </w:t>
      </w:r>
      <w:r w:rsidRPr="00A80FCC">
        <w:rPr>
          <w:rFonts w:ascii="Arial" w:hAnsi="Arial" w:cs="Arial"/>
          <w:lang w:val="es-419"/>
        </w:rPr>
        <w:t xml:space="preserve">recurrir, </w:t>
      </w:r>
      <w:r w:rsidRPr="00A80FCC">
        <w:rPr>
          <w:rFonts w:ascii="Arial" w:hAnsi="Arial" w:cs="Arial"/>
        </w:rPr>
        <w:t>por manera que es improcedente el amparo constitucional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Appelnotedebasdep"/>
          <w:rFonts w:ascii="Arial" w:hAnsi="Arial"/>
        </w:rPr>
        <w:footnoteReference w:id="16"/>
      </w:r>
      <w:r w:rsidRPr="00A80FCC">
        <w:rPr>
          <w:rFonts w:ascii="Arial" w:hAnsi="Arial" w:cs="Arial"/>
        </w:rPr>
        <w:t>, criterio también expuesto por la CSJ</w:t>
      </w:r>
      <w:r w:rsidRPr="00A80FCC">
        <w:rPr>
          <w:rStyle w:val="Appelnotedebasdep"/>
          <w:rFonts w:ascii="Arial" w:hAnsi="Arial"/>
        </w:rPr>
        <w:footnoteReference w:id="17"/>
      </w:r>
      <w:r w:rsidRPr="00A80FCC">
        <w:rPr>
          <w:rFonts w:ascii="Arial" w:hAnsi="Arial" w:cs="Arial"/>
        </w:rPr>
        <w:t>.</w:t>
      </w:r>
    </w:p>
    <w:p w:rsidR="005367AE" w:rsidRPr="002F0A51" w:rsidRDefault="005367AE" w:rsidP="00AE15D2">
      <w:pPr>
        <w:pStyle w:val="Corpsdetexte"/>
        <w:spacing w:line="360" w:lineRule="auto"/>
        <w:rPr>
          <w:rFonts w:ascii="Arial" w:hAnsi="Arial" w:cs="Arial"/>
          <w:sz w:val="16"/>
          <w:szCs w:val="16"/>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8"/>
      </w:r>
      <w:r w:rsidRPr="00A80FCC">
        <w:rPr>
          <w:rFonts w:ascii="Arial" w:hAnsi="Arial" w:cs="Arial"/>
        </w:rPr>
        <w:t xml:space="preserve">. </w:t>
      </w:r>
    </w:p>
    <w:p w:rsidR="00F164B1" w:rsidRPr="002F0A51" w:rsidRDefault="00F164B1" w:rsidP="005367AE">
      <w:pPr>
        <w:spacing w:line="360" w:lineRule="auto"/>
        <w:ind w:right="51"/>
        <w:jc w:val="both"/>
        <w:rPr>
          <w:rFonts w:ascii="Arial" w:hAnsi="Arial" w:cs="Arial"/>
          <w:sz w:val="16"/>
          <w:szCs w:val="16"/>
        </w:rPr>
      </w:pPr>
    </w:p>
    <w:p w:rsidR="00AE15D2" w:rsidRPr="00A80FCC" w:rsidRDefault="00AE15D2" w:rsidP="00AE15D2">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AE15D2" w:rsidRDefault="00AE15D2" w:rsidP="00AE15D2">
      <w:pPr>
        <w:spacing w:line="360" w:lineRule="auto"/>
        <w:ind w:right="51"/>
        <w:jc w:val="both"/>
        <w:rPr>
          <w:rFonts w:ascii="Arial" w:hAnsi="Arial"/>
        </w:rPr>
      </w:pPr>
      <w:r w:rsidRPr="00A80FCC">
        <w:rPr>
          <w:rFonts w:ascii="Arial" w:hAnsi="Arial" w:cs="Arial"/>
          <w:lang w:val="es-ES_tradnl"/>
        </w:rPr>
        <w:lastRenderedPageBreak/>
        <w:t xml:space="preserve">En ese contexto, </w:t>
      </w:r>
      <w:r w:rsidRPr="00A80FCC">
        <w:rPr>
          <w:rFonts w:ascii="Arial" w:hAnsi="Arial"/>
        </w:rPr>
        <w:t>la</w:t>
      </w:r>
      <w:r w:rsidR="00893EC7">
        <w:rPr>
          <w:rFonts w:ascii="Arial" w:hAnsi="Arial"/>
        </w:rPr>
        <w:t>s</w:t>
      </w:r>
      <w:r w:rsidRPr="00A80FCC">
        <w:rPr>
          <w:rFonts w:ascii="Arial" w:hAnsi="Arial"/>
        </w:rPr>
        <w:t xml:space="preserve"> presente</w:t>
      </w:r>
      <w:r w:rsidR="00893EC7">
        <w:rPr>
          <w:rFonts w:ascii="Arial" w:hAnsi="Arial"/>
        </w:rPr>
        <w:t>s</w:t>
      </w:r>
      <w:r w:rsidRPr="00A80FCC">
        <w:rPr>
          <w:rFonts w:ascii="Arial" w:hAnsi="Arial"/>
        </w:rPr>
        <w:t xml:space="preserve"> </w:t>
      </w:r>
      <w:r w:rsidR="00893EC7" w:rsidRPr="00A80FCC">
        <w:rPr>
          <w:rFonts w:ascii="Arial" w:hAnsi="Arial"/>
        </w:rPr>
        <w:t>accion</w:t>
      </w:r>
      <w:r w:rsidR="00893EC7">
        <w:rPr>
          <w:rFonts w:ascii="Arial" w:hAnsi="Arial"/>
        </w:rPr>
        <w:t>es</w:t>
      </w:r>
      <w:r w:rsidRPr="00A80FCC">
        <w:rPr>
          <w:rFonts w:ascii="Arial" w:hAnsi="Arial"/>
        </w:rPr>
        <w:t xml:space="preserve"> de tutela s</w:t>
      </w:r>
      <w:r w:rsidR="00893EC7">
        <w:rPr>
          <w:rFonts w:ascii="Arial" w:hAnsi="Arial"/>
        </w:rPr>
        <w:t>on</w:t>
      </w:r>
      <w:r w:rsidRPr="00A80FCC">
        <w:rPr>
          <w:rFonts w:ascii="Arial" w:hAnsi="Arial"/>
        </w:rPr>
        <w:t xml:space="preserve"> improcedente</w:t>
      </w:r>
      <w:r w:rsidR="00893EC7">
        <w:rPr>
          <w:rFonts w:ascii="Arial" w:hAnsi="Arial"/>
        </w:rPr>
        <w:t>s</w:t>
      </w:r>
      <w:r w:rsidRPr="00A80FCC">
        <w:rPr>
          <w:rFonts w:ascii="Arial" w:hAnsi="Arial"/>
        </w:rPr>
        <w:t xml:space="preserve"> toda vez que se incumple con uno de los siete (7) requisitos generales de procedibilidad, como lo es el de la subsidiariedad, </w:t>
      </w:r>
      <w:r w:rsidRPr="00A80FCC">
        <w:rPr>
          <w:rFonts w:ascii="Arial" w:hAnsi="Arial"/>
          <w:u w:val="single"/>
        </w:rPr>
        <w:t>pues aún se encuentran en trámite la</w:t>
      </w:r>
      <w:r w:rsidR="00812385">
        <w:rPr>
          <w:rFonts w:ascii="Arial" w:hAnsi="Arial"/>
          <w:u w:val="single"/>
        </w:rPr>
        <w:t>s</w:t>
      </w:r>
      <w:r w:rsidRPr="00A80FCC">
        <w:rPr>
          <w:rFonts w:ascii="Arial" w:hAnsi="Arial"/>
          <w:u w:val="single"/>
        </w:rPr>
        <w:t xml:space="preserve"> </w:t>
      </w:r>
      <w:r w:rsidR="00812385" w:rsidRPr="00A80FCC">
        <w:rPr>
          <w:rFonts w:ascii="Arial" w:hAnsi="Arial"/>
          <w:u w:val="single"/>
        </w:rPr>
        <w:t>accion</w:t>
      </w:r>
      <w:r w:rsidR="00812385">
        <w:rPr>
          <w:rFonts w:ascii="Arial" w:hAnsi="Arial"/>
          <w:u w:val="single"/>
        </w:rPr>
        <w:t>es</w:t>
      </w:r>
      <w:r w:rsidRPr="00A80FCC">
        <w:rPr>
          <w:rFonts w:ascii="Arial" w:hAnsi="Arial"/>
          <w:u w:val="single"/>
        </w:rPr>
        <w:t xml:space="preserve"> popular</w:t>
      </w:r>
      <w:r w:rsidR="00812385">
        <w:rPr>
          <w:rFonts w:ascii="Arial" w:hAnsi="Arial"/>
          <w:u w:val="single"/>
        </w:rPr>
        <w:t>es</w:t>
      </w:r>
      <w:r w:rsidRPr="00A80FCC">
        <w:rPr>
          <w:rFonts w:ascii="Arial" w:hAnsi="Arial"/>
        </w:rPr>
        <w:t>.</w:t>
      </w:r>
    </w:p>
    <w:p w:rsidR="004C1F30" w:rsidRPr="00A80FCC" w:rsidRDefault="004C1F30" w:rsidP="00AE15D2">
      <w:pPr>
        <w:spacing w:line="360" w:lineRule="auto"/>
        <w:ind w:right="51"/>
        <w:jc w:val="both"/>
        <w:rPr>
          <w:rFonts w:ascii="Arial" w:hAnsi="Arial"/>
        </w:rPr>
      </w:pPr>
    </w:p>
    <w:p w:rsidR="00FF5B57" w:rsidRPr="00F35120" w:rsidRDefault="00F35120" w:rsidP="00FF5B57">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 xml:space="preserve">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en los acápites anteriores: (i) Se declarará</w:t>
      </w:r>
      <w:r w:rsidR="00745C6A">
        <w:rPr>
          <w:rFonts w:ascii="Arial" w:hAnsi="Arial" w:cs="Arial"/>
          <w:szCs w:val="24"/>
        </w:rPr>
        <w:t>n</w:t>
      </w:r>
      <w:r w:rsidRPr="00A80FCC">
        <w:rPr>
          <w:rFonts w:ascii="Arial" w:hAnsi="Arial" w:cs="Arial"/>
          <w:szCs w:val="24"/>
        </w:rPr>
        <w:t xml:space="preserve"> improcedente</w:t>
      </w:r>
      <w:r w:rsidR="00745C6A">
        <w:rPr>
          <w:rFonts w:ascii="Arial" w:hAnsi="Arial" w:cs="Arial"/>
          <w:szCs w:val="24"/>
        </w:rPr>
        <w:t xml:space="preserve">s los </w:t>
      </w:r>
      <w:r w:rsidR="00745C6A">
        <w:rPr>
          <w:rFonts w:ascii="Arial" w:hAnsi="Arial" w:cs="Arial"/>
        </w:rPr>
        <w:t xml:space="preserve">amparos </w:t>
      </w:r>
      <w:r w:rsidR="00061050">
        <w:rPr>
          <w:rFonts w:ascii="Arial" w:hAnsi="Arial" w:cs="Arial"/>
          <w:szCs w:val="24"/>
        </w:rPr>
        <w:t xml:space="preserve">frente al Juzgado Tercero Civil del Circuito de Pereira </w:t>
      </w:r>
      <w:r w:rsidRPr="00A80FCC">
        <w:rPr>
          <w:rFonts w:ascii="Arial" w:hAnsi="Arial" w:cs="Arial"/>
          <w:szCs w:val="24"/>
        </w:rPr>
        <w:t>con estribo en que se incumplió el presupuesto de subsidiariedad; y</w:t>
      </w:r>
      <w:r w:rsidR="004B554C" w:rsidRPr="00A80FCC">
        <w:rPr>
          <w:rFonts w:ascii="Arial" w:hAnsi="Arial" w:cs="Arial"/>
          <w:szCs w:val="24"/>
        </w:rPr>
        <w:t xml:space="preserve"> también</w:t>
      </w:r>
      <w:r w:rsidRPr="00A80FCC">
        <w:rPr>
          <w:rFonts w:ascii="Arial" w:hAnsi="Arial" w:cs="Arial"/>
          <w:szCs w:val="24"/>
        </w:rPr>
        <w:t>, (ii)</w:t>
      </w:r>
      <w:r w:rsidRPr="00A80FCC">
        <w:rPr>
          <w:rFonts w:ascii="Arial" w:hAnsi="Arial" w:cs="Arial"/>
          <w:szCs w:val="24"/>
          <w:lang w:val="es-ES"/>
        </w:rPr>
        <w:t xml:space="preserve"> </w:t>
      </w:r>
      <w:r w:rsidRPr="00A80FCC">
        <w:rPr>
          <w:rFonts w:ascii="Arial" w:hAnsi="Arial" w:cs="Arial"/>
          <w:szCs w:val="24"/>
        </w:rPr>
        <w:t xml:space="preserve">Se </w:t>
      </w:r>
      <w:r w:rsidR="004B554C" w:rsidRPr="00A80FCC">
        <w:rPr>
          <w:rFonts w:ascii="Arial" w:hAnsi="Arial" w:cs="Arial"/>
          <w:szCs w:val="24"/>
        </w:rPr>
        <w:t>declarará</w:t>
      </w:r>
      <w:r w:rsidR="00745C6A">
        <w:rPr>
          <w:rFonts w:ascii="Arial" w:hAnsi="Arial" w:cs="Arial"/>
          <w:szCs w:val="24"/>
        </w:rPr>
        <w:t>n</w:t>
      </w:r>
      <w:r w:rsidR="004B554C" w:rsidRPr="00A80FCC">
        <w:rPr>
          <w:rFonts w:ascii="Arial" w:hAnsi="Arial" w:cs="Arial"/>
          <w:szCs w:val="24"/>
        </w:rPr>
        <w:t xml:space="preserve"> improcedente</w:t>
      </w:r>
      <w:r w:rsidR="00745C6A">
        <w:rPr>
          <w:rFonts w:ascii="Arial" w:hAnsi="Arial" w:cs="Arial"/>
          <w:szCs w:val="24"/>
        </w:rPr>
        <w:t>s</w:t>
      </w:r>
      <w:r w:rsidR="004B554C" w:rsidRPr="00A80FCC">
        <w:rPr>
          <w:rFonts w:ascii="Arial" w:hAnsi="Arial" w:cs="Arial"/>
          <w:szCs w:val="24"/>
        </w:rPr>
        <w:t xml:space="preserve"> </w:t>
      </w:r>
      <w:r w:rsidRPr="00A80FCC">
        <w:rPr>
          <w:rFonts w:ascii="Arial" w:hAnsi="Arial" w:cs="Arial"/>
          <w:szCs w:val="24"/>
        </w:rPr>
        <w:t>respecto a los vinculados</w:t>
      </w:r>
      <w:r w:rsidR="004B554C" w:rsidRPr="00A80FCC">
        <w:rPr>
          <w:rFonts w:ascii="Arial" w:hAnsi="Arial" w:cs="Arial"/>
          <w:szCs w:val="24"/>
        </w:rPr>
        <w:t xml:space="preserve"> por carecer de legitimación</w:t>
      </w:r>
      <w:r w:rsidRPr="00A80FCC">
        <w:rPr>
          <w:rFonts w:ascii="Arial" w:hAnsi="Arial" w:cs="Arial"/>
          <w:szCs w:val="24"/>
          <w:lang w:val="es-ES"/>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ED44D2" w:rsidRPr="00ED40DF" w:rsidRDefault="00ED44D2" w:rsidP="00ED44D2">
      <w:pPr>
        <w:pStyle w:val="Corpsdetexte"/>
        <w:spacing w:line="360" w:lineRule="auto"/>
        <w:jc w:val="center"/>
        <w:rPr>
          <w:rFonts w:ascii="Arial" w:hAnsi="Arial" w:cs="Arial"/>
          <w:bCs/>
          <w:smallCaps/>
          <w:sz w:val="22"/>
          <w:szCs w:val="24"/>
        </w:rPr>
      </w:pPr>
    </w:p>
    <w:p w:rsidR="00ED44D2" w:rsidRPr="00A80FCC" w:rsidRDefault="00ED44D2"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DECLARAR improcedente</w:t>
      </w:r>
      <w:r w:rsidR="00745C6A">
        <w:rPr>
          <w:rFonts w:ascii="Arial" w:hAnsi="Arial" w:cs="Arial"/>
        </w:rPr>
        <w:t xml:space="preserve">s </w:t>
      </w:r>
      <w:r w:rsidR="00061050">
        <w:rPr>
          <w:rFonts w:ascii="Arial" w:hAnsi="Arial" w:cs="Arial"/>
        </w:rPr>
        <w:t xml:space="preserve">las acciones de tutela </w:t>
      </w:r>
      <w:r w:rsidR="00745C6A">
        <w:rPr>
          <w:rFonts w:ascii="Arial" w:hAnsi="Arial" w:cs="Arial"/>
        </w:rPr>
        <w:t>propuestos</w:t>
      </w:r>
      <w:r w:rsidRPr="00A80FCC">
        <w:rPr>
          <w:rFonts w:ascii="Arial" w:hAnsi="Arial" w:cs="Arial"/>
        </w:rPr>
        <w:t xml:space="preserve"> por el señor </w:t>
      </w:r>
      <w:r w:rsidR="00C17E1C">
        <w:rPr>
          <w:rFonts w:ascii="Arial" w:hAnsi="Arial" w:cs="Arial"/>
        </w:rPr>
        <w:t>Cristián Vásquez Arias</w:t>
      </w:r>
      <w:r w:rsidRPr="00A80FCC">
        <w:rPr>
          <w:rFonts w:ascii="Arial" w:hAnsi="Arial" w:cs="Arial"/>
        </w:rPr>
        <w:t xml:space="preserve"> contra </w:t>
      </w:r>
      <w:r w:rsidR="00A80FCC" w:rsidRPr="00A80FCC">
        <w:rPr>
          <w:rFonts w:ascii="Arial" w:hAnsi="Arial" w:cs="Arial"/>
        </w:rPr>
        <w:t>el Juzgado</w:t>
      </w:r>
      <w:r w:rsidR="00C17E1C">
        <w:rPr>
          <w:rFonts w:ascii="Arial" w:hAnsi="Arial" w:cs="Arial"/>
        </w:rPr>
        <w:t xml:space="preserve"> Tercero</w:t>
      </w:r>
      <w:r w:rsidR="00A80FCC" w:rsidRPr="00A80FCC">
        <w:rPr>
          <w:rFonts w:ascii="Arial" w:hAnsi="Arial" w:cs="Arial"/>
        </w:rPr>
        <w:t xml:space="preserve"> </w:t>
      </w:r>
      <w:r w:rsidRPr="00A80FCC">
        <w:rPr>
          <w:rFonts w:ascii="Arial" w:hAnsi="Arial" w:cs="Arial"/>
        </w:rPr>
        <w:t>Civil del Circ</w:t>
      </w:r>
      <w:r w:rsidR="00AC1810" w:rsidRPr="00A80FCC">
        <w:rPr>
          <w:rFonts w:ascii="Arial" w:hAnsi="Arial" w:cs="Arial"/>
        </w:rPr>
        <w:t xml:space="preserve">uito de </w:t>
      </w:r>
      <w:r w:rsidR="00C17E1C">
        <w:rPr>
          <w:rFonts w:ascii="Arial" w:hAnsi="Arial" w:cs="Arial"/>
        </w:rPr>
        <w:t>Pereira</w:t>
      </w:r>
      <w:r w:rsidR="00AC1810" w:rsidRPr="00A80FCC">
        <w:rPr>
          <w:rFonts w:ascii="Arial" w:hAnsi="Arial" w:cs="Arial"/>
        </w:rPr>
        <w:t xml:space="preserve">, R., </w:t>
      </w:r>
      <w:r w:rsidRPr="00A80FCC">
        <w:rPr>
          <w:rFonts w:ascii="Arial" w:hAnsi="Arial" w:cs="Arial"/>
        </w:rPr>
        <w:t xml:space="preserve">la Defensoría del Pueblo y la Procuraduría General de la Nación, Regional de </w:t>
      </w:r>
      <w:r w:rsidR="00A80FCC" w:rsidRPr="00A80FCC">
        <w:rPr>
          <w:rFonts w:ascii="Arial" w:hAnsi="Arial" w:cs="Arial"/>
        </w:rPr>
        <w:t>Risaralda</w:t>
      </w:r>
      <w:r w:rsidRPr="00A80FCC">
        <w:rPr>
          <w:rFonts w:ascii="Arial" w:hAnsi="Arial" w:cs="Arial"/>
        </w:rPr>
        <w:t xml:space="preserve">, y la Alcaldía y Personería </w:t>
      </w:r>
      <w:r w:rsidRPr="00A80FCC">
        <w:rPr>
          <w:rFonts w:ascii="Arial" w:hAnsi="Arial" w:cs="Arial"/>
          <w:spacing w:val="3"/>
        </w:rPr>
        <w:t xml:space="preserve">de </w:t>
      </w:r>
      <w:r w:rsidR="00A80FCC" w:rsidRPr="00A80FCC">
        <w:rPr>
          <w:rFonts w:ascii="Arial" w:hAnsi="Arial" w:cs="Arial"/>
          <w:spacing w:val="3"/>
        </w:rPr>
        <w:t>Pereira</w:t>
      </w:r>
      <w:r w:rsidRPr="00A80FCC">
        <w:rPr>
          <w:rFonts w:ascii="Arial" w:hAnsi="Arial" w:cs="Arial"/>
        </w:rPr>
        <w:t>.</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Corpsdetexte"/>
        <w:tabs>
          <w:tab w:val="clear" w:pos="708"/>
        </w:tabs>
        <w:spacing w:line="360" w:lineRule="auto"/>
        <w:rPr>
          <w:rFonts w:ascii="Arial" w:hAnsi="Arial" w:cs="Arial"/>
          <w:sz w:val="22"/>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ED40DF" w:rsidRDefault="00626C89" w:rsidP="00FF5B57">
      <w:pPr>
        <w:pStyle w:val="Paragraphedeliste"/>
        <w:widowControl/>
        <w:autoSpaceDE/>
        <w:autoSpaceDN/>
        <w:adjustRightInd/>
        <w:spacing w:line="360" w:lineRule="auto"/>
        <w:ind w:left="360" w:right="51"/>
        <w:contextualSpacing/>
        <w:jc w:val="both"/>
        <w:rPr>
          <w:rFonts w:ascii="Arial" w:hAnsi="Arial"/>
          <w:sz w:val="10"/>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F50827" w:rsidRDefault="00DA569C" w:rsidP="00417DA5">
      <w:pPr>
        <w:pStyle w:val="Corpsdetexte"/>
        <w:spacing w:line="360" w:lineRule="auto"/>
        <w:jc w:val="center"/>
        <w:rPr>
          <w:rFonts w:ascii="Arial" w:hAnsi="Arial"/>
          <w:sz w:val="32"/>
          <w:szCs w:val="24"/>
          <w:lang w:val="en-US"/>
        </w:rPr>
      </w:pPr>
    </w:p>
    <w:p w:rsidR="003E66CE" w:rsidRPr="003843DB" w:rsidRDefault="003E66CE" w:rsidP="00417DA5">
      <w:pPr>
        <w:pStyle w:val="Corpsdetex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3843DB">
        <w:rPr>
          <w:rFonts w:ascii="Arial" w:hAnsi="Arial" w:cs="Arial"/>
          <w:i/>
          <w:spacing w:val="-3"/>
          <w:w w:val="150"/>
          <w:sz w:val="28"/>
          <w:lang w:val="en-US"/>
        </w:rPr>
        <w:t>D</w:t>
      </w:r>
      <w:r w:rsidRPr="003843DB">
        <w:rPr>
          <w:rFonts w:ascii="Arial" w:hAnsi="Arial" w:cs="Arial"/>
          <w:i/>
          <w:spacing w:val="-3"/>
          <w:w w:val="150"/>
          <w:sz w:val="18"/>
          <w:szCs w:val="16"/>
          <w:lang w:val="en-US"/>
        </w:rPr>
        <w:t>UBERNEY</w:t>
      </w:r>
      <w:proofErr w:type="spellEnd"/>
      <w:r w:rsidRPr="003843DB">
        <w:rPr>
          <w:rFonts w:ascii="Arial" w:hAnsi="Arial" w:cs="Arial"/>
          <w:i/>
          <w:spacing w:val="-3"/>
          <w:w w:val="150"/>
          <w:sz w:val="18"/>
          <w:szCs w:val="16"/>
          <w:lang w:val="en-US"/>
        </w:rPr>
        <w:t xml:space="preserve"> </w:t>
      </w:r>
      <w:proofErr w:type="spellStart"/>
      <w:r w:rsidRPr="003843DB">
        <w:rPr>
          <w:rFonts w:ascii="Arial" w:hAnsi="Arial" w:cs="Arial"/>
          <w:i/>
          <w:spacing w:val="-3"/>
          <w:w w:val="150"/>
          <w:sz w:val="28"/>
          <w:lang w:val="en-US"/>
        </w:rPr>
        <w:t>G</w:t>
      </w:r>
      <w:r w:rsidRPr="003843DB">
        <w:rPr>
          <w:rFonts w:ascii="Arial" w:hAnsi="Arial" w:cs="Arial"/>
          <w:i/>
          <w:spacing w:val="-3"/>
          <w:w w:val="150"/>
          <w:sz w:val="18"/>
          <w:szCs w:val="16"/>
          <w:lang w:val="en-US"/>
        </w:rPr>
        <w:t>RISALES</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983D7D" w:rsidRPr="002F0A51" w:rsidRDefault="00983D7D"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lang w:val="en-GB"/>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193686" w:rsidRDefault="00951517" w:rsidP="002F0A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8"/>
          <w:szCs w:val="10"/>
          <w:lang w:val="en-US"/>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bookmarkStart w:id="0" w:name="_GoBack"/>
      <w:bookmarkEnd w:id="0"/>
      <w:r w:rsidR="00445605">
        <w:rPr>
          <w:rFonts w:ascii="Arial" w:hAnsi="Arial"/>
          <w:w w:val="150"/>
          <w:sz w:val="8"/>
          <w:szCs w:val="10"/>
          <w:lang w:val="en-US"/>
        </w:rPr>
        <w:t>D</w:t>
      </w:r>
      <w:r w:rsidR="00E606C4" w:rsidRPr="00984EE4">
        <w:rPr>
          <w:rFonts w:ascii="Arial" w:hAnsi="Arial"/>
          <w:w w:val="150"/>
          <w:sz w:val="8"/>
          <w:szCs w:val="10"/>
          <w:lang w:val="en-US"/>
        </w:rPr>
        <w:t>GH/</w:t>
      </w:r>
      <w:r w:rsidR="00745C6A">
        <w:rPr>
          <w:rFonts w:ascii="Arial" w:hAnsi="Arial"/>
          <w:w w:val="150"/>
          <w:sz w:val="8"/>
          <w:szCs w:val="10"/>
          <w:lang w:val="en-US"/>
        </w:rPr>
        <w:t>JEGG</w:t>
      </w:r>
      <w:r w:rsidR="009C6329">
        <w:rPr>
          <w:rFonts w:ascii="Arial" w:hAnsi="Arial"/>
          <w:w w:val="150"/>
          <w:sz w:val="8"/>
          <w:szCs w:val="10"/>
          <w:lang w:val="en-US"/>
        </w:rPr>
        <w:t>/2016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D3" w:rsidRDefault="00E60CD3" w:rsidP="0099045D">
      <w:r>
        <w:separator/>
      </w:r>
    </w:p>
  </w:endnote>
  <w:endnote w:type="continuationSeparator" w:id="0">
    <w:p w:rsidR="00E60CD3" w:rsidRDefault="00E60CD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D3" w:rsidRDefault="00E60CD3" w:rsidP="0099045D">
      <w:r>
        <w:separator/>
      </w:r>
    </w:p>
  </w:footnote>
  <w:footnote w:type="continuationSeparator" w:id="0">
    <w:p w:rsidR="00E60CD3" w:rsidRDefault="00E60CD3"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Pr="002F0A51" w:rsidRDefault="00D014C4" w:rsidP="00D014C4">
      <w:pPr>
        <w:pStyle w:val="Notedebasdepage"/>
        <w:jc w:val="both"/>
        <w:rPr>
          <w:lang w:val="fr-FR"/>
        </w:rPr>
      </w:pPr>
      <w:r w:rsidRPr="0088104A">
        <w:rPr>
          <w:rStyle w:val="Appelnotedebasdep"/>
          <w:rFonts w:asciiTheme="minorHAnsi" w:hAnsiTheme="minorHAnsi"/>
        </w:rPr>
        <w:footnoteRef/>
      </w:r>
      <w:r w:rsidRPr="002F0A51">
        <w:rPr>
          <w:rFonts w:asciiTheme="minorHAnsi" w:hAnsiTheme="minorHAnsi"/>
          <w:lang w:val="fr-FR"/>
        </w:rPr>
        <w:t xml:space="preserve"> </w:t>
      </w:r>
      <w:r w:rsidR="00983D7D" w:rsidRPr="002F0A51">
        <w:rPr>
          <w:rFonts w:asciiTheme="minorHAnsi" w:hAnsiTheme="minorHAnsi" w:cs="Calibri"/>
          <w:lang w:val="fr-FR"/>
        </w:rPr>
        <w:t>CC</w:t>
      </w:r>
      <w:r w:rsidRPr="002F0A51">
        <w:rPr>
          <w:rFonts w:asciiTheme="minorHAnsi" w:hAnsiTheme="minorHAnsi" w:cs="Calibri"/>
          <w:lang w:val="fr-FR"/>
        </w:rPr>
        <w:t xml:space="preserve">. Sentencia T-134 de 1994. </w:t>
      </w:r>
    </w:p>
  </w:footnote>
  <w:footnote w:id="9">
    <w:p w:rsidR="00D014C4" w:rsidRPr="002F0A51" w:rsidRDefault="00D014C4" w:rsidP="00D014C4">
      <w:pPr>
        <w:pStyle w:val="Notedebasdepage"/>
        <w:rPr>
          <w:lang w:val="fr-FR"/>
        </w:rPr>
      </w:pPr>
      <w:r>
        <w:rPr>
          <w:rStyle w:val="Appelnotedebasdep"/>
        </w:rPr>
        <w:footnoteRef/>
      </w:r>
      <w:r w:rsidRPr="002F0A51">
        <w:rPr>
          <w:lang w:val="fr-FR"/>
        </w:rPr>
        <w:t xml:space="preserve"> </w:t>
      </w:r>
      <w:r w:rsidR="00983D7D" w:rsidRPr="002F0A51">
        <w:rPr>
          <w:rFonts w:asciiTheme="minorHAnsi" w:hAnsiTheme="minorHAnsi" w:cs="Calibri"/>
          <w:lang w:val="fr-FR"/>
        </w:rPr>
        <w:t>CC</w:t>
      </w:r>
      <w:r w:rsidRPr="002F0A51">
        <w:rPr>
          <w:rFonts w:asciiTheme="minorHAnsi" w:hAnsiTheme="minorHAnsi" w:cs="Calibri"/>
          <w:lang w:val="fr-FR"/>
        </w:rPr>
        <w:t>. Sentencia T-103 de 2014.</w:t>
      </w:r>
    </w:p>
  </w:footnote>
  <w:footnote w:id="10">
    <w:p w:rsidR="00D014C4" w:rsidRPr="002F0A51" w:rsidRDefault="00D014C4" w:rsidP="00D014C4">
      <w:pPr>
        <w:pStyle w:val="Notedebasdepage"/>
        <w:jc w:val="both"/>
        <w:rPr>
          <w:lang w:val="fr-FR"/>
        </w:rPr>
      </w:pPr>
      <w:r w:rsidRPr="0088104A">
        <w:rPr>
          <w:rStyle w:val="Appelnotedebasdep"/>
          <w:rFonts w:asciiTheme="minorHAnsi" w:hAnsiTheme="minorHAnsi" w:cs="Calibri"/>
        </w:rPr>
        <w:footnoteRef/>
      </w:r>
      <w:r w:rsidRPr="002F0A51">
        <w:rPr>
          <w:rFonts w:asciiTheme="minorHAnsi" w:hAnsiTheme="minorHAnsi" w:cs="Calibri"/>
          <w:lang w:val="fr-FR"/>
        </w:rPr>
        <w:t xml:space="preserve"> </w:t>
      </w:r>
      <w:r w:rsidR="00983D7D" w:rsidRPr="002F0A51">
        <w:rPr>
          <w:rFonts w:asciiTheme="minorHAnsi" w:hAnsiTheme="minorHAnsi" w:cs="Calibri"/>
          <w:lang w:val="fr-FR"/>
        </w:rPr>
        <w:t>CC</w:t>
      </w:r>
      <w:r w:rsidRPr="002F0A51">
        <w:rPr>
          <w:rFonts w:asciiTheme="minorHAnsi" w:hAnsiTheme="minorHAnsi" w:cs="Calibri"/>
          <w:lang w:val="fr-FR"/>
        </w:rPr>
        <w:t>. Sentencia T-567 de 1998.</w:t>
      </w:r>
    </w:p>
  </w:footnote>
  <w:footnote w:id="11">
    <w:p w:rsidR="00D014C4" w:rsidRPr="002F0A51" w:rsidRDefault="00D014C4" w:rsidP="00D014C4">
      <w:pPr>
        <w:pStyle w:val="Notedebasdepage"/>
        <w:jc w:val="both"/>
        <w:rPr>
          <w:lang w:val="fr-FR"/>
        </w:rPr>
      </w:pPr>
      <w:r w:rsidRPr="0088104A">
        <w:rPr>
          <w:rStyle w:val="Appelnotedebasdep"/>
          <w:rFonts w:asciiTheme="minorHAnsi" w:hAnsiTheme="minorHAnsi"/>
        </w:rPr>
        <w:footnoteRef/>
      </w:r>
      <w:r w:rsidRPr="002F0A51">
        <w:rPr>
          <w:rFonts w:asciiTheme="minorHAnsi" w:hAnsiTheme="minorHAnsi"/>
          <w:lang w:val="fr-FR"/>
        </w:rPr>
        <w:t xml:space="preserve"> </w:t>
      </w:r>
      <w:r w:rsidR="00983D7D" w:rsidRPr="002F0A51">
        <w:rPr>
          <w:rFonts w:asciiTheme="minorHAnsi" w:hAnsiTheme="minorHAnsi" w:cs="Calibri"/>
          <w:lang w:val="fr-FR"/>
        </w:rPr>
        <w:t>CC</w:t>
      </w:r>
      <w:r w:rsidRPr="002F0A51">
        <w:rPr>
          <w:rFonts w:asciiTheme="minorHAnsi" w:hAnsiTheme="minorHAnsi" w:cs="Calibri"/>
          <w:lang w:val="fr-FR"/>
        </w:rPr>
        <w:t>. Sentencia T-662 de 2013.</w:t>
      </w:r>
      <w:r w:rsidRPr="002F0A51">
        <w:rPr>
          <w:b/>
          <w:bCs/>
          <w:color w:val="2D2D2D"/>
          <w:sz w:val="28"/>
          <w:szCs w:val="28"/>
          <w:bdr w:val="none" w:sz="0" w:space="0" w:color="auto" w:frame="1"/>
          <w:shd w:val="clear" w:color="auto" w:fill="FFFFFF"/>
          <w:lang w:val="fr-FR"/>
        </w:rPr>
        <w:t xml:space="preserve"> </w:t>
      </w:r>
    </w:p>
  </w:footnote>
  <w:footnote w:id="12">
    <w:p w:rsidR="00D014C4" w:rsidRPr="002F0A51" w:rsidRDefault="00D014C4" w:rsidP="00D014C4">
      <w:pPr>
        <w:pStyle w:val="Notedebasdepage"/>
        <w:jc w:val="both"/>
        <w:rPr>
          <w:lang w:val="fr-FR"/>
        </w:rPr>
      </w:pPr>
      <w:r w:rsidRPr="005648CB">
        <w:rPr>
          <w:rStyle w:val="Appelnotedebasdep"/>
        </w:rPr>
        <w:footnoteRef/>
      </w:r>
      <w:r w:rsidRPr="002F0A51">
        <w:rPr>
          <w:lang w:val="fr-FR"/>
        </w:rPr>
        <w:t xml:space="preserve"> </w:t>
      </w:r>
      <w:r w:rsidR="00983D7D" w:rsidRPr="002F0A51">
        <w:rPr>
          <w:rFonts w:asciiTheme="minorHAnsi" w:hAnsiTheme="minorHAnsi" w:cs="Calibri"/>
          <w:lang w:val="fr-FR"/>
        </w:rPr>
        <w:t>CC</w:t>
      </w:r>
      <w:r w:rsidRPr="002F0A51">
        <w:rPr>
          <w:rFonts w:asciiTheme="minorHAnsi" w:hAnsiTheme="minorHAnsi" w:cs="Calibri"/>
          <w:lang w:val="fr-FR"/>
        </w:rPr>
        <w:t xml:space="preserve">. </w:t>
      </w:r>
      <w:r w:rsidRPr="002F0A51">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5367AE" w:rsidRDefault="005367AE" w:rsidP="005367AE">
      <w:pPr>
        <w:pStyle w:val="Notedebasdepage"/>
        <w:jc w:val="both"/>
        <w:rPr>
          <w:rFonts w:ascii="Calibri" w:hAnsi="Calibri"/>
          <w:lang w:val="es-CO"/>
        </w:rPr>
      </w:pPr>
      <w:r>
        <w:rPr>
          <w:rStyle w:val="Appelnotedebasdep"/>
          <w:rFonts w:ascii="Calibri" w:hAnsi="Calibri"/>
        </w:rPr>
        <w:footnoteRef/>
      </w:r>
      <w:r>
        <w:rPr>
          <w:rFonts w:ascii="Calibri" w:hAnsi="Calibri"/>
        </w:rPr>
        <w:t xml:space="preserve"> </w:t>
      </w:r>
      <w:r w:rsidR="00983D7D">
        <w:rPr>
          <w:rFonts w:ascii="Calibri" w:hAnsi="Calibri"/>
        </w:rPr>
        <w:t>CC</w:t>
      </w:r>
      <w:r>
        <w:rPr>
          <w:rFonts w:ascii="Calibri" w:hAnsi="Calibri"/>
        </w:rPr>
        <w:t xml:space="preserve">.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7">
    <w:p w:rsidR="005367AE" w:rsidRDefault="005367AE" w:rsidP="005367AE">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Pr>
          <w:rFonts w:ascii="Calibri" w:hAnsi="Calibri" w:cs="Calibri"/>
          <w:lang w:val="es-CO"/>
        </w:rPr>
        <w:t xml:space="preserve">, </w:t>
      </w:r>
      <w:r w:rsidR="00983D7D">
        <w:rPr>
          <w:rFonts w:ascii="Calibri" w:hAnsi="Calibri" w:cs="Calibri"/>
        </w:rPr>
        <w:t xml:space="preserve">Sala </w:t>
      </w:r>
      <w:r>
        <w:rPr>
          <w:rFonts w:ascii="Calibri" w:hAnsi="Calibri" w:cs="Calibri"/>
        </w:rPr>
        <w:t>Civil.  Providencia STC3950-2016.</w:t>
      </w:r>
    </w:p>
  </w:footnote>
  <w:footnote w:id="18">
    <w:p w:rsidR="00AE15D2" w:rsidRDefault="00AE15D2" w:rsidP="00AE15D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Sentencia T-103 de 2014, citada en la </w:t>
      </w:r>
      <w:r>
        <w:rPr>
          <w:rFonts w:asciiTheme="minorHAnsi" w:hAnsiTheme="minorHAnsi" w:cs="Calibri"/>
          <w:bCs/>
        </w:rPr>
        <w:t>Sentencia SU-297 de 2015.</w:t>
      </w:r>
    </w:p>
  </w:footnote>
  <w:footnote w:id="19">
    <w:p w:rsidR="00AE15D2" w:rsidRDefault="00AE15D2" w:rsidP="00AE15D2">
      <w:pPr>
        <w:pStyle w:val="Notedebasdepage"/>
        <w:rPr>
          <w:lang w:val="es-CO"/>
        </w:rPr>
      </w:pPr>
      <w:r>
        <w:rPr>
          <w:rStyle w:val="Appelnotedebasdep"/>
        </w:rPr>
        <w:footnoteRef/>
      </w:r>
      <w:r>
        <w:t xml:space="preserve"> </w:t>
      </w:r>
      <w:r w:rsidR="00983D7D">
        <w:rPr>
          <w:rFonts w:asciiTheme="minorHAnsi" w:hAnsiTheme="minorHAnsi" w:cs="Calibri"/>
        </w:rPr>
        <w:t>CC</w:t>
      </w:r>
      <w:r>
        <w:rPr>
          <w:rFonts w:asciiTheme="minorHAnsi" w:hAnsiTheme="minorHAnsi" w:cs="Calibri"/>
        </w:rPr>
        <w:t>.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F0A51">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763093">
      <w:rPr>
        <w:rFonts w:ascii="Calibri" w:hAnsi="Calibri" w:cs="Calibri"/>
        <w:i/>
        <w:sz w:val="20"/>
        <w:szCs w:val="22"/>
      </w:rPr>
      <w:t>01118-00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0BE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659"/>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16C1"/>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87EED"/>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344"/>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A17"/>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0A5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40"/>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D1D"/>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69B"/>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237"/>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4DC"/>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5C6A"/>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093"/>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713"/>
    <w:rsid w:val="007949D4"/>
    <w:rsid w:val="00794BDC"/>
    <w:rsid w:val="00794E4D"/>
    <w:rsid w:val="00794F24"/>
    <w:rsid w:val="00795469"/>
    <w:rsid w:val="007965DD"/>
    <w:rsid w:val="00796627"/>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385"/>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2FF"/>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C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1E19"/>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30A"/>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36"/>
    <w:rsid w:val="00B57911"/>
    <w:rsid w:val="00B57C24"/>
    <w:rsid w:val="00B57C98"/>
    <w:rsid w:val="00B604B9"/>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1E4"/>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497"/>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0C5"/>
    <w:rsid w:val="00C13560"/>
    <w:rsid w:val="00C136DB"/>
    <w:rsid w:val="00C137AC"/>
    <w:rsid w:val="00C13B74"/>
    <w:rsid w:val="00C13C0E"/>
    <w:rsid w:val="00C15191"/>
    <w:rsid w:val="00C15358"/>
    <w:rsid w:val="00C15C92"/>
    <w:rsid w:val="00C15D67"/>
    <w:rsid w:val="00C17512"/>
    <w:rsid w:val="00C17D60"/>
    <w:rsid w:val="00C17E1C"/>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0D"/>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4DD"/>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18D2"/>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B56"/>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1C"/>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0CD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21B"/>
    <w:rsid w:val="00F316B0"/>
    <w:rsid w:val="00F32C19"/>
    <w:rsid w:val="00F32E5B"/>
    <w:rsid w:val="00F330CE"/>
    <w:rsid w:val="00F332B5"/>
    <w:rsid w:val="00F336C8"/>
    <w:rsid w:val="00F33A29"/>
    <w:rsid w:val="00F348E7"/>
    <w:rsid w:val="00F34CA4"/>
    <w:rsid w:val="00F350A7"/>
    <w:rsid w:val="00F35120"/>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9111-C966-4102-B542-E527B56E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2374</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2016-12-15T16:37:00Z</cp:lastPrinted>
  <dcterms:created xsi:type="dcterms:W3CDTF">2016-12-14T18:32:00Z</dcterms:created>
  <dcterms:modified xsi:type="dcterms:W3CDTF">2017-03-17T11:16:00Z</dcterms:modified>
</cp:coreProperties>
</file>