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3B" w:rsidRPr="00760671" w:rsidRDefault="006F513B" w:rsidP="006F513B">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6F513B" w:rsidRDefault="006F513B" w:rsidP="006F513B">
      <w:pPr>
        <w:pStyle w:val="Sinespaciado"/>
        <w:rPr>
          <w:sz w:val="18"/>
          <w:szCs w:val="18"/>
        </w:rPr>
      </w:pPr>
    </w:p>
    <w:p w:rsidR="009858B0" w:rsidRPr="007224E9" w:rsidRDefault="009858B0" w:rsidP="009858B0">
      <w:pPr>
        <w:pStyle w:val="Sinespaciado"/>
        <w:jc w:val="both"/>
        <w:rPr>
          <w:rFonts w:asciiTheme="minorHAnsi" w:hAnsiTheme="minorHAnsi"/>
          <w:sz w:val="18"/>
          <w:szCs w:val="18"/>
        </w:rPr>
      </w:pPr>
      <w:bookmarkStart w:id="0" w:name="_GoBack"/>
      <w:bookmarkEnd w:id="0"/>
      <w:r w:rsidRPr="00740CD2">
        <w:rPr>
          <w:b/>
          <w:sz w:val="18"/>
          <w:szCs w:val="18"/>
        </w:rPr>
        <w:t>Tema:</w:t>
      </w:r>
      <w:r w:rsidRPr="00740CD2">
        <w:rPr>
          <w:b/>
          <w:sz w:val="18"/>
          <w:szCs w:val="18"/>
        </w:rPr>
        <w:tab/>
      </w:r>
      <w:r w:rsidRPr="00740CD2">
        <w:rPr>
          <w:b/>
          <w:sz w:val="18"/>
          <w:szCs w:val="18"/>
        </w:rPr>
        <w:tab/>
      </w:r>
      <w:r w:rsidRPr="00740CD2">
        <w:rPr>
          <w:b/>
          <w:sz w:val="18"/>
          <w:szCs w:val="18"/>
        </w:rPr>
        <w:tab/>
      </w:r>
      <w:r w:rsidRPr="00740CD2">
        <w:rPr>
          <w:b/>
          <w:sz w:val="18"/>
          <w:szCs w:val="18"/>
        </w:rPr>
        <w:tab/>
        <w:t xml:space="preserve">ACCIÓN POPULAR / Recurso de Apelación contra sentencia / NOTIFICACIÓN AUTO </w:t>
      </w:r>
      <w:proofErr w:type="spellStart"/>
      <w:r w:rsidRPr="00740CD2">
        <w:rPr>
          <w:b/>
          <w:sz w:val="18"/>
          <w:szCs w:val="18"/>
        </w:rPr>
        <w:t>ADMISORIO</w:t>
      </w:r>
      <w:proofErr w:type="spellEnd"/>
      <w:r w:rsidRPr="00740CD2">
        <w:rPr>
          <w:b/>
          <w:sz w:val="18"/>
          <w:szCs w:val="18"/>
        </w:rPr>
        <w:t xml:space="preserve"> DE LA DEMANDA / </w:t>
      </w:r>
      <w:r>
        <w:rPr>
          <w:b/>
          <w:sz w:val="18"/>
          <w:szCs w:val="18"/>
        </w:rPr>
        <w:t>Debe darse a conocer a la comunidad / NULIDAD / Insanable</w:t>
      </w:r>
      <w:r w:rsidRPr="00740CD2">
        <w:rPr>
          <w:b/>
          <w:sz w:val="18"/>
          <w:szCs w:val="18"/>
        </w:rPr>
        <w:t xml:space="preserve">/ </w:t>
      </w:r>
      <w:r w:rsidRPr="00740CD2">
        <w:rPr>
          <w:sz w:val="18"/>
          <w:szCs w:val="18"/>
        </w:rPr>
        <w:t xml:space="preserve"> “</w:t>
      </w:r>
      <w:r w:rsidRPr="007224E9">
        <w:rPr>
          <w:rFonts w:asciiTheme="minorHAnsi" w:hAnsiTheme="minorHAnsi"/>
          <w:sz w:val="18"/>
          <w:szCs w:val="18"/>
        </w:rPr>
        <w:t>Efectuado el examen preliminar que ordena el artículo 325 del Código General del Proceso, halla esta Sala Unitaria que en el trámite surtido en la concesión de la apelación existe una irregularidad insalvable, que hace que no pueda darse curso a la alzada, la cual pasa a explicarse:</w:t>
      </w:r>
    </w:p>
    <w:p w:rsidR="009858B0" w:rsidRPr="007224E9" w:rsidRDefault="009858B0" w:rsidP="009858B0">
      <w:pPr>
        <w:pStyle w:val="Sinespaciado"/>
        <w:jc w:val="both"/>
        <w:rPr>
          <w:rFonts w:asciiTheme="minorHAnsi" w:hAnsiTheme="minorHAnsi"/>
          <w:sz w:val="18"/>
          <w:szCs w:val="18"/>
        </w:rPr>
      </w:pPr>
    </w:p>
    <w:p w:rsidR="009858B0" w:rsidRPr="007224E9" w:rsidRDefault="009858B0" w:rsidP="009858B0">
      <w:pPr>
        <w:pStyle w:val="Sinespaciado"/>
        <w:jc w:val="both"/>
        <w:rPr>
          <w:rFonts w:asciiTheme="minorHAnsi" w:hAnsiTheme="minorHAnsi"/>
          <w:sz w:val="18"/>
          <w:szCs w:val="18"/>
        </w:rPr>
      </w:pPr>
      <w:r w:rsidRPr="007224E9">
        <w:rPr>
          <w:rFonts w:asciiTheme="minorHAnsi" w:hAnsiTheme="minorHAnsi"/>
          <w:sz w:val="18"/>
          <w:szCs w:val="18"/>
        </w:rPr>
        <w:t>Prevé el artículo 21 de la Ley 472 de 1998 que el auto que admite el libelo constitucional debe dársele a conocer a los miembros de la comunidad por el medio masivo de comunicación u otro medio eficaz que el Juez halle apropiado.</w:t>
      </w:r>
    </w:p>
    <w:p w:rsidR="009858B0" w:rsidRPr="007224E9" w:rsidRDefault="009858B0" w:rsidP="009858B0">
      <w:pPr>
        <w:pStyle w:val="Sinespaciado"/>
        <w:jc w:val="both"/>
        <w:rPr>
          <w:rFonts w:asciiTheme="minorHAnsi" w:hAnsiTheme="minorHAnsi"/>
          <w:sz w:val="18"/>
          <w:szCs w:val="18"/>
        </w:rPr>
      </w:pPr>
      <w:r w:rsidRPr="007224E9">
        <w:rPr>
          <w:rFonts w:asciiTheme="minorHAnsi" w:hAnsiTheme="minorHAnsi"/>
          <w:sz w:val="18"/>
          <w:szCs w:val="18"/>
        </w:rPr>
        <w:t>(…)</w:t>
      </w:r>
    </w:p>
    <w:p w:rsidR="009858B0" w:rsidRPr="007224E9" w:rsidRDefault="009858B0" w:rsidP="009858B0">
      <w:pPr>
        <w:pStyle w:val="Sinespaciado"/>
        <w:jc w:val="both"/>
        <w:rPr>
          <w:rFonts w:asciiTheme="minorHAnsi" w:hAnsiTheme="minorHAnsi"/>
          <w:sz w:val="18"/>
          <w:szCs w:val="18"/>
        </w:rPr>
      </w:pPr>
    </w:p>
    <w:p w:rsidR="009858B0" w:rsidRPr="007224E9" w:rsidRDefault="009858B0" w:rsidP="009858B0">
      <w:pPr>
        <w:pStyle w:val="Sinespaciado"/>
        <w:jc w:val="both"/>
        <w:rPr>
          <w:rFonts w:asciiTheme="minorHAnsi" w:hAnsiTheme="minorHAnsi"/>
          <w:sz w:val="18"/>
          <w:szCs w:val="18"/>
        </w:rPr>
      </w:pPr>
      <w:r w:rsidRPr="007224E9">
        <w:rPr>
          <w:rFonts w:asciiTheme="minorHAnsi" w:hAnsiTheme="minorHAnsi"/>
          <w:sz w:val="18"/>
          <w:szCs w:val="18"/>
        </w:rPr>
        <w:t xml:space="preserve">En el auto que dio impulso a la acción popular, en aplicación de esa exigencia, en el ordinal “SÉPTIMO” se ordenó publicar el aviso “… en la prensa o radio de amplia difusión en esta municipalidad, es decir, en los periódicos “La Tarde” o “El Diario del Otún”, y en las emisoras locales de Caracol, RCN, y de la Policía Nacional.” A renglón seguido, y para los mismos efectos, en el ordinal “OCTAVO” se dispuso fijar “… aviso en la Cartelera Pública de la Gobernación de Risaralda, la Alcaldía de Pereira, en los consultorios Jurídicos de las Universidades </w:t>
      </w:r>
      <w:proofErr w:type="spellStart"/>
      <w:r w:rsidRPr="007224E9">
        <w:rPr>
          <w:rFonts w:asciiTheme="minorHAnsi" w:hAnsiTheme="minorHAnsi"/>
          <w:sz w:val="18"/>
          <w:szCs w:val="18"/>
        </w:rPr>
        <w:t>UNILIBRE</w:t>
      </w:r>
      <w:proofErr w:type="spellEnd"/>
      <w:r w:rsidRPr="007224E9">
        <w:rPr>
          <w:rFonts w:asciiTheme="minorHAnsi" w:hAnsiTheme="minorHAnsi"/>
          <w:sz w:val="18"/>
          <w:szCs w:val="18"/>
        </w:rPr>
        <w:t xml:space="preserve"> y ANDINA, así como de la Cámara de Comercio de Pereira”. </w:t>
      </w:r>
    </w:p>
    <w:p w:rsidR="009858B0" w:rsidRPr="007224E9" w:rsidRDefault="009858B0" w:rsidP="009858B0">
      <w:pPr>
        <w:pStyle w:val="Sinespaciado"/>
        <w:jc w:val="both"/>
        <w:rPr>
          <w:rFonts w:asciiTheme="minorHAnsi" w:hAnsiTheme="minorHAnsi"/>
          <w:sz w:val="18"/>
          <w:szCs w:val="18"/>
        </w:rPr>
      </w:pPr>
    </w:p>
    <w:p w:rsidR="009858B0" w:rsidRPr="007224E9" w:rsidRDefault="009858B0" w:rsidP="009858B0">
      <w:pPr>
        <w:pStyle w:val="Sinespaciado"/>
        <w:jc w:val="both"/>
        <w:rPr>
          <w:rFonts w:asciiTheme="minorHAnsi" w:hAnsiTheme="minorHAnsi"/>
          <w:sz w:val="18"/>
          <w:szCs w:val="18"/>
        </w:rPr>
      </w:pPr>
      <w:r w:rsidRPr="007224E9">
        <w:rPr>
          <w:rFonts w:asciiTheme="minorHAnsi" w:hAnsiTheme="minorHAnsi"/>
          <w:sz w:val="18"/>
          <w:szCs w:val="18"/>
        </w:rPr>
        <w:t>Sobre la primera orden es preciso decir que no existe prueba alguna que demuestre que el aviso se publicó en los medios masivos que se señalaron en el ordinal “SÉPTIMO”, concretamente en alguno de los periódicos o las emisoras mencionados.”</w:t>
      </w:r>
    </w:p>
    <w:p w:rsidR="009858B0" w:rsidRDefault="009858B0" w:rsidP="009858B0">
      <w:pPr>
        <w:pStyle w:val="Sinespaciado"/>
        <w:jc w:val="both"/>
        <w:rPr>
          <w:rFonts w:asciiTheme="minorHAnsi" w:hAnsiTheme="minorHAnsi"/>
          <w:sz w:val="18"/>
          <w:szCs w:val="18"/>
        </w:rPr>
      </w:pPr>
    </w:p>
    <w:p w:rsidR="009858B0" w:rsidRPr="007224E9" w:rsidRDefault="009858B0" w:rsidP="009858B0">
      <w:pPr>
        <w:pStyle w:val="Sinespaciado"/>
        <w:jc w:val="both"/>
        <w:rPr>
          <w:rFonts w:asciiTheme="minorHAnsi" w:hAnsiTheme="minorHAnsi"/>
          <w:sz w:val="18"/>
          <w:szCs w:val="18"/>
        </w:rPr>
      </w:pPr>
      <w:r w:rsidRPr="009858B0">
        <w:rPr>
          <w:rFonts w:asciiTheme="minorHAnsi" w:hAnsiTheme="minorHAnsi"/>
          <w:b/>
          <w:sz w:val="18"/>
          <w:szCs w:val="18"/>
        </w:rPr>
        <w:t>Citación jurisprudencial:</w:t>
      </w:r>
      <w:r w:rsidRPr="007224E9">
        <w:rPr>
          <w:rFonts w:asciiTheme="minorHAnsi" w:hAnsiTheme="minorHAnsi"/>
          <w:sz w:val="18"/>
          <w:szCs w:val="18"/>
        </w:rPr>
        <w:t xml:space="preserve"> Consejo de Estado, Sección Tercera. Providencia del 5 de febrero de 2004.  </w:t>
      </w:r>
      <w:proofErr w:type="spellStart"/>
      <w:r w:rsidRPr="007224E9">
        <w:rPr>
          <w:rFonts w:asciiTheme="minorHAnsi" w:hAnsiTheme="minorHAnsi"/>
          <w:sz w:val="18"/>
          <w:szCs w:val="18"/>
        </w:rPr>
        <w:t>CP</w:t>
      </w:r>
      <w:proofErr w:type="spellEnd"/>
      <w:r w:rsidRPr="007224E9">
        <w:rPr>
          <w:rFonts w:asciiTheme="minorHAnsi" w:hAnsiTheme="minorHAnsi"/>
          <w:sz w:val="18"/>
          <w:szCs w:val="18"/>
        </w:rPr>
        <w:t xml:space="preserve"> Ricardo Hoyos Duque</w:t>
      </w:r>
    </w:p>
    <w:p w:rsidR="009858B0" w:rsidRPr="00740CD2" w:rsidRDefault="009858B0" w:rsidP="009858B0">
      <w:pPr>
        <w:pStyle w:val="Sinespaciado"/>
        <w:jc w:val="both"/>
        <w:rPr>
          <w:sz w:val="18"/>
          <w:szCs w:val="18"/>
        </w:rPr>
      </w:pPr>
    </w:p>
    <w:p w:rsidR="009858B0" w:rsidRDefault="009858B0" w:rsidP="009858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center"/>
        <w:rPr>
          <w:rFonts w:ascii="Verdana" w:hAnsi="Verdana"/>
        </w:rPr>
      </w:pPr>
      <w:r>
        <w:rPr>
          <w:rFonts w:ascii="Verdana" w:hAnsi="Verdana"/>
        </w:rPr>
        <w:t>---------------------------------------------------------------------------</w:t>
      </w:r>
    </w:p>
    <w:p w:rsidR="009858B0" w:rsidRDefault="009858B0" w:rsidP="009858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jc w:val="center"/>
        <w:rPr>
          <w:rFonts w:ascii="Verdana" w:hAnsi="Verdana"/>
        </w:rPr>
      </w:pPr>
    </w:p>
    <w:p w:rsidR="009858B0" w:rsidRDefault="009858B0" w:rsidP="00357CB8">
      <w:pPr>
        <w:tabs>
          <w:tab w:val="left" w:pos="3060"/>
        </w:tabs>
        <w:spacing w:after="0" w:line="276" w:lineRule="auto"/>
        <w:ind w:firstLine="2880"/>
        <w:rPr>
          <w:rFonts w:ascii="Gadugi" w:eastAsia="Times New Roman" w:hAnsi="Gadugi" w:cs="Shruti"/>
          <w:b/>
          <w:sz w:val="26"/>
          <w:szCs w:val="26"/>
          <w:lang w:val="es-ES" w:eastAsia="es-ES"/>
        </w:rPr>
      </w:pPr>
    </w:p>
    <w:p w:rsidR="00F1504F" w:rsidRPr="00357CB8" w:rsidRDefault="00F1504F" w:rsidP="00357CB8">
      <w:pPr>
        <w:tabs>
          <w:tab w:val="left" w:pos="3060"/>
        </w:tabs>
        <w:spacing w:after="0" w:line="276" w:lineRule="auto"/>
        <w:ind w:firstLine="2880"/>
        <w:rPr>
          <w:rFonts w:ascii="Gadugi" w:eastAsia="Times New Roman" w:hAnsi="Gadugi" w:cs="Shruti"/>
          <w:b/>
          <w:sz w:val="26"/>
          <w:szCs w:val="26"/>
          <w:lang w:val="es-ES" w:eastAsia="es-ES"/>
        </w:rPr>
      </w:pPr>
      <w:r w:rsidRPr="00357CB8">
        <w:rPr>
          <w:rFonts w:ascii="Gadugi" w:eastAsia="Times New Roman" w:hAnsi="Gadugi" w:cs="Shruti"/>
          <w:b/>
          <w:sz w:val="26"/>
          <w:szCs w:val="26"/>
          <w:lang w:val="es-ES" w:eastAsia="es-ES"/>
        </w:rPr>
        <w:t xml:space="preserve">TRIBUNAL SUPERIOR DEL DISTRITO JUDICIAL </w:t>
      </w:r>
    </w:p>
    <w:p w:rsidR="00F1504F" w:rsidRPr="00357CB8" w:rsidRDefault="00F1504F" w:rsidP="00357CB8">
      <w:pPr>
        <w:keepNext/>
        <w:spacing w:after="0" w:line="276" w:lineRule="auto"/>
        <w:outlineLvl w:val="0"/>
        <w:rPr>
          <w:rFonts w:ascii="Gadugi" w:eastAsia="Times New Roman" w:hAnsi="Gadugi" w:cs="Shruti"/>
          <w:b/>
          <w:bCs/>
          <w:sz w:val="26"/>
          <w:szCs w:val="26"/>
          <w:lang w:val="es-ES" w:eastAsia="es-ES"/>
        </w:rPr>
      </w:pPr>
      <w:r w:rsidRPr="00357CB8">
        <w:rPr>
          <w:rFonts w:ascii="Gadugi" w:eastAsia="Times New Roman" w:hAnsi="Gadugi" w:cs="Shruti"/>
          <w:b/>
          <w:bCs/>
          <w:sz w:val="26"/>
          <w:szCs w:val="26"/>
          <w:lang w:val="es-ES" w:eastAsia="es-ES"/>
        </w:rPr>
        <w:t xml:space="preserve">  </w:t>
      </w:r>
      <w:r w:rsidRPr="00357CB8">
        <w:rPr>
          <w:rFonts w:ascii="Gadugi" w:eastAsia="Times New Roman" w:hAnsi="Gadugi" w:cs="Shruti"/>
          <w:b/>
          <w:bCs/>
          <w:sz w:val="26"/>
          <w:szCs w:val="26"/>
          <w:lang w:val="es-ES" w:eastAsia="es-ES"/>
        </w:rPr>
        <w:tab/>
      </w:r>
      <w:r w:rsidRPr="00357CB8">
        <w:rPr>
          <w:rFonts w:ascii="Gadugi" w:eastAsia="Times New Roman" w:hAnsi="Gadugi" w:cs="Shruti"/>
          <w:b/>
          <w:bCs/>
          <w:sz w:val="26"/>
          <w:szCs w:val="26"/>
          <w:lang w:val="es-ES" w:eastAsia="es-ES"/>
        </w:rPr>
        <w:tab/>
      </w:r>
      <w:r w:rsidRPr="00357CB8">
        <w:rPr>
          <w:rFonts w:ascii="Gadugi" w:eastAsia="Times New Roman" w:hAnsi="Gadugi" w:cs="Shruti"/>
          <w:b/>
          <w:bCs/>
          <w:sz w:val="26"/>
          <w:szCs w:val="26"/>
          <w:lang w:val="es-ES" w:eastAsia="es-ES"/>
        </w:rPr>
        <w:tab/>
      </w:r>
      <w:r w:rsidRPr="00357CB8">
        <w:rPr>
          <w:rFonts w:ascii="Gadugi" w:eastAsia="Times New Roman" w:hAnsi="Gadugi" w:cs="Shruti"/>
          <w:b/>
          <w:bCs/>
          <w:sz w:val="26"/>
          <w:szCs w:val="26"/>
          <w:lang w:val="es-ES" w:eastAsia="es-ES"/>
        </w:rPr>
        <w:tab/>
      </w:r>
      <w:r w:rsidRPr="00357CB8">
        <w:rPr>
          <w:rFonts w:ascii="Gadugi" w:eastAsia="Times New Roman" w:hAnsi="Gadugi" w:cs="Shruti"/>
          <w:b/>
          <w:bCs/>
          <w:sz w:val="26"/>
          <w:szCs w:val="26"/>
          <w:lang w:val="es-ES" w:eastAsia="es-ES"/>
        </w:rPr>
        <w:tab/>
        <w:t xml:space="preserve">  </w:t>
      </w:r>
      <w:r w:rsidRPr="00357CB8">
        <w:rPr>
          <w:rFonts w:ascii="Gadugi" w:eastAsia="Times New Roman" w:hAnsi="Gadugi" w:cs="Shruti"/>
          <w:b/>
          <w:bCs/>
          <w:sz w:val="26"/>
          <w:szCs w:val="26"/>
          <w:lang w:val="es-419" w:eastAsia="es-ES"/>
        </w:rPr>
        <w:t xml:space="preserve"> </w:t>
      </w:r>
      <w:r w:rsidRPr="00357CB8">
        <w:rPr>
          <w:rFonts w:ascii="Gadugi" w:eastAsia="Times New Roman" w:hAnsi="Gadugi" w:cs="Shruti"/>
          <w:b/>
          <w:bCs/>
          <w:sz w:val="26"/>
          <w:szCs w:val="26"/>
          <w:lang w:val="es-ES" w:eastAsia="es-ES"/>
        </w:rPr>
        <w:t>SALA UNITARIA CIVIL-FAMILIA</w:t>
      </w:r>
    </w:p>
    <w:p w:rsidR="00F1504F" w:rsidRDefault="00F1504F" w:rsidP="00357CB8">
      <w:pPr>
        <w:spacing w:after="0" w:line="276" w:lineRule="auto"/>
        <w:rPr>
          <w:rFonts w:ascii="Gadugi" w:eastAsia="Times New Roman" w:hAnsi="Gadugi" w:cs="Shruti"/>
          <w:sz w:val="24"/>
          <w:szCs w:val="24"/>
          <w:lang w:val="es-ES" w:eastAsia="es-ES"/>
        </w:rPr>
      </w:pPr>
    </w:p>
    <w:p w:rsidR="00357CB8" w:rsidRPr="00F1504F" w:rsidRDefault="00357CB8" w:rsidP="00357CB8">
      <w:pPr>
        <w:spacing w:after="0" w:line="276" w:lineRule="auto"/>
        <w:rPr>
          <w:rFonts w:ascii="Gadugi" w:eastAsia="Times New Roman" w:hAnsi="Gadugi" w:cs="Shruti"/>
          <w:sz w:val="24"/>
          <w:szCs w:val="24"/>
          <w:lang w:val="es-ES" w:eastAsia="es-ES"/>
        </w:rPr>
      </w:pPr>
    </w:p>
    <w:p w:rsidR="00F1504F" w:rsidRPr="00F1504F" w:rsidRDefault="00F1504F" w:rsidP="00357CB8">
      <w:pPr>
        <w:spacing w:after="0" w:line="276" w:lineRule="auto"/>
        <w:ind w:firstLine="2880"/>
        <w:rPr>
          <w:rFonts w:ascii="Gadugi" w:eastAsia="Times New Roman" w:hAnsi="Gadugi" w:cs="Shruti"/>
          <w:sz w:val="24"/>
          <w:szCs w:val="24"/>
          <w:lang w:val="es-ES" w:eastAsia="es-ES"/>
        </w:rPr>
      </w:pPr>
      <w:r w:rsidRPr="00F1504F">
        <w:rPr>
          <w:rFonts w:ascii="Gadugi" w:eastAsia="Times New Roman" w:hAnsi="Gadugi" w:cs="Shruti"/>
          <w:sz w:val="24"/>
          <w:szCs w:val="24"/>
          <w:lang w:val="es-ES" w:eastAsia="es-ES"/>
        </w:rPr>
        <w:t>Magistrado: Jaime Alberto Saraza Naranjo</w:t>
      </w:r>
    </w:p>
    <w:p w:rsidR="00F1504F" w:rsidRPr="00F1504F" w:rsidRDefault="00F1504F" w:rsidP="00357CB8">
      <w:pPr>
        <w:spacing w:after="0" w:line="276" w:lineRule="auto"/>
        <w:ind w:firstLine="2880"/>
        <w:rPr>
          <w:rFonts w:ascii="Gadugi" w:eastAsia="Times New Roman" w:hAnsi="Gadugi" w:cs="Shruti"/>
          <w:sz w:val="24"/>
          <w:szCs w:val="24"/>
          <w:lang w:val="es-ES" w:eastAsia="es-ES"/>
        </w:rPr>
      </w:pPr>
      <w:r w:rsidRPr="00F1504F">
        <w:rPr>
          <w:rFonts w:ascii="Gadugi" w:eastAsia="Times New Roman" w:hAnsi="Gadugi" w:cs="Shruti"/>
          <w:sz w:val="24"/>
          <w:szCs w:val="24"/>
          <w:lang w:val="es-ES" w:eastAsia="es-ES"/>
        </w:rPr>
        <w:t xml:space="preserve">Pereira, </w:t>
      </w:r>
      <w:r w:rsidR="00CB17FB">
        <w:rPr>
          <w:rFonts w:ascii="Gadugi" w:eastAsia="Times New Roman" w:hAnsi="Gadugi" w:cs="Shruti"/>
          <w:sz w:val="24"/>
          <w:szCs w:val="24"/>
          <w:lang w:val="es-ES" w:eastAsia="es-ES"/>
        </w:rPr>
        <w:t>octubre c</w:t>
      </w:r>
      <w:r w:rsidR="00874F17">
        <w:rPr>
          <w:rFonts w:ascii="Gadugi" w:eastAsia="Times New Roman" w:hAnsi="Gadugi" w:cs="Shruti"/>
          <w:sz w:val="24"/>
          <w:szCs w:val="24"/>
          <w:lang w:val="es-419" w:eastAsia="es-ES"/>
        </w:rPr>
        <w:t>uatro</w:t>
      </w:r>
      <w:r>
        <w:rPr>
          <w:rFonts w:ascii="Gadugi" w:eastAsia="Times New Roman" w:hAnsi="Gadugi" w:cs="Shruti"/>
          <w:sz w:val="24"/>
          <w:szCs w:val="24"/>
          <w:lang w:val="es-ES" w:eastAsia="es-ES"/>
        </w:rPr>
        <w:t xml:space="preserve"> </w:t>
      </w:r>
      <w:r w:rsidRPr="00F1504F">
        <w:rPr>
          <w:rFonts w:ascii="Gadugi" w:eastAsia="Times New Roman" w:hAnsi="Gadugi" w:cs="Shruti"/>
          <w:sz w:val="24"/>
          <w:szCs w:val="24"/>
          <w:lang w:val="es-419" w:eastAsia="es-ES"/>
        </w:rPr>
        <w:t xml:space="preserve">de dos mil dieciséis </w:t>
      </w:r>
    </w:p>
    <w:p w:rsidR="00F1504F" w:rsidRPr="00F1504F" w:rsidRDefault="00F1504F" w:rsidP="00357CB8">
      <w:pPr>
        <w:tabs>
          <w:tab w:val="left" w:pos="2880"/>
        </w:tabs>
        <w:spacing w:after="0" w:line="276" w:lineRule="auto"/>
        <w:ind w:firstLine="2880"/>
        <w:jc w:val="both"/>
        <w:rPr>
          <w:rFonts w:ascii="Gadugi" w:eastAsia="Times New Roman" w:hAnsi="Gadugi" w:cs="Shruti"/>
          <w:iCs/>
          <w:sz w:val="24"/>
          <w:szCs w:val="24"/>
          <w:lang w:val="es-ES" w:eastAsia="es-ES"/>
        </w:rPr>
      </w:pPr>
      <w:r w:rsidRPr="00F1504F">
        <w:rPr>
          <w:rFonts w:ascii="Gadugi" w:eastAsia="Times New Roman" w:hAnsi="Gadugi" w:cs="Shruti"/>
          <w:iCs/>
          <w:sz w:val="24"/>
          <w:szCs w:val="24"/>
          <w:lang w:val="es-ES" w:eastAsia="es-ES"/>
        </w:rPr>
        <w:t>Expediente: 66400-31-</w:t>
      </w:r>
      <w:r w:rsidR="00E540C3">
        <w:rPr>
          <w:rFonts w:ascii="Gadugi" w:eastAsia="Times New Roman" w:hAnsi="Gadugi" w:cs="Shruti"/>
          <w:iCs/>
          <w:sz w:val="24"/>
          <w:szCs w:val="24"/>
          <w:lang w:val="es-ES" w:eastAsia="es-ES"/>
        </w:rPr>
        <w:t>03</w:t>
      </w:r>
      <w:r w:rsidRPr="00F1504F">
        <w:rPr>
          <w:rFonts w:ascii="Gadugi" w:eastAsia="Times New Roman" w:hAnsi="Gadugi" w:cs="Shruti"/>
          <w:iCs/>
          <w:sz w:val="24"/>
          <w:szCs w:val="24"/>
          <w:lang w:val="es-ES" w:eastAsia="es-ES"/>
        </w:rPr>
        <w:t>-00</w:t>
      </w:r>
      <w:r w:rsidR="00E540C3">
        <w:rPr>
          <w:rFonts w:ascii="Gadugi" w:eastAsia="Times New Roman" w:hAnsi="Gadugi" w:cs="Shruti"/>
          <w:iCs/>
          <w:sz w:val="24"/>
          <w:szCs w:val="24"/>
          <w:lang w:val="es-419" w:eastAsia="es-ES"/>
        </w:rPr>
        <w:t>2</w:t>
      </w:r>
      <w:r w:rsidRPr="00F1504F">
        <w:rPr>
          <w:rFonts w:ascii="Gadugi" w:eastAsia="Times New Roman" w:hAnsi="Gadugi" w:cs="Shruti"/>
          <w:iCs/>
          <w:sz w:val="24"/>
          <w:szCs w:val="24"/>
          <w:lang w:val="es-ES" w:eastAsia="es-ES"/>
        </w:rPr>
        <w:t>-2015-000</w:t>
      </w:r>
      <w:r w:rsidR="00E540C3">
        <w:rPr>
          <w:rFonts w:ascii="Gadugi" w:eastAsia="Times New Roman" w:hAnsi="Gadugi" w:cs="Shruti"/>
          <w:iCs/>
          <w:sz w:val="24"/>
          <w:szCs w:val="24"/>
          <w:lang w:val="es-ES" w:eastAsia="es-ES"/>
        </w:rPr>
        <w:t>52</w:t>
      </w:r>
      <w:r w:rsidRPr="00F1504F">
        <w:rPr>
          <w:rFonts w:ascii="Gadugi" w:eastAsia="Times New Roman" w:hAnsi="Gadugi" w:cs="Shruti"/>
          <w:iCs/>
          <w:sz w:val="24"/>
          <w:szCs w:val="24"/>
          <w:lang w:val="es-ES" w:eastAsia="es-ES"/>
        </w:rPr>
        <w:t>-01</w:t>
      </w:r>
    </w:p>
    <w:p w:rsidR="00F1504F" w:rsidRDefault="00F1504F" w:rsidP="00357CB8">
      <w:pPr>
        <w:spacing w:after="0" w:line="276" w:lineRule="auto"/>
        <w:jc w:val="both"/>
        <w:rPr>
          <w:rFonts w:ascii="Gadugi" w:eastAsia="Times New Roman" w:hAnsi="Gadugi" w:cs="Shruti"/>
          <w:bCs/>
          <w:iCs/>
          <w:kern w:val="28"/>
          <w:sz w:val="24"/>
          <w:szCs w:val="24"/>
          <w:u w:val="single"/>
          <w:lang w:val="es-MX" w:eastAsia="es-ES"/>
        </w:rPr>
      </w:pPr>
    </w:p>
    <w:p w:rsidR="00357CB8" w:rsidRPr="00F1504F" w:rsidRDefault="00357CB8" w:rsidP="00357CB8">
      <w:pPr>
        <w:spacing w:after="0" w:line="276" w:lineRule="auto"/>
        <w:jc w:val="both"/>
        <w:rPr>
          <w:rFonts w:ascii="Gadugi" w:eastAsia="Times New Roman" w:hAnsi="Gadugi" w:cs="Shruti"/>
          <w:bCs/>
          <w:iCs/>
          <w:kern w:val="28"/>
          <w:sz w:val="24"/>
          <w:szCs w:val="24"/>
          <w:u w:val="single"/>
          <w:lang w:val="es-MX" w:eastAsia="es-ES"/>
        </w:rPr>
      </w:pPr>
    </w:p>
    <w:p w:rsidR="00F1504F" w:rsidRPr="00F1504F" w:rsidRDefault="00F1504F" w:rsidP="00357CB8">
      <w:pPr>
        <w:spacing w:after="0" w:line="276" w:lineRule="auto"/>
        <w:jc w:val="both"/>
        <w:rPr>
          <w:rFonts w:ascii="Gadugi" w:eastAsia="Times New Roman" w:hAnsi="Gadugi" w:cs="Times New Roman"/>
          <w:sz w:val="24"/>
          <w:szCs w:val="24"/>
          <w:lang w:val="es-MX" w:eastAsia="es-ES"/>
        </w:rPr>
      </w:pPr>
      <w:r w:rsidRPr="00F1504F">
        <w:rPr>
          <w:rFonts w:ascii="Gadugi" w:eastAsia="Times New Roman" w:hAnsi="Gadugi" w:cs="Shruti"/>
          <w:sz w:val="24"/>
          <w:szCs w:val="24"/>
          <w:lang w:val="es-ES" w:eastAsia="es-ES"/>
        </w:rPr>
        <w:t xml:space="preserve">  </w:t>
      </w:r>
      <w:r w:rsidRPr="00F1504F">
        <w:rPr>
          <w:rFonts w:ascii="Gadugi" w:eastAsia="Times New Roman" w:hAnsi="Gadugi" w:cs="Shruti"/>
          <w:sz w:val="24"/>
          <w:szCs w:val="24"/>
          <w:lang w:val="es-ES" w:eastAsia="es-ES"/>
        </w:rPr>
        <w:tab/>
      </w:r>
      <w:r w:rsidRPr="00F1504F">
        <w:rPr>
          <w:rFonts w:ascii="Gadugi" w:eastAsia="Times New Roman" w:hAnsi="Gadugi" w:cs="Shruti"/>
          <w:sz w:val="24"/>
          <w:szCs w:val="24"/>
          <w:lang w:val="es-ES" w:eastAsia="es-ES"/>
        </w:rPr>
        <w:tab/>
      </w:r>
      <w:r w:rsidRPr="00F1504F">
        <w:rPr>
          <w:rFonts w:ascii="Gadugi" w:eastAsia="Times New Roman" w:hAnsi="Gadugi" w:cs="Shruti"/>
          <w:sz w:val="24"/>
          <w:szCs w:val="24"/>
          <w:lang w:val="es-ES" w:eastAsia="es-ES"/>
        </w:rPr>
        <w:tab/>
      </w:r>
      <w:r w:rsidRPr="00F1504F">
        <w:rPr>
          <w:rFonts w:ascii="Gadugi" w:eastAsia="Times New Roman" w:hAnsi="Gadugi" w:cs="Shruti"/>
          <w:sz w:val="24"/>
          <w:szCs w:val="24"/>
          <w:lang w:val="es-ES" w:eastAsia="es-ES"/>
        </w:rPr>
        <w:tab/>
        <w:t xml:space="preserve"> </w:t>
      </w:r>
      <w:r w:rsidRPr="00F1504F">
        <w:rPr>
          <w:rFonts w:ascii="Gadugi" w:eastAsia="Times New Roman" w:hAnsi="Gadugi" w:cs="Times New Roman"/>
          <w:sz w:val="24"/>
          <w:szCs w:val="24"/>
          <w:lang w:val="es-MX" w:eastAsia="es-ES"/>
        </w:rPr>
        <w:t xml:space="preserve">Se encuentra a despacho </w:t>
      </w:r>
      <w:r w:rsidR="00874F17">
        <w:rPr>
          <w:rFonts w:ascii="Gadugi" w:eastAsia="Times New Roman" w:hAnsi="Gadugi" w:cs="Times New Roman"/>
          <w:sz w:val="24"/>
          <w:szCs w:val="24"/>
          <w:lang w:val="es-419" w:eastAsia="es-ES"/>
        </w:rPr>
        <w:t xml:space="preserve">la </w:t>
      </w:r>
      <w:r w:rsidRPr="00F1504F">
        <w:rPr>
          <w:rFonts w:ascii="Gadugi" w:eastAsia="Times New Roman" w:hAnsi="Gadugi" w:cs="Times New Roman"/>
          <w:sz w:val="24"/>
          <w:szCs w:val="24"/>
          <w:lang w:val="es-MX" w:eastAsia="es-ES"/>
        </w:rPr>
        <w:t xml:space="preserve">acción popular </w:t>
      </w:r>
      <w:proofErr w:type="spellStart"/>
      <w:r w:rsidRPr="00F1504F">
        <w:rPr>
          <w:rFonts w:ascii="Gadugi" w:eastAsia="Times New Roman" w:hAnsi="Gadugi" w:cs="Times New Roman"/>
          <w:sz w:val="24"/>
          <w:szCs w:val="24"/>
          <w:lang w:val="es-MX" w:eastAsia="es-ES"/>
        </w:rPr>
        <w:t>promovid</w:t>
      </w:r>
      <w:proofErr w:type="spellEnd"/>
      <w:r w:rsidR="00874F17">
        <w:rPr>
          <w:rFonts w:ascii="Gadugi" w:eastAsia="Times New Roman" w:hAnsi="Gadugi" w:cs="Times New Roman"/>
          <w:sz w:val="24"/>
          <w:szCs w:val="24"/>
          <w:lang w:val="es-419" w:eastAsia="es-ES"/>
        </w:rPr>
        <w:t>a</w:t>
      </w:r>
      <w:r w:rsidRPr="00F1504F">
        <w:rPr>
          <w:rFonts w:ascii="Gadugi" w:eastAsia="Times New Roman" w:hAnsi="Gadugi" w:cs="Times New Roman"/>
          <w:sz w:val="24"/>
          <w:szCs w:val="24"/>
          <w:lang w:val="es-MX" w:eastAsia="es-ES"/>
        </w:rPr>
        <w:t xml:space="preserve"> por </w:t>
      </w:r>
      <w:r w:rsidR="00E540C3">
        <w:rPr>
          <w:rFonts w:ascii="Gadugi" w:eastAsia="Times New Roman" w:hAnsi="Gadugi" w:cs="Times New Roman"/>
          <w:sz w:val="24"/>
          <w:szCs w:val="24"/>
          <w:lang w:val="es-MX" w:eastAsia="es-ES"/>
        </w:rPr>
        <w:t xml:space="preserve">Javier Elías Arias </w:t>
      </w:r>
      <w:proofErr w:type="spellStart"/>
      <w:r w:rsidR="00E540C3">
        <w:rPr>
          <w:rFonts w:ascii="Gadugi" w:eastAsia="Times New Roman" w:hAnsi="Gadugi" w:cs="Times New Roman"/>
          <w:sz w:val="24"/>
          <w:szCs w:val="24"/>
          <w:lang w:val="es-MX" w:eastAsia="es-ES"/>
        </w:rPr>
        <w:t>Idárraga</w:t>
      </w:r>
      <w:proofErr w:type="spellEnd"/>
      <w:r w:rsidRPr="00F1504F">
        <w:rPr>
          <w:rFonts w:ascii="Gadugi" w:eastAsia="Times New Roman" w:hAnsi="Gadugi" w:cs="Times New Roman"/>
          <w:sz w:val="24"/>
          <w:szCs w:val="24"/>
          <w:lang w:val="es-MX" w:eastAsia="es-ES"/>
        </w:rPr>
        <w:t xml:space="preserve"> en contra de la </w:t>
      </w:r>
      <w:r w:rsidR="00E540C3">
        <w:rPr>
          <w:rFonts w:ascii="Gadugi" w:eastAsia="Times New Roman" w:hAnsi="Gadugi" w:cs="Times New Roman"/>
          <w:sz w:val="24"/>
          <w:szCs w:val="24"/>
          <w:lang w:val="es-MX" w:eastAsia="es-ES"/>
        </w:rPr>
        <w:t xml:space="preserve">Fundación de la Mujer, </w:t>
      </w:r>
      <w:r w:rsidRPr="00F1504F">
        <w:rPr>
          <w:rFonts w:ascii="Gadugi" w:eastAsia="Times New Roman" w:hAnsi="Gadugi" w:cs="Times New Roman"/>
          <w:sz w:val="24"/>
          <w:szCs w:val="24"/>
          <w:lang w:val="es-MX" w:eastAsia="es-ES"/>
        </w:rPr>
        <w:t xml:space="preserve">ubicada en </w:t>
      </w:r>
      <w:r w:rsidR="00E540C3">
        <w:rPr>
          <w:rFonts w:ascii="Gadugi" w:eastAsia="Times New Roman" w:hAnsi="Gadugi" w:cs="Times New Roman"/>
          <w:sz w:val="24"/>
          <w:szCs w:val="24"/>
          <w:lang w:val="es-MX" w:eastAsia="es-ES"/>
        </w:rPr>
        <w:t>la carrera 25 No. 68b – 18 Barrio Cuba de esta ciudad</w:t>
      </w:r>
      <w:r w:rsidRPr="00F1504F">
        <w:rPr>
          <w:rFonts w:ascii="Gadugi" w:eastAsia="Times New Roman" w:hAnsi="Gadugi" w:cs="Times New Roman"/>
          <w:sz w:val="24"/>
          <w:szCs w:val="24"/>
          <w:lang w:val="es-MX" w:eastAsia="es-ES"/>
        </w:rPr>
        <w:t xml:space="preserve">, para decidir sobre la admisibilidad del recurso de apelación interpuesto por el actor contra la sentencia proferida el </w:t>
      </w:r>
      <w:r w:rsidR="00E540C3">
        <w:rPr>
          <w:rFonts w:ascii="Gadugi" w:eastAsia="Times New Roman" w:hAnsi="Gadugi" w:cs="Times New Roman"/>
          <w:sz w:val="24"/>
          <w:szCs w:val="24"/>
          <w:lang w:val="es-MX" w:eastAsia="es-ES"/>
        </w:rPr>
        <w:t xml:space="preserve">26 de agosto </w:t>
      </w:r>
      <w:r w:rsidRPr="00F1504F">
        <w:rPr>
          <w:rFonts w:ascii="Gadugi" w:eastAsia="Times New Roman" w:hAnsi="Gadugi" w:cs="Times New Roman"/>
          <w:sz w:val="24"/>
          <w:szCs w:val="24"/>
          <w:lang w:val="es-MX" w:eastAsia="es-ES"/>
        </w:rPr>
        <w:t xml:space="preserve">de 2016 por el Juzgado </w:t>
      </w:r>
      <w:r w:rsidR="00E540C3">
        <w:rPr>
          <w:rFonts w:ascii="Gadugi" w:eastAsia="Times New Roman" w:hAnsi="Gadugi" w:cs="Times New Roman"/>
          <w:sz w:val="24"/>
          <w:szCs w:val="24"/>
          <w:lang w:val="es-MX" w:eastAsia="es-ES"/>
        </w:rPr>
        <w:t>Segundo Civil del Circuito local</w:t>
      </w:r>
      <w:r w:rsidRPr="00F1504F">
        <w:rPr>
          <w:rFonts w:ascii="Gadugi" w:eastAsia="Times New Roman" w:hAnsi="Gadugi" w:cs="Times New Roman"/>
          <w:sz w:val="24"/>
          <w:szCs w:val="24"/>
          <w:lang w:val="es-MX" w:eastAsia="es-ES"/>
        </w:rPr>
        <w:t xml:space="preserve">. </w:t>
      </w:r>
    </w:p>
    <w:p w:rsidR="00357CB8" w:rsidRDefault="00F1504F" w:rsidP="00357CB8">
      <w:pPr>
        <w:autoSpaceDN w:val="0"/>
        <w:spacing w:after="0" w:line="276" w:lineRule="auto"/>
        <w:jc w:val="both"/>
        <w:rPr>
          <w:rFonts w:ascii="Gadugi" w:eastAsia="Times New Roman" w:hAnsi="Gadugi" w:cs="Times New Roman"/>
          <w:sz w:val="24"/>
          <w:szCs w:val="24"/>
          <w:lang w:val="es-MX" w:eastAsia="es-ES"/>
        </w:rPr>
      </w:pPr>
      <w:r w:rsidRPr="00F1504F">
        <w:rPr>
          <w:rFonts w:ascii="Gadugi" w:eastAsia="Times New Roman" w:hAnsi="Gadugi" w:cs="Times New Roman"/>
          <w:sz w:val="24"/>
          <w:szCs w:val="24"/>
          <w:lang w:val="es-MX" w:eastAsia="es-ES"/>
        </w:rPr>
        <w:tab/>
      </w:r>
      <w:r w:rsidRPr="00F1504F">
        <w:rPr>
          <w:rFonts w:ascii="Gadugi" w:eastAsia="Times New Roman" w:hAnsi="Gadugi" w:cs="Times New Roman"/>
          <w:sz w:val="24"/>
          <w:szCs w:val="24"/>
          <w:lang w:val="es-MX" w:eastAsia="es-ES"/>
        </w:rPr>
        <w:tab/>
      </w:r>
      <w:r w:rsidRPr="00F1504F">
        <w:rPr>
          <w:rFonts w:ascii="Gadugi" w:eastAsia="Times New Roman" w:hAnsi="Gadugi" w:cs="Times New Roman"/>
          <w:sz w:val="24"/>
          <w:szCs w:val="24"/>
          <w:lang w:val="es-MX" w:eastAsia="es-ES"/>
        </w:rPr>
        <w:tab/>
      </w:r>
      <w:r w:rsidRPr="00F1504F">
        <w:rPr>
          <w:rFonts w:ascii="Gadugi" w:eastAsia="Times New Roman" w:hAnsi="Gadugi" w:cs="Times New Roman"/>
          <w:sz w:val="24"/>
          <w:szCs w:val="24"/>
          <w:lang w:val="es-MX" w:eastAsia="es-ES"/>
        </w:rPr>
        <w:tab/>
      </w:r>
    </w:p>
    <w:p w:rsidR="00F1504F" w:rsidRPr="00F1504F" w:rsidRDefault="00357CB8" w:rsidP="00357CB8">
      <w:pPr>
        <w:autoSpaceDN w:val="0"/>
        <w:spacing w:after="0" w:line="276" w:lineRule="auto"/>
        <w:jc w:val="both"/>
        <w:rPr>
          <w:rFonts w:ascii="Gadugi" w:eastAsia="Times New Roman" w:hAnsi="Gadugi" w:cs="Times New Roman"/>
          <w:sz w:val="24"/>
          <w:szCs w:val="24"/>
          <w:lang w:val="es-MX" w:eastAsia="es-ES"/>
        </w:rPr>
      </w:pPr>
      <w:r>
        <w:rPr>
          <w:rFonts w:ascii="Gadugi" w:eastAsia="Times New Roman" w:hAnsi="Gadugi" w:cs="Times New Roman"/>
          <w:sz w:val="24"/>
          <w:szCs w:val="24"/>
          <w:lang w:val="es-419" w:eastAsia="es-ES"/>
        </w:rPr>
        <w:lastRenderedPageBreak/>
        <w:t xml:space="preserve">   </w:t>
      </w:r>
      <w:r>
        <w:rPr>
          <w:rFonts w:ascii="Gadugi" w:eastAsia="Times New Roman" w:hAnsi="Gadugi" w:cs="Times New Roman"/>
          <w:sz w:val="24"/>
          <w:szCs w:val="24"/>
          <w:lang w:val="es-419" w:eastAsia="es-ES"/>
        </w:rPr>
        <w:tab/>
      </w:r>
      <w:r>
        <w:rPr>
          <w:rFonts w:ascii="Gadugi" w:eastAsia="Times New Roman" w:hAnsi="Gadugi" w:cs="Times New Roman"/>
          <w:sz w:val="24"/>
          <w:szCs w:val="24"/>
          <w:lang w:val="es-419" w:eastAsia="es-ES"/>
        </w:rPr>
        <w:tab/>
      </w:r>
      <w:r>
        <w:rPr>
          <w:rFonts w:ascii="Gadugi" w:eastAsia="Times New Roman" w:hAnsi="Gadugi" w:cs="Times New Roman"/>
          <w:sz w:val="24"/>
          <w:szCs w:val="24"/>
          <w:lang w:val="es-419" w:eastAsia="es-ES"/>
        </w:rPr>
        <w:tab/>
      </w:r>
      <w:r>
        <w:rPr>
          <w:rFonts w:ascii="Gadugi" w:eastAsia="Times New Roman" w:hAnsi="Gadugi" w:cs="Times New Roman"/>
          <w:sz w:val="24"/>
          <w:szCs w:val="24"/>
          <w:lang w:val="es-419" w:eastAsia="es-ES"/>
        </w:rPr>
        <w:tab/>
      </w:r>
      <w:r w:rsidR="00F1504F" w:rsidRPr="00F1504F">
        <w:rPr>
          <w:rFonts w:ascii="Gadugi" w:eastAsia="Times New Roman" w:hAnsi="Gadugi" w:cs="Times New Roman"/>
          <w:sz w:val="24"/>
          <w:szCs w:val="24"/>
          <w:lang w:val="es-MX" w:eastAsia="es-ES"/>
        </w:rPr>
        <w:t>Efectuado el examen preliminar que ordena el artículo 325 del Código General del Proceso</w:t>
      </w:r>
      <w:r w:rsidR="00F1504F" w:rsidRPr="00F1504F">
        <w:rPr>
          <w:rFonts w:ascii="Gadugi" w:eastAsia="Times New Roman" w:hAnsi="Gadugi" w:cs="Times New Roman"/>
          <w:sz w:val="24"/>
          <w:szCs w:val="24"/>
          <w:vertAlign w:val="superscript"/>
          <w:lang w:val="es-MX" w:eastAsia="es-ES"/>
        </w:rPr>
        <w:footnoteReference w:id="1"/>
      </w:r>
      <w:r w:rsidR="00F1504F" w:rsidRPr="00F1504F">
        <w:rPr>
          <w:rFonts w:ascii="Gadugi" w:eastAsia="Times New Roman" w:hAnsi="Gadugi" w:cs="Times New Roman"/>
          <w:sz w:val="24"/>
          <w:szCs w:val="24"/>
          <w:lang w:val="es-MX" w:eastAsia="es-ES"/>
        </w:rPr>
        <w:t>, halla esta Sala Unitaria que en el trámite surtido en la concesión de la apelación existe una irregularidad insalvable, que hace que no pueda darse curso a la alzada, la cual pasa a explicarse:</w:t>
      </w:r>
    </w:p>
    <w:p w:rsidR="00F1504F" w:rsidRPr="00F1504F" w:rsidRDefault="00F1504F" w:rsidP="00357CB8">
      <w:pPr>
        <w:autoSpaceDN w:val="0"/>
        <w:spacing w:after="0" w:line="276" w:lineRule="auto"/>
        <w:jc w:val="both"/>
        <w:rPr>
          <w:rFonts w:ascii="Gadugi" w:eastAsia="Times New Roman" w:hAnsi="Gadugi" w:cs="Times New Roman"/>
          <w:sz w:val="24"/>
          <w:szCs w:val="24"/>
          <w:lang w:val="es-MX" w:eastAsia="es-ES"/>
        </w:rPr>
      </w:pPr>
    </w:p>
    <w:p w:rsidR="00F1504F" w:rsidRDefault="00F1504F" w:rsidP="00357CB8">
      <w:pPr>
        <w:spacing w:after="0" w:line="276" w:lineRule="auto"/>
        <w:jc w:val="both"/>
        <w:rPr>
          <w:rFonts w:ascii="Gadugi" w:eastAsia="Times New Roman" w:hAnsi="Gadugi" w:cs="Arial"/>
          <w:sz w:val="24"/>
          <w:szCs w:val="24"/>
          <w:lang w:val="es-MX" w:eastAsia="es-ES"/>
        </w:rPr>
      </w:pPr>
      <w:r w:rsidRPr="00F1504F">
        <w:rPr>
          <w:rFonts w:ascii="Gadugi" w:eastAsia="Times New Roman" w:hAnsi="Gadugi" w:cs="Arial"/>
          <w:sz w:val="24"/>
          <w:szCs w:val="24"/>
          <w:lang w:val="es-ES" w:eastAsia="es-ES"/>
        </w:rPr>
        <w:t xml:space="preserve"> </w:t>
      </w:r>
      <w:r w:rsidRPr="00F1504F">
        <w:rPr>
          <w:rFonts w:ascii="Gadugi" w:eastAsia="Times New Roman" w:hAnsi="Gadugi" w:cs="Arial"/>
          <w:sz w:val="24"/>
          <w:szCs w:val="24"/>
          <w:lang w:val="es-ES" w:eastAsia="es-ES"/>
        </w:rPr>
        <w:tab/>
      </w:r>
      <w:r w:rsidRPr="00F1504F">
        <w:rPr>
          <w:rFonts w:ascii="Gadugi" w:eastAsia="Times New Roman" w:hAnsi="Gadugi" w:cs="Arial"/>
          <w:sz w:val="24"/>
          <w:szCs w:val="24"/>
          <w:lang w:val="es-ES" w:eastAsia="es-ES"/>
        </w:rPr>
        <w:tab/>
      </w:r>
      <w:r w:rsidRPr="00F1504F">
        <w:rPr>
          <w:rFonts w:ascii="Gadugi" w:eastAsia="Times New Roman" w:hAnsi="Gadugi" w:cs="Arial"/>
          <w:sz w:val="24"/>
          <w:szCs w:val="24"/>
          <w:lang w:val="es-ES" w:eastAsia="es-ES"/>
        </w:rPr>
        <w:tab/>
      </w:r>
      <w:r w:rsidRPr="00F1504F">
        <w:rPr>
          <w:rFonts w:ascii="Gadugi" w:eastAsia="Times New Roman" w:hAnsi="Gadugi" w:cs="Arial"/>
          <w:sz w:val="24"/>
          <w:szCs w:val="24"/>
          <w:lang w:val="es-ES" w:eastAsia="es-ES"/>
        </w:rPr>
        <w:tab/>
      </w:r>
      <w:r w:rsidRPr="00F1504F">
        <w:rPr>
          <w:rFonts w:ascii="Gadugi" w:eastAsia="Times New Roman" w:hAnsi="Gadugi" w:cs="Arial"/>
          <w:sz w:val="24"/>
          <w:szCs w:val="24"/>
          <w:lang w:val="es-MX" w:eastAsia="es-ES"/>
        </w:rPr>
        <w:t>Prevé el artículo 21 de la Ley 472 de 1998 que el auto que admite el libelo constitucional debe dársele a conocer a los miembros de la comunidad por el medio masivo de comunicación u otro medio eficaz que el Juez halle apropiado. En efecto, reza la anunciada disposición, en lo pertinente:</w:t>
      </w:r>
    </w:p>
    <w:p w:rsidR="0091430D" w:rsidRPr="00F1504F" w:rsidRDefault="0091430D" w:rsidP="00357CB8">
      <w:pPr>
        <w:spacing w:after="0" w:line="276" w:lineRule="auto"/>
        <w:jc w:val="both"/>
        <w:rPr>
          <w:rFonts w:ascii="Gadugi" w:eastAsia="Times New Roman" w:hAnsi="Gadugi" w:cs="Arial"/>
          <w:sz w:val="24"/>
          <w:szCs w:val="24"/>
          <w:lang w:val="es-MX" w:eastAsia="es-ES"/>
        </w:rPr>
      </w:pPr>
    </w:p>
    <w:p w:rsidR="00F1504F" w:rsidRPr="00874F17" w:rsidRDefault="00F1504F" w:rsidP="00357CB8">
      <w:pPr>
        <w:shd w:val="clear" w:color="auto" w:fill="FFFFFF"/>
        <w:spacing w:after="0" w:line="276" w:lineRule="auto"/>
        <w:ind w:left="567" w:right="618"/>
        <w:jc w:val="both"/>
        <w:rPr>
          <w:rFonts w:ascii="Arial Narrow" w:eastAsia="Times New Roman" w:hAnsi="Arial Narrow" w:cs="Arial"/>
          <w:sz w:val="24"/>
          <w:szCs w:val="24"/>
          <w:lang w:eastAsia="es-CO"/>
        </w:rPr>
      </w:pPr>
      <w:r w:rsidRPr="00F1504F">
        <w:rPr>
          <w:rFonts w:ascii="Gadugi" w:eastAsia="Times New Roman" w:hAnsi="Gadugi" w:cs="Arial"/>
          <w:i/>
          <w:iCs/>
          <w:sz w:val="24"/>
          <w:szCs w:val="24"/>
          <w:lang w:eastAsia="es-CO"/>
        </w:rPr>
        <w:t xml:space="preserve">  </w:t>
      </w:r>
      <w:r w:rsidRPr="00F1504F">
        <w:rPr>
          <w:rFonts w:ascii="Gadugi" w:eastAsia="Times New Roman" w:hAnsi="Gadugi" w:cs="Arial"/>
          <w:i/>
          <w:iCs/>
          <w:sz w:val="24"/>
          <w:szCs w:val="24"/>
          <w:lang w:eastAsia="es-CO"/>
        </w:rPr>
        <w:tab/>
      </w:r>
      <w:r w:rsidRPr="00F1504F">
        <w:rPr>
          <w:rFonts w:ascii="Gadugi" w:eastAsia="Times New Roman" w:hAnsi="Gadugi" w:cs="Arial"/>
          <w:i/>
          <w:iCs/>
          <w:sz w:val="24"/>
          <w:szCs w:val="24"/>
          <w:lang w:eastAsia="es-CO"/>
        </w:rPr>
        <w:tab/>
      </w:r>
      <w:r w:rsidRPr="00F1504F">
        <w:rPr>
          <w:rFonts w:ascii="Gadugi" w:eastAsia="Times New Roman" w:hAnsi="Gadugi" w:cs="Arial"/>
          <w:i/>
          <w:iCs/>
          <w:sz w:val="24"/>
          <w:szCs w:val="24"/>
          <w:lang w:eastAsia="es-CO"/>
        </w:rPr>
        <w:tab/>
      </w:r>
      <w:r w:rsidR="00357CB8">
        <w:rPr>
          <w:rFonts w:ascii="Gadugi" w:eastAsia="Times New Roman" w:hAnsi="Gadugi" w:cs="Arial"/>
          <w:i/>
          <w:iCs/>
          <w:sz w:val="24"/>
          <w:szCs w:val="24"/>
          <w:lang w:val="es-419" w:eastAsia="es-CO"/>
        </w:rPr>
        <w:t xml:space="preserve"> </w:t>
      </w:r>
      <w:r w:rsidR="00357CB8">
        <w:rPr>
          <w:rFonts w:ascii="Gadugi" w:eastAsia="Times New Roman" w:hAnsi="Gadugi" w:cs="Arial"/>
          <w:i/>
          <w:iCs/>
          <w:sz w:val="24"/>
          <w:szCs w:val="24"/>
          <w:lang w:val="es-419" w:eastAsia="es-CO"/>
        </w:rPr>
        <w:tab/>
      </w:r>
      <w:r w:rsidRPr="00874F17">
        <w:rPr>
          <w:rFonts w:ascii="Arial Narrow" w:eastAsia="Times New Roman" w:hAnsi="Arial Narrow" w:cs="Arial"/>
          <w:i/>
          <w:iCs/>
          <w:sz w:val="24"/>
          <w:szCs w:val="24"/>
          <w:lang w:eastAsia="es-CO"/>
        </w:rPr>
        <w:t xml:space="preserve">“Notificación del Auto </w:t>
      </w:r>
      <w:proofErr w:type="spellStart"/>
      <w:r w:rsidRPr="00874F17">
        <w:rPr>
          <w:rFonts w:ascii="Arial Narrow" w:eastAsia="Times New Roman" w:hAnsi="Arial Narrow" w:cs="Arial"/>
          <w:i/>
          <w:iCs/>
          <w:sz w:val="24"/>
          <w:szCs w:val="24"/>
          <w:lang w:eastAsia="es-CO"/>
        </w:rPr>
        <w:t>Admisorio</w:t>
      </w:r>
      <w:proofErr w:type="spellEnd"/>
      <w:r w:rsidRPr="00874F17">
        <w:rPr>
          <w:rFonts w:ascii="Arial Narrow" w:eastAsia="Times New Roman" w:hAnsi="Arial Narrow" w:cs="Arial"/>
          <w:i/>
          <w:iCs/>
          <w:sz w:val="24"/>
          <w:szCs w:val="24"/>
          <w:lang w:eastAsia="es-CO"/>
        </w:rPr>
        <w:t xml:space="preserve"> de la Demanda. </w:t>
      </w:r>
      <w:r w:rsidRPr="00874F17">
        <w:rPr>
          <w:rFonts w:ascii="Arial Narrow" w:eastAsia="Times New Roman" w:hAnsi="Arial Narrow" w:cs="Arial"/>
          <w:sz w:val="24"/>
          <w:szCs w:val="24"/>
          <w:lang w:eastAsia="es-CO"/>
        </w:rPr>
        <w:t>En el auto que admita la demanda el juez ordenará su notificación personal al demandado. A los miembros de la comunidad se les podrá informar a través de un medio masivo de comunicación o de cualquier mecanismo eficaz, habida cuenta de los eventuales beneficiarios.</w:t>
      </w:r>
    </w:p>
    <w:p w:rsidR="00F1504F" w:rsidRPr="00874F17" w:rsidRDefault="00F1504F" w:rsidP="00357CB8">
      <w:pPr>
        <w:shd w:val="clear" w:color="auto" w:fill="FFFFFF"/>
        <w:spacing w:after="0" w:line="276" w:lineRule="auto"/>
        <w:ind w:left="567" w:right="618"/>
        <w:jc w:val="both"/>
        <w:rPr>
          <w:rFonts w:ascii="Arial Narrow" w:eastAsia="Times New Roman" w:hAnsi="Arial Narrow" w:cs="Times New Roman"/>
          <w:b/>
          <w:i/>
          <w:sz w:val="24"/>
          <w:szCs w:val="24"/>
          <w:lang w:val="es-MX" w:eastAsia="es-CO"/>
        </w:rPr>
      </w:pPr>
      <w:r w:rsidRPr="00874F17">
        <w:rPr>
          <w:rFonts w:ascii="Arial Narrow" w:eastAsia="Times New Roman" w:hAnsi="Arial Narrow" w:cs="Arial"/>
          <w:sz w:val="24"/>
          <w:szCs w:val="24"/>
          <w:lang w:eastAsia="es-CO"/>
        </w:rPr>
        <w:t xml:space="preserve">  </w:t>
      </w:r>
      <w:r w:rsidRPr="00874F17">
        <w:rPr>
          <w:rFonts w:ascii="Arial Narrow" w:eastAsia="Times New Roman" w:hAnsi="Arial Narrow" w:cs="Arial"/>
          <w:sz w:val="24"/>
          <w:szCs w:val="24"/>
          <w:lang w:eastAsia="es-CO"/>
        </w:rPr>
        <w:tab/>
      </w:r>
      <w:r w:rsidRPr="00874F17">
        <w:rPr>
          <w:rFonts w:ascii="Arial Narrow" w:eastAsia="Times New Roman" w:hAnsi="Arial Narrow" w:cs="Arial"/>
          <w:sz w:val="24"/>
          <w:szCs w:val="24"/>
          <w:lang w:eastAsia="es-CO"/>
        </w:rPr>
        <w:tab/>
      </w:r>
      <w:r w:rsidRPr="00874F17">
        <w:rPr>
          <w:rFonts w:ascii="Arial Narrow" w:eastAsia="Times New Roman" w:hAnsi="Arial Narrow" w:cs="Arial"/>
          <w:sz w:val="24"/>
          <w:szCs w:val="24"/>
          <w:lang w:eastAsia="es-CO"/>
        </w:rPr>
        <w:tab/>
      </w:r>
      <w:r w:rsidRPr="00874F17">
        <w:rPr>
          <w:rFonts w:ascii="Arial Narrow" w:eastAsia="Times New Roman" w:hAnsi="Arial Narrow" w:cs="Arial"/>
          <w:sz w:val="24"/>
          <w:szCs w:val="24"/>
          <w:lang w:eastAsia="es-CO"/>
        </w:rPr>
        <w:tab/>
        <w:t>Para este efecto, el juez podrá utilizar simultáneamente diversos medios de comunicación…”</w:t>
      </w:r>
    </w:p>
    <w:p w:rsidR="00F1504F" w:rsidRPr="00F1504F" w:rsidRDefault="00F1504F" w:rsidP="00357CB8">
      <w:pPr>
        <w:spacing w:after="0" w:line="276" w:lineRule="auto"/>
        <w:jc w:val="both"/>
        <w:rPr>
          <w:rFonts w:ascii="Gadugi" w:eastAsia="Times New Roman" w:hAnsi="Gadugi" w:cs="Arial"/>
          <w:sz w:val="24"/>
          <w:szCs w:val="24"/>
          <w:lang w:val="es-419" w:eastAsia="es-ES"/>
        </w:rPr>
      </w:pPr>
    </w:p>
    <w:p w:rsidR="00F1504F" w:rsidRPr="00F1504F" w:rsidRDefault="00F1504F" w:rsidP="00357CB8">
      <w:pPr>
        <w:spacing w:after="0" w:line="276" w:lineRule="auto"/>
        <w:jc w:val="both"/>
        <w:rPr>
          <w:rFonts w:ascii="Gadugi" w:eastAsia="Times New Roman" w:hAnsi="Gadugi" w:cs="Arial"/>
          <w:sz w:val="24"/>
          <w:szCs w:val="24"/>
          <w:lang w:val="es-MX" w:eastAsia="es-ES"/>
        </w:rPr>
      </w:pPr>
      <w:r w:rsidRPr="00F1504F">
        <w:rPr>
          <w:rFonts w:ascii="Gadugi" w:eastAsia="Times New Roman" w:hAnsi="Gadugi" w:cs="Arial"/>
          <w:sz w:val="24"/>
          <w:szCs w:val="24"/>
          <w:lang w:val="es-MX" w:eastAsia="es-ES"/>
        </w:rPr>
        <w:tab/>
      </w:r>
      <w:r w:rsidRPr="00F1504F">
        <w:rPr>
          <w:rFonts w:ascii="Gadugi" w:eastAsia="Times New Roman" w:hAnsi="Gadugi" w:cs="Arial"/>
          <w:sz w:val="24"/>
          <w:szCs w:val="24"/>
          <w:lang w:val="es-MX" w:eastAsia="es-ES"/>
        </w:rPr>
        <w:tab/>
      </w:r>
      <w:r w:rsidRPr="00F1504F">
        <w:rPr>
          <w:rFonts w:ascii="Gadugi" w:eastAsia="Times New Roman" w:hAnsi="Gadugi" w:cs="Arial"/>
          <w:sz w:val="24"/>
          <w:szCs w:val="24"/>
          <w:lang w:val="es-MX" w:eastAsia="es-ES"/>
        </w:rPr>
        <w:tab/>
      </w:r>
      <w:r w:rsidRPr="00F1504F">
        <w:rPr>
          <w:rFonts w:ascii="Gadugi" w:eastAsia="Times New Roman" w:hAnsi="Gadugi" w:cs="Arial"/>
          <w:sz w:val="24"/>
          <w:szCs w:val="24"/>
          <w:lang w:val="es-MX" w:eastAsia="es-ES"/>
        </w:rPr>
        <w:tab/>
        <w:t>En el auto que dio impulso a la acción popular</w:t>
      </w:r>
      <w:r w:rsidR="00E540C3">
        <w:rPr>
          <w:rStyle w:val="Refdenotaalpie"/>
          <w:rFonts w:ascii="Gadugi" w:eastAsia="Times New Roman" w:hAnsi="Gadugi" w:cs="Arial"/>
          <w:sz w:val="24"/>
          <w:szCs w:val="24"/>
          <w:lang w:val="es-MX" w:eastAsia="es-ES"/>
        </w:rPr>
        <w:footnoteReference w:id="2"/>
      </w:r>
      <w:r w:rsidRPr="00F1504F">
        <w:rPr>
          <w:rFonts w:ascii="Gadugi" w:eastAsia="Times New Roman" w:hAnsi="Gadugi" w:cs="Arial"/>
          <w:sz w:val="24"/>
          <w:szCs w:val="24"/>
          <w:lang w:val="es-MX" w:eastAsia="es-ES"/>
        </w:rPr>
        <w:t>,</w:t>
      </w:r>
      <w:r w:rsidRPr="00F1504F">
        <w:rPr>
          <w:rFonts w:ascii="Gadugi" w:eastAsia="Times New Roman" w:hAnsi="Gadugi" w:cs="Arial"/>
          <w:i/>
          <w:sz w:val="24"/>
          <w:szCs w:val="24"/>
          <w:lang w:val="es-MX" w:eastAsia="es-ES"/>
        </w:rPr>
        <w:t xml:space="preserve"> </w:t>
      </w:r>
      <w:r w:rsidRPr="00F1504F">
        <w:rPr>
          <w:rFonts w:ascii="Gadugi" w:eastAsia="Times New Roman" w:hAnsi="Gadugi" w:cs="Arial"/>
          <w:sz w:val="24"/>
          <w:szCs w:val="24"/>
          <w:lang w:val="es-MX" w:eastAsia="es-ES"/>
        </w:rPr>
        <w:t xml:space="preserve">en aplicación de esa exigencia, </w:t>
      </w:r>
      <w:r w:rsidR="00907F2B">
        <w:rPr>
          <w:rFonts w:ascii="Gadugi" w:eastAsia="Times New Roman" w:hAnsi="Gadugi" w:cs="Arial"/>
          <w:sz w:val="24"/>
          <w:szCs w:val="24"/>
          <w:lang w:val="es-MX" w:eastAsia="es-ES"/>
        </w:rPr>
        <w:t xml:space="preserve">en el ordinal “SÉPTIMO” </w:t>
      </w:r>
      <w:r w:rsidRPr="00F1504F">
        <w:rPr>
          <w:rFonts w:ascii="Gadugi" w:eastAsia="Times New Roman" w:hAnsi="Gadugi" w:cs="Arial"/>
          <w:sz w:val="24"/>
          <w:szCs w:val="24"/>
          <w:lang w:val="es-MX" w:eastAsia="es-ES"/>
        </w:rPr>
        <w:t xml:space="preserve">se ordenó </w:t>
      </w:r>
      <w:r w:rsidR="00907F2B">
        <w:rPr>
          <w:rFonts w:ascii="Gadugi" w:eastAsia="Times New Roman" w:hAnsi="Gadugi" w:cs="Arial"/>
          <w:sz w:val="24"/>
          <w:szCs w:val="24"/>
          <w:lang w:val="es-MX" w:eastAsia="es-ES"/>
        </w:rPr>
        <w:t xml:space="preserve">publicar el aviso “… en la prensa o radio de amplia difusión en esta municipalidad, es decir, en los periódicos “La Tarde” o “El Diario del Otún”, y en las emisoras locales de Caracol, RCN, y de la Policía Nacional.” A renglón seguido, </w:t>
      </w:r>
      <w:r w:rsidR="00022A22">
        <w:rPr>
          <w:rFonts w:ascii="Gadugi" w:eastAsia="Times New Roman" w:hAnsi="Gadugi" w:cs="Arial"/>
          <w:sz w:val="24"/>
          <w:szCs w:val="24"/>
          <w:lang w:val="es-MX" w:eastAsia="es-ES"/>
        </w:rPr>
        <w:t xml:space="preserve">y para los mismos efectos, </w:t>
      </w:r>
      <w:r w:rsidR="00907F2B">
        <w:rPr>
          <w:rFonts w:ascii="Gadugi" w:eastAsia="Times New Roman" w:hAnsi="Gadugi" w:cs="Arial"/>
          <w:sz w:val="24"/>
          <w:szCs w:val="24"/>
          <w:lang w:val="es-MX" w:eastAsia="es-ES"/>
        </w:rPr>
        <w:t xml:space="preserve">en el ordinal “OCTAVO” se dispuso </w:t>
      </w:r>
      <w:r w:rsidR="00022A22">
        <w:rPr>
          <w:rFonts w:ascii="Gadugi" w:eastAsia="Times New Roman" w:hAnsi="Gadugi" w:cs="Arial"/>
          <w:sz w:val="24"/>
          <w:szCs w:val="24"/>
          <w:lang w:val="es-MX" w:eastAsia="es-ES"/>
        </w:rPr>
        <w:t xml:space="preserve">fijar “… aviso en la </w:t>
      </w:r>
      <w:r w:rsidR="0066581C">
        <w:rPr>
          <w:rFonts w:ascii="Gadugi" w:eastAsia="Times New Roman" w:hAnsi="Gadugi" w:cs="Arial"/>
          <w:sz w:val="24"/>
          <w:szCs w:val="24"/>
          <w:lang w:val="es-MX" w:eastAsia="es-ES"/>
        </w:rPr>
        <w:t>Cartelera Pública de la Gobernación de Risaralda, la Alcaldía de Pereira, en los consultorios Jurídicos de las Universidades UNILIBRE y ANDINA, así como de la Cámara de Comercio de Pereira</w:t>
      </w:r>
      <w:r w:rsidR="0091430D">
        <w:rPr>
          <w:rFonts w:ascii="Gadugi" w:eastAsia="Times New Roman" w:hAnsi="Gadugi" w:cs="Arial"/>
          <w:sz w:val="24"/>
          <w:szCs w:val="24"/>
          <w:lang w:val="es-MX" w:eastAsia="es-ES"/>
        </w:rPr>
        <w:t>”</w:t>
      </w:r>
      <w:r w:rsidR="00874F17">
        <w:rPr>
          <w:rFonts w:ascii="Gadugi" w:eastAsia="Times New Roman" w:hAnsi="Gadugi" w:cs="Arial"/>
          <w:sz w:val="24"/>
          <w:szCs w:val="24"/>
          <w:lang w:val="es-419" w:eastAsia="es-ES"/>
        </w:rPr>
        <w:t>.</w:t>
      </w:r>
      <w:r w:rsidRPr="00F1504F">
        <w:rPr>
          <w:rFonts w:ascii="Gadugi" w:eastAsia="Times New Roman" w:hAnsi="Gadugi" w:cs="Arial"/>
          <w:sz w:val="24"/>
          <w:szCs w:val="24"/>
          <w:lang w:val="es-MX" w:eastAsia="es-ES"/>
        </w:rPr>
        <w:t xml:space="preserve"> </w:t>
      </w:r>
    </w:p>
    <w:p w:rsidR="00F1504F" w:rsidRPr="00F1504F" w:rsidRDefault="00F1504F" w:rsidP="00357CB8">
      <w:pPr>
        <w:spacing w:after="0" w:line="276" w:lineRule="auto"/>
        <w:jc w:val="both"/>
        <w:rPr>
          <w:rFonts w:ascii="Gadugi" w:eastAsia="Times New Roman" w:hAnsi="Gadugi" w:cs="Arial"/>
          <w:sz w:val="24"/>
          <w:szCs w:val="24"/>
          <w:lang w:val="es-MX" w:eastAsia="es-ES"/>
        </w:rPr>
      </w:pPr>
    </w:p>
    <w:p w:rsidR="00352C6A" w:rsidRDefault="002B22C9" w:rsidP="00357CB8">
      <w:pPr>
        <w:spacing w:after="0" w:line="276" w:lineRule="auto"/>
        <w:jc w:val="both"/>
        <w:rPr>
          <w:rFonts w:ascii="Gadugi" w:eastAsia="Times New Roman" w:hAnsi="Gadugi" w:cs="Arial"/>
          <w:sz w:val="24"/>
          <w:szCs w:val="24"/>
          <w:lang w:val="es-MX" w:eastAsia="es-ES"/>
        </w:rPr>
      </w:pPr>
      <w:r>
        <w:rPr>
          <w:rFonts w:ascii="Gadugi" w:eastAsia="Times New Roman" w:hAnsi="Gadugi" w:cs="Arial"/>
          <w:sz w:val="24"/>
          <w:szCs w:val="24"/>
          <w:lang w:val="es-MX" w:eastAsia="es-ES"/>
        </w:rPr>
        <w:t xml:space="preserve"> </w:t>
      </w:r>
      <w:r>
        <w:rPr>
          <w:rFonts w:ascii="Gadugi" w:eastAsia="Times New Roman" w:hAnsi="Gadugi" w:cs="Arial"/>
          <w:sz w:val="24"/>
          <w:szCs w:val="24"/>
          <w:lang w:val="es-MX" w:eastAsia="es-ES"/>
        </w:rPr>
        <w:tab/>
      </w:r>
      <w:r>
        <w:rPr>
          <w:rFonts w:ascii="Gadugi" w:eastAsia="Times New Roman" w:hAnsi="Gadugi" w:cs="Arial"/>
          <w:sz w:val="24"/>
          <w:szCs w:val="24"/>
          <w:lang w:val="es-MX" w:eastAsia="es-ES"/>
        </w:rPr>
        <w:tab/>
      </w:r>
      <w:r>
        <w:rPr>
          <w:rFonts w:ascii="Gadugi" w:eastAsia="Times New Roman" w:hAnsi="Gadugi" w:cs="Arial"/>
          <w:sz w:val="24"/>
          <w:szCs w:val="24"/>
          <w:lang w:val="es-MX" w:eastAsia="es-ES"/>
        </w:rPr>
        <w:tab/>
      </w:r>
      <w:r>
        <w:rPr>
          <w:rFonts w:ascii="Gadugi" w:eastAsia="Times New Roman" w:hAnsi="Gadugi" w:cs="Arial"/>
          <w:sz w:val="24"/>
          <w:szCs w:val="24"/>
          <w:lang w:val="es-MX" w:eastAsia="es-ES"/>
        </w:rPr>
        <w:tab/>
      </w:r>
      <w:r w:rsidR="00FA4A47">
        <w:rPr>
          <w:rFonts w:ascii="Gadugi" w:eastAsia="Times New Roman" w:hAnsi="Gadugi" w:cs="Arial"/>
          <w:sz w:val="24"/>
          <w:szCs w:val="24"/>
          <w:lang w:val="es-MX" w:eastAsia="es-ES"/>
        </w:rPr>
        <w:t xml:space="preserve">Sobre la primera orden es preciso decir que </w:t>
      </w:r>
      <w:r w:rsidR="0091430D">
        <w:rPr>
          <w:rFonts w:ascii="Gadugi" w:eastAsia="Times New Roman" w:hAnsi="Gadugi" w:cs="Arial"/>
          <w:sz w:val="24"/>
          <w:szCs w:val="24"/>
          <w:lang w:val="es-MX" w:eastAsia="es-ES"/>
        </w:rPr>
        <w:t>no</w:t>
      </w:r>
      <w:r w:rsidR="00FA4A47">
        <w:rPr>
          <w:rFonts w:ascii="Gadugi" w:eastAsia="Times New Roman" w:hAnsi="Gadugi" w:cs="Arial"/>
          <w:sz w:val="24"/>
          <w:szCs w:val="24"/>
          <w:lang w:val="es-MX" w:eastAsia="es-ES"/>
        </w:rPr>
        <w:t xml:space="preserve"> existe prueba alguna que demuestre que el aviso se publicó en los medios masivos que se señalaron en el ordinal “SÉPTIMO”, concretamente en </w:t>
      </w:r>
      <w:r w:rsidR="00BA55CC">
        <w:rPr>
          <w:rFonts w:ascii="Gadugi" w:eastAsia="Times New Roman" w:hAnsi="Gadugi" w:cs="Arial"/>
          <w:sz w:val="24"/>
          <w:szCs w:val="24"/>
          <w:lang w:val="es-MX" w:eastAsia="es-ES"/>
        </w:rPr>
        <w:t xml:space="preserve">alguno de los periódicos o las emisoras mencionados. </w:t>
      </w:r>
    </w:p>
    <w:p w:rsidR="00BA55CC" w:rsidRDefault="00BA55CC" w:rsidP="00357CB8">
      <w:pPr>
        <w:spacing w:after="0" w:line="276" w:lineRule="auto"/>
        <w:jc w:val="both"/>
        <w:rPr>
          <w:rFonts w:ascii="Gadugi" w:eastAsia="Times New Roman" w:hAnsi="Gadugi" w:cs="Arial"/>
          <w:sz w:val="24"/>
          <w:szCs w:val="24"/>
          <w:lang w:val="es-MX" w:eastAsia="es-ES"/>
        </w:rPr>
      </w:pPr>
    </w:p>
    <w:p w:rsidR="00352C6A" w:rsidRDefault="00352C6A" w:rsidP="00357CB8">
      <w:pPr>
        <w:spacing w:after="0" w:line="276" w:lineRule="auto"/>
        <w:jc w:val="both"/>
        <w:rPr>
          <w:rFonts w:ascii="Gadugi" w:eastAsia="Times New Roman" w:hAnsi="Gadugi" w:cs="Arial"/>
          <w:sz w:val="24"/>
          <w:szCs w:val="24"/>
          <w:lang w:val="es-MX" w:eastAsia="es-ES"/>
        </w:rPr>
      </w:pPr>
      <w:r>
        <w:rPr>
          <w:rFonts w:ascii="Gadugi" w:eastAsia="Times New Roman" w:hAnsi="Gadugi" w:cs="Arial"/>
          <w:sz w:val="24"/>
          <w:szCs w:val="24"/>
          <w:lang w:val="es-MX" w:eastAsia="es-ES"/>
        </w:rPr>
        <w:tab/>
      </w:r>
      <w:r>
        <w:rPr>
          <w:rFonts w:ascii="Gadugi" w:eastAsia="Times New Roman" w:hAnsi="Gadugi" w:cs="Arial"/>
          <w:sz w:val="24"/>
          <w:szCs w:val="24"/>
          <w:lang w:val="es-MX" w:eastAsia="es-ES"/>
        </w:rPr>
        <w:tab/>
      </w:r>
      <w:r>
        <w:rPr>
          <w:rFonts w:ascii="Gadugi" w:eastAsia="Times New Roman" w:hAnsi="Gadugi" w:cs="Arial"/>
          <w:sz w:val="24"/>
          <w:szCs w:val="24"/>
          <w:lang w:val="es-MX" w:eastAsia="es-ES"/>
        </w:rPr>
        <w:tab/>
      </w:r>
      <w:r>
        <w:rPr>
          <w:rFonts w:ascii="Gadugi" w:eastAsia="Times New Roman" w:hAnsi="Gadugi" w:cs="Arial"/>
          <w:sz w:val="24"/>
          <w:szCs w:val="24"/>
          <w:lang w:val="es-MX" w:eastAsia="es-ES"/>
        </w:rPr>
        <w:tab/>
        <w:t xml:space="preserve">Y a pesar de que podría decirse que el numeral “OCTAVO” se cumplió, </w:t>
      </w:r>
      <w:r w:rsidR="00BA55CC">
        <w:rPr>
          <w:rFonts w:ascii="Gadugi" w:eastAsia="Times New Roman" w:hAnsi="Gadugi" w:cs="Arial"/>
          <w:sz w:val="24"/>
          <w:szCs w:val="24"/>
          <w:lang w:val="es-MX" w:eastAsia="es-ES"/>
        </w:rPr>
        <w:t xml:space="preserve">se observa que </w:t>
      </w:r>
      <w:r>
        <w:rPr>
          <w:rFonts w:ascii="Gadugi" w:eastAsia="Times New Roman" w:hAnsi="Gadugi" w:cs="Arial"/>
          <w:sz w:val="24"/>
          <w:szCs w:val="24"/>
          <w:lang w:val="es-MX" w:eastAsia="es-ES"/>
        </w:rPr>
        <w:t xml:space="preserve">la constancia </w:t>
      </w:r>
      <w:r w:rsidR="00BA55CC">
        <w:rPr>
          <w:rFonts w:ascii="Gadugi" w:eastAsia="Times New Roman" w:hAnsi="Gadugi" w:cs="Arial"/>
          <w:sz w:val="24"/>
          <w:szCs w:val="24"/>
          <w:lang w:val="es-MX" w:eastAsia="es-ES"/>
        </w:rPr>
        <w:t xml:space="preserve">de fijación </w:t>
      </w:r>
      <w:r>
        <w:rPr>
          <w:rFonts w:ascii="Gadugi" w:eastAsia="Times New Roman" w:hAnsi="Gadugi" w:cs="Arial"/>
          <w:sz w:val="24"/>
          <w:szCs w:val="24"/>
          <w:lang w:val="es-MX" w:eastAsia="es-ES"/>
        </w:rPr>
        <w:t xml:space="preserve">que aparece a folio 9 del cuaderno No. 1, fue </w:t>
      </w:r>
      <w:r w:rsidR="00BA55CC">
        <w:rPr>
          <w:rFonts w:ascii="Gadugi" w:eastAsia="Times New Roman" w:hAnsi="Gadugi" w:cs="Arial"/>
          <w:sz w:val="24"/>
          <w:szCs w:val="24"/>
          <w:lang w:val="es-MX" w:eastAsia="es-ES"/>
        </w:rPr>
        <w:t xml:space="preserve">dejada </w:t>
      </w:r>
      <w:r>
        <w:rPr>
          <w:rFonts w:ascii="Gadugi" w:eastAsia="Times New Roman" w:hAnsi="Gadugi" w:cs="Arial"/>
          <w:sz w:val="24"/>
          <w:szCs w:val="24"/>
          <w:lang w:val="es-MX" w:eastAsia="es-ES"/>
        </w:rPr>
        <w:t>por la Se</w:t>
      </w:r>
      <w:r w:rsidR="00BA55CC">
        <w:rPr>
          <w:rFonts w:ascii="Gadugi" w:eastAsia="Times New Roman" w:hAnsi="Gadugi" w:cs="Arial"/>
          <w:sz w:val="24"/>
          <w:szCs w:val="24"/>
          <w:lang w:val="es-MX" w:eastAsia="es-ES"/>
        </w:rPr>
        <w:t xml:space="preserve">cretaria del Despacho Judicial y </w:t>
      </w:r>
      <w:r w:rsidR="00BA55CC">
        <w:rPr>
          <w:rFonts w:ascii="Gadugi" w:eastAsia="Times New Roman" w:hAnsi="Gadugi" w:cs="Arial"/>
          <w:sz w:val="24"/>
          <w:szCs w:val="24"/>
          <w:lang w:val="es-MX" w:eastAsia="es-ES"/>
        </w:rPr>
        <w:lastRenderedPageBreak/>
        <w:t xml:space="preserve">no por las entidades en cuyas dependencias se ordenó realizar la publicación, </w:t>
      </w:r>
      <w:r>
        <w:rPr>
          <w:rFonts w:ascii="Gadugi" w:eastAsia="Times New Roman" w:hAnsi="Gadugi" w:cs="Arial"/>
          <w:sz w:val="24"/>
          <w:szCs w:val="24"/>
          <w:lang w:val="es-MX" w:eastAsia="es-ES"/>
        </w:rPr>
        <w:t>lo que agrava aún más la irregularidad</w:t>
      </w:r>
      <w:r w:rsidR="00BA55CC">
        <w:rPr>
          <w:rFonts w:ascii="Gadugi" w:eastAsia="Times New Roman" w:hAnsi="Gadugi" w:cs="Arial"/>
          <w:sz w:val="24"/>
          <w:szCs w:val="24"/>
          <w:lang w:val="es-MX" w:eastAsia="es-ES"/>
        </w:rPr>
        <w:t xml:space="preserve">. </w:t>
      </w:r>
    </w:p>
    <w:p w:rsidR="00F1504F" w:rsidRPr="00F1504F" w:rsidRDefault="00F1504F" w:rsidP="00357CB8">
      <w:pPr>
        <w:spacing w:after="0" w:line="276" w:lineRule="auto"/>
        <w:jc w:val="both"/>
        <w:rPr>
          <w:rFonts w:ascii="Gadugi" w:eastAsia="Times New Roman" w:hAnsi="Gadugi" w:cs="Arial"/>
          <w:sz w:val="24"/>
          <w:szCs w:val="24"/>
          <w:lang w:val="es-MX" w:eastAsia="es-ES"/>
        </w:rPr>
      </w:pPr>
    </w:p>
    <w:p w:rsidR="00352C6A" w:rsidRDefault="00F1504F" w:rsidP="00357CB8">
      <w:pPr>
        <w:spacing w:after="0" w:line="276" w:lineRule="auto"/>
        <w:jc w:val="both"/>
        <w:rPr>
          <w:rFonts w:ascii="Gadugi" w:eastAsia="Times New Roman" w:hAnsi="Gadugi" w:cs="Arial"/>
          <w:spacing w:val="-3"/>
          <w:sz w:val="24"/>
          <w:szCs w:val="24"/>
          <w:lang w:val="es-ES" w:eastAsia="es-ES"/>
        </w:rPr>
      </w:pPr>
      <w:r w:rsidRPr="00F1504F">
        <w:rPr>
          <w:rFonts w:ascii="Gadugi" w:eastAsia="Times New Roman" w:hAnsi="Gadugi" w:cs="Arial"/>
          <w:sz w:val="24"/>
          <w:szCs w:val="24"/>
          <w:lang w:val="es-MX" w:eastAsia="es-ES"/>
        </w:rPr>
        <w:t xml:space="preserve">  </w:t>
      </w:r>
      <w:r w:rsidRPr="00F1504F">
        <w:rPr>
          <w:rFonts w:ascii="Gadugi" w:eastAsia="Times New Roman" w:hAnsi="Gadugi" w:cs="Arial"/>
          <w:sz w:val="24"/>
          <w:szCs w:val="24"/>
          <w:lang w:val="es-MX" w:eastAsia="es-ES"/>
        </w:rPr>
        <w:tab/>
      </w:r>
      <w:r w:rsidRPr="00F1504F">
        <w:rPr>
          <w:rFonts w:ascii="Gadugi" w:eastAsia="Times New Roman" w:hAnsi="Gadugi" w:cs="Arial"/>
          <w:sz w:val="24"/>
          <w:szCs w:val="24"/>
          <w:lang w:val="es-MX" w:eastAsia="es-ES"/>
        </w:rPr>
        <w:tab/>
      </w:r>
      <w:r w:rsidRPr="00F1504F">
        <w:rPr>
          <w:rFonts w:ascii="Gadugi" w:eastAsia="Times New Roman" w:hAnsi="Gadugi" w:cs="Arial"/>
          <w:sz w:val="24"/>
          <w:szCs w:val="24"/>
          <w:lang w:val="es-MX" w:eastAsia="es-ES"/>
        </w:rPr>
        <w:tab/>
      </w:r>
      <w:r w:rsidRPr="00F1504F">
        <w:rPr>
          <w:rFonts w:ascii="Gadugi" w:eastAsia="Times New Roman" w:hAnsi="Gadugi" w:cs="Arial"/>
          <w:sz w:val="24"/>
          <w:szCs w:val="24"/>
          <w:lang w:val="es-MX" w:eastAsia="es-ES"/>
        </w:rPr>
        <w:tab/>
        <w:t xml:space="preserve">Sobre el objeto del aviso, </w:t>
      </w:r>
      <w:r w:rsidR="00352C6A">
        <w:rPr>
          <w:rFonts w:ascii="Gadugi" w:eastAsia="Times New Roman" w:hAnsi="Gadugi" w:cs="Arial"/>
          <w:sz w:val="24"/>
          <w:szCs w:val="24"/>
          <w:lang w:val="es-MX" w:eastAsia="es-ES"/>
        </w:rPr>
        <w:t xml:space="preserve">téngase en cuenta lo que </w:t>
      </w:r>
      <w:r w:rsidRPr="00F1504F">
        <w:rPr>
          <w:rFonts w:ascii="Gadugi" w:eastAsia="Times New Roman" w:hAnsi="Gadugi" w:cs="Arial"/>
          <w:sz w:val="24"/>
          <w:szCs w:val="24"/>
          <w:lang w:val="es-MX" w:eastAsia="es-ES"/>
        </w:rPr>
        <w:t xml:space="preserve">tiene dicho </w:t>
      </w:r>
      <w:r w:rsidRPr="00F1504F">
        <w:rPr>
          <w:rFonts w:ascii="Gadugi" w:eastAsia="Times New Roman" w:hAnsi="Gadugi" w:cs="Arial"/>
          <w:spacing w:val="-3"/>
          <w:sz w:val="24"/>
          <w:szCs w:val="24"/>
          <w:lang w:val="es-ES" w:eastAsia="es-ES"/>
        </w:rPr>
        <w:t>el Consejo de Estado</w:t>
      </w:r>
      <w:r w:rsidRPr="00F1504F">
        <w:rPr>
          <w:rFonts w:ascii="Gadugi" w:eastAsia="Times New Roman" w:hAnsi="Gadugi" w:cs="Arial"/>
          <w:spacing w:val="-3"/>
          <w:sz w:val="24"/>
          <w:szCs w:val="24"/>
          <w:vertAlign w:val="superscript"/>
          <w:lang w:val="es-ES" w:eastAsia="es-ES"/>
        </w:rPr>
        <w:footnoteReference w:id="3"/>
      </w:r>
      <w:r w:rsidRPr="00F1504F">
        <w:rPr>
          <w:rFonts w:ascii="Gadugi" w:eastAsia="Times New Roman" w:hAnsi="Gadugi" w:cs="Arial"/>
          <w:spacing w:val="-3"/>
          <w:sz w:val="24"/>
          <w:szCs w:val="24"/>
          <w:lang w:val="es-ES" w:eastAsia="es-ES"/>
        </w:rPr>
        <w:t>,</w:t>
      </w:r>
    </w:p>
    <w:p w:rsidR="00F1504F" w:rsidRPr="00F1504F" w:rsidRDefault="00F1504F" w:rsidP="00357CB8">
      <w:pPr>
        <w:spacing w:after="0" w:line="276" w:lineRule="auto"/>
        <w:jc w:val="both"/>
        <w:rPr>
          <w:rFonts w:ascii="Gadugi" w:eastAsia="Times New Roman" w:hAnsi="Gadugi" w:cs="Arial"/>
          <w:spacing w:val="-3"/>
          <w:sz w:val="24"/>
          <w:szCs w:val="24"/>
          <w:lang w:val="es-ES" w:eastAsia="es-ES"/>
        </w:rPr>
      </w:pPr>
      <w:r w:rsidRPr="00F1504F">
        <w:rPr>
          <w:rFonts w:ascii="Gadugi" w:eastAsia="Times New Roman" w:hAnsi="Gadugi" w:cs="Arial"/>
          <w:spacing w:val="-3"/>
          <w:sz w:val="24"/>
          <w:szCs w:val="24"/>
          <w:lang w:val="es-ES" w:eastAsia="es-ES"/>
        </w:rPr>
        <w:t xml:space="preserve"> </w:t>
      </w:r>
    </w:p>
    <w:p w:rsidR="00F1504F" w:rsidRPr="00F1504F" w:rsidRDefault="00F1504F" w:rsidP="00357CB8">
      <w:pPr>
        <w:tabs>
          <w:tab w:val="left" w:pos="-720"/>
        </w:tabs>
        <w:suppressAutoHyphens/>
        <w:spacing w:after="0" w:line="276" w:lineRule="auto"/>
        <w:ind w:left="851" w:right="902"/>
        <w:jc w:val="both"/>
        <w:rPr>
          <w:rFonts w:ascii="Arial Narrow" w:eastAsia="Times New Roman" w:hAnsi="Arial Narrow" w:cs="Arial"/>
          <w:i/>
          <w:spacing w:val="-3"/>
          <w:sz w:val="24"/>
          <w:szCs w:val="24"/>
          <w:lang w:val="es-ES" w:eastAsia="es-ES"/>
        </w:rPr>
      </w:pPr>
      <w:r w:rsidRPr="00F1504F">
        <w:rPr>
          <w:rFonts w:ascii="Gadugi" w:eastAsia="Times New Roman" w:hAnsi="Gadugi" w:cs="Arial"/>
          <w:i/>
          <w:spacing w:val="-3"/>
          <w:sz w:val="24"/>
          <w:szCs w:val="24"/>
          <w:lang w:val="es-ES" w:eastAsia="es-ES"/>
        </w:rPr>
        <w:t xml:space="preserve"> </w:t>
      </w:r>
      <w:r w:rsidRPr="00F1504F">
        <w:rPr>
          <w:rFonts w:ascii="Gadugi" w:eastAsia="Times New Roman" w:hAnsi="Gadugi" w:cs="Arial"/>
          <w:i/>
          <w:spacing w:val="-3"/>
          <w:sz w:val="24"/>
          <w:szCs w:val="24"/>
          <w:lang w:val="es-ES" w:eastAsia="es-ES"/>
        </w:rPr>
        <w:tab/>
      </w:r>
      <w:r w:rsidRPr="00F1504F">
        <w:rPr>
          <w:rFonts w:ascii="Gadugi" w:eastAsia="Times New Roman" w:hAnsi="Gadugi" w:cs="Arial"/>
          <w:i/>
          <w:spacing w:val="-3"/>
          <w:sz w:val="24"/>
          <w:szCs w:val="24"/>
          <w:lang w:val="es-ES" w:eastAsia="es-ES"/>
        </w:rPr>
        <w:tab/>
      </w:r>
      <w:r w:rsidRPr="00F1504F">
        <w:rPr>
          <w:rFonts w:ascii="Gadugi" w:eastAsia="Times New Roman" w:hAnsi="Gadugi" w:cs="Arial"/>
          <w:i/>
          <w:spacing w:val="-3"/>
          <w:sz w:val="24"/>
          <w:szCs w:val="24"/>
          <w:lang w:val="es-ES" w:eastAsia="es-ES"/>
        </w:rPr>
        <w:tab/>
      </w:r>
      <w:r w:rsidRPr="00F1504F">
        <w:rPr>
          <w:rFonts w:ascii="Arial Narrow" w:eastAsia="Times New Roman" w:hAnsi="Arial Narrow" w:cs="Arial"/>
          <w:i/>
          <w:spacing w:val="-3"/>
          <w:sz w:val="24"/>
          <w:szCs w:val="24"/>
          <w:lang w:val="es-ES" w:eastAsia="es-ES"/>
        </w:rPr>
        <w:t xml:space="preserve">“… se ha realizado la notificación ordenada por el artículo 21 ibídem a los miembros de la comunidad, a través de un medio masivo de comunicación o de cualquier mecanismo eficaz, pues </w:t>
      </w:r>
      <w:r w:rsidRPr="00F1504F">
        <w:rPr>
          <w:rFonts w:ascii="Arial Narrow" w:eastAsia="Times New Roman" w:hAnsi="Arial Narrow" w:cs="Arial"/>
          <w:i/>
          <w:spacing w:val="-3"/>
          <w:sz w:val="24"/>
          <w:szCs w:val="24"/>
          <w:u w:val="single"/>
          <w:lang w:val="es-ES" w:eastAsia="es-ES"/>
        </w:rPr>
        <w:t>esa comunicación tiene por objeto, precisamente enterar a los miembros de la comunidad de la existencia de la acción para que, si a bien lo tienen participen como coadyuvantes en la misma</w:t>
      </w:r>
      <w:r w:rsidRPr="00F1504F">
        <w:rPr>
          <w:rFonts w:ascii="Arial Narrow" w:eastAsia="Times New Roman" w:hAnsi="Arial Narrow" w:cs="Arial"/>
          <w:i/>
          <w:spacing w:val="-3"/>
          <w:sz w:val="24"/>
          <w:szCs w:val="24"/>
          <w:lang w:val="es-ES" w:eastAsia="es-ES"/>
        </w:rPr>
        <w:t>, pero no invitarlos a presentar nuevas acciones con el mismo objeto. Esto por cuanto la acción popular no busca la satisfacción de ningún interés personal sino “la protección efectiva de derechos e intereses colectivos, de manera que se hagan cesar los efectos de su resquebrajamiento”. De lo cual se deduce que la solidaridad es lo que debe motivar a los ciudadanos a interponerla y no la búsqueda de intereses individuales. Si realmente el actor tiene interés en la protección del derecho colectivo y posee elementos de juicio adicionales a los aportados por quien primero interpuso la acción popular con el mismo objeto, tendrá la opción de coadyuvarla, según lo establecido en el artículo 24 de la ley 472 de 1998.”</w:t>
      </w:r>
    </w:p>
    <w:p w:rsidR="00F1504F" w:rsidRPr="00F1504F" w:rsidRDefault="00F1504F" w:rsidP="00357CB8">
      <w:pPr>
        <w:tabs>
          <w:tab w:val="left" w:pos="-720"/>
        </w:tabs>
        <w:suppressAutoHyphens/>
        <w:spacing w:after="0" w:line="276" w:lineRule="auto"/>
        <w:jc w:val="both"/>
        <w:rPr>
          <w:rFonts w:ascii="Gadugi" w:eastAsia="Times New Roman" w:hAnsi="Gadugi" w:cs="Arial"/>
          <w:spacing w:val="-3"/>
          <w:sz w:val="24"/>
          <w:szCs w:val="24"/>
          <w:lang w:val="es-ES" w:eastAsia="es-ES"/>
        </w:rPr>
      </w:pPr>
    </w:p>
    <w:p w:rsidR="00F1504F" w:rsidRPr="00F1504F" w:rsidRDefault="00F1504F" w:rsidP="00357CB8">
      <w:pPr>
        <w:tabs>
          <w:tab w:val="left" w:pos="-720"/>
        </w:tabs>
        <w:suppressAutoHyphens/>
        <w:spacing w:after="0" w:line="276" w:lineRule="auto"/>
        <w:jc w:val="both"/>
        <w:rPr>
          <w:rFonts w:ascii="Gadugi" w:eastAsia="Times New Roman" w:hAnsi="Gadugi" w:cs="Arial"/>
          <w:sz w:val="24"/>
          <w:szCs w:val="24"/>
          <w:lang w:val="es-MX" w:eastAsia="es-ES"/>
        </w:rPr>
      </w:pPr>
      <w:r w:rsidRPr="00F1504F">
        <w:rPr>
          <w:rFonts w:ascii="Gadugi" w:eastAsia="Times New Roman" w:hAnsi="Gadugi" w:cs="Arial"/>
          <w:spacing w:val="-3"/>
          <w:sz w:val="24"/>
          <w:szCs w:val="24"/>
          <w:lang w:val="es-419" w:eastAsia="es-ES"/>
        </w:rPr>
        <w:t xml:space="preserve">   </w:t>
      </w:r>
      <w:r w:rsidRPr="00F1504F">
        <w:rPr>
          <w:rFonts w:ascii="Gadugi" w:eastAsia="Times New Roman" w:hAnsi="Gadugi" w:cs="Arial"/>
          <w:spacing w:val="-3"/>
          <w:sz w:val="24"/>
          <w:szCs w:val="24"/>
          <w:lang w:val="es-419" w:eastAsia="es-ES"/>
        </w:rPr>
        <w:tab/>
      </w:r>
      <w:r w:rsidRPr="00F1504F">
        <w:rPr>
          <w:rFonts w:ascii="Gadugi" w:eastAsia="Times New Roman" w:hAnsi="Gadugi" w:cs="Arial"/>
          <w:spacing w:val="-3"/>
          <w:sz w:val="24"/>
          <w:szCs w:val="24"/>
          <w:lang w:val="es-419" w:eastAsia="es-ES"/>
        </w:rPr>
        <w:tab/>
      </w:r>
      <w:r w:rsidRPr="00F1504F">
        <w:rPr>
          <w:rFonts w:ascii="Gadugi" w:eastAsia="Times New Roman" w:hAnsi="Gadugi" w:cs="Arial"/>
          <w:spacing w:val="-3"/>
          <w:sz w:val="24"/>
          <w:szCs w:val="24"/>
          <w:lang w:val="es-419" w:eastAsia="es-ES"/>
        </w:rPr>
        <w:tab/>
      </w:r>
      <w:r w:rsidRPr="00F1504F">
        <w:rPr>
          <w:rFonts w:ascii="Gadugi" w:eastAsia="Times New Roman" w:hAnsi="Gadugi" w:cs="Arial"/>
          <w:spacing w:val="-3"/>
          <w:sz w:val="24"/>
          <w:szCs w:val="24"/>
          <w:lang w:val="es-419" w:eastAsia="es-ES"/>
        </w:rPr>
        <w:tab/>
      </w:r>
      <w:r w:rsidRPr="00F1504F">
        <w:rPr>
          <w:rFonts w:ascii="Gadugi" w:eastAsia="Times New Roman" w:hAnsi="Gadugi" w:cs="Arial"/>
          <w:spacing w:val="-3"/>
          <w:sz w:val="24"/>
          <w:szCs w:val="24"/>
          <w:lang w:val="es-ES" w:eastAsia="es-ES"/>
        </w:rPr>
        <w:t xml:space="preserve">Puestas de esta manera las cosas, al no practicar en legal forma </w:t>
      </w:r>
      <w:r w:rsidRPr="00F1504F">
        <w:rPr>
          <w:rFonts w:ascii="Gadugi" w:eastAsia="Times New Roman" w:hAnsi="Gadugi" w:cs="Arial"/>
          <w:spacing w:val="-3"/>
          <w:sz w:val="24"/>
          <w:szCs w:val="24"/>
          <w:lang w:val="es-419" w:eastAsia="es-ES"/>
        </w:rPr>
        <w:t>la notificación d</w:t>
      </w:r>
      <w:r w:rsidRPr="00F1504F">
        <w:rPr>
          <w:rFonts w:ascii="Gadugi" w:eastAsia="Times New Roman" w:hAnsi="Gadugi" w:cs="Arial"/>
          <w:spacing w:val="-3"/>
          <w:sz w:val="24"/>
          <w:szCs w:val="24"/>
          <w:lang w:val="es-ES" w:eastAsia="es-ES"/>
        </w:rPr>
        <w:t xml:space="preserve">el auto </w:t>
      </w:r>
      <w:proofErr w:type="spellStart"/>
      <w:r w:rsidRPr="00F1504F">
        <w:rPr>
          <w:rFonts w:ascii="Gadugi" w:eastAsia="Times New Roman" w:hAnsi="Gadugi" w:cs="Arial"/>
          <w:spacing w:val="-3"/>
          <w:sz w:val="24"/>
          <w:szCs w:val="24"/>
          <w:lang w:val="es-ES" w:eastAsia="es-ES"/>
        </w:rPr>
        <w:t>admisorio</w:t>
      </w:r>
      <w:proofErr w:type="spellEnd"/>
      <w:r w:rsidRPr="00F1504F">
        <w:rPr>
          <w:rFonts w:ascii="Gadugi" w:eastAsia="Times New Roman" w:hAnsi="Gadugi" w:cs="Arial"/>
          <w:spacing w:val="-3"/>
          <w:sz w:val="24"/>
          <w:szCs w:val="24"/>
          <w:lang w:val="es-ES" w:eastAsia="es-ES"/>
        </w:rPr>
        <w:t xml:space="preserve"> a personas indeterminadas que deban ser citadas como partes, cuando la ley así lo ordena</w:t>
      </w:r>
      <w:r w:rsidR="00BA55CC">
        <w:rPr>
          <w:rFonts w:ascii="Gadugi" w:eastAsia="Times New Roman" w:hAnsi="Gadugi" w:cs="Arial"/>
          <w:spacing w:val="-3"/>
          <w:sz w:val="24"/>
          <w:szCs w:val="24"/>
          <w:lang w:val="es-ES" w:eastAsia="es-ES"/>
        </w:rPr>
        <w:t>, constituye causal de nulidad</w:t>
      </w:r>
      <w:r w:rsidRPr="00F1504F">
        <w:rPr>
          <w:rFonts w:ascii="Gadugi" w:eastAsia="Times New Roman" w:hAnsi="Gadugi" w:cs="Arial"/>
          <w:spacing w:val="-3"/>
          <w:sz w:val="24"/>
          <w:szCs w:val="24"/>
          <w:lang w:val="es-ES" w:eastAsia="es-ES"/>
        </w:rPr>
        <w:t xml:space="preserve"> (art. 133-8º CGP), </w:t>
      </w:r>
      <w:r w:rsidR="00BA55CC">
        <w:rPr>
          <w:rFonts w:ascii="Gadugi" w:eastAsia="Times New Roman" w:hAnsi="Gadugi" w:cs="Arial"/>
          <w:spacing w:val="-3"/>
          <w:sz w:val="24"/>
          <w:szCs w:val="24"/>
          <w:lang w:val="es-ES" w:eastAsia="es-ES"/>
        </w:rPr>
        <w:t xml:space="preserve">y </w:t>
      </w:r>
      <w:r w:rsidRPr="00F1504F">
        <w:rPr>
          <w:rFonts w:ascii="Gadugi" w:eastAsia="Times New Roman" w:hAnsi="Gadugi" w:cs="Arial"/>
          <w:spacing w:val="-3"/>
          <w:sz w:val="24"/>
          <w:szCs w:val="24"/>
          <w:lang w:val="es-ES" w:eastAsia="es-ES"/>
        </w:rPr>
        <w:t>es lo que aquí aconteció como viene de verse</w:t>
      </w:r>
      <w:r w:rsidR="00BA55CC">
        <w:rPr>
          <w:rFonts w:ascii="Gadugi" w:eastAsia="Times New Roman" w:hAnsi="Gadugi" w:cs="Arial"/>
          <w:spacing w:val="-3"/>
          <w:sz w:val="24"/>
          <w:szCs w:val="24"/>
          <w:lang w:val="es-ES" w:eastAsia="es-ES"/>
        </w:rPr>
        <w:t xml:space="preserve">. </w:t>
      </w:r>
    </w:p>
    <w:p w:rsidR="00F1504F" w:rsidRPr="00F1504F" w:rsidRDefault="00F1504F" w:rsidP="00357CB8">
      <w:pPr>
        <w:spacing w:after="0" w:line="276" w:lineRule="auto"/>
        <w:ind w:firstLine="2835"/>
        <w:jc w:val="both"/>
        <w:rPr>
          <w:rFonts w:ascii="Gadugi" w:eastAsia="Times New Roman" w:hAnsi="Gadugi" w:cs="Arial"/>
          <w:sz w:val="24"/>
          <w:szCs w:val="24"/>
          <w:lang w:val="es-MX" w:eastAsia="es-ES"/>
        </w:rPr>
      </w:pPr>
    </w:p>
    <w:p w:rsidR="00F1504F" w:rsidRPr="00F1504F" w:rsidRDefault="00F1504F" w:rsidP="00357CB8">
      <w:pPr>
        <w:spacing w:after="0" w:line="276" w:lineRule="auto"/>
        <w:ind w:firstLine="2835"/>
        <w:jc w:val="both"/>
        <w:rPr>
          <w:rFonts w:ascii="Gadugi" w:eastAsia="Times New Roman" w:hAnsi="Gadugi" w:cs="Arial"/>
          <w:sz w:val="24"/>
          <w:szCs w:val="24"/>
          <w:lang w:val="es-MX" w:eastAsia="es-ES"/>
        </w:rPr>
      </w:pPr>
      <w:r w:rsidRPr="00F1504F">
        <w:rPr>
          <w:rFonts w:ascii="Gadugi" w:eastAsia="Times New Roman" w:hAnsi="Gadugi" w:cs="Arial"/>
          <w:sz w:val="24"/>
          <w:szCs w:val="24"/>
          <w:lang w:val="es-MX" w:eastAsia="es-ES"/>
        </w:rPr>
        <w:t xml:space="preserve">Esto se traduce, por supuesto, en que no le es dado al juzgador de segundo grado procurar tal notificación y eventual comparecencia, </w:t>
      </w:r>
      <w:r w:rsidRPr="00F1504F">
        <w:rPr>
          <w:rFonts w:ascii="Gadugi" w:eastAsia="Times New Roman" w:hAnsi="Gadugi" w:cs="Arial"/>
          <w:sz w:val="24"/>
          <w:szCs w:val="24"/>
          <w:lang w:val="es-419" w:eastAsia="es-ES"/>
        </w:rPr>
        <w:t xml:space="preserve">por ser genérica e involucrar a personas indeterminadas, </w:t>
      </w:r>
      <w:r w:rsidRPr="00F1504F">
        <w:rPr>
          <w:rFonts w:ascii="Gadugi" w:eastAsia="Times New Roman" w:hAnsi="Gadugi" w:cs="Arial"/>
          <w:sz w:val="24"/>
          <w:szCs w:val="24"/>
          <w:lang w:val="es-MX" w:eastAsia="es-ES"/>
        </w:rPr>
        <w:t>pero sí remediar la situación de manera que pueda llegarse al final a una decisión de mérito.</w:t>
      </w:r>
      <w:r w:rsidRPr="00F1504F">
        <w:rPr>
          <w:rFonts w:ascii="Gadugi" w:eastAsia="Times New Roman" w:hAnsi="Gadugi" w:cs="Arial"/>
          <w:sz w:val="24"/>
          <w:szCs w:val="24"/>
          <w:lang w:val="es-419" w:eastAsia="es-ES"/>
        </w:rPr>
        <w:t xml:space="preserve"> </w:t>
      </w:r>
      <w:r w:rsidR="00BA55CC">
        <w:rPr>
          <w:rFonts w:ascii="Gadugi" w:eastAsia="Times New Roman" w:hAnsi="Gadugi" w:cs="Arial"/>
          <w:sz w:val="24"/>
          <w:szCs w:val="24"/>
          <w:lang w:val="es-419" w:eastAsia="es-ES"/>
        </w:rPr>
        <w:t xml:space="preserve">La solución </w:t>
      </w:r>
      <w:r w:rsidRPr="00F1504F">
        <w:rPr>
          <w:rFonts w:ascii="Gadugi" w:eastAsia="Times New Roman" w:hAnsi="Gadugi" w:cs="Arial"/>
          <w:sz w:val="24"/>
          <w:szCs w:val="24"/>
          <w:lang w:val="es-MX" w:eastAsia="es-ES"/>
        </w:rPr>
        <w:t>no es otr</w:t>
      </w:r>
      <w:r w:rsidR="00BA55CC">
        <w:rPr>
          <w:rFonts w:ascii="Gadugi" w:eastAsia="Times New Roman" w:hAnsi="Gadugi" w:cs="Arial"/>
          <w:sz w:val="24"/>
          <w:szCs w:val="24"/>
          <w:lang w:val="es-MX" w:eastAsia="es-ES"/>
        </w:rPr>
        <w:t>a</w:t>
      </w:r>
      <w:r w:rsidRPr="00F1504F">
        <w:rPr>
          <w:rFonts w:ascii="Gadugi" w:eastAsia="Times New Roman" w:hAnsi="Gadugi" w:cs="Arial"/>
          <w:sz w:val="24"/>
          <w:szCs w:val="24"/>
          <w:lang w:val="es-MX" w:eastAsia="es-ES"/>
        </w:rPr>
        <w:t xml:space="preserve"> que la declaración de nulidad de lo actuado desde la sentencia proferida el 2</w:t>
      </w:r>
      <w:r w:rsidR="0091430D">
        <w:rPr>
          <w:rFonts w:ascii="Gadugi" w:eastAsia="Times New Roman" w:hAnsi="Gadugi" w:cs="Arial"/>
          <w:sz w:val="24"/>
          <w:szCs w:val="24"/>
          <w:lang w:val="es-MX" w:eastAsia="es-ES"/>
        </w:rPr>
        <w:t xml:space="preserve">6 de agosto </w:t>
      </w:r>
      <w:r w:rsidRPr="00F1504F">
        <w:rPr>
          <w:rFonts w:ascii="Gadugi" w:eastAsia="Times New Roman" w:hAnsi="Gadugi" w:cs="Arial"/>
          <w:sz w:val="24"/>
          <w:szCs w:val="24"/>
          <w:lang w:val="es-MX" w:eastAsia="es-ES"/>
        </w:rPr>
        <w:t xml:space="preserve">del presente año, inclusive, a fin de que en primera sede se pueda enmendar la actuación, esto es, para que se materialicen las publicaciones ordenadas en el </w:t>
      </w:r>
      <w:r w:rsidR="0091430D">
        <w:rPr>
          <w:rFonts w:ascii="Gadugi" w:eastAsia="Times New Roman" w:hAnsi="Gadugi" w:cs="Arial"/>
          <w:sz w:val="24"/>
          <w:szCs w:val="24"/>
          <w:lang w:val="es-MX" w:eastAsia="es-ES"/>
        </w:rPr>
        <w:t xml:space="preserve">ordinal “SÉPTIMO” del </w:t>
      </w:r>
      <w:r w:rsidRPr="00F1504F">
        <w:rPr>
          <w:rFonts w:ascii="Gadugi" w:eastAsia="Times New Roman" w:hAnsi="Gadugi" w:cs="Arial"/>
          <w:sz w:val="24"/>
          <w:szCs w:val="24"/>
          <w:lang w:val="es-MX" w:eastAsia="es-ES"/>
        </w:rPr>
        <w:t xml:space="preserve">auto </w:t>
      </w:r>
      <w:proofErr w:type="spellStart"/>
      <w:r w:rsidRPr="00F1504F">
        <w:rPr>
          <w:rFonts w:ascii="Gadugi" w:eastAsia="Times New Roman" w:hAnsi="Gadugi" w:cs="Arial"/>
          <w:sz w:val="24"/>
          <w:szCs w:val="24"/>
          <w:lang w:val="es-MX" w:eastAsia="es-ES"/>
        </w:rPr>
        <w:t>admisorio</w:t>
      </w:r>
      <w:proofErr w:type="spellEnd"/>
      <w:r w:rsidRPr="00F1504F">
        <w:rPr>
          <w:rFonts w:ascii="Gadugi" w:eastAsia="Times New Roman" w:hAnsi="Gadugi" w:cs="Arial"/>
          <w:sz w:val="24"/>
          <w:szCs w:val="24"/>
          <w:lang w:val="es-MX" w:eastAsia="es-ES"/>
        </w:rPr>
        <w:t xml:space="preserve"> del libelo</w:t>
      </w:r>
      <w:r w:rsidR="0091430D">
        <w:rPr>
          <w:rFonts w:ascii="Gadugi" w:eastAsia="Times New Roman" w:hAnsi="Gadugi" w:cs="Arial"/>
          <w:sz w:val="24"/>
          <w:szCs w:val="24"/>
          <w:lang w:val="es-MX" w:eastAsia="es-ES"/>
        </w:rPr>
        <w:t>, al igual que los avisos ordenados en el ordinal “OCTAVO”, con las constancias de cada una de las entidades allí señaladas</w:t>
      </w:r>
      <w:r w:rsidR="00BF2B16">
        <w:rPr>
          <w:rFonts w:ascii="Gadugi" w:eastAsia="Times New Roman" w:hAnsi="Gadugi" w:cs="Arial"/>
          <w:sz w:val="24"/>
          <w:szCs w:val="24"/>
          <w:lang w:val="es-MX" w:eastAsia="es-ES"/>
        </w:rPr>
        <w:t>, a menos que se adopte una decisión diferente en torno a la comunicación a la comunidad.</w:t>
      </w:r>
    </w:p>
    <w:p w:rsidR="00F1504F" w:rsidRPr="00BA55CC" w:rsidRDefault="00F1504F" w:rsidP="00357CB8">
      <w:pPr>
        <w:spacing w:after="0" w:line="276" w:lineRule="auto"/>
        <w:jc w:val="both"/>
        <w:rPr>
          <w:rFonts w:ascii="Gadugi" w:eastAsia="Times New Roman" w:hAnsi="Gadugi" w:cs="Arial"/>
          <w:sz w:val="24"/>
          <w:szCs w:val="24"/>
          <w:lang w:val="es-MX" w:eastAsia="es-ES"/>
        </w:rPr>
      </w:pPr>
    </w:p>
    <w:p w:rsidR="00F1504F" w:rsidRPr="00F1504F" w:rsidRDefault="00F1504F" w:rsidP="00357CB8">
      <w:pPr>
        <w:spacing w:after="0" w:line="276" w:lineRule="auto"/>
        <w:ind w:firstLine="2835"/>
        <w:jc w:val="both"/>
        <w:rPr>
          <w:rFonts w:ascii="Gadugi" w:eastAsia="Times New Roman" w:hAnsi="Gadugi" w:cs="Arial"/>
          <w:b/>
          <w:bCs/>
          <w:sz w:val="24"/>
          <w:szCs w:val="24"/>
          <w:lang w:val="es-ES" w:eastAsia="es-ES"/>
        </w:rPr>
      </w:pPr>
    </w:p>
    <w:p w:rsidR="00F1504F" w:rsidRPr="00F1504F" w:rsidRDefault="00F1504F" w:rsidP="00357CB8">
      <w:pPr>
        <w:spacing w:after="0" w:line="276" w:lineRule="auto"/>
        <w:ind w:firstLine="2835"/>
        <w:jc w:val="both"/>
        <w:rPr>
          <w:rFonts w:ascii="Gadugi" w:eastAsia="Times New Roman" w:hAnsi="Gadugi" w:cs="Arial"/>
          <w:b/>
          <w:bCs/>
          <w:sz w:val="24"/>
          <w:szCs w:val="24"/>
          <w:lang w:val="es-ES" w:eastAsia="es-ES"/>
        </w:rPr>
      </w:pPr>
      <w:r w:rsidRPr="00F1504F">
        <w:rPr>
          <w:rFonts w:ascii="Gadugi" w:eastAsia="Times New Roman" w:hAnsi="Gadugi" w:cs="Arial"/>
          <w:b/>
          <w:bCs/>
          <w:sz w:val="24"/>
          <w:szCs w:val="24"/>
          <w:lang w:val="es-ES" w:eastAsia="es-ES"/>
        </w:rPr>
        <w:lastRenderedPageBreak/>
        <w:t>RESUELVE:</w:t>
      </w:r>
    </w:p>
    <w:p w:rsidR="00F1504F" w:rsidRPr="00F1504F" w:rsidRDefault="00F1504F" w:rsidP="00357CB8">
      <w:pPr>
        <w:spacing w:after="0" w:line="276" w:lineRule="auto"/>
        <w:ind w:firstLine="2835"/>
        <w:jc w:val="both"/>
        <w:rPr>
          <w:rFonts w:ascii="Gadugi" w:eastAsia="Times New Roman" w:hAnsi="Gadugi" w:cs="Arial"/>
          <w:b/>
          <w:bCs/>
          <w:sz w:val="24"/>
          <w:szCs w:val="24"/>
          <w:lang w:val="es-ES" w:eastAsia="es-ES"/>
        </w:rPr>
      </w:pPr>
    </w:p>
    <w:p w:rsidR="00F1504F" w:rsidRPr="00F1504F" w:rsidRDefault="00F1504F" w:rsidP="00357CB8">
      <w:pPr>
        <w:spacing w:after="0" w:line="276" w:lineRule="auto"/>
        <w:ind w:firstLine="2835"/>
        <w:jc w:val="both"/>
        <w:rPr>
          <w:rFonts w:ascii="Gadugi" w:eastAsia="Times New Roman" w:hAnsi="Gadugi" w:cs="Arial"/>
          <w:b/>
          <w:bCs/>
          <w:sz w:val="24"/>
          <w:szCs w:val="24"/>
          <w:lang w:val="es-ES" w:eastAsia="es-ES"/>
        </w:rPr>
      </w:pPr>
    </w:p>
    <w:p w:rsidR="00F1504F" w:rsidRPr="00F1504F" w:rsidRDefault="00F1504F" w:rsidP="00357CB8">
      <w:pPr>
        <w:spacing w:after="0" w:line="276" w:lineRule="auto"/>
        <w:ind w:firstLine="2835"/>
        <w:jc w:val="both"/>
        <w:rPr>
          <w:rFonts w:ascii="Gadugi" w:eastAsia="Times New Roman" w:hAnsi="Gadugi" w:cs="Arial"/>
          <w:sz w:val="24"/>
          <w:szCs w:val="24"/>
          <w:lang w:val="es-ES" w:eastAsia="es-ES"/>
        </w:rPr>
      </w:pPr>
      <w:r w:rsidRPr="00F1504F">
        <w:rPr>
          <w:rFonts w:ascii="Gadugi" w:eastAsia="Times New Roman" w:hAnsi="Gadugi" w:cs="Arial"/>
          <w:bCs/>
          <w:sz w:val="24"/>
          <w:szCs w:val="24"/>
          <w:lang w:val="es-ES" w:eastAsia="es-ES"/>
        </w:rPr>
        <w:t>1.</w:t>
      </w:r>
      <w:r w:rsidRPr="00F1504F">
        <w:rPr>
          <w:rFonts w:ascii="Gadugi" w:eastAsia="Times New Roman" w:hAnsi="Gadugi" w:cs="Arial"/>
          <w:b/>
          <w:bCs/>
          <w:sz w:val="24"/>
          <w:szCs w:val="24"/>
          <w:lang w:val="es-ES" w:eastAsia="es-ES"/>
        </w:rPr>
        <w:t xml:space="preserve">  </w:t>
      </w:r>
      <w:r w:rsidRPr="00F1504F">
        <w:rPr>
          <w:rFonts w:ascii="Gadugi" w:eastAsia="Times New Roman" w:hAnsi="Gadugi" w:cs="Arial"/>
          <w:sz w:val="24"/>
          <w:szCs w:val="24"/>
          <w:lang w:val="es-ES" w:eastAsia="es-ES"/>
        </w:rPr>
        <w:t xml:space="preserve">Declarar la </w:t>
      </w:r>
      <w:r w:rsidRPr="00F1504F">
        <w:rPr>
          <w:rFonts w:ascii="Gadugi" w:eastAsia="Times New Roman" w:hAnsi="Gadugi" w:cs="Arial"/>
          <w:b/>
          <w:bCs/>
          <w:sz w:val="24"/>
          <w:szCs w:val="24"/>
          <w:lang w:val="es-ES" w:eastAsia="es-ES"/>
        </w:rPr>
        <w:t xml:space="preserve">NULIDAD </w:t>
      </w:r>
      <w:r w:rsidRPr="00F1504F">
        <w:rPr>
          <w:rFonts w:ascii="Gadugi" w:eastAsia="Times New Roman" w:hAnsi="Gadugi" w:cs="Arial"/>
          <w:sz w:val="24"/>
          <w:szCs w:val="24"/>
          <w:lang w:val="es-ES" w:eastAsia="es-ES"/>
        </w:rPr>
        <w:t>de lo actuado</w:t>
      </w:r>
      <w:r w:rsidRPr="00F1504F">
        <w:rPr>
          <w:rFonts w:ascii="Gadugi" w:eastAsia="Times New Roman" w:hAnsi="Gadugi" w:cs="Arial"/>
          <w:sz w:val="24"/>
          <w:szCs w:val="24"/>
          <w:lang w:val="es-419" w:eastAsia="es-ES"/>
        </w:rPr>
        <w:t xml:space="preserve"> </w:t>
      </w:r>
      <w:r w:rsidR="00CB17FB">
        <w:rPr>
          <w:rFonts w:ascii="Gadugi" w:eastAsia="Times New Roman" w:hAnsi="Gadugi" w:cs="Arial"/>
          <w:sz w:val="24"/>
          <w:szCs w:val="24"/>
          <w:lang w:val="es-ES" w:eastAsia="es-ES"/>
        </w:rPr>
        <w:t xml:space="preserve">desde la sentencia del 26 de agosto </w:t>
      </w:r>
      <w:r w:rsidRPr="00F1504F">
        <w:rPr>
          <w:rFonts w:ascii="Gadugi" w:eastAsia="Times New Roman" w:hAnsi="Gadugi" w:cs="Arial"/>
          <w:sz w:val="24"/>
          <w:szCs w:val="24"/>
          <w:lang w:val="es-ES" w:eastAsia="es-ES"/>
        </w:rPr>
        <w:t>de 2016</w:t>
      </w:r>
      <w:r w:rsidR="00CB17FB">
        <w:rPr>
          <w:rFonts w:ascii="Gadugi" w:eastAsia="Times New Roman" w:hAnsi="Gadugi" w:cs="Arial"/>
          <w:sz w:val="24"/>
          <w:szCs w:val="24"/>
          <w:lang w:val="es-ES" w:eastAsia="es-ES"/>
        </w:rPr>
        <w:t xml:space="preserve"> (</w:t>
      </w:r>
      <w:proofErr w:type="spellStart"/>
      <w:r w:rsidR="00CB17FB">
        <w:rPr>
          <w:rFonts w:ascii="Gadugi" w:eastAsia="Times New Roman" w:hAnsi="Gadugi" w:cs="Arial"/>
          <w:sz w:val="24"/>
          <w:szCs w:val="24"/>
          <w:lang w:val="es-ES" w:eastAsia="es-ES"/>
        </w:rPr>
        <w:t>fls</w:t>
      </w:r>
      <w:proofErr w:type="spellEnd"/>
      <w:r w:rsidR="00CB17FB">
        <w:rPr>
          <w:rFonts w:ascii="Gadugi" w:eastAsia="Times New Roman" w:hAnsi="Gadugi" w:cs="Arial"/>
          <w:sz w:val="24"/>
          <w:szCs w:val="24"/>
          <w:lang w:val="es-ES" w:eastAsia="es-ES"/>
        </w:rPr>
        <w:t>. 115 y s.s. del cuaderno principal)</w:t>
      </w:r>
      <w:r w:rsidRPr="00F1504F">
        <w:rPr>
          <w:rFonts w:ascii="Gadugi" w:eastAsia="Times New Roman" w:hAnsi="Gadugi" w:cs="Arial"/>
          <w:sz w:val="24"/>
          <w:szCs w:val="24"/>
          <w:lang w:val="es-419" w:eastAsia="es-ES"/>
        </w:rPr>
        <w:t>.</w:t>
      </w:r>
      <w:r w:rsidRPr="00F1504F">
        <w:rPr>
          <w:rFonts w:ascii="Gadugi" w:eastAsia="Times New Roman" w:hAnsi="Gadugi" w:cs="Arial"/>
          <w:sz w:val="24"/>
          <w:szCs w:val="24"/>
          <w:lang w:val="es-ES" w:eastAsia="es-ES"/>
        </w:rPr>
        <w:t xml:space="preserve"> </w:t>
      </w:r>
    </w:p>
    <w:p w:rsidR="00F1504F" w:rsidRPr="00F1504F" w:rsidRDefault="00F1504F" w:rsidP="00357CB8">
      <w:pPr>
        <w:spacing w:after="0" w:line="276" w:lineRule="auto"/>
        <w:ind w:firstLine="2835"/>
        <w:jc w:val="both"/>
        <w:rPr>
          <w:rFonts w:ascii="Gadugi" w:eastAsia="Times New Roman" w:hAnsi="Gadugi" w:cs="Arial"/>
          <w:bCs/>
          <w:sz w:val="24"/>
          <w:szCs w:val="24"/>
          <w:lang w:val="es-ES" w:eastAsia="es-ES"/>
        </w:rPr>
      </w:pPr>
    </w:p>
    <w:p w:rsidR="00F1504F" w:rsidRPr="00F1504F" w:rsidRDefault="00F1504F" w:rsidP="00357CB8">
      <w:pPr>
        <w:spacing w:after="0" w:line="276" w:lineRule="auto"/>
        <w:ind w:firstLine="2835"/>
        <w:jc w:val="both"/>
        <w:rPr>
          <w:rFonts w:ascii="Gadugi" w:eastAsia="Times New Roman" w:hAnsi="Gadugi" w:cs="Arial"/>
          <w:sz w:val="24"/>
          <w:szCs w:val="24"/>
          <w:lang w:val="es-ES" w:eastAsia="es-ES"/>
        </w:rPr>
      </w:pPr>
      <w:r w:rsidRPr="00F1504F">
        <w:rPr>
          <w:rFonts w:ascii="Gadugi" w:eastAsia="Times New Roman" w:hAnsi="Gadugi" w:cs="Arial"/>
          <w:bCs/>
          <w:sz w:val="24"/>
          <w:szCs w:val="24"/>
          <w:lang w:val="es-ES" w:eastAsia="es-ES"/>
        </w:rPr>
        <w:t>2.</w:t>
      </w:r>
      <w:r w:rsidRPr="00F1504F">
        <w:rPr>
          <w:rFonts w:ascii="Gadugi" w:eastAsia="Times New Roman" w:hAnsi="Gadugi" w:cs="Arial"/>
          <w:b/>
          <w:bCs/>
          <w:sz w:val="24"/>
          <w:szCs w:val="24"/>
          <w:lang w:val="es-ES" w:eastAsia="es-ES"/>
        </w:rPr>
        <w:t xml:space="preserve">  </w:t>
      </w:r>
      <w:r w:rsidRPr="00F1504F">
        <w:rPr>
          <w:rFonts w:ascii="Gadugi" w:eastAsia="Times New Roman" w:hAnsi="Gadugi" w:cs="Arial"/>
          <w:sz w:val="24"/>
          <w:szCs w:val="24"/>
          <w:lang w:val="es-ES" w:eastAsia="es-ES"/>
        </w:rPr>
        <w:t xml:space="preserve">Desde allí, rehágase la actuación dándole aplicación a la debida y completa comunicación por aviso dispuesta en </w:t>
      </w:r>
      <w:r w:rsidR="00CB17FB">
        <w:rPr>
          <w:rFonts w:ascii="Gadugi" w:eastAsia="Times New Roman" w:hAnsi="Gadugi" w:cs="Arial"/>
          <w:sz w:val="24"/>
          <w:szCs w:val="24"/>
          <w:lang w:val="es-ES" w:eastAsia="es-ES"/>
        </w:rPr>
        <w:t>los ordinales “SEPTIMO” y “OCTAVO” d</w:t>
      </w:r>
      <w:r w:rsidRPr="00F1504F">
        <w:rPr>
          <w:rFonts w:ascii="Gadugi" w:eastAsia="Times New Roman" w:hAnsi="Gadugi" w:cs="Arial"/>
          <w:sz w:val="24"/>
          <w:szCs w:val="24"/>
          <w:lang w:val="es-ES" w:eastAsia="es-ES"/>
        </w:rPr>
        <w:t xml:space="preserve">el auto </w:t>
      </w:r>
      <w:proofErr w:type="spellStart"/>
      <w:r w:rsidRPr="00F1504F">
        <w:rPr>
          <w:rFonts w:ascii="Gadugi" w:eastAsia="Times New Roman" w:hAnsi="Gadugi" w:cs="Arial"/>
          <w:sz w:val="24"/>
          <w:szCs w:val="24"/>
          <w:lang w:val="es-ES" w:eastAsia="es-ES"/>
        </w:rPr>
        <w:t>admisorio</w:t>
      </w:r>
      <w:proofErr w:type="spellEnd"/>
      <w:r w:rsidRPr="00F1504F">
        <w:rPr>
          <w:rFonts w:ascii="Gadugi" w:eastAsia="Times New Roman" w:hAnsi="Gadugi" w:cs="Arial"/>
          <w:sz w:val="24"/>
          <w:szCs w:val="24"/>
          <w:lang w:val="es-ES" w:eastAsia="es-ES"/>
        </w:rPr>
        <w:t xml:space="preserve"> de la demanda, para lo cual se dispone la devolución del </w:t>
      </w:r>
      <w:r w:rsidR="00BF2B16">
        <w:rPr>
          <w:rFonts w:ascii="Gadugi" w:eastAsia="Times New Roman" w:hAnsi="Gadugi" w:cs="Arial"/>
          <w:sz w:val="24"/>
          <w:szCs w:val="24"/>
          <w:lang w:val="es-ES" w:eastAsia="es-ES"/>
        </w:rPr>
        <w:t>expediente al juzgado de origen, sin perjuicio de que se disponga una forma de comunicación diferente.</w:t>
      </w:r>
    </w:p>
    <w:p w:rsidR="00F1504F" w:rsidRPr="00F1504F" w:rsidRDefault="00F1504F" w:rsidP="00357CB8">
      <w:pPr>
        <w:spacing w:after="0" w:line="276" w:lineRule="auto"/>
        <w:ind w:firstLine="2835"/>
        <w:jc w:val="both"/>
        <w:rPr>
          <w:rFonts w:ascii="Gadugi" w:eastAsia="Times New Roman" w:hAnsi="Gadugi" w:cs="Arial"/>
          <w:sz w:val="24"/>
          <w:szCs w:val="24"/>
          <w:lang w:val="es-ES" w:eastAsia="es-ES"/>
        </w:rPr>
      </w:pPr>
    </w:p>
    <w:p w:rsidR="00F1504F" w:rsidRPr="00F1504F" w:rsidRDefault="00F1504F" w:rsidP="00357CB8">
      <w:pPr>
        <w:spacing w:after="0" w:line="276" w:lineRule="auto"/>
        <w:ind w:firstLine="2880"/>
        <w:jc w:val="both"/>
        <w:rPr>
          <w:rFonts w:ascii="Gadugi" w:eastAsia="Times New Roman" w:hAnsi="Gadugi" w:cs="Shruti"/>
          <w:bCs/>
          <w:iCs/>
          <w:sz w:val="24"/>
          <w:szCs w:val="24"/>
          <w:lang w:val="es-ES" w:eastAsia="es-ES"/>
        </w:rPr>
      </w:pPr>
      <w:r w:rsidRPr="00F1504F">
        <w:rPr>
          <w:rFonts w:ascii="Gadugi" w:eastAsia="Times New Roman" w:hAnsi="Gadugi" w:cs="Shruti"/>
          <w:bCs/>
          <w:iCs/>
          <w:sz w:val="24"/>
          <w:szCs w:val="24"/>
          <w:lang w:val="es-ES" w:eastAsia="es-ES"/>
        </w:rPr>
        <w:t>Notifíquese</w:t>
      </w:r>
    </w:p>
    <w:p w:rsidR="00F1504F" w:rsidRDefault="00F1504F" w:rsidP="00357CB8">
      <w:pPr>
        <w:spacing w:after="0" w:line="276" w:lineRule="auto"/>
        <w:rPr>
          <w:rFonts w:ascii="Gadugi" w:eastAsia="Times New Roman" w:hAnsi="Gadugi" w:cs="Shruti"/>
          <w:b/>
          <w:bCs/>
          <w:sz w:val="24"/>
          <w:szCs w:val="24"/>
          <w:lang w:val="es-ES" w:eastAsia="es-ES"/>
        </w:rPr>
      </w:pPr>
    </w:p>
    <w:p w:rsidR="00874F17" w:rsidRDefault="00874F17" w:rsidP="00357CB8">
      <w:pPr>
        <w:spacing w:after="0" w:line="276" w:lineRule="auto"/>
        <w:rPr>
          <w:rFonts w:ascii="Gadugi" w:eastAsia="Times New Roman" w:hAnsi="Gadugi" w:cs="Shruti"/>
          <w:b/>
          <w:bCs/>
          <w:sz w:val="24"/>
          <w:szCs w:val="24"/>
          <w:lang w:val="es-ES" w:eastAsia="es-ES"/>
        </w:rPr>
      </w:pPr>
    </w:p>
    <w:p w:rsidR="00874F17" w:rsidRPr="00F1504F" w:rsidRDefault="00874F17" w:rsidP="00357CB8">
      <w:pPr>
        <w:spacing w:after="0" w:line="276" w:lineRule="auto"/>
        <w:rPr>
          <w:rFonts w:ascii="Gadugi" w:eastAsia="Times New Roman" w:hAnsi="Gadugi" w:cs="Shruti"/>
          <w:b/>
          <w:bCs/>
          <w:sz w:val="24"/>
          <w:szCs w:val="24"/>
          <w:lang w:val="es-ES" w:eastAsia="es-ES"/>
        </w:rPr>
      </w:pPr>
    </w:p>
    <w:p w:rsidR="00F1504F" w:rsidRPr="00F1504F" w:rsidRDefault="00F1504F" w:rsidP="00357CB8">
      <w:pPr>
        <w:spacing w:after="0" w:line="276" w:lineRule="auto"/>
        <w:ind w:firstLine="2880"/>
        <w:jc w:val="center"/>
        <w:rPr>
          <w:rFonts w:ascii="Gadugi" w:eastAsia="Times New Roman" w:hAnsi="Gadugi" w:cs="Shruti"/>
          <w:b/>
          <w:bCs/>
          <w:sz w:val="24"/>
          <w:szCs w:val="24"/>
          <w:lang w:val="es-ES" w:eastAsia="es-ES"/>
        </w:rPr>
      </w:pPr>
    </w:p>
    <w:p w:rsidR="00F1504F" w:rsidRPr="00F1504F" w:rsidRDefault="00F1504F" w:rsidP="00357CB8">
      <w:pPr>
        <w:spacing w:after="0" w:line="276" w:lineRule="auto"/>
        <w:ind w:firstLine="2880"/>
        <w:rPr>
          <w:rFonts w:ascii="Gadugi" w:eastAsia="Times New Roman" w:hAnsi="Gadugi" w:cs="Shruti"/>
          <w:b/>
          <w:bCs/>
          <w:iCs/>
          <w:sz w:val="24"/>
          <w:szCs w:val="24"/>
          <w:lang w:val="es-ES" w:eastAsia="es-ES"/>
        </w:rPr>
      </w:pPr>
      <w:r w:rsidRPr="00F1504F">
        <w:rPr>
          <w:rFonts w:ascii="Gadugi" w:eastAsia="Times New Roman" w:hAnsi="Gadugi" w:cs="Shruti"/>
          <w:b/>
          <w:bCs/>
          <w:iCs/>
          <w:sz w:val="24"/>
          <w:szCs w:val="24"/>
          <w:lang w:val="es-ES" w:eastAsia="es-ES"/>
        </w:rPr>
        <w:t>JAIME ALBERTO SARAZA NARANJO</w:t>
      </w:r>
    </w:p>
    <w:p w:rsidR="00F1504F" w:rsidRDefault="00F1504F" w:rsidP="00357CB8">
      <w:pPr>
        <w:spacing w:after="0" w:line="276" w:lineRule="auto"/>
        <w:ind w:firstLine="2880"/>
        <w:rPr>
          <w:rFonts w:ascii="Gadugi" w:eastAsia="Times New Roman" w:hAnsi="Gadugi" w:cs="Shruti"/>
          <w:iCs/>
          <w:sz w:val="24"/>
          <w:szCs w:val="24"/>
          <w:lang w:val="es-ES" w:eastAsia="es-ES"/>
        </w:rPr>
      </w:pPr>
      <w:r w:rsidRPr="00F1504F">
        <w:rPr>
          <w:rFonts w:ascii="Gadugi" w:eastAsia="Times New Roman" w:hAnsi="Gadugi" w:cs="Shruti"/>
          <w:iCs/>
          <w:sz w:val="24"/>
          <w:szCs w:val="24"/>
          <w:lang w:val="es-ES" w:eastAsia="es-ES"/>
        </w:rPr>
        <w:t>Magistrado</w:t>
      </w:r>
    </w:p>
    <w:p w:rsidR="00874F17" w:rsidRDefault="00874F17" w:rsidP="00357CB8">
      <w:pPr>
        <w:spacing w:after="0" w:line="276" w:lineRule="auto"/>
        <w:ind w:firstLine="2880"/>
        <w:rPr>
          <w:rFonts w:ascii="Gadugi" w:eastAsia="Times New Roman" w:hAnsi="Gadugi" w:cs="Shruti"/>
          <w:iCs/>
          <w:sz w:val="24"/>
          <w:szCs w:val="24"/>
          <w:lang w:val="es-ES" w:eastAsia="es-ES"/>
        </w:rPr>
      </w:pPr>
    </w:p>
    <w:p w:rsidR="00874F17" w:rsidRPr="00F1504F" w:rsidRDefault="00874F17" w:rsidP="00357CB8">
      <w:pPr>
        <w:spacing w:after="0" w:line="276" w:lineRule="auto"/>
        <w:ind w:firstLine="2880"/>
        <w:rPr>
          <w:rFonts w:ascii="Gadugi" w:eastAsia="Times New Roman" w:hAnsi="Gadugi" w:cs="Shruti"/>
          <w:iCs/>
          <w:sz w:val="24"/>
          <w:szCs w:val="24"/>
          <w:lang w:val="es-ES" w:eastAsia="es-ES"/>
        </w:rPr>
      </w:pPr>
    </w:p>
    <w:tbl>
      <w:tblPr>
        <w:tblpPr w:leftFromText="141" w:rightFromText="141" w:vertAnchor="text" w:horzAnchor="margin" w:tblpXSpec="center" w:tblpY="209"/>
        <w:tblW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tblGrid>
      <w:tr w:rsidR="00F1504F" w:rsidRPr="00F1504F" w:rsidTr="00570482">
        <w:trPr>
          <w:trHeight w:val="341"/>
        </w:trPr>
        <w:tc>
          <w:tcPr>
            <w:tcW w:w="4163" w:type="dxa"/>
            <w:shd w:val="clear" w:color="auto" w:fill="auto"/>
          </w:tcPr>
          <w:p w:rsidR="00F1504F" w:rsidRPr="00F1504F" w:rsidRDefault="00F1504F" w:rsidP="00A93346">
            <w:pPr>
              <w:tabs>
                <w:tab w:val="left" w:pos="5190"/>
              </w:tabs>
              <w:spacing w:after="0" w:line="276" w:lineRule="auto"/>
              <w:jc w:val="center"/>
              <w:rPr>
                <w:rFonts w:ascii="Gadugi" w:eastAsia="Times New Roman" w:hAnsi="Gadugi" w:cs="Times New Roman"/>
                <w:sz w:val="24"/>
                <w:szCs w:val="24"/>
                <w:lang w:val="es-ES" w:eastAsia="es-ES"/>
              </w:rPr>
            </w:pPr>
            <w:r w:rsidRPr="00F1504F">
              <w:rPr>
                <w:rFonts w:ascii="Gadugi" w:eastAsia="Times New Roman" w:hAnsi="Gadugi" w:cs="Times New Roman"/>
                <w:sz w:val="24"/>
                <w:szCs w:val="24"/>
                <w:lang w:val="es-ES" w:eastAsia="es-ES"/>
              </w:rPr>
              <w:t>LA PROVIDENCIA ANTERIOR SE NOTIFICA POR ESTADO DEL DÍA</w:t>
            </w:r>
          </w:p>
          <w:p w:rsidR="00F1504F" w:rsidRPr="00F1504F" w:rsidRDefault="00F1504F" w:rsidP="00357CB8">
            <w:pPr>
              <w:tabs>
                <w:tab w:val="left" w:pos="5190"/>
              </w:tabs>
              <w:spacing w:after="0" w:line="276" w:lineRule="auto"/>
              <w:rPr>
                <w:rFonts w:ascii="Gadugi" w:eastAsia="Times New Roman" w:hAnsi="Gadugi" w:cs="Times New Roman"/>
                <w:sz w:val="24"/>
                <w:szCs w:val="24"/>
                <w:lang w:val="es-ES" w:eastAsia="es-ES"/>
              </w:rPr>
            </w:pPr>
          </w:p>
          <w:p w:rsidR="00F1504F" w:rsidRPr="00F1504F" w:rsidRDefault="00874F17" w:rsidP="00357CB8">
            <w:pPr>
              <w:tabs>
                <w:tab w:val="left" w:pos="5190"/>
              </w:tabs>
              <w:spacing w:after="0" w:line="276" w:lineRule="auto"/>
              <w:jc w:val="center"/>
              <w:rPr>
                <w:rFonts w:ascii="Gadugi" w:eastAsia="Times New Roman" w:hAnsi="Gadugi" w:cs="Times New Roman"/>
                <w:sz w:val="24"/>
                <w:szCs w:val="24"/>
                <w:lang w:val="es-ES" w:eastAsia="es-ES"/>
              </w:rPr>
            </w:pPr>
            <w:r>
              <w:rPr>
                <w:rFonts w:ascii="Gadugi" w:eastAsia="Times New Roman" w:hAnsi="Gadugi" w:cs="Times New Roman"/>
                <w:sz w:val="24"/>
                <w:szCs w:val="24"/>
                <w:lang w:val="es-419" w:eastAsia="es-ES"/>
              </w:rPr>
              <w:t>5</w:t>
            </w:r>
            <w:r w:rsidR="00F1504F" w:rsidRPr="00F1504F">
              <w:rPr>
                <w:rFonts w:ascii="Gadugi" w:eastAsia="Times New Roman" w:hAnsi="Gadugi" w:cs="Times New Roman"/>
                <w:sz w:val="24"/>
                <w:szCs w:val="24"/>
                <w:lang w:val="es-ES" w:eastAsia="es-ES"/>
              </w:rPr>
              <w:t xml:space="preserve"> DE </w:t>
            </w:r>
            <w:r w:rsidR="00CB17FB">
              <w:rPr>
                <w:rFonts w:ascii="Gadugi" w:eastAsia="Times New Roman" w:hAnsi="Gadugi" w:cs="Times New Roman"/>
                <w:sz w:val="24"/>
                <w:szCs w:val="24"/>
                <w:lang w:val="es-ES" w:eastAsia="es-ES"/>
              </w:rPr>
              <w:t xml:space="preserve">OCTUBRE </w:t>
            </w:r>
            <w:r w:rsidR="00F1504F" w:rsidRPr="00F1504F">
              <w:rPr>
                <w:rFonts w:ascii="Gadugi" w:eastAsia="Times New Roman" w:hAnsi="Gadugi" w:cs="Times New Roman"/>
                <w:sz w:val="24"/>
                <w:szCs w:val="24"/>
                <w:lang w:val="es-ES" w:eastAsia="es-ES"/>
              </w:rPr>
              <w:t>DE 2016</w:t>
            </w:r>
          </w:p>
          <w:p w:rsidR="00F1504F" w:rsidRPr="00F1504F" w:rsidRDefault="00F1504F" w:rsidP="00357CB8">
            <w:pPr>
              <w:tabs>
                <w:tab w:val="left" w:pos="5190"/>
              </w:tabs>
              <w:spacing w:after="0" w:line="276" w:lineRule="auto"/>
              <w:jc w:val="center"/>
              <w:rPr>
                <w:rFonts w:ascii="Gadugi" w:eastAsia="Times New Roman" w:hAnsi="Gadugi" w:cs="Times New Roman"/>
                <w:sz w:val="24"/>
                <w:szCs w:val="24"/>
                <w:lang w:val="es-ES" w:eastAsia="es-ES"/>
              </w:rPr>
            </w:pPr>
          </w:p>
          <w:p w:rsidR="00F1504F" w:rsidRPr="00F1504F" w:rsidRDefault="00F1504F" w:rsidP="00357CB8">
            <w:pPr>
              <w:tabs>
                <w:tab w:val="left" w:pos="5190"/>
              </w:tabs>
              <w:spacing w:after="0" w:line="276" w:lineRule="auto"/>
              <w:jc w:val="center"/>
              <w:rPr>
                <w:rFonts w:ascii="Gadugi" w:eastAsia="Times New Roman" w:hAnsi="Gadugi" w:cs="Times New Roman"/>
                <w:sz w:val="24"/>
                <w:szCs w:val="24"/>
                <w:lang w:val="es-ES" w:eastAsia="es-ES"/>
              </w:rPr>
            </w:pPr>
          </w:p>
          <w:p w:rsidR="00F1504F" w:rsidRPr="00F1504F" w:rsidRDefault="00F1504F" w:rsidP="00357CB8">
            <w:pPr>
              <w:tabs>
                <w:tab w:val="left" w:pos="5190"/>
              </w:tabs>
              <w:spacing w:after="0" w:line="276" w:lineRule="auto"/>
              <w:jc w:val="center"/>
              <w:rPr>
                <w:rFonts w:ascii="Gadugi" w:eastAsia="Times New Roman" w:hAnsi="Gadugi" w:cs="Times New Roman"/>
                <w:sz w:val="24"/>
                <w:szCs w:val="24"/>
                <w:lang w:val="es-ES" w:eastAsia="es-ES"/>
              </w:rPr>
            </w:pPr>
            <w:r w:rsidRPr="00F1504F">
              <w:rPr>
                <w:rFonts w:ascii="Gadugi" w:eastAsia="Times New Roman" w:hAnsi="Gadugi" w:cs="Times New Roman"/>
                <w:sz w:val="24"/>
                <w:szCs w:val="24"/>
                <w:lang w:val="es-ES" w:eastAsia="es-ES"/>
              </w:rPr>
              <w:t>JAÍR DE JESÚS HENAO MOLINA</w:t>
            </w:r>
          </w:p>
          <w:p w:rsidR="00F1504F" w:rsidRPr="00F1504F" w:rsidRDefault="00F1504F" w:rsidP="00357CB8">
            <w:pPr>
              <w:tabs>
                <w:tab w:val="left" w:pos="5190"/>
              </w:tabs>
              <w:spacing w:after="0" w:line="276" w:lineRule="auto"/>
              <w:jc w:val="center"/>
              <w:rPr>
                <w:rFonts w:ascii="Gadugi" w:eastAsia="Times New Roman" w:hAnsi="Gadugi" w:cs="Times New Roman"/>
                <w:sz w:val="24"/>
                <w:szCs w:val="24"/>
                <w:lang w:val="es-ES" w:eastAsia="es-ES"/>
              </w:rPr>
            </w:pPr>
            <w:r w:rsidRPr="00F1504F">
              <w:rPr>
                <w:rFonts w:ascii="Gadugi" w:eastAsia="Times New Roman" w:hAnsi="Gadugi" w:cs="Times New Roman"/>
                <w:sz w:val="24"/>
                <w:szCs w:val="24"/>
                <w:lang w:val="es-ES" w:eastAsia="es-ES"/>
              </w:rPr>
              <w:t>SECRETARIO</w:t>
            </w:r>
          </w:p>
        </w:tc>
      </w:tr>
    </w:tbl>
    <w:p w:rsidR="00F1504F" w:rsidRPr="00F1504F" w:rsidRDefault="00F1504F" w:rsidP="00357CB8">
      <w:pPr>
        <w:spacing w:after="0" w:line="276" w:lineRule="auto"/>
        <w:rPr>
          <w:rFonts w:ascii="Calibri" w:eastAsia="Calibri" w:hAnsi="Calibri" w:cs="Times New Roman"/>
          <w:lang w:val="es-ES"/>
        </w:rPr>
      </w:pPr>
    </w:p>
    <w:p w:rsidR="002A6D97" w:rsidRDefault="002A6D97" w:rsidP="00357CB8">
      <w:pPr>
        <w:spacing w:after="0" w:line="276" w:lineRule="auto"/>
      </w:pPr>
    </w:p>
    <w:sectPr w:rsidR="002A6D97" w:rsidSect="00357CB8">
      <w:pgSz w:w="11907" w:h="18711"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32" w:rsidRDefault="00FB5F32" w:rsidP="00F1504F">
      <w:pPr>
        <w:spacing w:after="0" w:line="240" w:lineRule="auto"/>
      </w:pPr>
      <w:r>
        <w:separator/>
      </w:r>
    </w:p>
  </w:endnote>
  <w:endnote w:type="continuationSeparator" w:id="0">
    <w:p w:rsidR="00FB5F32" w:rsidRDefault="00FB5F32" w:rsidP="00F1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Shruti">
    <w:panose1 w:val="020B0502040204020203"/>
    <w:charset w:val="00"/>
    <w:family w:val="swiss"/>
    <w:pitch w:val="variable"/>
    <w:sig w:usb0="0004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32" w:rsidRDefault="00FB5F32" w:rsidP="00F1504F">
      <w:pPr>
        <w:spacing w:after="0" w:line="240" w:lineRule="auto"/>
      </w:pPr>
      <w:r>
        <w:separator/>
      </w:r>
    </w:p>
  </w:footnote>
  <w:footnote w:type="continuationSeparator" w:id="0">
    <w:p w:rsidR="00FB5F32" w:rsidRDefault="00FB5F32" w:rsidP="00F1504F">
      <w:pPr>
        <w:spacing w:after="0" w:line="240" w:lineRule="auto"/>
      </w:pPr>
      <w:r>
        <w:continuationSeparator/>
      </w:r>
    </w:p>
  </w:footnote>
  <w:footnote w:id="1">
    <w:p w:rsidR="00F1504F" w:rsidRPr="00723CA3" w:rsidRDefault="00F1504F" w:rsidP="00F1504F">
      <w:pPr>
        <w:pStyle w:val="Textonotapie"/>
        <w:jc w:val="both"/>
        <w:rPr>
          <w:rFonts w:ascii="Agency FB" w:hAnsi="Agency FB"/>
          <w:lang w:val="es-CO"/>
        </w:rPr>
      </w:pPr>
      <w:r w:rsidRPr="00723CA3">
        <w:rPr>
          <w:rStyle w:val="Refdenotaalpie"/>
          <w:rFonts w:ascii="Agency FB" w:hAnsi="Agency FB"/>
        </w:rPr>
        <w:footnoteRef/>
      </w:r>
      <w:r w:rsidRPr="00723CA3">
        <w:rPr>
          <w:rFonts w:ascii="Agency FB" w:hAnsi="Agency FB"/>
        </w:rPr>
        <w:t xml:space="preserve"> </w:t>
      </w:r>
      <w:r w:rsidRPr="00723CA3">
        <w:rPr>
          <w:rFonts w:ascii="Agency FB" w:hAnsi="Agency FB" w:cs="Arial"/>
          <w:b/>
          <w:bCs/>
          <w:color w:val="000000"/>
          <w:shd w:val="clear" w:color="auto" w:fill="FFFFFF"/>
        </w:rPr>
        <w:t>Artículo 44º.-</w:t>
      </w:r>
      <w:r w:rsidRPr="00723CA3">
        <w:rPr>
          <w:rStyle w:val="apple-converted-space"/>
          <w:rFonts w:ascii="Agency FB" w:hAnsi="Agency FB" w:cs="Arial"/>
          <w:b/>
          <w:bCs/>
          <w:color w:val="000000"/>
          <w:shd w:val="clear" w:color="auto" w:fill="FFFFFF"/>
        </w:rPr>
        <w:t> </w:t>
      </w:r>
      <w:r>
        <w:rPr>
          <w:rStyle w:val="apple-converted-space"/>
          <w:rFonts w:ascii="Agency FB" w:hAnsi="Agency FB" w:cs="Arial"/>
          <w:b/>
          <w:bCs/>
          <w:color w:val="000000"/>
          <w:shd w:val="clear" w:color="auto" w:fill="FFFFFF"/>
        </w:rPr>
        <w:t>“</w:t>
      </w:r>
      <w:r w:rsidRPr="00723CA3">
        <w:rPr>
          <w:rFonts w:ascii="Agency FB" w:hAnsi="Agency FB" w:cs="Arial"/>
          <w:i/>
          <w:iCs/>
          <w:color w:val="000000"/>
          <w:shd w:val="clear" w:color="auto" w:fill="FFFFFF"/>
        </w:rPr>
        <w:t>Aspectos no Regulados.</w:t>
      </w:r>
      <w:r w:rsidRPr="00723CA3">
        <w:rPr>
          <w:rStyle w:val="apple-converted-space"/>
          <w:rFonts w:ascii="Agency FB" w:hAnsi="Agency FB" w:cs="Arial"/>
          <w:i/>
          <w:iCs/>
          <w:color w:val="000000"/>
          <w:shd w:val="clear" w:color="auto" w:fill="FFFFFF"/>
        </w:rPr>
        <w:t> </w:t>
      </w:r>
      <w:r w:rsidRPr="00723CA3">
        <w:rPr>
          <w:rFonts w:ascii="Agency FB" w:hAnsi="Agency FB" w:cs="Arial"/>
          <w:color w:val="000000"/>
          <w:shd w:val="clear" w:color="auto" w:fill="FFFFFF"/>
        </w:rPr>
        <w:t>En los procesos por acciones populares se aplicarán las disposiciones del Código de Procedimiento Civil y del Código Contencioso Administrativo dependiendo de la jurisdicción que le corresponda, en los aspectos no regulados en la presente Ley, mientras no se oponga a la naturaleza y a la finalidad de tales acciones.</w:t>
      </w:r>
      <w:r>
        <w:rPr>
          <w:rFonts w:ascii="Agency FB" w:hAnsi="Agency FB" w:cs="Arial"/>
          <w:color w:val="000000"/>
          <w:shd w:val="clear" w:color="auto" w:fill="FFFFFF"/>
        </w:rPr>
        <w:t>”</w:t>
      </w:r>
    </w:p>
  </w:footnote>
  <w:footnote w:id="2">
    <w:p w:rsidR="00E540C3" w:rsidRPr="00E540C3" w:rsidRDefault="00E540C3">
      <w:pPr>
        <w:pStyle w:val="Textonotapie"/>
        <w:rPr>
          <w:lang w:val="es-CO"/>
        </w:rPr>
      </w:pPr>
      <w:r>
        <w:rPr>
          <w:rStyle w:val="Refdenotaalpie"/>
        </w:rPr>
        <w:footnoteRef/>
      </w:r>
      <w:r>
        <w:t xml:space="preserve"> </w:t>
      </w:r>
      <w:r>
        <w:rPr>
          <w:lang w:val="es-CO"/>
        </w:rPr>
        <w:t xml:space="preserve">Auto del 23 de febrero de 2015. </w:t>
      </w:r>
      <w:proofErr w:type="spellStart"/>
      <w:r w:rsidR="008B1C09">
        <w:rPr>
          <w:lang w:val="es-CO"/>
        </w:rPr>
        <w:t>Fl</w:t>
      </w:r>
      <w:proofErr w:type="spellEnd"/>
      <w:r w:rsidR="008B1C09">
        <w:rPr>
          <w:lang w:val="es-CO"/>
        </w:rPr>
        <w:t>. 3 c, 1</w:t>
      </w:r>
    </w:p>
  </w:footnote>
  <w:footnote w:id="3">
    <w:p w:rsidR="00F1504F" w:rsidRDefault="00F1504F" w:rsidP="00F1504F">
      <w:pPr>
        <w:pStyle w:val="Textonotapie"/>
        <w:rPr>
          <w:rFonts w:ascii="Baskerville Old Face" w:hAnsi="Baskerville Old Face"/>
          <w:sz w:val="18"/>
          <w:szCs w:val="18"/>
          <w:lang w:val="es-CO"/>
        </w:rPr>
      </w:pPr>
      <w:r>
        <w:rPr>
          <w:rStyle w:val="Refdenotaalpie"/>
          <w:rFonts w:ascii="Baskerville Old Face" w:hAnsi="Baskerville Old Face"/>
          <w:sz w:val="18"/>
          <w:szCs w:val="18"/>
        </w:rPr>
        <w:footnoteRef/>
      </w:r>
      <w:r>
        <w:rPr>
          <w:rFonts w:ascii="Baskerville Old Face" w:hAnsi="Baskerville Old Face"/>
          <w:sz w:val="18"/>
          <w:szCs w:val="18"/>
        </w:rPr>
        <w:t xml:space="preserve"> </w:t>
      </w:r>
      <w:r>
        <w:rPr>
          <w:rFonts w:ascii="Baskerville Old Face" w:hAnsi="Baskerville Old Face"/>
          <w:sz w:val="18"/>
          <w:szCs w:val="18"/>
          <w:lang w:val="es-CO"/>
        </w:rPr>
        <w:t>Consejo de Estado, Sección Tercera. Providencia del 5 de febrero de 2004.  CP Ricardo Hoyos Duque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4F"/>
    <w:rsid w:val="00022A22"/>
    <w:rsid w:val="001E6583"/>
    <w:rsid w:val="002573B2"/>
    <w:rsid w:val="002A6D97"/>
    <w:rsid w:val="002B22C9"/>
    <w:rsid w:val="00352C6A"/>
    <w:rsid w:val="00357CB8"/>
    <w:rsid w:val="005013D5"/>
    <w:rsid w:val="005F6553"/>
    <w:rsid w:val="0066581C"/>
    <w:rsid w:val="006F513B"/>
    <w:rsid w:val="00792334"/>
    <w:rsid w:val="00874F17"/>
    <w:rsid w:val="008B1C09"/>
    <w:rsid w:val="00907F2B"/>
    <w:rsid w:val="0091430D"/>
    <w:rsid w:val="009858B0"/>
    <w:rsid w:val="00A93346"/>
    <w:rsid w:val="00BA55CC"/>
    <w:rsid w:val="00BF2B16"/>
    <w:rsid w:val="00CB17FB"/>
    <w:rsid w:val="00D029B5"/>
    <w:rsid w:val="00DF4305"/>
    <w:rsid w:val="00E540C3"/>
    <w:rsid w:val="00F1504F"/>
    <w:rsid w:val="00F47A48"/>
    <w:rsid w:val="00FA4A47"/>
    <w:rsid w:val="00FB5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197B-ABD5-467E-B912-A2EBA64E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504F"/>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F1504F"/>
    <w:rPr>
      <w:rFonts w:ascii="Calibri" w:eastAsia="Calibri" w:hAnsi="Calibri" w:cs="Times New Roman"/>
      <w:sz w:val="20"/>
      <w:szCs w:val="20"/>
      <w:lang w:val="es-ES"/>
    </w:rPr>
  </w:style>
  <w:style w:type="character" w:styleId="Refdenotaalpie">
    <w:name w:val="footnote reference"/>
    <w:aliases w:val="Ref. de nota al pie 2,Texto de nota al pie,Texto de nota al pi,Ref. de nota al pie1,Fago Fußnotenzeichen,Appel note de bas de page,referencia nota al pie,Footnotes refss,Footnote number,BVI fnr,4_G,16 Point,Superscript 6 Point,FC"/>
    <w:uiPriority w:val="99"/>
    <w:semiHidden/>
    <w:unhideWhenUsed/>
    <w:rsid w:val="00F1504F"/>
    <w:rPr>
      <w:vertAlign w:val="superscript"/>
    </w:rPr>
  </w:style>
  <w:style w:type="character" w:customStyle="1" w:styleId="apple-converted-space">
    <w:name w:val="apple-converted-space"/>
    <w:rsid w:val="00F1504F"/>
  </w:style>
  <w:style w:type="paragraph" w:styleId="Textodeglobo">
    <w:name w:val="Balloon Text"/>
    <w:basedOn w:val="Normal"/>
    <w:link w:val="TextodegloboCar"/>
    <w:uiPriority w:val="99"/>
    <w:semiHidden/>
    <w:unhideWhenUsed/>
    <w:rsid w:val="00A933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346"/>
    <w:rPr>
      <w:rFonts w:ascii="Segoe UI" w:hAnsi="Segoe UI" w:cs="Segoe UI"/>
      <w:sz w:val="18"/>
      <w:szCs w:val="18"/>
    </w:rPr>
  </w:style>
  <w:style w:type="character" w:customStyle="1" w:styleId="SinespaciadoCar">
    <w:name w:val="Sin espaciado Car"/>
    <w:link w:val="Sinespaciado"/>
    <w:uiPriority w:val="1"/>
    <w:locked/>
    <w:rsid w:val="009858B0"/>
    <w:rPr>
      <w:rFonts w:ascii="Calibri" w:hAnsi="Calibri"/>
    </w:rPr>
  </w:style>
  <w:style w:type="paragraph" w:styleId="Sinespaciado">
    <w:name w:val="No Spacing"/>
    <w:link w:val="SinespaciadoCar"/>
    <w:uiPriority w:val="1"/>
    <w:qFormat/>
    <w:rsid w:val="009858B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993A-626D-44D0-9457-2C515964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1195</Words>
  <Characters>6575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 Tercero Civil E</dc:creator>
  <cp:keywords/>
  <dc:description/>
  <cp:lastModifiedBy>Henry Lora Rodriguez</cp:lastModifiedBy>
  <cp:revision>6</cp:revision>
  <cp:lastPrinted>2016-10-04T13:58:00Z</cp:lastPrinted>
  <dcterms:created xsi:type="dcterms:W3CDTF">2016-10-04T13:45:00Z</dcterms:created>
  <dcterms:modified xsi:type="dcterms:W3CDTF">2017-02-01T20:01:00Z</dcterms:modified>
</cp:coreProperties>
</file>