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17" w:rsidRPr="00760671" w:rsidRDefault="00217817" w:rsidP="00217817">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217817" w:rsidRDefault="00217817" w:rsidP="00217817">
      <w:pPr>
        <w:pStyle w:val="Sinespaciado"/>
        <w:rPr>
          <w:sz w:val="18"/>
          <w:szCs w:val="18"/>
        </w:rPr>
      </w:pPr>
    </w:p>
    <w:p w:rsidR="005B66F6" w:rsidRPr="005B66F6" w:rsidRDefault="005B66F6" w:rsidP="005B66F6">
      <w:pPr>
        <w:jc w:val="both"/>
        <w:rPr>
          <w:rFonts w:asciiTheme="minorHAnsi" w:hAnsiTheme="minorHAnsi"/>
          <w:sz w:val="18"/>
          <w:szCs w:val="18"/>
        </w:rPr>
      </w:pPr>
      <w:bookmarkStart w:id="0" w:name="_GoBack"/>
      <w:bookmarkEnd w:id="0"/>
      <w:r w:rsidRPr="005B66F6">
        <w:rPr>
          <w:rFonts w:asciiTheme="minorHAnsi" w:hAnsiTheme="minorHAnsi"/>
          <w:sz w:val="18"/>
          <w:szCs w:val="18"/>
        </w:rPr>
        <w:t>Providencia:</w:t>
      </w:r>
      <w:r w:rsidRPr="005B66F6">
        <w:rPr>
          <w:rFonts w:asciiTheme="minorHAnsi" w:hAnsiTheme="minorHAnsi"/>
          <w:sz w:val="18"/>
          <w:szCs w:val="18"/>
        </w:rPr>
        <w:tab/>
      </w:r>
      <w:r w:rsidRPr="005B66F6">
        <w:rPr>
          <w:rFonts w:asciiTheme="minorHAnsi" w:hAnsiTheme="minorHAnsi"/>
          <w:sz w:val="18"/>
          <w:szCs w:val="18"/>
        </w:rPr>
        <w:tab/>
      </w:r>
      <w:r w:rsidRPr="005B66F6">
        <w:rPr>
          <w:rFonts w:asciiTheme="minorHAnsi" w:hAnsiTheme="minorHAnsi"/>
          <w:sz w:val="18"/>
          <w:szCs w:val="18"/>
        </w:rPr>
        <w:tab/>
        <w:t>SENTENCIA DE TUTELA – 1ª Instancia - 25 de octubre de 2016</w:t>
      </w:r>
    </w:p>
    <w:p w:rsidR="005B66F6" w:rsidRPr="005B66F6" w:rsidRDefault="005B66F6" w:rsidP="005B66F6">
      <w:pPr>
        <w:jc w:val="both"/>
        <w:rPr>
          <w:rFonts w:asciiTheme="minorHAnsi" w:hAnsiTheme="minorHAnsi"/>
          <w:sz w:val="18"/>
          <w:szCs w:val="18"/>
        </w:rPr>
      </w:pPr>
      <w:r w:rsidRPr="005B66F6">
        <w:rPr>
          <w:rFonts w:asciiTheme="minorHAnsi" w:hAnsiTheme="minorHAnsi"/>
          <w:sz w:val="18"/>
          <w:szCs w:val="18"/>
        </w:rPr>
        <w:t>Radicación Nro. :</w:t>
      </w:r>
      <w:r w:rsidRPr="005B66F6">
        <w:rPr>
          <w:rFonts w:asciiTheme="minorHAnsi" w:hAnsiTheme="minorHAnsi"/>
          <w:sz w:val="18"/>
          <w:szCs w:val="18"/>
        </w:rPr>
        <w:tab/>
      </w:r>
      <w:r w:rsidRPr="005B66F6">
        <w:rPr>
          <w:rFonts w:asciiTheme="minorHAnsi" w:hAnsiTheme="minorHAnsi"/>
          <w:sz w:val="18"/>
          <w:szCs w:val="18"/>
        </w:rPr>
        <w:tab/>
      </w:r>
      <w:r w:rsidRPr="005B66F6">
        <w:rPr>
          <w:rFonts w:asciiTheme="minorHAnsi" w:hAnsiTheme="minorHAnsi"/>
          <w:sz w:val="18"/>
          <w:szCs w:val="18"/>
        </w:rPr>
        <w:tab/>
        <w:t>66001-22-13-000-2016-00939-00</w:t>
      </w:r>
    </w:p>
    <w:p w:rsidR="005B66F6" w:rsidRPr="005B66F6" w:rsidRDefault="005B66F6" w:rsidP="005B66F6">
      <w:pPr>
        <w:jc w:val="both"/>
        <w:rPr>
          <w:rFonts w:asciiTheme="minorHAnsi" w:hAnsiTheme="minorHAnsi"/>
          <w:sz w:val="18"/>
          <w:szCs w:val="18"/>
        </w:rPr>
      </w:pPr>
      <w:r w:rsidRPr="005B66F6">
        <w:rPr>
          <w:rFonts w:asciiTheme="minorHAnsi" w:hAnsiTheme="minorHAnsi"/>
          <w:sz w:val="18"/>
          <w:szCs w:val="18"/>
        </w:rPr>
        <w:t>Accionante:</w:t>
      </w:r>
      <w:r w:rsidRPr="005B66F6">
        <w:rPr>
          <w:rFonts w:asciiTheme="minorHAnsi" w:hAnsiTheme="minorHAnsi"/>
          <w:sz w:val="18"/>
          <w:szCs w:val="18"/>
        </w:rPr>
        <w:tab/>
      </w:r>
      <w:r w:rsidRPr="005B66F6">
        <w:rPr>
          <w:rFonts w:asciiTheme="minorHAnsi" w:hAnsiTheme="minorHAnsi"/>
          <w:sz w:val="18"/>
          <w:szCs w:val="18"/>
        </w:rPr>
        <w:tab/>
      </w:r>
      <w:r w:rsidRPr="005B66F6">
        <w:rPr>
          <w:rFonts w:asciiTheme="minorHAnsi" w:hAnsiTheme="minorHAnsi"/>
          <w:sz w:val="18"/>
          <w:szCs w:val="18"/>
        </w:rPr>
        <w:tab/>
      </w:r>
      <w:proofErr w:type="spellStart"/>
      <w:r w:rsidRPr="005B66F6">
        <w:rPr>
          <w:rFonts w:asciiTheme="minorHAnsi" w:hAnsiTheme="minorHAnsi"/>
          <w:sz w:val="18"/>
          <w:szCs w:val="18"/>
        </w:rPr>
        <w:t>Uner</w:t>
      </w:r>
      <w:proofErr w:type="spellEnd"/>
      <w:r w:rsidRPr="005B66F6">
        <w:rPr>
          <w:rFonts w:asciiTheme="minorHAnsi" w:hAnsiTheme="minorHAnsi"/>
          <w:sz w:val="18"/>
          <w:szCs w:val="18"/>
        </w:rPr>
        <w:t xml:space="preserve"> Augusto Becerra Largo</w:t>
      </w:r>
    </w:p>
    <w:p w:rsidR="005B66F6" w:rsidRPr="005B66F6" w:rsidRDefault="005B66F6" w:rsidP="005B66F6">
      <w:pPr>
        <w:jc w:val="both"/>
        <w:rPr>
          <w:rFonts w:asciiTheme="minorHAnsi" w:hAnsiTheme="minorHAnsi"/>
          <w:sz w:val="18"/>
          <w:szCs w:val="18"/>
        </w:rPr>
      </w:pPr>
      <w:r w:rsidRPr="005B66F6">
        <w:rPr>
          <w:rFonts w:asciiTheme="minorHAnsi" w:hAnsiTheme="minorHAnsi"/>
          <w:sz w:val="18"/>
          <w:szCs w:val="18"/>
        </w:rPr>
        <w:t>Accionados:</w:t>
      </w:r>
      <w:r w:rsidRPr="005B66F6">
        <w:rPr>
          <w:rFonts w:asciiTheme="minorHAnsi" w:hAnsiTheme="minorHAnsi"/>
          <w:sz w:val="18"/>
          <w:szCs w:val="18"/>
        </w:rPr>
        <w:tab/>
      </w:r>
      <w:r w:rsidRPr="005B66F6">
        <w:rPr>
          <w:rFonts w:asciiTheme="minorHAnsi" w:hAnsiTheme="minorHAnsi"/>
          <w:sz w:val="18"/>
          <w:szCs w:val="18"/>
        </w:rPr>
        <w:tab/>
      </w:r>
      <w:r w:rsidRPr="005B66F6">
        <w:rPr>
          <w:rFonts w:asciiTheme="minorHAnsi" w:hAnsiTheme="minorHAnsi"/>
          <w:sz w:val="18"/>
          <w:szCs w:val="18"/>
        </w:rPr>
        <w:tab/>
        <w:t>Juzgado Civil del Circuito de Santa Rosa de Cabal, a la que fueron vinculados el agente del Ministerio Público, la  Defensoría del Pueblo Regional Risaralda y el Juzgado Tercero Administrativo local.</w:t>
      </w:r>
    </w:p>
    <w:p w:rsidR="005B66F6" w:rsidRPr="005B66F6" w:rsidRDefault="005B66F6" w:rsidP="005B66F6">
      <w:pPr>
        <w:jc w:val="both"/>
        <w:rPr>
          <w:rFonts w:asciiTheme="minorHAnsi" w:hAnsiTheme="minorHAnsi"/>
          <w:sz w:val="18"/>
          <w:szCs w:val="18"/>
        </w:rPr>
      </w:pPr>
      <w:r w:rsidRPr="005B66F6">
        <w:rPr>
          <w:rFonts w:asciiTheme="minorHAnsi" w:hAnsiTheme="minorHAnsi"/>
          <w:sz w:val="18"/>
          <w:szCs w:val="18"/>
        </w:rPr>
        <w:t>Proceso:</w:t>
      </w:r>
      <w:r w:rsidRPr="005B66F6">
        <w:rPr>
          <w:rFonts w:asciiTheme="minorHAnsi" w:hAnsiTheme="minorHAnsi"/>
          <w:sz w:val="18"/>
          <w:szCs w:val="18"/>
        </w:rPr>
        <w:tab/>
      </w:r>
      <w:r w:rsidRPr="005B66F6">
        <w:rPr>
          <w:rFonts w:asciiTheme="minorHAnsi" w:hAnsiTheme="minorHAnsi"/>
          <w:sz w:val="18"/>
          <w:szCs w:val="18"/>
        </w:rPr>
        <w:tab/>
      </w:r>
      <w:r w:rsidRPr="005B66F6">
        <w:rPr>
          <w:rFonts w:asciiTheme="minorHAnsi" w:hAnsiTheme="minorHAnsi"/>
          <w:sz w:val="18"/>
          <w:szCs w:val="18"/>
        </w:rPr>
        <w:tab/>
      </w:r>
      <w:r w:rsidRPr="005B66F6">
        <w:rPr>
          <w:rFonts w:asciiTheme="minorHAnsi" w:hAnsiTheme="minorHAnsi"/>
          <w:sz w:val="18"/>
          <w:szCs w:val="18"/>
        </w:rPr>
        <w:tab/>
        <w:t xml:space="preserve">Acción de Tutela </w:t>
      </w:r>
    </w:p>
    <w:p w:rsidR="005B66F6" w:rsidRPr="005B66F6" w:rsidRDefault="005B66F6" w:rsidP="005B66F6">
      <w:pPr>
        <w:jc w:val="both"/>
        <w:rPr>
          <w:rFonts w:asciiTheme="minorHAnsi" w:hAnsiTheme="minorHAnsi"/>
          <w:sz w:val="18"/>
          <w:szCs w:val="18"/>
        </w:rPr>
      </w:pPr>
      <w:r w:rsidRPr="005B66F6">
        <w:rPr>
          <w:rFonts w:asciiTheme="minorHAnsi" w:hAnsiTheme="minorHAnsi"/>
          <w:sz w:val="18"/>
          <w:szCs w:val="18"/>
        </w:rPr>
        <w:t>Magistrado Ponente:</w:t>
      </w:r>
      <w:r w:rsidRPr="005B66F6">
        <w:rPr>
          <w:rFonts w:asciiTheme="minorHAnsi" w:hAnsiTheme="minorHAnsi"/>
          <w:sz w:val="18"/>
          <w:szCs w:val="18"/>
        </w:rPr>
        <w:tab/>
      </w:r>
      <w:r w:rsidRPr="005B66F6">
        <w:rPr>
          <w:rFonts w:asciiTheme="minorHAnsi" w:hAnsiTheme="minorHAnsi"/>
          <w:sz w:val="18"/>
          <w:szCs w:val="18"/>
        </w:rPr>
        <w:tab/>
        <w:t>JAIME ALBERTO SARAZA NARANJO</w:t>
      </w:r>
    </w:p>
    <w:p w:rsidR="005B66F6" w:rsidRPr="00672DA8" w:rsidRDefault="005B66F6" w:rsidP="005B66F6">
      <w:pPr>
        <w:jc w:val="both"/>
        <w:rPr>
          <w:rFonts w:asciiTheme="minorHAnsi" w:hAnsiTheme="minorHAnsi"/>
          <w:sz w:val="18"/>
          <w:szCs w:val="18"/>
        </w:rPr>
      </w:pPr>
    </w:p>
    <w:p w:rsidR="00BD4F7A" w:rsidRPr="00CE4FE9" w:rsidRDefault="005B66F6" w:rsidP="00BD4F7A">
      <w:pPr>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 xml:space="preserve">TUTELA CONTRA PROVIDENCIA JUDICIAL </w:t>
      </w:r>
      <w:r w:rsidR="00BD4F7A">
        <w:rPr>
          <w:rFonts w:asciiTheme="minorHAnsi" w:hAnsiTheme="minorHAnsi"/>
          <w:b/>
          <w:sz w:val="18"/>
          <w:szCs w:val="18"/>
        </w:rPr>
        <w:t xml:space="preserve">EN ACCIÓN POPULAR </w:t>
      </w:r>
      <w:r>
        <w:rPr>
          <w:rFonts w:asciiTheme="minorHAnsi" w:hAnsiTheme="minorHAnsi"/>
          <w:b/>
          <w:sz w:val="18"/>
          <w:szCs w:val="18"/>
        </w:rPr>
        <w:t xml:space="preserve">/ </w:t>
      </w:r>
      <w:r w:rsidR="00BD4F7A">
        <w:rPr>
          <w:rFonts w:asciiTheme="minorHAnsi" w:hAnsiTheme="minorHAnsi"/>
          <w:b/>
          <w:sz w:val="18"/>
          <w:szCs w:val="18"/>
        </w:rPr>
        <w:t xml:space="preserve">REGLA DE INMEDIATEZ / </w:t>
      </w:r>
      <w:r>
        <w:rPr>
          <w:rFonts w:asciiTheme="minorHAnsi" w:hAnsiTheme="minorHAnsi"/>
          <w:b/>
          <w:sz w:val="18"/>
          <w:szCs w:val="18"/>
        </w:rPr>
        <w:t xml:space="preserve">SUBSIDIARIEDAD / </w:t>
      </w:r>
      <w:r w:rsidR="00BD4F7A">
        <w:rPr>
          <w:rFonts w:asciiTheme="minorHAnsi" w:hAnsiTheme="minorHAnsi"/>
          <w:b/>
          <w:sz w:val="18"/>
          <w:szCs w:val="18"/>
        </w:rPr>
        <w:t>PREMATURA</w:t>
      </w:r>
      <w:r>
        <w:rPr>
          <w:rFonts w:asciiTheme="minorHAnsi" w:hAnsiTheme="minorHAnsi"/>
          <w:b/>
          <w:sz w:val="18"/>
          <w:szCs w:val="18"/>
        </w:rPr>
        <w:t xml:space="preserve"> / IMPROCEDENTE / </w:t>
      </w:r>
      <w:r w:rsidR="00BD4F7A" w:rsidRPr="00CE4FE9">
        <w:rPr>
          <w:rFonts w:asciiTheme="minorHAnsi" w:hAnsiTheme="minorHAnsi"/>
          <w:sz w:val="18"/>
          <w:szCs w:val="18"/>
        </w:rPr>
        <w:t xml:space="preserve">“Por una parte, si el auto que rechazó la demanda y ordenó su remisión a otra ciudad, gestión materializada a partir del auto que se abstuvo de reponer tal resolución, data del mes de diciembre del año 2015, es claro que se rompe la regla de la inmediatez, propia de esta clase de actuaciones, pues entre esa fecha y la de promoción del amparo (octubre de 2016), transcurrieron más de seis meses, que es el tiempo que se estima razonable para procurar por esta vía el quiebre de una decisión judicial, sin que se exprese o pruebe razón alguna que hubiera impedido hacerlo antes. </w:t>
      </w:r>
    </w:p>
    <w:p w:rsidR="00BD4F7A" w:rsidRPr="00CE4FE9" w:rsidRDefault="00BD4F7A" w:rsidP="00BD4F7A">
      <w:pPr>
        <w:jc w:val="both"/>
        <w:rPr>
          <w:rFonts w:asciiTheme="minorHAnsi" w:hAnsiTheme="minorHAnsi"/>
          <w:sz w:val="18"/>
          <w:szCs w:val="18"/>
        </w:rPr>
      </w:pPr>
    </w:p>
    <w:p w:rsidR="00BD4F7A" w:rsidRPr="00CE4FE9" w:rsidRDefault="00BD4F7A" w:rsidP="00BD4F7A">
      <w:pPr>
        <w:jc w:val="both"/>
        <w:rPr>
          <w:rFonts w:asciiTheme="minorHAnsi" w:hAnsiTheme="minorHAnsi"/>
          <w:sz w:val="18"/>
          <w:szCs w:val="18"/>
        </w:rPr>
      </w:pPr>
      <w:r w:rsidRPr="00CE4FE9">
        <w:rPr>
          <w:rFonts w:asciiTheme="minorHAnsi" w:hAnsiTheme="minorHAnsi"/>
          <w:sz w:val="18"/>
          <w:szCs w:val="18"/>
        </w:rPr>
        <w:t>Y aun si se diera por superado este escollo, se tiene que si el Juzgado al que le hubiere sido asignada o se le asigne la respectiva acción popular -lo que no fue posible concretar en este trámite, según la constancia que antecede-, situación que de la que debe estar atento el interesado, si es que no hubiera tomado ninguna determinación, estaría por definirse lo relativo a la competencia, porque es sabido que al recibir el expediente respectivo, tendría la opción de asumir la misma o, en caso contrario, generar el conflicto correspondiente. Y si ya se hubiera asumido, al actor le quedaba expedito el camino para refutar tal determinación. Si ello es así, en el primer caso quedaría al descubierto lo prematuro del presente trámite, pues en el camino habría unas alternativas para el accionante de recurrir la providencia que eventualmente se dicte, lo que indica que se incumple el requisito de la subsidiariedad, ya que existiría otro remedio de defensa judicial por agotar. Y en el segundo igual, pues, no hay evidencia alguna sobre la gestión que se hubiese efectuado dentro de la concerniente demanda, si es que no se ha renegado de la competencia.”</w:t>
      </w:r>
    </w:p>
    <w:p w:rsidR="00BD4F7A" w:rsidRPr="00CE4FE9" w:rsidRDefault="00BD4F7A" w:rsidP="00BD4F7A">
      <w:pPr>
        <w:jc w:val="both"/>
        <w:rPr>
          <w:rFonts w:asciiTheme="minorHAnsi" w:hAnsiTheme="minorHAnsi"/>
          <w:sz w:val="18"/>
          <w:szCs w:val="18"/>
        </w:rPr>
      </w:pPr>
    </w:p>
    <w:p w:rsidR="00BD4F7A" w:rsidRPr="00CE4FE9" w:rsidRDefault="00BD4F7A" w:rsidP="00BD4F7A">
      <w:pPr>
        <w:jc w:val="both"/>
        <w:rPr>
          <w:rFonts w:asciiTheme="minorHAnsi" w:hAnsiTheme="minorHAnsi"/>
          <w:sz w:val="18"/>
          <w:szCs w:val="18"/>
        </w:rPr>
      </w:pPr>
      <w:r w:rsidRPr="00B120CF">
        <w:rPr>
          <w:rFonts w:asciiTheme="minorHAnsi" w:hAnsiTheme="minorHAnsi"/>
          <w:b/>
          <w:sz w:val="18"/>
          <w:szCs w:val="18"/>
        </w:rPr>
        <w:t>Citación jurisprudencial:</w:t>
      </w:r>
      <w:r w:rsidRPr="00CE4FE9">
        <w:rPr>
          <w:rFonts w:asciiTheme="minorHAnsi" w:hAnsiTheme="minorHAnsi"/>
          <w:sz w:val="18"/>
          <w:szCs w:val="18"/>
        </w:rPr>
        <w:t xml:space="preserve"> Sentencia T-022 de 2016 que alude a la C-590 de 2005. / Sentencia C-543-92. / </w:t>
      </w:r>
    </w:p>
    <w:p w:rsidR="005B66F6" w:rsidRPr="00756536" w:rsidRDefault="005B66F6" w:rsidP="005B66F6">
      <w:pPr>
        <w:pStyle w:val="Sinespaciado"/>
        <w:jc w:val="both"/>
        <w:rPr>
          <w:rFonts w:asciiTheme="minorHAnsi" w:hAnsiTheme="minorHAnsi"/>
          <w:sz w:val="18"/>
          <w:szCs w:val="18"/>
        </w:rPr>
      </w:pPr>
    </w:p>
    <w:p w:rsidR="005B66F6" w:rsidRDefault="005B66F6" w:rsidP="005B66F6">
      <w:pPr>
        <w:pStyle w:val="Sinespaciado"/>
        <w:jc w:val="both"/>
        <w:rPr>
          <w:rFonts w:asciiTheme="minorHAnsi" w:hAnsiTheme="minorHAnsi"/>
          <w:b/>
          <w:sz w:val="18"/>
          <w:szCs w:val="18"/>
        </w:rPr>
      </w:pPr>
    </w:p>
    <w:p w:rsidR="005B66F6" w:rsidRPr="00EE1089" w:rsidRDefault="005B66F6" w:rsidP="005B66F6">
      <w:pPr>
        <w:jc w:val="center"/>
        <w:rPr>
          <w:rFonts w:asciiTheme="minorHAnsi" w:hAnsiTheme="minorHAnsi"/>
          <w:sz w:val="18"/>
          <w:szCs w:val="18"/>
        </w:rPr>
      </w:pPr>
      <w:r w:rsidRPr="00EE1089">
        <w:rPr>
          <w:rFonts w:asciiTheme="minorHAnsi" w:hAnsiTheme="minorHAnsi"/>
          <w:sz w:val="18"/>
          <w:szCs w:val="18"/>
        </w:rPr>
        <w:t>------------------------------------------------------------------------------------------------------</w:t>
      </w:r>
    </w:p>
    <w:p w:rsidR="005B66F6" w:rsidRDefault="005B66F6" w:rsidP="005B66F6">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5B66F6" w:rsidRDefault="005B66F6" w:rsidP="006535A2">
      <w:pPr>
        <w:spacing w:line="312"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6535A2" w:rsidRPr="006535A2" w:rsidRDefault="006535A2" w:rsidP="006535A2">
      <w:pPr>
        <w:spacing w:line="312"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6535A2">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6535A2" w:rsidRPr="006535A2" w:rsidRDefault="006535A2" w:rsidP="006535A2">
      <w:pPr>
        <w:spacing w:line="312"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6535A2">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6535A2" w:rsidRPr="005C697E" w:rsidRDefault="006535A2" w:rsidP="006535A2">
      <w:pPr>
        <w:spacing w:line="312" w:lineRule="auto"/>
        <w:ind w:firstLine="2835"/>
        <w:jc w:val="both"/>
        <w:rPr>
          <w:rFonts w:ascii="Gadugi" w:hAnsi="Gadugi"/>
          <w:sz w:val="24"/>
          <w:szCs w:val="24"/>
        </w:rPr>
      </w:pPr>
    </w:p>
    <w:p w:rsidR="006535A2" w:rsidRPr="005C697E" w:rsidRDefault="006535A2" w:rsidP="006535A2">
      <w:pPr>
        <w:spacing w:line="312" w:lineRule="auto"/>
        <w:ind w:firstLine="2835"/>
        <w:jc w:val="both"/>
        <w:rPr>
          <w:rFonts w:ascii="Gadugi" w:hAnsi="Gadugi"/>
          <w:sz w:val="24"/>
          <w:szCs w:val="24"/>
          <w:lang w:val="es-CO"/>
        </w:rPr>
      </w:pPr>
    </w:p>
    <w:p w:rsidR="006535A2" w:rsidRPr="005C697E" w:rsidRDefault="006535A2" w:rsidP="006535A2">
      <w:pPr>
        <w:spacing w:line="312" w:lineRule="auto"/>
        <w:ind w:firstLine="2835"/>
        <w:jc w:val="both"/>
        <w:rPr>
          <w:rFonts w:ascii="Gadugi" w:hAnsi="Gadugi"/>
          <w:sz w:val="24"/>
          <w:szCs w:val="24"/>
        </w:rPr>
      </w:pPr>
      <w:r w:rsidRPr="005C697E">
        <w:rPr>
          <w:rFonts w:ascii="Gadugi" w:hAnsi="Gadugi"/>
          <w:sz w:val="24"/>
          <w:szCs w:val="24"/>
        </w:rPr>
        <w:t>Magistrado: Jaime Alberto Saraza Naranjo</w:t>
      </w:r>
    </w:p>
    <w:p w:rsidR="006535A2" w:rsidRPr="00AB7569" w:rsidRDefault="006535A2" w:rsidP="006535A2">
      <w:pPr>
        <w:spacing w:line="312" w:lineRule="auto"/>
        <w:ind w:firstLine="2835"/>
        <w:jc w:val="both"/>
        <w:rPr>
          <w:rFonts w:ascii="Gadugi" w:hAnsi="Gadugi"/>
          <w:sz w:val="24"/>
          <w:szCs w:val="24"/>
          <w:lang w:val="es-419"/>
        </w:rPr>
      </w:pPr>
      <w:r w:rsidRPr="005C697E">
        <w:rPr>
          <w:rFonts w:ascii="Gadugi" w:hAnsi="Gadugi"/>
          <w:sz w:val="24"/>
          <w:szCs w:val="24"/>
        </w:rPr>
        <w:t xml:space="preserve">Pereira, </w:t>
      </w:r>
      <w:r>
        <w:rPr>
          <w:rFonts w:ascii="Gadugi" w:hAnsi="Gadugi"/>
          <w:sz w:val="24"/>
          <w:szCs w:val="24"/>
          <w:lang w:val="es-419"/>
        </w:rPr>
        <w:t>octubre veinticinco de dos mil dieciséis</w:t>
      </w:r>
    </w:p>
    <w:p w:rsidR="006535A2" w:rsidRPr="005C697E" w:rsidRDefault="006535A2" w:rsidP="006535A2">
      <w:pPr>
        <w:spacing w:line="312" w:lineRule="auto"/>
        <w:ind w:firstLine="2835"/>
        <w:jc w:val="both"/>
        <w:rPr>
          <w:rFonts w:ascii="Gadugi" w:hAnsi="Gadugi"/>
          <w:sz w:val="24"/>
          <w:szCs w:val="24"/>
        </w:rPr>
      </w:pPr>
      <w:r w:rsidRPr="005C697E">
        <w:rPr>
          <w:rFonts w:ascii="Gadugi" w:hAnsi="Gadugi"/>
          <w:sz w:val="24"/>
          <w:szCs w:val="24"/>
        </w:rPr>
        <w:t>Expedientes: 66001-</w:t>
      </w:r>
      <w:r w:rsidRPr="005C697E">
        <w:rPr>
          <w:rFonts w:ascii="Gadugi" w:hAnsi="Gadugi"/>
          <w:sz w:val="24"/>
          <w:szCs w:val="24"/>
          <w:lang w:val="es-419"/>
        </w:rPr>
        <w:t>22</w:t>
      </w:r>
      <w:r w:rsidRPr="005C697E">
        <w:rPr>
          <w:rFonts w:ascii="Gadugi" w:hAnsi="Gadugi"/>
          <w:sz w:val="24"/>
          <w:szCs w:val="24"/>
        </w:rPr>
        <w:t>-</w:t>
      </w:r>
      <w:r w:rsidRPr="005C697E">
        <w:rPr>
          <w:rFonts w:ascii="Gadugi" w:hAnsi="Gadugi"/>
          <w:sz w:val="24"/>
          <w:szCs w:val="24"/>
          <w:lang w:val="es-419"/>
        </w:rPr>
        <w:t>13</w:t>
      </w:r>
      <w:r w:rsidRPr="005C697E">
        <w:rPr>
          <w:rFonts w:ascii="Gadugi" w:hAnsi="Gadugi"/>
          <w:sz w:val="24"/>
          <w:szCs w:val="24"/>
        </w:rPr>
        <w:t>-00</w:t>
      </w:r>
      <w:r w:rsidRPr="005C697E">
        <w:rPr>
          <w:rFonts w:ascii="Gadugi" w:hAnsi="Gadugi"/>
          <w:sz w:val="24"/>
          <w:szCs w:val="24"/>
          <w:lang w:val="es-419"/>
        </w:rPr>
        <w:t>0</w:t>
      </w:r>
      <w:r w:rsidRPr="005C697E">
        <w:rPr>
          <w:rFonts w:ascii="Gadugi" w:hAnsi="Gadugi"/>
          <w:sz w:val="24"/>
          <w:szCs w:val="24"/>
        </w:rPr>
        <w:t>-201</w:t>
      </w:r>
      <w:r w:rsidRPr="005C697E">
        <w:rPr>
          <w:rFonts w:ascii="Gadugi" w:hAnsi="Gadugi"/>
          <w:sz w:val="24"/>
          <w:szCs w:val="24"/>
          <w:lang w:val="es-419"/>
        </w:rPr>
        <w:t>6</w:t>
      </w:r>
      <w:r w:rsidRPr="005C697E">
        <w:rPr>
          <w:rFonts w:ascii="Gadugi" w:hAnsi="Gadugi"/>
          <w:sz w:val="24"/>
          <w:szCs w:val="24"/>
        </w:rPr>
        <w:t>-00</w:t>
      </w:r>
      <w:r>
        <w:rPr>
          <w:rFonts w:ascii="Gadugi" w:hAnsi="Gadugi"/>
          <w:sz w:val="24"/>
          <w:szCs w:val="24"/>
          <w:lang w:val="es-419"/>
        </w:rPr>
        <w:t>939</w:t>
      </w:r>
      <w:r w:rsidRPr="005C697E">
        <w:rPr>
          <w:rFonts w:ascii="Gadugi" w:hAnsi="Gadugi"/>
          <w:sz w:val="24"/>
          <w:szCs w:val="24"/>
          <w:lang w:val="es-419"/>
        </w:rPr>
        <w:t>-</w:t>
      </w:r>
      <w:r w:rsidRPr="005C697E">
        <w:rPr>
          <w:rFonts w:ascii="Gadugi" w:hAnsi="Gadugi"/>
          <w:sz w:val="24"/>
          <w:szCs w:val="24"/>
        </w:rPr>
        <w:t>00</w:t>
      </w:r>
      <w:r w:rsidRPr="005C697E">
        <w:rPr>
          <w:rFonts w:ascii="Gadugi" w:hAnsi="Gadugi"/>
          <w:sz w:val="24"/>
          <w:szCs w:val="24"/>
        </w:rPr>
        <w:tab/>
      </w:r>
      <w:r w:rsidRPr="005C697E">
        <w:rPr>
          <w:rFonts w:ascii="Gadugi" w:hAnsi="Gadugi"/>
          <w:sz w:val="24"/>
          <w:szCs w:val="24"/>
        </w:rPr>
        <w:tab/>
      </w:r>
    </w:p>
    <w:p w:rsidR="006535A2" w:rsidRPr="00AB7569" w:rsidRDefault="006535A2" w:rsidP="006535A2">
      <w:pPr>
        <w:spacing w:line="312" w:lineRule="auto"/>
        <w:ind w:left="2124" w:firstLine="708"/>
        <w:jc w:val="both"/>
        <w:rPr>
          <w:rFonts w:ascii="Gadugi" w:hAnsi="Gadugi"/>
          <w:sz w:val="24"/>
          <w:szCs w:val="24"/>
          <w:lang w:val="es-419"/>
        </w:rPr>
      </w:pPr>
      <w:r w:rsidRPr="005C697E">
        <w:rPr>
          <w:rFonts w:ascii="Gadugi" w:hAnsi="Gadugi"/>
          <w:sz w:val="24"/>
          <w:szCs w:val="24"/>
        </w:rPr>
        <w:t xml:space="preserve">Acta N° </w:t>
      </w:r>
      <w:r>
        <w:rPr>
          <w:rFonts w:ascii="Gadugi" w:hAnsi="Gadugi"/>
          <w:sz w:val="24"/>
          <w:szCs w:val="24"/>
          <w:lang w:val="es-419"/>
        </w:rPr>
        <w:t>510 de octubre 25 de 2016</w:t>
      </w:r>
    </w:p>
    <w:p w:rsidR="006535A2" w:rsidRPr="005C697E" w:rsidRDefault="006535A2" w:rsidP="006535A2">
      <w:pPr>
        <w:spacing w:line="312" w:lineRule="auto"/>
        <w:ind w:left="2124" w:firstLine="708"/>
        <w:jc w:val="both"/>
        <w:rPr>
          <w:rFonts w:ascii="Gadugi" w:hAnsi="Gadugi"/>
          <w:sz w:val="24"/>
          <w:szCs w:val="24"/>
        </w:rPr>
      </w:pPr>
    </w:p>
    <w:p w:rsidR="006535A2" w:rsidRPr="005C697E" w:rsidRDefault="006535A2" w:rsidP="006535A2">
      <w:pPr>
        <w:spacing w:line="312" w:lineRule="auto"/>
        <w:ind w:firstLine="2835"/>
        <w:jc w:val="both"/>
        <w:rPr>
          <w:rFonts w:ascii="Gadugi" w:hAnsi="Gadugi"/>
          <w:sz w:val="24"/>
          <w:szCs w:val="24"/>
        </w:rPr>
      </w:pPr>
    </w:p>
    <w:p w:rsidR="006535A2" w:rsidRPr="003350AD" w:rsidRDefault="006535A2" w:rsidP="006535A2">
      <w:pPr>
        <w:spacing w:line="312" w:lineRule="auto"/>
        <w:ind w:firstLine="2835"/>
        <w:jc w:val="both"/>
        <w:rPr>
          <w:rFonts w:ascii="Gadugi" w:hAnsi="Gadugi" w:cs="Century Gothic"/>
          <w:bCs/>
          <w:sz w:val="24"/>
          <w:szCs w:val="24"/>
          <w:lang w:val="es-CO"/>
        </w:rPr>
      </w:pPr>
      <w:r w:rsidRPr="005C697E">
        <w:rPr>
          <w:rFonts w:ascii="Gadugi" w:hAnsi="Gadugi" w:cs="Century Gothic"/>
          <w:sz w:val="24"/>
          <w:szCs w:val="24"/>
        </w:rPr>
        <w:t xml:space="preserve">Decide la Sala </w:t>
      </w:r>
      <w:r>
        <w:rPr>
          <w:rFonts w:ascii="Gadugi" w:hAnsi="Gadugi" w:cs="Century Gothic"/>
          <w:sz w:val="24"/>
          <w:szCs w:val="24"/>
        </w:rPr>
        <w:t xml:space="preserve">la acción de tutela de la referencia, promovida por </w:t>
      </w:r>
      <w:proofErr w:type="spellStart"/>
      <w:r>
        <w:rPr>
          <w:rFonts w:ascii="Gadugi" w:hAnsi="Gadugi" w:cs="Century Gothic"/>
          <w:b/>
          <w:sz w:val="24"/>
          <w:szCs w:val="24"/>
        </w:rPr>
        <w:t>Uner</w:t>
      </w:r>
      <w:proofErr w:type="spellEnd"/>
      <w:r>
        <w:rPr>
          <w:rFonts w:ascii="Gadugi" w:hAnsi="Gadugi" w:cs="Century Gothic"/>
          <w:b/>
          <w:sz w:val="24"/>
          <w:szCs w:val="24"/>
        </w:rPr>
        <w:t xml:space="preserve"> Augusto Becerra Largo</w:t>
      </w:r>
      <w:r w:rsidRPr="005C697E">
        <w:rPr>
          <w:rFonts w:ascii="Gadugi" w:hAnsi="Gadugi" w:cs="Century Gothic"/>
          <w:b/>
          <w:sz w:val="24"/>
          <w:szCs w:val="24"/>
        </w:rPr>
        <w:t xml:space="preserve"> </w:t>
      </w:r>
      <w:r w:rsidRPr="005C697E">
        <w:rPr>
          <w:rFonts w:ascii="Gadugi" w:hAnsi="Gadugi" w:cs="Century Gothic"/>
          <w:bCs/>
          <w:sz w:val="24"/>
          <w:szCs w:val="24"/>
        </w:rPr>
        <w:t>contra</w:t>
      </w:r>
      <w:r w:rsidRPr="005C697E">
        <w:rPr>
          <w:rFonts w:ascii="Gadugi" w:hAnsi="Gadugi" w:cs="Century Gothic"/>
          <w:sz w:val="24"/>
          <w:szCs w:val="24"/>
        </w:rPr>
        <w:t xml:space="preserve"> el </w:t>
      </w:r>
      <w:r w:rsidRPr="005C697E">
        <w:rPr>
          <w:rFonts w:ascii="Gadugi" w:hAnsi="Gadugi" w:cs="Century Gothic"/>
          <w:b/>
          <w:sz w:val="24"/>
          <w:szCs w:val="24"/>
        </w:rPr>
        <w:t xml:space="preserve">Juzgado </w:t>
      </w:r>
      <w:r>
        <w:rPr>
          <w:rFonts w:ascii="Gadugi" w:hAnsi="Gadugi" w:cs="Century Gothic"/>
          <w:b/>
          <w:sz w:val="24"/>
          <w:szCs w:val="24"/>
        </w:rPr>
        <w:t>Civ</w:t>
      </w:r>
      <w:r w:rsidRPr="005C697E">
        <w:rPr>
          <w:rFonts w:ascii="Gadugi" w:hAnsi="Gadugi" w:cs="Century Gothic"/>
          <w:b/>
          <w:sz w:val="24"/>
          <w:szCs w:val="24"/>
        </w:rPr>
        <w:t xml:space="preserve">il del Circuito de </w:t>
      </w:r>
      <w:r>
        <w:rPr>
          <w:rFonts w:ascii="Gadugi" w:hAnsi="Gadugi" w:cs="Century Gothic"/>
          <w:b/>
          <w:sz w:val="24"/>
          <w:szCs w:val="24"/>
        </w:rPr>
        <w:t xml:space="preserve">Santa Rosa de Cabal, </w:t>
      </w:r>
      <w:r w:rsidRPr="005C697E">
        <w:rPr>
          <w:rFonts w:ascii="Gadugi" w:hAnsi="Gadugi" w:cs="Century Gothic"/>
          <w:sz w:val="24"/>
          <w:szCs w:val="24"/>
        </w:rPr>
        <w:t>a la que fueron vinculados el agente</w:t>
      </w:r>
      <w:r w:rsidRPr="005C697E">
        <w:rPr>
          <w:rFonts w:ascii="Gadugi" w:hAnsi="Gadugi" w:cs="Century Gothic"/>
          <w:b/>
          <w:sz w:val="24"/>
          <w:szCs w:val="24"/>
        </w:rPr>
        <w:t xml:space="preserve"> </w:t>
      </w:r>
      <w:r w:rsidRPr="005C697E">
        <w:rPr>
          <w:rFonts w:ascii="Gadugi" w:hAnsi="Gadugi" w:cs="Century Gothic"/>
          <w:sz w:val="24"/>
          <w:szCs w:val="24"/>
        </w:rPr>
        <w:t xml:space="preserve">del </w:t>
      </w:r>
      <w:r w:rsidRPr="005C697E">
        <w:rPr>
          <w:rFonts w:ascii="Gadugi" w:hAnsi="Gadugi" w:cs="Century Gothic"/>
          <w:b/>
          <w:sz w:val="24"/>
          <w:szCs w:val="24"/>
        </w:rPr>
        <w:t xml:space="preserve">Ministerio </w:t>
      </w:r>
      <w:r w:rsidRPr="005C697E">
        <w:rPr>
          <w:rFonts w:ascii="Gadugi" w:hAnsi="Gadugi" w:cs="Century Gothic"/>
          <w:b/>
          <w:sz w:val="24"/>
          <w:szCs w:val="24"/>
        </w:rPr>
        <w:lastRenderedPageBreak/>
        <w:t>Público</w:t>
      </w:r>
      <w:r>
        <w:rPr>
          <w:rFonts w:ascii="Gadugi" w:hAnsi="Gadugi" w:cs="Century Gothic"/>
          <w:b/>
          <w:sz w:val="24"/>
          <w:szCs w:val="24"/>
        </w:rPr>
        <w:t>,</w:t>
      </w:r>
      <w:r w:rsidRPr="005C697E">
        <w:rPr>
          <w:rFonts w:ascii="Gadugi" w:hAnsi="Gadugi" w:cs="Century Gothic"/>
          <w:sz w:val="24"/>
          <w:szCs w:val="24"/>
        </w:rPr>
        <w:t xml:space="preserve"> la </w:t>
      </w:r>
      <w:r w:rsidRPr="005C697E">
        <w:rPr>
          <w:rFonts w:ascii="Gadugi" w:hAnsi="Gadugi" w:cs="Century Gothic"/>
          <w:b/>
          <w:sz w:val="24"/>
          <w:szCs w:val="24"/>
          <w:lang w:val="es-419"/>
        </w:rPr>
        <w:t xml:space="preserve"> Defensoría del Pueblo</w:t>
      </w:r>
      <w:r w:rsidRPr="005C697E">
        <w:rPr>
          <w:rFonts w:ascii="Gadugi" w:hAnsi="Gadugi" w:cs="Century Gothic"/>
          <w:sz w:val="24"/>
          <w:szCs w:val="24"/>
          <w:lang w:val="es-419"/>
        </w:rPr>
        <w:t xml:space="preserve"> Regional Risaralda</w:t>
      </w:r>
      <w:r>
        <w:rPr>
          <w:rFonts w:ascii="Gadugi" w:hAnsi="Gadugi" w:cs="Century Gothic"/>
          <w:sz w:val="24"/>
          <w:szCs w:val="24"/>
          <w:lang w:val="es-419"/>
        </w:rPr>
        <w:t xml:space="preserve"> y el </w:t>
      </w:r>
      <w:r>
        <w:rPr>
          <w:rFonts w:ascii="Gadugi" w:hAnsi="Gadugi" w:cs="Century Gothic"/>
          <w:b/>
          <w:sz w:val="24"/>
          <w:szCs w:val="24"/>
          <w:lang w:val="es-CO"/>
        </w:rPr>
        <w:t xml:space="preserve">Juzgado Tercero </w:t>
      </w:r>
      <w:proofErr w:type="spellStart"/>
      <w:r>
        <w:rPr>
          <w:rFonts w:ascii="Gadugi" w:hAnsi="Gadugi" w:cs="Century Gothic"/>
          <w:b/>
          <w:sz w:val="24"/>
          <w:szCs w:val="24"/>
          <w:lang w:val="es-CO"/>
        </w:rPr>
        <w:t>Adm</w:t>
      </w:r>
      <w:proofErr w:type="spellEnd"/>
      <w:r>
        <w:rPr>
          <w:rFonts w:ascii="Gadugi" w:hAnsi="Gadugi" w:cs="Century Gothic"/>
          <w:b/>
          <w:sz w:val="24"/>
          <w:szCs w:val="24"/>
          <w:lang w:val="es-419"/>
        </w:rPr>
        <w:t>i</w:t>
      </w:r>
      <w:proofErr w:type="spellStart"/>
      <w:r>
        <w:rPr>
          <w:rFonts w:ascii="Gadugi" w:hAnsi="Gadugi" w:cs="Century Gothic"/>
          <w:b/>
          <w:sz w:val="24"/>
          <w:szCs w:val="24"/>
          <w:lang w:val="es-CO"/>
        </w:rPr>
        <w:t>nistrativo</w:t>
      </w:r>
      <w:proofErr w:type="spellEnd"/>
      <w:r>
        <w:rPr>
          <w:rFonts w:ascii="Gadugi" w:hAnsi="Gadugi" w:cs="Century Gothic"/>
          <w:b/>
          <w:sz w:val="24"/>
          <w:szCs w:val="24"/>
          <w:lang w:val="es-CO"/>
        </w:rPr>
        <w:t xml:space="preserve"> </w:t>
      </w:r>
      <w:r>
        <w:rPr>
          <w:rFonts w:ascii="Gadugi" w:hAnsi="Gadugi" w:cs="Century Gothic"/>
          <w:sz w:val="24"/>
          <w:szCs w:val="24"/>
          <w:lang w:val="es-CO"/>
        </w:rPr>
        <w:t>local.</w:t>
      </w:r>
    </w:p>
    <w:p w:rsidR="006535A2" w:rsidRPr="005C697E" w:rsidRDefault="006535A2" w:rsidP="006535A2">
      <w:pPr>
        <w:spacing w:line="312" w:lineRule="auto"/>
        <w:jc w:val="both"/>
        <w:rPr>
          <w:rFonts w:ascii="Gadugi" w:hAnsi="Gadugi" w:cs="Century Gothic"/>
          <w:b/>
          <w:bCs/>
          <w:sz w:val="24"/>
          <w:szCs w:val="24"/>
          <w:lang w:val="es-419"/>
        </w:rPr>
      </w:pPr>
    </w:p>
    <w:p w:rsidR="006535A2" w:rsidRPr="005C697E" w:rsidRDefault="006535A2" w:rsidP="006535A2">
      <w:pPr>
        <w:spacing w:line="312" w:lineRule="auto"/>
        <w:jc w:val="both"/>
        <w:rPr>
          <w:rFonts w:ascii="Gadugi" w:hAnsi="Gadugi" w:cs="Century Gothic"/>
          <w:b/>
          <w:bCs/>
          <w:sz w:val="24"/>
          <w:szCs w:val="24"/>
        </w:rPr>
      </w:pPr>
    </w:p>
    <w:p w:rsidR="006535A2" w:rsidRPr="005C697E" w:rsidRDefault="006535A2" w:rsidP="006535A2">
      <w:pPr>
        <w:pStyle w:val="Ttulo4"/>
        <w:rPr>
          <w:rFonts w:ascii="Gadugi" w:hAnsi="Gadugi"/>
          <w:b/>
          <w:sz w:val="24"/>
          <w:szCs w:val="24"/>
        </w:rPr>
      </w:pPr>
      <w:r w:rsidRPr="005C697E">
        <w:rPr>
          <w:rFonts w:ascii="Gadugi" w:hAnsi="Gadugi"/>
          <w:b/>
          <w:sz w:val="24"/>
          <w:szCs w:val="24"/>
        </w:rPr>
        <w:t>ANTECEDENTES</w:t>
      </w:r>
    </w:p>
    <w:p w:rsidR="006535A2" w:rsidRPr="005C697E" w:rsidRDefault="006535A2" w:rsidP="006535A2">
      <w:pPr>
        <w:spacing w:line="312" w:lineRule="auto"/>
        <w:ind w:firstLine="2835"/>
        <w:jc w:val="both"/>
        <w:rPr>
          <w:rFonts w:ascii="Gadugi" w:hAnsi="Gadugi" w:cs="Century Gothic"/>
          <w:b/>
          <w:bCs/>
          <w:sz w:val="24"/>
          <w:szCs w:val="24"/>
        </w:rPr>
      </w:pPr>
    </w:p>
    <w:p w:rsidR="006535A2" w:rsidRPr="005C697E" w:rsidRDefault="006535A2" w:rsidP="006535A2">
      <w:pPr>
        <w:spacing w:line="312" w:lineRule="auto"/>
        <w:ind w:firstLine="2835"/>
        <w:jc w:val="both"/>
        <w:rPr>
          <w:rFonts w:ascii="Gadugi" w:hAnsi="Gadugi" w:cs="Century Gothic"/>
          <w:sz w:val="24"/>
          <w:szCs w:val="24"/>
        </w:rPr>
      </w:pPr>
    </w:p>
    <w:p w:rsidR="006535A2" w:rsidRDefault="006535A2" w:rsidP="006535A2">
      <w:pPr>
        <w:pStyle w:val="Textoindependiente21"/>
        <w:spacing w:line="312" w:lineRule="auto"/>
        <w:rPr>
          <w:rFonts w:ascii="Gadugi" w:hAnsi="Gadugi" w:cs="Century Gothic"/>
          <w:szCs w:val="24"/>
          <w:lang w:val="es-CO"/>
        </w:rPr>
      </w:pPr>
      <w:proofErr w:type="spellStart"/>
      <w:r>
        <w:rPr>
          <w:rFonts w:ascii="Gadugi" w:hAnsi="Gadugi" w:cs="Century Gothic"/>
          <w:szCs w:val="24"/>
        </w:rPr>
        <w:t>Uner</w:t>
      </w:r>
      <w:proofErr w:type="spellEnd"/>
      <w:r>
        <w:rPr>
          <w:rFonts w:ascii="Gadugi" w:hAnsi="Gadugi" w:cs="Century Gothic"/>
          <w:szCs w:val="24"/>
        </w:rPr>
        <w:t xml:space="preserve"> Augusto Becerra Largo</w:t>
      </w:r>
      <w:r w:rsidRPr="005C697E">
        <w:rPr>
          <w:rFonts w:ascii="Gadugi" w:hAnsi="Gadugi" w:cs="Century Gothic"/>
          <w:szCs w:val="24"/>
        </w:rPr>
        <w:t xml:space="preserve">, actuando en su propio nombre, presentó acción de tutela contra el Juzgado Civil del Circuito de </w:t>
      </w:r>
      <w:r>
        <w:rPr>
          <w:rFonts w:ascii="Gadugi" w:hAnsi="Gadugi" w:cs="Century Gothic"/>
          <w:szCs w:val="24"/>
        </w:rPr>
        <w:t xml:space="preserve">Santa Rosa de Cabal, </w:t>
      </w:r>
      <w:r w:rsidRPr="005C697E">
        <w:rPr>
          <w:rFonts w:ascii="Gadugi" w:hAnsi="Gadugi" w:cs="Century Gothic"/>
          <w:szCs w:val="24"/>
        </w:rPr>
        <w:t>en la que aduce</w:t>
      </w:r>
      <w:r w:rsidRPr="005C697E">
        <w:rPr>
          <w:rFonts w:ascii="Gadugi" w:hAnsi="Gadugi" w:cs="Century Gothic"/>
          <w:szCs w:val="24"/>
          <w:lang w:val="es-419"/>
        </w:rPr>
        <w:t xml:space="preserve"> violación de los derechos </w:t>
      </w:r>
      <w:r w:rsidRPr="005C697E">
        <w:rPr>
          <w:rFonts w:ascii="Gadugi" w:hAnsi="Gadugi" w:cs="Century Gothic"/>
          <w:i/>
          <w:szCs w:val="24"/>
        </w:rPr>
        <w:t xml:space="preserve">“al debido proceso, </w:t>
      </w:r>
      <w:r w:rsidRPr="005C697E">
        <w:rPr>
          <w:rFonts w:ascii="Gadugi" w:hAnsi="Gadugi" w:cs="Century Gothic"/>
          <w:i/>
          <w:szCs w:val="24"/>
          <w:lang w:val="es-419"/>
        </w:rPr>
        <w:t xml:space="preserve">la </w:t>
      </w:r>
      <w:r w:rsidRPr="005C697E">
        <w:rPr>
          <w:rFonts w:ascii="Gadugi" w:hAnsi="Gadugi" w:cs="Century Gothic"/>
          <w:i/>
          <w:szCs w:val="24"/>
        </w:rPr>
        <w:t>igualdad y la debida administración de justicia”</w:t>
      </w:r>
      <w:r w:rsidRPr="005C697E">
        <w:rPr>
          <w:rFonts w:ascii="Gadugi" w:hAnsi="Gadugi" w:cs="Century Gothic"/>
          <w:i/>
          <w:szCs w:val="24"/>
          <w:lang w:val="es-419"/>
        </w:rPr>
        <w:t>,</w:t>
      </w:r>
      <w:r w:rsidRPr="005C697E">
        <w:rPr>
          <w:rFonts w:ascii="Gadugi" w:hAnsi="Gadugi" w:cs="Century Gothic"/>
          <w:szCs w:val="24"/>
          <w:lang w:val="es-419"/>
        </w:rPr>
        <w:t xml:space="preserve"> cuya protección depreca. Y pide </w:t>
      </w:r>
      <w:r w:rsidRPr="005C697E">
        <w:rPr>
          <w:rFonts w:ascii="Gadugi" w:hAnsi="Gadugi" w:cs="Century Gothic"/>
          <w:szCs w:val="24"/>
          <w:lang w:val="es-CO"/>
        </w:rPr>
        <w:t xml:space="preserve">que </w:t>
      </w:r>
      <w:r w:rsidRPr="005C697E">
        <w:rPr>
          <w:rFonts w:ascii="Gadugi" w:hAnsi="Gadugi" w:cs="Century Gothic"/>
          <w:i/>
          <w:szCs w:val="24"/>
          <w:lang w:val="es-CO"/>
        </w:rPr>
        <w:t xml:space="preserve">“Se </w:t>
      </w:r>
      <w:r>
        <w:rPr>
          <w:rFonts w:ascii="Gadugi" w:hAnsi="Gadugi" w:cs="Century Gothic"/>
          <w:i/>
          <w:szCs w:val="24"/>
          <w:lang w:val="es-CO"/>
        </w:rPr>
        <w:t>ORDENE al tutelado, admitir mi acción inmediatamente.”</w:t>
      </w:r>
      <w:r w:rsidRPr="005C697E">
        <w:rPr>
          <w:rFonts w:ascii="Gadugi" w:hAnsi="Gadugi" w:cs="Century Gothic"/>
          <w:szCs w:val="24"/>
          <w:lang w:val="es-CO"/>
        </w:rPr>
        <w:t xml:space="preserve"> </w:t>
      </w:r>
      <w:r>
        <w:rPr>
          <w:rFonts w:ascii="Gadugi" w:hAnsi="Gadugi" w:cs="Century Gothic"/>
          <w:szCs w:val="24"/>
          <w:lang w:val="es-CO"/>
        </w:rPr>
        <w:t>.</w:t>
      </w:r>
    </w:p>
    <w:p w:rsidR="006535A2" w:rsidRPr="005C697E" w:rsidRDefault="006535A2" w:rsidP="006535A2">
      <w:pPr>
        <w:pStyle w:val="Textoindependiente21"/>
        <w:spacing w:line="312" w:lineRule="auto"/>
        <w:rPr>
          <w:rFonts w:ascii="Gadugi" w:hAnsi="Gadugi" w:cs="Century Gothic"/>
          <w:szCs w:val="24"/>
          <w:lang w:val="es-419"/>
        </w:rPr>
      </w:pPr>
    </w:p>
    <w:p w:rsidR="006535A2" w:rsidRPr="00914224" w:rsidRDefault="006535A2" w:rsidP="006535A2">
      <w:pPr>
        <w:spacing w:line="312" w:lineRule="auto"/>
        <w:jc w:val="both"/>
        <w:rPr>
          <w:rFonts w:ascii="Gadugi" w:hAnsi="Gadugi" w:cs="Century Gothic"/>
          <w:sz w:val="24"/>
          <w:szCs w:val="24"/>
          <w:lang w:val="es-419"/>
        </w:rPr>
      </w:pPr>
      <w:r w:rsidRPr="005C697E">
        <w:rPr>
          <w:rFonts w:ascii="Gadugi" w:hAnsi="Gadugi" w:cs="Century Gothic"/>
          <w:sz w:val="24"/>
          <w:szCs w:val="24"/>
          <w:lang w:val="es-CO"/>
        </w:rPr>
        <w:t xml:space="preserve"> </w:t>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419"/>
        </w:rPr>
        <w:t>Dijo en su escrito que</w:t>
      </w:r>
      <w:r w:rsidRPr="005C697E">
        <w:rPr>
          <w:rFonts w:ascii="Gadugi" w:hAnsi="Gadugi" w:cs="Century Gothic"/>
          <w:sz w:val="24"/>
          <w:szCs w:val="24"/>
          <w:lang w:val="es-CO"/>
        </w:rPr>
        <w:t xml:space="preserve"> </w:t>
      </w:r>
      <w:r>
        <w:rPr>
          <w:rFonts w:ascii="Gadugi" w:hAnsi="Gadugi" w:cs="Century Gothic"/>
          <w:sz w:val="24"/>
          <w:szCs w:val="24"/>
          <w:lang w:val="es-CO"/>
        </w:rPr>
        <w:t xml:space="preserve">presentó acción popular radicada en el despacho judicial accionado con el número </w:t>
      </w:r>
      <w:r>
        <w:rPr>
          <w:rFonts w:ascii="Gadugi" w:hAnsi="Gadugi" w:cs="Century Gothic"/>
          <w:i/>
          <w:sz w:val="24"/>
          <w:szCs w:val="24"/>
          <w:lang w:val="es-CO"/>
        </w:rPr>
        <w:t xml:space="preserve">“2015-271… donde la a quo </w:t>
      </w:r>
      <w:proofErr w:type="spellStart"/>
      <w:r>
        <w:rPr>
          <w:rFonts w:ascii="Gadugi" w:hAnsi="Gadugi" w:cs="Century Gothic"/>
          <w:i/>
          <w:sz w:val="24"/>
          <w:szCs w:val="24"/>
          <w:lang w:val="es-CO"/>
        </w:rPr>
        <w:t>CREYO</w:t>
      </w:r>
      <w:proofErr w:type="spellEnd"/>
      <w:r>
        <w:rPr>
          <w:rFonts w:ascii="Gadugi" w:hAnsi="Gadugi" w:cs="Century Gothic"/>
          <w:i/>
          <w:sz w:val="24"/>
          <w:szCs w:val="24"/>
          <w:lang w:val="es-CO"/>
        </w:rPr>
        <w:t xml:space="preserve"> poder perder competencia, desconociéndome art 16 ley 472 de 1998 y postura sala plena corte suprema 11001 02 03 000 2009 00121 00… la tutelada remite mi a popular a Pereira, repuse y presente apelación, manifestando que el DOMICILIO ETA EN SANTA ROSA DE CABAL RADA Y ERA COMPETENTE </w:t>
      </w:r>
      <w:proofErr w:type="spellStart"/>
      <w:r>
        <w:rPr>
          <w:rFonts w:ascii="Gadugi" w:hAnsi="Gadugi" w:cs="Century Gothic"/>
          <w:i/>
          <w:sz w:val="24"/>
          <w:szCs w:val="24"/>
          <w:lang w:val="es-CO"/>
        </w:rPr>
        <w:t>PA</w:t>
      </w:r>
      <w:proofErr w:type="spellEnd"/>
      <w:r>
        <w:rPr>
          <w:rFonts w:ascii="Gadugi" w:hAnsi="Gadugi" w:cs="Century Gothic"/>
          <w:i/>
          <w:sz w:val="24"/>
          <w:szCs w:val="24"/>
          <w:lang w:val="es-CO"/>
        </w:rPr>
        <w:t xml:space="preserve"> TRAMITAR MI </w:t>
      </w:r>
      <w:proofErr w:type="spellStart"/>
      <w:r>
        <w:rPr>
          <w:rFonts w:ascii="Gadugi" w:hAnsi="Gadugi" w:cs="Century Gothic"/>
          <w:i/>
          <w:sz w:val="24"/>
          <w:szCs w:val="24"/>
          <w:lang w:val="es-CO"/>
        </w:rPr>
        <w:t>ACCION</w:t>
      </w:r>
      <w:proofErr w:type="spellEnd"/>
      <w:r>
        <w:rPr>
          <w:rFonts w:ascii="Gadugi" w:hAnsi="Gadugi" w:cs="Century Gothic"/>
          <w:i/>
          <w:sz w:val="24"/>
          <w:szCs w:val="24"/>
          <w:lang w:val="es-CO"/>
        </w:rPr>
        <w:t>, NO REPUSO NI CONCEDE ALZADA…que fue remitida indebidamente al Juzgado 3 Administrativo de Pereira..”</w:t>
      </w:r>
      <w:r>
        <w:rPr>
          <w:rFonts w:ascii="Gadugi" w:hAnsi="Gadugi" w:cs="Century Gothic"/>
          <w:sz w:val="24"/>
          <w:szCs w:val="24"/>
          <w:lang w:val="es-419"/>
        </w:rPr>
        <w:t xml:space="preserve"> (sic).</w:t>
      </w:r>
    </w:p>
    <w:p w:rsidR="006535A2" w:rsidRPr="005C697E" w:rsidRDefault="006535A2" w:rsidP="006535A2">
      <w:pPr>
        <w:pStyle w:val="Textoindependiente21"/>
        <w:spacing w:line="312" w:lineRule="auto"/>
        <w:rPr>
          <w:rFonts w:ascii="Gadugi" w:hAnsi="Gadugi" w:cs="Century Gothic"/>
          <w:szCs w:val="24"/>
          <w:lang w:val="es-419"/>
        </w:rPr>
      </w:pPr>
    </w:p>
    <w:p w:rsidR="006535A2" w:rsidRPr="005C697E" w:rsidRDefault="006535A2" w:rsidP="006535A2">
      <w:pPr>
        <w:pStyle w:val="Textoindependiente21"/>
        <w:spacing w:line="312" w:lineRule="auto"/>
        <w:rPr>
          <w:rFonts w:ascii="Gadugi" w:hAnsi="Gadugi" w:cs="Century Gothic"/>
          <w:szCs w:val="24"/>
          <w:lang w:val="es-CO"/>
        </w:rPr>
      </w:pPr>
      <w:r w:rsidRPr="005C697E">
        <w:rPr>
          <w:rFonts w:ascii="Gadugi" w:hAnsi="Gadugi" w:cs="Century Gothic"/>
          <w:szCs w:val="24"/>
        </w:rPr>
        <w:t xml:space="preserve">Se dispuso el trámite </w:t>
      </w:r>
      <w:r>
        <w:rPr>
          <w:rFonts w:ascii="Gadugi" w:hAnsi="Gadugi" w:cs="Century Gothic"/>
          <w:szCs w:val="24"/>
        </w:rPr>
        <w:t>de rigor, con la vinculación</w:t>
      </w:r>
      <w:r w:rsidRPr="005C697E">
        <w:rPr>
          <w:rFonts w:ascii="Gadugi" w:hAnsi="Gadugi" w:cs="Century Gothic"/>
          <w:szCs w:val="24"/>
        </w:rPr>
        <w:t xml:space="preserve"> del </w:t>
      </w:r>
      <w:r>
        <w:rPr>
          <w:rFonts w:ascii="Gadugi" w:hAnsi="Gadugi" w:cs="Century Gothic"/>
          <w:szCs w:val="24"/>
          <w:lang w:val="es-419"/>
        </w:rPr>
        <w:t xml:space="preserve">Ministerio Público, de </w:t>
      </w:r>
      <w:r w:rsidRPr="005C697E">
        <w:rPr>
          <w:rFonts w:ascii="Gadugi" w:hAnsi="Gadugi" w:cs="Century Gothic"/>
          <w:szCs w:val="24"/>
          <w:lang w:val="es-419"/>
        </w:rPr>
        <w:t>la</w:t>
      </w:r>
      <w:r w:rsidRPr="005C697E">
        <w:rPr>
          <w:rFonts w:ascii="Gadugi" w:hAnsi="Gadugi" w:cs="Century Gothic"/>
          <w:szCs w:val="24"/>
          <w:lang w:val="es-CO"/>
        </w:rPr>
        <w:t xml:space="preserve"> </w:t>
      </w:r>
      <w:r w:rsidRPr="005C697E">
        <w:rPr>
          <w:rFonts w:ascii="Gadugi" w:hAnsi="Gadugi" w:cs="Century Gothic"/>
          <w:szCs w:val="24"/>
          <w:lang w:val="es-419"/>
        </w:rPr>
        <w:t>Defensoría del Pueblo</w:t>
      </w:r>
      <w:r w:rsidRPr="005C697E">
        <w:rPr>
          <w:rFonts w:ascii="Gadugi" w:hAnsi="Gadugi" w:cs="Century Gothic"/>
          <w:szCs w:val="24"/>
          <w:lang w:val="es-CO"/>
        </w:rPr>
        <w:t xml:space="preserve"> Regional Risaralda</w:t>
      </w:r>
      <w:r>
        <w:rPr>
          <w:rFonts w:ascii="Gadugi" w:hAnsi="Gadugi" w:cs="Century Gothic"/>
          <w:szCs w:val="24"/>
          <w:lang w:val="es-CO"/>
        </w:rPr>
        <w:t xml:space="preserve"> y del Juzgado Tercero Administrativo de Pereira,</w:t>
      </w:r>
      <w:r w:rsidRPr="005C697E">
        <w:rPr>
          <w:rFonts w:ascii="Gadugi" w:hAnsi="Gadugi" w:cs="Century Gothic"/>
          <w:szCs w:val="24"/>
          <w:lang w:val="es-CO"/>
        </w:rPr>
        <w:t xml:space="preserve"> a quienes se concedió el término de dos días para ejercer el derecho de defensa, a la vez que se solicitaron copias relacionadas con el tema cuestionado. </w:t>
      </w:r>
    </w:p>
    <w:p w:rsidR="006535A2" w:rsidRPr="005C697E" w:rsidRDefault="006535A2" w:rsidP="006535A2">
      <w:pPr>
        <w:pStyle w:val="Textoindependiente21"/>
        <w:spacing w:line="312" w:lineRule="auto"/>
        <w:rPr>
          <w:rFonts w:ascii="Gadugi" w:hAnsi="Gadugi" w:cs="Century Gothic"/>
          <w:szCs w:val="24"/>
          <w:lang w:val="es-CO"/>
        </w:rPr>
      </w:pPr>
    </w:p>
    <w:p w:rsidR="006535A2" w:rsidRDefault="006535A2" w:rsidP="006535A2">
      <w:pPr>
        <w:pStyle w:val="Textoindependiente21"/>
        <w:spacing w:line="312" w:lineRule="auto"/>
        <w:rPr>
          <w:rFonts w:ascii="Gadugi" w:hAnsi="Gadugi" w:cs="Century Gothic"/>
          <w:szCs w:val="24"/>
          <w:lang w:val="es-CO"/>
        </w:rPr>
      </w:pPr>
      <w:r>
        <w:rPr>
          <w:rFonts w:ascii="Gadugi" w:hAnsi="Gadugi" w:cs="Century Gothic"/>
          <w:szCs w:val="24"/>
          <w:lang w:val="es-CO"/>
        </w:rPr>
        <w:t xml:space="preserve">Del juzgado administrativo se remitieron copias de la que se indicó correspondía a la única acción popular que fuera inicialmente presentada y rechazada por el Juzgado Civil del Circuito de Santa Rosa de Cabal y enviada por competencia al Juzgado Promiscuo del Circuito de </w:t>
      </w:r>
      <w:proofErr w:type="spellStart"/>
      <w:r>
        <w:rPr>
          <w:rFonts w:ascii="Gadugi" w:hAnsi="Gadugi" w:cs="Century Gothic"/>
          <w:szCs w:val="24"/>
          <w:lang w:val="es-CO"/>
        </w:rPr>
        <w:t>Quinchía</w:t>
      </w:r>
      <w:proofErr w:type="spellEnd"/>
      <w:r>
        <w:rPr>
          <w:rFonts w:ascii="Gadugi" w:hAnsi="Gadugi" w:cs="Century Gothic"/>
          <w:szCs w:val="24"/>
          <w:lang w:val="es-CO"/>
        </w:rPr>
        <w:t xml:space="preserve">, que por su parte, y por razón de jurisdicción fue asignada a ese despacho judicial; que la misma fue radicada en el Juzgado de Santa Rosa de Cabal con el número 2015-00342-00 (f. 6 a 23 y 38 v.). </w:t>
      </w:r>
    </w:p>
    <w:p w:rsidR="006535A2" w:rsidRDefault="006535A2" w:rsidP="006535A2">
      <w:pPr>
        <w:pStyle w:val="Textoindependiente21"/>
        <w:spacing w:line="312" w:lineRule="auto"/>
        <w:rPr>
          <w:rFonts w:ascii="Gadugi" w:hAnsi="Gadugi" w:cs="Century Gothic"/>
          <w:szCs w:val="24"/>
          <w:lang w:val="es-CO"/>
        </w:rPr>
      </w:pPr>
    </w:p>
    <w:p w:rsidR="006535A2" w:rsidRDefault="006535A2" w:rsidP="006535A2">
      <w:pPr>
        <w:pStyle w:val="Textoindependiente21"/>
        <w:spacing w:line="312" w:lineRule="auto"/>
        <w:rPr>
          <w:rFonts w:ascii="Gadugi" w:hAnsi="Gadugi" w:cs="Century Gothic"/>
          <w:szCs w:val="24"/>
          <w:lang w:val="es-CO"/>
        </w:rPr>
      </w:pPr>
      <w:r>
        <w:rPr>
          <w:rFonts w:ascii="Gadugi" w:hAnsi="Gadugi" w:cs="Century Gothic"/>
          <w:szCs w:val="24"/>
          <w:lang w:val="es-419"/>
        </w:rPr>
        <w:t>E</w:t>
      </w:r>
      <w:proofErr w:type="spellStart"/>
      <w:r>
        <w:rPr>
          <w:rFonts w:ascii="Gadugi" w:hAnsi="Gadugi" w:cs="Century Gothic"/>
          <w:szCs w:val="24"/>
          <w:lang w:val="es-CO"/>
        </w:rPr>
        <w:t>ste</w:t>
      </w:r>
      <w:proofErr w:type="spellEnd"/>
      <w:r>
        <w:rPr>
          <w:rFonts w:ascii="Gadugi" w:hAnsi="Gadugi" w:cs="Century Gothic"/>
          <w:szCs w:val="24"/>
          <w:lang w:val="es-CO"/>
        </w:rPr>
        <w:t xml:space="preserve"> despacho, indicó que la acción popular 2015-00271-00, promovida por el mismo actor, lo fue contra la Central de Servicios Crediticios de Pereira, la que fue rechazada por falta de competencia con auto del 26 de noviembre de 2015</w:t>
      </w:r>
      <w:r>
        <w:rPr>
          <w:rFonts w:ascii="Gadugi" w:hAnsi="Gadugi" w:cs="Century Gothic"/>
          <w:szCs w:val="24"/>
          <w:lang w:val="es-419"/>
        </w:rPr>
        <w:t xml:space="preserve">, que no se repuso, y </w:t>
      </w:r>
      <w:r>
        <w:rPr>
          <w:rFonts w:ascii="Gadugi" w:hAnsi="Gadugi" w:cs="Century Gothic"/>
          <w:szCs w:val="24"/>
          <w:lang w:val="es-CO"/>
        </w:rPr>
        <w:t xml:space="preserve">fue remitida al Juzgado Civil del Circuito de esta ciudad; anexó copias de lo concerniente. </w:t>
      </w:r>
    </w:p>
    <w:p w:rsidR="006535A2" w:rsidRDefault="006535A2" w:rsidP="006535A2">
      <w:pPr>
        <w:pStyle w:val="Textoindependiente21"/>
        <w:spacing w:line="312" w:lineRule="auto"/>
        <w:rPr>
          <w:rFonts w:ascii="Gadugi" w:hAnsi="Gadugi" w:cs="Century Gothic"/>
          <w:szCs w:val="24"/>
          <w:lang w:val="es-CO"/>
        </w:rPr>
      </w:pPr>
    </w:p>
    <w:p w:rsidR="006535A2" w:rsidRPr="005C697E" w:rsidRDefault="006535A2" w:rsidP="006535A2">
      <w:pPr>
        <w:pStyle w:val="Textoindependiente21"/>
        <w:spacing w:line="312" w:lineRule="auto"/>
        <w:rPr>
          <w:rFonts w:ascii="Gadugi" w:hAnsi="Gadugi" w:cs="Century Gothic"/>
          <w:szCs w:val="24"/>
          <w:lang w:val="es-CO"/>
        </w:rPr>
      </w:pPr>
      <w:r>
        <w:rPr>
          <w:rFonts w:ascii="Gadugi" w:hAnsi="Gadugi" w:cs="Century Gothic"/>
          <w:szCs w:val="24"/>
          <w:lang w:val="es-CO"/>
        </w:rPr>
        <w:t>Por su parte, la Procuradora Regional Risaralda,</w:t>
      </w:r>
      <w:r w:rsidRPr="005C697E">
        <w:rPr>
          <w:rFonts w:ascii="Gadugi" w:hAnsi="Gadugi" w:cs="Century Gothic"/>
          <w:szCs w:val="24"/>
          <w:lang w:val="es-419"/>
        </w:rPr>
        <w:t xml:space="preserve"> recordó que su gestión en las acciones populares se limita a la protección de los intereses colectivos. </w:t>
      </w:r>
    </w:p>
    <w:p w:rsidR="006535A2" w:rsidRDefault="006535A2" w:rsidP="006535A2">
      <w:pPr>
        <w:pStyle w:val="Textoindependiente21"/>
        <w:spacing w:line="312" w:lineRule="auto"/>
        <w:ind w:firstLine="0"/>
        <w:rPr>
          <w:rFonts w:ascii="Gadugi" w:hAnsi="Gadugi" w:cs="Century Gothic"/>
          <w:szCs w:val="24"/>
          <w:lang w:val="es-CO"/>
        </w:rPr>
      </w:pPr>
    </w:p>
    <w:p w:rsidR="006535A2" w:rsidRPr="005C697E" w:rsidRDefault="006535A2" w:rsidP="006535A2">
      <w:pPr>
        <w:pStyle w:val="Textoindependiente21"/>
        <w:spacing w:line="312" w:lineRule="auto"/>
        <w:ind w:firstLine="0"/>
        <w:rPr>
          <w:rFonts w:ascii="Gadugi" w:hAnsi="Gadugi" w:cs="Century Gothic"/>
          <w:szCs w:val="24"/>
          <w:lang w:val="es-CO"/>
        </w:rPr>
      </w:pPr>
    </w:p>
    <w:p w:rsidR="006535A2" w:rsidRPr="005C697E" w:rsidRDefault="006535A2" w:rsidP="006535A2">
      <w:pPr>
        <w:spacing w:line="312" w:lineRule="auto"/>
        <w:ind w:firstLine="2835"/>
        <w:jc w:val="both"/>
        <w:rPr>
          <w:rFonts w:ascii="Gadugi" w:hAnsi="Gadugi" w:cs="Arial"/>
          <w:b/>
          <w:sz w:val="24"/>
          <w:szCs w:val="24"/>
        </w:rPr>
      </w:pPr>
      <w:r w:rsidRPr="005C697E">
        <w:rPr>
          <w:rFonts w:ascii="Gadugi" w:hAnsi="Gadugi" w:cs="Arial"/>
          <w:b/>
          <w:sz w:val="24"/>
          <w:szCs w:val="24"/>
        </w:rPr>
        <w:t>CONSIDERACIONES</w:t>
      </w:r>
    </w:p>
    <w:p w:rsidR="006535A2" w:rsidRPr="005C697E" w:rsidRDefault="006535A2" w:rsidP="006535A2">
      <w:pPr>
        <w:spacing w:line="312" w:lineRule="auto"/>
        <w:jc w:val="both"/>
        <w:rPr>
          <w:rFonts w:ascii="Gadugi" w:hAnsi="Gadugi" w:cs="Arial"/>
          <w:sz w:val="24"/>
          <w:szCs w:val="24"/>
          <w:lang w:val="es-419"/>
        </w:rPr>
      </w:pPr>
    </w:p>
    <w:p w:rsidR="006535A2" w:rsidRPr="005C697E" w:rsidRDefault="006535A2" w:rsidP="006535A2">
      <w:pPr>
        <w:pStyle w:val="Textoindependiente21"/>
        <w:spacing w:line="312" w:lineRule="auto"/>
        <w:rPr>
          <w:rFonts w:ascii="Gadugi" w:hAnsi="Gadugi"/>
          <w:szCs w:val="24"/>
          <w:lang w:val="es-CO"/>
        </w:rPr>
      </w:pPr>
    </w:p>
    <w:p w:rsidR="006535A2" w:rsidRPr="005C697E" w:rsidRDefault="006535A2" w:rsidP="006535A2">
      <w:pPr>
        <w:pStyle w:val="Textoindependiente21"/>
        <w:spacing w:line="312" w:lineRule="auto"/>
        <w:rPr>
          <w:rFonts w:ascii="Gadugi" w:hAnsi="Gadugi"/>
          <w:szCs w:val="24"/>
        </w:rPr>
      </w:pPr>
      <w:r w:rsidRPr="005C697E">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6535A2" w:rsidRPr="005C697E" w:rsidRDefault="006535A2" w:rsidP="006535A2">
      <w:pPr>
        <w:spacing w:line="312" w:lineRule="auto"/>
        <w:ind w:firstLine="2835"/>
        <w:jc w:val="both"/>
        <w:rPr>
          <w:rFonts w:ascii="Gadugi" w:hAnsi="Gadugi"/>
          <w:sz w:val="24"/>
          <w:szCs w:val="24"/>
        </w:rPr>
      </w:pPr>
      <w:r w:rsidRPr="005C697E">
        <w:rPr>
          <w:rFonts w:ascii="Gadugi" w:hAnsi="Gadugi"/>
          <w:sz w:val="24"/>
          <w:szCs w:val="24"/>
        </w:rPr>
        <w:t xml:space="preserve">  </w:t>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p>
    <w:p w:rsidR="006535A2" w:rsidRDefault="006535A2" w:rsidP="006535A2">
      <w:pPr>
        <w:spacing w:line="312" w:lineRule="auto"/>
        <w:ind w:firstLine="2835"/>
        <w:jc w:val="both"/>
        <w:rPr>
          <w:rFonts w:ascii="Gadugi" w:hAnsi="Gadugi" w:cs="Arial"/>
          <w:sz w:val="24"/>
          <w:szCs w:val="24"/>
        </w:rPr>
      </w:pPr>
      <w:r w:rsidRPr="005C697E">
        <w:rPr>
          <w:rFonts w:ascii="Gadugi" w:hAnsi="Gadugi"/>
          <w:sz w:val="24"/>
          <w:szCs w:val="24"/>
        </w:rPr>
        <w:t xml:space="preserve">Se acude en esta oportunidad </w:t>
      </w:r>
      <w:r w:rsidRPr="005C697E">
        <w:rPr>
          <w:rFonts w:ascii="Gadugi" w:hAnsi="Gadugi" w:cs="Arial"/>
          <w:sz w:val="24"/>
          <w:szCs w:val="24"/>
        </w:rPr>
        <w:t xml:space="preserve">en procura de los derechos fundamentales </w:t>
      </w:r>
      <w:r w:rsidRPr="005C697E">
        <w:rPr>
          <w:rFonts w:ascii="Gadugi" w:hAnsi="Gadugi" w:cs="Arial"/>
          <w:i/>
          <w:sz w:val="24"/>
          <w:szCs w:val="24"/>
        </w:rPr>
        <w:t>“al debido proceso, igualdad y debida administración de justicia”</w:t>
      </w:r>
      <w:r w:rsidRPr="005C697E">
        <w:rPr>
          <w:rFonts w:ascii="Gadugi" w:hAnsi="Gadugi" w:cs="Arial"/>
          <w:sz w:val="24"/>
          <w:szCs w:val="24"/>
        </w:rPr>
        <w:t xml:space="preserve">, bajo la premisa del aparente desconocimiento, se entiende, de la regla fijada para asumir el conocimiento, por competencia, de </w:t>
      </w:r>
      <w:r>
        <w:rPr>
          <w:rFonts w:ascii="Gadugi" w:hAnsi="Gadugi" w:cs="Arial"/>
          <w:sz w:val="24"/>
          <w:szCs w:val="24"/>
        </w:rPr>
        <w:t>la acción popular promovida por el interesado.</w:t>
      </w:r>
    </w:p>
    <w:p w:rsidR="006535A2" w:rsidRPr="005C697E" w:rsidRDefault="006535A2" w:rsidP="006535A2">
      <w:pPr>
        <w:spacing w:line="312" w:lineRule="auto"/>
        <w:ind w:firstLine="2835"/>
        <w:jc w:val="both"/>
        <w:rPr>
          <w:rFonts w:ascii="Gadugi" w:hAnsi="Gadugi" w:cs="Arial"/>
          <w:sz w:val="24"/>
          <w:szCs w:val="24"/>
        </w:rPr>
      </w:pPr>
    </w:p>
    <w:p w:rsidR="006535A2" w:rsidRPr="005C697E" w:rsidRDefault="006535A2" w:rsidP="006535A2">
      <w:pPr>
        <w:pStyle w:val="Sinespaciado1"/>
        <w:spacing w:line="312" w:lineRule="auto"/>
        <w:ind w:right="51" w:firstLine="2835"/>
        <w:jc w:val="both"/>
        <w:rPr>
          <w:rFonts w:ascii="Gadugi" w:hAnsi="Gadugi" w:cs="Arial"/>
          <w:lang w:val="es-CO"/>
        </w:rPr>
      </w:pPr>
      <w:r w:rsidRPr="005C697E">
        <w:rPr>
          <w:rFonts w:ascii="Gadugi" w:hAnsi="Gadugi" w:cs="Arial"/>
        </w:rPr>
        <w:t xml:space="preserve">Reiteradamente se ha expuesto que </w:t>
      </w:r>
      <w:r w:rsidRPr="005C697E">
        <w:rPr>
          <w:rFonts w:ascii="Gadugi" w:hAnsi="Gadugi"/>
        </w:rPr>
        <w:t xml:space="preserve">a pesar de la </w:t>
      </w:r>
      <w:proofErr w:type="spellStart"/>
      <w:r w:rsidRPr="005C697E">
        <w:rPr>
          <w:rFonts w:ascii="Gadugi" w:hAnsi="Gadugi"/>
        </w:rPr>
        <w:t>inexequibilidad</w:t>
      </w:r>
      <w:proofErr w:type="spellEnd"/>
      <w:r w:rsidRPr="005C697E">
        <w:rPr>
          <w:rFonts w:ascii="Gadugi" w:hAnsi="Gadugi"/>
        </w:rPr>
        <w:t xml:space="preserve"> de las normas que en el Decreto 2591 de 1991 preveían la acción de tutela contra providencias judiciales</w:t>
      </w:r>
      <w:r w:rsidRPr="005C697E">
        <w:rPr>
          <w:rStyle w:val="Refdenotaalpie"/>
          <w:rFonts w:ascii="Gadugi" w:hAnsi="Gadugi"/>
        </w:rPr>
        <w:footnoteReference w:id="1"/>
      </w:r>
      <w:r w:rsidRPr="005C697E">
        <w:rPr>
          <w:rFonts w:ascii="Gadugi" w:hAnsi="Gadugi"/>
        </w:rPr>
        <w:t xml:space="preserve">, tal mecanismo se abre paso en aquellos eventos en los que se incurra en una vía de hecho, o como se denominan ahora, criterios de </w:t>
      </w:r>
      <w:proofErr w:type="spellStart"/>
      <w:r w:rsidRPr="005C697E">
        <w:rPr>
          <w:rFonts w:ascii="Gadugi" w:hAnsi="Gadugi"/>
        </w:rPr>
        <w:t>procedibilidad</w:t>
      </w:r>
      <w:proofErr w:type="spellEnd"/>
      <w:r w:rsidRPr="005C697E">
        <w:rPr>
          <w:rFonts w:ascii="Gadugi" w:hAnsi="Gadugi"/>
        </w:rPr>
        <w:t xml:space="preserve"> de la acción de tutela contra decisiones de los jueces, en que solo cabe un amparo de esta naturaleza en la medida en que concurra alguna </w:t>
      </w:r>
      <w:r w:rsidRPr="005C697E">
        <w:rPr>
          <w:rFonts w:ascii="Gadugi" w:hAnsi="Gadugi"/>
        </w:rPr>
        <w:lastRenderedPageBreak/>
        <w:t>de las causales generales o específicas, delineadas por la Corte Constitucional</w:t>
      </w:r>
      <w:r w:rsidRPr="005C697E">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5C697E">
        <w:rPr>
          <w:rFonts w:ascii="Gadugi" w:hAnsi="Gadugi" w:cs="Arial"/>
          <w:lang w:val="es-419"/>
        </w:rPr>
        <w:t xml:space="preserve"> </w:t>
      </w:r>
      <w:r w:rsidRPr="005C697E">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6535A2" w:rsidRPr="005C697E" w:rsidRDefault="006535A2" w:rsidP="006535A2">
      <w:pPr>
        <w:pStyle w:val="Sinespaciado1"/>
        <w:spacing w:line="312" w:lineRule="auto"/>
        <w:ind w:right="51"/>
        <w:jc w:val="both"/>
        <w:rPr>
          <w:rFonts w:ascii="Gadugi" w:hAnsi="Gadugi"/>
          <w:lang w:val="es-419"/>
        </w:rPr>
      </w:pPr>
    </w:p>
    <w:p w:rsidR="006535A2" w:rsidRPr="005C697E" w:rsidRDefault="006535A2" w:rsidP="006535A2">
      <w:pPr>
        <w:pStyle w:val="Textoindependiente210"/>
        <w:spacing w:line="312" w:lineRule="auto"/>
        <w:rPr>
          <w:rFonts w:ascii="Gadugi" w:hAnsi="Gadugi"/>
          <w:lang w:val="es-419"/>
        </w:rPr>
      </w:pPr>
      <w:r w:rsidRPr="005C697E">
        <w:rPr>
          <w:rFonts w:ascii="Gadugi" w:hAnsi="Gadugi"/>
          <w:lang w:val="es-419"/>
        </w:rPr>
        <w:t xml:space="preserve">Para la Sala no todos los requisitos generales </w:t>
      </w:r>
      <w:r w:rsidRPr="005C697E">
        <w:rPr>
          <w:rFonts w:ascii="Gadugi" w:hAnsi="Gadugi"/>
        </w:rPr>
        <w:t>se satisfacen</w:t>
      </w:r>
      <w:r w:rsidRPr="005C697E">
        <w:rPr>
          <w:rFonts w:ascii="Gadugi" w:hAnsi="Gadugi"/>
          <w:lang w:val="es-419"/>
        </w:rPr>
        <w:t xml:space="preserve">. </w:t>
      </w:r>
    </w:p>
    <w:p w:rsidR="006535A2" w:rsidRPr="005C697E" w:rsidRDefault="006535A2" w:rsidP="006535A2">
      <w:pPr>
        <w:pStyle w:val="Textoindependiente210"/>
        <w:spacing w:line="312" w:lineRule="auto"/>
        <w:rPr>
          <w:rFonts w:ascii="Gadugi" w:hAnsi="Gadugi"/>
          <w:lang w:val="es-419"/>
        </w:rPr>
      </w:pPr>
    </w:p>
    <w:p w:rsidR="006535A2" w:rsidRPr="005C697E" w:rsidRDefault="006535A2" w:rsidP="006535A2">
      <w:pPr>
        <w:pStyle w:val="Textoindependiente210"/>
        <w:spacing w:line="312" w:lineRule="auto"/>
        <w:rPr>
          <w:rFonts w:ascii="Gadugi" w:hAnsi="Gadugi"/>
          <w:lang w:val="es-419"/>
        </w:rPr>
      </w:pPr>
      <w:r w:rsidRPr="005C697E">
        <w:rPr>
          <w:rFonts w:ascii="Gadugi" w:hAnsi="Gadugi"/>
          <w:lang w:val="es-419"/>
        </w:rPr>
        <w:t xml:space="preserve">Por una parte, si </w:t>
      </w:r>
      <w:r>
        <w:rPr>
          <w:rFonts w:ascii="Gadugi" w:hAnsi="Gadugi"/>
          <w:lang w:val="es-CO"/>
        </w:rPr>
        <w:t>el auto que rechazó la demanda</w:t>
      </w:r>
      <w:r w:rsidRPr="005C697E">
        <w:rPr>
          <w:rFonts w:ascii="Gadugi" w:hAnsi="Gadugi"/>
          <w:lang w:val="es-419"/>
        </w:rPr>
        <w:t xml:space="preserve"> y orden</w:t>
      </w:r>
      <w:proofErr w:type="spellStart"/>
      <w:r>
        <w:rPr>
          <w:rFonts w:ascii="Gadugi" w:hAnsi="Gadugi"/>
          <w:lang w:val="es-CO"/>
        </w:rPr>
        <w:t>ó</w:t>
      </w:r>
      <w:proofErr w:type="spellEnd"/>
      <w:r>
        <w:rPr>
          <w:rFonts w:ascii="Gadugi" w:hAnsi="Gadugi"/>
          <w:lang w:val="es-CO"/>
        </w:rPr>
        <w:t xml:space="preserve"> su remisión a otra ciudad, gestión materializada a partir del auto que </w:t>
      </w:r>
      <w:r>
        <w:rPr>
          <w:rFonts w:ascii="Gadugi" w:hAnsi="Gadugi"/>
          <w:lang w:val="es-419"/>
        </w:rPr>
        <w:t xml:space="preserve">se abstuvo de </w:t>
      </w:r>
      <w:proofErr w:type="spellStart"/>
      <w:r>
        <w:rPr>
          <w:rFonts w:ascii="Gadugi" w:hAnsi="Gadugi"/>
          <w:lang w:val="es-CO"/>
        </w:rPr>
        <w:t>rep</w:t>
      </w:r>
      <w:proofErr w:type="spellEnd"/>
      <w:r>
        <w:rPr>
          <w:rFonts w:ascii="Gadugi" w:hAnsi="Gadugi"/>
          <w:lang w:val="es-419"/>
        </w:rPr>
        <w:t>oner</w:t>
      </w:r>
      <w:r>
        <w:rPr>
          <w:rFonts w:ascii="Gadugi" w:hAnsi="Gadugi"/>
          <w:lang w:val="es-CO"/>
        </w:rPr>
        <w:t xml:space="preserve"> tal resolución, data del mes de diciembre del año 2015</w:t>
      </w:r>
      <w:r w:rsidRPr="005C697E">
        <w:rPr>
          <w:rFonts w:ascii="Gadugi" w:hAnsi="Gadugi"/>
          <w:lang w:val="es-CO"/>
        </w:rPr>
        <w:t>,</w:t>
      </w:r>
      <w:r w:rsidRPr="005C697E">
        <w:rPr>
          <w:rFonts w:ascii="Gadugi" w:hAnsi="Gadugi"/>
          <w:lang w:val="es-419"/>
        </w:rPr>
        <w:t xml:space="preserve"> es claro que se rompe la regla de la inmediatez</w:t>
      </w:r>
      <w:r w:rsidRPr="005C697E">
        <w:rPr>
          <w:rFonts w:ascii="Gadugi" w:hAnsi="Gadugi"/>
        </w:rPr>
        <w:t xml:space="preserve">, </w:t>
      </w:r>
      <w:r w:rsidRPr="005C697E">
        <w:rPr>
          <w:rFonts w:ascii="Gadugi" w:hAnsi="Gadugi"/>
          <w:lang w:val="es-419"/>
        </w:rPr>
        <w:t xml:space="preserve">propia de esta clase de actuaciones, pues entre esa fecha y </w:t>
      </w:r>
      <w:r>
        <w:rPr>
          <w:rFonts w:ascii="Gadugi" w:hAnsi="Gadugi"/>
          <w:lang w:val="es-419"/>
        </w:rPr>
        <w:t>la de promoción del amparo (</w:t>
      </w:r>
      <w:r>
        <w:rPr>
          <w:rFonts w:ascii="Gadugi" w:hAnsi="Gadugi"/>
          <w:lang w:val="es-CO"/>
        </w:rPr>
        <w:t>octubre</w:t>
      </w:r>
      <w:r w:rsidRPr="005C697E">
        <w:rPr>
          <w:rFonts w:ascii="Gadugi" w:hAnsi="Gadugi"/>
          <w:lang w:val="es-419"/>
        </w:rPr>
        <w:t xml:space="preserve"> de 2016), transcurrieron más de seis meses, que es el tiempo que se estima razonable para procurar por esta vía el quiebre de una decisión judicial, sin que se exprese o pruebe razón alguna que hubiera impedido hacerlo antes. </w:t>
      </w:r>
    </w:p>
    <w:p w:rsidR="006535A2" w:rsidRPr="005C697E" w:rsidRDefault="006535A2" w:rsidP="006535A2">
      <w:pPr>
        <w:pStyle w:val="Textoindependiente210"/>
        <w:spacing w:line="312" w:lineRule="auto"/>
        <w:rPr>
          <w:rFonts w:ascii="Gadugi" w:hAnsi="Gadugi"/>
          <w:lang w:val="es-419"/>
        </w:rPr>
      </w:pPr>
    </w:p>
    <w:p w:rsidR="006535A2" w:rsidRPr="005C697E" w:rsidRDefault="006535A2" w:rsidP="006535A2">
      <w:pPr>
        <w:pStyle w:val="Textoindependiente210"/>
        <w:spacing w:line="312" w:lineRule="auto"/>
        <w:rPr>
          <w:rFonts w:ascii="Gadugi" w:hAnsi="Gadugi"/>
          <w:lang w:val="es-CO"/>
        </w:rPr>
      </w:pPr>
      <w:r w:rsidRPr="005C697E">
        <w:rPr>
          <w:rFonts w:ascii="Gadugi" w:hAnsi="Gadugi"/>
          <w:lang w:val="es-419"/>
        </w:rPr>
        <w:t xml:space="preserve">Y aun </w:t>
      </w:r>
      <w:r>
        <w:rPr>
          <w:rFonts w:ascii="Gadugi" w:hAnsi="Gadugi"/>
          <w:lang w:val="es-419"/>
        </w:rPr>
        <w:t xml:space="preserve">si se diera por </w:t>
      </w:r>
      <w:r w:rsidRPr="005C697E">
        <w:rPr>
          <w:rFonts w:ascii="Gadugi" w:hAnsi="Gadugi"/>
          <w:lang w:val="es-419"/>
        </w:rPr>
        <w:t xml:space="preserve">superado este escollo, se tiene que si </w:t>
      </w:r>
      <w:r>
        <w:rPr>
          <w:rFonts w:ascii="Gadugi" w:hAnsi="Gadugi"/>
          <w:lang w:val="es-CO"/>
        </w:rPr>
        <w:t xml:space="preserve">el Juzgado al que le hubiere sido asignada o se le asigne la respectiva acción popular </w:t>
      </w:r>
      <w:r>
        <w:rPr>
          <w:rFonts w:ascii="Gadugi" w:hAnsi="Gadugi"/>
          <w:lang w:val="es-419"/>
        </w:rPr>
        <w:t xml:space="preserve">-lo que no fue posible concretar en este trámite, según la constancia que antecede-, </w:t>
      </w:r>
      <w:r>
        <w:rPr>
          <w:rFonts w:ascii="Gadugi" w:hAnsi="Gadugi"/>
          <w:lang w:val="es-CO"/>
        </w:rPr>
        <w:t xml:space="preserve">situación que de la que debe estar atento el interesado, si es que </w:t>
      </w:r>
      <w:r w:rsidRPr="005C697E">
        <w:rPr>
          <w:rFonts w:ascii="Gadugi" w:hAnsi="Gadugi"/>
          <w:lang w:val="es-419"/>
        </w:rPr>
        <w:t>no h</w:t>
      </w:r>
      <w:r>
        <w:rPr>
          <w:rFonts w:ascii="Gadugi" w:hAnsi="Gadugi"/>
          <w:lang w:val="es-419"/>
        </w:rPr>
        <w:t>ubiera</w:t>
      </w:r>
      <w:r w:rsidRPr="005C697E">
        <w:rPr>
          <w:rFonts w:ascii="Gadugi" w:hAnsi="Gadugi"/>
          <w:lang w:val="es-419"/>
        </w:rPr>
        <w:t xml:space="preserve"> tomado ninguna determinación, </w:t>
      </w:r>
      <w:proofErr w:type="spellStart"/>
      <w:r w:rsidRPr="005C697E">
        <w:rPr>
          <w:rFonts w:ascii="Gadugi" w:hAnsi="Gadugi"/>
        </w:rPr>
        <w:t>est</w:t>
      </w:r>
      <w:proofErr w:type="spellEnd"/>
      <w:r w:rsidRPr="005C697E">
        <w:rPr>
          <w:rFonts w:ascii="Gadugi" w:hAnsi="Gadugi"/>
          <w:lang w:val="es-419"/>
        </w:rPr>
        <w:t>aría</w:t>
      </w:r>
      <w:r w:rsidRPr="005C697E">
        <w:rPr>
          <w:rFonts w:ascii="Gadugi" w:hAnsi="Gadugi"/>
        </w:rPr>
        <w:t xml:space="preserve"> </w:t>
      </w:r>
      <w:r w:rsidRPr="005C697E">
        <w:rPr>
          <w:rFonts w:ascii="Gadugi" w:hAnsi="Gadugi"/>
          <w:lang w:val="es-CO"/>
        </w:rPr>
        <w:t xml:space="preserve">por </w:t>
      </w:r>
      <w:r w:rsidRPr="005C697E">
        <w:rPr>
          <w:rFonts w:ascii="Gadugi" w:hAnsi="Gadugi"/>
          <w:lang w:val="es-419"/>
        </w:rPr>
        <w:t xml:space="preserve">definirse lo relativo a la competencia, porque es sabido que al recibir </w:t>
      </w:r>
      <w:r>
        <w:rPr>
          <w:rFonts w:ascii="Gadugi" w:hAnsi="Gadugi"/>
          <w:lang w:val="es-CO"/>
        </w:rPr>
        <w:t>el expediente</w:t>
      </w:r>
      <w:r w:rsidRPr="005C697E">
        <w:rPr>
          <w:rFonts w:ascii="Gadugi" w:hAnsi="Gadugi"/>
          <w:lang w:val="es-419"/>
        </w:rPr>
        <w:t xml:space="preserve"> </w:t>
      </w:r>
      <w:r>
        <w:rPr>
          <w:rFonts w:ascii="Gadugi" w:hAnsi="Gadugi"/>
          <w:lang w:val="es-CO"/>
        </w:rPr>
        <w:t>respectivo</w:t>
      </w:r>
      <w:r w:rsidRPr="005C697E">
        <w:rPr>
          <w:rFonts w:ascii="Gadugi" w:hAnsi="Gadugi"/>
          <w:lang w:val="es-419"/>
        </w:rPr>
        <w:t>, tendría</w:t>
      </w:r>
      <w:r>
        <w:rPr>
          <w:rFonts w:ascii="Gadugi" w:hAnsi="Gadugi"/>
          <w:lang w:val="es-419"/>
        </w:rPr>
        <w:t xml:space="preserve"> l</w:t>
      </w:r>
      <w:r w:rsidRPr="005C697E">
        <w:rPr>
          <w:rFonts w:ascii="Gadugi" w:hAnsi="Gadugi"/>
          <w:lang w:val="es-419"/>
        </w:rPr>
        <w:t xml:space="preserve">a opción de asumir la </w:t>
      </w:r>
      <w:r w:rsidRPr="005C697E">
        <w:rPr>
          <w:rFonts w:ascii="Gadugi" w:hAnsi="Gadugi"/>
          <w:lang w:val="es-CO"/>
        </w:rPr>
        <w:t>misma</w:t>
      </w:r>
      <w:r w:rsidRPr="005C697E">
        <w:rPr>
          <w:rFonts w:ascii="Gadugi" w:hAnsi="Gadugi"/>
          <w:lang w:val="es-419"/>
        </w:rPr>
        <w:t xml:space="preserve"> o, en caso contrario, generar </w:t>
      </w:r>
      <w:r w:rsidRPr="005C697E">
        <w:rPr>
          <w:rFonts w:ascii="Gadugi" w:hAnsi="Gadugi"/>
          <w:lang w:val="es-CO"/>
        </w:rPr>
        <w:t>el</w:t>
      </w:r>
      <w:r w:rsidRPr="005C697E">
        <w:rPr>
          <w:rFonts w:ascii="Gadugi" w:hAnsi="Gadugi"/>
          <w:lang w:val="es-419"/>
        </w:rPr>
        <w:t xml:space="preserve"> conflicto correspondiente</w:t>
      </w:r>
      <w:r w:rsidRPr="005C697E">
        <w:rPr>
          <w:rFonts w:ascii="Gadugi" w:hAnsi="Gadugi"/>
          <w:lang w:val="es-CO"/>
        </w:rPr>
        <w:t xml:space="preserve">. Y si ya </w:t>
      </w:r>
      <w:r>
        <w:rPr>
          <w:rFonts w:ascii="Gadugi" w:hAnsi="Gadugi"/>
          <w:lang w:val="es-CO"/>
        </w:rPr>
        <w:t xml:space="preserve">se </w:t>
      </w:r>
      <w:r w:rsidRPr="005C697E">
        <w:rPr>
          <w:rFonts w:ascii="Gadugi" w:hAnsi="Gadugi"/>
          <w:lang w:val="es-CO"/>
        </w:rPr>
        <w:t>hubiera</w:t>
      </w:r>
      <w:r>
        <w:rPr>
          <w:rFonts w:ascii="Gadugi" w:hAnsi="Gadugi"/>
          <w:lang w:val="es-CO"/>
        </w:rPr>
        <w:t xml:space="preserve"> </w:t>
      </w:r>
      <w:r w:rsidRPr="005C697E">
        <w:rPr>
          <w:rFonts w:ascii="Gadugi" w:hAnsi="Gadugi"/>
          <w:lang w:val="es-CO"/>
        </w:rPr>
        <w:t>asumido, al actor le quedaba expedito el camino para refutar</w:t>
      </w:r>
      <w:r>
        <w:rPr>
          <w:rFonts w:ascii="Gadugi" w:hAnsi="Gadugi"/>
          <w:lang w:val="es-CO"/>
        </w:rPr>
        <w:t xml:space="preserve"> tal determinación.</w:t>
      </w:r>
      <w:r w:rsidRPr="005C697E">
        <w:rPr>
          <w:rFonts w:ascii="Gadugi" w:hAnsi="Gadugi"/>
          <w:lang w:val="es-CO"/>
        </w:rPr>
        <w:t xml:space="preserve"> Si ello es así, </w:t>
      </w:r>
      <w:r>
        <w:rPr>
          <w:rFonts w:ascii="Gadugi" w:hAnsi="Gadugi"/>
          <w:lang w:val="es-419"/>
        </w:rPr>
        <w:t xml:space="preserve">en el primer caso </w:t>
      </w:r>
      <w:r w:rsidRPr="005C697E">
        <w:rPr>
          <w:rFonts w:ascii="Gadugi" w:hAnsi="Gadugi"/>
          <w:lang w:val="es-CO"/>
        </w:rPr>
        <w:t>queda</w:t>
      </w:r>
      <w:r>
        <w:rPr>
          <w:rFonts w:ascii="Gadugi" w:hAnsi="Gadugi"/>
          <w:lang w:val="es-419"/>
        </w:rPr>
        <w:t>ría</w:t>
      </w:r>
      <w:r w:rsidRPr="005C697E">
        <w:rPr>
          <w:rFonts w:ascii="Gadugi" w:hAnsi="Gadugi"/>
          <w:lang w:val="es-419"/>
        </w:rPr>
        <w:t xml:space="preserve"> al descubierto lo prematuro de</w:t>
      </w:r>
      <w:r w:rsidRPr="005C697E">
        <w:rPr>
          <w:rFonts w:ascii="Gadugi" w:hAnsi="Gadugi"/>
          <w:lang w:val="es-CO"/>
        </w:rPr>
        <w:t>l presente trámite</w:t>
      </w:r>
      <w:r w:rsidRPr="005C697E">
        <w:rPr>
          <w:rFonts w:ascii="Gadugi" w:hAnsi="Gadugi"/>
          <w:lang w:val="es-419"/>
        </w:rPr>
        <w:t xml:space="preserve">, pues en el camino habría </w:t>
      </w:r>
      <w:r>
        <w:rPr>
          <w:rFonts w:ascii="Gadugi" w:hAnsi="Gadugi"/>
          <w:lang w:val="es-CO"/>
        </w:rPr>
        <w:t xml:space="preserve">unas </w:t>
      </w:r>
      <w:r>
        <w:rPr>
          <w:rFonts w:ascii="Gadugi" w:hAnsi="Gadugi"/>
          <w:lang w:val="es-419"/>
        </w:rPr>
        <w:t xml:space="preserve">alternativas </w:t>
      </w:r>
      <w:r w:rsidRPr="005C697E">
        <w:rPr>
          <w:rFonts w:ascii="Gadugi" w:hAnsi="Gadugi"/>
          <w:lang w:val="es-419"/>
        </w:rPr>
        <w:t>pa</w:t>
      </w:r>
      <w:r>
        <w:rPr>
          <w:rFonts w:ascii="Gadugi" w:hAnsi="Gadugi"/>
          <w:lang w:val="es-419"/>
        </w:rPr>
        <w:t xml:space="preserve">ra el accionante de recurrir la providencia </w:t>
      </w:r>
      <w:r w:rsidRPr="005C697E">
        <w:rPr>
          <w:rFonts w:ascii="Gadugi" w:hAnsi="Gadugi"/>
          <w:lang w:val="es-419"/>
        </w:rPr>
        <w:t xml:space="preserve">que eventualmente se dicte, lo que indica que se incumple </w:t>
      </w:r>
      <w:r w:rsidRPr="005C697E">
        <w:rPr>
          <w:rFonts w:ascii="Gadugi" w:hAnsi="Gadugi"/>
          <w:lang w:val="es-419"/>
        </w:rPr>
        <w:lastRenderedPageBreak/>
        <w:t>el requisito de la subsidiariedad, ya que exist</w:t>
      </w:r>
      <w:r>
        <w:rPr>
          <w:rFonts w:ascii="Gadugi" w:hAnsi="Gadugi"/>
          <w:lang w:val="es-419"/>
        </w:rPr>
        <w:t>iría</w:t>
      </w:r>
      <w:r w:rsidRPr="005C697E">
        <w:rPr>
          <w:rFonts w:ascii="Gadugi" w:hAnsi="Gadugi"/>
          <w:lang w:val="es-419"/>
        </w:rPr>
        <w:t xml:space="preserve"> </w:t>
      </w:r>
      <w:r>
        <w:rPr>
          <w:rFonts w:ascii="Gadugi" w:hAnsi="Gadugi"/>
          <w:lang w:val="es-419"/>
        </w:rPr>
        <w:t>otro remedio</w:t>
      </w:r>
      <w:r w:rsidRPr="005C697E">
        <w:rPr>
          <w:rFonts w:ascii="Gadugi" w:hAnsi="Gadugi"/>
          <w:lang w:val="es-419"/>
        </w:rPr>
        <w:t xml:space="preserve"> de defensa judicial por agotar. Y en el segundo igual, </w:t>
      </w:r>
      <w:r w:rsidRPr="005C697E">
        <w:rPr>
          <w:rFonts w:ascii="Gadugi" w:hAnsi="Gadugi"/>
          <w:lang w:val="es-CO"/>
        </w:rPr>
        <w:t xml:space="preserve">pues, no hay evidencia alguna sobre la gestión que </w:t>
      </w:r>
      <w:r>
        <w:rPr>
          <w:rFonts w:ascii="Gadugi" w:hAnsi="Gadugi"/>
          <w:lang w:val="es-CO"/>
        </w:rPr>
        <w:t xml:space="preserve">se </w:t>
      </w:r>
      <w:r w:rsidRPr="005C697E">
        <w:rPr>
          <w:rFonts w:ascii="Gadugi" w:hAnsi="Gadugi"/>
          <w:lang w:val="es-CO"/>
        </w:rPr>
        <w:t xml:space="preserve">hubiese efectuado dentro de </w:t>
      </w:r>
      <w:r>
        <w:rPr>
          <w:rFonts w:ascii="Gadugi" w:hAnsi="Gadugi"/>
          <w:lang w:val="es-CO"/>
        </w:rPr>
        <w:t>la concerniente demanda</w:t>
      </w:r>
      <w:r w:rsidRPr="005C697E">
        <w:rPr>
          <w:rFonts w:ascii="Gadugi" w:hAnsi="Gadugi"/>
          <w:lang w:val="es-CO"/>
        </w:rPr>
        <w:t xml:space="preserve">, si es que no se </w:t>
      </w:r>
      <w:r>
        <w:rPr>
          <w:rFonts w:ascii="Gadugi" w:hAnsi="Gadugi"/>
          <w:lang w:val="es-CO"/>
        </w:rPr>
        <w:t xml:space="preserve">ha </w:t>
      </w:r>
      <w:r w:rsidRPr="005C697E">
        <w:rPr>
          <w:rFonts w:ascii="Gadugi" w:hAnsi="Gadugi"/>
          <w:lang w:val="es-CO"/>
        </w:rPr>
        <w:t>reneg</w:t>
      </w:r>
      <w:r>
        <w:rPr>
          <w:rFonts w:ascii="Gadugi" w:hAnsi="Gadugi"/>
          <w:lang w:val="es-CO"/>
        </w:rPr>
        <w:t>ado</w:t>
      </w:r>
      <w:r w:rsidRPr="005C697E">
        <w:rPr>
          <w:rFonts w:ascii="Gadugi" w:hAnsi="Gadugi"/>
          <w:lang w:val="es-CO"/>
        </w:rPr>
        <w:t xml:space="preserve"> de la competencia.</w:t>
      </w:r>
    </w:p>
    <w:p w:rsidR="006535A2" w:rsidRPr="005C697E" w:rsidRDefault="006535A2" w:rsidP="006535A2">
      <w:pPr>
        <w:pStyle w:val="Textoindependiente210"/>
        <w:spacing w:line="312" w:lineRule="auto"/>
        <w:rPr>
          <w:rFonts w:ascii="Gadugi" w:hAnsi="Gadugi"/>
          <w:lang w:val="es-CO"/>
        </w:rPr>
      </w:pPr>
      <w:r w:rsidRPr="005C697E">
        <w:rPr>
          <w:rFonts w:ascii="Gadugi" w:hAnsi="Gadugi"/>
          <w:lang w:val="es-CO"/>
        </w:rPr>
        <w:t xml:space="preserve">   </w:t>
      </w:r>
    </w:p>
    <w:p w:rsidR="006535A2" w:rsidRPr="00AF36C1" w:rsidRDefault="006535A2" w:rsidP="006535A2">
      <w:pPr>
        <w:pStyle w:val="Textoindependiente210"/>
        <w:spacing w:line="312" w:lineRule="auto"/>
        <w:rPr>
          <w:rFonts w:ascii="Gadugi" w:hAnsi="Gadugi"/>
          <w:lang w:val="es-419"/>
        </w:rPr>
      </w:pPr>
      <w:r w:rsidRPr="005C697E">
        <w:rPr>
          <w:rFonts w:ascii="Gadugi" w:hAnsi="Gadugi"/>
          <w:lang w:val="es-419"/>
        </w:rPr>
        <w:t xml:space="preserve">Por consiguiente, en los términos del numeral 1° del artículo 6 del Decreto 2591 de 1991, </w:t>
      </w:r>
      <w:r>
        <w:rPr>
          <w:rFonts w:ascii="Gadugi" w:hAnsi="Gadugi"/>
          <w:lang w:val="es-CO"/>
        </w:rPr>
        <w:t>en cuanto al despacho judicial demandado, la acción habrá de declararse improcedente</w:t>
      </w:r>
      <w:r w:rsidRPr="005C697E">
        <w:rPr>
          <w:rFonts w:ascii="Gadugi" w:hAnsi="Gadugi"/>
          <w:lang w:val="es-419"/>
        </w:rPr>
        <w:t>.</w:t>
      </w:r>
    </w:p>
    <w:p w:rsidR="006535A2" w:rsidRPr="005C697E" w:rsidRDefault="006535A2" w:rsidP="006535A2">
      <w:pPr>
        <w:spacing w:line="312" w:lineRule="auto"/>
        <w:jc w:val="both"/>
        <w:rPr>
          <w:rFonts w:ascii="Gadugi" w:hAnsi="Gadugi"/>
          <w:sz w:val="24"/>
          <w:szCs w:val="24"/>
        </w:rPr>
      </w:pPr>
      <w:r w:rsidRPr="005C697E">
        <w:rPr>
          <w:rFonts w:ascii="Gadugi" w:hAnsi="Gadugi"/>
          <w:sz w:val="24"/>
          <w:szCs w:val="24"/>
        </w:rPr>
        <w:t xml:space="preserve">  </w:t>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p>
    <w:p w:rsidR="006535A2" w:rsidRPr="005C697E" w:rsidRDefault="006535A2" w:rsidP="006535A2">
      <w:pPr>
        <w:spacing w:line="312" w:lineRule="auto"/>
        <w:ind w:right="51"/>
        <w:jc w:val="both"/>
        <w:rPr>
          <w:rFonts w:ascii="Gadugi" w:hAnsi="Gadugi" w:cs="Arial"/>
          <w:sz w:val="24"/>
          <w:szCs w:val="24"/>
        </w:rPr>
      </w:pPr>
      <w:r w:rsidRPr="005C697E">
        <w:rPr>
          <w:rFonts w:ascii="Gadugi" w:hAnsi="Gadugi" w:cs="Arial"/>
          <w:b/>
          <w:sz w:val="24"/>
          <w:szCs w:val="24"/>
        </w:rPr>
        <w:tab/>
      </w:r>
      <w:r w:rsidRPr="005C697E">
        <w:rPr>
          <w:rFonts w:ascii="Gadugi" w:hAnsi="Gadugi" w:cs="Arial"/>
          <w:b/>
          <w:sz w:val="24"/>
          <w:szCs w:val="24"/>
        </w:rPr>
        <w:tab/>
      </w:r>
      <w:r w:rsidRPr="005C697E">
        <w:rPr>
          <w:rFonts w:ascii="Gadugi" w:hAnsi="Gadugi" w:cs="Arial"/>
          <w:b/>
          <w:sz w:val="24"/>
          <w:szCs w:val="24"/>
        </w:rPr>
        <w:tab/>
      </w:r>
      <w:r w:rsidRPr="005C697E">
        <w:rPr>
          <w:rFonts w:ascii="Gadugi" w:hAnsi="Gadugi" w:cs="Arial"/>
          <w:b/>
          <w:sz w:val="24"/>
          <w:szCs w:val="24"/>
        </w:rPr>
        <w:tab/>
      </w:r>
      <w:r w:rsidRPr="005C697E">
        <w:rPr>
          <w:rFonts w:ascii="Gadugi" w:hAnsi="Gadugi" w:cs="Arial"/>
          <w:sz w:val="24"/>
          <w:szCs w:val="24"/>
        </w:rPr>
        <w:t>Se absolverá a las demás entidades vinculadas, por no hallar de su parte trasgresión alguna respecto de los derechos invocados en amparo.</w:t>
      </w:r>
    </w:p>
    <w:p w:rsidR="006535A2" w:rsidRPr="005C697E" w:rsidRDefault="006535A2" w:rsidP="006535A2">
      <w:pPr>
        <w:spacing w:line="312" w:lineRule="auto"/>
        <w:ind w:right="51"/>
        <w:jc w:val="both"/>
        <w:rPr>
          <w:rFonts w:ascii="Gadugi" w:hAnsi="Gadugi" w:cs="Arial"/>
          <w:sz w:val="24"/>
          <w:szCs w:val="24"/>
          <w:lang w:val="es-CO"/>
        </w:rPr>
      </w:pPr>
    </w:p>
    <w:p w:rsidR="006535A2" w:rsidRPr="005C697E" w:rsidRDefault="006535A2" w:rsidP="006535A2">
      <w:pPr>
        <w:pStyle w:val="Textoindependiente210"/>
        <w:spacing w:line="312" w:lineRule="auto"/>
        <w:rPr>
          <w:rFonts w:ascii="Gadugi" w:hAnsi="Gadugi"/>
          <w:lang w:val="es-419"/>
        </w:rPr>
      </w:pPr>
      <w:r w:rsidRPr="005C697E">
        <w:rPr>
          <w:rFonts w:ascii="Gadugi" w:hAnsi="Gadugi"/>
          <w:lang w:val="es-419"/>
        </w:rPr>
        <w:t xml:space="preserve"> </w:t>
      </w:r>
    </w:p>
    <w:p w:rsidR="006535A2" w:rsidRPr="005C697E" w:rsidRDefault="006535A2" w:rsidP="006535A2">
      <w:pPr>
        <w:spacing w:line="312" w:lineRule="auto"/>
        <w:ind w:firstLine="2835"/>
        <w:jc w:val="both"/>
        <w:rPr>
          <w:rFonts w:ascii="Gadugi" w:hAnsi="Gadugi" w:cs="Arial"/>
          <w:b/>
          <w:sz w:val="24"/>
          <w:szCs w:val="24"/>
        </w:rPr>
      </w:pPr>
      <w:r w:rsidRPr="005C697E">
        <w:rPr>
          <w:rFonts w:ascii="Gadugi" w:hAnsi="Gadugi" w:cs="Arial"/>
          <w:b/>
          <w:sz w:val="24"/>
          <w:szCs w:val="24"/>
        </w:rPr>
        <w:t>DECISIÓN</w:t>
      </w:r>
    </w:p>
    <w:p w:rsidR="006535A2" w:rsidRPr="005C697E" w:rsidRDefault="006535A2" w:rsidP="006535A2">
      <w:pPr>
        <w:spacing w:line="312" w:lineRule="auto"/>
        <w:ind w:firstLine="2835"/>
        <w:jc w:val="both"/>
        <w:rPr>
          <w:rFonts w:ascii="Gadugi" w:hAnsi="Gadugi"/>
          <w:sz w:val="24"/>
          <w:szCs w:val="24"/>
        </w:rPr>
      </w:pPr>
    </w:p>
    <w:p w:rsidR="006535A2" w:rsidRPr="005C697E" w:rsidRDefault="006535A2" w:rsidP="006535A2">
      <w:pPr>
        <w:spacing w:line="312" w:lineRule="auto"/>
        <w:ind w:firstLine="2835"/>
        <w:jc w:val="both"/>
        <w:rPr>
          <w:rFonts w:ascii="Gadugi" w:hAnsi="Gadugi"/>
          <w:sz w:val="24"/>
          <w:szCs w:val="24"/>
        </w:rPr>
      </w:pPr>
    </w:p>
    <w:p w:rsidR="006535A2" w:rsidRPr="005C697E" w:rsidRDefault="006535A2" w:rsidP="006535A2">
      <w:pPr>
        <w:spacing w:line="312" w:lineRule="auto"/>
        <w:ind w:firstLine="2835"/>
        <w:jc w:val="both"/>
        <w:rPr>
          <w:rFonts w:ascii="Gadugi" w:hAnsi="Gadugi"/>
          <w:b/>
          <w:sz w:val="24"/>
          <w:szCs w:val="24"/>
        </w:rPr>
      </w:pPr>
      <w:r w:rsidRPr="005C697E">
        <w:rPr>
          <w:rFonts w:ascii="Gadugi" w:hAnsi="Gadugi"/>
          <w:sz w:val="24"/>
          <w:szCs w:val="24"/>
        </w:rPr>
        <w:t xml:space="preserve">Por lo expuesto, el </w:t>
      </w:r>
      <w:r w:rsidRPr="005C697E">
        <w:rPr>
          <w:rFonts w:ascii="Gadugi" w:hAnsi="Gadugi"/>
          <w:b/>
          <w:sz w:val="24"/>
          <w:szCs w:val="24"/>
        </w:rPr>
        <w:t>Tribunal Superior del Distrito Judicial de Pereira, Sala de Decisión Civil-Familia</w:t>
      </w:r>
      <w:r w:rsidRPr="005C697E">
        <w:rPr>
          <w:rFonts w:ascii="Gadugi" w:hAnsi="Gadugi"/>
          <w:sz w:val="24"/>
          <w:szCs w:val="24"/>
        </w:rPr>
        <w:t xml:space="preserve">, administrando justicia en nombre de la República y por autoridad de la ley, </w:t>
      </w:r>
      <w:r w:rsidRPr="005C697E">
        <w:rPr>
          <w:rFonts w:ascii="Gadugi" w:hAnsi="Gadugi"/>
          <w:b/>
          <w:sz w:val="24"/>
          <w:szCs w:val="24"/>
        </w:rPr>
        <w:t xml:space="preserve">DECLARA IMPROCEDENTE </w:t>
      </w:r>
      <w:r w:rsidRPr="005C697E">
        <w:rPr>
          <w:rFonts w:ascii="Gadugi" w:hAnsi="Gadugi"/>
          <w:sz w:val="24"/>
          <w:szCs w:val="24"/>
        </w:rPr>
        <w:t xml:space="preserve">la protección reclamada contra el </w:t>
      </w:r>
      <w:r w:rsidRPr="005C697E">
        <w:rPr>
          <w:rFonts w:ascii="Gadugi" w:hAnsi="Gadugi"/>
          <w:b/>
          <w:sz w:val="24"/>
          <w:szCs w:val="24"/>
        </w:rPr>
        <w:t xml:space="preserve">Juzgado Civil del Circuito </w:t>
      </w:r>
      <w:r>
        <w:rPr>
          <w:rFonts w:ascii="Gadugi" w:hAnsi="Gadugi"/>
          <w:sz w:val="24"/>
          <w:szCs w:val="24"/>
        </w:rPr>
        <w:t xml:space="preserve">de </w:t>
      </w:r>
      <w:r>
        <w:rPr>
          <w:rFonts w:ascii="Gadugi" w:hAnsi="Gadugi"/>
          <w:b/>
          <w:sz w:val="24"/>
          <w:szCs w:val="24"/>
        </w:rPr>
        <w:t>Santa Rosa de Cabal</w:t>
      </w:r>
      <w:r w:rsidRPr="005C697E">
        <w:rPr>
          <w:rFonts w:ascii="Gadugi" w:hAnsi="Gadugi"/>
          <w:b/>
          <w:sz w:val="24"/>
          <w:szCs w:val="24"/>
        </w:rPr>
        <w:t>.</w:t>
      </w:r>
    </w:p>
    <w:p w:rsidR="006535A2" w:rsidRPr="005C697E" w:rsidRDefault="006535A2" w:rsidP="006535A2">
      <w:pPr>
        <w:spacing w:line="312" w:lineRule="auto"/>
        <w:jc w:val="both"/>
        <w:rPr>
          <w:rFonts w:ascii="Gadugi" w:hAnsi="Gadugi"/>
          <w:sz w:val="24"/>
          <w:szCs w:val="24"/>
        </w:rPr>
      </w:pPr>
    </w:p>
    <w:p w:rsidR="006535A2" w:rsidRPr="005C697E" w:rsidRDefault="006535A2" w:rsidP="006535A2">
      <w:pPr>
        <w:spacing w:line="312" w:lineRule="auto"/>
        <w:ind w:firstLine="2835"/>
        <w:jc w:val="both"/>
        <w:rPr>
          <w:rFonts w:ascii="Gadugi" w:hAnsi="Gadugi"/>
          <w:sz w:val="24"/>
          <w:szCs w:val="24"/>
        </w:rPr>
      </w:pPr>
      <w:r w:rsidRPr="005C697E">
        <w:rPr>
          <w:rFonts w:ascii="Gadugi" w:hAnsi="Gadugi"/>
          <w:sz w:val="24"/>
          <w:szCs w:val="24"/>
        </w:rPr>
        <w:t xml:space="preserve">Se absuelve a las entidades </w:t>
      </w:r>
      <w:r>
        <w:rPr>
          <w:rFonts w:ascii="Gadugi" w:hAnsi="Gadugi"/>
          <w:sz w:val="24"/>
          <w:szCs w:val="24"/>
        </w:rPr>
        <w:t xml:space="preserve">citadas </w:t>
      </w:r>
      <w:r w:rsidRPr="005C697E">
        <w:rPr>
          <w:rFonts w:ascii="Gadugi" w:hAnsi="Gadugi"/>
          <w:sz w:val="24"/>
          <w:szCs w:val="24"/>
        </w:rPr>
        <w:t>al asunto.</w:t>
      </w:r>
    </w:p>
    <w:p w:rsidR="006535A2" w:rsidRPr="005C697E" w:rsidRDefault="006535A2" w:rsidP="006535A2">
      <w:pPr>
        <w:spacing w:line="312" w:lineRule="auto"/>
        <w:ind w:firstLine="2835"/>
        <w:jc w:val="both"/>
        <w:rPr>
          <w:rFonts w:ascii="Gadugi" w:hAnsi="Gadugi"/>
          <w:sz w:val="24"/>
          <w:szCs w:val="24"/>
        </w:rPr>
      </w:pPr>
    </w:p>
    <w:p w:rsidR="006535A2" w:rsidRPr="005C697E" w:rsidRDefault="006535A2" w:rsidP="006535A2">
      <w:pPr>
        <w:spacing w:line="312" w:lineRule="auto"/>
        <w:ind w:firstLine="2835"/>
        <w:jc w:val="both"/>
        <w:rPr>
          <w:rFonts w:ascii="Gadugi" w:hAnsi="Gadugi"/>
          <w:sz w:val="24"/>
          <w:szCs w:val="24"/>
        </w:rPr>
      </w:pPr>
    </w:p>
    <w:p w:rsidR="006535A2" w:rsidRPr="005C697E" w:rsidRDefault="006535A2" w:rsidP="006535A2">
      <w:pPr>
        <w:spacing w:line="312" w:lineRule="auto"/>
        <w:ind w:firstLine="2835"/>
        <w:jc w:val="both"/>
        <w:rPr>
          <w:rFonts w:ascii="Gadugi" w:hAnsi="Gadugi"/>
          <w:sz w:val="24"/>
          <w:szCs w:val="24"/>
        </w:rPr>
      </w:pPr>
      <w:r w:rsidRPr="005C697E">
        <w:rPr>
          <w:rFonts w:ascii="Gadugi" w:hAnsi="Gadugi"/>
          <w:sz w:val="24"/>
          <w:szCs w:val="24"/>
        </w:rPr>
        <w:t>Notifíquese la decisión a las partes en la forma prevista en el artículo 5º del Decreto 306 de 1992 y si no es impugnada remítase a la Corte Constitucional para su eventual revisión.</w:t>
      </w:r>
    </w:p>
    <w:p w:rsidR="006535A2" w:rsidRPr="005C697E" w:rsidRDefault="006535A2" w:rsidP="006535A2">
      <w:pPr>
        <w:spacing w:line="312" w:lineRule="auto"/>
        <w:ind w:firstLine="2835"/>
        <w:jc w:val="both"/>
        <w:rPr>
          <w:rFonts w:ascii="Gadugi" w:hAnsi="Gadugi"/>
          <w:sz w:val="24"/>
          <w:szCs w:val="24"/>
        </w:rPr>
      </w:pPr>
    </w:p>
    <w:p w:rsidR="006535A2" w:rsidRPr="005C697E" w:rsidRDefault="006535A2" w:rsidP="006535A2">
      <w:pPr>
        <w:spacing w:line="312" w:lineRule="auto"/>
        <w:ind w:firstLine="2835"/>
        <w:jc w:val="both"/>
        <w:rPr>
          <w:rFonts w:ascii="Gadugi" w:hAnsi="Gadugi" w:cs="Century Gothic"/>
          <w:bCs/>
          <w:sz w:val="24"/>
          <w:szCs w:val="24"/>
        </w:rPr>
      </w:pPr>
      <w:r w:rsidRPr="005C697E">
        <w:rPr>
          <w:rFonts w:ascii="Gadugi" w:hAnsi="Gadugi" w:cs="Century Gothic"/>
          <w:bCs/>
          <w:sz w:val="24"/>
          <w:szCs w:val="24"/>
        </w:rPr>
        <w:t>Una vez regrese el asunto, si el fallo no fuere objeto de alzada, ni revisado, se dispone el archivo del mismo, sin más trámites.</w:t>
      </w:r>
    </w:p>
    <w:p w:rsidR="006535A2" w:rsidRPr="005C697E" w:rsidRDefault="006535A2" w:rsidP="006535A2">
      <w:pPr>
        <w:spacing w:line="312" w:lineRule="auto"/>
        <w:ind w:firstLine="2835"/>
        <w:jc w:val="both"/>
        <w:rPr>
          <w:rFonts w:ascii="Gadugi" w:hAnsi="Gadugi"/>
          <w:sz w:val="24"/>
          <w:szCs w:val="24"/>
        </w:rPr>
      </w:pPr>
    </w:p>
    <w:p w:rsidR="006535A2" w:rsidRPr="005C697E" w:rsidRDefault="006535A2" w:rsidP="006535A2">
      <w:pPr>
        <w:spacing w:line="312" w:lineRule="auto"/>
        <w:ind w:firstLine="2835"/>
        <w:jc w:val="both"/>
        <w:rPr>
          <w:rFonts w:ascii="Gadugi" w:hAnsi="Gadugi"/>
          <w:sz w:val="24"/>
          <w:szCs w:val="24"/>
        </w:rPr>
      </w:pPr>
    </w:p>
    <w:p w:rsidR="006535A2" w:rsidRPr="005C697E" w:rsidRDefault="006535A2" w:rsidP="006535A2">
      <w:pPr>
        <w:spacing w:line="312" w:lineRule="auto"/>
        <w:ind w:right="51" w:firstLine="2835"/>
        <w:jc w:val="both"/>
        <w:rPr>
          <w:rFonts w:ascii="Gadugi" w:hAnsi="Gadugi"/>
          <w:bCs/>
          <w:sz w:val="24"/>
          <w:szCs w:val="24"/>
        </w:rPr>
      </w:pPr>
      <w:r w:rsidRPr="005C697E">
        <w:rPr>
          <w:rFonts w:ascii="Gadugi" w:hAnsi="Gadugi"/>
          <w:bCs/>
          <w:sz w:val="24"/>
          <w:szCs w:val="24"/>
        </w:rPr>
        <w:t>Los Magistrados,</w:t>
      </w:r>
    </w:p>
    <w:p w:rsidR="006535A2" w:rsidRPr="005C697E" w:rsidRDefault="006535A2" w:rsidP="006535A2">
      <w:pPr>
        <w:pStyle w:val="Ttulo1"/>
        <w:spacing w:line="312" w:lineRule="auto"/>
        <w:ind w:firstLine="2835"/>
        <w:rPr>
          <w:rFonts w:ascii="Gadugi" w:hAnsi="Gadugi"/>
          <w:b w:val="0"/>
          <w:szCs w:val="24"/>
          <w:lang w:val="es-CO"/>
        </w:rPr>
      </w:pPr>
    </w:p>
    <w:p w:rsidR="006535A2" w:rsidRPr="005C697E" w:rsidRDefault="006535A2" w:rsidP="006535A2">
      <w:pPr>
        <w:spacing w:line="312" w:lineRule="auto"/>
        <w:rPr>
          <w:rFonts w:ascii="Gadugi" w:hAnsi="Gadugi"/>
          <w:sz w:val="24"/>
          <w:szCs w:val="24"/>
          <w:lang w:val="es-ES_tradnl"/>
        </w:rPr>
      </w:pPr>
    </w:p>
    <w:p w:rsidR="006535A2" w:rsidRPr="005C697E" w:rsidRDefault="006535A2" w:rsidP="006535A2">
      <w:pPr>
        <w:spacing w:line="312" w:lineRule="auto"/>
        <w:rPr>
          <w:rFonts w:ascii="Gadugi" w:hAnsi="Gadugi"/>
          <w:sz w:val="24"/>
          <w:szCs w:val="24"/>
          <w:lang w:val="es-ES_tradnl"/>
        </w:rPr>
      </w:pPr>
    </w:p>
    <w:p w:rsidR="006535A2" w:rsidRPr="005C697E" w:rsidRDefault="006535A2" w:rsidP="006535A2">
      <w:pPr>
        <w:spacing w:line="312" w:lineRule="auto"/>
        <w:rPr>
          <w:rFonts w:ascii="Gadugi" w:hAnsi="Gadugi"/>
          <w:sz w:val="24"/>
          <w:szCs w:val="24"/>
          <w:lang w:val="es-ES_tradnl"/>
        </w:rPr>
      </w:pPr>
    </w:p>
    <w:p w:rsidR="006535A2" w:rsidRPr="005C697E" w:rsidRDefault="006535A2" w:rsidP="006535A2">
      <w:pPr>
        <w:pStyle w:val="Ttulo1"/>
        <w:spacing w:line="312" w:lineRule="auto"/>
        <w:ind w:firstLine="708"/>
        <w:rPr>
          <w:rFonts w:ascii="Gadugi" w:hAnsi="Gadugi"/>
          <w:bCs/>
          <w:szCs w:val="24"/>
        </w:rPr>
      </w:pPr>
      <w:r w:rsidRPr="005C697E">
        <w:rPr>
          <w:rFonts w:ascii="Gadugi" w:hAnsi="Gadugi"/>
          <w:bCs/>
          <w:szCs w:val="24"/>
        </w:rPr>
        <w:t>JAIME ALBERTO SARAZA NARANJO</w:t>
      </w:r>
    </w:p>
    <w:p w:rsidR="006535A2" w:rsidRPr="005C697E" w:rsidRDefault="006535A2" w:rsidP="006535A2">
      <w:pPr>
        <w:spacing w:line="312" w:lineRule="auto"/>
        <w:ind w:firstLine="2835"/>
        <w:rPr>
          <w:rFonts w:ascii="Gadugi" w:hAnsi="Gadugi"/>
          <w:b/>
          <w:sz w:val="24"/>
          <w:szCs w:val="24"/>
          <w:lang w:val="es-ES_tradnl"/>
        </w:rPr>
      </w:pPr>
    </w:p>
    <w:p w:rsidR="006535A2" w:rsidRPr="005C697E" w:rsidRDefault="006535A2" w:rsidP="006535A2">
      <w:pPr>
        <w:spacing w:line="312" w:lineRule="auto"/>
        <w:ind w:firstLine="2835"/>
        <w:rPr>
          <w:rFonts w:ascii="Gadugi" w:hAnsi="Gadugi"/>
          <w:b/>
          <w:sz w:val="24"/>
          <w:szCs w:val="24"/>
          <w:lang w:val="es-ES_tradnl"/>
        </w:rPr>
      </w:pPr>
    </w:p>
    <w:p w:rsidR="006535A2" w:rsidRPr="005C697E" w:rsidRDefault="006535A2" w:rsidP="006535A2">
      <w:pPr>
        <w:spacing w:line="312" w:lineRule="auto"/>
        <w:ind w:firstLine="2835"/>
        <w:rPr>
          <w:rFonts w:ascii="Gadugi" w:hAnsi="Gadugi"/>
          <w:b/>
          <w:sz w:val="24"/>
          <w:szCs w:val="24"/>
          <w:lang w:val="es-ES_tradnl"/>
        </w:rPr>
      </w:pPr>
    </w:p>
    <w:p w:rsidR="006535A2" w:rsidRPr="005C697E" w:rsidRDefault="006535A2" w:rsidP="006535A2">
      <w:pPr>
        <w:spacing w:line="312" w:lineRule="auto"/>
        <w:ind w:firstLine="2835"/>
        <w:rPr>
          <w:rFonts w:ascii="Gadugi" w:hAnsi="Gadugi"/>
          <w:b/>
          <w:sz w:val="24"/>
          <w:szCs w:val="24"/>
          <w:lang w:val="es-ES_tradnl"/>
        </w:rPr>
      </w:pPr>
    </w:p>
    <w:p w:rsidR="006535A2" w:rsidRPr="005C697E" w:rsidRDefault="006535A2" w:rsidP="006535A2">
      <w:pPr>
        <w:spacing w:line="312" w:lineRule="auto"/>
        <w:rPr>
          <w:rFonts w:ascii="Gadugi" w:hAnsi="Gadugi"/>
          <w:b/>
          <w:sz w:val="24"/>
          <w:szCs w:val="24"/>
          <w:lang w:val="es-ES_tradnl"/>
        </w:rPr>
      </w:pPr>
      <w:r w:rsidRPr="005C697E">
        <w:rPr>
          <w:rFonts w:ascii="Gadugi" w:hAnsi="Gadugi"/>
          <w:b/>
          <w:sz w:val="24"/>
          <w:szCs w:val="24"/>
          <w:lang w:val="es-ES_tradnl"/>
        </w:rPr>
        <w:t xml:space="preserve">CLAUDIA MARÍA ARCILA RÍOS              </w:t>
      </w:r>
      <w:r>
        <w:rPr>
          <w:rFonts w:ascii="Gadugi" w:hAnsi="Gadugi"/>
          <w:b/>
          <w:sz w:val="24"/>
          <w:szCs w:val="24"/>
          <w:lang w:val="es-ES_tradnl"/>
        </w:rPr>
        <w:t xml:space="preserve">      </w:t>
      </w:r>
      <w:r w:rsidRPr="005C697E">
        <w:rPr>
          <w:rFonts w:ascii="Gadugi" w:hAnsi="Gadugi"/>
          <w:b/>
          <w:sz w:val="24"/>
          <w:szCs w:val="24"/>
          <w:lang w:val="es-ES_tradnl"/>
        </w:rPr>
        <w:t xml:space="preserve">   </w:t>
      </w:r>
      <w:proofErr w:type="spellStart"/>
      <w:r w:rsidRPr="005C697E">
        <w:rPr>
          <w:rFonts w:ascii="Gadugi" w:hAnsi="Gadugi"/>
          <w:b/>
          <w:sz w:val="24"/>
          <w:szCs w:val="24"/>
          <w:lang w:val="es-ES_tradnl"/>
        </w:rPr>
        <w:t>DUBERNEY</w:t>
      </w:r>
      <w:proofErr w:type="spellEnd"/>
      <w:r w:rsidRPr="005C697E">
        <w:rPr>
          <w:rFonts w:ascii="Gadugi" w:hAnsi="Gadugi"/>
          <w:b/>
          <w:sz w:val="24"/>
          <w:szCs w:val="24"/>
          <w:lang w:val="es-ES_tradnl"/>
        </w:rPr>
        <w:t xml:space="preserve"> GRISALES HERRERA</w:t>
      </w:r>
    </w:p>
    <w:p w:rsidR="00D5123A" w:rsidRDefault="00D5123A"/>
    <w:sectPr w:rsidR="00D5123A" w:rsidSect="006535A2">
      <w:headerReference w:type="default" r:id="rId6"/>
      <w:footerReference w:type="default" r:id="rId7"/>
      <w:pgSz w:w="12242" w:h="18705" w:code="120"/>
      <w:pgMar w:top="2268" w:right="1701" w:bottom="1985" w:left="1701" w:header="567"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89" w:rsidRDefault="00843689" w:rsidP="006535A2">
      <w:r>
        <w:separator/>
      </w:r>
    </w:p>
  </w:endnote>
  <w:endnote w:type="continuationSeparator" w:id="0">
    <w:p w:rsidR="00843689" w:rsidRDefault="00843689" w:rsidP="0065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286638">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7817">
      <w:rPr>
        <w:rStyle w:val="Nmerodepgina"/>
        <w:noProof/>
      </w:rPr>
      <w:t>6</w:t>
    </w:r>
    <w:r>
      <w:rPr>
        <w:rStyle w:val="Nmerodepgina"/>
      </w:rPr>
      <w:fldChar w:fldCharType="end"/>
    </w:r>
  </w:p>
  <w:p w:rsidR="00E86AA4" w:rsidRDefault="0084368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89" w:rsidRDefault="00843689" w:rsidP="006535A2">
      <w:r>
        <w:separator/>
      </w:r>
    </w:p>
  </w:footnote>
  <w:footnote w:type="continuationSeparator" w:id="0">
    <w:p w:rsidR="00843689" w:rsidRDefault="00843689" w:rsidP="006535A2">
      <w:r>
        <w:continuationSeparator/>
      </w:r>
    </w:p>
  </w:footnote>
  <w:footnote w:id="1">
    <w:p w:rsidR="006535A2" w:rsidRPr="00B55FCB" w:rsidRDefault="006535A2" w:rsidP="006535A2">
      <w:pPr>
        <w:pStyle w:val="Textonotapie"/>
        <w:rPr>
          <w:rFonts w:ascii="Agency FB" w:hAnsi="Agency FB"/>
          <w:sz w:val="24"/>
          <w:szCs w:val="24"/>
          <w:lang w:val="es-CO"/>
        </w:rPr>
      </w:pPr>
      <w:r w:rsidRPr="00B55FCB">
        <w:rPr>
          <w:rStyle w:val="Refdenotaalpie"/>
          <w:rFonts w:ascii="Agency FB" w:hAnsi="Agency FB"/>
          <w:sz w:val="24"/>
          <w:szCs w:val="24"/>
        </w:rPr>
        <w:footnoteRef/>
      </w:r>
      <w:r w:rsidRPr="00B55FCB">
        <w:rPr>
          <w:rFonts w:ascii="Agency FB" w:hAnsi="Agency FB"/>
          <w:sz w:val="24"/>
          <w:szCs w:val="24"/>
          <w:vertAlign w:val="superscript"/>
        </w:rPr>
        <w:t xml:space="preserve"> </w:t>
      </w:r>
      <w:r w:rsidRPr="00B55FCB">
        <w:rPr>
          <w:rFonts w:ascii="Agency FB" w:hAnsi="Agency FB"/>
          <w:sz w:val="24"/>
          <w:szCs w:val="24"/>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286638"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F1"/>
    <w:rsid w:val="00217817"/>
    <w:rsid w:val="00286638"/>
    <w:rsid w:val="004F46F1"/>
    <w:rsid w:val="005B66F6"/>
    <w:rsid w:val="006535A2"/>
    <w:rsid w:val="007722FC"/>
    <w:rsid w:val="00843689"/>
    <w:rsid w:val="00862F5B"/>
    <w:rsid w:val="00B120CF"/>
    <w:rsid w:val="00BD4F7A"/>
    <w:rsid w:val="00D51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7A1E1-7E74-43E1-977D-0B7D0A7E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535A2"/>
    <w:pPr>
      <w:keepNext/>
      <w:spacing w:line="360" w:lineRule="auto"/>
      <w:ind w:left="2124" w:firstLine="711"/>
      <w:jc w:val="both"/>
      <w:outlineLvl w:val="0"/>
    </w:pPr>
    <w:rPr>
      <w:rFonts w:ascii="Arial Narrow" w:hAnsi="Arial Narrow"/>
      <w:b/>
      <w:sz w:val="24"/>
    </w:rPr>
  </w:style>
  <w:style w:type="paragraph" w:styleId="Ttulo4">
    <w:name w:val="heading 4"/>
    <w:basedOn w:val="Normal"/>
    <w:next w:val="Normal"/>
    <w:link w:val="Ttulo4Car"/>
    <w:qFormat/>
    <w:rsid w:val="006535A2"/>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35A2"/>
    <w:rPr>
      <w:rFonts w:ascii="Arial Narrow" w:eastAsia="Times New Roman" w:hAnsi="Arial Narrow" w:cs="Times New Roman"/>
      <w:b/>
      <w:sz w:val="24"/>
      <w:szCs w:val="20"/>
      <w:lang w:eastAsia="es-ES"/>
    </w:rPr>
  </w:style>
  <w:style w:type="character" w:customStyle="1" w:styleId="Ttulo4Car">
    <w:name w:val="Título 4 Car"/>
    <w:basedOn w:val="Fuentedeprrafopredeter"/>
    <w:link w:val="Ttulo4"/>
    <w:rsid w:val="006535A2"/>
    <w:rPr>
      <w:rFonts w:ascii="Perpetua" w:eastAsia="Times New Roman" w:hAnsi="Perpetua" w:cs="Times New Roman"/>
      <w:sz w:val="28"/>
      <w:szCs w:val="20"/>
      <w:lang w:val="es-MX" w:eastAsia="es-ES"/>
    </w:rPr>
  </w:style>
  <w:style w:type="paragraph" w:styleId="Piedepgina">
    <w:name w:val="footer"/>
    <w:basedOn w:val="Normal"/>
    <w:link w:val="PiedepginaCar"/>
    <w:rsid w:val="006535A2"/>
    <w:pPr>
      <w:tabs>
        <w:tab w:val="center" w:pos="4419"/>
        <w:tab w:val="right" w:pos="8838"/>
      </w:tabs>
    </w:pPr>
  </w:style>
  <w:style w:type="character" w:customStyle="1" w:styleId="PiedepginaCar">
    <w:name w:val="Pie de página Car"/>
    <w:basedOn w:val="Fuentedeprrafopredeter"/>
    <w:link w:val="Piedepgina"/>
    <w:rsid w:val="006535A2"/>
    <w:rPr>
      <w:rFonts w:ascii="Times New Roman" w:eastAsia="Times New Roman" w:hAnsi="Times New Roman" w:cs="Times New Roman"/>
      <w:sz w:val="20"/>
      <w:szCs w:val="20"/>
      <w:lang w:eastAsia="es-ES"/>
    </w:rPr>
  </w:style>
  <w:style w:type="character" w:styleId="Nmerodepgina">
    <w:name w:val="page number"/>
    <w:rsid w:val="006535A2"/>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6535A2"/>
  </w:style>
  <w:style w:type="character" w:customStyle="1" w:styleId="TextonotapieCar">
    <w:name w:val="Texto nota pie Car"/>
    <w:basedOn w:val="Fuentedeprrafopredeter"/>
    <w:uiPriority w:val="99"/>
    <w:semiHidden/>
    <w:rsid w:val="006535A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rsid w:val="006535A2"/>
    <w:rPr>
      <w:rFonts w:cs="Times New Roman"/>
      <w:vertAlign w:val="superscript"/>
    </w:rPr>
  </w:style>
  <w:style w:type="paragraph" w:customStyle="1" w:styleId="Textoindependiente21">
    <w:name w:val="Texto independiente 21"/>
    <w:basedOn w:val="Normal"/>
    <w:rsid w:val="006535A2"/>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6535A2"/>
    <w:rPr>
      <w:rFonts w:ascii="Times New Roman" w:eastAsia="Times New Roman" w:hAnsi="Times New Roman" w:cs="Times New Roman"/>
      <w:sz w:val="20"/>
      <w:szCs w:val="20"/>
      <w:lang w:eastAsia="es-ES"/>
    </w:rPr>
  </w:style>
  <w:style w:type="paragraph" w:customStyle="1" w:styleId="Sinespaciado1">
    <w:name w:val="Sin espaciado1"/>
    <w:rsid w:val="006535A2"/>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6535A2"/>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5B66F6"/>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5B66F6"/>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1625</Words>
  <Characters>8940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2017-01-12T21:09:00Z</dcterms:created>
  <dcterms:modified xsi:type="dcterms:W3CDTF">2017-02-01T20:03:00Z</dcterms:modified>
</cp:coreProperties>
</file>