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60" w:rsidRPr="00591360" w:rsidRDefault="00591360" w:rsidP="00591360">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591360">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591360">
        <w:rPr>
          <w:rFonts w:ascii="Calibri" w:eastAsia="Calibri" w:hAnsi="Calibri" w:cs="Calibri"/>
          <w:color w:val="222222"/>
          <w:sz w:val="18"/>
          <w:szCs w:val="18"/>
          <w:lang w:val="es-CO" w:eastAsia="fr-FR"/>
        </w:rPr>
        <w:t> </w:t>
      </w:r>
    </w:p>
    <w:p w:rsidR="00591360" w:rsidRPr="00591360" w:rsidRDefault="00591360" w:rsidP="00591360">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591360">
        <w:rPr>
          <w:rFonts w:ascii="Calibri" w:hAnsi="Calibri" w:cs="Calibri"/>
          <w:color w:val="222222"/>
          <w:sz w:val="18"/>
          <w:szCs w:val="18"/>
          <w:lang w:val="es-CO" w:eastAsia="fr-FR"/>
        </w:rPr>
        <w:t>Providencia:</w:t>
      </w:r>
      <w:r w:rsidRPr="00591360">
        <w:rPr>
          <w:rFonts w:ascii="Calibri" w:hAnsi="Calibri" w:cs="Calibri"/>
          <w:color w:val="222222"/>
          <w:sz w:val="18"/>
          <w:szCs w:val="18"/>
          <w:lang w:val="es-CO" w:eastAsia="fr-FR"/>
        </w:rPr>
        <w:tab/>
        <w:t>SENTENCIA DE TUTELA – 1ª Instancia – 19 de diciembre de 2016</w:t>
      </w:r>
    </w:p>
    <w:p w:rsidR="00591360" w:rsidRPr="00591360" w:rsidRDefault="00591360" w:rsidP="00591360">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591360">
        <w:rPr>
          <w:rFonts w:ascii="Calibri" w:eastAsia="Calibri" w:hAnsi="Calibri" w:cs="Calibri"/>
          <w:color w:val="222222"/>
          <w:sz w:val="18"/>
          <w:szCs w:val="18"/>
          <w:lang w:val="es-CO" w:eastAsia="fr-FR"/>
        </w:rPr>
        <w:t>Radicación Nro. :</w:t>
      </w:r>
      <w:r w:rsidRPr="00591360">
        <w:rPr>
          <w:rFonts w:ascii="Calibri" w:eastAsia="Calibri" w:hAnsi="Calibri" w:cs="Calibri"/>
          <w:color w:val="222222"/>
          <w:sz w:val="18"/>
          <w:szCs w:val="18"/>
          <w:lang w:val="es-CO" w:eastAsia="fr-FR"/>
        </w:rPr>
        <w:tab/>
        <w:t xml:space="preserve">  </w:t>
      </w:r>
      <w:r w:rsidRPr="00591360">
        <w:rPr>
          <w:rFonts w:ascii="Calibri" w:eastAsia="Calibri" w:hAnsi="Calibri" w:cs="Calibri"/>
          <w:color w:val="222222"/>
          <w:sz w:val="18"/>
          <w:szCs w:val="18"/>
          <w:lang w:val="es-CO" w:eastAsia="fr-FR"/>
        </w:rPr>
        <w:tab/>
      </w:r>
      <w:r w:rsidRPr="00591360">
        <w:rPr>
          <w:rFonts w:ascii="Calibri" w:eastAsia="Calibri" w:hAnsi="Calibri" w:cs="Calibri"/>
          <w:color w:val="222222"/>
          <w:sz w:val="18"/>
          <w:szCs w:val="18"/>
          <w:lang w:eastAsia="fr-FR"/>
        </w:rPr>
        <w:t>66001-</w:t>
      </w:r>
      <w:r w:rsidRPr="00591360">
        <w:rPr>
          <w:rFonts w:ascii="Calibri" w:eastAsia="Calibri" w:hAnsi="Calibri" w:cs="Calibri"/>
          <w:color w:val="222222"/>
          <w:sz w:val="18"/>
          <w:szCs w:val="18"/>
          <w:lang w:val="es-419" w:eastAsia="fr-FR"/>
        </w:rPr>
        <w:t>22</w:t>
      </w:r>
      <w:r w:rsidRPr="00591360">
        <w:rPr>
          <w:rFonts w:ascii="Calibri" w:eastAsia="Calibri" w:hAnsi="Calibri" w:cs="Calibri"/>
          <w:color w:val="222222"/>
          <w:sz w:val="18"/>
          <w:szCs w:val="18"/>
          <w:lang w:eastAsia="fr-FR"/>
        </w:rPr>
        <w:t>-</w:t>
      </w:r>
      <w:r w:rsidRPr="00591360">
        <w:rPr>
          <w:rFonts w:ascii="Calibri" w:eastAsia="Calibri" w:hAnsi="Calibri" w:cs="Calibri"/>
          <w:color w:val="222222"/>
          <w:sz w:val="18"/>
          <w:szCs w:val="18"/>
          <w:lang w:val="es-419" w:eastAsia="fr-FR"/>
        </w:rPr>
        <w:t>13</w:t>
      </w:r>
      <w:r w:rsidRPr="00591360">
        <w:rPr>
          <w:rFonts w:ascii="Calibri" w:eastAsia="Calibri" w:hAnsi="Calibri" w:cs="Calibri"/>
          <w:color w:val="222222"/>
          <w:sz w:val="18"/>
          <w:szCs w:val="18"/>
          <w:lang w:eastAsia="fr-FR"/>
        </w:rPr>
        <w:t>-00</w:t>
      </w:r>
      <w:r w:rsidRPr="00591360">
        <w:rPr>
          <w:rFonts w:ascii="Calibri" w:eastAsia="Calibri" w:hAnsi="Calibri" w:cs="Calibri"/>
          <w:color w:val="222222"/>
          <w:sz w:val="18"/>
          <w:szCs w:val="18"/>
          <w:lang w:val="es-419" w:eastAsia="fr-FR"/>
        </w:rPr>
        <w:t>0</w:t>
      </w:r>
      <w:r w:rsidRPr="00591360">
        <w:rPr>
          <w:rFonts w:ascii="Calibri" w:eastAsia="Calibri" w:hAnsi="Calibri" w:cs="Calibri"/>
          <w:color w:val="222222"/>
          <w:sz w:val="18"/>
          <w:szCs w:val="18"/>
          <w:lang w:eastAsia="fr-FR"/>
        </w:rPr>
        <w:t>-201</w:t>
      </w:r>
      <w:r w:rsidRPr="00591360">
        <w:rPr>
          <w:rFonts w:ascii="Calibri" w:eastAsia="Calibri" w:hAnsi="Calibri" w:cs="Calibri"/>
          <w:color w:val="222222"/>
          <w:sz w:val="18"/>
          <w:szCs w:val="18"/>
          <w:lang w:val="es-419" w:eastAsia="fr-FR"/>
        </w:rPr>
        <w:t>6</w:t>
      </w:r>
      <w:r w:rsidRPr="00591360">
        <w:rPr>
          <w:rFonts w:ascii="Calibri" w:eastAsia="Calibri" w:hAnsi="Calibri" w:cs="Calibri"/>
          <w:color w:val="222222"/>
          <w:sz w:val="18"/>
          <w:szCs w:val="18"/>
          <w:lang w:eastAsia="fr-FR"/>
        </w:rPr>
        <w:t>-01126-00</w:t>
      </w:r>
      <w:r w:rsidRPr="00591360">
        <w:rPr>
          <w:rFonts w:ascii="Calibri" w:eastAsia="Calibri" w:hAnsi="Calibri" w:cs="Calibri"/>
          <w:color w:val="222222"/>
          <w:sz w:val="18"/>
          <w:szCs w:val="18"/>
          <w:lang w:eastAsia="fr-FR"/>
        </w:rPr>
        <w:tab/>
      </w:r>
    </w:p>
    <w:p w:rsidR="00591360" w:rsidRPr="00591360" w:rsidRDefault="00591360" w:rsidP="00591360">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591360">
        <w:rPr>
          <w:rFonts w:ascii="Calibri" w:eastAsia="Calibri" w:hAnsi="Calibri" w:cs="Calibri"/>
          <w:color w:val="222222"/>
          <w:sz w:val="18"/>
          <w:szCs w:val="18"/>
          <w:lang w:eastAsia="fr-FR"/>
        </w:rPr>
        <w:t xml:space="preserve"> </w:t>
      </w:r>
      <w:r w:rsidRPr="00591360">
        <w:rPr>
          <w:rFonts w:ascii="Calibri" w:eastAsia="Calibri" w:hAnsi="Calibri" w:cs="Calibri"/>
          <w:color w:val="222222"/>
          <w:sz w:val="18"/>
          <w:szCs w:val="18"/>
          <w:lang w:eastAsia="fr-FR"/>
        </w:rPr>
        <w:tab/>
        <w:t xml:space="preserve">         </w:t>
      </w:r>
      <w:r w:rsidRPr="00591360">
        <w:rPr>
          <w:rFonts w:ascii="Calibri" w:eastAsia="Calibri" w:hAnsi="Calibri" w:cs="Calibri"/>
          <w:color w:val="222222"/>
          <w:sz w:val="18"/>
          <w:szCs w:val="18"/>
          <w:lang w:eastAsia="fr-FR"/>
        </w:rPr>
        <w:tab/>
        <w:t xml:space="preserve"> 66001-</w:t>
      </w:r>
      <w:r w:rsidRPr="00591360">
        <w:rPr>
          <w:rFonts w:ascii="Calibri" w:eastAsia="Calibri" w:hAnsi="Calibri" w:cs="Calibri"/>
          <w:color w:val="222222"/>
          <w:sz w:val="18"/>
          <w:szCs w:val="18"/>
          <w:lang w:val="es-419" w:eastAsia="fr-FR"/>
        </w:rPr>
        <w:t>22</w:t>
      </w:r>
      <w:r w:rsidRPr="00591360">
        <w:rPr>
          <w:rFonts w:ascii="Calibri" w:eastAsia="Calibri" w:hAnsi="Calibri" w:cs="Calibri"/>
          <w:color w:val="222222"/>
          <w:sz w:val="18"/>
          <w:szCs w:val="18"/>
          <w:lang w:eastAsia="fr-FR"/>
        </w:rPr>
        <w:t>-</w:t>
      </w:r>
      <w:r w:rsidRPr="00591360">
        <w:rPr>
          <w:rFonts w:ascii="Calibri" w:eastAsia="Calibri" w:hAnsi="Calibri" w:cs="Calibri"/>
          <w:color w:val="222222"/>
          <w:sz w:val="18"/>
          <w:szCs w:val="18"/>
          <w:lang w:val="es-419" w:eastAsia="fr-FR"/>
        </w:rPr>
        <w:t>13</w:t>
      </w:r>
      <w:r w:rsidRPr="00591360">
        <w:rPr>
          <w:rFonts w:ascii="Calibri" w:eastAsia="Calibri" w:hAnsi="Calibri" w:cs="Calibri"/>
          <w:color w:val="222222"/>
          <w:sz w:val="18"/>
          <w:szCs w:val="18"/>
          <w:lang w:eastAsia="fr-FR"/>
        </w:rPr>
        <w:t>-00</w:t>
      </w:r>
      <w:r w:rsidRPr="00591360">
        <w:rPr>
          <w:rFonts w:ascii="Calibri" w:eastAsia="Calibri" w:hAnsi="Calibri" w:cs="Calibri"/>
          <w:color w:val="222222"/>
          <w:sz w:val="18"/>
          <w:szCs w:val="18"/>
          <w:lang w:val="es-419" w:eastAsia="fr-FR"/>
        </w:rPr>
        <w:t>0</w:t>
      </w:r>
      <w:r w:rsidRPr="00591360">
        <w:rPr>
          <w:rFonts w:ascii="Calibri" w:eastAsia="Calibri" w:hAnsi="Calibri" w:cs="Calibri"/>
          <w:color w:val="222222"/>
          <w:sz w:val="18"/>
          <w:szCs w:val="18"/>
          <w:lang w:eastAsia="fr-FR"/>
        </w:rPr>
        <w:t>-201</w:t>
      </w:r>
      <w:r w:rsidRPr="00591360">
        <w:rPr>
          <w:rFonts w:ascii="Calibri" w:eastAsia="Calibri" w:hAnsi="Calibri" w:cs="Calibri"/>
          <w:color w:val="222222"/>
          <w:sz w:val="18"/>
          <w:szCs w:val="18"/>
          <w:lang w:val="es-419" w:eastAsia="fr-FR"/>
        </w:rPr>
        <w:t>6</w:t>
      </w:r>
      <w:r w:rsidRPr="00591360">
        <w:rPr>
          <w:rFonts w:ascii="Calibri" w:eastAsia="Calibri" w:hAnsi="Calibri" w:cs="Calibri"/>
          <w:color w:val="222222"/>
          <w:sz w:val="18"/>
          <w:szCs w:val="18"/>
          <w:lang w:eastAsia="fr-FR"/>
        </w:rPr>
        <w:t>-01127-00</w:t>
      </w:r>
      <w:r w:rsidRPr="00591360">
        <w:rPr>
          <w:rFonts w:ascii="Calibri" w:eastAsia="Calibri" w:hAnsi="Calibri" w:cs="Calibri"/>
          <w:color w:val="222222"/>
          <w:sz w:val="18"/>
          <w:szCs w:val="18"/>
          <w:lang w:eastAsia="fr-FR"/>
        </w:rPr>
        <w:tab/>
      </w:r>
    </w:p>
    <w:p w:rsidR="00591360" w:rsidRPr="00591360" w:rsidRDefault="00591360" w:rsidP="00591360">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591360">
        <w:rPr>
          <w:rFonts w:ascii="Calibri" w:eastAsia="Calibri" w:hAnsi="Calibri" w:cs="Calibri"/>
          <w:color w:val="222222"/>
          <w:sz w:val="18"/>
          <w:szCs w:val="18"/>
          <w:lang w:val="es-CO" w:eastAsia="fr-FR"/>
        </w:rPr>
        <w:t>Accionante:</w:t>
      </w:r>
      <w:r w:rsidRPr="00591360">
        <w:rPr>
          <w:rFonts w:ascii="Calibri" w:eastAsia="Calibri" w:hAnsi="Calibri" w:cs="Calibri"/>
          <w:color w:val="222222"/>
          <w:sz w:val="18"/>
          <w:szCs w:val="18"/>
          <w:lang w:val="es-CO" w:eastAsia="fr-FR"/>
        </w:rPr>
        <w:tab/>
      </w:r>
      <w:r w:rsidRPr="00591360">
        <w:rPr>
          <w:rFonts w:ascii="Calibri" w:eastAsia="Calibri" w:hAnsi="Calibri" w:cs="Calibri"/>
          <w:color w:val="222222"/>
          <w:sz w:val="18"/>
          <w:szCs w:val="18"/>
          <w:lang w:val="es-CO" w:eastAsia="fr-FR"/>
        </w:rPr>
        <w:tab/>
      </w:r>
      <w:r w:rsidRPr="00591360">
        <w:rPr>
          <w:rFonts w:ascii="Calibri" w:eastAsia="Calibri" w:hAnsi="Calibri" w:cs="Calibri"/>
          <w:bCs/>
          <w:color w:val="222222"/>
          <w:sz w:val="18"/>
          <w:szCs w:val="18"/>
          <w:lang w:eastAsia="fr-FR"/>
        </w:rPr>
        <w:t xml:space="preserve">JAVIER ELÍAS ARIAS </w:t>
      </w:r>
      <w:proofErr w:type="spellStart"/>
      <w:r w:rsidRPr="00591360">
        <w:rPr>
          <w:rFonts w:ascii="Calibri" w:eastAsia="Calibri" w:hAnsi="Calibri" w:cs="Calibri"/>
          <w:bCs/>
          <w:color w:val="222222"/>
          <w:sz w:val="18"/>
          <w:szCs w:val="18"/>
          <w:lang w:eastAsia="fr-FR"/>
        </w:rPr>
        <w:t>IDÁRRAGA</w:t>
      </w:r>
      <w:proofErr w:type="spellEnd"/>
    </w:p>
    <w:p w:rsidR="00591360" w:rsidRPr="00591360" w:rsidRDefault="00591360" w:rsidP="00591360">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591360">
        <w:rPr>
          <w:rFonts w:ascii="Calibri" w:eastAsia="Calibri" w:hAnsi="Calibri" w:cs="Calibri"/>
          <w:bCs/>
          <w:color w:val="222222"/>
          <w:sz w:val="18"/>
          <w:szCs w:val="18"/>
          <w:lang w:val="es-ES_tradnl" w:eastAsia="fr-FR"/>
        </w:rPr>
        <w:t>A</w:t>
      </w:r>
      <w:proofErr w:type="spellStart"/>
      <w:r w:rsidRPr="00591360">
        <w:rPr>
          <w:rFonts w:ascii="Calibri" w:eastAsia="Calibri" w:hAnsi="Calibri" w:cs="Calibri"/>
          <w:color w:val="222222"/>
          <w:sz w:val="18"/>
          <w:szCs w:val="18"/>
          <w:lang w:val="es-CO" w:eastAsia="fr-FR"/>
        </w:rPr>
        <w:t>ccionados</w:t>
      </w:r>
      <w:proofErr w:type="spellEnd"/>
      <w:r w:rsidRPr="00591360">
        <w:rPr>
          <w:rFonts w:ascii="Calibri" w:eastAsia="Calibri" w:hAnsi="Calibri" w:cs="Calibri"/>
          <w:color w:val="222222"/>
          <w:sz w:val="18"/>
          <w:szCs w:val="18"/>
          <w:lang w:val="es-CO" w:eastAsia="fr-FR"/>
        </w:rPr>
        <w:t>:</w:t>
      </w:r>
      <w:r w:rsidRPr="00591360">
        <w:rPr>
          <w:rFonts w:ascii="Calibri" w:eastAsia="Calibri" w:hAnsi="Calibri" w:cs="Calibri"/>
          <w:color w:val="222222"/>
          <w:sz w:val="18"/>
          <w:szCs w:val="18"/>
          <w:lang w:val="es-CO" w:eastAsia="fr-FR"/>
        </w:rPr>
        <w:tab/>
        <w:t>     </w:t>
      </w:r>
      <w:r w:rsidRPr="00591360">
        <w:rPr>
          <w:rFonts w:ascii="Calibri" w:eastAsia="Calibri" w:hAnsi="Calibri" w:cs="Calibri"/>
          <w:color w:val="222222"/>
          <w:sz w:val="18"/>
          <w:szCs w:val="18"/>
          <w:lang w:val="es-CO" w:eastAsia="fr-FR"/>
        </w:rPr>
        <w:tab/>
      </w:r>
      <w:r w:rsidRPr="00591360">
        <w:rPr>
          <w:rFonts w:ascii="Calibri" w:eastAsia="Calibri" w:hAnsi="Calibri" w:cs="Calibri"/>
          <w:bCs/>
          <w:color w:val="222222"/>
          <w:sz w:val="18"/>
          <w:szCs w:val="18"/>
          <w:lang w:eastAsia="fr-FR"/>
        </w:rPr>
        <w:t>JUZGADO CUARTO CIVIL DEL CIRCUITO LOCAL y OTRO</w:t>
      </w:r>
    </w:p>
    <w:p w:rsidR="00591360" w:rsidRPr="00591360" w:rsidRDefault="00591360" w:rsidP="00591360">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591360">
        <w:rPr>
          <w:rFonts w:ascii="Calibri" w:eastAsia="Calibri" w:hAnsi="Calibri" w:cs="Calibri"/>
          <w:color w:val="222222"/>
          <w:sz w:val="18"/>
          <w:szCs w:val="18"/>
          <w:lang w:val="es-CO" w:eastAsia="fr-FR"/>
        </w:rPr>
        <w:t>Proceso:                </w:t>
      </w:r>
      <w:r w:rsidRPr="00591360">
        <w:rPr>
          <w:rFonts w:ascii="Calibri" w:eastAsia="Calibri" w:hAnsi="Calibri" w:cs="Calibri"/>
          <w:color w:val="222222"/>
          <w:sz w:val="18"/>
          <w:szCs w:val="18"/>
          <w:lang w:val="es-CO" w:eastAsia="fr-FR"/>
        </w:rPr>
        <w:tab/>
        <w:t xml:space="preserve">Acción de Tutela – Declara improcedente el amparo solicitado </w:t>
      </w:r>
    </w:p>
    <w:p w:rsidR="00591360" w:rsidRPr="00591360" w:rsidRDefault="00591360" w:rsidP="00591360">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591360">
        <w:rPr>
          <w:rFonts w:ascii="Calibri" w:eastAsia="Calibri" w:hAnsi="Calibri" w:cs="Calibri"/>
          <w:color w:val="222222"/>
          <w:sz w:val="18"/>
          <w:szCs w:val="18"/>
          <w:lang w:val="es-CO" w:eastAsia="fr-FR"/>
        </w:rPr>
        <w:t>Magistrado Ponente: </w:t>
      </w:r>
      <w:r w:rsidRPr="00591360">
        <w:rPr>
          <w:rFonts w:ascii="Calibri" w:eastAsia="Calibri" w:hAnsi="Calibri" w:cs="Calibri"/>
          <w:color w:val="222222"/>
          <w:sz w:val="18"/>
          <w:szCs w:val="18"/>
          <w:lang w:val="es-CO" w:eastAsia="fr-FR"/>
        </w:rPr>
        <w:tab/>
      </w:r>
      <w:r w:rsidRPr="00591360">
        <w:rPr>
          <w:rFonts w:ascii="Calibri" w:eastAsia="Calibri" w:hAnsi="Calibri" w:cs="Calibri"/>
          <w:bCs/>
          <w:iCs/>
          <w:color w:val="222222"/>
          <w:sz w:val="18"/>
          <w:szCs w:val="18"/>
          <w:lang w:eastAsia="fr-FR"/>
        </w:rPr>
        <w:t>JAIME ALBERTO SARAZA NARANJO</w:t>
      </w:r>
    </w:p>
    <w:p w:rsidR="00591360" w:rsidRPr="00591360" w:rsidRDefault="00591360" w:rsidP="00591360">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591360" w:rsidRPr="00591360" w:rsidRDefault="00591360" w:rsidP="00591360">
      <w:pPr>
        <w:shd w:val="clear" w:color="auto" w:fill="FFFFFF"/>
        <w:overflowPunct/>
        <w:autoSpaceDE/>
        <w:autoSpaceDN/>
        <w:adjustRightInd/>
        <w:spacing w:after="200"/>
        <w:jc w:val="both"/>
        <w:textAlignment w:val="auto"/>
        <w:rPr>
          <w:rFonts w:ascii="Calibri" w:eastAsia="Calibri" w:hAnsi="Calibri" w:cs="Calibri"/>
          <w:bCs/>
          <w:color w:val="222222"/>
          <w:sz w:val="18"/>
          <w:szCs w:val="18"/>
          <w:lang w:val="es-CO" w:eastAsia="fr-FR"/>
        </w:rPr>
      </w:pPr>
      <w:r w:rsidRPr="00591360">
        <w:rPr>
          <w:rFonts w:ascii="Calibri" w:eastAsia="Calibri" w:hAnsi="Calibri" w:cs="Calibri"/>
          <w:b/>
          <w:bCs/>
          <w:color w:val="222222"/>
          <w:sz w:val="18"/>
          <w:szCs w:val="18"/>
          <w:lang w:val="es-CO" w:eastAsia="fr-FR"/>
        </w:rPr>
        <w:t>Temas:</w:t>
      </w:r>
      <w:r w:rsidRPr="00591360">
        <w:rPr>
          <w:rFonts w:ascii="Calibri" w:eastAsia="Calibri" w:hAnsi="Calibri" w:cs="Calibri"/>
          <w:b/>
          <w:bCs/>
          <w:color w:val="222222"/>
          <w:sz w:val="18"/>
          <w:szCs w:val="18"/>
          <w:lang w:val="es-CO" w:eastAsia="fr-FR"/>
        </w:rPr>
        <w:tab/>
      </w:r>
      <w:r w:rsidRPr="00591360">
        <w:rPr>
          <w:rFonts w:ascii="Calibri" w:eastAsia="Calibri" w:hAnsi="Calibri" w:cs="Calibri"/>
          <w:b/>
          <w:bCs/>
          <w:color w:val="222222"/>
          <w:sz w:val="18"/>
          <w:szCs w:val="18"/>
          <w:lang w:val="es-CO" w:eastAsia="fr-FR"/>
        </w:rPr>
        <w:tab/>
      </w:r>
      <w:r w:rsidRPr="00591360">
        <w:rPr>
          <w:rFonts w:ascii="Calibri" w:eastAsia="Calibri" w:hAnsi="Calibri" w:cs="Calibri"/>
          <w:b/>
          <w:bCs/>
          <w:color w:val="222222"/>
          <w:sz w:val="18"/>
          <w:szCs w:val="18"/>
          <w:lang w:val="es-CO" w:eastAsia="fr-FR"/>
        </w:rPr>
        <w:tab/>
        <w:t xml:space="preserve">DEBIDO PROCESO / TUTELA CONTRA PROVIDENCIA JUDICIAL / RECHAZO DE ACCIONES POPULARES / IMPROCEDENCIA / CARÁCTER RESIDUAL DE LA ACCIÓN DE TUTELA </w:t>
      </w:r>
      <w:bookmarkStart w:id="0" w:name="_GoBack"/>
      <w:bookmarkEnd w:id="0"/>
      <w:r w:rsidRPr="00591360">
        <w:rPr>
          <w:rFonts w:ascii="Calibri" w:eastAsia="Calibri" w:hAnsi="Calibri" w:cs="Calibri"/>
          <w:b/>
          <w:bCs/>
          <w:color w:val="222222"/>
          <w:sz w:val="18"/>
          <w:szCs w:val="18"/>
          <w:lang w:val="es-CO" w:eastAsia="fr-FR"/>
        </w:rPr>
        <w:t xml:space="preserve">/ NO SE AGOTARON LOS RECURSOS. </w:t>
      </w:r>
      <w:r w:rsidRPr="00591360">
        <w:rPr>
          <w:rFonts w:ascii="Calibri" w:eastAsia="Calibri" w:hAnsi="Calibri" w:cs="Calibri"/>
          <w:bCs/>
          <w:color w:val="222222"/>
          <w:sz w:val="18"/>
          <w:szCs w:val="18"/>
          <w:lang w:val="es-CO" w:eastAsia="fr-FR"/>
        </w:rPr>
        <w:t>“</w:t>
      </w:r>
      <w:r w:rsidRPr="00591360">
        <w:rPr>
          <w:rFonts w:ascii="Calibri" w:eastAsia="Calibri" w:hAnsi="Calibri" w:cs="Calibri"/>
          <w:bCs/>
          <w:color w:val="222222"/>
          <w:sz w:val="18"/>
          <w:szCs w:val="18"/>
          <w:lang w:val="es-419" w:eastAsia="fr-FR"/>
        </w:rPr>
        <w:t>[S]</w:t>
      </w:r>
      <w:proofErr w:type="spellStart"/>
      <w:r w:rsidRPr="00591360">
        <w:rPr>
          <w:rFonts w:ascii="Calibri" w:eastAsia="Calibri" w:hAnsi="Calibri" w:cs="Calibri"/>
          <w:bCs/>
          <w:color w:val="222222"/>
          <w:sz w:val="18"/>
          <w:szCs w:val="18"/>
          <w:lang w:val="es-CO" w:eastAsia="fr-FR"/>
        </w:rPr>
        <w:t>e</w:t>
      </w:r>
      <w:proofErr w:type="spellEnd"/>
      <w:r w:rsidRPr="00591360">
        <w:rPr>
          <w:rFonts w:ascii="Calibri" w:eastAsia="Calibri" w:hAnsi="Calibri" w:cs="Calibri"/>
          <w:bCs/>
          <w:color w:val="222222"/>
          <w:sz w:val="18"/>
          <w:szCs w:val="18"/>
          <w:lang w:val="es-CO" w:eastAsia="fr-FR"/>
        </w:rPr>
        <w:t xml:space="preserve"> observa</w:t>
      </w:r>
      <w:r w:rsidRPr="00591360">
        <w:rPr>
          <w:rFonts w:ascii="Calibri" w:eastAsia="Calibri" w:hAnsi="Calibri" w:cs="Calibri"/>
          <w:bCs/>
          <w:color w:val="222222"/>
          <w:sz w:val="18"/>
          <w:szCs w:val="18"/>
          <w:lang w:val="es-419" w:eastAsia="fr-FR"/>
        </w:rPr>
        <w:t xml:space="preserve"> que</w:t>
      </w:r>
      <w:r w:rsidRPr="00591360">
        <w:rPr>
          <w:rFonts w:ascii="Calibri" w:eastAsia="Calibri" w:hAnsi="Calibri" w:cs="Calibri"/>
          <w:bCs/>
          <w:color w:val="222222"/>
          <w:sz w:val="18"/>
          <w:szCs w:val="18"/>
          <w:lang w:val="es-CO" w:eastAsia="fr-FR"/>
        </w:rPr>
        <w:t xml:space="preserve"> </w:t>
      </w:r>
      <w:r w:rsidRPr="00591360">
        <w:rPr>
          <w:rFonts w:ascii="Calibri" w:eastAsia="Calibri" w:hAnsi="Calibri" w:cs="Calibri"/>
          <w:bCs/>
          <w:color w:val="222222"/>
          <w:sz w:val="18"/>
          <w:szCs w:val="18"/>
          <w:lang w:val="es-419" w:eastAsia="fr-FR"/>
        </w:rPr>
        <w:t>el actor dejó de lado los mecanismos de defensa judicial que tenía a su alcance,</w:t>
      </w:r>
      <w:r w:rsidRPr="00591360">
        <w:rPr>
          <w:rFonts w:ascii="Calibri" w:eastAsia="Calibri" w:hAnsi="Calibri" w:cs="Calibri"/>
          <w:bCs/>
          <w:color w:val="222222"/>
          <w:sz w:val="18"/>
          <w:szCs w:val="18"/>
          <w:lang w:val="es-CO" w:eastAsia="fr-FR"/>
        </w:rPr>
        <w:t xml:space="preserve"> pues no </w:t>
      </w:r>
      <w:r w:rsidRPr="00591360">
        <w:rPr>
          <w:rFonts w:ascii="Calibri" w:eastAsia="Calibri" w:hAnsi="Calibri" w:cs="Calibri"/>
          <w:bCs/>
          <w:color w:val="222222"/>
          <w:sz w:val="18"/>
          <w:szCs w:val="18"/>
          <w:lang w:val="es-419" w:eastAsia="fr-FR"/>
        </w:rPr>
        <w:t>propuso</w:t>
      </w:r>
      <w:r w:rsidRPr="00591360">
        <w:rPr>
          <w:rFonts w:ascii="Calibri" w:eastAsia="Calibri" w:hAnsi="Calibri" w:cs="Calibri"/>
          <w:bCs/>
          <w:color w:val="222222"/>
          <w:sz w:val="18"/>
          <w:szCs w:val="18"/>
          <w:lang w:val="es-CO" w:eastAsia="fr-FR"/>
        </w:rPr>
        <w:t>, como mínimo</w:t>
      </w:r>
      <w:r w:rsidRPr="00591360">
        <w:rPr>
          <w:rFonts w:ascii="Calibri" w:eastAsia="Calibri" w:hAnsi="Calibri" w:cs="Calibri"/>
          <w:bCs/>
          <w:color w:val="222222"/>
          <w:sz w:val="18"/>
          <w:szCs w:val="18"/>
          <w:lang w:val="es-419" w:eastAsia="fr-FR"/>
        </w:rPr>
        <w:t>,</w:t>
      </w:r>
      <w:r w:rsidRPr="00591360">
        <w:rPr>
          <w:rFonts w:ascii="Calibri" w:eastAsia="Calibri" w:hAnsi="Calibri" w:cs="Calibri"/>
          <w:bCs/>
          <w:color w:val="222222"/>
          <w:sz w:val="18"/>
          <w:szCs w:val="18"/>
          <w:lang w:val="es-CO" w:eastAsia="fr-FR"/>
        </w:rPr>
        <w:t xml:space="preserve"> </w:t>
      </w:r>
      <w:r w:rsidRPr="00591360">
        <w:rPr>
          <w:rFonts w:ascii="Calibri" w:eastAsia="Calibri" w:hAnsi="Calibri" w:cs="Calibri"/>
          <w:bCs/>
          <w:color w:val="222222"/>
          <w:sz w:val="18"/>
          <w:szCs w:val="18"/>
          <w:lang w:val="es-419" w:eastAsia="fr-FR"/>
        </w:rPr>
        <w:t xml:space="preserve">el recurso de reposición que contra esos proveídos, </w:t>
      </w:r>
      <w:r w:rsidRPr="00591360">
        <w:rPr>
          <w:rFonts w:ascii="Calibri" w:eastAsia="Calibri" w:hAnsi="Calibri" w:cs="Calibri"/>
          <w:bCs/>
          <w:color w:val="222222"/>
          <w:sz w:val="18"/>
          <w:szCs w:val="18"/>
          <w:lang w:val="es-CO" w:eastAsia="fr-FR"/>
        </w:rPr>
        <w:t>relacionad</w:t>
      </w:r>
      <w:r w:rsidRPr="00591360">
        <w:rPr>
          <w:rFonts w:ascii="Calibri" w:eastAsia="Calibri" w:hAnsi="Calibri" w:cs="Calibri"/>
          <w:bCs/>
          <w:color w:val="222222"/>
          <w:sz w:val="18"/>
          <w:szCs w:val="18"/>
          <w:lang w:val="es-419" w:eastAsia="fr-FR"/>
        </w:rPr>
        <w:t>o</w:t>
      </w:r>
      <w:r w:rsidRPr="00591360">
        <w:rPr>
          <w:rFonts w:ascii="Calibri" w:eastAsia="Calibri" w:hAnsi="Calibri" w:cs="Calibri"/>
          <w:bCs/>
          <w:color w:val="222222"/>
          <w:sz w:val="18"/>
          <w:szCs w:val="18"/>
          <w:lang w:val="es-CO" w:eastAsia="fr-FR"/>
        </w:rPr>
        <w:t>s con el rechazo de sus demandas</w:t>
      </w:r>
      <w:r w:rsidRPr="00591360">
        <w:rPr>
          <w:rFonts w:ascii="Calibri" w:eastAsia="Calibri" w:hAnsi="Calibri" w:cs="Calibri"/>
          <w:bCs/>
          <w:color w:val="222222"/>
          <w:sz w:val="18"/>
          <w:szCs w:val="18"/>
          <w:lang w:val="es-419" w:eastAsia="fr-FR"/>
        </w:rPr>
        <w:t>,</w:t>
      </w:r>
      <w:r w:rsidRPr="00591360">
        <w:rPr>
          <w:rFonts w:ascii="Calibri" w:eastAsia="Calibri" w:hAnsi="Calibri" w:cs="Calibri"/>
          <w:bCs/>
          <w:color w:val="222222"/>
          <w:sz w:val="18"/>
          <w:szCs w:val="18"/>
          <w:lang w:val="es-CO" w:eastAsia="fr-FR"/>
        </w:rPr>
        <w:t xml:space="preserve"> pudo</w:t>
      </w:r>
      <w:r w:rsidRPr="00591360">
        <w:rPr>
          <w:rFonts w:ascii="Calibri" w:eastAsia="Calibri" w:hAnsi="Calibri" w:cs="Calibri"/>
          <w:bCs/>
          <w:color w:val="222222"/>
          <w:sz w:val="18"/>
          <w:szCs w:val="18"/>
          <w:lang w:val="es-419" w:eastAsia="fr-FR"/>
        </w:rPr>
        <w:t xml:space="preserve"> proponer</w:t>
      </w:r>
      <w:r w:rsidRPr="00591360">
        <w:rPr>
          <w:rFonts w:ascii="Calibri" w:eastAsia="Calibri" w:hAnsi="Calibri" w:cs="Calibri"/>
          <w:bCs/>
          <w:color w:val="222222"/>
          <w:sz w:val="18"/>
          <w:szCs w:val="18"/>
          <w:lang w:val="es-CO" w:eastAsia="fr-FR"/>
        </w:rPr>
        <w:t xml:space="preserve">, con lo cual olvida que </w:t>
      </w:r>
      <w:r w:rsidRPr="00591360">
        <w:rPr>
          <w:rFonts w:ascii="Calibri" w:eastAsia="Calibri" w:hAnsi="Calibri" w:cs="Calibri"/>
          <w:bCs/>
          <w:color w:val="222222"/>
          <w:sz w:val="18"/>
          <w:szCs w:val="18"/>
          <w:lang w:val="es-419" w:eastAsia="fr-FR"/>
        </w:rPr>
        <w:t>esta acción</w:t>
      </w:r>
      <w:r w:rsidRPr="00591360">
        <w:rPr>
          <w:rFonts w:ascii="Calibri" w:eastAsia="Calibri" w:hAnsi="Calibri" w:cs="Calibri"/>
          <w:bCs/>
          <w:color w:val="222222"/>
          <w:sz w:val="18"/>
          <w:szCs w:val="18"/>
          <w:lang w:val="es-CO" w:eastAsia="fr-FR"/>
        </w:rPr>
        <w:t xml:space="preserve">, por su naturaleza, es residual, y solo cabe cuando se ha </w:t>
      </w:r>
      <w:r w:rsidRPr="00591360">
        <w:rPr>
          <w:rFonts w:ascii="Calibri" w:eastAsia="Calibri" w:hAnsi="Calibri" w:cs="Calibri"/>
          <w:bCs/>
          <w:color w:val="222222"/>
          <w:sz w:val="18"/>
          <w:szCs w:val="18"/>
          <w:lang w:val="es-419" w:eastAsia="fr-FR"/>
        </w:rPr>
        <w:t xml:space="preserve">hecho uso </w:t>
      </w:r>
      <w:r w:rsidRPr="00591360">
        <w:rPr>
          <w:rFonts w:ascii="Calibri" w:eastAsia="Calibri" w:hAnsi="Calibri" w:cs="Calibri"/>
          <w:bCs/>
          <w:color w:val="222222"/>
          <w:sz w:val="18"/>
          <w:szCs w:val="18"/>
          <w:lang w:val="es-CO" w:eastAsia="fr-FR"/>
        </w:rPr>
        <w:t xml:space="preserve">de todas las herramientas con que las partes cuentan en el proceso y ellas han sido infructuosas. De donde </w:t>
      </w:r>
      <w:r w:rsidRPr="00591360">
        <w:rPr>
          <w:rFonts w:ascii="Calibri" w:eastAsia="Calibri" w:hAnsi="Calibri" w:cs="Calibri"/>
          <w:bCs/>
          <w:color w:val="222222"/>
          <w:sz w:val="18"/>
          <w:szCs w:val="18"/>
          <w:lang w:val="es-419" w:eastAsia="fr-FR"/>
        </w:rPr>
        <w:t xml:space="preserve">surge </w:t>
      </w:r>
      <w:r w:rsidRPr="00591360">
        <w:rPr>
          <w:rFonts w:ascii="Calibri" w:eastAsia="Calibri" w:hAnsi="Calibri" w:cs="Calibri"/>
          <w:bCs/>
          <w:color w:val="222222"/>
          <w:sz w:val="18"/>
          <w:szCs w:val="18"/>
          <w:lang w:val="es-CO" w:eastAsia="fr-FR"/>
        </w:rPr>
        <w:t xml:space="preserve">que en este caso se </w:t>
      </w:r>
      <w:r w:rsidRPr="00591360">
        <w:rPr>
          <w:rFonts w:ascii="Calibri" w:eastAsia="Calibri" w:hAnsi="Calibri" w:cs="Calibri"/>
          <w:bCs/>
          <w:color w:val="222222"/>
          <w:sz w:val="18"/>
          <w:szCs w:val="18"/>
          <w:lang w:val="es-419" w:eastAsia="fr-FR"/>
        </w:rPr>
        <w:t xml:space="preserve">rompió la regla de la subsidiariedad señalada en el numeral 1° del artículo 6° del Decreto 2591 de 1991, si se tiene en cuenta, además, </w:t>
      </w:r>
      <w:r w:rsidRPr="00591360">
        <w:rPr>
          <w:rFonts w:ascii="Calibri" w:eastAsia="Calibri" w:hAnsi="Calibri" w:cs="Calibri"/>
          <w:bCs/>
          <w:color w:val="222222"/>
          <w:sz w:val="18"/>
          <w:szCs w:val="18"/>
          <w:lang w:eastAsia="fr-FR"/>
        </w:rPr>
        <w:t xml:space="preserve">que la acción de tutela no ha sido diseñada para revivir términos que han </w:t>
      </w:r>
      <w:proofErr w:type="spellStart"/>
      <w:r w:rsidRPr="00591360">
        <w:rPr>
          <w:rFonts w:ascii="Calibri" w:eastAsia="Calibri" w:hAnsi="Calibri" w:cs="Calibri"/>
          <w:bCs/>
          <w:color w:val="222222"/>
          <w:sz w:val="18"/>
          <w:szCs w:val="18"/>
          <w:lang w:eastAsia="fr-FR"/>
        </w:rPr>
        <w:t>precluido</w:t>
      </w:r>
      <w:proofErr w:type="spellEnd"/>
      <w:r w:rsidRPr="00591360">
        <w:rPr>
          <w:rFonts w:ascii="Calibri" w:eastAsia="Calibri" w:hAnsi="Calibri" w:cs="Calibri"/>
          <w:bCs/>
          <w:color w:val="222222"/>
          <w:sz w:val="18"/>
          <w:szCs w:val="18"/>
          <w:lang w:eastAsia="fr-FR"/>
        </w:rPr>
        <w:t xml:space="preserve"> sin un ejercicio adecuado de los mismos por el interesado en la protección, como tampoco se erige en una instancia adicional, que pueda remediar el silencio del afectado frente a los recursos que en su momento pudo interponer</w:t>
      </w:r>
      <w:r w:rsidRPr="00591360">
        <w:rPr>
          <w:rFonts w:ascii="Calibri" w:eastAsia="Calibri" w:hAnsi="Calibri" w:cs="Calibri"/>
          <w:bCs/>
          <w:color w:val="222222"/>
          <w:sz w:val="18"/>
          <w:szCs w:val="18"/>
          <w:lang w:val="es-419" w:eastAsia="fr-FR"/>
        </w:rPr>
        <w:t xml:space="preserve">, por lo que </w:t>
      </w:r>
      <w:r w:rsidRPr="00591360">
        <w:rPr>
          <w:rFonts w:ascii="Calibri" w:eastAsia="Calibri" w:hAnsi="Calibri" w:cs="Calibri"/>
          <w:bCs/>
          <w:color w:val="222222"/>
          <w:sz w:val="18"/>
          <w:szCs w:val="18"/>
          <w:lang w:val="es-CO" w:eastAsia="fr-FR"/>
        </w:rPr>
        <w:t xml:space="preserve">los amparos elevados son improcedentes y así </w:t>
      </w:r>
      <w:r w:rsidRPr="00591360">
        <w:rPr>
          <w:rFonts w:ascii="Calibri" w:eastAsia="Calibri" w:hAnsi="Calibri" w:cs="Calibri"/>
          <w:bCs/>
          <w:color w:val="222222"/>
          <w:sz w:val="18"/>
          <w:szCs w:val="18"/>
          <w:lang w:val="es-419" w:eastAsia="fr-FR"/>
        </w:rPr>
        <w:t>se</w:t>
      </w:r>
      <w:r w:rsidRPr="00591360">
        <w:rPr>
          <w:rFonts w:ascii="Calibri" w:eastAsia="Calibri" w:hAnsi="Calibri" w:cs="Calibri"/>
          <w:bCs/>
          <w:color w:val="222222"/>
          <w:sz w:val="18"/>
          <w:szCs w:val="18"/>
          <w:lang w:val="es-CO" w:eastAsia="fr-FR"/>
        </w:rPr>
        <w:t xml:space="preserve"> declara</w:t>
      </w:r>
      <w:r w:rsidRPr="00591360">
        <w:rPr>
          <w:rFonts w:ascii="Calibri" w:eastAsia="Calibri" w:hAnsi="Calibri" w:cs="Calibri"/>
          <w:bCs/>
          <w:color w:val="222222"/>
          <w:sz w:val="18"/>
          <w:szCs w:val="18"/>
          <w:lang w:val="es-419" w:eastAsia="fr-FR"/>
        </w:rPr>
        <w:t>rá</w:t>
      </w:r>
      <w:r w:rsidRPr="00591360">
        <w:rPr>
          <w:rFonts w:ascii="Calibri" w:eastAsia="Calibri" w:hAnsi="Calibri" w:cs="Calibri"/>
          <w:bCs/>
          <w:color w:val="222222"/>
          <w:sz w:val="18"/>
          <w:szCs w:val="18"/>
          <w:lang w:val="es-CO" w:eastAsia="fr-FR"/>
        </w:rPr>
        <w:t>.”.</w:t>
      </w:r>
    </w:p>
    <w:p w:rsidR="00591360" w:rsidRPr="00591360" w:rsidRDefault="00591360" w:rsidP="00591360">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val="es-CO" w:eastAsia="fr-FR"/>
        </w:rPr>
      </w:pPr>
      <w:r w:rsidRPr="00591360">
        <w:rPr>
          <w:rFonts w:ascii="Calibri" w:eastAsia="Calibri" w:hAnsi="Calibri" w:cs="Calibri"/>
          <w:b/>
          <w:bCs/>
          <w:color w:val="222222"/>
          <w:sz w:val="18"/>
          <w:szCs w:val="18"/>
          <w:lang w:val="es-CO" w:eastAsia="fr-FR"/>
        </w:rPr>
        <w:t>Citación jurisprudencial:</w:t>
      </w:r>
      <w:r w:rsidRPr="00591360">
        <w:rPr>
          <w:rFonts w:ascii="Calibri" w:eastAsia="Calibri" w:hAnsi="Calibri" w:cs="Calibri"/>
          <w:bCs/>
          <w:color w:val="222222"/>
          <w:sz w:val="18"/>
          <w:szCs w:val="18"/>
          <w:lang w:val="es-CO" w:eastAsia="fr-FR"/>
        </w:rPr>
        <w:t xml:space="preserve"> CORTE CONSTITUCIONAL, </w:t>
      </w:r>
      <w:r w:rsidRPr="00591360">
        <w:rPr>
          <w:rFonts w:ascii="Calibri" w:eastAsia="Calibri" w:hAnsi="Calibri" w:cs="Calibri"/>
          <w:bCs/>
          <w:color w:val="222222"/>
          <w:sz w:val="18"/>
          <w:szCs w:val="18"/>
          <w:lang w:eastAsia="fr-FR"/>
        </w:rPr>
        <w:t xml:space="preserve">Sentencia C-543 de 1992 / </w:t>
      </w:r>
      <w:r w:rsidRPr="00591360">
        <w:rPr>
          <w:rFonts w:ascii="Calibri" w:eastAsia="Calibri" w:hAnsi="Calibri" w:cs="Calibri"/>
          <w:bCs/>
          <w:color w:val="222222"/>
          <w:sz w:val="18"/>
          <w:szCs w:val="18"/>
          <w:lang w:val="es-CO" w:eastAsia="fr-FR"/>
        </w:rPr>
        <w:t>S</w:t>
      </w:r>
      <w:proofErr w:type="spellStart"/>
      <w:r w:rsidRPr="00591360">
        <w:rPr>
          <w:rFonts w:ascii="Calibri" w:eastAsia="Calibri" w:hAnsi="Calibri" w:cs="Calibri"/>
          <w:bCs/>
          <w:color w:val="222222"/>
          <w:sz w:val="18"/>
          <w:szCs w:val="18"/>
          <w:lang w:eastAsia="fr-FR"/>
        </w:rPr>
        <w:t>entencia</w:t>
      </w:r>
      <w:proofErr w:type="spellEnd"/>
      <w:r w:rsidRPr="00591360">
        <w:rPr>
          <w:rFonts w:ascii="Calibri" w:eastAsia="Calibri" w:hAnsi="Calibri" w:cs="Calibri"/>
          <w:bCs/>
          <w:color w:val="222222"/>
          <w:sz w:val="18"/>
          <w:szCs w:val="18"/>
          <w:lang w:eastAsia="fr-FR"/>
        </w:rPr>
        <w:t xml:space="preserve"> T-022 de 2016 / Sentencia C-590 de 2005.</w:t>
      </w:r>
    </w:p>
    <w:p w:rsidR="00591360" w:rsidRPr="00591360" w:rsidRDefault="00591360" w:rsidP="0006600D">
      <w:pPr>
        <w:spacing w:line="276" w:lineRule="auto"/>
        <w:ind w:firstLine="2835"/>
        <w:jc w:val="both"/>
        <w:rPr>
          <w:rFonts w:ascii="Gadugi" w:hAnsi="Gadugi"/>
          <w:b/>
          <w:sz w:val="26"/>
          <w:szCs w:val="26"/>
          <w:lang w:val="es-CO"/>
          <w14:shadow w14:blurRad="50800" w14:dist="38100" w14:dir="2700000" w14:sx="100000" w14:sy="100000" w14:kx="0" w14:ky="0" w14:algn="tl">
            <w14:srgbClr w14:val="000000">
              <w14:alpha w14:val="60000"/>
            </w14:srgbClr>
          </w14:shadow>
        </w:rPr>
      </w:pPr>
    </w:p>
    <w:p w:rsidR="0006600D" w:rsidRPr="0006600D" w:rsidRDefault="0006600D" w:rsidP="0006600D">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06600D">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06600D" w:rsidRPr="0006600D" w:rsidRDefault="0006600D" w:rsidP="0006600D">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06600D">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06600D" w:rsidRPr="002119C0" w:rsidRDefault="0006600D" w:rsidP="0006600D">
      <w:pPr>
        <w:spacing w:line="276" w:lineRule="auto"/>
        <w:ind w:firstLine="2835"/>
        <w:jc w:val="both"/>
        <w:rPr>
          <w:rFonts w:ascii="Gadugi" w:hAnsi="Gadugi"/>
          <w:sz w:val="24"/>
          <w:szCs w:val="24"/>
        </w:rPr>
      </w:pPr>
    </w:p>
    <w:p w:rsidR="0006600D" w:rsidRPr="002119C0" w:rsidRDefault="0006600D" w:rsidP="0006600D">
      <w:pPr>
        <w:spacing w:line="276" w:lineRule="auto"/>
        <w:ind w:firstLine="2835"/>
        <w:jc w:val="both"/>
        <w:rPr>
          <w:rFonts w:ascii="Gadugi" w:hAnsi="Gadugi"/>
          <w:sz w:val="24"/>
          <w:szCs w:val="24"/>
          <w:lang w:val="es-CO"/>
        </w:rPr>
      </w:pPr>
    </w:p>
    <w:p w:rsidR="0006600D" w:rsidRPr="002119C0" w:rsidRDefault="0006600D" w:rsidP="0006600D">
      <w:pPr>
        <w:spacing w:line="276" w:lineRule="auto"/>
        <w:ind w:firstLine="2835"/>
        <w:jc w:val="both"/>
        <w:rPr>
          <w:rFonts w:ascii="Gadugi" w:hAnsi="Gadugi"/>
          <w:sz w:val="24"/>
          <w:szCs w:val="24"/>
        </w:rPr>
      </w:pPr>
      <w:r w:rsidRPr="002119C0">
        <w:rPr>
          <w:rFonts w:ascii="Gadugi" w:hAnsi="Gadugi"/>
          <w:sz w:val="24"/>
          <w:szCs w:val="24"/>
        </w:rPr>
        <w:t>Magistrado: Jaime Alberto Saraza Naranjo</w:t>
      </w:r>
    </w:p>
    <w:p w:rsidR="0006600D" w:rsidRPr="0079395E" w:rsidRDefault="0006600D" w:rsidP="0006600D">
      <w:pPr>
        <w:spacing w:line="276" w:lineRule="auto"/>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diciembre diecinueve de dos mil dieciséis</w:t>
      </w:r>
    </w:p>
    <w:p w:rsidR="0006600D" w:rsidRDefault="0006600D" w:rsidP="0006600D">
      <w:pPr>
        <w:spacing w:line="276" w:lineRule="auto"/>
        <w:ind w:firstLine="2835"/>
        <w:jc w:val="both"/>
        <w:rPr>
          <w:rFonts w:ascii="Gadugi" w:hAnsi="Gadugi"/>
          <w:sz w:val="24"/>
          <w:szCs w:val="24"/>
        </w:rPr>
      </w:pPr>
      <w:r>
        <w:rPr>
          <w:rFonts w:ascii="Gadugi" w:hAnsi="Gadugi"/>
          <w:sz w:val="24"/>
          <w:szCs w:val="24"/>
        </w:rPr>
        <w:t xml:space="preserve">Expedientes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-01126</w:t>
      </w:r>
      <w:r w:rsidRPr="002119C0">
        <w:rPr>
          <w:rFonts w:ascii="Gadugi" w:hAnsi="Gadugi"/>
          <w:sz w:val="24"/>
          <w:szCs w:val="24"/>
        </w:rPr>
        <w:t>-00</w:t>
      </w:r>
      <w:r w:rsidRPr="002119C0">
        <w:rPr>
          <w:rFonts w:ascii="Gadugi" w:hAnsi="Gadugi"/>
          <w:sz w:val="24"/>
          <w:szCs w:val="24"/>
        </w:rPr>
        <w:tab/>
      </w:r>
    </w:p>
    <w:p w:rsidR="0006600D" w:rsidRPr="002119C0" w:rsidRDefault="0006600D" w:rsidP="0006600D">
      <w:pPr>
        <w:spacing w:line="276" w:lineRule="auto"/>
        <w:ind w:firstLine="2835"/>
        <w:jc w:val="both"/>
        <w:rPr>
          <w:rFonts w:ascii="Gadugi" w:hAnsi="Gadugi"/>
          <w:sz w:val="24"/>
          <w:szCs w:val="24"/>
        </w:rPr>
      </w:pPr>
      <w:r>
        <w:rPr>
          <w:rFonts w:ascii="Gadugi" w:hAnsi="Gadugi"/>
          <w:sz w:val="24"/>
          <w:szCs w:val="24"/>
        </w:rPr>
        <w:t xml:space="preserve"> </w:t>
      </w:r>
      <w:r>
        <w:rPr>
          <w:rFonts w:ascii="Gadugi" w:hAnsi="Gadugi"/>
          <w:sz w:val="24"/>
          <w:szCs w:val="24"/>
        </w:rPr>
        <w:tab/>
        <w:t xml:space="preserve">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-01127</w:t>
      </w:r>
      <w:r w:rsidRPr="002119C0">
        <w:rPr>
          <w:rFonts w:ascii="Gadugi" w:hAnsi="Gadugi"/>
          <w:sz w:val="24"/>
          <w:szCs w:val="24"/>
        </w:rPr>
        <w:t>-00</w:t>
      </w:r>
      <w:r w:rsidRPr="002119C0">
        <w:rPr>
          <w:rFonts w:ascii="Gadugi" w:hAnsi="Gadugi"/>
          <w:sz w:val="24"/>
          <w:szCs w:val="24"/>
        </w:rPr>
        <w:tab/>
      </w:r>
    </w:p>
    <w:p w:rsidR="0006600D" w:rsidRPr="0079395E" w:rsidRDefault="0006600D" w:rsidP="0006600D">
      <w:pPr>
        <w:spacing w:line="276" w:lineRule="auto"/>
        <w:ind w:firstLine="2835"/>
        <w:jc w:val="both"/>
        <w:rPr>
          <w:rFonts w:ascii="Gadugi" w:hAnsi="Gadugi"/>
          <w:sz w:val="24"/>
          <w:szCs w:val="24"/>
          <w:lang w:val="es-419"/>
        </w:rPr>
      </w:pPr>
      <w:r>
        <w:rPr>
          <w:rFonts w:ascii="Gadugi" w:hAnsi="Gadugi"/>
          <w:sz w:val="24"/>
          <w:szCs w:val="24"/>
        </w:rPr>
        <w:t>Acta N°</w:t>
      </w:r>
      <w:r>
        <w:rPr>
          <w:rFonts w:ascii="Gadugi" w:hAnsi="Gadugi"/>
          <w:sz w:val="24"/>
          <w:szCs w:val="24"/>
          <w:lang w:val="es-419"/>
        </w:rPr>
        <w:t xml:space="preserve"> 603 de diciembre 19 de 2016</w:t>
      </w:r>
    </w:p>
    <w:p w:rsidR="0006600D" w:rsidRPr="002119C0" w:rsidRDefault="0006600D" w:rsidP="0006600D">
      <w:pPr>
        <w:spacing w:line="276" w:lineRule="auto"/>
        <w:ind w:firstLine="2835"/>
        <w:jc w:val="both"/>
        <w:rPr>
          <w:rFonts w:ascii="Gadugi" w:hAnsi="Gadugi"/>
          <w:sz w:val="24"/>
          <w:szCs w:val="24"/>
        </w:rPr>
      </w:pPr>
    </w:p>
    <w:p w:rsidR="0006600D" w:rsidRPr="00F37192" w:rsidRDefault="0006600D" w:rsidP="0006600D">
      <w:pPr>
        <w:spacing w:line="276" w:lineRule="auto"/>
        <w:ind w:firstLine="2835"/>
        <w:jc w:val="both"/>
        <w:rPr>
          <w:rFonts w:ascii="Gadugi" w:hAnsi="Gadugi" w:cs="Century Gothic"/>
          <w:sz w:val="24"/>
          <w:szCs w:val="24"/>
        </w:rPr>
      </w:pPr>
      <w:r w:rsidRPr="002119C0">
        <w:rPr>
          <w:rFonts w:ascii="Gadugi" w:hAnsi="Gadugi" w:cs="Century Gothic"/>
          <w:sz w:val="24"/>
          <w:szCs w:val="24"/>
        </w:rPr>
        <w:t>Decide la Sala la</w:t>
      </w:r>
      <w:r>
        <w:rPr>
          <w:rFonts w:ascii="Gadugi" w:hAnsi="Gadugi" w:cs="Century Gothic"/>
          <w:sz w:val="24"/>
          <w:szCs w:val="24"/>
        </w:rPr>
        <w:t>s acciones</w:t>
      </w:r>
      <w:r w:rsidRPr="002119C0">
        <w:rPr>
          <w:rFonts w:ascii="Gadugi" w:hAnsi="Gadugi" w:cs="Century Gothic"/>
          <w:sz w:val="24"/>
          <w:szCs w:val="24"/>
        </w:rPr>
        <w:t xml:space="preserve"> de tutela propuesta</w:t>
      </w:r>
      <w:r>
        <w:rPr>
          <w:rFonts w:ascii="Gadugi" w:hAnsi="Gadugi" w:cs="Century Gothic"/>
          <w:sz w:val="24"/>
          <w:szCs w:val="24"/>
        </w:rPr>
        <w:t>s</w:t>
      </w:r>
      <w:r w:rsidRPr="002119C0">
        <w:rPr>
          <w:rFonts w:ascii="Gadugi" w:hAnsi="Gadugi" w:cs="Century Gothic"/>
          <w:sz w:val="24"/>
          <w:szCs w:val="24"/>
          <w:lang w:val="es-419"/>
        </w:rPr>
        <w:t xml:space="preserve"> </w:t>
      </w:r>
      <w:r w:rsidRPr="002119C0">
        <w:rPr>
          <w:rFonts w:ascii="Gadugi" w:hAnsi="Gadugi" w:cs="Century Gothic"/>
          <w:sz w:val="24"/>
          <w:szCs w:val="24"/>
        </w:rPr>
        <w:t xml:space="preserve">por </w:t>
      </w:r>
      <w:r w:rsidRPr="002119C0">
        <w:rPr>
          <w:rFonts w:ascii="Gadugi" w:hAnsi="Gadugi" w:cs="Century Gothic"/>
          <w:b/>
          <w:sz w:val="24"/>
          <w:szCs w:val="24"/>
        </w:rPr>
        <w:t xml:space="preserve">Javier Elías Arias </w:t>
      </w:r>
      <w:proofErr w:type="spellStart"/>
      <w:r w:rsidRPr="002119C0">
        <w:rPr>
          <w:rFonts w:ascii="Gadugi" w:hAnsi="Gadugi" w:cs="Century Gothic"/>
          <w:b/>
          <w:sz w:val="24"/>
          <w:szCs w:val="24"/>
        </w:rPr>
        <w:t>Idárraga</w:t>
      </w:r>
      <w:proofErr w:type="spellEnd"/>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Cuarto</w:t>
      </w:r>
      <w:r w:rsidRPr="002119C0">
        <w:rPr>
          <w:rFonts w:ascii="Gadugi" w:hAnsi="Gadugi" w:cs="Century Gothic"/>
          <w:b/>
          <w:sz w:val="24"/>
          <w:szCs w:val="24"/>
        </w:rPr>
        <w:t xml:space="preserve"> Civil del Circuito </w:t>
      </w:r>
      <w:r w:rsidRPr="002119C0">
        <w:rPr>
          <w:rFonts w:ascii="Gadugi" w:hAnsi="Gadugi" w:cs="Century Gothic"/>
          <w:sz w:val="24"/>
          <w:szCs w:val="24"/>
        </w:rPr>
        <w:t>local</w:t>
      </w:r>
      <w:r>
        <w:rPr>
          <w:rFonts w:ascii="Gadugi" w:hAnsi="Gadugi" w:cs="Century Gothic"/>
          <w:sz w:val="24"/>
          <w:szCs w:val="24"/>
        </w:rPr>
        <w:t xml:space="preserve"> y el  </w:t>
      </w:r>
      <w:r>
        <w:rPr>
          <w:rFonts w:ascii="Gadugi" w:hAnsi="Gadugi" w:cs="Century Gothic"/>
          <w:b/>
          <w:sz w:val="24"/>
          <w:szCs w:val="24"/>
        </w:rPr>
        <w:t>agente del Ministerio Público</w:t>
      </w:r>
      <w:r w:rsidRPr="002119C0">
        <w:rPr>
          <w:rFonts w:ascii="Gadugi" w:hAnsi="Gadugi" w:cs="Century Gothic"/>
          <w:sz w:val="24"/>
          <w:szCs w:val="24"/>
        </w:rPr>
        <w:t>,</w:t>
      </w:r>
      <w:r w:rsidRPr="002119C0">
        <w:rPr>
          <w:rFonts w:ascii="Gadugi" w:hAnsi="Gadugi" w:cs="Century Gothic"/>
          <w:b/>
          <w:sz w:val="24"/>
          <w:szCs w:val="24"/>
          <w:lang w:val="es-419"/>
        </w:rPr>
        <w:t xml:space="preserve"> </w:t>
      </w:r>
      <w:r w:rsidRPr="002119C0">
        <w:rPr>
          <w:rFonts w:ascii="Gadugi" w:hAnsi="Gadugi" w:cs="Century Gothic"/>
          <w:sz w:val="24"/>
          <w:szCs w:val="24"/>
        </w:rPr>
        <w:t>a la</w:t>
      </w:r>
      <w:r>
        <w:rPr>
          <w:rFonts w:ascii="Gadugi" w:hAnsi="Gadugi" w:cs="Century Gothic"/>
          <w:sz w:val="24"/>
          <w:szCs w:val="24"/>
          <w:lang w:val="es-419"/>
        </w:rPr>
        <w:t>s</w:t>
      </w:r>
      <w:r w:rsidRPr="002119C0">
        <w:rPr>
          <w:rFonts w:ascii="Gadugi" w:hAnsi="Gadugi" w:cs="Century Gothic"/>
          <w:sz w:val="24"/>
          <w:szCs w:val="24"/>
        </w:rPr>
        <w:t xml:space="preserve"> que fue</w:t>
      </w:r>
      <w:r>
        <w:rPr>
          <w:rFonts w:ascii="Gadugi" w:hAnsi="Gadugi" w:cs="Century Gothic"/>
          <w:sz w:val="24"/>
          <w:szCs w:val="24"/>
          <w:lang w:val="es-419"/>
        </w:rPr>
        <w:t xml:space="preserve"> vinculada la </w:t>
      </w:r>
      <w:r>
        <w:rPr>
          <w:rFonts w:ascii="Gadugi" w:hAnsi="Gadugi" w:cs="Century Gothic"/>
          <w:b/>
          <w:sz w:val="24"/>
          <w:szCs w:val="24"/>
          <w:lang w:val="es-CO"/>
        </w:rPr>
        <w:t>Defensoría del Pueblo Regional Risaralda.</w:t>
      </w:r>
    </w:p>
    <w:p w:rsidR="0006600D" w:rsidRPr="00591360" w:rsidRDefault="0006600D" w:rsidP="0006600D">
      <w:pPr>
        <w:spacing w:line="276" w:lineRule="auto"/>
        <w:ind w:firstLine="2835"/>
        <w:jc w:val="both"/>
        <w:rPr>
          <w:rFonts w:ascii="Gadugi" w:hAnsi="Gadugi" w:cs="Century Gothic"/>
          <w:b/>
          <w:sz w:val="24"/>
          <w:szCs w:val="24"/>
        </w:rPr>
      </w:pPr>
    </w:p>
    <w:p w:rsidR="0006600D" w:rsidRPr="002119C0" w:rsidRDefault="0006600D" w:rsidP="0006600D">
      <w:pPr>
        <w:pStyle w:val="Titre4"/>
        <w:spacing w:line="276" w:lineRule="auto"/>
        <w:rPr>
          <w:rFonts w:ascii="Gadugi" w:hAnsi="Gadugi"/>
          <w:b/>
          <w:sz w:val="24"/>
          <w:szCs w:val="24"/>
        </w:rPr>
      </w:pPr>
      <w:r w:rsidRPr="002119C0">
        <w:rPr>
          <w:rFonts w:ascii="Gadugi" w:hAnsi="Gadugi"/>
          <w:b/>
          <w:sz w:val="24"/>
          <w:szCs w:val="24"/>
        </w:rPr>
        <w:t>ANTECEDENTES</w:t>
      </w:r>
    </w:p>
    <w:p w:rsidR="0006600D" w:rsidRPr="002119C0" w:rsidRDefault="0006600D" w:rsidP="0006600D">
      <w:pPr>
        <w:spacing w:line="276" w:lineRule="auto"/>
        <w:ind w:firstLine="2835"/>
        <w:jc w:val="both"/>
        <w:rPr>
          <w:rFonts w:ascii="Gadugi" w:hAnsi="Gadugi" w:cs="Century Gothic"/>
          <w:b/>
          <w:bCs/>
          <w:sz w:val="24"/>
          <w:szCs w:val="24"/>
        </w:rPr>
      </w:pPr>
    </w:p>
    <w:p w:rsidR="0006600D" w:rsidRPr="00F37192" w:rsidRDefault="0006600D" w:rsidP="0006600D">
      <w:pPr>
        <w:pStyle w:val="Corpsdetexte21"/>
        <w:spacing w:line="276" w:lineRule="auto"/>
        <w:rPr>
          <w:rFonts w:ascii="Gadugi" w:hAnsi="Gadugi" w:cs="Century Gothic"/>
          <w:szCs w:val="24"/>
          <w:lang w:val="es-CO"/>
        </w:rPr>
      </w:pPr>
      <w:r w:rsidRPr="002119C0">
        <w:rPr>
          <w:rFonts w:ascii="Gadugi" w:hAnsi="Gadugi" w:cs="Century Gothic"/>
          <w:szCs w:val="24"/>
        </w:rPr>
        <w:t xml:space="preserve">Javier Elías Arias </w:t>
      </w:r>
      <w:proofErr w:type="spellStart"/>
      <w:r w:rsidRPr="002119C0">
        <w:rPr>
          <w:rFonts w:ascii="Gadugi" w:hAnsi="Gadugi" w:cs="Century Gothic"/>
          <w:szCs w:val="24"/>
        </w:rPr>
        <w:t>Idárraga</w:t>
      </w:r>
      <w:proofErr w:type="spellEnd"/>
      <w:r w:rsidRPr="002119C0">
        <w:rPr>
          <w:rFonts w:ascii="Gadugi" w:hAnsi="Gadugi" w:cs="Century Gothic"/>
          <w:szCs w:val="24"/>
        </w:rPr>
        <w:t xml:space="preserve">, </w:t>
      </w:r>
      <w:r>
        <w:rPr>
          <w:rFonts w:ascii="Gadugi" w:hAnsi="Gadugi" w:cs="Century Gothic"/>
          <w:szCs w:val="24"/>
        </w:rPr>
        <w:t>quien actúa en su propio nombre</w:t>
      </w:r>
      <w:r w:rsidRPr="002119C0">
        <w:rPr>
          <w:rFonts w:ascii="Gadugi" w:hAnsi="Gadugi" w:cs="Century Gothic"/>
          <w:szCs w:val="24"/>
        </w:rPr>
        <w:t xml:space="preserve">, demanda </w:t>
      </w:r>
      <w:r>
        <w:rPr>
          <w:rFonts w:ascii="Gadugi" w:hAnsi="Gadugi" w:cs="Century Gothic"/>
          <w:szCs w:val="24"/>
          <w:lang w:val="es-419"/>
        </w:rPr>
        <w:t xml:space="preserve">al </w:t>
      </w:r>
      <w:r w:rsidRPr="002119C0">
        <w:rPr>
          <w:rFonts w:ascii="Gadugi" w:hAnsi="Gadugi" w:cs="Century Gothic"/>
          <w:szCs w:val="24"/>
          <w:lang w:val="es-CO"/>
        </w:rPr>
        <w:t xml:space="preserve">Juzgado </w:t>
      </w:r>
      <w:r>
        <w:rPr>
          <w:rFonts w:ascii="Gadugi" w:hAnsi="Gadugi" w:cs="Century Gothic"/>
          <w:szCs w:val="24"/>
          <w:lang w:val="es-CO"/>
        </w:rPr>
        <w:t>Cuarto</w:t>
      </w:r>
      <w:r w:rsidRPr="002119C0">
        <w:rPr>
          <w:rFonts w:ascii="Gadugi" w:hAnsi="Gadugi" w:cs="Century Gothic"/>
          <w:szCs w:val="24"/>
          <w:lang w:val="es-CO"/>
        </w:rPr>
        <w:t xml:space="preserve"> Civil del Circuito de esta ciudad, </w:t>
      </w:r>
      <w:r>
        <w:rPr>
          <w:rFonts w:ascii="Gadugi" w:hAnsi="Gadugi" w:cs="Century Gothic"/>
          <w:szCs w:val="24"/>
          <w:lang w:val="es-419"/>
        </w:rPr>
        <w:t xml:space="preserve">por la </w:t>
      </w:r>
      <w:r>
        <w:rPr>
          <w:rFonts w:ascii="Gadugi" w:hAnsi="Gadugi" w:cs="Century Gothic"/>
          <w:i/>
          <w:szCs w:val="24"/>
          <w:lang w:val="es-CO"/>
        </w:rPr>
        <w:t>“vulneración a las garantías procesales</w:t>
      </w:r>
      <w:r w:rsidRPr="002119C0">
        <w:rPr>
          <w:rFonts w:ascii="Gadugi" w:hAnsi="Gadugi" w:cs="Century Gothic"/>
          <w:i/>
          <w:szCs w:val="24"/>
        </w:rPr>
        <w:t>”</w:t>
      </w:r>
      <w:r w:rsidRPr="002119C0">
        <w:rPr>
          <w:rFonts w:ascii="Gadugi" w:hAnsi="Gadugi" w:cs="Century Gothic"/>
          <w:i/>
          <w:szCs w:val="24"/>
          <w:lang w:val="es-419"/>
        </w:rPr>
        <w:t>,</w:t>
      </w:r>
      <w:r>
        <w:rPr>
          <w:rFonts w:ascii="Gadugi" w:hAnsi="Gadugi" w:cs="Century Gothic"/>
          <w:szCs w:val="24"/>
          <w:lang w:val="es-419"/>
        </w:rPr>
        <w:t xml:space="preserve"> par</w:t>
      </w:r>
      <w:r w:rsidRPr="002119C0">
        <w:rPr>
          <w:rFonts w:ascii="Gadugi" w:hAnsi="Gadugi" w:cs="Century Gothic"/>
          <w:szCs w:val="24"/>
          <w:lang w:val="es-419"/>
        </w:rPr>
        <w:t>a</w:t>
      </w:r>
      <w:r>
        <w:rPr>
          <w:rFonts w:ascii="Gadugi" w:hAnsi="Gadugi" w:cs="Century Gothic"/>
          <w:szCs w:val="24"/>
          <w:lang w:val="es-CO"/>
        </w:rPr>
        <w:t xml:space="preserve"> lo cual explica que presentó acciones populares radicadas en ese despacho con los números </w:t>
      </w:r>
      <w:r>
        <w:rPr>
          <w:rFonts w:ascii="Gadugi" w:hAnsi="Gadugi" w:cs="Century Gothic"/>
          <w:i/>
          <w:szCs w:val="24"/>
          <w:lang w:val="es-CO"/>
        </w:rPr>
        <w:t>“2016-392”</w:t>
      </w:r>
      <w:r>
        <w:rPr>
          <w:rFonts w:ascii="Gadugi" w:hAnsi="Gadugi" w:cs="Century Gothic"/>
          <w:szCs w:val="24"/>
          <w:lang w:val="es-CO"/>
        </w:rPr>
        <w:t xml:space="preserve"> y </w:t>
      </w:r>
      <w:r>
        <w:rPr>
          <w:rFonts w:ascii="Gadugi" w:hAnsi="Gadugi" w:cs="Century Gothic"/>
          <w:i/>
          <w:szCs w:val="24"/>
          <w:lang w:val="es-CO"/>
        </w:rPr>
        <w:t>“2016-393”</w:t>
      </w:r>
      <w:r>
        <w:rPr>
          <w:rFonts w:ascii="Gadugi" w:hAnsi="Gadugi" w:cs="Century Gothic"/>
          <w:szCs w:val="24"/>
          <w:lang w:val="es-CO"/>
        </w:rPr>
        <w:t xml:space="preserve"> y se le exigió que aportara el certificado de existencia y representación legal de las </w:t>
      </w:r>
      <w:r>
        <w:rPr>
          <w:rFonts w:ascii="Gadugi" w:hAnsi="Gadugi" w:cs="Century Gothic"/>
          <w:szCs w:val="24"/>
          <w:lang w:val="es-CO"/>
        </w:rPr>
        <w:lastRenderedPageBreak/>
        <w:t xml:space="preserve">entidades accionadas, pese a que expresamente indicó en los libelos que el domicilio de las entidades está en Pereira; </w:t>
      </w:r>
      <w:r>
        <w:rPr>
          <w:rFonts w:ascii="Gadugi" w:hAnsi="Gadugi" w:cs="Century Gothic"/>
          <w:szCs w:val="24"/>
          <w:lang w:val="es-419"/>
        </w:rPr>
        <w:t xml:space="preserve">luego, </w:t>
      </w:r>
      <w:r>
        <w:rPr>
          <w:rFonts w:ascii="Gadugi" w:hAnsi="Gadugi" w:cs="Century Gothic"/>
          <w:szCs w:val="24"/>
          <w:lang w:val="es-CO"/>
        </w:rPr>
        <w:t xml:space="preserve">se rechazaron las acciones bajo el argumento de que no </w:t>
      </w:r>
      <w:r>
        <w:rPr>
          <w:rFonts w:ascii="Gadugi" w:hAnsi="Gadugi" w:cs="Century Gothic"/>
          <w:szCs w:val="24"/>
          <w:lang w:val="es-419"/>
        </w:rPr>
        <w:t xml:space="preserve">se </w:t>
      </w:r>
      <w:r>
        <w:rPr>
          <w:rFonts w:ascii="Gadugi" w:hAnsi="Gadugi" w:cs="Century Gothic"/>
          <w:szCs w:val="24"/>
          <w:lang w:val="es-CO"/>
        </w:rPr>
        <w:t xml:space="preserve">cumplió </w:t>
      </w:r>
      <w:r>
        <w:rPr>
          <w:rFonts w:ascii="Gadugi" w:hAnsi="Gadugi" w:cs="Century Gothic"/>
          <w:szCs w:val="24"/>
          <w:lang w:val="es-419"/>
        </w:rPr>
        <w:t xml:space="preserve">ese requisito </w:t>
      </w:r>
      <w:r>
        <w:rPr>
          <w:rFonts w:ascii="Gadugi" w:hAnsi="Gadugi" w:cs="Century Gothic"/>
          <w:szCs w:val="24"/>
          <w:lang w:val="es-CO"/>
        </w:rPr>
        <w:t>que no contempla el artículo 18 de Ley 472 de 1998.</w:t>
      </w:r>
    </w:p>
    <w:p w:rsidR="0006600D" w:rsidRPr="00651677" w:rsidRDefault="0006600D" w:rsidP="0006600D">
      <w:pPr>
        <w:pStyle w:val="Corpsdetexte21"/>
        <w:spacing w:line="276" w:lineRule="auto"/>
        <w:rPr>
          <w:rFonts w:ascii="Gadugi" w:hAnsi="Gadugi" w:cs="Century Gothic"/>
          <w:szCs w:val="24"/>
          <w:lang w:val="es-CO"/>
        </w:rPr>
      </w:pPr>
      <w:r w:rsidRPr="002119C0">
        <w:rPr>
          <w:rFonts w:ascii="Gadugi" w:hAnsi="Gadugi" w:cs="Century Gothic"/>
          <w:szCs w:val="24"/>
          <w:lang w:val="es-419"/>
        </w:rPr>
        <w:t>Pide</w:t>
      </w:r>
      <w:r>
        <w:rPr>
          <w:rFonts w:ascii="Gadugi" w:hAnsi="Gadugi" w:cs="Century Gothic"/>
          <w:szCs w:val="24"/>
          <w:lang w:val="es-CO"/>
        </w:rPr>
        <w:t xml:space="preserve"> </w:t>
      </w:r>
      <w:r>
        <w:rPr>
          <w:rFonts w:ascii="Gadugi" w:hAnsi="Gadugi" w:cs="Century Gothic"/>
          <w:szCs w:val="24"/>
          <w:lang w:val="es-419"/>
        </w:rPr>
        <w:t>que se</w:t>
      </w:r>
      <w:r>
        <w:rPr>
          <w:rFonts w:ascii="Gadugi" w:hAnsi="Gadugi" w:cs="Century Gothic"/>
          <w:szCs w:val="24"/>
          <w:lang w:val="es-CO"/>
        </w:rPr>
        <w:t xml:space="preserve"> </w:t>
      </w:r>
      <w:r>
        <w:rPr>
          <w:rFonts w:ascii="Gadugi" w:hAnsi="Gadugi" w:cs="Century Gothic"/>
          <w:szCs w:val="24"/>
          <w:lang w:val="es-419"/>
        </w:rPr>
        <w:t>l</w:t>
      </w:r>
      <w:proofErr w:type="spellStart"/>
      <w:r>
        <w:rPr>
          <w:rFonts w:ascii="Gadugi" w:hAnsi="Gadugi" w:cs="Century Gothic"/>
          <w:szCs w:val="24"/>
          <w:lang w:val="es-CO"/>
        </w:rPr>
        <w:t>e</w:t>
      </w:r>
      <w:proofErr w:type="spellEnd"/>
      <w:r>
        <w:rPr>
          <w:rFonts w:ascii="Gadugi" w:hAnsi="Gadugi" w:cs="Century Gothic"/>
          <w:szCs w:val="24"/>
          <w:lang w:val="es-CO"/>
        </w:rPr>
        <w:t xml:space="preserve"> ordene al juzgado admitir inmediatamente las demandas y </w:t>
      </w:r>
      <w:proofErr w:type="spellStart"/>
      <w:r>
        <w:rPr>
          <w:rFonts w:ascii="Gadugi" w:hAnsi="Gadugi" w:cs="Century Gothic"/>
          <w:szCs w:val="24"/>
          <w:lang w:val="es-CO"/>
        </w:rPr>
        <w:t>aport</w:t>
      </w:r>
      <w:proofErr w:type="spellEnd"/>
      <w:r>
        <w:rPr>
          <w:rFonts w:ascii="Gadugi" w:hAnsi="Gadugi" w:cs="Century Gothic"/>
          <w:szCs w:val="24"/>
          <w:lang w:val="es-419"/>
        </w:rPr>
        <w:t>ar</w:t>
      </w:r>
      <w:r>
        <w:rPr>
          <w:rFonts w:ascii="Gadugi" w:hAnsi="Gadugi" w:cs="Century Gothic"/>
          <w:szCs w:val="24"/>
          <w:lang w:val="es-CO"/>
        </w:rPr>
        <w:t xml:space="preserve"> un listado completo de todas las acciones populares donde haya exigido requisitos inexistentes; y del agente del Ministerio Público, </w:t>
      </w:r>
      <w:r>
        <w:rPr>
          <w:rFonts w:ascii="Gadugi" w:hAnsi="Gadugi" w:cs="Century Gothic"/>
          <w:szCs w:val="24"/>
          <w:lang w:val="es-419"/>
        </w:rPr>
        <w:t xml:space="preserve">que </w:t>
      </w:r>
      <w:r>
        <w:rPr>
          <w:rFonts w:ascii="Gadugi" w:hAnsi="Gadugi" w:cs="Century Gothic"/>
          <w:szCs w:val="24"/>
          <w:lang w:val="es-CO"/>
        </w:rPr>
        <w:t>se pronuncie acerca de la legalidad de los autos por medio de los cuales se rechazaron los libelos.</w:t>
      </w:r>
    </w:p>
    <w:p w:rsidR="0006600D" w:rsidRPr="00651677" w:rsidRDefault="0006600D" w:rsidP="0006600D">
      <w:pPr>
        <w:pStyle w:val="Corpsdetexte21"/>
        <w:spacing w:line="276" w:lineRule="auto"/>
        <w:rPr>
          <w:rFonts w:ascii="Gadugi" w:hAnsi="Gadugi" w:cs="Century Gothic"/>
          <w:szCs w:val="24"/>
        </w:rPr>
      </w:pPr>
    </w:p>
    <w:p w:rsidR="0006600D" w:rsidRDefault="0006600D" w:rsidP="0006600D">
      <w:pPr>
        <w:spacing w:line="276" w:lineRule="auto"/>
        <w:ind w:firstLine="2835"/>
        <w:jc w:val="both"/>
        <w:rPr>
          <w:rFonts w:ascii="Gadugi" w:hAnsi="Gadugi" w:cs="Century Gothic"/>
          <w:sz w:val="24"/>
          <w:szCs w:val="24"/>
          <w:lang w:val="es-CO"/>
        </w:rPr>
      </w:pPr>
      <w:r w:rsidRPr="00F00128">
        <w:rPr>
          <w:rFonts w:ascii="Gadugi" w:hAnsi="Gadugi" w:cs="Century Gothic"/>
          <w:sz w:val="24"/>
          <w:szCs w:val="24"/>
        </w:rPr>
        <w:t xml:space="preserve">Se dispuso el trámite </w:t>
      </w:r>
      <w:r>
        <w:rPr>
          <w:rFonts w:ascii="Gadugi" w:hAnsi="Gadugi" w:cs="Century Gothic"/>
          <w:sz w:val="24"/>
          <w:szCs w:val="24"/>
        </w:rPr>
        <w:t>acumulado y l</w:t>
      </w:r>
      <w:r w:rsidRPr="00F00128">
        <w:rPr>
          <w:rFonts w:ascii="Gadugi" w:hAnsi="Gadugi" w:cs="Century Gothic"/>
          <w:sz w:val="24"/>
          <w:szCs w:val="24"/>
        </w:rPr>
        <w:t xml:space="preserve">a vinculación </w:t>
      </w:r>
      <w:r>
        <w:rPr>
          <w:rFonts w:ascii="Gadugi" w:hAnsi="Gadugi" w:cs="Century Gothic"/>
          <w:sz w:val="24"/>
          <w:szCs w:val="24"/>
        </w:rPr>
        <w:t>de l</w:t>
      </w:r>
      <w:r w:rsidRPr="00F00128">
        <w:rPr>
          <w:rFonts w:ascii="Gadugi" w:hAnsi="Gadugi" w:cs="Century Gothic"/>
          <w:sz w:val="24"/>
          <w:szCs w:val="24"/>
          <w:lang w:val="es-CO"/>
        </w:rPr>
        <w:t>a Defensoría de Pueblo Risaralda</w:t>
      </w:r>
      <w:r>
        <w:rPr>
          <w:rFonts w:ascii="Gadugi" w:hAnsi="Gadugi" w:cs="Century Gothic"/>
          <w:sz w:val="24"/>
          <w:szCs w:val="24"/>
          <w:lang w:val="es-CO"/>
        </w:rPr>
        <w:t>.</w:t>
      </w:r>
    </w:p>
    <w:p w:rsidR="0006600D" w:rsidRPr="00F00128" w:rsidRDefault="0006600D" w:rsidP="0006600D">
      <w:pPr>
        <w:spacing w:line="276" w:lineRule="auto"/>
        <w:ind w:firstLine="2835"/>
        <w:jc w:val="both"/>
        <w:rPr>
          <w:rFonts w:ascii="Gadugi" w:hAnsi="Gadugi" w:cs="Century Gothic"/>
          <w:sz w:val="24"/>
          <w:szCs w:val="24"/>
          <w:lang w:val="es-CO"/>
        </w:rPr>
      </w:pPr>
    </w:p>
    <w:p w:rsidR="0006600D" w:rsidRDefault="0006600D" w:rsidP="0006600D">
      <w:pPr>
        <w:pStyle w:val="Corpsdetexte21"/>
        <w:spacing w:line="276" w:lineRule="auto"/>
        <w:rPr>
          <w:rFonts w:ascii="Gadugi" w:hAnsi="Gadugi" w:cs="Century Gothic"/>
          <w:szCs w:val="24"/>
          <w:lang w:val="es-419"/>
        </w:rPr>
      </w:pPr>
      <w:r w:rsidRPr="00651677">
        <w:rPr>
          <w:rFonts w:ascii="Gadugi" w:hAnsi="Gadugi" w:cs="Century Gothic"/>
          <w:szCs w:val="24"/>
          <w:lang w:val="es-419"/>
        </w:rPr>
        <w:t>E</w:t>
      </w:r>
      <w:r w:rsidRPr="00651677">
        <w:rPr>
          <w:rFonts w:ascii="Gadugi" w:hAnsi="Gadugi" w:cs="Century Gothic"/>
          <w:szCs w:val="24"/>
        </w:rPr>
        <w:t>l juzgado hizo remisión de</w:t>
      </w:r>
      <w:r>
        <w:rPr>
          <w:rFonts w:ascii="Gadugi" w:hAnsi="Gadugi" w:cs="Century Gothic"/>
          <w:szCs w:val="24"/>
        </w:rPr>
        <w:t xml:space="preserve"> un disco compacto en el que constan las actuaciones de los </w:t>
      </w:r>
      <w:r>
        <w:rPr>
          <w:rFonts w:ascii="Gadugi" w:hAnsi="Gadugi" w:cs="Century Gothic"/>
          <w:szCs w:val="24"/>
          <w:lang w:val="es-CO"/>
        </w:rPr>
        <w:t>respectivos asuntos.</w:t>
      </w:r>
      <w:r>
        <w:rPr>
          <w:rFonts w:ascii="Gadugi" w:hAnsi="Gadugi" w:cs="Century Gothic"/>
          <w:szCs w:val="24"/>
          <w:lang w:val="es-419"/>
        </w:rPr>
        <w:t xml:space="preserve"> </w:t>
      </w:r>
    </w:p>
    <w:p w:rsidR="0006600D" w:rsidRDefault="0006600D" w:rsidP="0006600D">
      <w:pPr>
        <w:pStyle w:val="Corpsdetexte21"/>
        <w:spacing w:line="276" w:lineRule="auto"/>
        <w:rPr>
          <w:rFonts w:ascii="Gadugi" w:hAnsi="Gadugi" w:cs="Century Gothic"/>
          <w:szCs w:val="24"/>
          <w:lang w:val="es-419"/>
        </w:rPr>
      </w:pPr>
    </w:p>
    <w:p w:rsidR="0006600D" w:rsidRPr="00B21EF7" w:rsidRDefault="0006600D" w:rsidP="0006600D">
      <w:pPr>
        <w:pStyle w:val="Corpsdetexte21"/>
        <w:spacing w:line="276" w:lineRule="auto"/>
        <w:rPr>
          <w:rFonts w:ascii="Gadugi" w:hAnsi="Gadugi" w:cs="Century Gothic"/>
          <w:szCs w:val="24"/>
          <w:lang w:val="es-CO"/>
        </w:rPr>
      </w:pPr>
      <w:r>
        <w:rPr>
          <w:rFonts w:ascii="Gadugi" w:hAnsi="Gadugi" w:cs="Century Gothic"/>
          <w:szCs w:val="24"/>
          <w:lang w:val="es-CO"/>
        </w:rPr>
        <w:t>L</w:t>
      </w:r>
      <w:r w:rsidRPr="00651677">
        <w:rPr>
          <w:rFonts w:ascii="Gadugi" w:hAnsi="Gadugi" w:cs="Century Gothic"/>
          <w:szCs w:val="24"/>
          <w:lang w:val="es-419"/>
        </w:rPr>
        <w:t>a</w:t>
      </w:r>
      <w:r>
        <w:rPr>
          <w:rFonts w:ascii="Gadugi" w:hAnsi="Gadugi" w:cs="Century Gothic"/>
          <w:szCs w:val="24"/>
        </w:rPr>
        <w:t xml:space="preserve"> Procuraduría</w:t>
      </w:r>
      <w:r w:rsidRPr="00651677">
        <w:rPr>
          <w:rFonts w:ascii="Gadugi" w:hAnsi="Gadugi" w:cs="Century Gothic"/>
          <w:szCs w:val="24"/>
        </w:rPr>
        <w:t xml:space="preserve"> Regional Risaralda,</w:t>
      </w:r>
      <w:r>
        <w:rPr>
          <w:rFonts w:ascii="Gadugi" w:hAnsi="Gadugi" w:cs="Century Gothic"/>
          <w:szCs w:val="24"/>
        </w:rPr>
        <w:t xml:space="preserve"> </w:t>
      </w:r>
      <w:r w:rsidRPr="00651677">
        <w:rPr>
          <w:rFonts w:ascii="Gadugi" w:hAnsi="Gadugi" w:cs="Century Gothic"/>
          <w:szCs w:val="24"/>
        </w:rPr>
        <w:t>manifestó que la intervención de la agencia está orientada, como órgano de control, a la defensa de los derechos e intereses colectivo</w:t>
      </w:r>
      <w:r>
        <w:rPr>
          <w:rFonts w:ascii="Gadugi" w:hAnsi="Gadugi" w:cs="Century Gothic"/>
          <w:szCs w:val="24"/>
          <w:lang w:val="es-419"/>
        </w:rPr>
        <w:t>s</w:t>
      </w:r>
      <w:r w:rsidRPr="00651677">
        <w:rPr>
          <w:rFonts w:ascii="Gadugi" w:hAnsi="Gadugi" w:cs="Century Gothic"/>
          <w:szCs w:val="24"/>
        </w:rPr>
        <w:t>.</w:t>
      </w:r>
      <w:r>
        <w:rPr>
          <w:rFonts w:ascii="Gadugi" w:hAnsi="Gadugi" w:cs="Century Gothic"/>
          <w:szCs w:val="24"/>
        </w:rPr>
        <w:t xml:space="preserve"> </w:t>
      </w:r>
    </w:p>
    <w:p w:rsidR="0006600D" w:rsidRPr="009E2DA6" w:rsidRDefault="0006600D" w:rsidP="0006600D">
      <w:pPr>
        <w:pStyle w:val="Corpsdetexte21"/>
        <w:spacing w:line="276" w:lineRule="auto"/>
        <w:rPr>
          <w:rFonts w:ascii="Gadugi" w:hAnsi="Gadugi" w:cs="Arial"/>
          <w:szCs w:val="24"/>
          <w:lang w:val="es-CO"/>
        </w:rPr>
      </w:pPr>
    </w:p>
    <w:p w:rsidR="0006600D" w:rsidRDefault="0006600D" w:rsidP="0006600D">
      <w:pPr>
        <w:spacing w:line="276" w:lineRule="auto"/>
        <w:ind w:firstLine="2835"/>
        <w:jc w:val="both"/>
        <w:rPr>
          <w:rFonts w:ascii="Gadugi" w:hAnsi="Gadugi" w:cs="Arial"/>
          <w:b/>
          <w:sz w:val="24"/>
          <w:szCs w:val="24"/>
        </w:rPr>
      </w:pPr>
    </w:p>
    <w:p w:rsidR="0006600D" w:rsidRDefault="0006600D" w:rsidP="0006600D">
      <w:pPr>
        <w:spacing w:line="276" w:lineRule="auto"/>
        <w:ind w:firstLine="2835"/>
        <w:jc w:val="both"/>
        <w:rPr>
          <w:rFonts w:ascii="Gadugi" w:hAnsi="Gadugi" w:cs="Arial"/>
          <w:b/>
          <w:sz w:val="24"/>
          <w:szCs w:val="24"/>
        </w:rPr>
      </w:pPr>
      <w:r w:rsidRPr="002119C0">
        <w:rPr>
          <w:rFonts w:ascii="Gadugi" w:hAnsi="Gadugi" w:cs="Arial"/>
          <w:b/>
          <w:sz w:val="24"/>
          <w:szCs w:val="24"/>
        </w:rPr>
        <w:t>CONSIDERACIONES</w:t>
      </w:r>
    </w:p>
    <w:p w:rsidR="0006600D" w:rsidRPr="002119C0" w:rsidRDefault="0006600D" w:rsidP="0006600D">
      <w:pPr>
        <w:spacing w:line="276" w:lineRule="auto"/>
        <w:ind w:firstLine="2835"/>
        <w:jc w:val="both"/>
        <w:rPr>
          <w:rFonts w:ascii="Gadugi" w:hAnsi="Gadugi" w:cs="Arial"/>
          <w:b/>
          <w:sz w:val="24"/>
          <w:szCs w:val="24"/>
        </w:rPr>
      </w:pPr>
    </w:p>
    <w:p w:rsidR="0006600D" w:rsidRPr="00B4481E" w:rsidRDefault="0006600D" w:rsidP="0006600D">
      <w:pPr>
        <w:pStyle w:val="Corpsdetexte21"/>
        <w:spacing w:line="276" w:lineRule="auto"/>
        <w:rPr>
          <w:rFonts w:ascii="Gadugi" w:hAnsi="Gadugi"/>
          <w:szCs w:val="24"/>
        </w:rPr>
      </w:pPr>
      <w:r>
        <w:rPr>
          <w:rFonts w:ascii="Gadugi" w:hAnsi="Gadugi"/>
          <w:szCs w:val="24"/>
          <w:lang w:val="es-CO"/>
        </w:rPr>
        <w:t>S</w:t>
      </w:r>
      <w:r>
        <w:rPr>
          <w:rFonts w:ascii="Gadugi" w:hAnsi="Gadugi"/>
          <w:szCs w:val="24"/>
          <w:lang w:val="es-419"/>
        </w:rPr>
        <w:t xml:space="preserve">e recuerda que </w:t>
      </w:r>
      <w:r>
        <w:rPr>
          <w:rFonts w:ascii="Gadugi" w:hAnsi="Gadugi"/>
          <w:szCs w:val="24"/>
        </w:rPr>
        <w:t>l</w:t>
      </w:r>
      <w:r w:rsidRPr="00B4481E">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06600D" w:rsidRPr="00B4481E" w:rsidRDefault="0006600D" w:rsidP="0006600D">
      <w:pPr>
        <w:spacing w:line="276" w:lineRule="auto"/>
        <w:ind w:firstLine="2835"/>
        <w:jc w:val="both"/>
        <w:rPr>
          <w:rFonts w:ascii="Gadugi" w:hAnsi="Gadugi"/>
          <w:sz w:val="24"/>
          <w:szCs w:val="24"/>
        </w:rPr>
      </w:pPr>
      <w:r w:rsidRPr="00B4481E">
        <w:rPr>
          <w:rFonts w:ascii="Gadugi" w:hAnsi="Gadugi"/>
          <w:sz w:val="24"/>
          <w:szCs w:val="24"/>
        </w:rPr>
        <w:t xml:space="preserve">  </w:t>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p>
    <w:p w:rsidR="0006600D" w:rsidRPr="003D1D3A" w:rsidRDefault="0006600D" w:rsidP="0006600D">
      <w:pPr>
        <w:spacing w:line="276" w:lineRule="auto"/>
        <w:jc w:val="both"/>
        <w:rPr>
          <w:rFonts w:ascii="Gadugi" w:hAnsi="Gadugi" w:cs="Arial"/>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Pr="003D1D3A">
        <w:rPr>
          <w:rFonts w:ascii="Gadugi" w:hAnsi="Gadugi"/>
          <w:sz w:val="24"/>
          <w:szCs w:val="24"/>
        </w:rPr>
        <w:t xml:space="preserve">Se acude en esta oportunidad </w:t>
      </w:r>
      <w:r w:rsidRPr="003D1D3A">
        <w:rPr>
          <w:rFonts w:ascii="Gadugi" w:hAnsi="Gadugi" w:cs="Arial"/>
          <w:sz w:val="24"/>
          <w:szCs w:val="24"/>
        </w:rPr>
        <w:t xml:space="preserve">en procura de los derechos </w:t>
      </w:r>
      <w:r>
        <w:rPr>
          <w:rFonts w:ascii="Gadugi" w:hAnsi="Gadugi" w:cs="Arial"/>
          <w:sz w:val="24"/>
          <w:szCs w:val="24"/>
        </w:rPr>
        <w:t xml:space="preserve">que se anuncian como </w:t>
      </w:r>
      <w:r>
        <w:rPr>
          <w:rFonts w:ascii="Gadugi" w:hAnsi="Gadugi" w:cs="Arial"/>
          <w:i/>
          <w:sz w:val="24"/>
          <w:szCs w:val="24"/>
        </w:rPr>
        <w:t xml:space="preserve">“garantías procesales” </w:t>
      </w:r>
      <w:r>
        <w:rPr>
          <w:rFonts w:ascii="Gadugi" w:hAnsi="Gadugi" w:cs="Arial"/>
          <w:sz w:val="24"/>
          <w:szCs w:val="24"/>
        </w:rPr>
        <w:t>b</w:t>
      </w:r>
      <w:r w:rsidRPr="003D1D3A">
        <w:rPr>
          <w:rFonts w:ascii="Gadugi" w:hAnsi="Gadugi" w:cs="Arial"/>
          <w:sz w:val="24"/>
          <w:szCs w:val="24"/>
        </w:rPr>
        <w:t>ajo la premisa de que el Juzgado</w:t>
      </w:r>
      <w:r>
        <w:rPr>
          <w:rFonts w:ascii="Gadugi" w:hAnsi="Gadugi" w:cs="Arial"/>
          <w:sz w:val="24"/>
          <w:szCs w:val="24"/>
        </w:rPr>
        <w:t>, rechazó las acciones populares que promovió, previa inadmisión bajo requisitos que no contempla la Ley 472 de 1998.</w:t>
      </w:r>
    </w:p>
    <w:p w:rsidR="0006600D" w:rsidRPr="003D1D3A" w:rsidRDefault="0006600D" w:rsidP="0006600D">
      <w:pPr>
        <w:spacing w:line="276" w:lineRule="auto"/>
        <w:jc w:val="both"/>
        <w:rPr>
          <w:rFonts w:ascii="Gadugi" w:hAnsi="Gadugi" w:cs="Arial"/>
          <w:sz w:val="24"/>
          <w:szCs w:val="24"/>
        </w:rPr>
      </w:pPr>
    </w:p>
    <w:p w:rsidR="0006600D" w:rsidRPr="004E1C58" w:rsidRDefault="0006600D" w:rsidP="0006600D">
      <w:pPr>
        <w:spacing w:line="276" w:lineRule="auto"/>
        <w:jc w:val="both"/>
        <w:rPr>
          <w:rFonts w:ascii="Gadugi" w:hAnsi="Gadugi" w:cs="Arial"/>
          <w:sz w:val="24"/>
          <w:szCs w:val="24"/>
          <w:lang w:val="es-419"/>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3D1D3A">
        <w:rPr>
          <w:rFonts w:ascii="Gadugi" w:hAnsi="Gadugi" w:cs="Arial"/>
          <w:sz w:val="24"/>
          <w:szCs w:val="24"/>
        </w:rPr>
        <w:t xml:space="preserve">Reiteradamente se ha expuesto que </w:t>
      </w:r>
      <w:r w:rsidRPr="003D1D3A">
        <w:rPr>
          <w:rFonts w:ascii="Gadugi" w:hAnsi="Gadugi"/>
          <w:sz w:val="24"/>
          <w:szCs w:val="24"/>
        </w:rPr>
        <w:t xml:space="preserve">a pesar de la </w:t>
      </w:r>
      <w:proofErr w:type="spellStart"/>
      <w:r w:rsidRPr="003D1D3A">
        <w:rPr>
          <w:rFonts w:ascii="Gadugi" w:hAnsi="Gadugi"/>
          <w:sz w:val="24"/>
          <w:szCs w:val="24"/>
        </w:rPr>
        <w:t>inexequibilidad</w:t>
      </w:r>
      <w:proofErr w:type="spellEnd"/>
      <w:r w:rsidRPr="003D1D3A">
        <w:rPr>
          <w:rFonts w:ascii="Gadugi" w:hAnsi="Gadugi"/>
          <w:sz w:val="24"/>
          <w:szCs w:val="24"/>
        </w:rPr>
        <w:t xml:space="preserve"> de las normas</w:t>
      </w:r>
      <w:r w:rsidRPr="004E1C58">
        <w:rPr>
          <w:rFonts w:ascii="Gadugi" w:hAnsi="Gadugi"/>
          <w:sz w:val="24"/>
          <w:szCs w:val="24"/>
        </w:rPr>
        <w:t xml:space="preserve"> que en el Decreto 2591 de 1991 preveían la acción de tutela contra providencias judiciales</w:t>
      </w:r>
      <w:r w:rsidRPr="004E1C58">
        <w:rPr>
          <w:rStyle w:val="Appelnotedebasdep"/>
          <w:rFonts w:ascii="Gadugi" w:hAnsi="Gadugi"/>
          <w:sz w:val="24"/>
          <w:szCs w:val="24"/>
        </w:rPr>
        <w:footnoteReference w:id="1"/>
      </w:r>
      <w:r w:rsidRPr="004E1C58">
        <w:rPr>
          <w:rFonts w:ascii="Gadugi" w:hAnsi="Gadugi"/>
          <w:sz w:val="24"/>
          <w:szCs w:val="24"/>
        </w:rPr>
        <w:t xml:space="preserve">, tal mecanismo se abre paso en aquellos eventos en los que se incurra en una vía de hecho, o como se denominan ahora, </w:t>
      </w:r>
      <w:r w:rsidRPr="004E1C58">
        <w:rPr>
          <w:rFonts w:ascii="Gadugi" w:hAnsi="Gadugi"/>
          <w:sz w:val="24"/>
          <w:szCs w:val="24"/>
        </w:rPr>
        <w:lastRenderedPageBreak/>
        <w:t>criterios de procedibilidad de la acción de tutela contra decisiones de los jueces, en que solo cabe un amparo de esta naturaleza en la medida en que concurra alguna de las causales generales o específicas, delineadas por la Corte Constitucional</w:t>
      </w:r>
      <w:r w:rsidRPr="004E1C58">
        <w:rPr>
          <w:rFonts w:ascii="Gadugi" w:hAnsi="Gadugi" w:cs="Arial"/>
          <w:sz w:val="24"/>
          <w:szCs w:val="24"/>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4E1C58">
        <w:rPr>
          <w:rFonts w:ascii="Gadugi" w:hAnsi="Gadugi"/>
          <w:sz w:val="24"/>
          <w:szCs w:val="24"/>
        </w:rPr>
        <w:t>la parte actora identifique de manera razonable tanto los hechos que generaron la vulneración como los derechos vulnerados</w:t>
      </w:r>
      <w:r w:rsidRPr="004E1C58">
        <w:rPr>
          <w:rFonts w:ascii="Gadugi" w:hAnsi="Gadugi" w:cs="Arial"/>
          <w:sz w:val="24"/>
          <w:szCs w:val="24"/>
        </w:rPr>
        <w:t xml:space="preserve"> </w:t>
      </w:r>
      <w:r w:rsidRPr="004E1C58">
        <w:rPr>
          <w:rFonts w:ascii="Gadugi" w:hAnsi="Gadugi" w:cs="Arial"/>
          <w:sz w:val="24"/>
          <w:szCs w:val="24"/>
          <w:lang w:val="es-419"/>
        </w:rPr>
        <w:t>y</w:t>
      </w:r>
      <w:r w:rsidRPr="004E1C58">
        <w:rPr>
          <w:rFonts w:ascii="Gadugi" w:hAnsi="Gadugi" w:cs="Arial"/>
          <w:sz w:val="24"/>
          <w:szCs w:val="24"/>
        </w:rPr>
        <w:t xml:space="preserve"> los hechos hayan sido cuestionados dentro del proceso; y (vi) que el fallo censurado no sea de tutela.</w:t>
      </w:r>
      <w:r w:rsidRPr="004E1C58">
        <w:rPr>
          <w:rFonts w:ascii="Gadugi" w:hAnsi="Gadugi" w:cs="Arial"/>
          <w:sz w:val="24"/>
          <w:szCs w:val="24"/>
          <w:lang w:val="es-419"/>
        </w:rPr>
        <w:t xml:space="preserve"> </w:t>
      </w:r>
      <w:r w:rsidRPr="004E1C58">
        <w:rPr>
          <w:rFonts w:ascii="Gadugi" w:hAnsi="Gadugi" w:cs="Arial"/>
          <w:sz w:val="24"/>
          <w:szCs w:val="24"/>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06600D" w:rsidRPr="004E1C58" w:rsidRDefault="0006600D" w:rsidP="0006600D">
      <w:pPr>
        <w:pStyle w:val="Sansinterligne1"/>
        <w:spacing w:line="276" w:lineRule="auto"/>
        <w:ind w:right="51" w:firstLine="2835"/>
        <w:jc w:val="both"/>
        <w:rPr>
          <w:rFonts w:ascii="Gadugi" w:hAnsi="Gadugi"/>
          <w:lang w:val="es-419"/>
        </w:rPr>
      </w:pPr>
    </w:p>
    <w:p w:rsidR="0006600D" w:rsidRDefault="0006600D" w:rsidP="0006600D">
      <w:pPr>
        <w:pStyle w:val="Sansinterligne1"/>
        <w:spacing w:line="276" w:lineRule="auto"/>
        <w:ind w:right="51"/>
        <w:jc w:val="both"/>
        <w:rPr>
          <w:rFonts w:ascii="Gadugi" w:hAnsi="Gadugi"/>
          <w:lang w:val="es-CO"/>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r w:rsidRPr="00B4481E">
        <w:rPr>
          <w:rFonts w:ascii="Gadugi" w:hAnsi="Gadugi"/>
          <w:lang w:val="es-CO"/>
        </w:rPr>
        <w:tab/>
        <w:t xml:space="preserve">Se tiene aquí, según se desprende de las copias </w:t>
      </w:r>
      <w:r>
        <w:rPr>
          <w:rFonts w:ascii="Gadugi" w:hAnsi="Gadugi"/>
          <w:lang w:val="es-419"/>
        </w:rPr>
        <w:t xml:space="preserve">enviadas, </w:t>
      </w:r>
      <w:r w:rsidRPr="00B4481E">
        <w:rPr>
          <w:rFonts w:ascii="Gadugi" w:hAnsi="Gadugi"/>
          <w:lang w:val="es-CO"/>
        </w:rPr>
        <w:t xml:space="preserve">que </w:t>
      </w:r>
      <w:r>
        <w:rPr>
          <w:rFonts w:ascii="Gadugi" w:hAnsi="Gadugi"/>
          <w:lang w:val="es-CO"/>
        </w:rPr>
        <w:t>el Juzgado, con auto</w:t>
      </w:r>
      <w:r>
        <w:rPr>
          <w:rFonts w:ascii="Gadugi" w:hAnsi="Gadugi"/>
          <w:lang w:val="es-419"/>
        </w:rPr>
        <w:t>s</w:t>
      </w:r>
      <w:r>
        <w:rPr>
          <w:rFonts w:ascii="Gadugi" w:hAnsi="Gadugi"/>
          <w:lang w:val="es-CO"/>
        </w:rPr>
        <w:t xml:space="preserve"> del 25 de octubre de 2016, inadmitió las acciones populares de que dan cuenta los escritos de tutela</w:t>
      </w:r>
      <w:r>
        <w:rPr>
          <w:rFonts w:ascii="Gadugi" w:hAnsi="Gadugi"/>
          <w:lang w:val="es-419"/>
        </w:rPr>
        <w:t>,</w:t>
      </w:r>
      <w:r>
        <w:rPr>
          <w:rFonts w:ascii="Gadugi" w:hAnsi="Gadugi"/>
          <w:lang w:val="es-CO"/>
        </w:rPr>
        <w:t xml:space="preserve"> para que se aportara el certificado de existencia y representación legal de las empresas a las que demandó con el fin de establecer la competencia territorial para conocer de ellas</w:t>
      </w:r>
      <w:r>
        <w:rPr>
          <w:rFonts w:ascii="Gadugi" w:hAnsi="Gadugi"/>
          <w:lang w:val="es-419"/>
        </w:rPr>
        <w:t>; se apoyó</w:t>
      </w:r>
      <w:r>
        <w:rPr>
          <w:rFonts w:ascii="Gadugi" w:hAnsi="Gadugi"/>
          <w:lang w:val="es-CO"/>
        </w:rPr>
        <w:t xml:space="preserve"> en providencias de la Sala de Casación Civil de la Corte Suprema de Justicia, relacionadas con la materia</w:t>
      </w:r>
      <w:r>
        <w:rPr>
          <w:rFonts w:ascii="Gadugi" w:hAnsi="Gadugi"/>
          <w:lang w:val="es-419"/>
        </w:rPr>
        <w:t xml:space="preserve">. Fracasaron los recursos </w:t>
      </w:r>
      <w:r>
        <w:rPr>
          <w:rFonts w:ascii="Gadugi" w:hAnsi="Gadugi"/>
          <w:lang w:val="es-CO"/>
        </w:rPr>
        <w:t xml:space="preserve">de reposición que planteó </w:t>
      </w:r>
      <w:r>
        <w:rPr>
          <w:rFonts w:ascii="Gadugi" w:hAnsi="Gadugi"/>
          <w:lang w:val="es-419"/>
        </w:rPr>
        <w:t xml:space="preserve">el accionante </w:t>
      </w:r>
      <w:r>
        <w:rPr>
          <w:rFonts w:ascii="Gadugi" w:hAnsi="Gadugi"/>
          <w:lang w:val="es-CO"/>
        </w:rPr>
        <w:t>frente a esas resoluciones</w:t>
      </w:r>
      <w:r>
        <w:rPr>
          <w:rFonts w:ascii="Gadugi" w:hAnsi="Gadugi"/>
          <w:lang w:val="es-419"/>
        </w:rPr>
        <w:t xml:space="preserve"> y </w:t>
      </w:r>
      <w:r>
        <w:rPr>
          <w:rFonts w:ascii="Gadugi" w:hAnsi="Gadugi"/>
          <w:lang w:val="es-CO"/>
        </w:rPr>
        <w:t xml:space="preserve">vencido el plazo para corregir, sin que se </w:t>
      </w:r>
      <w:r>
        <w:rPr>
          <w:rFonts w:ascii="Gadugi" w:hAnsi="Gadugi"/>
          <w:lang w:val="es-419"/>
        </w:rPr>
        <w:t xml:space="preserve">así se </w:t>
      </w:r>
      <w:r>
        <w:rPr>
          <w:rFonts w:ascii="Gadugi" w:hAnsi="Gadugi"/>
          <w:lang w:val="es-CO"/>
        </w:rPr>
        <w:t>hiciera, con autos del 17 de noviembre siguientes se rechazar</w:t>
      </w:r>
      <w:r>
        <w:rPr>
          <w:rFonts w:ascii="Gadugi" w:hAnsi="Gadugi"/>
          <w:lang w:val="es-419"/>
        </w:rPr>
        <w:t>on</w:t>
      </w:r>
      <w:r>
        <w:rPr>
          <w:rFonts w:ascii="Gadugi" w:hAnsi="Gadugi"/>
          <w:lang w:val="es-CO"/>
        </w:rPr>
        <w:t xml:space="preserve"> las respectivas demandas, </w:t>
      </w:r>
      <w:r>
        <w:rPr>
          <w:rFonts w:ascii="Gadugi" w:hAnsi="Gadugi"/>
          <w:lang w:val="es-419"/>
        </w:rPr>
        <w:t xml:space="preserve">decisiones contra las cuales no se interpuso ningún recurso. </w:t>
      </w:r>
    </w:p>
    <w:p w:rsidR="0006600D" w:rsidRPr="00591360" w:rsidRDefault="0006600D" w:rsidP="0006600D">
      <w:pPr>
        <w:pStyle w:val="Sansinterligne1"/>
        <w:spacing w:line="276" w:lineRule="auto"/>
        <w:ind w:right="51"/>
        <w:jc w:val="both"/>
        <w:rPr>
          <w:rFonts w:ascii="Gadugi" w:hAnsi="Gadugi"/>
          <w:sz w:val="16"/>
          <w:szCs w:val="16"/>
          <w:lang w:val="es-CO"/>
        </w:rPr>
      </w:pPr>
      <w:r w:rsidRPr="00B4481E">
        <w:rPr>
          <w:rFonts w:ascii="Gadugi" w:hAnsi="Gadugi"/>
          <w:lang w:val="es-CO"/>
        </w:rPr>
        <w:tab/>
      </w:r>
      <w:r w:rsidRPr="00B4481E">
        <w:rPr>
          <w:rFonts w:ascii="Gadugi" w:hAnsi="Gadugi"/>
          <w:lang w:val="es-CO"/>
        </w:rPr>
        <w:tab/>
        <w:t xml:space="preserve"> </w:t>
      </w:r>
      <w:r w:rsidRPr="00B4481E">
        <w:rPr>
          <w:rFonts w:ascii="Gadugi" w:hAnsi="Gadugi"/>
          <w:lang w:val="es-CO"/>
        </w:rPr>
        <w:tab/>
      </w:r>
      <w:r w:rsidRPr="00B4481E">
        <w:rPr>
          <w:rFonts w:ascii="Gadugi" w:hAnsi="Gadugi"/>
          <w:lang w:val="es-CO"/>
        </w:rPr>
        <w:tab/>
      </w:r>
    </w:p>
    <w:p w:rsidR="0006600D" w:rsidRDefault="0006600D" w:rsidP="0006600D">
      <w:pPr>
        <w:pStyle w:val="Sansinterligne1"/>
        <w:spacing w:line="276" w:lineRule="auto"/>
        <w:ind w:right="51"/>
        <w:jc w:val="both"/>
        <w:rPr>
          <w:rFonts w:ascii="Gadugi" w:hAnsi="Gadugi"/>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B4481E">
        <w:rPr>
          <w:rFonts w:ascii="Gadugi" w:hAnsi="Gadugi"/>
          <w:lang w:val="es-CO"/>
        </w:rPr>
        <w:t xml:space="preserve">En tal estado de cosas, </w:t>
      </w:r>
      <w:r>
        <w:rPr>
          <w:rFonts w:ascii="Gadugi" w:hAnsi="Gadugi"/>
          <w:lang w:val="es-CO"/>
        </w:rPr>
        <w:t>se observa</w:t>
      </w:r>
      <w:r>
        <w:rPr>
          <w:rFonts w:ascii="Gadugi" w:hAnsi="Gadugi"/>
          <w:lang w:val="es-419"/>
        </w:rPr>
        <w:t xml:space="preserve"> que</w:t>
      </w:r>
      <w:r>
        <w:rPr>
          <w:rFonts w:ascii="Gadugi" w:hAnsi="Gadugi"/>
          <w:lang w:val="es-CO"/>
        </w:rPr>
        <w:t xml:space="preserve"> </w:t>
      </w:r>
      <w:r>
        <w:rPr>
          <w:rFonts w:ascii="Gadugi" w:hAnsi="Gadugi"/>
          <w:lang w:val="es-419"/>
        </w:rPr>
        <w:t>el actor dejó de lado los mecanismos de defensa judicial que tenía a su alcance,</w:t>
      </w:r>
      <w:r>
        <w:rPr>
          <w:rFonts w:ascii="Gadugi" w:hAnsi="Gadugi"/>
          <w:lang w:val="es-CO"/>
        </w:rPr>
        <w:t xml:space="preserve"> pues no </w:t>
      </w:r>
      <w:r>
        <w:rPr>
          <w:rFonts w:ascii="Gadugi" w:hAnsi="Gadugi"/>
          <w:lang w:val="es-419"/>
        </w:rPr>
        <w:t>propuso</w:t>
      </w:r>
      <w:r>
        <w:rPr>
          <w:rFonts w:ascii="Gadugi" w:hAnsi="Gadugi"/>
          <w:lang w:val="es-CO"/>
        </w:rPr>
        <w:t>, como mínimo</w:t>
      </w:r>
      <w:r>
        <w:rPr>
          <w:rFonts w:ascii="Gadugi" w:hAnsi="Gadugi"/>
          <w:lang w:val="es-419"/>
        </w:rPr>
        <w:t>,</w:t>
      </w:r>
      <w:r>
        <w:rPr>
          <w:rFonts w:ascii="Gadugi" w:hAnsi="Gadugi"/>
          <w:lang w:val="es-CO"/>
        </w:rPr>
        <w:t xml:space="preserve"> </w:t>
      </w:r>
      <w:r>
        <w:rPr>
          <w:rFonts w:ascii="Gadugi" w:hAnsi="Gadugi"/>
          <w:lang w:val="es-419"/>
        </w:rPr>
        <w:t xml:space="preserve">el recurso de reposición que contra esos proveídos, </w:t>
      </w:r>
      <w:r>
        <w:rPr>
          <w:rFonts w:ascii="Gadugi" w:hAnsi="Gadugi"/>
          <w:lang w:val="es-CO"/>
        </w:rPr>
        <w:t>relacionad</w:t>
      </w:r>
      <w:r>
        <w:rPr>
          <w:rFonts w:ascii="Gadugi" w:hAnsi="Gadugi"/>
          <w:lang w:val="es-419"/>
        </w:rPr>
        <w:t>o</w:t>
      </w:r>
      <w:r>
        <w:rPr>
          <w:rFonts w:ascii="Gadugi" w:hAnsi="Gadugi"/>
          <w:lang w:val="es-CO"/>
        </w:rPr>
        <w:t>s con el rechazo de sus demandas</w:t>
      </w:r>
      <w:r>
        <w:rPr>
          <w:rFonts w:ascii="Gadugi" w:hAnsi="Gadugi"/>
          <w:lang w:val="es-419"/>
        </w:rPr>
        <w:t>,</w:t>
      </w:r>
      <w:r>
        <w:rPr>
          <w:rFonts w:ascii="Gadugi" w:hAnsi="Gadugi"/>
          <w:lang w:val="es-CO"/>
        </w:rPr>
        <w:t xml:space="preserve"> pudo</w:t>
      </w:r>
      <w:r>
        <w:rPr>
          <w:rFonts w:ascii="Gadugi" w:hAnsi="Gadugi"/>
          <w:lang w:val="es-419"/>
        </w:rPr>
        <w:t xml:space="preserve"> proponer</w:t>
      </w:r>
      <w:r>
        <w:rPr>
          <w:rFonts w:ascii="Gadugi" w:hAnsi="Gadugi"/>
          <w:lang w:val="es-CO"/>
        </w:rPr>
        <w:t>, c</w:t>
      </w:r>
      <w:r w:rsidRPr="00B4481E">
        <w:rPr>
          <w:rFonts w:ascii="Gadugi" w:hAnsi="Gadugi"/>
          <w:lang w:val="es-CO"/>
        </w:rPr>
        <w:t xml:space="preserve">on </w:t>
      </w:r>
      <w:r>
        <w:rPr>
          <w:rFonts w:ascii="Gadugi" w:hAnsi="Gadugi"/>
          <w:lang w:val="es-CO"/>
        </w:rPr>
        <w:t>lo cual olvida</w:t>
      </w:r>
      <w:r w:rsidRPr="00B4481E">
        <w:rPr>
          <w:rFonts w:ascii="Gadugi" w:hAnsi="Gadugi"/>
          <w:lang w:val="es-CO"/>
        </w:rPr>
        <w:t xml:space="preserve"> que </w:t>
      </w:r>
      <w:r>
        <w:rPr>
          <w:rFonts w:ascii="Gadugi" w:hAnsi="Gadugi"/>
          <w:lang w:val="es-419"/>
        </w:rPr>
        <w:t>esta acción</w:t>
      </w:r>
      <w:r w:rsidRPr="00B4481E">
        <w:rPr>
          <w:rFonts w:ascii="Gadugi" w:hAnsi="Gadugi"/>
          <w:lang w:val="es-CO"/>
        </w:rPr>
        <w:t>, por su naturaleza,</w:t>
      </w:r>
      <w:r>
        <w:rPr>
          <w:rFonts w:ascii="Gadugi" w:hAnsi="Gadugi"/>
          <w:lang w:val="es-CO"/>
        </w:rPr>
        <w:t xml:space="preserve"> es</w:t>
      </w:r>
      <w:r w:rsidRPr="00B4481E">
        <w:rPr>
          <w:rFonts w:ascii="Gadugi" w:hAnsi="Gadugi"/>
          <w:lang w:val="es-CO"/>
        </w:rPr>
        <w:t xml:space="preserve"> residual, y solo cabe cuando se ha </w:t>
      </w:r>
      <w:r>
        <w:rPr>
          <w:rFonts w:ascii="Gadugi" w:hAnsi="Gadugi"/>
          <w:lang w:val="es-419"/>
        </w:rPr>
        <w:t xml:space="preserve">hecho uso </w:t>
      </w:r>
      <w:r w:rsidRPr="00B4481E">
        <w:rPr>
          <w:rFonts w:ascii="Gadugi" w:hAnsi="Gadugi"/>
          <w:lang w:val="es-CO"/>
        </w:rPr>
        <w:t>de todas las herramientas con que las partes cuentan en el proceso y ellas han sido infructuosas</w:t>
      </w:r>
      <w:r>
        <w:rPr>
          <w:rFonts w:ascii="Gadugi" w:hAnsi="Gadugi"/>
          <w:lang w:val="es-CO"/>
        </w:rPr>
        <w:t>.</w:t>
      </w:r>
    </w:p>
    <w:p w:rsidR="0006600D" w:rsidRPr="00591360" w:rsidRDefault="0006600D" w:rsidP="0006600D">
      <w:pPr>
        <w:pStyle w:val="Sansinterligne1"/>
        <w:spacing w:line="276" w:lineRule="auto"/>
        <w:ind w:right="51"/>
        <w:jc w:val="both"/>
        <w:rPr>
          <w:rFonts w:ascii="Gadugi" w:hAnsi="Gadugi"/>
          <w:sz w:val="16"/>
          <w:szCs w:val="16"/>
          <w:lang w:val="es-CO"/>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p>
    <w:p w:rsidR="0006600D" w:rsidRPr="00B4481E" w:rsidRDefault="0006600D" w:rsidP="0006600D">
      <w:pPr>
        <w:pStyle w:val="Sansinterligne1"/>
        <w:spacing w:line="276" w:lineRule="auto"/>
        <w:ind w:right="51"/>
        <w:jc w:val="both"/>
        <w:rPr>
          <w:rFonts w:ascii="Gadugi" w:hAnsi="Gadugi" w:cs="Arial"/>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sidRPr="00B4481E">
        <w:rPr>
          <w:rFonts w:ascii="Gadugi" w:hAnsi="Gadugi"/>
          <w:lang w:val="es-CO"/>
        </w:rPr>
        <w:tab/>
      </w:r>
      <w:r>
        <w:rPr>
          <w:rFonts w:ascii="Gadugi" w:hAnsi="Gadugi"/>
          <w:lang w:val="es-CO"/>
        </w:rPr>
        <w:t xml:space="preserve">De donde </w:t>
      </w:r>
      <w:r>
        <w:rPr>
          <w:rFonts w:ascii="Gadugi" w:hAnsi="Gadugi"/>
          <w:lang w:val="es-419"/>
        </w:rPr>
        <w:t xml:space="preserve">surge </w:t>
      </w:r>
      <w:r w:rsidRPr="00B4481E">
        <w:rPr>
          <w:rFonts w:ascii="Gadugi" w:hAnsi="Gadugi"/>
          <w:lang w:val="es-CO"/>
        </w:rPr>
        <w:t xml:space="preserve">que en este caso se </w:t>
      </w:r>
      <w:r w:rsidRPr="00B4481E">
        <w:rPr>
          <w:rFonts w:ascii="Gadugi" w:hAnsi="Gadugi"/>
          <w:lang w:val="es-419"/>
        </w:rPr>
        <w:t xml:space="preserve">rompió la regla de la subsidiariedad señalada en el numeral 1° del artículo 6° del Decreto 2591 de 1991, si se tiene en cuenta, además, </w:t>
      </w:r>
      <w:r w:rsidRPr="00B4481E">
        <w:rPr>
          <w:rFonts w:ascii="Gadugi" w:hAnsi="Gadugi" w:cs="Arial"/>
        </w:rPr>
        <w:t>que la acción de tutela no ha sido diseñada para</w:t>
      </w:r>
      <w:r>
        <w:rPr>
          <w:rFonts w:ascii="Gadugi" w:hAnsi="Gadugi" w:cs="Arial"/>
        </w:rPr>
        <w:t xml:space="preserve"> revivir términos que han </w:t>
      </w:r>
      <w:proofErr w:type="spellStart"/>
      <w:r>
        <w:rPr>
          <w:rFonts w:ascii="Gadugi" w:hAnsi="Gadugi" w:cs="Arial"/>
        </w:rPr>
        <w:t>preclui</w:t>
      </w:r>
      <w:r w:rsidRPr="00B4481E">
        <w:rPr>
          <w:rFonts w:ascii="Gadugi" w:hAnsi="Gadugi" w:cs="Arial"/>
        </w:rPr>
        <w:t>do</w:t>
      </w:r>
      <w:proofErr w:type="spellEnd"/>
      <w:r w:rsidRPr="00B4481E">
        <w:rPr>
          <w:rFonts w:ascii="Gadugi" w:hAnsi="Gadugi" w:cs="Arial"/>
        </w:rPr>
        <w:t xml:space="preserve"> sin un ejercicio adecuado de los mismos </w:t>
      </w:r>
      <w:r w:rsidRPr="00B4481E">
        <w:rPr>
          <w:rFonts w:ascii="Gadugi" w:hAnsi="Gadugi" w:cs="Arial"/>
        </w:rPr>
        <w:lastRenderedPageBreak/>
        <w:t>por el interesado en la protección, como tampoco se erige en una instancia adicional, que pueda remediar el silencio del afectado frente a los recursos qu</w:t>
      </w:r>
      <w:r>
        <w:rPr>
          <w:rFonts w:ascii="Gadugi" w:hAnsi="Gadugi" w:cs="Arial"/>
        </w:rPr>
        <w:t>e en su momento pudo interponer</w:t>
      </w:r>
      <w:r>
        <w:rPr>
          <w:rFonts w:ascii="Gadugi" w:hAnsi="Gadugi" w:cs="Arial"/>
          <w:lang w:val="es-419"/>
        </w:rPr>
        <w:t xml:space="preserve">, por lo que </w:t>
      </w:r>
      <w:r>
        <w:rPr>
          <w:rFonts w:ascii="Gadugi" w:hAnsi="Gadugi" w:cs="Arial"/>
          <w:lang w:val="es-CO"/>
        </w:rPr>
        <w:t xml:space="preserve">los amparos elevados son improcedentes y así </w:t>
      </w:r>
      <w:r>
        <w:rPr>
          <w:rFonts w:ascii="Gadugi" w:hAnsi="Gadugi" w:cs="Arial"/>
          <w:lang w:val="es-419"/>
        </w:rPr>
        <w:t>se</w:t>
      </w:r>
      <w:r>
        <w:rPr>
          <w:rFonts w:ascii="Gadugi" w:hAnsi="Gadugi" w:cs="Arial"/>
          <w:lang w:val="es-CO"/>
        </w:rPr>
        <w:t xml:space="preserve"> declara</w:t>
      </w:r>
      <w:r>
        <w:rPr>
          <w:rFonts w:ascii="Gadugi" w:hAnsi="Gadugi" w:cs="Arial"/>
          <w:lang w:val="es-419"/>
        </w:rPr>
        <w:t>rá</w:t>
      </w:r>
      <w:r>
        <w:rPr>
          <w:rFonts w:ascii="Gadugi" w:hAnsi="Gadugi" w:cs="Arial"/>
          <w:lang w:val="es-CO"/>
        </w:rPr>
        <w:t>.</w:t>
      </w:r>
    </w:p>
    <w:p w:rsidR="0006600D" w:rsidRDefault="0006600D" w:rsidP="0006600D">
      <w:pPr>
        <w:pStyle w:val="Corpsdetexte"/>
        <w:spacing w:line="276" w:lineRule="auto"/>
        <w:ind w:firstLine="2835"/>
        <w:rPr>
          <w:rFonts w:ascii="Gadugi" w:hAnsi="Gadugi"/>
          <w:color w:val="FF0000"/>
          <w:szCs w:val="24"/>
          <w:lang w:val="es-419"/>
        </w:rPr>
      </w:pPr>
      <w:r w:rsidRPr="00B76E7D">
        <w:rPr>
          <w:rFonts w:ascii="Gadugi" w:hAnsi="Gadugi"/>
          <w:color w:val="FF0000"/>
          <w:szCs w:val="24"/>
          <w:lang w:val="es-419"/>
        </w:rPr>
        <w:t xml:space="preserve"> </w:t>
      </w:r>
    </w:p>
    <w:p w:rsidR="0006600D" w:rsidRPr="004C1167" w:rsidRDefault="0006600D" w:rsidP="0006600D">
      <w:pPr>
        <w:shd w:val="clear" w:color="auto" w:fill="FFFFFF"/>
        <w:spacing w:line="276" w:lineRule="auto"/>
        <w:jc w:val="both"/>
        <w:rPr>
          <w:rFonts w:ascii="Gadugi" w:hAnsi="Gadugi"/>
          <w:sz w:val="24"/>
          <w:szCs w:val="24"/>
        </w:rPr>
      </w:pPr>
      <w:r>
        <w:rPr>
          <w:rFonts w:ascii="Gadugi" w:hAnsi="Gadugi"/>
          <w:szCs w:val="24"/>
          <w:lang w:val="es-CO"/>
        </w:rPr>
        <w:t xml:space="preserve">  </w:t>
      </w:r>
      <w:r>
        <w:rPr>
          <w:rFonts w:ascii="Gadugi" w:hAnsi="Gadugi"/>
          <w:szCs w:val="24"/>
          <w:lang w:val="es-CO"/>
        </w:rPr>
        <w:tab/>
      </w:r>
      <w:r>
        <w:rPr>
          <w:rFonts w:ascii="Gadugi" w:hAnsi="Gadugi"/>
          <w:szCs w:val="24"/>
          <w:lang w:val="es-CO"/>
        </w:rPr>
        <w:tab/>
      </w:r>
      <w:r>
        <w:rPr>
          <w:rFonts w:ascii="Gadugi" w:hAnsi="Gadugi"/>
          <w:szCs w:val="24"/>
          <w:lang w:val="es-CO"/>
        </w:rPr>
        <w:tab/>
      </w:r>
      <w:r>
        <w:rPr>
          <w:rFonts w:ascii="Gadugi" w:hAnsi="Gadugi"/>
          <w:szCs w:val="24"/>
          <w:lang w:val="es-CO"/>
        </w:rPr>
        <w:tab/>
      </w:r>
      <w:r>
        <w:rPr>
          <w:rFonts w:ascii="Gadugi" w:hAnsi="Gadugi"/>
          <w:sz w:val="24"/>
          <w:szCs w:val="24"/>
          <w:lang w:val="es-419"/>
        </w:rPr>
        <w:t>La misma resolución</w:t>
      </w:r>
      <w:r>
        <w:rPr>
          <w:rFonts w:ascii="Gadugi" w:hAnsi="Gadugi"/>
          <w:sz w:val="24"/>
          <w:szCs w:val="24"/>
          <w:lang w:val="es-CO"/>
        </w:rPr>
        <w:t xml:space="preserve"> de</w:t>
      </w:r>
      <w:r>
        <w:rPr>
          <w:rFonts w:ascii="Gadugi" w:hAnsi="Gadugi"/>
          <w:sz w:val="24"/>
          <w:szCs w:val="24"/>
          <w:lang w:val="es-419"/>
        </w:rPr>
        <w:t xml:space="preserve"> improcedencia</w:t>
      </w:r>
      <w:r>
        <w:rPr>
          <w:rFonts w:ascii="Gadugi" w:hAnsi="Gadugi"/>
          <w:sz w:val="24"/>
          <w:szCs w:val="24"/>
          <w:lang w:val="es-CO"/>
        </w:rPr>
        <w:t xml:space="preserve"> recaerá</w:t>
      </w:r>
      <w:r w:rsidRPr="004C1167">
        <w:rPr>
          <w:rFonts w:ascii="Gadugi" w:hAnsi="Gadugi"/>
          <w:sz w:val="24"/>
          <w:szCs w:val="24"/>
          <w:lang w:val="es-419"/>
        </w:rPr>
        <w:t xml:space="preserve"> sobre </w:t>
      </w:r>
      <w:r w:rsidRPr="004C1167">
        <w:rPr>
          <w:rFonts w:ascii="Gadugi" w:hAnsi="Gadugi"/>
          <w:sz w:val="24"/>
          <w:szCs w:val="24"/>
        </w:rPr>
        <w:t xml:space="preserve">la solicitud frente al agente del Ministerio Público, como quiera que no existe evidencia acerca de que se le </w:t>
      </w:r>
      <w:proofErr w:type="spellStart"/>
      <w:r w:rsidRPr="004C1167">
        <w:rPr>
          <w:rFonts w:ascii="Gadugi" w:hAnsi="Gadugi"/>
          <w:sz w:val="24"/>
          <w:szCs w:val="24"/>
        </w:rPr>
        <w:t>hubie</w:t>
      </w:r>
      <w:proofErr w:type="spellEnd"/>
      <w:r w:rsidRPr="004C1167">
        <w:rPr>
          <w:rFonts w:ascii="Gadugi" w:hAnsi="Gadugi"/>
          <w:sz w:val="24"/>
          <w:szCs w:val="24"/>
          <w:lang w:val="es-419"/>
        </w:rPr>
        <w:t>s</w:t>
      </w:r>
      <w:proofErr w:type="spellStart"/>
      <w:r w:rsidRPr="004C1167">
        <w:rPr>
          <w:rFonts w:ascii="Gadugi" w:hAnsi="Gadugi"/>
          <w:sz w:val="24"/>
          <w:szCs w:val="24"/>
        </w:rPr>
        <w:t>e</w:t>
      </w:r>
      <w:proofErr w:type="spellEnd"/>
      <w:r w:rsidRPr="004C1167">
        <w:rPr>
          <w:rFonts w:ascii="Gadugi" w:hAnsi="Gadugi"/>
          <w:sz w:val="24"/>
          <w:szCs w:val="24"/>
        </w:rPr>
        <w:t xml:space="preserve"> elevado previamente</w:t>
      </w:r>
      <w:r w:rsidRPr="004C1167">
        <w:rPr>
          <w:rFonts w:ascii="Gadugi" w:hAnsi="Gadugi"/>
          <w:sz w:val="24"/>
          <w:szCs w:val="24"/>
          <w:lang w:val="es-419"/>
        </w:rPr>
        <w:t xml:space="preserve"> una </w:t>
      </w:r>
      <w:r w:rsidRPr="004C1167">
        <w:rPr>
          <w:rFonts w:ascii="Gadugi" w:hAnsi="Gadugi"/>
          <w:sz w:val="24"/>
          <w:szCs w:val="24"/>
        </w:rPr>
        <w:t xml:space="preserve">petición tendiente a </w:t>
      </w:r>
      <w:r w:rsidRPr="004C1167">
        <w:rPr>
          <w:rFonts w:ascii="Gadugi" w:hAnsi="Gadugi"/>
          <w:sz w:val="24"/>
          <w:szCs w:val="24"/>
          <w:lang w:val="es-419"/>
        </w:rPr>
        <w:t xml:space="preserve">que suministre </w:t>
      </w:r>
      <w:r w:rsidRPr="004C1167">
        <w:rPr>
          <w:rFonts w:ascii="Gadugi" w:hAnsi="Gadugi"/>
          <w:sz w:val="24"/>
          <w:szCs w:val="24"/>
        </w:rPr>
        <w:t xml:space="preserve">las explicaciones que </w:t>
      </w:r>
      <w:r w:rsidRPr="004C1167">
        <w:rPr>
          <w:rFonts w:ascii="Gadugi" w:hAnsi="Gadugi"/>
          <w:sz w:val="24"/>
          <w:szCs w:val="24"/>
          <w:lang w:val="es-419"/>
        </w:rPr>
        <w:t xml:space="preserve">se </w:t>
      </w:r>
      <w:r w:rsidRPr="004C1167">
        <w:rPr>
          <w:rFonts w:ascii="Gadugi" w:hAnsi="Gadugi"/>
          <w:sz w:val="24"/>
          <w:szCs w:val="24"/>
        </w:rPr>
        <w:t>impetra</w:t>
      </w:r>
      <w:r w:rsidRPr="004C1167">
        <w:rPr>
          <w:rFonts w:ascii="Gadugi" w:hAnsi="Gadugi"/>
          <w:sz w:val="24"/>
          <w:szCs w:val="24"/>
          <w:lang w:val="es-419"/>
        </w:rPr>
        <w:t>n</w:t>
      </w:r>
      <w:r w:rsidRPr="004C1167">
        <w:rPr>
          <w:rFonts w:ascii="Gadugi" w:hAnsi="Gadugi"/>
          <w:sz w:val="24"/>
          <w:szCs w:val="24"/>
        </w:rPr>
        <w:t xml:space="preserve"> directamente por esta expedita vía.</w:t>
      </w:r>
    </w:p>
    <w:p w:rsidR="0006600D" w:rsidRPr="004C1167" w:rsidRDefault="0006600D" w:rsidP="0006600D">
      <w:pPr>
        <w:spacing w:line="276" w:lineRule="auto"/>
        <w:ind w:right="51"/>
        <w:jc w:val="both"/>
        <w:rPr>
          <w:rFonts w:ascii="Gadugi" w:hAnsi="Gadugi" w:cs="Arial"/>
          <w:sz w:val="24"/>
          <w:szCs w:val="24"/>
          <w:lang w:val="es-CO"/>
        </w:rPr>
      </w:pPr>
      <w:r w:rsidRPr="004C1167">
        <w:rPr>
          <w:rFonts w:ascii="Gadugi" w:hAnsi="Gadugi" w:cs="Arial"/>
          <w:sz w:val="24"/>
          <w:szCs w:val="24"/>
          <w:lang w:val="es-CO"/>
        </w:rPr>
        <w:t xml:space="preserve"> </w:t>
      </w: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CO"/>
        </w:rPr>
        <w:t>Por infundadas se negarán las demás peticiones.</w:t>
      </w:r>
    </w:p>
    <w:p w:rsidR="0006600D" w:rsidRDefault="0006600D" w:rsidP="0006600D">
      <w:pPr>
        <w:spacing w:line="276" w:lineRule="auto"/>
        <w:ind w:right="51"/>
        <w:jc w:val="both"/>
        <w:rPr>
          <w:rFonts w:ascii="Gadugi" w:hAnsi="Gadugi"/>
          <w:sz w:val="24"/>
          <w:szCs w:val="24"/>
          <w:lang w:val="es-MX"/>
        </w:rPr>
      </w:pPr>
      <w:r w:rsidRPr="004C1167">
        <w:rPr>
          <w:rFonts w:ascii="Gadugi" w:hAnsi="Gadugi"/>
          <w:sz w:val="24"/>
          <w:szCs w:val="24"/>
          <w:lang w:val="es-MX"/>
        </w:rPr>
        <w:t xml:space="preserve">   </w:t>
      </w:r>
      <w:r w:rsidRPr="004C1167">
        <w:rPr>
          <w:rFonts w:ascii="Gadugi" w:hAnsi="Gadugi"/>
          <w:sz w:val="24"/>
          <w:szCs w:val="24"/>
          <w:lang w:val="es-MX"/>
        </w:rPr>
        <w:tab/>
      </w:r>
      <w:r w:rsidRPr="004C1167">
        <w:rPr>
          <w:rFonts w:ascii="Gadugi" w:hAnsi="Gadugi"/>
          <w:sz w:val="24"/>
          <w:szCs w:val="24"/>
          <w:lang w:val="es-MX"/>
        </w:rPr>
        <w:tab/>
      </w:r>
      <w:r w:rsidRPr="004C1167">
        <w:rPr>
          <w:rFonts w:ascii="Gadugi" w:hAnsi="Gadugi"/>
          <w:sz w:val="24"/>
          <w:szCs w:val="24"/>
          <w:lang w:val="es-MX"/>
        </w:rPr>
        <w:tab/>
      </w:r>
      <w:r w:rsidRPr="004C1167">
        <w:rPr>
          <w:rFonts w:ascii="Gadugi" w:hAnsi="Gadugi"/>
          <w:sz w:val="24"/>
          <w:szCs w:val="24"/>
          <w:lang w:val="es-MX"/>
        </w:rPr>
        <w:tab/>
      </w:r>
    </w:p>
    <w:p w:rsidR="0006600D" w:rsidRPr="004C1167" w:rsidRDefault="0006600D" w:rsidP="0006600D">
      <w:pPr>
        <w:spacing w:line="276" w:lineRule="auto"/>
        <w:ind w:right="51"/>
        <w:jc w:val="both"/>
        <w:rPr>
          <w:rFonts w:ascii="Gadugi" w:hAnsi="Gadugi"/>
          <w:sz w:val="24"/>
          <w:szCs w:val="24"/>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Pr="004C1167">
        <w:rPr>
          <w:rFonts w:ascii="Gadugi" w:hAnsi="Gadugi"/>
          <w:sz w:val="24"/>
          <w:szCs w:val="24"/>
          <w:lang w:val="es-MX"/>
        </w:rPr>
        <w:t>S</w:t>
      </w:r>
      <w:proofErr w:type="spellStart"/>
      <w:r w:rsidRPr="004C1167">
        <w:rPr>
          <w:rFonts w:ascii="Gadugi" w:hAnsi="Gadugi" w:cs="Arial"/>
          <w:sz w:val="24"/>
          <w:szCs w:val="24"/>
          <w:lang w:val="es-CO"/>
        </w:rPr>
        <w:t>e</w:t>
      </w:r>
      <w:proofErr w:type="spellEnd"/>
      <w:r w:rsidRPr="004C1167">
        <w:rPr>
          <w:rFonts w:ascii="Gadugi" w:hAnsi="Gadugi" w:cs="Arial"/>
          <w:sz w:val="24"/>
          <w:szCs w:val="24"/>
          <w:lang w:val="es-CO"/>
        </w:rPr>
        <w:t xml:space="preserve"> a</w:t>
      </w:r>
      <w:proofErr w:type="spellStart"/>
      <w:r w:rsidRPr="004C1167">
        <w:rPr>
          <w:rFonts w:ascii="Gadugi" w:hAnsi="Gadugi"/>
          <w:sz w:val="24"/>
          <w:szCs w:val="24"/>
        </w:rPr>
        <w:t>bsolverá</w:t>
      </w:r>
      <w:proofErr w:type="spellEnd"/>
      <w:r w:rsidRPr="004C1167">
        <w:rPr>
          <w:rFonts w:ascii="Gadugi" w:hAnsi="Gadugi"/>
          <w:sz w:val="24"/>
          <w:szCs w:val="24"/>
        </w:rPr>
        <w:t xml:space="preserve"> a la Defensoría del Pueblo Regional Risaralda, por no hallarse de su parte vulneración alguna de los derechos invocados.</w:t>
      </w:r>
    </w:p>
    <w:p w:rsidR="0006600D" w:rsidRPr="004C1167" w:rsidRDefault="0006600D" w:rsidP="0006600D">
      <w:pPr>
        <w:spacing w:line="276" w:lineRule="auto"/>
        <w:ind w:firstLine="2835"/>
        <w:jc w:val="both"/>
        <w:rPr>
          <w:rFonts w:ascii="Gadugi" w:hAnsi="Gadugi" w:cs="Arial"/>
          <w:b/>
          <w:sz w:val="26"/>
          <w:szCs w:val="26"/>
        </w:rPr>
      </w:pPr>
      <w:r w:rsidRPr="004C1167">
        <w:rPr>
          <w:rFonts w:ascii="Gadugi" w:hAnsi="Gadugi" w:cs="Arial"/>
          <w:b/>
          <w:sz w:val="26"/>
          <w:szCs w:val="26"/>
        </w:rPr>
        <w:t>DECISIÓN</w:t>
      </w:r>
    </w:p>
    <w:p w:rsidR="0006600D" w:rsidRPr="004C1167" w:rsidRDefault="0006600D" w:rsidP="0006600D">
      <w:pPr>
        <w:spacing w:line="276" w:lineRule="auto"/>
        <w:jc w:val="both"/>
        <w:rPr>
          <w:rFonts w:ascii="Gadugi" w:hAnsi="Gadugi"/>
          <w:sz w:val="24"/>
          <w:szCs w:val="24"/>
        </w:rPr>
      </w:pPr>
      <w:r w:rsidRPr="004C1167">
        <w:rPr>
          <w:rFonts w:ascii="Gadugi" w:hAnsi="Gadugi"/>
          <w:sz w:val="24"/>
          <w:szCs w:val="24"/>
        </w:rPr>
        <w:t xml:space="preserve">  </w:t>
      </w:r>
      <w:r w:rsidRPr="004C1167">
        <w:rPr>
          <w:rFonts w:ascii="Gadugi" w:hAnsi="Gadugi"/>
          <w:sz w:val="24"/>
          <w:szCs w:val="24"/>
        </w:rPr>
        <w:tab/>
      </w:r>
      <w:r w:rsidRPr="004C1167">
        <w:rPr>
          <w:rFonts w:ascii="Gadugi" w:hAnsi="Gadugi"/>
          <w:sz w:val="24"/>
          <w:szCs w:val="24"/>
        </w:rPr>
        <w:tab/>
      </w:r>
      <w:r w:rsidRPr="004C1167">
        <w:rPr>
          <w:rFonts w:ascii="Gadugi" w:hAnsi="Gadugi"/>
          <w:sz w:val="24"/>
          <w:szCs w:val="24"/>
        </w:rPr>
        <w:tab/>
      </w:r>
    </w:p>
    <w:p w:rsidR="0006600D" w:rsidRDefault="0006600D" w:rsidP="0006600D">
      <w:pPr>
        <w:spacing w:line="276" w:lineRule="auto"/>
        <w:ind w:firstLine="2835"/>
        <w:jc w:val="both"/>
        <w:rPr>
          <w:rFonts w:ascii="Gadugi" w:hAnsi="Gadugi" w:cs="Century Gothic"/>
          <w:sz w:val="24"/>
          <w:szCs w:val="24"/>
          <w:lang w:val="es-419"/>
        </w:rPr>
      </w:pPr>
      <w:r w:rsidRPr="004C1167">
        <w:rPr>
          <w:rFonts w:ascii="Gadugi" w:hAnsi="Gadugi" w:cs="Arial"/>
          <w:sz w:val="24"/>
          <w:szCs w:val="24"/>
          <w:lang w:val="es-CO"/>
        </w:rPr>
        <w:t xml:space="preserve">  </w:t>
      </w:r>
      <w:r w:rsidRPr="004C1167">
        <w:rPr>
          <w:rFonts w:ascii="Gadugi" w:hAnsi="Gadugi" w:cs="Arial"/>
          <w:sz w:val="24"/>
          <w:szCs w:val="24"/>
        </w:rPr>
        <w:t>En armonía con lo dicho, la Sala Civil Familia del Tribunal Superior de Pereira, administrando justicia en nombre de la República y por autoridad de la Ley,</w:t>
      </w:r>
      <w:r w:rsidRPr="004C1167">
        <w:rPr>
          <w:rFonts w:ascii="Gadugi" w:hAnsi="Gadugi" w:cs="Arial"/>
          <w:sz w:val="24"/>
          <w:szCs w:val="24"/>
          <w:lang w:val="es-419"/>
        </w:rPr>
        <w:t xml:space="preserve"> </w:t>
      </w:r>
      <w:r>
        <w:rPr>
          <w:rFonts w:ascii="Gadugi" w:hAnsi="Gadugi" w:cs="Arial"/>
          <w:b/>
          <w:sz w:val="24"/>
          <w:szCs w:val="24"/>
          <w:lang w:val="es-CO"/>
        </w:rPr>
        <w:t>declara IMPROCEDENTES</w:t>
      </w:r>
      <w:r w:rsidRPr="004C1167">
        <w:rPr>
          <w:rFonts w:ascii="Gadugi" w:hAnsi="Gadugi" w:cs="Arial"/>
          <w:b/>
          <w:sz w:val="24"/>
          <w:szCs w:val="24"/>
          <w:lang w:val="es-419"/>
        </w:rPr>
        <w:t xml:space="preserve"> </w:t>
      </w:r>
      <w:r w:rsidRPr="004C1167">
        <w:rPr>
          <w:rFonts w:ascii="Gadugi" w:hAnsi="Gadugi" w:cs="Arial"/>
          <w:sz w:val="24"/>
          <w:szCs w:val="24"/>
          <w:lang w:val="es-419"/>
        </w:rPr>
        <w:t>l</w:t>
      </w:r>
      <w:r w:rsidRPr="004C1167">
        <w:rPr>
          <w:rFonts w:ascii="Gadugi" w:hAnsi="Gadugi" w:cs="Arial"/>
          <w:sz w:val="24"/>
          <w:szCs w:val="24"/>
          <w:lang w:val="es-CO"/>
        </w:rPr>
        <w:t>os</w:t>
      </w:r>
      <w:r w:rsidRPr="004C1167">
        <w:rPr>
          <w:rFonts w:ascii="Gadugi" w:hAnsi="Gadugi" w:cs="Arial"/>
          <w:sz w:val="24"/>
          <w:szCs w:val="24"/>
        </w:rPr>
        <w:t xml:space="preserve"> amparos impetrados por</w:t>
      </w:r>
      <w:r w:rsidRPr="004C1167">
        <w:rPr>
          <w:rFonts w:ascii="Gadugi" w:hAnsi="Gadugi" w:cs="Century Gothic"/>
          <w:b/>
          <w:sz w:val="24"/>
          <w:szCs w:val="24"/>
        </w:rPr>
        <w:t xml:space="preserve"> Javier Elías Arias </w:t>
      </w:r>
      <w:proofErr w:type="spellStart"/>
      <w:r w:rsidRPr="004C1167">
        <w:rPr>
          <w:rFonts w:ascii="Gadugi" w:hAnsi="Gadugi" w:cs="Century Gothic"/>
          <w:b/>
          <w:sz w:val="24"/>
          <w:szCs w:val="24"/>
        </w:rPr>
        <w:t>Idárraga</w:t>
      </w:r>
      <w:proofErr w:type="spellEnd"/>
      <w:r w:rsidRPr="004C1167">
        <w:rPr>
          <w:rFonts w:ascii="Gadugi" w:hAnsi="Gadugi" w:cs="Century Gothic"/>
          <w:b/>
          <w:sz w:val="24"/>
          <w:szCs w:val="24"/>
        </w:rPr>
        <w:t xml:space="preserve"> </w:t>
      </w:r>
      <w:r w:rsidRPr="004C1167">
        <w:rPr>
          <w:rFonts w:ascii="Gadugi" w:hAnsi="Gadugi" w:cs="Century Gothic"/>
          <w:bCs/>
          <w:sz w:val="24"/>
          <w:szCs w:val="24"/>
        </w:rPr>
        <w:t>contra</w:t>
      </w:r>
      <w:r w:rsidRPr="004C1167">
        <w:rPr>
          <w:rFonts w:ascii="Gadugi" w:hAnsi="Gadugi" w:cs="Century Gothic"/>
          <w:sz w:val="24"/>
          <w:szCs w:val="24"/>
        </w:rPr>
        <w:t xml:space="preserve"> el </w:t>
      </w:r>
      <w:r w:rsidRPr="004C1167">
        <w:rPr>
          <w:rFonts w:ascii="Gadugi" w:hAnsi="Gadugi" w:cs="Century Gothic"/>
          <w:b/>
          <w:sz w:val="24"/>
          <w:szCs w:val="24"/>
        </w:rPr>
        <w:t>Juzgado Cuarto</w:t>
      </w:r>
      <w:r w:rsidRPr="004C1167">
        <w:rPr>
          <w:rFonts w:ascii="Gadugi" w:hAnsi="Gadugi" w:cs="Century Gothic"/>
          <w:b/>
          <w:sz w:val="24"/>
          <w:szCs w:val="24"/>
          <w:lang w:val="es-CO"/>
        </w:rPr>
        <w:t xml:space="preserve"> Civil del Circuito </w:t>
      </w:r>
      <w:r w:rsidRPr="004C1167">
        <w:rPr>
          <w:rFonts w:ascii="Gadugi" w:hAnsi="Gadugi" w:cs="Century Gothic"/>
          <w:sz w:val="24"/>
          <w:szCs w:val="24"/>
          <w:lang w:val="es-CO"/>
        </w:rPr>
        <w:t>de esta ciudad</w:t>
      </w:r>
      <w:r>
        <w:rPr>
          <w:rFonts w:ascii="Gadugi" w:hAnsi="Gadugi" w:cs="Century Gothic"/>
          <w:sz w:val="24"/>
          <w:szCs w:val="24"/>
          <w:lang w:val="es-CO"/>
        </w:rPr>
        <w:t xml:space="preserve"> y</w:t>
      </w:r>
      <w:r w:rsidRPr="004C1167">
        <w:rPr>
          <w:rFonts w:ascii="Gadugi" w:hAnsi="Gadugi" w:cs="Arial"/>
          <w:sz w:val="24"/>
          <w:szCs w:val="24"/>
        </w:rPr>
        <w:t xml:space="preserve"> el </w:t>
      </w:r>
      <w:r w:rsidRPr="004C1167">
        <w:rPr>
          <w:rFonts w:ascii="Gadugi" w:hAnsi="Gadugi" w:cs="Arial"/>
          <w:b/>
          <w:sz w:val="24"/>
          <w:szCs w:val="24"/>
        </w:rPr>
        <w:t>agente del Ministerio Público.</w:t>
      </w:r>
      <w:r w:rsidRPr="004C1167">
        <w:rPr>
          <w:rFonts w:ascii="Gadugi" w:hAnsi="Gadugi" w:cs="Century Gothic"/>
          <w:sz w:val="24"/>
          <w:szCs w:val="24"/>
          <w:lang w:val="es-419"/>
        </w:rPr>
        <w:t xml:space="preserve"> </w:t>
      </w:r>
    </w:p>
    <w:p w:rsidR="0006600D" w:rsidRPr="006A7DC9" w:rsidRDefault="0006600D" w:rsidP="0006600D">
      <w:pPr>
        <w:spacing w:line="276" w:lineRule="auto"/>
        <w:ind w:firstLine="2835"/>
        <w:jc w:val="both"/>
        <w:rPr>
          <w:rFonts w:ascii="Gadugi" w:hAnsi="Gadugi" w:cs="Century Gothic"/>
          <w:sz w:val="24"/>
          <w:szCs w:val="24"/>
          <w:lang w:val="es-419"/>
        </w:rPr>
      </w:pPr>
    </w:p>
    <w:p w:rsidR="0006600D" w:rsidRPr="004C1167" w:rsidRDefault="0006600D" w:rsidP="0006600D">
      <w:pPr>
        <w:spacing w:line="276" w:lineRule="auto"/>
        <w:ind w:firstLine="2835"/>
        <w:jc w:val="both"/>
        <w:rPr>
          <w:rFonts w:ascii="Gadugi" w:hAnsi="Gadugi" w:cs="Arial"/>
          <w:sz w:val="24"/>
          <w:szCs w:val="24"/>
        </w:rPr>
      </w:pPr>
      <w:r w:rsidRPr="004C1167">
        <w:rPr>
          <w:rFonts w:ascii="Gadugi" w:hAnsi="Gadugi" w:cs="Arial"/>
          <w:sz w:val="24"/>
          <w:szCs w:val="24"/>
        </w:rPr>
        <w:t>Por infundadas se niegan las restantes peticiones.</w:t>
      </w:r>
    </w:p>
    <w:p w:rsidR="0006600D" w:rsidRPr="004C1167" w:rsidRDefault="0006600D" w:rsidP="0006600D">
      <w:pPr>
        <w:spacing w:line="276" w:lineRule="auto"/>
        <w:ind w:firstLine="2835"/>
        <w:jc w:val="both"/>
        <w:rPr>
          <w:rFonts w:ascii="Gadugi" w:hAnsi="Gadugi" w:cs="Arial"/>
          <w:sz w:val="24"/>
          <w:szCs w:val="24"/>
        </w:rPr>
      </w:pPr>
    </w:p>
    <w:p w:rsidR="0006600D" w:rsidRDefault="0006600D" w:rsidP="0006600D">
      <w:pPr>
        <w:spacing w:line="276" w:lineRule="auto"/>
        <w:ind w:firstLine="2835"/>
        <w:jc w:val="both"/>
        <w:rPr>
          <w:rFonts w:ascii="Gadugi" w:hAnsi="Gadugi" w:cs="Arial"/>
          <w:sz w:val="24"/>
          <w:szCs w:val="24"/>
          <w:lang w:val="es-CO"/>
        </w:rPr>
      </w:pPr>
      <w:r w:rsidRPr="004C1167">
        <w:rPr>
          <w:rFonts w:ascii="Gadugi" w:hAnsi="Gadugi" w:cs="Arial"/>
          <w:sz w:val="24"/>
          <w:szCs w:val="24"/>
        </w:rPr>
        <w:t>Notifíquese la decisión a las partes en la forma prevista en el artículo 5º del Decreto 306 de 1992</w:t>
      </w:r>
      <w:r w:rsidRPr="004C1167">
        <w:rPr>
          <w:rFonts w:ascii="Gadugi" w:hAnsi="Gadugi" w:cs="Arial"/>
          <w:sz w:val="24"/>
          <w:szCs w:val="24"/>
          <w:lang w:val="es-419"/>
        </w:rPr>
        <w:t>, y si no es impugnada rem</w:t>
      </w:r>
      <w:proofErr w:type="spellStart"/>
      <w:r w:rsidRPr="004C1167">
        <w:rPr>
          <w:rFonts w:ascii="Gadugi" w:hAnsi="Gadugi" w:cs="Arial"/>
          <w:sz w:val="24"/>
          <w:szCs w:val="24"/>
          <w:lang w:val="es-CO"/>
        </w:rPr>
        <w:t>ítase</w:t>
      </w:r>
      <w:proofErr w:type="spellEnd"/>
      <w:r w:rsidRPr="004C1167">
        <w:rPr>
          <w:rFonts w:ascii="Gadugi" w:hAnsi="Gadugi" w:cs="Arial"/>
          <w:sz w:val="24"/>
          <w:szCs w:val="24"/>
          <w:lang w:val="es-CO"/>
        </w:rPr>
        <w:t xml:space="preserve"> a la Corte Constitucional para su eventual revisión.</w:t>
      </w:r>
    </w:p>
    <w:p w:rsidR="0006600D" w:rsidRPr="004C1167" w:rsidRDefault="0006600D" w:rsidP="0006600D">
      <w:pPr>
        <w:spacing w:line="276" w:lineRule="auto"/>
        <w:ind w:firstLine="2835"/>
        <w:jc w:val="both"/>
        <w:rPr>
          <w:rFonts w:ascii="Gadugi" w:hAnsi="Gadugi" w:cs="Arial"/>
          <w:sz w:val="24"/>
          <w:szCs w:val="24"/>
          <w:lang w:val="es-CO"/>
        </w:rPr>
      </w:pPr>
    </w:p>
    <w:p w:rsidR="0006600D" w:rsidRPr="004C1167" w:rsidRDefault="0006600D" w:rsidP="0006600D">
      <w:pPr>
        <w:spacing w:line="276" w:lineRule="auto"/>
        <w:ind w:firstLine="2835"/>
        <w:jc w:val="both"/>
        <w:rPr>
          <w:rFonts w:ascii="Gadugi" w:hAnsi="Gadugi" w:cs="Arial"/>
          <w:sz w:val="24"/>
          <w:szCs w:val="24"/>
          <w:lang w:val="es-CO"/>
        </w:rPr>
      </w:pPr>
      <w:r w:rsidRPr="004C1167">
        <w:rPr>
          <w:rFonts w:ascii="Gadugi" w:hAnsi="Gadugi" w:cs="Arial"/>
          <w:sz w:val="24"/>
          <w:szCs w:val="24"/>
          <w:lang w:val="es-CO"/>
        </w:rPr>
        <w:t>A su regreso, archívense los expedientes</w:t>
      </w:r>
      <w:r>
        <w:rPr>
          <w:rFonts w:ascii="Gadugi" w:hAnsi="Gadugi" w:cs="Arial"/>
          <w:sz w:val="24"/>
          <w:szCs w:val="24"/>
          <w:lang w:val="es-419"/>
        </w:rPr>
        <w:t>.</w:t>
      </w:r>
      <w:r w:rsidRPr="004C1167">
        <w:rPr>
          <w:rFonts w:ascii="Gadugi" w:hAnsi="Gadugi" w:cs="Arial"/>
          <w:sz w:val="24"/>
          <w:szCs w:val="24"/>
          <w:lang w:val="es-CO"/>
        </w:rPr>
        <w:t xml:space="preserve"> </w:t>
      </w:r>
    </w:p>
    <w:p w:rsidR="0006600D" w:rsidRPr="004C1167" w:rsidRDefault="0006600D" w:rsidP="0006600D">
      <w:pPr>
        <w:spacing w:line="276" w:lineRule="auto"/>
        <w:ind w:firstLine="2835"/>
        <w:jc w:val="both"/>
        <w:rPr>
          <w:rFonts w:ascii="Gadugi" w:hAnsi="Gadugi" w:cs="Arial"/>
          <w:sz w:val="24"/>
          <w:szCs w:val="24"/>
        </w:rPr>
      </w:pPr>
    </w:p>
    <w:p w:rsidR="0006600D" w:rsidRPr="004C1167" w:rsidRDefault="0006600D" w:rsidP="0006600D">
      <w:pPr>
        <w:spacing w:line="276" w:lineRule="auto"/>
        <w:ind w:firstLine="2835"/>
        <w:jc w:val="both"/>
        <w:rPr>
          <w:rFonts w:ascii="Gadugi" w:hAnsi="Gadugi" w:cs="Arial"/>
          <w:bCs/>
          <w:sz w:val="24"/>
          <w:szCs w:val="24"/>
        </w:rPr>
      </w:pPr>
      <w:r w:rsidRPr="004C1167">
        <w:rPr>
          <w:rFonts w:ascii="Gadugi" w:hAnsi="Gadugi" w:cs="Arial"/>
          <w:bCs/>
          <w:sz w:val="24"/>
          <w:szCs w:val="24"/>
        </w:rPr>
        <w:t>Los Magistrados,</w:t>
      </w:r>
    </w:p>
    <w:p w:rsidR="0006600D" w:rsidRPr="004C1167" w:rsidRDefault="0006600D" w:rsidP="0006600D">
      <w:pPr>
        <w:spacing w:line="276" w:lineRule="auto"/>
        <w:ind w:firstLine="2835"/>
        <w:jc w:val="both"/>
        <w:rPr>
          <w:rFonts w:ascii="Gadugi" w:hAnsi="Gadugi" w:cs="Arial"/>
          <w:b/>
          <w:sz w:val="24"/>
          <w:szCs w:val="24"/>
        </w:rPr>
      </w:pPr>
    </w:p>
    <w:p w:rsidR="0006600D" w:rsidRPr="004C1167" w:rsidRDefault="0006600D" w:rsidP="0006600D">
      <w:pPr>
        <w:spacing w:line="276" w:lineRule="auto"/>
        <w:ind w:firstLine="2835"/>
        <w:jc w:val="both"/>
        <w:rPr>
          <w:rFonts w:ascii="Gadugi" w:hAnsi="Gadugi" w:cs="Arial"/>
          <w:b/>
          <w:sz w:val="24"/>
          <w:szCs w:val="24"/>
        </w:rPr>
      </w:pPr>
    </w:p>
    <w:p w:rsidR="0006600D" w:rsidRPr="004C1167" w:rsidRDefault="0006600D" w:rsidP="0006600D">
      <w:pPr>
        <w:spacing w:line="276" w:lineRule="auto"/>
        <w:ind w:firstLine="2835"/>
        <w:jc w:val="both"/>
        <w:rPr>
          <w:rFonts w:ascii="Gadugi" w:hAnsi="Gadugi" w:cs="Arial"/>
          <w:b/>
          <w:sz w:val="24"/>
          <w:szCs w:val="24"/>
        </w:rPr>
      </w:pPr>
      <w:r w:rsidRPr="004C1167">
        <w:rPr>
          <w:rFonts w:ascii="Gadugi" w:hAnsi="Gadugi" w:cs="Arial"/>
          <w:b/>
          <w:sz w:val="24"/>
          <w:szCs w:val="24"/>
        </w:rPr>
        <w:t>JAIME ALBERTO SARAZA NARANJO</w:t>
      </w:r>
    </w:p>
    <w:p w:rsidR="0006600D" w:rsidRPr="004C1167" w:rsidRDefault="0006600D" w:rsidP="0006600D">
      <w:pPr>
        <w:spacing w:line="276" w:lineRule="auto"/>
        <w:jc w:val="both"/>
        <w:rPr>
          <w:rFonts w:ascii="Gadugi" w:hAnsi="Gadugi" w:cs="Arial"/>
          <w:b/>
          <w:sz w:val="24"/>
          <w:szCs w:val="24"/>
        </w:rPr>
      </w:pPr>
    </w:p>
    <w:p w:rsidR="0006600D" w:rsidRPr="004C1167" w:rsidRDefault="0006600D" w:rsidP="0006600D">
      <w:pPr>
        <w:spacing w:line="276" w:lineRule="auto"/>
        <w:jc w:val="both"/>
        <w:rPr>
          <w:rFonts w:ascii="Gadugi" w:hAnsi="Gadugi" w:cs="Arial"/>
          <w:b/>
          <w:sz w:val="24"/>
          <w:szCs w:val="24"/>
        </w:rPr>
      </w:pPr>
    </w:p>
    <w:p w:rsidR="0006600D" w:rsidRPr="004C1167" w:rsidRDefault="0006600D" w:rsidP="0006600D">
      <w:pPr>
        <w:spacing w:line="276" w:lineRule="auto"/>
        <w:jc w:val="both"/>
        <w:rPr>
          <w:rFonts w:ascii="Gadugi" w:hAnsi="Gadugi" w:cs="Arial"/>
          <w:b/>
          <w:sz w:val="24"/>
          <w:szCs w:val="24"/>
          <w:lang w:val="es-CO"/>
        </w:rPr>
      </w:pPr>
    </w:p>
    <w:p w:rsidR="005F1135" w:rsidRDefault="0006600D" w:rsidP="00591360">
      <w:pPr>
        <w:spacing w:line="276" w:lineRule="auto"/>
        <w:jc w:val="both"/>
      </w:pPr>
      <w:r w:rsidRPr="004C1167">
        <w:rPr>
          <w:rFonts w:ascii="Gadugi" w:hAnsi="Gadugi" w:cs="Arial"/>
          <w:b/>
          <w:sz w:val="24"/>
          <w:szCs w:val="24"/>
          <w:lang w:val="es-ES_tradnl"/>
        </w:rPr>
        <w:t xml:space="preserve">CLAUDIA MARÍA ARCILA RÍOS  </w:t>
      </w:r>
      <w:r w:rsidRPr="004C1167">
        <w:rPr>
          <w:rFonts w:ascii="Gadugi" w:hAnsi="Gadugi" w:cs="Arial"/>
          <w:b/>
          <w:sz w:val="24"/>
          <w:szCs w:val="24"/>
          <w:lang w:val="es-ES_tradnl"/>
        </w:rPr>
        <w:tab/>
      </w:r>
      <w:r w:rsidRPr="004C1167">
        <w:rPr>
          <w:rFonts w:ascii="Gadugi" w:hAnsi="Gadugi" w:cs="Arial"/>
          <w:b/>
          <w:sz w:val="24"/>
          <w:szCs w:val="24"/>
          <w:lang w:val="es-ES_tradnl"/>
        </w:rPr>
        <w:tab/>
        <w:t xml:space="preserve">  </w:t>
      </w:r>
      <w:proofErr w:type="spellStart"/>
      <w:r w:rsidRPr="004C1167">
        <w:rPr>
          <w:rFonts w:ascii="Gadugi" w:hAnsi="Gadugi" w:cs="Arial"/>
          <w:b/>
          <w:sz w:val="24"/>
          <w:szCs w:val="24"/>
          <w:lang w:val="es-ES_tradnl"/>
        </w:rPr>
        <w:t>DUBERNEY</w:t>
      </w:r>
      <w:proofErr w:type="spellEnd"/>
      <w:r w:rsidRPr="004C1167">
        <w:rPr>
          <w:rFonts w:ascii="Gadugi" w:hAnsi="Gadugi" w:cs="Arial"/>
          <w:b/>
          <w:sz w:val="24"/>
          <w:szCs w:val="24"/>
          <w:lang w:val="es-ES_tradnl"/>
        </w:rPr>
        <w:t xml:space="preserve"> GRISALES HERRERA </w:t>
      </w:r>
    </w:p>
    <w:sectPr w:rsidR="005F1135" w:rsidSect="0006600D">
      <w:headerReference w:type="default" r:id="rId7"/>
      <w:footerReference w:type="default" r:id="rId8"/>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D2" w:rsidRDefault="005B21D2" w:rsidP="0006600D">
      <w:r>
        <w:separator/>
      </w:r>
    </w:p>
  </w:endnote>
  <w:endnote w:type="continuationSeparator" w:id="0">
    <w:p w:rsidR="005B21D2" w:rsidRDefault="005B21D2" w:rsidP="0006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17293D">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10A20">
      <w:rPr>
        <w:rStyle w:val="Numrodepage"/>
        <w:noProof/>
      </w:rPr>
      <w:t>4</w:t>
    </w:r>
    <w:r>
      <w:rPr>
        <w:rStyle w:val="Numrodepage"/>
      </w:rPr>
      <w:fldChar w:fldCharType="end"/>
    </w:r>
  </w:p>
  <w:p w:rsidR="00E86AA4" w:rsidRDefault="005B21D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D2" w:rsidRDefault="005B21D2" w:rsidP="0006600D">
      <w:r>
        <w:separator/>
      </w:r>
    </w:p>
  </w:footnote>
  <w:footnote w:type="continuationSeparator" w:id="0">
    <w:p w:rsidR="005B21D2" w:rsidRDefault="005B21D2" w:rsidP="0006600D">
      <w:r>
        <w:continuationSeparator/>
      </w:r>
    </w:p>
  </w:footnote>
  <w:footnote w:id="1">
    <w:p w:rsidR="0006600D" w:rsidRPr="00270D34" w:rsidRDefault="0006600D" w:rsidP="0006600D">
      <w:pPr>
        <w:pStyle w:val="Notedebasdepage"/>
        <w:rPr>
          <w:rFonts w:ascii="Agency FB" w:hAnsi="Agency FB"/>
          <w:lang w:val="es-419"/>
        </w:rPr>
      </w:pPr>
      <w:r w:rsidRPr="002443B3">
        <w:rPr>
          <w:rStyle w:val="Appelnotedebasdep"/>
          <w:rFonts w:ascii="Agency FB" w:hAnsi="Agency FB"/>
        </w:rPr>
        <w:footnoteRef/>
      </w:r>
      <w:r w:rsidRPr="002443B3">
        <w:rPr>
          <w:rFonts w:ascii="Agency FB" w:hAnsi="Agency FB"/>
          <w:vertAlign w:val="superscript"/>
        </w:rPr>
        <w:t xml:space="preserve"> </w:t>
      </w:r>
      <w:r w:rsidRPr="002443B3">
        <w:rPr>
          <w:rFonts w:ascii="Agency FB" w:hAnsi="Agency FB"/>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17293D"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33"/>
    <w:rsid w:val="0006600D"/>
    <w:rsid w:val="0017293D"/>
    <w:rsid w:val="00274E2B"/>
    <w:rsid w:val="00586F29"/>
    <w:rsid w:val="00591360"/>
    <w:rsid w:val="005B21D2"/>
    <w:rsid w:val="00810A20"/>
    <w:rsid w:val="008C2308"/>
    <w:rsid w:val="009A0533"/>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06600D"/>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6600D"/>
    <w:rPr>
      <w:rFonts w:ascii="Perpetua" w:eastAsia="Times New Roman" w:hAnsi="Perpetua" w:cs="Times New Roman"/>
      <w:sz w:val="28"/>
      <w:szCs w:val="20"/>
      <w:lang w:val="es-MX" w:eastAsia="es-ES"/>
    </w:rPr>
  </w:style>
  <w:style w:type="paragraph" w:styleId="Corpsdetexte">
    <w:name w:val="Body Text"/>
    <w:basedOn w:val="Normal"/>
    <w:link w:val="CorpsdetexteCar"/>
    <w:rsid w:val="0006600D"/>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06600D"/>
    <w:rPr>
      <w:rFonts w:ascii="Courier New" w:eastAsia="Times New Roman" w:hAnsi="Courier New" w:cs="Times New Roman"/>
      <w:sz w:val="24"/>
      <w:szCs w:val="20"/>
      <w:lang w:val="es-MX" w:eastAsia="es-ES"/>
    </w:rPr>
  </w:style>
  <w:style w:type="paragraph" w:styleId="Pieddepage">
    <w:name w:val="footer"/>
    <w:aliases w:val="aaPie de página"/>
    <w:basedOn w:val="Normal"/>
    <w:link w:val="PieddepageCar"/>
    <w:rsid w:val="0006600D"/>
    <w:pPr>
      <w:tabs>
        <w:tab w:val="center" w:pos="4419"/>
        <w:tab w:val="right" w:pos="8838"/>
      </w:tabs>
    </w:pPr>
  </w:style>
  <w:style w:type="character" w:customStyle="1" w:styleId="PieddepageCar">
    <w:name w:val="Pied de page Car"/>
    <w:aliases w:val="aaPie de página Car"/>
    <w:basedOn w:val="Policepardfaut"/>
    <w:link w:val="Pieddepage"/>
    <w:rsid w:val="0006600D"/>
    <w:rPr>
      <w:rFonts w:ascii="Times New Roman" w:eastAsia="Times New Roman" w:hAnsi="Times New Roman" w:cs="Times New Roman"/>
      <w:sz w:val="20"/>
      <w:szCs w:val="20"/>
      <w:lang w:eastAsia="es-ES"/>
    </w:rPr>
  </w:style>
  <w:style w:type="character" w:styleId="Numrodepage">
    <w:name w:val="page number"/>
    <w:rsid w:val="0006600D"/>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06600D"/>
  </w:style>
  <w:style w:type="character" w:customStyle="1" w:styleId="TextonotapieCar">
    <w:name w:val="Texto nota pie Car"/>
    <w:basedOn w:val="Policepardfaut"/>
    <w:uiPriority w:val="99"/>
    <w:semiHidden/>
    <w:rsid w:val="0006600D"/>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06600D"/>
    <w:rPr>
      <w:rFonts w:cs="Times New Roman"/>
      <w:vertAlign w:val="superscript"/>
    </w:rPr>
  </w:style>
  <w:style w:type="paragraph" w:customStyle="1" w:styleId="Corpsdetexte21">
    <w:name w:val="Corps de texte 21"/>
    <w:basedOn w:val="Normal"/>
    <w:rsid w:val="0006600D"/>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06600D"/>
    <w:rPr>
      <w:rFonts w:ascii="Times New Roman" w:eastAsia="Times New Roman" w:hAnsi="Times New Roman" w:cs="Times New Roman"/>
      <w:sz w:val="20"/>
      <w:szCs w:val="20"/>
      <w:lang w:eastAsia="es-ES"/>
    </w:rPr>
  </w:style>
  <w:style w:type="paragraph" w:customStyle="1" w:styleId="Sansinterligne1">
    <w:name w:val="Sans interligne1"/>
    <w:rsid w:val="0006600D"/>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06600D"/>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06600D"/>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6600D"/>
    <w:rPr>
      <w:rFonts w:ascii="Perpetua" w:eastAsia="Times New Roman" w:hAnsi="Perpetua" w:cs="Times New Roman"/>
      <w:sz w:val="28"/>
      <w:szCs w:val="20"/>
      <w:lang w:val="es-MX" w:eastAsia="es-ES"/>
    </w:rPr>
  </w:style>
  <w:style w:type="paragraph" w:styleId="Corpsdetexte">
    <w:name w:val="Body Text"/>
    <w:basedOn w:val="Normal"/>
    <w:link w:val="CorpsdetexteCar"/>
    <w:rsid w:val="0006600D"/>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06600D"/>
    <w:rPr>
      <w:rFonts w:ascii="Courier New" w:eastAsia="Times New Roman" w:hAnsi="Courier New" w:cs="Times New Roman"/>
      <w:sz w:val="24"/>
      <w:szCs w:val="20"/>
      <w:lang w:val="es-MX" w:eastAsia="es-ES"/>
    </w:rPr>
  </w:style>
  <w:style w:type="paragraph" w:styleId="Pieddepage">
    <w:name w:val="footer"/>
    <w:aliases w:val="aaPie de página"/>
    <w:basedOn w:val="Normal"/>
    <w:link w:val="PieddepageCar"/>
    <w:rsid w:val="0006600D"/>
    <w:pPr>
      <w:tabs>
        <w:tab w:val="center" w:pos="4419"/>
        <w:tab w:val="right" w:pos="8838"/>
      </w:tabs>
    </w:pPr>
  </w:style>
  <w:style w:type="character" w:customStyle="1" w:styleId="PieddepageCar">
    <w:name w:val="Pied de page Car"/>
    <w:aliases w:val="aaPie de página Car"/>
    <w:basedOn w:val="Policepardfaut"/>
    <w:link w:val="Pieddepage"/>
    <w:rsid w:val="0006600D"/>
    <w:rPr>
      <w:rFonts w:ascii="Times New Roman" w:eastAsia="Times New Roman" w:hAnsi="Times New Roman" w:cs="Times New Roman"/>
      <w:sz w:val="20"/>
      <w:szCs w:val="20"/>
      <w:lang w:eastAsia="es-ES"/>
    </w:rPr>
  </w:style>
  <w:style w:type="character" w:styleId="Numrodepage">
    <w:name w:val="page number"/>
    <w:rsid w:val="0006600D"/>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06600D"/>
  </w:style>
  <w:style w:type="character" w:customStyle="1" w:styleId="TextonotapieCar">
    <w:name w:val="Texto nota pie Car"/>
    <w:basedOn w:val="Policepardfaut"/>
    <w:uiPriority w:val="99"/>
    <w:semiHidden/>
    <w:rsid w:val="0006600D"/>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06600D"/>
    <w:rPr>
      <w:rFonts w:cs="Times New Roman"/>
      <w:vertAlign w:val="superscript"/>
    </w:rPr>
  </w:style>
  <w:style w:type="paragraph" w:customStyle="1" w:styleId="Corpsdetexte21">
    <w:name w:val="Corps de texte 21"/>
    <w:basedOn w:val="Normal"/>
    <w:rsid w:val="0006600D"/>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06600D"/>
    <w:rPr>
      <w:rFonts w:ascii="Times New Roman" w:eastAsia="Times New Roman" w:hAnsi="Times New Roman" w:cs="Times New Roman"/>
      <w:sz w:val="20"/>
      <w:szCs w:val="20"/>
      <w:lang w:eastAsia="es-ES"/>
    </w:rPr>
  </w:style>
  <w:style w:type="paragraph" w:customStyle="1" w:styleId="Sansinterligne1">
    <w:name w:val="Sans interligne1"/>
    <w:rsid w:val="0006600D"/>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06600D"/>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7654</Characters>
  <Application>Microsoft Office Word</Application>
  <DocSecurity>0</DocSecurity>
  <Lines>63</Lines>
  <Paragraphs>18</Paragraphs>
  <ScaleCrop>false</ScaleCrop>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5</cp:revision>
  <dcterms:created xsi:type="dcterms:W3CDTF">2017-02-27T19:58:00Z</dcterms:created>
  <dcterms:modified xsi:type="dcterms:W3CDTF">2017-03-01T12:05:00Z</dcterms:modified>
</cp:coreProperties>
</file>