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0B" w:rsidRPr="001F5E5A" w:rsidRDefault="00544A0B" w:rsidP="00BE1663">
      <w:pPr>
        <w:spacing w:line="360" w:lineRule="auto"/>
        <w:jc w:val="center"/>
        <w:rPr>
          <w:rFonts w:ascii="Arial" w:hAnsi="Arial" w:cs="Arial"/>
          <w:b/>
          <w:bCs/>
          <w:sz w:val="26"/>
          <w:szCs w:val="26"/>
          <w:lang w:val="es-CO"/>
        </w:rPr>
      </w:pPr>
    </w:p>
    <w:p w:rsidR="00BE1663" w:rsidRPr="001F5E5A" w:rsidRDefault="00BE1663" w:rsidP="00BE1663">
      <w:pPr>
        <w:spacing w:line="360" w:lineRule="auto"/>
        <w:jc w:val="center"/>
        <w:rPr>
          <w:rFonts w:ascii="Arial" w:hAnsi="Arial" w:cs="Arial"/>
          <w:b/>
          <w:bCs/>
          <w:sz w:val="26"/>
          <w:szCs w:val="26"/>
          <w:lang w:val="es-CO"/>
        </w:rPr>
      </w:pPr>
    </w:p>
    <w:p w:rsidR="00BE1663" w:rsidRPr="001F5E5A" w:rsidRDefault="00BE1663" w:rsidP="00BE1663">
      <w:pPr>
        <w:spacing w:line="360" w:lineRule="auto"/>
        <w:jc w:val="center"/>
        <w:rPr>
          <w:rFonts w:ascii="Arial" w:hAnsi="Arial" w:cs="Arial"/>
          <w:b/>
          <w:bCs/>
          <w:sz w:val="26"/>
          <w:szCs w:val="26"/>
          <w:lang w:val="es-CO"/>
        </w:rPr>
      </w:pPr>
      <w:r w:rsidRPr="001F5E5A">
        <w:rPr>
          <w:rFonts w:ascii="Arial" w:hAnsi="Arial" w:cs="Arial"/>
          <w:b/>
          <w:bCs/>
          <w:sz w:val="26"/>
          <w:szCs w:val="26"/>
          <w:lang w:val="es-CO"/>
        </w:rPr>
        <w:t>TRIBUNAL SUPERIOR DE PEREIRA</w:t>
      </w:r>
    </w:p>
    <w:p w:rsidR="00BE1663" w:rsidRPr="001F5E5A" w:rsidRDefault="00BE1663" w:rsidP="00BE1663">
      <w:pPr>
        <w:spacing w:line="360" w:lineRule="auto"/>
        <w:jc w:val="center"/>
        <w:rPr>
          <w:rFonts w:ascii="Arial" w:hAnsi="Arial" w:cs="Arial"/>
          <w:b/>
          <w:bCs/>
          <w:sz w:val="26"/>
          <w:szCs w:val="26"/>
          <w:lang w:val="es-CO"/>
        </w:rPr>
      </w:pPr>
      <w:r w:rsidRPr="001F5E5A">
        <w:rPr>
          <w:rFonts w:ascii="Arial" w:hAnsi="Arial" w:cs="Arial"/>
          <w:b/>
          <w:bCs/>
          <w:sz w:val="26"/>
          <w:szCs w:val="26"/>
          <w:lang w:val="es-CO"/>
        </w:rPr>
        <w:t>Sala de Decisión Civil Familia</w:t>
      </w:r>
    </w:p>
    <w:p w:rsidR="00BE1663" w:rsidRPr="001F5E5A" w:rsidRDefault="00BE1663" w:rsidP="00BE1663">
      <w:pPr>
        <w:spacing w:line="360" w:lineRule="auto"/>
        <w:rPr>
          <w:rFonts w:ascii="Arial" w:hAnsi="Arial" w:cs="Arial"/>
          <w:bCs/>
          <w:sz w:val="26"/>
          <w:szCs w:val="26"/>
          <w:lang w:val="es-CO"/>
        </w:rPr>
      </w:pPr>
    </w:p>
    <w:p w:rsidR="00BE1663" w:rsidRPr="001F5E5A" w:rsidRDefault="00BE1663" w:rsidP="00BE1663">
      <w:pPr>
        <w:spacing w:line="360" w:lineRule="auto"/>
        <w:rPr>
          <w:rFonts w:ascii="Arial" w:hAnsi="Arial" w:cs="Arial"/>
          <w:bCs/>
          <w:sz w:val="26"/>
          <w:szCs w:val="26"/>
          <w:lang w:val="es-CO"/>
        </w:rPr>
      </w:pPr>
    </w:p>
    <w:p w:rsidR="00BE1663" w:rsidRPr="001F5E5A" w:rsidRDefault="00BE1663" w:rsidP="00BE1663">
      <w:pPr>
        <w:spacing w:line="360" w:lineRule="auto"/>
        <w:jc w:val="center"/>
        <w:rPr>
          <w:rFonts w:ascii="Arial" w:hAnsi="Arial" w:cs="Arial"/>
          <w:bCs/>
          <w:sz w:val="26"/>
          <w:szCs w:val="26"/>
          <w:lang w:val="es-CO"/>
        </w:rPr>
      </w:pPr>
      <w:r w:rsidRPr="001F5E5A">
        <w:rPr>
          <w:rFonts w:ascii="Arial" w:hAnsi="Arial" w:cs="Arial"/>
          <w:bCs/>
          <w:sz w:val="26"/>
          <w:szCs w:val="26"/>
          <w:lang w:val="es-CO"/>
        </w:rPr>
        <w:t xml:space="preserve">Magistrado: </w:t>
      </w:r>
    </w:p>
    <w:p w:rsidR="00BE1663" w:rsidRPr="001F5E5A" w:rsidRDefault="00BE1663" w:rsidP="00BE1663">
      <w:pPr>
        <w:spacing w:line="360" w:lineRule="auto"/>
        <w:jc w:val="center"/>
        <w:rPr>
          <w:rFonts w:ascii="Arial" w:hAnsi="Arial" w:cs="Arial"/>
          <w:b/>
          <w:bCs/>
          <w:sz w:val="24"/>
          <w:szCs w:val="24"/>
          <w:lang w:val="es-CO"/>
        </w:rPr>
      </w:pPr>
      <w:r w:rsidRPr="001F5E5A">
        <w:rPr>
          <w:rFonts w:ascii="Arial" w:hAnsi="Arial" w:cs="Arial"/>
          <w:b/>
          <w:bCs/>
          <w:sz w:val="24"/>
          <w:szCs w:val="24"/>
          <w:lang w:val="es-CO"/>
        </w:rPr>
        <w:t>EDDER JIMMY SÁNCHEZ CALAMBÁS</w:t>
      </w:r>
    </w:p>
    <w:p w:rsidR="00BE1663" w:rsidRPr="001F5E5A" w:rsidRDefault="00BE1663" w:rsidP="00BE1663">
      <w:pPr>
        <w:spacing w:line="360" w:lineRule="auto"/>
        <w:rPr>
          <w:rFonts w:ascii="Arial" w:hAnsi="Arial" w:cs="Arial"/>
          <w:bCs/>
          <w:sz w:val="26"/>
          <w:szCs w:val="26"/>
          <w:lang w:val="es-CO"/>
        </w:rPr>
      </w:pPr>
    </w:p>
    <w:p w:rsidR="00BE1663" w:rsidRPr="001F5E5A" w:rsidRDefault="00BE1663" w:rsidP="00BE1663">
      <w:pPr>
        <w:spacing w:line="360" w:lineRule="auto"/>
        <w:jc w:val="center"/>
        <w:rPr>
          <w:rFonts w:ascii="Arial" w:hAnsi="Arial" w:cs="Arial"/>
          <w:bCs/>
          <w:sz w:val="26"/>
          <w:szCs w:val="26"/>
          <w:lang w:val="es-CO"/>
        </w:rPr>
      </w:pPr>
      <w:r w:rsidRPr="001F5E5A">
        <w:rPr>
          <w:rFonts w:ascii="Arial" w:hAnsi="Arial" w:cs="Arial"/>
          <w:bCs/>
          <w:sz w:val="26"/>
          <w:szCs w:val="26"/>
          <w:lang w:val="es-CO"/>
        </w:rPr>
        <w:t xml:space="preserve">Pereira, Risaralda, </w:t>
      </w:r>
      <w:r w:rsidR="008E0AAB">
        <w:rPr>
          <w:rFonts w:ascii="Arial" w:hAnsi="Arial" w:cs="Arial"/>
          <w:bCs/>
          <w:sz w:val="26"/>
          <w:szCs w:val="26"/>
          <w:lang w:val="es-CO"/>
        </w:rPr>
        <w:t>veintiséis (26</w:t>
      </w:r>
      <w:r w:rsidRPr="001F5E5A">
        <w:rPr>
          <w:rFonts w:ascii="Arial" w:hAnsi="Arial" w:cs="Arial"/>
          <w:bCs/>
          <w:sz w:val="26"/>
          <w:szCs w:val="26"/>
          <w:lang w:val="es-CO"/>
        </w:rPr>
        <w:t xml:space="preserve">) de </w:t>
      </w:r>
      <w:r w:rsidR="008E0AAB">
        <w:rPr>
          <w:rFonts w:ascii="Arial" w:hAnsi="Arial" w:cs="Arial"/>
          <w:bCs/>
          <w:sz w:val="26"/>
          <w:szCs w:val="26"/>
          <w:lang w:val="es-CO"/>
        </w:rPr>
        <w:t xml:space="preserve">mayo </w:t>
      </w:r>
      <w:bookmarkStart w:id="0" w:name="_GoBack"/>
      <w:bookmarkEnd w:id="0"/>
      <w:r w:rsidRPr="001F5E5A">
        <w:rPr>
          <w:rFonts w:ascii="Arial" w:hAnsi="Arial" w:cs="Arial"/>
          <w:bCs/>
          <w:sz w:val="26"/>
          <w:szCs w:val="26"/>
          <w:lang w:val="es-CO"/>
        </w:rPr>
        <w:t xml:space="preserve">dos mil </w:t>
      </w:r>
      <w:r>
        <w:rPr>
          <w:rFonts w:ascii="Arial" w:hAnsi="Arial" w:cs="Arial"/>
          <w:bCs/>
          <w:sz w:val="26"/>
          <w:szCs w:val="26"/>
          <w:lang w:val="es-CO"/>
        </w:rPr>
        <w:t>dieciséis</w:t>
      </w:r>
      <w:r w:rsidRPr="001F5E5A">
        <w:rPr>
          <w:rFonts w:ascii="Arial" w:hAnsi="Arial" w:cs="Arial"/>
          <w:bCs/>
          <w:sz w:val="26"/>
          <w:szCs w:val="26"/>
          <w:lang w:val="es-CO"/>
        </w:rPr>
        <w:t xml:space="preserve"> (201</w:t>
      </w:r>
      <w:r>
        <w:rPr>
          <w:rFonts w:ascii="Arial" w:hAnsi="Arial" w:cs="Arial"/>
          <w:bCs/>
          <w:sz w:val="26"/>
          <w:szCs w:val="26"/>
          <w:lang w:val="es-CO"/>
        </w:rPr>
        <w:t>6</w:t>
      </w:r>
      <w:r w:rsidRPr="001F5E5A">
        <w:rPr>
          <w:rFonts w:ascii="Arial" w:hAnsi="Arial" w:cs="Arial"/>
          <w:bCs/>
          <w:sz w:val="26"/>
          <w:szCs w:val="26"/>
          <w:lang w:val="es-CO"/>
        </w:rPr>
        <w:t>)</w:t>
      </w:r>
    </w:p>
    <w:p w:rsidR="00BE1663" w:rsidRPr="001F5E5A" w:rsidRDefault="00BE1663" w:rsidP="00BE1663">
      <w:pPr>
        <w:spacing w:line="360" w:lineRule="auto"/>
        <w:jc w:val="center"/>
        <w:rPr>
          <w:rFonts w:ascii="Arial" w:hAnsi="Arial" w:cs="Arial"/>
          <w:bCs/>
          <w:sz w:val="26"/>
          <w:szCs w:val="26"/>
          <w:lang w:val="es-CO"/>
        </w:rPr>
      </w:pPr>
      <w:r w:rsidRPr="001F5E5A">
        <w:rPr>
          <w:rFonts w:ascii="Arial" w:hAnsi="Arial" w:cs="Arial"/>
          <w:sz w:val="26"/>
          <w:szCs w:val="26"/>
          <w:lang w:val="es-CO"/>
        </w:rPr>
        <w:t>Expediente 66001-31-03-00</w:t>
      </w:r>
      <w:r>
        <w:rPr>
          <w:rFonts w:ascii="Arial" w:hAnsi="Arial" w:cs="Arial"/>
          <w:sz w:val="26"/>
          <w:szCs w:val="26"/>
          <w:lang w:val="es-CO"/>
        </w:rPr>
        <w:t>4</w:t>
      </w:r>
      <w:r w:rsidRPr="001F5E5A">
        <w:rPr>
          <w:rFonts w:ascii="Arial" w:hAnsi="Arial" w:cs="Arial"/>
          <w:sz w:val="26"/>
          <w:szCs w:val="26"/>
          <w:lang w:val="es-CO"/>
        </w:rPr>
        <w:t>-20</w:t>
      </w:r>
      <w:r w:rsidR="008E0AAB">
        <w:rPr>
          <w:rFonts w:ascii="Arial" w:hAnsi="Arial" w:cs="Arial"/>
          <w:sz w:val="26"/>
          <w:szCs w:val="26"/>
          <w:lang w:val="es-CO"/>
        </w:rPr>
        <w:t>14</w:t>
      </w:r>
      <w:r w:rsidRPr="001F5E5A">
        <w:rPr>
          <w:rFonts w:ascii="Arial" w:hAnsi="Arial" w:cs="Arial"/>
          <w:sz w:val="26"/>
          <w:szCs w:val="26"/>
          <w:lang w:val="es-CO"/>
        </w:rPr>
        <w:t>-00</w:t>
      </w:r>
      <w:r w:rsidR="008E0AAB">
        <w:rPr>
          <w:rFonts w:ascii="Arial" w:hAnsi="Arial" w:cs="Arial"/>
          <w:sz w:val="26"/>
          <w:szCs w:val="26"/>
          <w:lang w:val="es-CO"/>
        </w:rPr>
        <w:t>002</w:t>
      </w:r>
      <w:r w:rsidRPr="001F5E5A">
        <w:rPr>
          <w:rFonts w:ascii="Arial" w:hAnsi="Arial" w:cs="Arial"/>
          <w:sz w:val="26"/>
          <w:szCs w:val="26"/>
          <w:lang w:val="es-CO"/>
        </w:rPr>
        <w:t>-0</w:t>
      </w:r>
      <w:r>
        <w:rPr>
          <w:rFonts w:ascii="Arial" w:hAnsi="Arial" w:cs="Arial"/>
          <w:sz w:val="26"/>
          <w:szCs w:val="26"/>
          <w:lang w:val="es-CO"/>
        </w:rPr>
        <w:t>1</w:t>
      </w:r>
    </w:p>
    <w:p w:rsidR="00BE1663" w:rsidRPr="001F5E5A" w:rsidRDefault="00BE1663" w:rsidP="00BE1663">
      <w:pPr>
        <w:pStyle w:val="Sinespaciado1"/>
        <w:spacing w:line="360" w:lineRule="auto"/>
        <w:rPr>
          <w:rFonts w:ascii="Arial" w:hAnsi="Arial" w:cs="Arial"/>
          <w:sz w:val="26"/>
          <w:szCs w:val="26"/>
          <w:lang w:eastAsia="es-ES"/>
        </w:rPr>
      </w:pPr>
    </w:p>
    <w:p w:rsidR="00BE1663" w:rsidRPr="001F5E5A" w:rsidRDefault="00BE1663" w:rsidP="00BE1663">
      <w:pPr>
        <w:pStyle w:val="Sinespaciado1"/>
        <w:spacing w:line="360" w:lineRule="auto"/>
        <w:rPr>
          <w:rFonts w:ascii="Arial" w:hAnsi="Arial" w:cs="Arial"/>
          <w:sz w:val="26"/>
          <w:szCs w:val="26"/>
          <w:lang w:eastAsia="es-ES"/>
        </w:rPr>
      </w:pPr>
    </w:p>
    <w:p w:rsidR="00BE1663" w:rsidRPr="001F5E5A" w:rsidRDefault="00BE1663" w:rsidP="00BE1663">
      <w:pPr>
        <w:pStyle w:val="Sinespaciado1"/>
        <w:spacing w:line="360" w:lineRule="auto"/>
        <w:rPr>
          <w:rFonts w:ascii="Arial" w:hAnsi="Arial" w:cs="Arial"/>
          <w:sz w:val="26"/>
          <w:szCs w:val="26"/>
          <w:lang w:eastAsia="es-ES"/>
        </w:rPr>
      </w:pPr>
    </w:p>
    <w:p w:rsidR="00BE1663" w:rsidRPr="001F5E5A" w:rsidRDefault="00BE1663" w:rsidP="00BE1663">
      <w:pPr>
        <w:pStyle w:val="Sinespaciado1"/>
        <w:spacing w:line="360" w:lineRule="auto"/>
        <w:ind w:firstLine="2880"/>
        <w:jc w:val="both"/>
        <w:rPr>
          <w:rFonts w:ascii="Arial" w:hAnsi="Arial" w:cs="Arial"/>
          <w:b/>
          <w:sz w:val="26"/>
          <w:szCs w:val="26"/>
          <w:lang w:eastAsia="es-ES"/>
        </w:rPr>
      </w:pPr>
      <w:r w:rsidRPr="001F5E5A">
        <w:rPr>
          <w:rFonts w:ascii="Arial" w:hAnsi="Arial" w:cs="Arial"/>
          <w:b/>
          <w:sz w:val="26"/>
          <w:szCs w:val="26"/>
          <w:lang w:eastAsia="es-ES"/>
        </w:rPr>
        <w:t>I. Asunto</w:t>
      </w:r>
    </w:p>
    <w:p w:rsidR="00BE1663" w:rsidRPr="001F5E5A" w:rsidRDefault="00BE1663" w:rsidP="00BE1663">
      <w:pPr>
        <w:pStyle w:val="Sinespaciado1"/>
        <w:spacing w:line="360" w:lineRule="auto"/>
        <w:ind w:firstLine="2880"/>
        <w:jc w:val="both"/>
        <w:rPr>
          <w:rFonts w:ascii="Arial" w:hAnsi="Arial" w:cs="Arial"/>
          <w:b/>
          <w:sz w:val="26"/>
          <w:szCs w:val="26"/>
          <w:lang w:eastAsia="es-ES"/>
        </w:rPr>
      </w:pPr>
    </w:p>
    <w:p w:rsidR="00BE1663" w:rsidRDefault="00BE1663" w:rsidP="00544A0B">
      <w:pPr>
        <w:pStyle w:val="Sinespaciado1"/>
        <w:spacing w:line="360" w:lineRule="auto"/>
        <w:ind w:firstLine="2880"/>
        <w:jc w:val="both"/>
        <w:rPr>
          <w:rFonts w:ascii="Arial" w:hAnsi="Arial" w:cs="Arial"/>
          <w:b/>
          <w:sz w:val="26"/>
          <w:szCs w:val="26"/>
          <w:lang w:eastAsia="es-ES"/>
        </w:rPr>
      </w:pPr>
      <w:r w:rsidRPr="001F5E5A">
        <w:rPr>
          <w:rFonts w:ascii="Arial" w:hAnsi="Arial" w:cs="Arial"/>
          <w:bCs/>
          <w:sz w:val="26"/>
          <w:szCs w:val="26"/>
        </w:rPr>
        <w:t>Decide el Tribunal el recurso de apelación interpuesto por</w:t>
      </w:r>
      <w:r w:rsidR="008E0AAB">
        <w:rPr>
          <w:rFonts w:ascii="Arial" w:hAnsi="Arial" w:cs="Arial"/>
          <w:bCs/>
          <w:sz w:val="26"/>
          <w:szCs w:val="26"/>
        </w:rPr>
        <w:t xml:space="preserve"> el apoderado judicial de </w:t>
      </w:r>
      <w:r w:rsidR="00544A0B">
        <w:rPr>
          <w:rFonts w:ascii="Arial" w:hAnsi="Arial" w:cs="Arial"/>
          <w:bCs/>
          <w:sz w:val="24"/>
          <w:szCs w:val="26"/>
        </w:rPr>
        <w:t>LÍ</w:t>
      </w:r>
      <w:r w:rsidR="008E0AAB">
        <w:rPr>
          <w:rFonts w:ascii="Arial" w:hAnsi="Arial" w:cs="Arial"/>
          <w:bCs/>
          <w:sz w:val="24"/>
          <w:szCs w:val="26"/>
        </w:rPr>
        <w:t xml:space="preserve">NEA ANDINA </w:t>
      </w:r>
      <w:r w:rsidR="00544A0B">
        <w:rPr>
          <w:rFonts w:ascii="Arial" w:hAnsi="Arial" w:cs="Arial"/>
          <w:bCs/>
          <w:sz w:val="24"/>
          <w:szCs w:val="26"/>
        </w:rPr>
        <w:t xml:space="preserve">DE </w:t>
      </w:r>
      <w:r w:rsidR="008E0AAB">
        <w:rPr>
          <w:rFonts w:ascii="Arial" w:hAnsi="Arial" w:cs="Arial"/>
          <w:bCs/>
          <w:sz w:val="24"/>
          <w:szCs w:val="26"/>
        </w:rPr>
        <w:t>CARGA LT</w:t>
      </w:r>
      <w:r w:rsidR="008E0AAB" w:rsidRPr="008E0AAB">
        <w:rPr>
          <w:rFonts w:ascii="Arial" w:hAnsi="Arial" w:cs="Arial"/>
          <w:bCs/>
          <w:sz w:val="24"/>
          <w:szCs w:val="26"/>
        </w:rPr>
        <w:t>DA –LIANCAR-</w:t>
      </w:r>
      <w:r w:rsidR="008E0AAB">
        <w:rPr>
          <w:rFonts w:ascii="Arial" w:hAnsi="Arial" w:cs="Arial"/>
          <w:bCs/>
          <w:sz w:val="26"/>
          <w:szCs w:val="26"/>
        </w:rPr>
        <w:t>, contra el auto proferido el 1</w:t>
      </w:r>
      <w:r>
        <w:rPr>
          <w:rFonts w:ascii="Arial" w:hAnsi="Arial" w:cs="Arial"/>
          <w:bCs/>
          <w:sz w:val="26"/>
          <w:szCs w:val="26"/>
        </w:rPr>
        <w:t xml:space="preserve">6 de </w:t>
      </w:r>
      <w:r w:rsidR="008E0AAB">
        <w:rPr>
          <w:rFonts w:ascii="Arial" w:hAnsi="Arial" w:cs="Arial"/>
          <w:bCs/>
          <w:sz w:val="26"/>
          <w:szCs w:val="26"/>
        </w:rPr>
        <w:t xml:space="preserve">octubre </w:t>
      </w:r>
      <w:r>
        <w:rPr>
          <w:rFonts w:ascii="Arial" w:hAnsi="Arial" w:cs="Arial"/>
          <w:bCs/>
          <w:sz w:val="26"/>
          <w:szCs w:val="26"/>
        </w:rPr>
        <w:t xml:space="preserve">de 2015 </w:t>
      </w:r>
      <w:r w:rsidRPr="001F5E5A">
        <w:rPr>
          <w:rFonts w:ascii="Arial" w:hAnsi="Arial" w:cs="Arial"/>
          <w:bCs/>
          <w:sz w:val="26"/>
          <w:szCs w:val="26"/>
        </w:rPr>
        <w:t xml:space="preserve">por el Juzgado </w:t>
      </w:r>
      <w:r w:rsidR="008E0AAB">
        <w:rPr>
          <w:rFonts w:ascii="Arial" w:hAnsi="Arial" w:cs="Arial"/>
          <w:bCs/>
          <w:sz w:val="26"/>
          <w:szCs w:val="26"/>
        </w:rPr>
        <w:t xml:space="preserve">Cuarto </w:t>
      </w:r>
      <w:r w:rsidRPr="001F5E5A">
        <w:rPr>
          <w:rFonts w:ascii="Arial" w:hAnsi="Arial" w:cs="Arial"/>
          <w:bCs/>
          <w:sz w:val="26"/>
          <w:szCs w:val="26"/>
        </w:rPr>
        <w:t xml:space="preserve">Civil del Circuito de Pereira, mediante el cual </w:t>
      </w:r>
      <w:r>
        <w:rPr>
          <w:rFonts w:ascii="Arial" w:hAnsi="Arial" w:cs="Arial"/>
          <w:bCs/>
          <w:sz w:val="26"/>
          <w:szCs w:val="26"/>
        </w:rPr>
        <w:t>se</w:t>
      </w:r>
      <w:r w:rsidR="008E0AAB">
        <w:rPr>
          <w:rFonts w:ascii="Arial" w:hAnsi="Arial" w:cs="Arial"/>
          <w:bCs/>
          <w:sz w:val="26"/>
          <w:szCs w:val="26"/>
        </w:rPr>
        <w:t xml:space="preserve"> resolvieron las excepciones previas propuestas por el opugnante, dentro del trámite de la </w:t>
      </w:r>
      <w:r w:rsidR="008E0AAB" w:rsidRPr="008E0AAB">
        <w:rPr>
          <w:rFonts w:ascii="Arial" w:hAnsi="Arial" w:cs="Arial"/>
          <w:bCs/>
          <w:sz w:val="24"/>
          <w:szCs w:val="26"/>
        </w:rPr>
        <w:t>ACCI</w:t>
      </w:r>
      <w:r w:rsidR="008E0AAB">
        <w:rPr>
          <w:rFonts w:ascii="Arial" w:hAnsi="Arial" w:cs="Arial"/>
          <w:bCs/>
          <w:sz w:val="24"/>
          <w:szCs w:val="26"/>
        </w:rPr>
        <w:t>Ó</w:t>
      </w:r>
      <w:r w:rsidR="008E0AAB" w:rsidRPr="008E0AAB">
        <w:rPr>
          <w:rFonts w:ascii="Arial" w:hAnsi="Arial" w:cs="Arial"/>
          <w:bCs/>
          <w:sz w:val="24"/>
          <w:szCs w:val="26"/>
        </w:rPr>
        <w:t>N DE GRUPO</w:t>
      </w:r>
      <w:r w:rsidR="008E0AAB">
        <w:rPr>
          <w:rFonts w:ascii="Arial" w:hAnsi="Arial" w:cs="Arial"/>
          <w:bCs/>
          <w:sz w:val="26"/>
          <w:szCs w:val="26"/>
        </w:rPr>
        <w:t xml:space="preserve"> </w:t>
      </w:r>
      <w:r>
        <w:rPr>
          <w:rFonts w:ascii="Arial" w:hAnsi="Arial" w:cs="Arial"/>
          <w:bCs/>
          <w:sz w:val="26"/>
          <w:szCs w:val="26"/>
        </w:rPr>
        <w:t>pro</w:t>
      </w:r>
      <w:r w:rsidR="00544A0B">
        <w:rPr>
          <w:rFonts w:ascii="Arial" w:hAnsi="Arial" w:cs="Arial"/>
          <w:bCs/>
          <w:sz w:val="26"/>
          <w:szCs w:val="26"/>
        </w:rPr>
        <w:t xml:space="preserve">movida </w:t>
      </w:r>
      <w:r>
        <w:rPr>
          <w:rFonts w:ascii="Arial" w:hAnsi="Arial" w:cs="Arial"/>
          <w:bCs/>
          <w:sz w:val="26"/>
          <w:szCs w:val="26"/>
        </w:rPr>
        <w:t xml:space="preserve">por </w:t>
      </w:r>
      <w:r w:rsidR="008E0AAB">
        <w:rPr>
          <w:rFonts w:ascii="Arial" w:hAnsi="Arial" w:cs="Arial"/>
          <w:bCs/>
          <w:sz w:val="26"/>
          <w:szCs w:val="26"/>
        </w:rPr>
        <w:t xml:space="preserve">la </w:t>
      </w:r>
      <w:r w:rsidR="008E0AAB" w:rsidRPr="008E0AAB">
        <w:rPr>
          <w:rFonts w:ascii="Arial" w:hAnsi="Arial" w:cs="Arial"/>
          <w:bCs/>
          <w:sz w:val="24"/>
          <w:szCs w:val="26"/>
        </w:rPr>
        <w:t>ASOCIACIÓN DE PESCADORES DE RISARALDA –ASOPESCAR-</w:t>
      </w:r>
      <w:r w:rsidR="008E0AAB">
        <w:rPr>
          <w:rFonts w:ascii="Arial" w:hAnsi="Arial" w:cs="Arial"/>
          <w:bCs/>
          <w:sz w:val="26"/>
          <w:szCs w:val="26"/>
        </w:rPr>
        <w:t xml:space="preserve"> y 22 personas naturales más, contra </w:t>
      </w:r>
      <w:r w:rsidR="008E0AAB">
        <w:rPr>
          <w:rFonts w:ascii="Arial" w:hAnsi="Arial" w:cs="Arial"/>
          <w:bCs/>
          <w:sz w:val="24"/>
          <w:szCs w:val="26"/>
        </w:rPr>
        <w:t>COLOR QUI</w:t>
      </w:r>
      <w:r w:rsidR="00544A0B">
        <w:rPr>
          <w:rFonts w:ascii="Arial" w:hAnsi="Arial" w:cs="Arial"/>
          <w:bCs/>
          <w:sz w:val="24"/>
          <w:szCs w:val="26"/>
        </w:rPr>
        <w:t>MICA S.A.</w:t>
      </w:r>
      <w:r w:rsidR="00544A0B" w:rsidRPr="00544A0B">
        <w:rPr>
          <w:rFonts w:ascii="Arial" w:hAnsi="Arial" w:cs="Arial"/>
          <w:bCs/>
          <w:sz w:val="26"/>
          <w:szCs w:val="26"/>
        </w:rPr>
        <w:t xml:space="preserve"> y la compañía recurrente</w:t>
      </w:r>
      <w:r w:rsidRPr="00544A0B">
        <w:rPr>
          <w:rFonts w:ascii="Arial" w:hAnsi="Arial" w:cs="Arial"/>
          <w:bCs/>
          <w:sz w:val="26"/>
          <w:szCs w:val="26"/>
        </w:rPr>
        <w:t>.</w:t>
      </w:r>
    </w:p>
    <w:p w:rsidR="00BE1663" w:rsidRPr="001F5E5A" w:rsidRDefault="00BE1663" w:rsidP="00BE1663">
      <w:pPr>
        <w:pStyle w:val="Sinespaciado1"/>
        <w:spacing w:line="360" w:lineRule="auto"/>
        <w:ind w:firstLine="2880"/>
        <w:jc w:val="both"/>
        <w:rPr>
          <w:rFonts w:ascii="Arial" w:hAnsi="Arial" w:cs="Arial"/>
          <w:b/>
          <w:sz w:val="26"/>
          <w:szCs w:val="26"/>
          <w:lang w:eastAsia="es-ES"/>
        </w:rPr>
      </w:pPr>
    </w:p>
    <w:p w:rsidR="00BE1663" w:rsidRPr="001F5E5A" w:rsidRDefault="00BE1663" w:rsidP="00BE1663">
      <w:pPr>
        <w:pStyle w:val="Sinespaciado1"/>
        <w:spacing w:line="360" w:lineRule="auto"/>
        <w:ind w:firstLine="2880"/>
        <w:jc w:val="both"/>
        <w:rPr>
          <w:rFonts w:ascii="Arial" w:hAnsi="Arial" w:cs="Arial"/>
          <w:b/>
          <w:sz w:val="26"/>
          <w:szCs w:val="26"/>
          <w:lang w:eastAsia="es-ES"/>
        </w:rPr>
      </w:pPr>
      <w:r w:rsidRPr="001F5E5A">
        <w:rPr>
          <w:rFonts w:ascii="Arial" w:hAnsi="Arial" w:cs="Arial"/>
          <w:b/>
          <w:bCs/>
          <w:sz w:val="26"/>
          <w:szCs w:val="26"/>
          <w:lang w:eastAsia="es-ES"/>
        </w:rPr>
        <w:t>II. Antecedentes</w:t>
      </w:r>
    </w:p>
    <w:p w:rsidR="00BE1663" w:rsidRPr="001F5E5A" w:rsidRDefault="00BE1663" w:rsidP="00BE1663">
      <w:pPr>
        <w:pStyle w:val="Sinespaciado1"/>
        <w:spacing w:line="360" w:lineRule="auto"/>
        <w:ind w:firstLine="2880"/>
        <w:jc w:val="both"/>
        <w:rPr>
          <w:rFonts w:ascii="Arial" w:hAnsi="Arial" w:cs="Arial"/>
          <w:b/>
          <w:sz w:val="26"/>
          <w:szCs w:val="26"/>
          <w:lang w:eastAsia="es-ES"/>
        </w:rPr>
      </w:pPr>
    </w:p>
    <w:p w:rsidR="00D17BF4"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bCs/>
          <w:sz w:val="26"/>
          <w:szCs w:val="26"/>
        </w:rPr>
        <w:t xml:space="preserve">1. </w:t>
      </w:r>
      <w:r w:rsidR="00D17BF4" w:rsidRPr="00A524F0">
        <w:rPr>
          <w:rFonts w:ascii="Arial" w:hAnsi="Arial" w:cs="Arial"/>
          <w:sz w:val="26"/>
          <w:szCs w:val="26"/>
        </w:rPr>
        <w:t>En el libelo genitor del proceso</w:t>
      </w:r>
      <w:r w:rsidR="00D17BF4" w:rsidRPr="00D14FA1">
        <w:rPr>
          <w:rFonts w:ascii="Arial" w:hAnsi="Arial" w:cs="Arial"/>
          <w:bCs/>
          <w:sz w:val="26"/>
          <w:szCs w:val="26"/>
        </w:rPr>
        <w:t xml:space="preserve"> </w:t>
      </w:r>
      <w:r w:rsidR="00D40D32">
        <w:rPr>
          <w:rFonts w:ascii="Arial" w:hAnsi="Arial" w:cs="Arial"/>
          <w:bCs/>
          <w:sz w:val="26"/>
          <w:szCs w:val="26"/>
        </w:rPr>
        <w:t>el grupo de demandantes</w:t>
      </w:r>
      <w:r w:rsidR="00D17BF4">
        <w:rPr>
          <w:rFonts w:ascii="Arial" w:hAnsi="Arial" w:cs="Arial"/>
          <w:sz w:val="26"/>
          <w:szCs w:val="26"/>
        </w:rPr>
        <w:t xml:space="preserve"> </w:t>
      </w:r>
      <w:r w:rsidR="00D17BF4" w:rsidRPr="00A524F0">
        <w:rPr>
          <w:rFonts w:ascii="Arial" w:hAnsi="Arial" w:cs="Arial"/>
          <w:sz w:val="26"/>
          <w:szCs w:val="26"/>
        </w:rPr>
        <w:t>solicitan de</w:t>
      </w:r>
      <w:r w:rsidR="00D17BF4">
        <w:rPr>
          <w:rFonts w:ascii="Arial" w:hAnsi="Arial" w:cs="Arial"/>
          <w:sz w:val="26"/>
          <w:szCs w:val="26"/>
        </w:rPr>
        <w:t xml:space="preserve">clarar patrimonial y </w:t>
      </w:r>
      <w:r w:rsidR="00D17BF4" w:rsidRPr="00A524F0">
        <w:rPr>
          <w:rFonts w:ascii="Arial" w:hAnsi="Arial" w:cs="Arial"/>
          <w:sz w:val="26"/>
          <w:szCs w:val="26"/>
        </w:rPr>
        <w:t>solidaria</w:t>
      </w:r>
      <w:r w:rsidR="00D17BF4">
        <w:rPr>
          <w:rFonts w:ascii="Arial" w:hAnsi="Arial" w:cs="Arial"/>
          <w:sz w:val="26"/>
          <w:szCs w:val="26"/>
        </w:rPr>
        <w:t>mente responsables</w:t>
      </w:r>
      <w:r w:rsidR="00D17BF4" w:rsidRPr="00A524F0">
        <w:rPr>
          <w:rFonts w:ascii="Arial" w:hAnsi="Arial" w:cs="Arial"/>
          <w:sz w:val="26"/>
          <w:szCs w:val="26"/>
        </w:rPr>
        <w:t xml:space="preserve"> </w:t>
      </w:r>
      <w:r w:rsidR="00D17BF4">
        <w:rPr>
          <w:rFonts w:ascii="Arial" w:hAnsi="Arial" w:cs="Arial"/>
          <w:sz w:val="26"/>
          <w:szCs w:val="26"/>
        </w:rPr>
        <w:t xml:space="preserve">a las </w:t>
      </w:r>
      <w:r w:rsidR="00D40D32">
        <w:rPr>
          <w:rFonts w:ascii="Arial" w:hAnsi="Arial" w:cs="Arial"/>
          <w:sz w:val="26"/>
          <w:szCs w:val="26"/>
        </w:rPr>
        <w:t xml:space="preserve">sociedades </w:t>
      </w:r>
      <w:r w:rsidR="00D17BF4">
        <w:rPr>
          <w:rFonts w:ascii="Arial" w:hAnsi="Arial" w:cs="Arial"/>
          <w:sz w:val="26"/>
          <w:szCs w:val="26"/>
        </w:rPr>
        <w:t xml:space="preserve">demandadas, </w:t>
      </w:r>
      <w:r w:rsidR="00D17BF4" w:rsidRPr="00A524F0">
        <w:rPr>
          <w:rFonts w:ascii="Arial" w:hAnsi="Arial" w:cs="Arial"/>
          <w:sz w:val="26"/>
          <w:szCs w:val="26"/>
        </w:rPr>
        <w:t xml:space="preserve">de </w:t>
      </w:r>
      <w:r w:rsidR="00D17BF4">
        <w:rPr>
          <w:rFonts w:ascii="Arial" w:hAnsi="Arial" w:cs="Arial"/>
          <w:sz w:val="26"/>
          <w:szCs w:val="26"/>
        </w:rPr>
        <w:t xml:space="preserve">los daños causados como consecuencia del volcamiento de un carrotanque </w:t>
      </w:r>
      <w:r w:rsidR="00D40D32">
        <w:rPr>
          <w:rFonts w:ascii="Arial" w:hAnsi="Arial" w:cs="Arial"/>
          <w:sz w:val="26"/>
          <w:szCs w:val="26"/>
        </w:rPr>
        <w:t xml:space="preserve">derramando </w:t>
      </w:r>
      <w:r w:rsidR="00D17BF4">
        <w:rPr>
          <w:rFonts w:ascii="Arial" w:hAnsi="Arial" w:cs="Arial"/>
          <w:sz w:val="26"/>
          <w:szCs w:val="26"/>
        </w:rPr>
        <w:t xml:space="preserve">un químico (acrilato de butilo), que llegó </w:t>
      </w:r>
      <w:r w:rsidR="00D40D32">
        <w:rPr>
          <w:rFonts w:ascii="Arial" w:hAnsi="Arial" w:cs="Arial"/>
          <w:sz w:val="26"/>
          <w:szCs w:val="26"/>
        </w:rPr>
        <w:t>a la quebrada San Lázaro, la cual vi</w:t>
      </w:r>
      <w:r w:rsidR="002A00A4">
        <w:rPr>
          <w:rFonts w:ascii="Arial" w:hAnsi="Arial" w:cs="Arial"/>
          <w:sz w:val="26"/>
          <w:szCs w:val="26"/>
        </w:rPr>
        <w:t>er</w:t>
      </w:r>
      <w:r w:rsidR="00D40D32">
        <w:rPr>
          <w:rFonts w:ascii="Arial" w:hAnsi="Arial" w:cs="Arial"/>
          <w:sz w:val="26"/>
          <w:szCs w:val="26"/>
        </w:rPr>
        <w:t xml:space="preserve">te sus aguas al Río Risaralda, </w:t>
      </w:r>
      <w:r w:rsidR="00D40D32">
        <w:rPr>
          <w:rFonts w:ascii="Arial" w:hAnsi="Arial" w:cs="Arial"/>
          <w:sz w:val="26"/>
          <w:szCs w:val="26"/>
        </w:rPr>
        <w:lastRenderedPageBreak/>
        <w:t>generando la muerte de especies piscícolas, que afectó de manera grave el sostenimiento de los demandantes</w:t>
      </w:r>
      <w:r w:rsidR="002A00A4">
        <w:rPr>
          <w:rFonts w:ascii="Arial" w:hAnsi="Arial" w:cs="Arial"/>
          <w:sz w:val="26"/>
          <w:szCs w:val="26"/>
        </w:rPr>
        <w:t>, quienes se dedican a la pesca artesanal</w:t>
      </w:r>
      <w:r w:rsidR="00D40D32">
        <w:rPr>
          <w:rFonts w:ascii="Arial" w:hAnsi="Arial" w:cs="Arial"/>
          <w:sz w:val="26"/>
          <w:szCs w:val="26"/>
        </w:rPr>
        <w:t>.</w:t>
      </w:r>
      <w:r w:rsidR="00D17BF4">
        <w:rPr>
          <w:rFonts w:ascii="Arial" w:hAnsi="Arial" w:cs="Arial"/>
          <w:sz w:val="26"/>
          <w:szCs w:val="26"/>
        </w:rPr>
        <w:t xml:space="preserve"> </w:t>
      </w:r>
      <w:r w:rsidR="00D40D32">
        <w:rPr>
          <w:rFonts w:ascii="Arial" w:hAnsi="Arial" w:cs="Arial"/>
          <w:sz w:val="26"/>
          <w:szCs w:val="26"/>
        </w:rPr>
        <w:t>El hechos acaeció</w:t>
      </w:r>
      <w:r w:rsidR="00D17BF4">
        <w:rPr>
          <w:rFonts w:ascii="Arial" w:hAnsi="Arial" w:cs="Arial"/>
          <w:sz w:val="26"/>
          <w:szCs w:val="26"/>
        </w:rPr>
        <w:t xml:space="preserve"> el 11 de febrero de 2013 </w:t>
      </w:r>
      <w:r w:rsidR="00D17BF4">
        <w:rPr>
          <w:rFonts w:ascii="Arial" w:hAnsi="Arial" w:cs="Arial"/>
          <w:sz w:val="24"/>
          <w:szCs w:val="26"/>
        </w:rPr>
        <w:t>(fls. 73-83</w:t>
      </w:r>
      <w:r w:rsidR="00D17BF4" w:rsidRPr="000D682A">
        <w:rPr>
          <w:rFonts w:ascii="Arial" w:hAnsi="Arial" w:cs="Arial"/>
          <w:sz w:val="24"/>
          <w:szCs w:val="26"/>
        </w:rPr>
        <w:t>, cd. ppal)</w:t>
      </w:r>
      <w:r w:rsidR="00D17BF4">
        <w:rPr>
          <w:rFonts w:ascii="Arial" w:hAnsi="Arial" w:cs="Arial"/>
          <w:sz w:val="26"/>
          <w:szCs w:val="26"/>
        </w:rPr>
        <w:t>.</w:t>
      </w:r>
    </w:p>
    <w:p w:rsidR="00D17BF4" w:rsidRDefault="00D17BF4" w:rsidP="00BE1663">
      <w:pPr>
        <w:pStyle w:val="Sinespaciado1"/>
        <w:spacing w:line="360" w:lineRule="auto"/>
        <w:ind w:firstLine="2880"/>
        <w:jc w:val="both"/>
        <w:rPr>
          <w:rFonts w:ascii="Arial" w:hAnsi="Arial" w:cs="Arial"/>
          <w:bCs/>
          <w:sz w:val="26"/>
          <w:szCs w:val="26"/>
        </w:rPr>
      </w:pPr>
    </w:p>
    <w:p w:rsidR="00E86564" w:rsidRDefault="00D40D32" w:rsidP="00BE1663">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2. </w:t>
      </w:r>
      <w:r w:rsidR="00BE1663" w:rsidRPr="001F5E5A">
        <w:rPr>
          <w:rFonts w:ascii="Arial" w:hAnsi="Arial" w:cs="Arial"/>
          <w:bCs/>
          <w:sz w:val="26"/>
          <w:szCs w:val="26"/>
        </w:rPr>
        <w:t xml:space="preserve">En el aludido proceso, </w:t>
      </w:r>
      <w:r w:rsidR="00544A0B" w:rsidRPr="00544A0B">
        <w:rPr>
          <w:rFonts w:ascii="Arial" w:hAnsi="Arial" w:cs="Arial"/>
          <w:bCs/>
          <w:sz w:val="24"/>
          <w:szCs w:val="26"/>
        </w:rPr>
        <w:t>LIANCAR</w:t>
      </w:r>
      <w:r w:rsidR="00544A0B">
        <w:rPr>
          <w:rFonts w:ascii="Arial" w:hAnsi="Arial" w:cs="Arial"/>
          <w:bCs/>
          <w:sz w:val="26"/>
          <w:szCs w:val="26"/>
        </w:rPr>
        <w:t xml:space="preserve"> propuso las excepciones previas que denominó</w:t>
      </w:r>
      <w:r w:rsidR="00E86564">
        <w:rPr>
          <w:rFonts w:ascii="Arial" w:hAnsi="Arial" w:cs="Arial"/>
          <w:bCs/>
          <w:sz w:val="26"/>
          <w:szCs w:val="26"/>
        </w:rPr>
        <w:t xml:space="preserve"> y fundamentó así:</w:t>
      </w:r>
    </w:p>
    <w:p w:rsidR="00E86564" w:rsidRDefault="00E86564" w:rsidP="00BE1663">
      <w:pPr>
        <w:pStyle w:val="Sinespaciado1"/>
        <w:spacing w:line="360" w:lineRule="auto"/>
        <w:ind w:firstLine="2880"/>
        <w:jc w:val="both"/>
        <w:rPr>
          <w:rFonts w:ascii="Arial" w:hAnsi="Arial" w:cs="Arial"/>
          <w:bCs/>
          <w:sz w:val="26"/>
          <w:szCs w:val="26"/>
        </w:rPr>
      </w:pPr>
    </w:p>
    <w:p w:rsidR="00E86564" w:rsidRDefault="00544A0B" w:rsidP="002B2D68">
      <w:pPr>
        <w:pStyle w:val="Sinespaciado1"/>
        <w:spacing w:line="360" w:lineRule="auto"/>
        <w:ind w:firstLine="2880"/>
        <w:jc w:val="both"/>
        <w:rPr>
          <w:rFonts w:ascii="Arial" w:hAnsi="Arial" w:cs="Arial"/>
          <w:bCs/>
          <w:sz w:val="24"/>
          <w:szCs w:val="26"/>
        </w:rPr>
      </w:pPr>
      <w:r w:rsidRPr="002A00A4">
        <w:rPr>
          <w:rFonts w:ascii="Arial" w:hAnsi="Arial" w:cs="Arial"/>
          <w:bCs/>
          <w:szCs w:val="26"/>
        </w:rPr>
        <w:t>“LA QUE SE DERIVA DE NO HABERSE PRESENTADO PRUEBA DE LA CALIDAD DE CÓNYUGE”</w:t>
      </w:r>
      <w:r w:rsidR="00E86564">
        <w:rPr>
          <w:rFonts w:ascii="Arial" w:hAnsi="Arial" w:cs="Arial"/>
          <w:bCs/>
          <w:sz w:val="24"/>
          <w:szCs w:val="26"/>
        </w:rPr>
        <w:t xml:space="preserve">. </w:t>
      </w:r>
      <w:r w:rsidR="00E86564">
        <w:rPr>
          <w:rFonts w:ascii="Arial" w:hAnsi="Arial" w:cs="Arial"/>
          <w:bCs/>
          <w:sz w:val="26"/>
          <w:szCs w:val="26"/>
        </w:rPr>
        <w:t xml:space="preserve">Adujo que la </w:t>
      </w:r>
      <w:r w:rsidR="00650185">
        <w:rPr>
          <w:rFonts w:ascii="Arial" w:hAnsi="Arial" w:cs="Arial"/>
          <w:bCs/>
          <w:sz w:val="26"/>
          <w:szCs w:val="26"/>
        </w:rPr>
        <w:t xml:space="preserve">demandante </w:t>
      </w:r>
      <w:r w:rsidR="00E86564">
        <w:rPr>
          <w:rFonts w:ascii="Arial" w:hAnsi="Arial" w:cs="Arial"/>
          <w:bCs/>
          <w:sz w:val="24"/>
          <w:szCs w:val="26"/>
        </w:rPr>
        <w:t>LUZ MARINA MURILLO</w:t>
      </w:r>
      <w:r w:rsidR="00E86564" w:rsidRPr="00E86564">
        <w:rPr>
          <w:rFonts w:ascii="Arial" w:hAnsi="Arial" w:cs="Arial"/>
          <w:bCs/>
          <w:sz w:val="26"/>
          <w:szCs w:val="26"/>
        </w:rPr>
        <w:t xml:space="preserve"> act</w:t>
      </w:r>
      <w:r w:rsidR="00E86564">
        <w:rPr>
          <w:rFonts w:ascii="Arial" w:hAnsi="Arial" w:cs="Arial"/>
          <w:bCs/>
          <w:sz w:val="26"/>
          <w:szCs w:val="26"/>
        </w:rPr>
        <w:t>ú</w:t>
      </w:r>
      <w:r w:rsidR="00E86564" w:rsidRPr="00E86564">
        <w:rPr>
          <w:rFonts w:ascii="Arial" w:hAnsi="Arial" w:cs="Arial"/>
          <w:bCs/>
          <w:sz w:val="26"/>
          <w:szCs w:val="26"/>
        </w:rPr>
        <w:t>a en supuesta calidad de compañera perm</w:t>
      </w:r>
      <w:r w:rsidR="00E86564">
        <w:rPr>
          <w:rFonts w:ascii="Arial" w:hAnsi="Arial" w:cs="Arial"/>
          <w:bCs/>
          <w:sz w:val="26"/>
          <w:szCs w:val="26"/>
        </w:rPr>
        <w:t>a</w:t>
      </w:r>
      <w:r w:rsidR="00E86564" w:rsidRPr="00E86564">
        <w:rPr>
          <w:rFonts w:ascii="Arial" w:hAnsi="Arial" w:cs="Arial"/>
          <w:bCs/>
          <w:sz w:val="26"/>
          <w:szCs w:val="26"/>
        </w:rPr>
        <w:t>nente del señor</w:t>
      </w:r>
      <w:r w:rsidR="00E86564">
        <w:rPr>
          <w:rFonts w:ascii="Arial" w:hAnsi="Arial" w:cs="Arial"/>
          <w:bCs/>
          <w:sz w:val="24"/>
          <w:szCs w:val="26"/>
        </w:rPr>
        <w:t xml:space="preserve"> RAMÓN ELÍAS CANO,</w:t>
      </w:r>
      <w:r w:rsidR="00E86564" w:rsidRPr="00E86564">
        <w:rPr>
          <w:rFonts w:ascii="Arial" w:hAnsi="Arial" w:cs="Arial"/>
          <w:bCs/>
          <w:sz w:val="26"/>
          <w:szCs w:val="26"/>
        </w:rPr>
        <w:t xml:space="preserve"> quien pertenecía a</w:t>
      </w:r>
      <w:r w:rsidR="00E86564">
        <w:rPr>
          <w:rFonts w:ascii="Arial" w:hAnsi="Arial" w:cs="Arial"/>
          <w:bCs/>
          <w:sz w:val="24"/>
          <w:szCs w:val="26"/>
        </w:rPr>
        <w:t xml:space="preserve"> ASOPESCAR,</w:t>
      </w:r>
      <w:r w:rsidR="00E86564" w:rsidRPr="00E86564">
        <w:rPr>
          <w:rFonts w:ascii="Arial" w:hAnsi="Arial" w:cs="Arial"/>
          <w:bCs/>
          <w:sz w:val="26"/>
          <w:szCs w:val="26"/>
        </w:rPr>
        <w:t xml:space="preserve"> demostrando tal calidad a través de una declaración extrajuicio de ella y un testigo.</w:t>
      </w:r>
      <w:r w:rsidR="00E86564">
        <w:rPr>
          <w:rFonts w:ascii="Arial" w:hAnsi="Arial" w:cs="Arial"/>
          <w:bCs/>
          <w:sz w:val="26"/>
          <w:szCs w:val="26"/>
        </w:rPr>
        <w:t xml:space="preserve"> Señala que existe una tarifa legal para la demostración de dicha calidad</w:t>
      </w:r>
      <w:r w:rsidR="00875061">
        <w:rPr>
          <w:rFonts w:ascii="Arial" w:hAnsi="Arial" w:cs="Arial"/>
          <w:bCs/>
          <w:sz w:val="26"/>
          <w:szCs w:val="26"/>
        </w:rPr>
        <w:t xml:space="preserve"> (escritura pública, acta de conciliación y sentencia judicial)</w:t>
      </w:r>
      <w:r w:rsidR="00E86564">
        <w:rPr>
          <w:rFonts w:ascii="Arial" w:hAnsi="Arial" w:cs="Arial"/>
          <w:bCs/>
          <w:sz w:val="26"/>
          <w:szCs w:val="26"/>
        </w:rPr>
        <w:t xml:space="preserve">, </w:t>
      </w:r>
      <w:r w:rsidR="00875061">
        <w:rPr>
          <w:rFonts w:ascii="Arial" w:hAnsi="Arial" w:cs="Arial"/>
          <w:bCs/>
          <w:sz w:val="26"/>
          <w:szCs w:val="26"/>
        </w:rPr>
        <w:t xml:space="preserve">según </w:t>
      </w:r>
      <w:r w:rsidR="00E86564">
        <w:rPr>
          <w:rFonts w:ascii="Arial" w:hAnsi="Arial" w:cs="Arial"/>
          <w:bCs/>
          <w:sz w:val="26"/>
          <w:szCs w:val="26"/>
        </w:rPr>
        <w:t>el artículo 2º de la Ley 979 de 2005, por lo que el despacho j</w:t>
      </w:r>
      <w:r w:rsidR="00875061">
        <w:rPr>
          <w:rFonts w:ascii="Arial" w:hAnsi="Arial" w:cs="Arial"/>
          <w:bCs/>
          <w:sz w:val="26"/>
          <w:szCs w:val="26"/>
        </w:rPr>
        <w:t>udicial no puede acolitar</w:t>
      </w:r>
      <w:r w:rsidR="00E86564">
        <w:rPr>
          <w:rFonts w:ascii="Arial" w:hAnsi="Arial" w:cs="Arial"/>
          <w:bCs/>
          <w:sz w:val="26"/>
          <w:szCs w:val="26"/>
        </w:rPr>
        <w:t xml:space="preserve"> que tal calidad se </w:t>
      </w:r>
      <w:r w:rsidR="00875061">
        <w:rPr>
          <w:rFonts w:ascii="Arial" w:hAnsi="Arial" w:cs="Arial"/>
          <w:bCs/>
          <w:sz w:val="26"/>
          <w:szCs w:val="26"/>
        </w:rPr>
        <w:t xml:space="preserve">acredite con </w:t>
      </w:r>
      <w:r w:rsidR="00E86564">
        <w:rPr>
          <w:rFonts w:ascii="Arial" w:hAnsi="Arial" w:cs="Arial"/>
          <w:bCs/>
          <w:sz w:val="26"/>
          <w:szCs w:val="26"/>
        </w:rPr>
        <w:t>una declaración extrajuicio</w:t>
      </w:r>
      <w:r w:rsidR="002B2D68">
        <w:rPr>
          <w:rFonts w:ascii="Arial" w:hAnsi="Arial" w:cs="Arial"/>
          <w:bCs/>
          <w:sz w:val="24"/>
          <w:szCs w:val="26"/>
        </w:rPr>
        <w:t>.</w:t>
      </w:r>
    </w:p>
    <w:p w:rsidR="00E86564" w:rsidRDefault="00E86564" w:rsidP="00BE1663">
      <w:pPr>
        <w:pStyle w:val="Sinespaciado1"/>
        <w:spacing w:line="360" w:lineRule="auto"/>
        <w:ind w:firstLine="2880"/>
        <w:jc w:val="both"/>
        <w:rPr>
          <w:rFonts w:ascii="Arial" w:hAnsi="Arial" w:cs="Arial"/>
          <w:bCs/>
          <w:sz w:val="24"/>
          <w:szCs w:val="26"/>
        </w:rPr>
      </w:pPr>
    </w:p>
    <w:p w:rsidR="00E86564" w:rsidRPr="002B2D68" w:rsidRDefault="00544A0B" w:rsidP="00BE1663">
      <w:pPr>
        <w:pStyle w:val="Sinespaciado1"/>
        <w:spacing w:line="360" w:lineRule="auto"/>
        <w:ind w:firstLine="2880"/>
        <w:jc w:val="both"/>
        <w:rPr>
          <w:rFonts w:ascii="Arial" w:hAnsi="Arial" w:cs="Arial"/>
          <w:bCs/>
          <w:sz w:val="26"/>
          <w:szCs w:val="26"/>
        </w:rPr>
      </w:pPr>
      <w:r w:rsidRPr="002A00A4">
        <w:rPr>
          <w:rFonts w:ascii="Arial" w:hAnsi="Arial" w:cs="Arial"/>
          <w:bCs/>
          <w:szCs w:val="26"/>
        </w:rPr>
        <w:t>“LA QUE SE DERIVA DE NO HABER COMPRENDIDO LA DEMANDA A TODOS LOS LITISCONSORTES NECESARIOS”</w:t>
      </w:r>
      <w:r w:rsidR="00E86564" w:rsidRPr="002B2D68">
        <w:rPr>
          <w:rFonts w:ascii="Arial" w:hAnsi="Arial" w:cs="Arial"/>
          <w:bCs/>
          <w:sz w:val="26"/>
          <w:szCs w:val="26"/>
        </w:rPr>
        <w:t>. Exige que sea llamado como litisconsorte necesario a la sociedad</w:t>
      </w:r>
      <w:r w:rsidR="00E86564">
        <w:rPr>
          <w:rFonts w:ascii="Arial" w:hAnsi="Arial" w:cs="Arial"/>
          <w:bCs/>
          <w:sz w:val="24"/>
          <w:szCs w:val="26"/>
        </w:rPr>
        <w:t xml:space="preserve"> DANN REGIONAL S.A., </w:t>
      </w:r>
      <w:r w:rsidR="00875061">
        <w:rPr>
          <w:rFonts w:ascii="Arial" w:hAnsi="Arial" w:cs="Arial"/>
          <w:bCs/>
          <w:sz w:val="26"/>
          <w:szCs w:val="26"/>
        </w:rPr>
        <w:t>propietaria</w:t>
      </w:r>
      <w:r w:rsidR="00E86564" w:rsidRPr="002B2D68">
        <w:rPr>
          <w:rFonts w:ascii="Arial" w:hAnsi="Arial" w:cs="Arial"/>
          <w:bCs/>
          <w:sz w:val="26"/>
          <w:szCs w:val="26"/>
        </w:rPr>
        <w:t xml:space="preserve"> del vehículo con placas SNQ</w:t>
      </w:r>
      <w:r w:rsidR="002B2D68" w:rsidRPr="002B2D68">
        <w:rPr>
          <w:rFonts w:ascii="Arial" w:hAnsi="Arial" w:cs="Arial"/>
          <w:bCs/>
          <w:sz w:val="26"/>
          <w:szCs w:val="26"/>
        </w:rPr>
        <w:t xml:space="preserve"> 900, quien puede ser </w:t>
      </w:r>
      <w:r w:rsidR="00875061">
        <w:rPr>
          <w:rFonts w:ascii="Arial" w:hAnsi="Arial" w:cs="Arial"/>
          <w:bCs/>
          <w:sz w:val="26"/>
          <w:szCs w:val="26"/>
        </w:rPr>
        <w:t>eventualmente</w:t>
      </w:r>
      <w:r w:rsidR="002B2D68" w:rsidRPr="002B2D68">
        <w:rPr>
          <w:rFonts w:ascii="Arial" w:hAnsi="Arial" w:cs="Arial"/>
          <w:bCs/>
          <w:sz w:val="26"/>
          <w:szCs w:val="26"/>
        </w:rPr>
        <w:t xml:space="preserve"> responsable</w:t>
      </w:r>
      <w:r w:rsidR="00875061">
        <w:rPr>
          <w:rFonts w:ascii="Arial" w:hAnsi="Arial" w:cs="Arial"/>
          <w:bCs/>
          <w:sz w:val="26"/>
          <w:szCs w:val="26"/>
        </w:rPr>
        <w:t xml:space="preserve"> solidario</w:t>
      </w:r>
      <w:r w:rsidR="002B2D68" w:rsidRPr="002B2D68">
        <w:rPr>
          <w:rFonts w:ascii="Arial" w:hAnsi="Arial" w:cs="Arial"/>
          <w:bCs/>
          <w:sz w:val="26"/>
          <w:szCs w:val="26"/>
        </w:rPr>
        <w:t>.</w:t>
      </w:r>
    </w:p>
    <w:p w:rsidR="00E86564" w:rsidRDefault="00E86564" w:rsidP="00BE1663">
      <w:pPr>
        <w:pStyle w:val="Sinespaciado1"/>
        <w:spacing w:line="360" w:lineRule="auto"/>
        <w:ind w:firstLine="2880"/>
        <w:jc w:val="both"/>
        <w:rPr>
          <w:rFonts w:ascii="Arial" w:hAnsi="Arial" w:cs="Arial"/>
          <w:bCs/>
          <w:sz w:val="24"/>
          <w:szCs w:val="26"/>
        </w:rPr>
      </w:pPr>
    </w:p>
    <w:p w:rsidR="00544A0B" w:rsidRDefault="00544A0B" w:rsidP="00BE1663">
      <w:pPr>
        <w:pStyle w:val="Sinespaciado1"/>
        <w:spacing w:line="360" w:lineRule="auto"/>
        <w:ind w:firstLine="2880"/>
        <w:jc w:val="both"/>
        <w:rPr>
          <w:rFonts w:ascii="Arial" w:hAnsi="Arial" w:cs="Arial"/>
          <w:bCs/>
          <w:sz w:val="26"/>
          <w:szCs w:val="26"/>
        </w:rPr>
      </w:pPr>
      <w:r w:rsidRPr="002A00A4">
        <w:rPr>
          <w:rFonts w:ascii="Arial" w:hAnsi="Arial" w:cs="Arial"/>
          <w:bCs/>
          <w:szCs w:val="26"/>
        </w:rPr>
        <w:t>“LA QUE SE D</w:t>
      </w:r>
      <w:r w:rsidR="00650185" w:rsidRPr="002A00A4">
        <w:rPr>
          <w:rFonts w:ascii="Arial" w:hAnsi="Arial" w:cs="Arial"/>
          <w:bCs/>
          <w:szCs w:val="26"/>
        </w:rPr>
        <w:t>ERIVA DE LA FALTA DE LEGITIMACIÓ</w:t>
      </w:r>
      <w:r w:rsidRPr="002A00A4">
        <w:rPr>
          <w:rFonts w:ascii="Arial" w:hAnsi="Arial" w:cs="Arial"/>
          <w:bCs/>
          <w:szCs w:val="26"/>
        </w:rPr>
        <w:t>N EN LA CAUSA POR ACTIVA DE LOS DEMANDANTES PERSONAS NATURALES Y ASOPESCAR”</w:t>
      </w:r>
      <w:r>
        <w:rPr>
          <w:rFonts w:ascii="Arial" w:hAnsi="Arial" w:cs="Arial"/>
          <w:bCs/>
          <w:sz w:val="26"/>
          <w:szCs w:val="26"/>
        </w:rPr>
        <w:t>.</w:t>
      </w:r>
      <w:r w:rsidR="002B2D68">
        <w:rPr>
          <w:rFonts w:ascii="Arial" w:hAnsi="Arial" w:cs="Arial"/>
          <w:bCs/>
          <w:sz w:val="26"/>
          <w:szCs w:val="26"/>
        </w:rPr>
        <w:t xml:space="preserve"> </w:t>
      </w:r>
      <w:r w:rsidR="00875061">
        <w:rPr>
          <w:rFonts w:ascii="Arial" w:hAnsi="Arial" w:cs="Arial"/>
          <w:bCs/>
          <w:sz w:val="26"/>
          <w:szCs w:val="26"/>
        </w:rPr>
        <w:t>Sostiene que e</w:t>
      </w:r>
      <w:r w:rsidR="002A00A4">
        <w:rPr>
          <w:rFonts w:ascii="Arial" w:hAnsi="Arial" w:cs="Arial"/>
          <w:bCs/>
          <w:sz w:val="26"/>
          <w:szCs w:val="26"/>
        </w:rPr>
        <w:t>l pretendido daño alegado por los</w:t>
      </w:r>
      <w:r w:rsidR="00875061">
        <w:rPr>
          <w:rFonts w:ascii="Arial" w:hAnsi="Arial" w:cs="Arial"/>
          <w:bCs/>
          <w:sz w:val="26"/>
          <w:szCs w:val="26"/>
        </w:rPr>
        <w:t xml:space="preserve"> demandante</w:t>
      </w:r>
      <w:r w:rsidR="002A00A4">
        <w:rPr>
          <w:rFonts w:ascii="Arial" w:hAnsi="Arial" w:cs="Arial"/>
          <w:bCs/>
          <w:sz w:val="26"/>
          <w:szCs w:val="26"/>
        </w:rPr>
        <w:t>s</w:t>
      </w:r>
      <w:r w:rsidR="00875061">
        <w:rPr>
          <w:rFonts w:ascii="Arial" w:hAnsi="Arial" w:cs="Arial"/>
          <w:bCs/>
          <w:sz w:val="26"/>
          <w:szCs w:val="26"/>
        </w:rPr>
        <w:t xml:space="preserve"> solo afectaría a personas que legítimamente pudieren ejercer la actividad pesquera </w:t>
      </w:r>
      <w:r w:rsidR="00650185">
        <w:rPr>
          <w:rFonts w:ascii="Arial" w:hAnsi="Arial" w:cs="Arial"/>
          <w:bCs/>
          <w:sz w:val="26"/>
          <w:szCs w:val="26"/>
        </w:rPr>
        <w:t>artesanal con fines comerciales. S</w:t>
      </w:r>
      <w:r w:rsidR="00875061">
        <w:rPr>
          <w:rFonts w:ascii="Arial" w:hAnsi="Arial" w:cs="Arial"/>
          <w:bCs/>
          <w:sz w:val="26"/>
          <w:szCs w:val="26"/>
        </w:rPr>
        <w:t>iendo claro que en el presente caso ninguno de los accionantes logró acreditar autorización vigente al momento de ocurrencia de los hechos,</w:t>
      </w:r>
      <w:r w:rsidR="002B2D68">
        <w:rPr>
          <w:rFonts w:ascii="Arial" w:hAnsi="Arial" w:cs="Arial"/>
          <w:bCs/>
          <w:sz w:val="26"/>
          <w:szCs w:val="26"/>
        </w:rPr>
        <w:t xml:space="preserve"> no se encuentran legitimados para solicitar indemnización alguna por la presunta afectación a una actividad para </w:t>
      </w:r>
      <w:r w:rsidR="002B2D68">
        <w:rPr>
          <w:rFonts w:ascii="Arial" w:hAnsi="Arial" w:cs="Arial"/>
          <w:bCs/>
          <w:sz w:val="26"/>
          <w:szCs w:val="26"/>
        </w:rPr>
        <w:lastRenderedPageBreak/>
        <w:t>cuya realización</w:t>
      </w:r>
      <w:r w:rsidR="00875061">
        <w:rPr>
          <w:rFonts w:ascii="Arial" w:hAnsi="Arial" w:cs="Arial"/>
          <w:bCs/>
          <w:sz w:val="26"/>
          <w:szCs w:val="26"/>
        </w:rPr>
        <w:t xml:space="preserve"> no</w:t>
      </w:r>
      <w:r w:rsidR="002B2D68">
        <w:rPr>
          <w:rFonts w:ascii="Arial" w:hAnsi="Arial" w:cs="Arial"/>
          <w:bCs/>
          <w:sz w:val="26"/>
          <w:szCs w:val="26"/>
        </w:rPr>
        <w:t xml:space="preserve"> </w:t>
      </w:r>
      <w:r w:rsidR="00875061">
        <w:rPr>
          <w:rFonts w:ascii="Arial" w:hAnsi="Arial" w:cs="Arial"/>
          <w:bCs/>
          <w:sz w:val="26"/>
          <w:szCs w:val="26"/>
        </w:rPr>
        <w:t>s</w:t>
      </w:r>
      <w:r w:rsidR="00650185">
        <w:rPr>
          <w:rFonts w:ascii="Arial" w:hAnsi="Arial" w:cs="Arial"/>
          <w:bCs/>
          <w:sz w:val="26"/>
          <w:szCs w:val="26"/>
        </w:rPr>
        <w:t>e encontraban autorizados;</w:t>
      </w:r>
      <w:r w:rsidR="002A00A4">
        <w:rPr>
          <w:rFonts w:ascii="Arial" w:hAnsi="Arial" w:cs="Arial"/>
          <w:bCs/>
          <w:sz w:val="26"/>
          <w:szCs w:val="26"/>
        </w:rPr>
        <w:t xml:space="preserve"> la L</w:t>
      </w:r>
      <w:r w:rsidR="002B2D68">
        <w:rPr>
          <w:rFonts w:ascii="Arial" w:hAnsi="Arial" w:cs="Arial"/>
          <w:bCs/>
          <w:sz w:val="26"/>
          <w:szCs w:val="26"/>
        </w:rPr>
        <w:t xml:space="preserve">ey </w:t>
      </w:r>
      <w:r w:rsidR="002A00A4">
        <w:rPr>
          <w:rFonts w:ascii="Arial" w:hAnsi="Arial" w:cs="Arial"/>
          <w:bCs/>
          <w:sz w:val="26"/>
          <w:szCs w:val="26"/>
        </w:rPr>
        <w:t xml:space="preserve">13 de 1990 (Estatuto General de Pesca) </w:t>
      </w:r>
      <w:r w:rsidR="002B2D68">
        <w:rPr>
          <w:rFonts w:ascii="Arial" w:hAnsi="Arial" w:cs="Arial"/>
          <w:bCs/>
          <w:sz w:val="26"/>
          <w:szCs w:val="26"/>
        </w:rPr>
        <w:t>es clara al expresar que se requiere de esta</w:t>
      </w:r>
      <w:r w:rsidR="002A00A4">
        <w:rPr>
          <w:rFonts w:ascii="Arial" w:hAnsi="Arial" w:cs="Arial"/>
          <w:bCs/>
          <w:sz w:val="26"/>
          <w:szCs w:val="26"/>
        </w:rPr>
        <w:t>.</w:t>
      </w:r>
    </w:p>
    <w:p w:rsidR="00544A0B" w:rsidRDefault="00544A0B" w:rsidP="00BE1663">
      <w:pPr>
        <w:pStyle w:val="Sinespaciado1"/>
        <w:spacing w:line="360" w:lineRule="auto"/>
        <w:ind w:firstLine="2880"/>
        <w:jc w:val="both"/>
        <w:rPr>
          <w:rFonts w:ascii="Arial" w:hAnsi="Arial" w:cs="Arial"/>
          <w:bCs/>
          <w:sz w:val="26"/>
          <w:szCs w:val="26"/>
        </w:rPr>
      </w:pPr>
    </w:p>
    <w:p w:rsidR="0024108A" w:rsidRDefault="00544A0B" w:rsidP="00BE1663">
      <w:pPr>
        <w:pStyle w:val="Sinespaciado1"/>
        <w:spacing w:line="360" w:lineRule="auto"/>
        <w:ind w:firstLine="2880"/>
        <w:jc w:val="both"/>
        <w:rPr>
          <w:rFonts w:ascii="Arial" w:hAnsi="Arial" w:cs="Arial"/>
          <w:bCs/>
          <w:sz w:val="26"/>
          <w:szCs w:val="26"/>
        </w:rPr>
      </w:pPr>
      <w:r>
        <w:rPr>
          <w:rFonts w:ascii="Arial" w:hAnsi="Arial" w:cs="Arial"/>
          <w:bCs/>
          <w:sz w:val="26"/>
          <w:szCs w:val="26"/>
        </w:rPr>
        <w:t>2. P</w:t>
      </w:r>
      <w:r w:rsidR="00BE1663" w:rsidRPr="001F5E5A">
        <w:rPr>
          <w:rFonts w:ascii="Arial" w:hAnsi="Arial" w:cs="Arial"/>
          <w:bCs/>
          <w:sz w:val="26"/>
          <w:szCs w:val="26"/>
        </w:rPr>
        <w:t>or med</w:t>
      </w:r>
      <w:r w:rsidR="00BE1663">
        <w:rPr>
          <w:rFonts w:ascii="Arial" w:hAnsi="Arial" w:cs="Arial"/>
          <w:bCs/>
          <w:sz w:val="26"/>
          <w:szCs w:val="26"/>
        </w:rPr>
        <w:t xml:space="preserve">io del auto apelado, la jueza </w:t>
      </w:r>
      <w:r w:rsidR="00BE1663" w:rsidRPr="00141725">
        <w:rPr>
          <w:rFonts w:ascii="Arial" w:hAnsi="Arial" w:cs="Arial"/>
          <w:bCs/>
          <w:i/>
          <w:sz w:val="26"/>
          <w:szCs w:val="26"/>
        </w:rPr>
        <w:t>a quo</w:t>
      </w:r>
      <w:r w:rsidR="00BE1663">
        <w:rPr>
          <w:rFonts w:ascii="Arial" w:hAnsi="Arial" w:cs="Arial"/>
          <w:bCs/>
          <w:sz w:val="26"/>
          <w:szCs w:val="26"/>
        </w:rPr>
        <w:t xml:space="preserve"> </w:t>
      </w:r>
      <w:r>
        <w:rPr>
          <w:rFonts w:ascii="Arial" w:hAnsi="Arial" w:cs="Arial"/>
          <w:bCs/>
          <w:sz w:val="26"/>
          <w:szCs w:val="26"/>
        </w:rPr>
        <w:t xml:space="preserve">declaró imprósperas la primera y tercera </w:t>
      </w:r>
      <w:r w:rsidR="009D3DC8">
        <w:rPr>
          <w:rFonts w:ascii="Arial" w:hAnsi="Arial" w:cs="Arial"/>
          <w:bCs/>
          <w:sz w:val="26"/>
          <w:szCs w:val="26"/>
        </w:rPr>
        <w:t xml:space="preserve">excepciones </w:t>
      </w:r>
      <w:r>
        <w:rPr>
          <w:rFonts w:ascii="Arial" w:hAnsi="Arial" w:cs="Arial"/>
          <w:bCs/>
          <w:sz w:val="26"/>
          <w:szCs w:val="26"/>
        </w:rPr>
        <w:t>y probada la segunda.</w:t>
      </w:r>
      <w:r w:rsidR="00AB7786">
        <w:rPr>
          <w:rFonts w:ascii="Arial" w:hAnsi="Arial" w:cs="Arial"/>
          <w:bCs/>
          <w:sz w:val="26"/>
          <w:szCs w:val="26"/>
        </w:rPr>
        <w:t xml:space="preserve"> </w:t>
      </w:r>
      <w:r w:rsidR="00BE1663" w:rsidRPr="001F5E5A">
        <w:rPr>
          <w:rFonts w:ascii="Arial" w:hAnsi="Arial" w:cs="Arial"/>
          <w:bCs/>
          <w:sz w:val="26"/>
          <w:szCs w:val="26"/>
        </w:rPr>
        <w:t xml:space="preserve"> </w:t>
      </w:r>
      <w:r w:rsidR="0024108A">
        <w:rPr>
          <w:rFonts w:ascii="Arial" w:hAnsi="Arial" w:cs="Arial"/>
          <w:bCs/>
          <w:sz w:val="26"/>
          <w:szCs w:val="26"/>
        </w:rPr>
        <w:t xml:space="preserve">Con respecto a la primera de ellas dijo que, con las pruebas aportadas, se puede deducir que Luz Marina y Ramón Elías eran reconocidos en La Virginia como pareja; además Luz Marina con la copia del carné de pesca artesanal que obra en el proceso, la habilita por sí sola para aparecer como otra de las accionantes dentro de estas diligencias.  En relación con la tercera, </w:t>
      </w:r>
      <w:r w:rsidR="006550D5">
        <w:rPr>
          <w:rFonts w:ascii="Arial" w:hAnsi="Arial" w:cs="Arial"/>
          <w:bCs/>
          <w:sz w:val="26"/>
          <w:szCs w:val="26"/>
        </w:rPr>
        <w:t>señaló que en tratándose de este tipo de acciones colectivas, las personas que quieran ser parte del grupo, tiene</w:t>
      </w:r>
      <w:r w:rsidR="00650185">
        <w:rPr>
          <w:rFonts w:ascii="Arial" w:hAnsi="Arial" w:cs="Arial"/>
          <w:bCs/>
          <w:sz w:val="26"/>
          <w:szCs w:val="26"/>
        </w:rPr>
        <w:t>n</w:t>
      </w:r>
      <w:r w:rsidR="006550D5">
        <w:rPr>
          <w:rFonts w:ascii="Arial" w:hAnsi="Arial" w:cs="Arial"/>
          <w:bCs/>
          <w:sz w:val="26"/>
          <w:szCs w:val="26"/>
        </w:rPr>
        <w:t xml:space="preserve"> oportunidad de hacerlo por escrito y hasta antes de proferirse el decreto de pruebas.</w:t>
      </w:r>
    </w:p>
    <w:p w:rsidR="0024108A" w:rsidRDefault="0024108A" w:rsidP="00BE1663">
      <w:pPr>
        <w:pStyle w:val="Sinespaciado1"/>
        <w:spacing w:line="360" w:lineRule="auto"/>
        <w:ind w:firstLine="2880"/>
        <w:jc w:val="both"/>
        <w:rPr>
          <w:rFonts w:ascii="Arial" w:hAnsi="Arial" w:cs="Arial"/>
          <w:bCs/>
          <w:sz w:val="26"/>
          <w:szCs w:val="26"/>
        </w:rPr>
      </w:pPr>
    </w:p>
    <w:p w:rsidR="000534F2" w:rsidRDefault="006550D5" w:rsidP="000534F2">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3. </w:t>
      </w:r>
      <w:r w:rsidR="00BE1663">
        <w:rPr>
          <w:rFonts w:ascii="Arial" w:hAnsi="Arial" w:cs="Arial"/>
          <w:bCs/>
          <w:sz w:val="26"/>
          <w:szCs w:val="26"/>
        </w:rPr>
        <w:t>El vocero judicial</w:t>
      </w:r>
      <w:r>
        <w:rPr>
          <w:rFonts w:ascii="Arial" w:hAnsi="Arial" w:cs="Arial"/>
          <w:bCs/>
          <w:sz w:val="26"/>
          <w:szCs w:val="26"/>
        </w:rPr>
        <w:t xml:space="preserve"> de</w:t>
      </w:r>
      <w:r w:rsidR="00BE1663">
        <w:rPr>
          <w:rFonts w:ascii="Arial" w:hAnsi="Arial" w:cs="Arial"/>
          <w:bCs/>
          <w:sz w:val="26"/>
          <w:szCs w:val="26"/>
        </w:rPr>
        <w:t xml:space="preserve"> </w:t>
      </w:r>
      <w:r w:rsidR="00AB7786" w:rsidRPr="006550D5">
        <w:rPr>
          <w:rFonts w:ascii="Arial" w:hAnsi="Arial" w:cs="Arial"/>
          <w:bCs/>
          <w:sz w:val="24"/>
          <w:szCs w:val="24"/>
        </w:rPr>
        <w:t>LIANCAR</w:t>
      </w:r>
      <w:r w:rsidR="00AB7786">
        <w:rPr>
          <w:rFonts w:ascii="Arial" w:hAnsi="Arial" w:cs="Arial"/>
          <w:bCs/>
          <w:sz w:val="26"/>
          <w:szCs w:val="26"/>
        </w:rPr>
        <w:t xml:space="preserve"> </w:t>
      </w:r>
      <w:r>
        <w:rPr>
          <w:rFonts w:ascii="Arial" w:hAnsi="Arial" w:cs="Arial"/>
          <w:bCs/>
          <w:sz w:val="26"/>
          <w:szCs w:val="26"/>
        </w:rPr>
        <w:t xml:space="preserve">repuso y en subsidio </w:t>
      </w:r>
      <w:r w:rsidR="00BE1663">
        <w:rPr>
          <w:rFonts w:ascii="Arial" w:hAnsi="Arial" w:cs="Arial"/>
          <w:bCs/>
          <w:sz w:val="26"/>
          <w:szCs w:val="26"/>
        </w:rPr>
        <w:t>apeló,</w:t>
      </w:r>
      <w:r w:rsidR="00BE1663" w:rsidRPr="001F5E5A">
        <w:rPr>
          <w:rFonts w:ascii="Arial" w:hAnsi="Arial" w:cs="Arial"/>
          <w:bCs/>
          <w:sz w:val="26"/>
          <w:szCs w:val="26"/>
        </w:rPr>
        <w:t xml:space="preserve"> </w:t>
      </w:r>
      <w:r w:rsidR="00BE1663">
        <w:rPr>
          <w:rFonts w:ascii="Arial" w:hAnsi="Arial" w:cs="Arial"/>
          <w:bCs/>
          <w:sz w:val="26"/>
          <w:szCs w:val="26"/>
        </w:rPr>
        <w:t xml:space="preserve">argumentando que </w:t>
      </w:r>
      <w:r>
        <w:rPr>
          <w:rFonts w:ascii="Arial" w:hAnsi="Arial" w:cs="Arial"/>
          <w:bCs/>
          <w:sz w:val="26"/>
          <w:szCs w:val="26"/>
        </w:rPr>
        <w:t>es deber del despacho conocer y aplicar íntegro el marco jurídico que rige la actividad pesquera; en el caso que nos ocupa, sostiene, es claro y evidente que las partes demandantes tienen una pretensión indemnizatoria que derivan de su condición de pescadores artesanales con fines comerciales, luego lo mínimo que se tiene que acreditar es la autorización para el ejercicio lícito de esa actividad, sujeta a licencia, al momento de los hechos.</w:t>
      </w:r>
      <w:r w:rsidR="000534F2">
        <w:rPr>
          <w:rFonts w:ascii="Arial" w:hAnsi="Arial" w:cs="Arial"/>
          <w:bCs/>
          <w:sz w:val="26"/>
          <w:szCs w:val="26"/>
        </w:rPr>
        <w:t xml:space="preserve"> Alega que el juzgado no hizo el análisis probatorio de que trata el numeral 6 del artículo 99 del C.P.C.</w:t>
      </w:r>
    </w:p>
    <w:p w:rsidR="00BE1663" w:rsidRDefault="00BE1663" w:rsidP="00BE1663">
      <w:pPr>
        <w:pStyle w:val="Sinespaciado1"/>
        <w:spacing w:line="360" w:lineRule="auto"/>
        <w:ind w:firstLine="2880"/>
        <w:jc w:val="both"/>
        <w:rPr>
          <w:rFonts w:ascii="Arial" w:hAnsi="Arial" w:cs="Arial"/>
          <w:bCs/>
          <w:sz w:val="26"/>
          <w:szCs w:val="26"/>
        </w:rPr>
      </w:pPr>
    </w:p>
    <w:p w:rsidR="002A00A4" w:rsidRDefault="000534F2" w:rsidP="002A00A4">
      <w:pPr>
        <w:pStyle w:val="Sinespaciado1"/>
        <w:spacing w:line="360" w:lineRule="auto"/>
        <w:ind w:firstLine="2880"/>
        <w:jc w:val="both"/>
        <w:rPr>
          <w:rFonts w:ascii="Arial" w:hAnsi="Arial" w:cs="Arial"/>
          <w:bCs/>
          <w:sz w:val="26"/>
          <w:szCs w:val="26"/>
        </w:rPr>
      </w:pPr>
      <w:r>
        <w:rPr>
          <w:rFonts w:ascii="Arial" w:hAnsi="Arial" w:cs="Arial"/>
          <w:bCs/>
          <w:sz w:val="26"/>
          <w:szCs w:val="26"/>
        </w:rPr>
        <w:t>4</w:t>
      </w:r>
      <w:r w:rsidR="009D3DC8">
        <w:rPr>
          <w:rFonts w:ascii="Arial" w:hAnsi="Arial" w:cs="Arial"/>
          <w:bCs/>
          <w:sz w:val="26"/>
          <w:szCs w:val="26"/>
        </w:rPr>
        <w:t xml:space="preserve">. </w:t>
      </w:r>
      <w:r w:rsidR="00BE1663">
        <w:rPr>
          <w:rFonts w:ascii="Arial" w:hAnsi="Arial" w:cs="Arial"/>
          <w:bCs/>
          <w:sz w:val="26"/>
          <w:szCs w:val="26"/>
        </w:rPr>
        <w:t>El juzgado</w:t>
      </w:r>
      <w:r>
        <w:rPr>
          <w:rFonts w:ascii="Arial" w:hAnsi="Arial" w:cs="Arial"/>
          <w:bCs/>
          <w:sz w:val="26"/>
          <w:szCs w:val="26"/>
        </w:rPr>
        <w:t xml:space="preserve"> decidió no reponer la providencia</w:t>
      </w:r>
      <w:r w:rsidR="00BE1663">
        <w:rPr>
          <w:rFonts w:ascii="Arial" w:hAnsi="Arial" w:cs="Arial"/>
          <w:bCs/>
          <w:sz w:val="26"/>
          <w:szCs w:val="26"/>
        </w:rPr>
        <w:t xml:space="preserve">, </w:t>
      </w:r>
      <w:r>
        <w:rPr>
          <w:rFonts w:ascii="Arial" w:hAnsi="Arial" w:cs="Arial"/>
          <w:bCs/>
          <w:sz w:val="26"/>
          <w:szCs w:val="26"/>
        </w:rPr>
        <w:t>con argumentos similares a los expuestos al decidir las excepciones previas.</w:t>
      </w:r>
    </w:p>
    <w:p w:rsidR="002A00A4" w:rsidRPr="001F5E5A" w:rsidRDefault="002A00A4" w:rsidP="002A00A4">
      <w:pPr>
        <w:pStyle w:val="Sinespaciado1"/>
        <w:spacing w:line="360" w:lineRule="auto"/>
        <w:ind w:firstLine="2880"/>
        <w:jc w:val="both"/>
        <w:rPr>
          <w:rFonts w:ascii="Arial" w:hAnsi="Arial" w:cs="Arial"/>
          <w:bCs/>
          <w:sz w:val="26"/>
          <w:szCs w:val="26"/>
        </w:rPr>
      </w:pPr>
    </w:p>
    <w:p w:rsidR="00BE1663" w:rsidRPr="001F5E5A" w:rsidRDefault="00BE1663" w:rsidP="00BE1663">
      <w:pPr>
        <w:pStyle w:val="Sinespaciado1"/>
        <w:spacing w:line="360" w:lineRule="auto"/>
        <w:ind w:firstLine="2880"/>
        <w:jc w:val="both"/>
        <w:rPr>
          <w:rFonts w:ascii="Arial" w:hAnsi="Arial" w:cs="Arial"/>
          <w:b/>
          <w:spacing w:val="-3"/>
          <w:sz w:val="26"/>
          <w:szCs w:val="26"/>
        </w:rPr>
      </w:pPr>
      <w:r w:rsidRPr="001F5E5A">
        <w:rPr>
          <w:rFonts w:ascii="Arial" w:hAnsi="Arial" w:cs="Arial"/>
          <w:b/>
          <w:bCs/>
          <w:sz w:val="26"/>
          <w:szCs w:val="26"/>
        </w:rPr>
        <w:t>III.</w:t>
      </w:r>
      <w:r w:rsidRPr="001F5E5A">
        <w:rPr>
          <w:rFonts w:ascii="Arial" w:hAnsi="Arial" w:cs="Arial"/>
          <w:b/>
          <w:spacing w:val="-3"/>
          <w:sz w:val="26"/>
          <w:szCs w:val="26"/>
        </w:rPr>
        <w:t xml:space="preserve"> Consideraciones</w:t>
      </w:r>
    </w:p>
    <w:p w:rsidR="00BE1663" w:rsidRPr="001F5E5A" w:rsidRDefault="00BE1663" w:rsidP="00BE1663">
      <w:pPr>
        <w:pStyle w:val="Sinespaciado1"/>
        <w:spacing w:line="360" w:lineRule="auto"/>
        <w:ind w:firstLine="2880"/>
        <w:jc w:val="both"/>
        <w:rPr>
          <w:rFonts w:ascii="Arial" w:hAnsi="Arial" w:cs="Arial"/>
          <w:b/>
          <w:spacing w:val="-3"/>
          <w:sz w:val="26"/>
          <w:szCs w:val="26"/>
        </w:rPr>
      </w:pPr>
    </w:p>
    <w:p w:rsidR="00BE1663" w:rsidRDefault="00BE1663" w:rsidP="00BE1663">
      <w:pPr>
        <w:pStyle w:val="Sinespaciado1"/>
        <w:spacing w:line="360" w:lineRule="auto"/>
        <w:ind w:firstLine="2880"/>
        <w:jc w:val="both"/>
      </w:pPr>
      <w:r w:rsidRPr="001F5E5A">
        <w:rPr>
          <w:rFonts w:ascii="Arial" w:hAnsi="Arial" w:cs="Arial"/>
          <w:bCs/>
          <w:sz w:val="26"/>
          <w:szCs w:val="26"/>
        </w:rPr>
        <w:t>1. El auto recurrido es apelab</w:t>
      </w:r>
      <w:r w:rsidR="00D14FA1">
        <w:rPr>
          <w:rFonts w:ascii="Arial" w:hAnsi="Arial" w:cs="Arial"/>
          <w:bCs/>
          <w:sz w:val="26"/>
          <w:szCs w:val="26"/>
        </w:rPr>
        <w:t>le, por virtud del artículo 99</w:t>
      </w:r>
      <w:r w:rsidRPr="001F5E5A">
        <w:rPr>
          <w:rFonts w:ascii="Arial" w:hAnsi="Arial" w:cs="Arial"/>
          <w:bCs/>
          <w:sz w:val="26"/>
          <w:szCs w:val="26"/>
        </w:rPr>
        <w:t xml:space="preserve"> del C.P.C.  </w:t>
      </w:r>
      <w:r w:rsidRPr="001F5E5A">
        <w:rPr>
          <w:rFonts w:ascii="Arial" w:hAnsi="Arial" w:cs="Arial"/>
          <w:sz w:val="26"/>
          <w:szCs w:val="26"/>
        </w:rPr>
        <w:t xml:space="preserve">De otro lado, esta Corporación tiene competencia para </w:t>
      </w:r>
      <w:r w:rsidRPr="001F5E5A">
        <w:rPr>
          <w:rFonts w:ascii="Arial" w:hAnsi="Arial" w:cs="Arial"/>
          <w:sz w:val="26"/>
          <w:szCs w:val="26"/>
        </w:rPr>
        <w:lastRenderedPageBreak/>
        <w:t>conocer del recurso vertical</w:t>
      </w:r>
      <w:r>
        <w:rPr>
          <w:rFonts w:ascii="Arial" w:hAnsi="Arial" w:cs="Arial"/>
          <w:sz w:val="26"/>
          <w:szCs w:val="26"/>
        </w:rPr>
        <w:t>,</w:t>
      </w:r>
      <w:r w:rsidRPr="001F5E5A">
        <w:rPr>
          <w:rFonts w:ascii="Arial" w:hAnsi="Arial" w:cs="Arial"/>
          <w:sz w:val="26"/>
          <w:szCs w:val="26"/>
        </w:rPr>
        <w:t xml:space="preserve"> ya que es el superior funcional del Juzgado que</w:t>
      </w:r>
      <w:r>
        <w:rPr>
          <w:rFonts w:ascii="Arial" w:hAnsi="Arial" w:cs="Arial"/>
          <w:sz w:val="26"/>
          <w:szCs w:val="26"/>
        </w:rPr>
        <w:t xml:space="preserve"> dictó la providencia confutada, además, ha sido debidamente sustentado</w:t>
      </w:r>
      <w:r w:rsidR="00650185">
        <w:rPr>
          <w:rFonts w:ascii="Arial" w:hAnsi="Arial" w:cs="Arial"/>
          <w:sz w:val="26"/>
          <w:szCs w:val="26"/>
        </w:rPr>
        <w:t xml:space="preserve"> por la parte que se considera afectada</w:t>
      </w:r>
      <w:r>
        <w:rPr>
          <w:rFonts w:ascii="Arial" w:hAnsi="Arial" w:cs="Arial"/>
          <w:sz w:val="26"/>
          <w:szCs w:val="26"/>
        </w:rPr>
        <w:t>.</w:t>
      </w:r>
      <w:r w:rsidRPr="002B5862">
        <w:t xml:space="preserve"> </w:t>
      </w:r>
    </w:p>
    <w:p w:rsidR="00BE1663" w:rsidRPr="001F5E5A" w:rsidRDefault="00BE1663" w:rsidP="00BE1663">
      <w:pPr>
        <w:pStyle w:val="Sinespaciado1"/>
        <w:spacing w:line="360" w:lineRule="auto"/>
        <w:ind w:firstLine="2880"/>
        <w:jc w:val="both"/>
        <w:rPr>
          <w:rFonts w:ascii="Arial" w:hAnsi="Arial" w:cs="Arial"/>
          <w:sz w:val="26"/>
          <w:szCs w:val="26"/>
        </w:rPr>
      </w:pPr>
    </w:p>
    <w:p w:rsidR="00C62646" w:rsidRDefault="00BE1663" w:rsidP="00BE1663">
      <w:pPr>
        <w:pStyle w:val="Sinespaciado1"/>
        <w:spacing w:line="360" w:lineRule="auto"/>
        <w:ind w:firstLine="2880"/>
        <w:jc w:val="both"/>
        <w:rPr>
          <w:rFonts w:ascii="Arial" w:hAnsi="Arial" w:cs="Arial"/>
          <w:bCs/>
          <w:sz w:val="26"/>
          <w:szCs w:val="26"/>
        </w:rPr>
      </w:pPr>
      <w:r w:rsidRPr="001F5E5A">
        <w:rPr>
          <w:rFonts w:ascii="Arial" w:hAnsi="Arial" w:cs="Arial"/>
          <w:sz w:val="26"/>
          <w:szCs w:val="26"/>
        </w:rPr>
        <w:t xml:space="preserve">2. </w:t>
      </w:r>
      <w:r w:rsidR="001344E1">
        <w:rPr>
          <w:rFonts w:ascii="Arial" w:hAnsi="Arial" w:cs="Arial"/>
          <w:sz w:val="26"/>
          <w:szCs w:val="26"/>
        </w:rPr>
        <w:t>Admitida y notificada la demanda, el apoderado de</w:t>
      </w:r>
      <w:r w:rsidR="001344E1" w:rsidRPr="001344E1">
        <w:rPr>
          <w:rFonts w:ascii="Arial" w:hAnsi="Arial" w:cs="Arial"/>
          <w:bCs/>
          <w:sz w:val="24"/>
          <w:szCs w:val="26"/>
        </w:rPr>
        <w:t xml:space="preserve"> </w:t>
      </w:r>
      <w:r w:rsidR="001344E1" w:rsidRPr="00544A0B">
        <w:rPr>
          <w:rFonts w:ascii="Arial" w:hAnsi="Arial" w:cs="Arial"/>
          <w:bCs/>
          <w:sz w:val="24"/>
          <w:szCs w:val="26"/>
        </w:rPr>
        <w:t>LIANCAR</w:t>
      </w:r>
      <w:r w:rsidR="001344E1">
        <w:rPr>
          <w:rFonts w:ascii="Arial" w:hAnsi="Arial" w:cs="Arial"/>
          <w:bCs/>
          <w:sz w:val="26"/>
          <w:szCs w:val="26"/>
        </w:rPr>
        <w:t xml:space="preserve"> propuso las excepciones previas que ya mencionamos, siendo declaradas </w:t>
      </w:r>
      <w:r w:rsidR="00C62646">
        <w:rPr>
          <w:rFonts w:ascii="Arial" w:hAnsi="Arial" w:cs="Arial"/>
          <w:bCs/>
          <w:sz w:val="26"/>
          <w:szCs w:val="26"/>
        </w:rPr>
        <w:t>imprósperas</w:t>
      </w:r>
      <w:r w:rsidR="001344E1">
        <w:rPr>
          <w:rFonts w:ascii="Arial" w:hAnsi="Arial" w:cs="Arial"/>
          <w:bCs/>
          <w:sz w:val="26"/>
          <w:szCs w:val="26"/>
        </w:rPr>
        <w:t xml:space="preserve"> las de</w:t>
      </w:r>
      <w:r w:rsidR="00C62646">
        <w:rPr>
          <w:rFonts w:ascii="Arial" w:hAnsi="Arial" w:cs="Arial"/>
          <w:bCs/>
          <w:sz w:val="26"/>
          <w:szCs w:val="26"/>
        </w:rPr>
        <w:t xml:space="preserve"> </w:t>
      </w:r>
      <w:r w:rsidR="00C62646" w:rsidRPr="00544A0B">
        <w:rPr>
          <w:rFonts w:ascii="Arial" w:hAnsi="Arial" w:cs="Arial"/>
          <w:bCs/>
          <w:sz w:val="24"/>
          <w:szCs w:val="26"/>
        </w:rPr>
        <w:t>“NO HABERSE PRESENTADO PRUEBA DE LA CALIDAD DE CÓNYUGE”</w:t>
      </w:r>
      <w:r w:rsidR="00C62646">
        <w:rPr>
          <w:rFonts w:ascii="Arial" w:hAnsi="Arial" w:cs="Arial"/>
          <w:bCs/>
          <w:sz w:val="24"/>
          <w:szCs w:val="26"/>
        </w:rPr>
        <w:t xml:space="preserve"> y </w:t>
      </w:r>
      <w:r w:rsidR="00C62646" w:rsidRPr="00544A0B">
        <w:rPr>
          <w:rFonts w:ascii="Arial" w:hAnsi="Arial" w:cs="Arial"/>
          <w:bCs/>
          <w:sz w:val="24"/>
          <w:szCs w:val="26"/>
        </w:rPr>
        <w:t>“FALTA DE LEGITIMACI</w:t>
      </w:r>
      <w:r w:rsidR="00C62646">
        <w:rPr>
          <w:rFonts w:ascii="Arial" w:hAnsi="Arial" w:cs="Arial"/>
          <w:bCs/>
          <w:sz w:val="24"/>
          <w:szCs w:val="26"/>
        </w:rPr>
        <w:t>Ó</w:t>
      </w:r>
      <w:r w:rsidR="00C62646" w:rsidRPr="00544A0B">
        <w:rPr>
          <w:rFonts w:ascii="Arial" w:hAnsi="Arial" w:cs="Arial"/>
          <w:bCs/>
          <w:sz w:val="24"/>
          <w:szCs w:val="26"/>
        </w:rPr>
        <w:t>N EN LA CAUSA POR ACTIVA DE LOS DEMANDANTES”</w:t>
      </w:r>
      <w:r w:rsidR="00C62646">
        <w:rPr>
          <w:rFonts w:ascii="Arial" w:hAnsi="Arial" w:cs="Arial"/>
          <w:bCs/>
          <w:sz w:val="24"/>
          <w:szCs w:val="26"/>
        </w:rPr>
        <w:t>.</w:t>
      </w:r>
      <w:r w:rsidR="001344E1">
        <w:rPr>
          <w:rFonts w:ascii="Arial" w:hAnsi="Arial" w:cs="Arial"/>
          <w:bCs/>
          <w:sz w:val="26"/>
          <w:szCs w:val="26"/>
        </w:rPr>
        <w:t xml:space="preserve"> E</w:t>
      </w:r>
      <w:r w:rsidR="00650185">
        <w:rPr>
          <w:rFonts w:ascii="Arial" w:hAnsi="Arial" w:cs="Arial"/>
          <w:bCs/>
          <w:sz w:val="26"/>
          <w:szCs w:val="26"/>
        </w:rPr>
        <w:t xml:space="preserve">n la sustentación </w:t>
      </w:r>
      <w:r w:rsidR="00C62646">
        <w:rPr>
          <w:rFonts w:ascii="Arial" w:hAnsi="Arial" w:cs="Arial"/>
          <w:bCs/>
          <w:sz w:val="26"/>
          <w:szCs w:val="26"/>
        </w:rPr>
        <w:t xml:space="preserve">del recurso, el </w:t>
      </w:r>
      <w:r w:rsidR="00650185">
        <w:rPr>
          <w:rFonts w:ascii="Arial" w:hAnsi="Arial" w:cs="Arial"/>
          <w:bCs/>
          <w:sz w:val="26"/>
          <w:szCs w:val="26"/>
        </w:rPr>
        <w:t xml:space="preserve">apelante </w:t>
      </w:r>
      <w:r w:rsidR="00C62646">
        <w:rPr>
          <w:rFonts w:ascii="Arial" w:hAnsi="Arial" w:cs="Arial"/>
          <w:bCs/>
          <w:sz w:val="26"/>
          <w:szCs w:val="26"/>
        </w:rPr>
        <w:t xml:space="preserve">solo muestra inconformidad frente a la </w:t>
      </w:r>
      <w:r w:rsidR="00650185">
        <w:rPr>
          <w:rFonts w:ascii="Arial" w:hAnsi="Arial" w:cs="Arial"/>
          <w:bCs/>
          <w:sz w:val="26"/>
          <w:szCs w:val="26"/>
        </w:rPr>
        <w:t xml:space="preserve">decisión </w:t>
      </w:r>
      <w:r w:rsidR="00EE61A5">
        <w:rPr>
          <w:rFonts w:ascii="Arial" w:hAnsi="Arial" w:cs="Arial"/>
          <w:bCs/>
          <w:sz w:val="26"/>
          <w:szCs w:val="26"/>
        </w:rPr>
        <w:t xml:space="preserve">tomada respecto de la </w:t>
      </w:r>
      <w:r w:rsidR="00C62646">
        <w:rPr>
          <w:rFonts w:ascii="Arial" w:hAnsi="Arial" w:cs="Arial"/>
          <w:bCs/>
          <w:sz w:val="26"/>
          <w:szCs w:val="26"/>
        </w:rPr>
        <w:t>última de las nombradas.</w:t>
      </w:r>
    </w:p>
    <w:p w:rsidR="00BE1663" w:rsidRDefault="00C62646" w:rsidP="00BE1663">
      <w:pPr>
        <w:pStyle w:val="Sinespaciado1"/>
        <w:spacing w:line="360" w:lineRule="auto"/>
        <w:ind w:firstLine="2880"/>
        <w:jc w:val="both"/>
        <w:rPr>
          <w:rFonts w:ascii="Arial" w:hAnsi="Arial" w:cs="Arial"/>
          <w:sz w:val="26"/>
          <w:szCs w:val="26"/>
        </w:rPr>
      </w:pPr>
      <w:r>
        <w:rPr>
          <w:rFonts w:ascii="Arial" w:hAnsi="Arial" w:cs="Arial"/>
          <w:sz w:val="26"/>
          <w:szCs w:val="26"/>
        </w:rPr>
        <w:t xml:space="preserve"> </w:t>
      </w:r>
    </w:p>
    <w:p w:rsidR="00BE1663" w:rsidRPr="00B46193" w:rsidRDefault="00A0204B" w:rsidP="00BE1663">
      <w:pPr>
        <w:pStyle w:val="Sinespaciado1"/>
        <w:spacing w:line="360" w:lineRule="auto"/>
        <w:ind w:firstLine="2880"/>
        <w:jc w:val="both"/>
        <w:rPr>
          <w:rFonts w:ascii="Arial" w:hAnsi="Arial" w:cs="Arial"/>
          <w:sz w:val="26"/>
          <w:szCs w:val="26"/>
        </w:rPr>
      </w:pPr>
      <w:r>
        <w:rPr>
          <w:rFonts w:ascii="Arial" w:hAnsi="Arial" w:cs="Arial"/>
          <w:sz w:val="26"/>
          <w:szCs w:val="26"/>
        </w:rPr>
        <w:t>3</w:t>
      </w:r>
      <w:r w:rsidR="00BE1663">
        <w:rPr>
          <w:rFonts w:ascii="Arial" w:hAnsi="Arial" w:cs="Arial"/>
          <w:sz w:val="26"/>
          <w:szCs w:val="26"/>
        </w:rPr>
        <w:t xml:space="preserve">. </w:t>
      </w:r>
      <w:r w:rsidR="00EE61A5">
        <w:rPr>
          <w:rFonts w:ascii="Arial" w:hAnsi="Arial" w:cs="Arial"/>
          <w:sz w:val="26"/>
          <w:szCs w:val="26"/>
        </w:rPr>
        <w:t>Siendo entonces</w:t>
      </w:r>
      <w:r w:rsidR="00BE1663" w:rsidRPr="00B46193">
        <w:rPr>
          <w:rFonts w:ascii="Arial" w:hAnsi="Arial" w:cs="Arial"/>
          <w:sz w:val="26"/>
          <w:szCs w:val="26"/>
        </w:rPr>
        <w:t xml:space="preserve"> el presupuesto de la legitimación</w:t>
      </w:r>
      <w:r w:rsidR="001344E1">
        <w:rPr>
          <w:rFonts w:ascii="Arial" w:hAnsi="Arial" w:cs="Arial"/>
          <w:sz w:val="26"/>
          <w:szCs w:val="26"/>
        </w:rPr>
        <w:t xml:space="preserve"> en la causa por activa</w:t>
      </w:r>
      <w:r w:rsidR="00BE1663" w:rsidRPr="00B46193">
        <w:rPr>
          <w:rFonts w:ascii="Arial" w:hAnsi="Arial" w:cs="Arial"/>
          <w:sz w:val="26"/>
          <w:szCs w:val="26"/>
        </w:rPr>
        <w:t xml:space="preserve">, el tema </w:t>
      </w:r>
      <w:r w:rsidR="00EE61A5">
        <w:rPr>
          <w:rFonts w:ascii="Arial" w:hAnsi="Arial" w:cs="Arial"/>
          <w:sz w:val="26"/>
          <w:szCs w:val="26"/>
        </w:rPr>
        <w:t xml:space="preserve">en discusión, </w:t>
      </w:r>
      <w:r w:rsidR="00BE1663" w:rsidRPr="00B46193">
        <w:rPr>
          <w:rFonts w:ascii="Arial" w:hAnsi="Arial" w:cs="Arial"/>
          <w:sz w:val="26"/>
          <w:szCs w:val="26"/>
        </w:rPr>
        <w:t>que sirvió como eje central para despachar desfavorablemente</w:t>
      </w:r>
      <w:r w:rsidR="00BE1663">
        <w:rPr>
          <w:rFonts w:ascii="Arial" w:hAnsi="Arial" w:cs="Arial"/>
          <w:sz w:val="26"/>
          <w:szCs w:val="26"/>
        </w:rPr>
        <w:t xml:space="preserve"> </w:t>
      </w:r>
      <w:r w:rsidR="00BE1663" w:rsidRPr="00B46193">
        <w:rPr>
          <w:rFonts w:ascii="Arial" w:hAnsi="Arial" w:cs="Arial"/>
          <w:sz w:val="26"/>
          <w:szCs w:val="26"/>
        </w:rPr>
        <w:t>la</w:t>
      </w:r>
      <w:r w:rsidR="00BE1663">
        <w:rPr>
          <w:rFonts w:ascii="Arial" w:hAnsi="Arial" w:cs="Arial"/>
          <w:sz w:val="26"/>
          <w:szCs w:val="26"/>
        </w:rPr>
        <w:t xml:space="preserve"> </w:t>
      </w:r>
      <w:r w:rsidR="00EE61A5">
        <w:rPr>
          <w:rFonts w:ascii="Arial" w:hAnsi="Arial" w:cs="Arial"/>
          <w:sz w:val="26"/>
          <w:szCs w:val="26"/>
        </w:rPr>
        <w:t>excepción previa</w:t>
      </w:r>
      <w:r w:rsidR="00BE1663" w:rsidRPr="00B46193">
        <w:rPr>
          <w:rFonts w:ascii="Arial" w:hAnsi="Arial" w:cs="Arial"/>
          <w:sz w:val="26"/>
          <w:szCs w:val="26"/>
        </w:rPr>
        <w:t>, se procederá al estudio de esta temática.</w:t>
      </w:r>
    </w:p>
    <w:p w:rsidR="00BE1663" w:rsidRDefault="00BE1663" w:rsidP="00BE1663">
      <w:pPr>
        <w:pStyle w:val="Sinespaciado1"/>
        <w:spacing w:line="360" w:lineRule="auto"/>
        <w:ind w:firstLine="2880"/>
        <w:jc w:val="both"/>
        <w:rPr>
          <w:rFonts w:ascii="Arial" w:hAnsi="Arial" w:cs="Arial"/>
          <w:sz w:val="26"/>
          <w:szCs w:val="26"/>
        </w:rPr>
      </w:pPr>
      <w:r w:rsidRPr="00B46193">
        <w:rPr>
          <w:rFonts w:ascii="Arial" w:hAnsi="Arial" w:cs="Arial"/>
          <w:sz w:val="26"/>
          <w:szCs w:val="26"/>
        </w:rPr>
        <w:t xml:space="preserve"> </w:t>
      </w:r>
    </w:p>
    <w:p w:rsidR="00546283" w:rsidRDefault="00A0204B" w:rsidP="00BE1663">
      <w:pPr>
        <w:pStyle w:val="Sinespaciado1"/>
        <w:spacing w:line="360" w:lineRule="auto"/>
        <w:ind w:firstLine="2880"/>
        <w:jc w:val="both"/>
        <w:rPr>
          <w:rFonts w:ascii="Arial" w:hAnsi="Arial" w:cs="Arial"/>
          <w:sz w:val="26"/>
          <w:szCs w:val="26"/>
        </w:rPr>
      </w:pPr>
      <w:r>
        <w:rPr>
          <w:rFonts w:ascii="Arial" w:hAnsi="Arial" w:cs="Arial"/>
          <w:sz w:val="26"/>
          <w:szCs w:val="26"/>
        </w:rPr>
        <w:t>4</w:t>
      </w:r>
      <w:r w:rsidR="00BE1663">
        <w:rPr>
          <w:rFonts w:ascii="Arial" w:hAnsi="Arial" w:cs="Arial"/>
          <w:sz w:val="26"/>
          <w:szCs w:val="26"/>
        </w:rPr>
        <w:t xml:space="preserve">. </w:t>
      </w:r>
      <w:r w:rsidR="00BE1663" w:rsidRPr="00A12DF2">
        <w:rPr>
          <w:rFonts w:ascii="Arial" w:hAnsi="Arial" w:cs="Arial"/>
          <w:sz w:val="26"/>
          <w:szCs w:val="26"/>
        </w:rPr>
        <w:t>Memórese que la legitimación en la causa constituye uno de los elementos de la pretensión</w:t>
      </w:r>
      <w:r w:rsidR="00546283">
        <w:rPr>
          <w:rFonts w:ascii="Arial" w:hAnsi="Arial" w:cs="Arial"/>
          <w:sz w:val="26"/>
          <w:szCs w:val="26"/>
        </w:rPr>
        <w:t>,</w:t>
      </w:r>
      <w:r w:rsidR="00BE1663" w:rsidRPr="00A12DF2">
        <w:rPr>
          <w:rFonts w:ascii="Arial" w:hAnsi="Arial" w:cs="Arial"/>
          <w:sz w:val="26"/>
          <w:szCs w:val="26"/>
        </w:rPr>
        <w:t xml:space="preserve"> que al decir de </w:t>
      </w:r>
      <w:r w:rsidR="00546283">
        <w:rPr>
          <w:rFonts w:ascii="Arial" w:hAnsi="Arial" w:cs="Arial"/>
          <w:sz w:val="26"/>
          <w:szCs w:val="26"/>
        </w:rPr>
        <w:t>la doctrina y la jurisprudencia</w:t>
      </w:r>
      <w:r w:rsidR="00BE1663" w:rsidRPr="00A12DF2">
        <w:rPr>
          <w:rFonts w:ascii="Arial" w:hAnsi="Arial" w:cs="Arial"/>
          <w:sz w:val="26"/>
          <w:szCs w:val="26"/>
        </w:rPr>
        <w:t xml:space="preserve"> es la facultad o titularidad legal que tiene una determinada persona para demandar exactamente de otra el derecho o la cosa controvertida, por ser justamente quien debe responderle</w:t>
      </w:r>
      <w:r w:rsidR="00546283">
        <w:rPr>
          <w:rFonts w:ascii="Arial" w:hAnsi="Arial" w:cs="Arial"/>
          <w:sz w:val="26"/>
          <w:szCs w:val="26"/>
        </w:rPr>
        <w:t xml:space="preserve">. Frente a este tema, recientemente la Corte Suprema de Justicia señaló: </w:t>
      </w:r>
    </w:p>
    <w:p w:rsidR="00546283" w:rsidRDefault="00546283" w:rsidP="00BE1663">
      <w:pPr>
        <w:pStyle w:val="Sinespaciado1"/>
        <w:spacing w:line="360" w:lineRule="auto"/>
        <w:ind w:firstLine="2880"/>
        <w:jc w:val="both"/>
        <w:rPr>
          <w:rFonts w:ascii="Arial" w:hAnsi="Arial" w:cs="Arial"/>
          <w:sz w:val="26"/>
          <w:szCs w:val="26"/>
        </w:rPr>
      </w:pPr>
    </w:p>
    <w:p w:rsidR="00B63AC2" w:rsidRDefault="00546283" w:rsidP="00B63AC2">
      <w:pPr>
        <w:pStyle w:val="Sinespaciado1"/>
        <w:ind w:left="708" w:right="567" w:firstLine="2172"/>
        <w:jc w:val="both"/>
        <w:rPr>
          <w:rFonts w:ascii="Arial" w:hAnsi="Arial" w:cs="Arial"/>
          <w:b/>
        </w:rPr>
      </w:pPr>
      <w:r w:rsidRPr="00B63AC2">
        <w:rPr>
          <w:rFonts w:ascii="Arial" w:hAnsi="Arial" w:cs="Arial"/>
          <w:b/>
        </w:rPr>
        <w:t>“El acceso a la administración de justicia como garantía de orden superior (artículo 229 de la Constitución Política), para su plena realización, requiere que quien reclama la protección de un derecho sea su titular, ya sea que se pida a título personal o por sus representantes, pues, no se trata de una facultad ilimitada. Ese condicionamiento, precisamente, es el que legitima para accionar y, de faltar, el resultado solo puede ser adverso, sin siquiera analizar a profundidad los puntos en discusión.</w:t>
      </w:r>
    </w:p>
    <w:p w:rsidR="00B63AC2" w:rsidRPr="00B63AC2" w:rsidRDefault="00B63AC2" w:rsidP="00B63AC2">
      <w:pPr>
        <w:pStyle w:val="Sinespaciado1"/>
        <w:ind w:left="708" w:right="567" w:firstLine="2172"/>
        <w:jc w:val="both"/>
        <w:rPr>
          <w:rFonts w:ascii="Arial" w:hAnsi="Arial" w:cs="Arial"/>
          <w:b/>
          <w:sz w:val="18"/>
        </w:rPr>
      </w:pPr>
    </w:p>
    <w:p w:rsidR="00B63AC2" w:rsidRDefault="00546283" w:rsidP="00B63AC2">
      <w:pPr>
        <w:pStyle w:val="Sinespaciado1"/>
        <w:ind w:left="708" w:right="567" w:firstLine="2172"/>
        <w:jc w:val="both"/>
        <w:rPr>
          <w:rFonts w:ascii="Arial" w:hAnsi="Arial" w:cs="Arial"/>
          <w:b/>
        </w:rPr>
      </w:pPr>
      <w:r w:rsidRPr="00B63AC2">
        <w:rPr>
          <w:rFonts w:ascii="Arial" w:hAnsi="Arial" w:cs="Arial"/>
          <w:b/>
        </w:rPr>
        <w:t xml:space="preserve">Al respecto la Corte, en SC 24 jul. 2012, rad. 1998-21524-01, citada en SC4809-2014, recordó que </w:t>
      </w:r>
    </w:p>
    <w:p w:rsidR="00B63AC2" w:rsidRDefault="00B63AC2" w:rsidP="00B63AC2">
      <w:pPr>
        <w:pStyle w:val="Sinespaciado1"/>
        <w:ind w:left="708" w:right="567" w:firstLine="2172"/>
        <w:jc w:val="both"/>
        <w:rPr>
          <w:rFonts w:ascii="Arial" w:hAnsi="Arial" w:cs="Arial"/>
          <w:b/>
        </w:rPr>
      </w:pPr>
    </w:p>
    <w:p w:rsidR="00546283" w:rsidRPr="00B63AC2" w:rsidRDefault="00546283" w:rsidP="00B63AC2">
      <w:pPr>
        <w:pStyle w:val="Sinespaciado1"/>
        <w:ind w:left="708" w:right="567" w:firstLine="2172"/>
        <w:jc w:val="both"/>
        <w:rPr>
          <w:rFonts w:ascii="Arial" w:hAnsi="Arial" w:cs="Arial"/>
          <w:b/>
        </w:rPr>
      </w:pPr>
      <w:r w:rsidRPr="00B63AC2">
        <w:rPr>
          <w:rFonts w:ascii="Arial" w:hAnsi="Arial" w:cs="Arial"/>
          <w:b/>
        </w:rPr>
        <w:lastRenderedPageBreak/>
        <w:t>[l]a legitimación en la causa consiste en ser la persona que la ley faculta para ejercitar la acción o para resistir la misma, por lo que concierne con el derecho sustancial y no al procesal, conforme lo tiene decantado la jurisprudencia (…) En efecto, ésta ha sostenido que “el interés legítimo, serio y actual del “titular de una determinada relación jurídica o estado jurídico” (U. Rocco, Tratado de derecho procesal civil, T. I, Parte general, 2ª reimpresión, Temis-Depalma, Bogotá, Buenos Aires, 1983, pp. 360), exige plena coincidencia “de la persona del actor con la persona a la cual la ley concede la acción (legitimación activa) y la identidad de la persona del demandado con la persona contra la cual es concedida la acción (legitimación pasiva). (Instituciones de Derecho Procesal Civil, I, 185)” (CXXXVIII, 364/65), y el juez debe verificarla “con independencia de la actividad de las partes y sujetos procesales al constituir una exigencia de la sentencia estimatoria o desestimatoria, según quien pretende y frente a quien se reclama el derecho sea o no su titular” (cas. civ. Sentencia de 1° de julio de 2008, [SC-061-2008], exp. 11001-3103-033-2001- 06291-01). Y ha sido enfática en sostener que tal fenómeno jurídico ‘es cuestión propia del derecho sustancial y no del procesal, por cuanto alude a la pretensión debatida en el litigio y no a los requisitos indispensables para la integración y desarrollo válido de éste” (Sent. de Cas. Civ. de 14 de agosto de 1995, Exp. n° 4268, reiterada en el fallo de 12 de junio de 2001, Exp.</w:t>
      </w:r>
      <w:r w:rsidR="00B63AC2" w:rsidRPr="00B63AC2">
        <w:rPr>
          <w:rFonts w:ascii="Arial" w:hAnsi="Arial" w:cs="Arial"/>
          <w:b/>
        </w:rPr>
        <w:t xml:space="preserve"> </w:t>
      </w:r>
      <w:r w:rsidRPr="00B63AC2">
        <w:rPr>
          <w:rFonts w:ascii="Arial" w:hAnsi="Arial" w:cs="Arial"/>
          <w:b/>
        </w:rPr>
        <w:t>n° 6050)”</w:t>
      </w:r>
      <w:r w:rsidR="00B63AC2" w:rsidRPr="00B63AC2">
        <w:rPr>
          <w:rStyle w:val="Refdenotaalpie"/>
          <w:rFonts w:ascii="Arial" w:hAnsi="Arial" w:cs="Arial"/>
          <w:b/>
        </w:rPr>
        <w:footnoteReference w:id="1"/>
      </w:r>
      <w:r w:rsidR="00B63AC2">
        <w:rPr>
          <w:rFonts w:ascii="Arial" w:hAnsi="Arial" w:cs="Arial"/>
          <w:b/>
        </w:rPr>
        <w:t>.</w:t>
      </w:r>
    </w:p>
    <w:p w:rsidR="00BE1663" w:rsidRDefault="00BE1663" w:rsidP="00BE1663">
      <w:pPr>
        <w:pStyle w:val="Sinespaciado1"/>
        <w:spacing w:line="360" w:lineRule="auto"/>
        <w:ind w:left="567" w:right="335" w:firstLine="2313"/>
        <w:jc w:val="both"/>
        <w:rPr>
          <w:rFonts w:ascii="Arial" w:hAnsi="Arial" w:cs="Arial"/>
          <w:sz w:val="26"/>
          <w:szCs w:val="26"/>
        </w:rPr>
      </w:pPr>
    </w:p>
    <w:p w:rsidR="00B63AC2" w:rsidRDefault="00A0204B" w:rsidP="00BE1663">
      <w:pPr>
        <w:spacing w:line="360" w:lineRule="auto"/>
        <w:ind w:firstLine="2977"/>
        <w:jc w:val="both"/>
        <w:rPr>
          <w:rFonts w:ascii="Arial" w:hAnsi="Arial" w:cs="Arial"/>
          <w:sz w:val="26"/>
          <w:szCs w:val="26"/>
          <w:lang w:val="es-CO" w:eastAsia="en-US"/>
        </w:rPr>
      </w:pPr>
      <w:r>
        <w:rPr>
          <w:rFonts w:ascii="Arial" w:hAnsi="Arial" w:cs="Arial"/>
          <w:sz w:val="26"/>
          <w:szCs w:val="26"/>
          <w:lang w:val="es-CO" w:eastAsia="en-US"/>
        </w:rPr>
        <w:t>5</w:t>
      </w:r>
      <w:r w:rsidR="00EE61A5">
        <w:rPr>
          <w:rFonts w:ascii="Arial" w:hAnsi="Arial" w:cs="Arial"/>
          <w:sz w:val="26"/>
          <w:szCs w:val="26"/>
          <w:lang w:val="es-CO" w:eastAsia="en-US"/>
        </w:rPr>
        <w:t xml:space="preserve">. </w:t>
      </w:r>
      <w:r w:rsidR="00BE1663">
        <w:rPr>
          <w:rFonts w:ascii="Arial" w:hAnsi="Arial" w:cs="Arial"/>
          <w:sz w:val="26"/>
          <w:szCs w:val="26"/>
          <w:lang w:val="es-CO" w:eastAsia="en-US"/>
        </w:rPr>
        <w:t>E</w:t>
      </w:r>
      <w:r w:rsidR="00BE1663" w:rsidRPr="00D34315">
        <w:rPr>
          <w:rFonts w:ascii="Arial" w:hAnsi="Arial" w:cs="Arial"/>
          <w:sz w:val="26"/>
          <w:szCs w:val="26"/>
          <w:lang w:val="es-CO" w:eastAsia="en-US"/>
        </w:rPr>
        <w:t xml:space="preserve">n todo caso esclarecido sí está, que </w:t>
      </w:r>
      <w:r w:rsidR="00BE1663">
        <w:rPr>
          <w:rFonts w:ascii="Arial" w:hAnsi="Arial" w:cs="Arial"/>
          <w:sz w:val="26"/>
          <w:szCs w:val="26"/>
          <w:lang w:val="es-CO" w:eastAsia="en-US"/>
        </w:rPr>
        <w:t>la legitimación no es un presupuesto procesal; más bien, que l</w:t>
      </w:r>
      <w:r w:rsidR="00BE1663" w:rsidRPr="00D34315">
        <w:rPr>
          <w:rFonts w:ascii="Arial" w:hAnsi="Arial" w:cs="Arial"/>
          <w:sz w:val="26"/>
          <w:szCs w:val="26"/>
          <w:lang w:val="es-CO" w:eastAsia="en-US"/>
        </w:rPr>
        <w:t xml:space="preserve">as consecuencias procesales por la falta de este supuesto resultan ser contundentes, </w:t>
      </w:r>
      <w:r w:rsidR="00BE1663">
        <w:rPr>
          <w:rFonts w:ascii="Arial" w:hAnsi="Arial" w:cs="Arial"/>
          <w:sz w:val="26"/>
          <w:szCs w:val="26"/>
          <w:lang w:val="es-CO" w:eastAsia="en-US"/>
        </w:rPr>
        <w:t xml:space="preserve">como lo predicó la Corte Suprema de Justicia, refiriendo que </w:t>
      </w:r>
      <w:r w:rsidR="00BE1663" w:rsidRPr="00D34315">
        <w:rPr>
          <w:rFonts w:ascii="Arial" w:hAnsi="Arial" w:cs="Arial"/>
          <w:sz w:val="26"/>
          <w:szCs w:val="26"/>
          <w:lang w:val="es-CO" w:eastAsia="en-US"/>
        </w:rPr>
        <w:t xml:space="preserve">cuando quien reclama un derecho sin ser titular o frente a quien no es el llamado a responder, ha de negarse la pretensión del demandante en fallo que tenga fuerza de cosa juzgada material, </w:t>
      </w:r>
      <w:r w:rsidR="00BE1663">
        <w:rPr>
          <w:rFonts w:ascii="Arial" w:hAnsi="Arial" w:cs="Arial"/>
          <w:sz w:val="26"/>
          <w:szCs w:val="26"/>
          <w:lang w:val="es-CO" w:eastAsia="en-US"/>
        </w:rPr>
        <w:t>que cierra</w:t>
      </w:r>
      <w:r w:rsidR="00BE1663" w:rsidRPr="00D34315">
        <w:rPr>
          <w:rFonts w:ascii="Arial" w:hAnsi="Arial" w:cs="Arial"/>
          <w:sz w:val="26"/>
          <w:szCs w:val="26"/>
          <w:lang w:val="es-CO" w:eastAsia="en-US"/>
        </w:rPr>
        <w:t xml:space="preserve"> definitivamente ese litigio y no deja abiertas las posibilidades con una sentencia inhibitoria.</w:t>
      </w:r>
    </w:p>
    <w:p w:rsidR="00BE1663" w:rsidRDefault="00BE1663" w:rsidP="00BE1663">
      <w:pPr>
        <w:spacing w:line="360" w:lineRule="auto"/>
        <w:ind w:firstLine="2977"/>
        <w:jc w:val="both"/>
        <w:rPr>
          <w:rFonts w:ascii="Arial" w:hAnsi="Arial" w:cs="Arial"/>
          <w:sz w:val="26"/>
          <w:szCs w:val="26"/>
          <w:lang w:val="es-CO" w:eastAsia="en-US"/>
        </w:rPr>
      </w:pPr>
    </w:p>
    <w:p w:rsidR="00BE1663" w:rsidRPr="00D17BF4" w:rsidRDefault="00A0204B" w:rsidP="00D17BF4">
      <w:pPr>
        <w:pStyle w:val="Sinespaciado1"/>
        <w:spacing w:line="360" w:lineRule="auto"/>
        <w:ind w:firstLine="2880"/>
        <w:jc w:val="both"/>
        <w:rPr>
          <w:rFonts w:ascii="Arial" w:hAnsi="Arial" w:cs="Arial"/>
          <w:iCs/>
          <w:color w:val="000000"/>
          <w:szCs w:val="26"/>
        </w:rPr>
      </w:pPr>
      <w:r>
        <w:rPr>
          <w:rFonts w:ascii="Arial" w:hAnsi="Arial" w:cs="Arial"/>
          <w:sz w:val="26"/>
          <w:szCs w:val="26"/>
        </w:rPr>
        <w:t>6</w:t>
      </w:r>
      <w:r w:rsidR="00BE1663">
        <w:rPr>
          <w:rFonts w:ascii="Arial" w:hAnsi="Arial" w:cs="Arial"/>
          <w:sz w:val="26"/>
          <w:szCs w:val="26"/>
        </w:rPr>
        <w:t xml:space="preserve">. </w:t>
      </w:r>
      <w:r w:rsidR="005F7253">
        <w:rPr>
          <w:rFonts w:ascii="Arial" w:hAnsi="Arial" w:cs="Arial"/>
          <w:sz w:val="26"/>
          <w:szCs w:val="26"/>
        </w:rPr>
        <w:t>De otro lado, e</w:t>
      </w:r>
      <w:r w:rsidR="00BE1663" w:rsidRPr="0034067F">
        <w:rPr>
          <w:rFonts w:ascii="Arial" w:hAnsi="Arial" w:cs="Arial"/>
          <w:sz w:val="26"/>
          <w:szCs w:val="26"/>
        </w:rPr>
        <w:t xml:space="preserve">n materia de responsabilidad civil extracontractual, el artículo 2341 del C. C. establece, que: </w:t>
      </w:r>
      <w:r w:rsidR="00BE1663" w:rsidRPr="00426A62">
        <w:rPr>
          <w:rFonts w:ascii="Arial" w:hAnsi="Arial" w:cs="Arial"/>
          <w:i/>
          <w:sz w:val="24"/>
          <w:szCs w:val="24"/>
        </w:rPr>
        <w:t>“El que ha cometido un delito o culpa, que ha inferido daño a otro, es obligado a la indemnización, sin perjuicio de la pena principal que la ley imponga por la culpa o el delito cometido”</w:t>
      </w:r>
      <w:r w:rsidR="005F7253">
        <w:rPr>
          <w:rFonts w:ascii="Arial" w:hAnsi="Arial" w:cs="Arial"/>
          <w:i/>
          <w:sz w:val="24"/>
          <w:szCs w:val="24"/>
        </w:rPr>
        <w:t xml:space="preserve">, </w:t>
      </w:r>
      <w:r w:rsidR="005F7253" w:rsidRPr="005F7253">
        <w:rPr>
          <w:rFonts w:ascii="Arial" w:hAnsi="Arial" w:cs="Arial"/>
          <w:sz w:val="26"/>
          <w:szCs w:val="26"/>
        </w:rPr>
        <w:t xml:space="preserve">por lo que en relación </w:t>
      </w:r>
      <w:r w:rsidR="00BE1663" w:rsidRPr="005F7253">
        <w:rPr>
          <w:rFonts w:ascii="Arial" w:hAnsi="Arial" w:cs="Arial"/>
          <w:sz w:val="26"/>
          <w:szCs w:val="26"/>
        </w:rPr>
        <w:t>a</w:t>
      </w:r>
      <w:r w:rsidR="00BE1663">
        <w:rPr>
          <w:rFonts w:ascii="Arial" w:hAnsi="Arial" w:cs="Arial"/>
          <w:sz w:val="26"/>
          <w:szCs w:val="26"/>
        </w:rPr>
        <w:t xml:space="preserve"> l</w:t>
      </w:r>
      <w:r w:rsidR="00BE1663" w:rsidRPr="0058764B">
        <w:rPr>
          <w:rFonts w:ascii="Arial" w:hAnsi="Arial" w:cs="Arial"/>
          <w:sz w:val="26"/>
          <w:szCs w:val="26"/>
        </w:rPr>
        <w:t>a legitimación frente a</w:t>
      </w:r>
      <w:r w:rsidR="00BE1663">
        <w:rPr>
          <w:rFonts w:ascii="Arial" w:hAnsi="Arial" w:cs="Arial"/>
          <w:sz w:val="26"/>
          <w:szCs w:val="26"/>
        </w:rPr>
        <w:t xml:space="preserve"> </w:t>
      </w:r>
      <w:r w:rsidR="00BE1663" w:rsidRPr="0058764B">
        <w:rPr>
          <w:rFonts w:ascii="Arial" w:hAnsi="Arial" w:cs="Arial"/>
          <w:sz w:val="26"/>
          <w:szCs w:val="26"/>
        </w:rPr>
        <w:t xml:space="preserve">los daños </w:t>
      </w:r>
      <w:r w:rsidR="005F7253">
        <w:rPr>
          <w:rFonts w:ascii="Arial" w:hAnsi="Arial" w:cs="Arial"/>
          <w:sz w:val="24"/>
          <w:szCs w:val="26"/>
        </w:rPr>
        <w:t>–</w:t>
      </w:r>
      <w:r w:rsidR="00BE1663">
        <w:rPr>
          <w:rFonts w:ascii="Arial" w:hAnsi="Arial" w:cs="Arial"/>
          <w:sz w:val="26"/>
          <w:szCs w:val="26"/>
        </w:rPr>
        <w:t>reclamados en esta clase de responsabilidad civil</w:t>
      </w:r>
      <w:r w:rsidR="005F7253">
        <w:rPr>
          <w:rFonts w:ascii="Arial" w:hAnsi="Arial" w:cs="Arial"/>
          <w:sz w:val="26"/>
          <w:szCs w:val="26"/>
        </w:rPr>
        <w:t>-</w:t>
      </w:r>
      <w:r w:rsidR="00BE1663">
        <w:rPr>
          <w:rFonts w:ascii="Arial" w:hAnsi="Arial" w:cs="Arial"/>
          <w:sz w:val="26"/>
          <w:szCs w:val="26"/>
        </w:rPr>
        <w:t xml:space="preserve"> </w:t>
      </w:r>
      <w:r w:rsidR="005F7253">
        <w:rPr>
          <w:rFonts w:ascii="Arial" w:hAnsi="Arial" w:cs="Arial"/>
          <w:sz w:val="26"/>
          <w:szCs w:val="26"/>
        </w:rPr>
        <w:t>ha de entenderse limitada</w:t>
      </w:r>
      <w:r w:rsidR="00BE1663" w:rsidRPr="00F74346">
        <w:rPr>
          <w:rFonts w:ascii="Arial" w:hAnsi="Arial" w:cs="Arial"/>
          <w:sz w:val="26"/>
          <w:szCs w:val="26"/>
        </w:rPr>
        <w:t xml:space="preserve"> a </w:t>
      </w:r>
      <w:r w:rsidR="005F7253">
        <w:rPr>
          <w:rFonts w:ascii="Arial" w:hAnsi="Arial" w:cs="Arial"/>
          <w:sz w:val="26"/>
          <w:szCs w:val="26"/>
        </w:rPr>
        <w:t>aquellas personas que se halla</w:t>
      </w:r>
      <w:r w:rsidR="00BE1663" w:rsidRPr="00F74346">
        <w:rPr>
          <w:rFonts w:ascii="Arial" w:hAnsi="Arial" w:cs="Arial"/>
          <w:sz w:val="26"/>
          <w:szCs w:val="26"/>
        </w:rPr>
        <w:t xml:space="preserve">n en una situación legítima </w:t>
      </w:r>
      <w:r w:rsidR="005F7253">
        <w:rPr>
          <w:rFonts w:ascii="Arial" w:hAnsi="Arial" w:cs="Arial"/>
          <w:sz w:val="26"/>
          <w:szCs w:val="26"/>
        </w:rPr>
        <w:t xml:space="preserve">de víctima, esto es, </w:t>
      </w:r>
      <w:r w:rsidR="00BE1663" w:rsidRPr="006C2600">
        <w:rPr>
          <w:rFonts w:ascii="Arial" w:hAnsi="Arial" w:cs="Arial"/>
          <w:sz w:val="26"/>
          <w:szCs w:val="26"/>
        </w:rPr>
        <w:t xml:space="preserve">que </w:t>
      </w:r>
      <w:r w:rsidR="00BE1663" w:rsidRPr="006C2600">
        <w:rPr>
          <w:rFonts w:ascii="Arial" w:hAnsi="Arial" w:cs="Arial"/>
          <w:sz w:val="26"/>
          <w:szCs w:val="26"/>
        </w:rPr>
        <w:lastRenderedPageBreak/>
        <w:t>hubiese</w:t>
      </w:r>
      <w:r>
        <w:rPr>
          <w:rFonts w:ascii="Arial" w:hAnsi="Arial" w:cs="Arial"/>
          <w:sz w:val="26"/>
          <w:szCs w:val="26"/>
        </w:rPr>
        <w:t>n</w:t>
      </w:r>
      <w:r w:rsidR="00BE1663" w:rsidRPr="006C2600">
        <w:rPr>
          <w:rFonts w:ascii="Arial" w:hAnsi="Arial" w:cs="Arial"/>
          <w:sz w:val="26"/>
          <w:szCs w:val="26"/>
        </w:rPr>
        <w:t xml:space="preserve"> sufrido un perjuicio</w:t>
      </w:r>
      <w:r>
        <w:rPr>
          <w:rFonts w:ascii="Arial" w:hAnsi="Arial" w:cs="Arial"/>
          <w:sz w:val="26"/>
          <w:szCs w:val="26"/>
        </w:rPr>
        <w:t>, –</w:t>
      </w:r>
      <w:r w:rsidRPr="00986F52">
        <w:rPr>
          <w:rFonts w:ascii="Arial" w:hAnsi="Arial" w:cs="Arial"/>
          <w:sz w:val="24"/>
          <w:szCs w:val="24"/>
        </w:rPr>
        <w:t xml:space="preserve">en </w:t>
      </w:r>
      <w:r w:rsidR="005F7253" w:rsidRPr="00986F52">
        <w:rPr>
          <w:rFonts w:ascii="Arial" w:hAnsi="Arial" w:cs="Arial"/>
          <w:sz w:val="24"/>
          <w:szCs w:val="24"/>
        </w:rPr>
        <w:t>este caso concreto, así lo afirman quienes conforman el grupo demandante</w:t>
      </w:r>
      <w:r w:rsidR="00986F52" w:rsidRPr="00986F52">
        <w:rPr>
          <w:rFonts w:ascii="Arial" w:hAnsi="Arial" w:cs="Arial"/>
          <w:sz w:val="24"/>
          <w:szCs w:val="24"/>
        </w:rPr>
        <w:t>-</w:t>
      </w:r>
      <w:r w:rsidR="005F7253">
        <w:rPr>
          <w:rFonts w:ascii="Arial" w:hAnsi="Arial" w:cs="Arial"/>
          <w:sz w:val="26"/>
          <w:szCs w:val="26"/>
        </w:rPr>
        <w:t>.</w:t>
      </w:r>
      <w:r w:rsidR="00D17BF4" w:rsidRPr="00D17BF4">
        <w:rPr>
          <w:rFonts w:ascii="Arial" w:hAnsi="Arial" w:cs="Arial"/>
          <w:sz w:val="26"/>
          <w:szCs w:val="26"/>
        </w:rPr>
        <w:t xml:space="preserve"> </w:t>
      </w:r>
      <w:r>
        <w:rPr>
          <w:rFonts w:ascii="Arial" w:hAnsi="Arial" w:cs="Arial"/>
          <w:sz w:val="26"/>
          <w:szCs w:val="26"/>
        </w:rPr>
        <w:t>Vistas las cosas d</w:t>
      </w:r>
      <w:r w:rsidR="00986F52">
        <w:rPr>
          <w:rFonts w:ascii="Arial" w:hAnsi="Arial" w:cs="Arial"/>
          <w:sz w:val="26"/>
          <w:szCs w:val="26"/>
        </w:rPr>
        <w:t>e</w:t>
      </w:r>
      <w:r>
        <w:rPr>
          <w:rFonts w:ascii="Arial" w:hAnsi="Arial" w:cs="Arial"/>
          <w:sz w:val="26"/>
          <w:szCs w:val="26"/>
        </w:rPr>
        <w:t xml:space="preserve"> esta manera, en asuntos como el que ahora ocupa la atención de la Sala, </w:t>
      </w:r>
      <w:r w:rsidR="00D17BF4" w:rsidRPr="006C2600">
        <w:rPr>
          <w:rFonts w:ascii="Arial" w:hAnsi="Arial" w:cs="Arial"/>
          <w:color w:val="000000"/>
          <w:sz w:val="26"/>
          <w:szCs w:val="26"/>
        </w:rPr>
        <w:t xml:space="preserve">está legitimada por activa para pretender la indemnización de perjuicios, toda persona a quien se le </w:t>
      </w:r>
      <w:r>
        <w:rPr>
          <w:rFonts w:ascii="Arial" w:hAnsi="Arial" w:cs="Arial"/>
          <w:color w:val="000000"/>
          <w:sz w:val="26"/>
          <w:szCs w:val="26"/>
        </w:rPr>
        <w:t xml:space="preserve">haya </w:t>
      </w:r>
      <w:r w:rsidR="00D17BF4" w:rsidRPr="006C2600">
        <w:rPr>
          <w:rFonts w:ascii="Arial" w:hAnsi="Arial" w:cs="Arial"/>
          <w:color w:val="000000"/>
          <w:sz w:val="26"/>
          <w:szCs w:val="26"/>
        </w:rPr>
        <w:t>causa</w:t>
      </w:r>
      <w:r>
        <w:rPr>
          <w:rFonts w:ascii="Arial" w:hAnsi="Arial" w:cs="Arial"/>
          <w:color w:val="000000"/>
          <w:sz w:val="26"/>
          <w:szCs w:val="26"/>
        </w:rPr>
        <w:t>do</w:t>
      </w:r>
      <w:r w:rsidR="00D17BF4" w:rsidRPr="006C2600">
        <w:rPr>
          <w:rFonts w:ascii="Arial" w:hAnsi="Arial" w:cs="Arial"/>
          <w:color w:val="000000"/>
          <w:sz w:val="26"/>
          <w:szCs w:val="26"/>
        </w:rPr>
        <w:t xml:space="preserve"> un daño, </w:t>
      </w:r>
      <w:r w:rsidR="00D17BF4" w:rsidRPr="0076357C">
        <w:rPr>
          <w:rFonts w:ascii="Arial" w:hAnsi="Arial" w:cs="Arial"/>
          <w:color w:val="000000"/>
          <w:sz w:val="24"/>
          <w:szCs w:val="26"/>
        </w:rPr>
        <w:t>(art. 2342, Código Civil)</w:t>
      </w:r>
      <w:r w:rsidR="00D17BF4" w:rsidRPr="004B0BB7">
        <w:rPr>
          <w:rFonts w:ascii="Arial" w:hAnsi="Arial" w:cs="Arial"/>
          <w:color w:val="000000"/>
          <w:sz w:val="26"/>
          <w:szCs w:val="26"/>
        </w:rPr>
        <w:t xml:space="preserve">, y por pasiva quien </w:t>
      </w:r>
      <w:r>
        <w:rPr>
          <w:rFonts w:ascii="Arial" w:hAnsi="Arial" w:cs="Arial"/>
          <w:color w:val="000000"/>
          <w:sz w:val="26"/>
          <w:szCs w:val="26"/>
        </w:rPr>
        <w:t xml:space="preserve">lo </w:t>
      </w:r>
      <w:r w:rsidR="00D17BF4">
        <w:rPr>
          <w:rFonts w:ascii="Arial" w:hAnsi="Arial" w:cs="Arial"/>
          <w:color w:val="000000"/>
          <w:sz w:val="26"/>
          <w:szCs w:val="26"/>
        </w:rPr>
        <w:t xml:space="preserve">causó </w:t>
      </w:r>
      <w:r>
        <w:rPr>
          <w:rFonts w:ascii="Arial" w:hAnsi="Arial" w:cs="Arial"/>
          <w:color w:val="000000"/>
          <w:sz w:val="24"/>
          <w:szCs w:val="26"/>
        </w:rPr>
        <w:t>(art.</w:t>
      </w:r>
      <w:r w:rsidR="00D17BF4" w:rsidRPr="0076357C">
        <w:rPr>
          <w:rFonts w:ascii="Arial" w:hAnsi="Arial" w:cs="Arial"/>
          <w:color w:val="000000"/>
          <w:sz w:val="24"/>
          <w:szCs w:val="26"/>
        </w:rPr>
        <w:t xml:space="preserve"> 2343</w:t>
      </w:r>
      <w:r w:rsidR="00D17BF4" w:rsidRPr="0076357C">
        <w:rPr>
          <w:rStyle w:val="apple-converted-space"/>
          <w:rFonts w:ascii="Arial" w:hAnsi="Arial" w:cs="Arial"/>
          <w:color w:val="000000"/>
          <w:szCs w:val="26"/>
        </w:rPr>
        <w:t> </w:t>
      </w:r>
      <w:r w:rsidR="00D17BF4" w:rsidRPr="0076357C">
        <w:rPr>
          <w:rFonts w:ascii="Arial" w:hAnsi="Arial" w:cs="Arial"/>
          <w:i/>
          <w:iCs/>
          <w:color w:val="000000"/>
          <w:sz w:val="24"/>
          <w:szCs w:val="26"/>
        </w:rPr>
        <w:t>ibídem).</w:t>
      </w:r>
      <w:r w:rsidR="00D17BF4" w:rsidRPr="0076357C">
        <w:rPr>
          <w:rStyle w:val="apple-converted-space"/>
          <w:rFonts w:ascii="Arial" w:hAnsi="Arial" w:cs="Arial"/>
          <w:i/>
          <w:iCs/>
          <w:color w:val="000000"/>
          <w:szCs w:val="26"/>
        </w:rPr>
        <w:t> </w:t>
      </w:r>
    </w:p>
    <w:p w:rsidR="00BE1663" w:rsidRDefault="00BE1663" w:rsidP="00BE1663">
      <w:pPr>
        <w:pStyle w:val="Sinespaciado1"/>
        <w:spacing w:line="360" w:lineRule="auto"/>
        <w:ind w:firstLine="2880"/>
        <w:jc w:val="both"/>
        <w:rPr>
          <w:rFonts w:ascii="Arial" w:hAnsi="Arial" w:cs="Arial"/>
          <w:color w:val="000000"/>
          <w:sz w:val="26"/>
          <w:szCs w:val="26"/>
        </w:rPr>
      </w:pPr>
    </w:p>
    <w:p w:rsidR="00BE1663" w:rsidRDefault="00A0204B" w:rsidP="00BE1663">
      <w:pPr>
        <w:pStyle w:val="Sinespaciado1"/>
        <w:spacing w:line="360" w:lineRule="auto"/>
        <w:ind w:firstLine="2880"/>
        <w:jc w:val="both"/>
        <w:rPr>
          <w:rFonts w:ascii="Arial" w:hAnsi="Arial" w:cs="Arial"/>
          <w:sz w:val="26"/>
          <w:szCs w:val="26"/>
        </w:rPr>
      </w:pPr>
      <w:r>
        <w:rPr>
          <w:rFonts w:ascii="Arial" w:hAnsi="Arial" w:cs="Arial"/>
          <w:sz w:val="26"/>
          <w:szCs w:val="26"/>
        </w:rPr>
        <w:t>7</w:t>
      </w:r>
      <w:r w:rsidR="00D17BF4">
        <w:rPr>
          <w:rFonts w:ascii="Arial" w:hAnsi="Arial" w:cs="Arial"/>
          <w:sz w:val="26"/>
          <w:szCs w:val="26"/>
        </w:rPr>
        <w:t xml:space="preserve">. </w:t>
      </w:r>
      <w:r w:rsidR="00BE1663" w:rsidRPr="006C2600">
        <w:rPr>
          <w:rFonts w:ascii="Arial" w:hAnsi="Arial" w:cs="Arial"/>
          <w:sz w:val="26"/>
          <w:szCs w:val="26"/>
        </w:rPr>
        <w:t>Incontrastable es</w:t>
      </w:r>
      <w:r>
        <w:rPr>
          <w:rFonts w:ascii="Arial" w:hAnsi="Arial" w:cs="Arial"/>
          <w:sz w:val="26"/>
          <w:szCs w:val="26"/>
        </w:rPr>
        <w:t>, entonces,</w:t>
      </w:r>
      <w:r w:rsidR="00BE1663" w:rsidRPr="006C2600">
        <w:rPr>
          <w:rFonts w:ascii="Arial" w:hAnsi="Arial" w:cs="Arial"/>
          <w:sz w:val="26"/>
          <w:szCs w:val="26"/>
        </w:rPr>
        <w:t xml:space="preserve"> que al revisar la admisibilidad de una demanda, se evalúa el cumplimiento de los </w:t>
      </w:r>
      <w:r w:rsidR="00BE1663" w:rsidRPr="0076357C">
        <w:rPr>
          <w:rFonts w:ascii="Arial" w:hAnsi="Arial" w:cs="Arial"/>
          <w:i/>
          <w:sz w:val="26"/>
          <w:szCs w:val="26"/>
        </w:rPr>
        <w:t>presupuestos procesales</w:t>
      </w:r>
      <w:r w:rsidR="00BE1663" w:rsidRPr="006C2600">
        <w:rPr>
          <w:rFonts w:ascii="Arial" w:hAnsi="Arial" w:cs="Arial"/>
          <w:sz w:val="26"/>
          <w:szCs w:val="26"/>
        </w:rPr>
        <w:t xml:space="preserve"> y algunas exigencias especiales, que por expresa disposición legal deben cumplirse </w:t>
      </w:r>
      <w:r w:rsidR="00D17BF4">
        <w:rPr>
          <w:rFonts w:ascii="Arial" w:hAnsi="Arial" w:cs="Arial"/>
          <w:sz w:val="24"/>
          <w:szCs w:val="24"/>
        </w:rPr>
        <w:t>(c</w:t>
      </w:r>
      <w:r w:rsidR="00BE1663" w:rsidRPr="0076357C">
        <w:rPr>
          <w:rFonts w:ascii="Arial" w:hAnsi="Arial" w:cs="Arial"/>
          <w:sz w:val="24"/>
          <w:szCs w:val="24"/>
        </w:rPr>
        <w:t>omo la conciliación prejudicial)</w:t>
      </w:r>
      <w:r w:rsidR="00BE1663" w:rsidRPr="006C2600">
        <w:rPr>
          <w:rFonts w:ascii="Arial" w:hAnsi="Arial" w:cs="Arial"/>
          <w:sz w:val="26"/>
          <w:szCs w:val="26"/>
        </w:rPr>
        <w:t xml:space="preserve">, mientras que los </w:t>
      </w:r>
      <w:r w:rsidR="00BE1663" w:rsidRPr="0076357C">
        <w:rPr>
          <w:rFonts w:ascii="Arial" w:hAnsi="Arial" w:cs="Arial"/>
          <w:i/>
          <w:sz w:val="26"/>
          <w:szCs w:val="26"/>
        </w:rPr>
        <w:t>presupuestos materiales o sustanciales,</w:t>
      </w:r>
      <w:r w:rsidR="00BE1663" w:rsidRPr="006C2600">
        <w:rPr>
          <w:rFonts w:ascii="Arial" w:hAnsi="Arial" w:cs="Arial"/>
          <w:sz w:val="26"/>
          <w:szCs w:val="26"/>
        </w:rPr>
        <w:t xml:space="preserve"> como la legitimación en la causa por activa y pasiva, por regla general se examinan en la sentencia, aunque tiene como excepciones las acciones ejecutivas, el proceso de restitución de bien inmueble y algunas acciones de la Ley 1561.</w:t>
      </w:r>
    </w:p>
    <w:p w:rsidR="00BE1663" w:rsidRPr="006C2600" w:rsidRDefault="00BE1663" w:rsidP="00BE1663">
      <w:pPr>
        <w:pStyle w:val="Sinespaciado1"/>
        <w:spacing w:line="360" w:lineRule="auto"/>
        <w:ind w:firstLine="2880"/>
        <w:jc w:val="both"/>
        <w:rPr>
          <w:rFonts w:ascii="Arial" w:hAnsi="Arial" w:cs="Arial"/>
          <w:color w:val="000000"/>
          <w:sz w:val="26"/>
          <w:szCs w:val="26"/>
        </w:rPr>
      </w:pPr>
    </w:p>
    <w:p w:rsidR="00BE1663" w:rsidRDefault="00A0204B" w:rsidP="00BE1663">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8</w:t>
      </w:r>
      <w:r w:rsidR="00D17BF4">
        <w:rPr>
          <w:rFonts w:ascii="Arial" w:hAnsi="Arial" w:cs="Arial"/>
          <w:color w:val="000000"/>
          <w:sz w:val="26"/>
          <w:szCs w:val="26"/>
        </w:rPr>
        <w:t xml:space="preserve">. </w:t>
      </w:r>
      <w:r w:rsidR="00BE1663">
        <w:rPr>
          <w:rFonts w:ascii="Arial" w:hAnsi="Arial" w:cs="Arial"/>
          <w:color w:val="000000"/>
          <w:sz w:val="26"/>
          <w:szCs w:val="26"/>
        </w:rPr>
        <w:t>E</w:t>
      </w:r>
      <w:r w:rsidR="00BE1663" w:rsidRPr="00130AFA">
        <w:rPr>
          <w:rFonts w:ascii="Arial" w:hAnsi="Arial" w:cs="Arial"/>
          <w:color w:val="000000"/>
          <w:sz w:val="26"/>
          <w:szCs w:val="26"/>
        </w:rPr>
        <w:t>l argumento izado</w:t>
      </w:r>
      <w:r w:rsidR="00BE1663">
        <w:rPr>
          <w:rFonts w:ascii="Arial" w:hAnsi="Arial" w:cs="Arial"/>
          <w:color w:val="000000"/>
          <w:sz w:val="26"/>
          <w:szCs w:val="26"/>
        </w:rPr>
        <w:t xml:space="preserve"> por </w:t>
      </w:r>
      <w:r w:rsidR="00D17BF4">
        <w:rPr>
          <w:rFonts w:ascii="Arial" w:hAnsi="Arial" w:cs="Arial"/>
          <w:color w:val="000000"/>
          <w:sz w:val="26"/>
          <w:szCs w:val="26"/>
        </w:rPr>
        <w:t>el recurrente</w:t>
      </w:r>
      <w:r w:rsidR="00BE1663" w:rsidRPr="00130AFA">
        <w:rPr>
          <w:rFonts w:ascii="Arial" w:hAnsi="Arial" w:cs="Arial"/>
          <w:color w:val="000000"/>
          <w:sz w:val="26"/>
          <w:szCs w:val="26"/>
        </w:rPr>
        <w:t>,</w:t>
      </w:r>
      <w:r w:rsidR="00BE1663">
        <w:rPr>
          <w:rFonts w:ascii="Arial" w:hAnsi="Arial" w:cs="Arial"/>
          <w:color w:val="000000"/>
          <w:sz w:val="26"/>
          <w:szCs w:val="26"/>
        </w:rPr>
        <w:t xml:space="preserve"> para exigir la prueb</w:t>
      </w:r>
      <w:r w:rsidR="00D17BF4">
        <w:rPr>
          <w:rFonts w:ascii="Arial" w:hAnsi="Arial" w:cs="Arial"/>
          <w:color w:val="000000"/>
          <w:sz w:val="26"/>
          <w:szCs w:val="26"/>
        </w:rPr>
        <w:t>a de la calidad en que actúan lo</w:t>
      </w:r>
      <w:r w:rsidR="00BE1663">
        <w:rPr>
          <w:rFonts w:ascii="Arial" w:hAnsi="Arial" w:cs="Arial"/>
          <w:color w:val="000000"/>
          <w:sz w:val="26"/>
          <w:szCs w:val="26"/>
        </w:rPr>
        <w:t>s demandantes</w:t>
      </w:r>
      <w:r w:rsidR="003F7C5A">
        <w:rPr>
          <w:rFonts w:ascii="Arial" w:hAnsi="Arial" w:cs="Arial"/>
          <w:color w:val="000000"/>
          <w:sz w:val="26"/>
          <w:szCs w:val="26"/>
        </w:rPr>
        <w:t xml:space="preserve"> </w:t>
      </w:r>
      <w:r w:rsidR="003F7C5A" w:rsidRPr="00986F52">
        <w:rPr>
          <w:rFonts w:ascii="Arial" w:hAnsi="Arial" w:cs="Arial"/>
          <w:color w:val="000000"/>
          <w:sz w:val="24"/>
          <w:szCs w:val="24"/>
        </w:rPr>
        <w:t>(pescadores artesanales con fines comerciales)</w:t>
      </w:r>
      <w:r w:rsidR="00BE1663">
        <w:rPr>
          <w:rFonts w:ascii="Arial" w:hAnsi="Arial" w:cs="Arial"/>
          <w:color w:val="000000"/>
          <w:sz w:val="26"/>
          <w:szCs w:val="26"/>
        </w:rPr>
        <w:t xml:space="preserve">, </w:t>
      </w:r>
      <w:r w:rsidR="00BE1663" w:rsidRPr="00130AFA">
        <w:rPr>
          <w:rFonts w:ascii="Arial" w:hAnsi="Arial" w:cs="Arial"/>
          <w:color w:val="000000"/>
          <w:sz w:val="26"/>
          <w:szCs w:val="26"/>
        </w:rPr>
        <w:t>da cuenta de una abierta confusión entr</w:t>
      </w:r>
      <w:r w:rsidR="00BE1663">
        <w:rPr>
          <w:rFonts w:ascii="Arial" w:hAnsi="Arial" w:cs="Arial"/>
          <w:color w:val="000000"/>
          <w:sz w:val="26"/>
          <w:szCs w:val="26"/>
        </w:rPr>
        <w:t>e los presupuestos procesales</w:t>
      </w:r>
      <w:r w:rsidR="00BE1663" w:rsidRPr="00130AFA">
        <w:rPr>
          <w:rFonts w:ascii="Arial" w:hAnsi="Arial" w:cs="Arial"/>
          <w:color w:val="000000"/>
          <w:sz w:val="26"/>
          <w:szCs w:val="26"/>
        </w:rPr>
        <w:t>, cuya omisión,</w:t>
      </w:r>
      <w:r w:rsidR="00BE1663">
        <w:rPr>
          <w:rFonts w:ascii="Arial" w:hAnsi="Arial" w:cs="Arial"/>
          <w:color w:val="000000"/>
          <w:sz w:val="26"/>
          <w:szCs w:val="26"/>
        </w:rPr>
        <w:t xml:space="preserve"> se itera,</w:t>
      </w:r>
      <w:r w:rsidR="00BE1663" w:rsidRPr="00130AFA">
        <w:rPr>
          <w:rFonts w:ascii="Arial" w:hAnsi="Arial" w:cs="Arial"/>
          <w:color w:val="000000"/>
          <w:sz w:val="26"/>
          <w:szCs w:val="26"/>
        </w:rPr>
        <w:t xml:space="preserve"> en eventos precisos demarcados por la jurisprudencia patria, genera la imposibilidad para el fallador para emitir sentencia de mérito, con la legitimación en la causa, aspecto éste que, lejos de considerarse como meramente formal, constituye un presupuesto sustancial, que permite o impide la prosperidad de los pedimentos del libelo, esto es constituye un presupuesto de la acción, cuya carga probatoria corresponde, exclusivamente, al extremo qu</w:t>
      </w:r>
      <w:r w:rsidR="00BE1663">
        <w:rPr>
          <w:rFonts w:ascii="Arial" w:hAnsi="Arial" w:cs="Arial"/>
          <w:color w:val="000000"/>
          <w:sz w:val="26"/>
          <w:szCs w:val="26"/>
        </w:rPr>
        <w:t>e pretenda beneficiarse de él</w:t>
      </w:r>
      <w:r w:rsidR="00BE1663" w:rsidRPr="00130AFA">
        <w:rPr>
          <w:rFonts w:ascii="Arial" w:hAnsi="Arial" w:cs="Arial"/>
          <w:color w:val="000000"/>
          <w:sz w:val="26"/>
          <w:szCs w:val="26"/>
        </w:rPr>
        <w:t>, y ante su ausencia, si bien es viable una decisión de mérito, esta será desestimatoria de las pretensiones.</w:t>
      </w:r>
    </w:p>
    <w:p w:rsidR="00D17BF4" w:rsidRDefault="00D17BF4" w:rsidP="00BE1663">
      <w:pPr>
        <w:pStyle w:val="Sinespaciado1"/>
        <w:spacing w:line="360" w:lineRule="auto"/>
        <w:ind w:firstLine="2880"/>
        <w:jc w:val="both"/>
        <w:rPr>
          <w:rFonts w:ascii="Arial" w:hAnsi="Arial" w:cs="Arial"/>
          <w:color w:val="000000"/>
          <w:sz w:val="26"/>
          <w:szCs w:val="26"/>
        </w:rPr>
      </w:pPr>
    </w:p>
    <w:p w:rsidR="00D17BF4" w:rsidRDefault="003F7C5A" w:rsidP="00D17BF4">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9</w:t>
      </w:r>
      <w:r w:rsidR="00D17BF4">
        <w:rPr>
          <w:rFonts w:ascii="Arial" w:hAnsi="Arial" w:cs="Arial"/>
          <w:color w:val="000000"/>
          <w:sz w:val="26"/>
          <w:szCs w:val="26"/>
        </w:rPr>
        <w:t>.</w:t>
      </w:r>
      <w:r w:rsidR="00D17BF4" w:rsidRPr="00F47C6F">
        <w:t xml:space="preserve"> </w:t>
      </w:r>
      <w:r w:rsidR="00D17BF4" w:rsidRPr="00F47C6F">
        <w:rPr>
          <w:rFonts w:ascii="Arial" w:hAnsi="Arial" w:cs="Arial"/>
          <w:color w:val="000000"/>
          <w:sz w:val="26"/>
          <w:szCs w:val="26"/>
        </w:rPr>
        <w:t xml:space="preserve">A partir de las premisas jurídicas expuestas, fácil puede anunciarse que </w:t>
      </w:r>
      <w:r w:rsidR="00D17BF4">
        <w:rPr>
          <w:rFonts w:ascii="Arial" w:hAnsi="Arial" w:cs="Arial"/>
          <w:color w:val="000000"/>
          <w:sz w:val="26"/>
          <w:szCs w:val="26"/>
        </w:rPr>
        <w:t>la decisión atacada</w:t>
      </w:r>
      <w:r w:rsidR="00D17BF4" w:rsidRPr="00F47C6F">
        <w:rPr>
          <w:rFonts w:ascii="Arial" w:hAnsi="Arial" w:cs="Arial"/>
          <w:color w:val="000000"/>
          <w:sz w:val="26"/>
          <w:szCs w:val="26"/>
        </w:rPr>
        <w:t xml:space="preserve"> por esta vía, será </w:t>
      </w:r>
      <w:r w:rsidR="00D17BF4">
        <w:rPr>
          <w:rFonts w:ascii="Arial" w:hAnsi="Arial" w:cs="Arial"/>
          <w:color w:val="000000"/>
          <w:sz w:val="26"/>
          <w:szCs w:val="26"/>
        </w:rPr>
        <w:t>confirmada</w:t>
      </w:r>
      <w:r w:rsidR="00D17BF4" w:rsidRPr="00F47C6F">
        <w:rPr>
          <w:rFonts w:ascii="Arial" w:hAnsi="Arial" w:cs="Arial"/>
          <w:color w:val="000000"/>
          <w:sz w:val="26"/>
          <w:szCs w:val="26"/>
        </w:rPr>
        <w:t>.</w:t>
      </w:r>
    </w:p>
    <w:p w:rsidR="00BE1663" w:rsidRDefault="00BE1663" w:rsidP="00BE1663">
      <w:pPr>
        <w:pStyle w:val="Sinespaciado1"/>
        <w:spacing w:line="360" w:lineRule="auto"/>
        <w:ind w:firstLine="2880"/>
        <w:jc w:val="both"/>
        <w:rPr>
          <w:rFonts w:ascii="Arial" w:hAnsi="Arial" w:cs="Arial"/>
          <w:sz w:val="26"/>
          <w:szCs w:val="26"/>
        </w:rPr>
      </w:pPr>
    </w:p>
    <w:p w:rsidR="00BE1663" w:rsidRPr="0068756E" w:rsidRDefault="00BE1663" w:rsidP="00BE1663">
      <w:pPr>
        <w:pStyle w:val="Sinespaciado1"/>
        <w:spacing w:line="360" w:lineRule="auto"/>
        <w:ind w:firstLine="2880"/>
        <w:jc w:val="both"/>
        <w:rPr>
          <w:rFonts w:ascii="Arial" w:hAnsi="Arial" w:cs="Arial"/>
          <w:b/>
          <w:sz w:val="26"/>
          <w:szCs w:val="26"/>
        </w:rPr>
      </w:pPr>
      <w:r w:rsidRPr="0068756E">
        <w:rPr>
          <w:rFonts w:ascii="Arial" w:hAnsi="Arial" w:cs="Arial"/>
          <w:b/>
          <w:sz w:val="26"/>
          <w:szCs w:val="26"/>
        </w:rPr>
        <w:lastRenderedPageBreak/>
        <w:t>IV. Decisión</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Civil Familia de Decisión, en Sala Unitaria, </w:t>
      </w:r>
      <w:r w:rsidRPr="00D66029">
        <w:rPr>
          <w:rFonts w:ascii="Arial" w:hAnsi="Arial" w:cs="Arial"/>
          <w:b/>
          <w:sz w:val="24"/>
          <w:szCs w:val="24"/>
        </w:rPr>
        <w:t>RESUELVE</w:t>
      </w:r>
      <w:r w:rsidRPr="00D66029">
        <w:rPr>
          <w:rFonts w:ascii="Arial" w:hAnsi="Arial" w:cs="Arial"/>
          <w:sz w:val="24"/>
          <w:szCs w:val="24"/>
        </w:rPr>
        <w:t xml:space="preserve">: </w:t>
      </w:r>
      <w:r w:rsidR="00D17BF4">
        <w:rPr>
          <w:rFonts w:ascii="Arial" w:hAnsi="Arial" w:cs="Arial"/>
          <w:b/>
          <w:sz w:val="24"/>
          <w:szCs w:val="24"/>
        </w:rPr>
        <w:t xml:space="preserve">CONFIRMAR </w:t>
      </w:r>
      <w:r>
        <w:rPr>
          <w:rFonts w:ascii="Arial" w:hAnsi="Arial" w:cs="Arial"/>
          <w:sz w:val="26"/>
          <w:szCs w:val="26"/>
        </w:rPr>
        <w:t xml:space="preserve">el proveído impugnado. </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sidR="00D17BF4">
        <w:rPr>
          <w:rFonts w:ascii="Arial" w:hAnsi="Arial" w:cs="Arial"/>
          <w:bCs/>
          <w:sz w:val="26"/>
          <w:szCs w:val="26"/>
        </w:rPr>
        <w:t>por no haberse causado</w:t>
      </w:r>
      <w:r w:rsidRPr="00572B23">
        <w:rPr>
          <w:rFonts w:ascii="Arial" w:hAnsi="Arial" w:cs="Arial"/>
          <w:bCs/>
          <w:sz w:val="24"/>
          <w:szCs w:val="26"/>
        </w:rPr>
        <w:t>.</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Pr>
          <w:rFonts w:ascii="Arial" w:hAnsi="Arial" w:cs="Arial"/>
          <w:sz w:val="26"/>
          <w:szCs w:val="26"/>
        </w:rPr>
        <w:t xml:space="preserve">Juzgado </w:t>
      </w:r>
      <w:r w:rsidRPr="001F5E5A">
        <w:rPr>
          <w:rFonts w:ascii="Arial" w:hAnsi="Arial" w:cs="Arial"/>
          <w:sz w:val="26"/>
          <w:szCs w:val="26"/>
        </w:rPr>
        <w:t>de origen.</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r w:rsidRPr="001F5E5A">
        <w:rPr>
          <w:rFonts w:ascii="Arial" w:hAnsi="Arial" w:cs="Arial"/>
          <w:sz w:val="26"/>
          <w:szCs w:val="26"/>
        </w:rPr>
        <w:t>Notifíquese y cúmplase</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Default="00BE1663" w:rsidP="00BE1663">
      <w:pPr>
        <w:pStyle w:val="Sinespaciado1"/>
        <w:spacing w:line="360" w:lineRule="auto"/>
        <w:ind w:right="-7" w:firstLine="2880"/>
        <w:jc w:val="both"/>
        <w:rPr>
          <w:rFonts w:ascii="Arial" w:hAnsi="Arial" w:cs="Arial"/>
          <w:spacing w:val="-3"/>
          <w:sz w:val="24"/>
          <w:szCs w:val="24"/>
        </w:rPr>
      </w:pPr>
      <w:r>
        <w:rPr>
          <w:rFonts w:ascii="Arial" w:hAnsi="Arial" w:cs="Arial"/>
          <w:spacing w:val="-3"/>
          <w:sz w:val="24"/>
          <w:szCs w:val="24"/>
        </w:rPr>
        <w:t xml:space="preserve">El </w:t>
      </w:r>
      <w:r w:rsidRPr="001F5E5A">
        <w:rPr>
          <w:rFonts w:ascii="Arial" w:hAnsi="Arial" w:cs="Arial"/>
          <w:spacing w:val="-3"/>
          <w:sz w:val="24"/>
          <w:szCs w:val="24"/>
        </w:rPr>
        <w:t>Magistrado</w:t>
      </w:r>
      <w:r>
        <w:rPr>
          <w:rFonts w:ascii="Arial" w:hAnsi="Arial" w:cs="Arial"/>
          <w:spacing w:val="-3"/>
          <w:sz w:val="24"/>
          <w:szCs w:val="24"/>
        </w:rPr>
        <w:t>,</w:t>
      </w:r>
    </w:p>
    <w:p w:rsidR="00BE1663" w:rsidRDefault="00BE1663" w:rsidP="00BE1663">
      <w:pPr>
        <w:pStyle w:val="Sinespaciado1"/>
        <w:spacing w:line="360" w:lineRule="auto"/>
        <w:ind w:right="-7" w:firstLine="2880"/>
        <w:jc w:val="both"/>
        <w:rPr>
          <w:rFonts w:ascii="Arial" w:hAnsi="Arial" w:cs="Arial"/>
          <w:spacing w:val="-3"/>
          <w:sz w:val="24"/>
          <w:szCs w:val="24"/>
        </w:rPr>
      </w:pPr>
    </w:p>
    <w:p w:rsidR="00BE1663"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b/>
          <w:spacing w:val="-3"/>
        </w:rPr>
      </w:pPr>
      <w:r w:rsidRPr="001F5E5A">
        <w:rPr>
          <w:rFonts w:ascii="Arial" w:hAnsi="Arial" w:cs="Arial"/>
          <w:b/>
          <w:spacing w:val="-3"/>
        </w:rPr>
        <w:t>EDDER JIMMY SÁNCHEZ CALAMBÁS</w:t>
      </w:r>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rPr>
          <w:lang w:val="es-CO"/>
        </w:rPr>
      </w:pPr>
      <w:r>
        <w:rPr>
          <w:noProof/>
        </w:rPr>
        <mc:AlternateContent>
          <mc:Choice Requires="wps">
            <w:drawing>
              <wp:anchor distT="0" distB="0" distL="114300" distR="114300" simplePos="0" relativeHeight="251659264" behindDoc="0" locked="0" layoutInCell="1" allowOverlap="1" wp14:anchorId="350E327E" wp14:editId="7CB3E78F">
                <wp:simplePos x="0" y="0"/>
                <wp:positionH relativeFrom="column">
                  <wp:posOffset>891360</wp:posOffset>
                </wp:positionH>
                <wp:positionV relativeFrom="paragraph">
                  <wp:posOffset>276057</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50E327E" id="Rectangle 7" o:spid="_x0000_s1026" style="position:absolute;margin-left:70.2pt;margin-top:21.7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" fillcolor="white [3201]" strokecolor="black [3200]" strokeweight="1pt">
                <v:textbo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v:textbox>
              </v:rect>
            </w:pict>
          </mc:Fallback>
        </mc:AlternateContent>
      </w:r>
    </w:p>
    <w:p w:rsidR="00E75752" w:rsidRDefault="00E75752"/>
    <w:sectPr w:rsidR="00E75752" w:rsidSect="00B63AC2">
      <w:headerReference w:type="default" r:id="rId6"/>
      <w:footerReference w:type="default" r:id="rId7"/>
      <w:pgSz w:w="12242" w:h="18722" w:code="127"/>
      <w:pgMar w:top="2835"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25" w:rsidRDefault="000B2325" w:rsidP="00BE1663">
      <w:r>
        <w:separator/>
      </w:r>
    </w:p>
  </w:endnote>
  <w:endnote w:type="continuationSeparator" w:id="0">
    <w:p w:rsidR="000B2325" w:rsidRDefault="000B2325" w:rsidP="00B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B97631" w:rsidRDefault="00E01E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60720">
      <w:rPr>
        <w:rFonts w:ascii="Arial" w:hAnsi="Arial" w:cs="Arial"/>
        <w:noProof/>
        <w:sz w:val="22"/>
        <w:szCs w:val="22"/>
      </w:rPr>
      <w:t>1</w:t>
    </w:r>
    <w:r w:rsidRPr="00B97631">
      <w:rPr>
        <w:rFonts w:ascii="Arial" w:hAnsi="Arial" w:cs="Arial"/>
        <w:sz w:val="22"/>
        <w:szCs w:val="22"/>
      </w:rPr>
      <w:fldChar w:fldCharType="end"/>
    </w:r>
  </w:p>
  <w:p w:rsidR="00F8235A" w:rsidRDefault="00560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25" w:rsidRDefault="000B2325" w:rsidP="00BE1663">
      <w:r>
        <w:separator/>
      </w:r>
    </w:p>
  </w:footnote>
  <w:footnote w:type="continuationSeparator" w:id="0">
    <w:p w:rsidR="000B2325" w:rsidRDefault="000B2325" w:rsidP="00BE1663">
      <w:r>
        <w:continuationSeparator/>
      </w:r>
    </w:p>
  </w:footnote>
  <w:footnote w:id="1">
    <w:p w:rsidR="00B63AC2" w:rsidRPr="008346A2" w:rsidRDefault="00B63AC2" w:rsidP="00B63AC2">
      <w:pPr>
        <w:pStyle w:val="Textonotapie"/>
        <w:rPr>
          <w:lang w:val="es-CO"/>
        </w:rPr>
      </w:pPr>
      <w:r w:rsidRPr="008346A2">
        <w:rPr>
          <w:rStyle w:val="Refdenotaalpie"/>
          <w:rFonts w:ascii="Arial" w:hAnsi="Arial" w:cs="Arial"/>
        </w:rPr>
        <w:footnoteRef/>
      </w:r>
      <w:r w:rsidRPr="008346A2">
        <w:rPr>
          <w:rFonts w:ascii="Arial" w:hAnsi="Arial" w:cs="Arial"/>
        </w:rPr>
        <w:t xml:space="preserve"> </w:t>
      </w:r>
      <w:r w:rsidRPr="00F50FB5">
        <w:rPr>
          <w:rFonts w:ascii="Arial" w:hAnsi="Arial" w:cs="Arial"/>
          <w:sz w:val="18"/>
          <w:szCs w:val="18"/>
        </w:rPr>
        <w:t>CORTE SUPREMA DE JUSTICIA</w:t>
      </w:r>
      <w:r w:rsidRPr="008346A2">
        <w:rPr>
          <w:rFonts w:ascii="Arial" w:hAnsi="Arial" w:cs="Arial"/>
        </w:rPr>
        <w:t>, Sala de Casación Civil. Sentencia SC14658-2015, MP: Fernando Giraldo G</w:t>
      </w:r>
      <w:r>
        <w:rPr>
          <w:rFonts w:ascii="Arial" w:hAnsi="Arial" w:cs="Arial"/>
        </w:rPr>
        <w:t>utiérrez</w:t>
      </w:r>
      <w:r w:rsidRPr="008346A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5643A9" w:rsidRDefault="00E01E24" w:rsidP="0077713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8235A" w:rsidRPr="005643A9" w:rsidRDefault="00E01E24" w:rsidP="0077713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9497D62" wp14:editId="635BC5C8">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35A" w:rsidRPr="005643A9" w:rsidRDefault="00560720" w:rsidP="00777137">
    <w:pPr>
      <w:pStyle w:val="Sinespaciado1"/>
      <w:rPr>
        <w:rFonts w:ascii="Arial" w:hAnsi="Arial" w:cs="Arial"/>
        <w:sz w:val="16"/>
        <w:szCs w:val="16"/>
      </w:rPr>
    </w:pPr>
  </w:p>
  <w:p w:rsidR="00F8235A" w:rsidRPr="005643A9" w:rsidRDefault="00560720" w:rsidP="00777137">
    <w:pPr>
      <w:pStyle w:val="Sinespaciado"/>
      <w:rPr>
        <w:rFonts w:ascii="Arial" w:hAnsi="Arial" w:cs="Arial"/>
        <w:sz w:val="16"/>
        <w:szCs w:val="16"/>
      </w:rPr>
    </w:pPr>
  </w:p>
  <w:p w:rsidR="00F8235A" w:rsidRDefault="00E01E24" w:rsidP="0077713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8235A" w:rsidRPr="005643A9" w:rsidRDefault="00E01E24" w:rsidP="0077713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Apel. </w:t>
    </w:r>
    <w:r w:rsidR="008E0AAB">
      <w:rPr>
        <w:rFonts w:ascii="Arial" w:hAnsi="Arial" w:cs="Arial"/>
        <w:sz w:val="16"/>
        <w:szCs w:val="16"/>
      </w:rPr>
      <w:t>auto civil. 66001-31-03-004-2014-00002</w:t>
    </w:r>
    <w:r>
      <w:rPr>
        <w:rFonts w:ascii="Arial" w:hAnsi="Arial" w:cs="Arial"/>
        <w:sz w:val="16"/>
        <w:szCs w:val="16"/>
      </w:rPr>
      <w:t>-01</w:t>
    </w:r>
  </w:p>
  <w:p w:rsidR="00F8235A" w:rsidRDefault="00560720">
    <w:pPr>
      <w:pStyle w:val="Encabezado"/>
      <w:rPr>
        <w:rFonts w:ascii="Arial" w:hAnsi="Arial" w:cs="Arial"/>
        <w:sz w:val="16"/>
        <w:szCs w:val="16"/>
      </w:rPr>
    </w:pPr>
  </w:p>
  <w:p w:rsidR="00F8235A" w:rsidRPr="005643A9" w:rsidRDefault="00E01E24">
    <w:pPr>
      <w:pStyle w:val="Encabezado"/>
      <w:rPr>
        <w:rFonts w:ascii="Arial" w:hAnsi="Arial" w:cs="Arial"/>
        <w:sz w:val="16"/>
        <w:szCs w:val="16"/>
      </w:rPr>
    </w:pPr>
    <w:r>
      <w:rPr>
        <w:rFonts w:ascii="Arial" w:hAnsi="Arial" w:cs="Arial"/>
        <w:sz w:val="16"/>
        <w:szCs w:val="16"/>
      </w:rPr>
      <w:t>___________________________________________________________________</w:t>
    </w:r>
    <w:r w:rsidR="002A00A4">
      <w:rPr>
        <w:rFonts w:ascii="Arial" w:hAnsi="Arial" w:cs="Arial"/>
        <w:sz w:val="16"/>
        <w:szCs w:val="16"/>
      </w:rPr>
      <w:t>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63"/>
    <w:rsid w:val="000534F2"/>
    <w:rsid w:val="000B2325"/>
    <w:rsid w:val="001344E1"/>
    <w:rsid w:val="0024108A"/>
    <w:rsid w:val="002A00A4"/>
    <w:rsid w:val="002B2D68"/>
    <w:rsid w:val="003F7C5A"/>
    <w:rsid w:val="00544A0B"/>
    <w:rsid w:val="00546283"/>
    <w:rsid w:val="00560720"/>
    <w:rsid w:val="005E7B74"/>
    <w:rsid w:val="005F7253"/>
    <w:rsid w:val="00650185"/>
    <w:rsid w:val="006550D5"/>
    <w:rsid w:val="00875061"/>
    <w:rsid w:val="008E0AAB"/>
    <w:rsid w:val="00986F52"/>
    <w:rsid w:val="009D3DC8"/>
    <w:rsid w:val="00A0204B"/>
    <w:rsid w:val="00A7620B"/>
    <w:rsid w:val="00AB7786"/>
    <w:rsid w:val="00B63AC2"/>
    <w:rsid w:val="00BE1663"/>
    <w:rsid w:val="00C62646"/>
    <w:rsid w:val="00D14FA1"/>
    <w:rsid w:val="00D17BF4"/>
    <w:rsid w:val="00D40D32"/>
    <w:rsid w:val="00E01E24"/>
    <w:rsid w:val="00E75752"/>
    <w:rsid w:val="00E86564"/>
    <w:rsid w:val="00EE6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C2C2-1179-4369-A3E1-74370CE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cabezado">
    <w:name w:val="header"/>
    <w:basedOn w:val="Normal"/>
    <w:link w:val="EncabezadoCar"/>
    <w:rsid w:val="00BE1663"/>
    <w:pPr>
      <w:tabs>
        <w:tab w:val="center" w:pos="4419"/>
        <w:tab w:val="right" w:pos="8838"/>
      </w:tabs>
    </w:pPr>
  </w:style>
  <w:style w:type="character" w:customStyle="1" w:styleId="EncabezadoCar">
    <w:name w:val="Encabezado Car"/>
    <w:basedOn w:val="Fuentedeprrafopredeter"/>
    <w:link w:val="Encabezado"/>
    <w:rsid w:val="00BE1663"/>
    <w:rPr>
      <w:rFonts w:ascii="Times New Roman" w:eastAsia="Times New Roman" w:hAnsi="Times New Roman" w:cs="Times New Roman"/>
      <w:sz w:val="20"/>
      <w:szCs w:val="20"/>
      <w:lang w:eastAsia="es-ES"/>
    </w:rPr>
  </w:style>
  <w:style w:type="paragraph" w:styleId="Piedepgina">
    <w:name w:val="footer"/>
    <w:basedOn w:val="Normal"/>
    <w:link w:val="PiedepginaCar"/>
    <w:rsid w:val="00BE1663"/>
    <w:pPr>
      <w:tabs>
        <w:tab w:val="center" w:pos="4419"/>
        <w:tab w:val="right" w:pos="8838"/>
      </w:tabs>
    </w:pPr>
  </w:style>
  <w:style w:type="character" w:customStyle="1" w:styleId="PiedepginaCar">
    <w:name w:val="Pie de página Car"/>
    <w:basedOn w:val="Fuentedeprrafopredeter"/>
    <w:link w:val="Piedepgina"/>
    <w:rsid w:val="00BE1663"/>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BE1663"/>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E16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
    <w:basedOn w:val="Fuentedeprrafopredeter"/>
    <w:unhideWhenUsed/>
    <w:rsid w:val="00BE1663"/>
    <w:rPr>
      <w:vertAlign w:val="superscript"/>
    </w:rPr>
  </w:style>
  <w:style w:type="character" w:customStyle="1" w:styleId="apple-converted-space">
    <w:name w:val="apple-converted-space"/>
    <w:basedOn w:val="Fuentedeprrafopredeter"/>
    <w:rsid w:val="00BE1663"/>
  </w:style>
  <w:style w:type="paragraph" w:styleId="Textoindependiente">
    <w:name w:val="Body Text"/>
    <w:basedOn w:val="Normal"/>
    <w:link w:val="TextoindependienteCar"/>
    <w:uiPriority w:val="99"/>
    <w:rsid w:val="00BE1663"/>
    <w:pPr>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rsid w:val="00BE1663"/>
    <w:rPr>
      <w:rFonts w:ascii="Courier New" w:eastAsia="Times New Roman" w:hAnsi="Courier New" w:cs="Courier New"/>
      <w:bCs/>
      <w:sz w:val="24"/>
      <w:szCs w:val="28"/>
      <w:lang w:eastAsia="es-ES"/>
    </w:rPr>
  </w:style>
  <w:style w:type="character" w:customStyle="1" w:styleId="SinespaciadoCar">
    <w:name w:val="Sin espaciado Car"/>
    <w:link w:val="Sinespaciado"/>
    <w:uiPriority w:val="1"/>
    <w:locked/>
    <w:rsid w:val="00BE166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0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18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Irma Yaneth Londoño Betancurt</cp:lastModifiedBy>
  <cp:revision>2</cp:revision>
  <cp:lastPrinted>2016-05-26T12:35:00Z</cp:lastPrinted>
  <dcterms:created xsi:type="dcterms:W3CDTF">2016-09-15T17:03:00Z</dcterms:created>
  <dcterms:modified xsi:type="dcterms:W3CDTF">2016-09-15T17:03:00Z</dcterms:modified>
</cp:coreProperties>
</file>