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B7" w:rsidRPr="00B32804" w:rsidRDefault="006577B7" w:rsidP="006577B7">
      <w:pPr>
        <w:pBdr>
          <w:top w:val="single" w:sz="4" w:space="1" w:color="auto"/>
          <w:left w:val="single" w:sz="4" w:space="4" w:color="auto"/>
          <w:bottom w:val="single" w:sz="4" w:space="1" w:color="auto"/>
          <w:right w:val="single" w:sz="4" w:space="4" w:color="auto"/>
        </w:pBdr>
        <w:shd w:val="clear" w:color="auto" w:fill="FFFFFF"/>
        <w:jc w:val="center"/>
        <w:rPr>
          <w:color w:val="222222"/>
          <w:szCs w:val="24"/>
          <w:lang w:val="es-CO" w:eastAsia="fr-FR"/>
        </w:rPr>
      </w:pPr>
      <w:r w:rsidRPr="00B32804">
        <w:rPr>
          <w:rFonts w:ascii="Arial Narrow" w:hAnsi="Arial Narrow"/>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w:t>
      </w:r>
      <w:r>
        <w:rPr>
          <w:rFonts w:ascii="Arial Narrow" w:hAnsi="Arial Narrow"/>
          <w:color w:val="FF0000"/>
          <w:sz w:val="16"/>
          <w:szCs w:val="16"/>
          <w:lang w:val="es-CO" w:eastAsia="fr-FR"/>
        </w:rPr>
        <w:t>a Secretaría de la respectiva sala</w:t>
      </w:r>
      <w:r w:rsidRPr="00B32804">
        <w:rPr>
          <w:rFonts w:ascii="Arial Narrow" w:hAnsi="Arial Narrow"/>
          <w:color w:val="FF0000"/>
          <w:sz w:val="16"/>
          <w:szCs w:val="16"/>
          <w:lang w:val="es-CO" w:eastAsia="fr-FR"/>
        </w:rPr>
        <w:t>.</w:t>
      </w:r>
      <w:r w:rsidRPr="00B32804">
        <w:rPr>
          <w:rFonts w:ascii="Calibri" w:hAnsi="Calibri" w:cs="Calibri"/>
          <w:color w:val="222222"/>
          <w:sz w:val="18"/>
          <w:szCs w:val="18"/>
          <w:lang w:val="es-CO" w:eastAsia="fr-FR"/>
        </w:rPr>
        <w:t> </w:t>
      </w:r>
    </w:p>
    <w:p w:rsidR="006577B7" w:rsidRPr="00244B60" w:rsidRDefault="006577B7" w:rsidP="006577B7">
      <w:pPr>
        <w:rPr>
          <w:rFonts w:ascii="Calibri" w:hAnsi="Calibri"/>
          <w:sz w:val="18"/>
          <w:szCs w:val="18"/>
        </w:rPr>
      </w:pPr>
    </w:p>
    <w:p w:rsidR="006577B7" w:rsidRPr="00F73854" w:rsidRDefault="006577B7" w:rsidP="006577B7">
      <w:pPr>
        <w:rPr>
          <w:rFonts w:ascii="Calibri" w:hAnsi="Calibri"/>
          <w:sz w:val="18"/>
          <w:szCs w:val="18"/>
        </w:rPr>
      </w:pPr>
      <w:r w:rsidRPr="00F73854">
        <w:rPr>
          <w:rFonts w:ascii="Calibri" w:hAnsi="Calibri"/>
          <w:sz w:val="18"/>
          <w:szCs w:val="18"/>
        </w:rPr>
        <w:t xml:space="preserve">Asunto: </w:t>
      </w:r>
      <w:r w:rsidRPr="00F73854">
        <w:rPr>
          <w:rFonts w:ascii="Calibri" w:hAnsi="Calibri"/>
          <w:sz w:val="18"/>
          <w:szCs w:val="18"/>
        </w:rPr>
        <w:tab/>
      </w:r>
      <w:r w:rsidRPr="00F73854">
        <w:rPr>
          <w:rFonts w:ascii="Calibri" w:hAnsi="Calibri"/>
          <w:sz w:val="18"/>
          <w:szCs w:val="18"/>
        </w:rPr>
        <w:tab/>
      </w:r>
      <w:r w:rsidRPr="00F73854">
        <w:rPr>
          <w:rFonts w:ascii="Calibri" w:hAnsi="Calibri"/>
          <w:sz w:val="18"/>
          <w:szCs w:val="18"/>
        </w:rPr>
        <w:tab/>
      </w:r>
      <w:r w:rsidR="00295D21">
        <w:rPr>
          <w:rFonts w:ascii="Calibri" w:hAnsi="Calibri"/>
          <w:sz w:val="18"/>
          <w:szCs w:val="18"/>
        </w:rPr>
        <w:t>Auto</w:t>
      </w:r>
      <w:r w:rsidRPr="00F73854">
        <w:rPr>
          <w:rFonts w:ascii="Calibri" w:hAnsi="Calibri"/>
          <w:sz w:val="18"/>
          <w:szCs w:val="18"/>
        </w:rPr>
        <w:t xml:space="preserve"> – 2ª instancia</w:t>
      </w:r>
      <w:r w:rsidR="00295D21">
        <w:rPr>
          <w:rFonts w:ascii="Calibri" w:hAnsi="Calibri"/>
          <w:sz w:val="18"/>
          <w:szCs w:val="18"/>
        </w:rPr>
        <w:t xml:space="preserve"> que resuelve una apelación – 06</w:t>
      </w:r>
      <w:r w:rsidRPr="00F73854">
        <w:rPr>
          <w:rFonts w:ascii="Calibri" w:hAnsi="Calibri"/>
          <w:sz w:val="18"/>
          <w:szCs w:val="18"/>
        </w:rPr>
        <w:t xml:space="preserve"> de diciembre de 2016</w:t>
      </w:r>
    </w:p>
    <w:p w:rsidR="006577B7" w:rsidRPr="00F73854" w:rsidRDefault="006577B7" w:rsidP="006577B7">
      <w:pPr>
        <w:rPr>
          <w:rFonts w:ascii="Calibri" w:hAnsi="Calibri"/>
          <w:sz w:val="18"/>
          <w:szCs w:val="18"/>
        </w:rPr>
      </w:pPr>
      <w:r w:rsidRPr="00F73854">
        <w:rPr>
          <w:rFonts w:ascii="Calibri" w:hAnsi="Calibri"/>
          <w:sz w:val="18"/>
          <w:szCs w:val="18"/>
        </w:rPr>
        <w:t xml:space="preserve">Radicación: </w:t>
      </w:r>
      <w:r w:rsidRPr="00F73854">
        <w:rPr>
          <w:rFonts w:ascii="Calibri" w:hAnsi="Calibri"/>
          <w:sz w:val="18"/>
          <w:szCs w:val="18"/>
        </w:rPr>
        <w:tab/>
      </w:r>
      <w:r w:rsidRPr="00F73854">
        <w:rPr>
          <w:rFonts w:ascii="Calibri" w:hAnsi="Calibri"/>
          <w:sz w:val="18"/>
          <w:szCs w:val="18"/>
        </w:rPr>
        <w:tab/>
      </w:r>
      <w:r w:rsidR="00295D21" w:rsidRPr="00295D21">
        <w:rPr>
          <w:rFonts w:ascii="Calibri" w:hAnsi="Calibri"/>
          <w:sz w:val="18"/>
          <w:szCs w:val="18"/>
        </w:rPr>
        <w:t>66001-31-03-004-2016-00207-01</w:t>
      </w:r>
    </w:p>
    <w:p w:rsidR="006577B7" w:rsidRPr="00F73854" w:rsidRDefault="006577B7" w:rsidP="006577B7">
      <w:pPr>
        <w:rPr>
          <w:rFonts w:ascii="Calibri" w:hAnsi="Calibri"/>
          <w:sz w:val="18"/>
          <w:szCs w:val="18"/>
        </w:rPr>
      </w:pPr>
      <w:r w:rsidRPr="00F73854">
        <w:rPr>
          <w:rFonts w:ascii="Calibri" w:hAnsi="Calibri"/>
          <w:sz w:val="18"/>
          <w:szCs w:val="18"/>
        </w:rPr>
        <w:t xml:space="preserve">Demandantes: </w:t>
      </w:r>
      <w:r w:rsidRPr="00F73854">
        <w:rPr>
          <w:rFonts w:ascii="Calibri" w:hAnsi="Calibri"/>
          <w:sz w:val="18"/>
          <w:szCs w:val="18"/>
        </w:rPr>
        <w:tab/>
      </w:r>
      <w:r w:rsidRPr="00F73854">
        <w:rPr>
          <w:rFonts w:ascii="Calibri" w:hAnsi="Calibri"/>
          <w:sz w:val="18"/>
          <w:szCs w:val="18"/>
        </w:rPr>
        <w:tab/>
      </w:r>
      <w:r w:rsidR="00295D21" w:rsidRPr="00295D21">
        <w:rPr>
          <w:rFonts w:ascii="Calibri" w:hAnsi="Calibri"/>
          <w:sz w:val="18"/>
          <w:szCs w:val="18"/>
        </w:rPr>
        <w:t>HILDA MARÍA GÓMEZ CORREA</w:t>
      </w:r>
    </w:p>
    <w:p w:rsidR="006577B7" w:rsidRPr="00F73854" w:rsidRDefault="006577B7" w:rsidP="006577B7">
      <w:pPr>
        <w:rPr>
          <w:rFonts w:ascii="Calibri" w:hAnsi="Calibri"/>
          <w:sz w:val="18"/>
          <w:szCs w:val="18"/>
        </w:rPr>
      </w:pPr>
      <w:r w:rsidRPr="00F73854">
        <w:rPr>
          <w:rFonts w:ascii="Calibri" w:hAnsi="Calibri"/>
          <w:sz w:val="18"/>
          <w:szCs w:val="18"/>
        </w:rPr>
        <w:t xml:space="preserve">Demandados: </w:t>
      </w:r>
      <w:r w:rsidRPr="00F73854">
        <w:rPr>
          <w:rFonts w:ascii="Calibri" w:hAnsi="Calibri"/>
          <w:sz w:val="18"/>
          <w:szCs w:val="18"/>
        </w:rPr>
        <w:tab/>
      </w:r>
      <w:r w:rsidRPr="00F73854">
        <w:rPr>
          <w:rFonts w:ascii="Calibri" w:hAnsi="Calibri"/>
          <w:sz w:val="18"/>
          <w:szCs w:val="18"/>
        </w:rPr>
        <w:tab/>
      </w:r>
      <w:r w:rsidR="00295D21" w:rsidRPr="00295D21">
        <w:rPr>
          <w:rFonts w:ascii="Calibri" w:hAnsi="Calibri"/>
          <w:sz w:val="18"/>
          <w:szCs w:val="18"/>
        </w:rPr>
        <w:t>OPER</w:t>
      </w:r>
      <w:r w:rsidR="00295D21">
        <w:rPr>
          <w:rFonts w:ascii="Calibri" w:hAnsi="Calibri"/>
          <w:sz w:val="18"/>
          <w:szCs w:val="18"/>
        </w:rPr>
        <w:t>ADORA AVÍCOLA DE COLOMBIA S.A.S</w:t>
      </w:r>
      <w:r w:rsidRPr="00A432F1">
        <w:rPr>
          <w:rFonts w:ascii="Calibri" w:hAnsi="Calibri"/>
          <w:sz w:val="18"/>
          <w:szCs w:val="18"/>
        </w:rPr>
        <w:t>.</w:t>
      </w:r>
    </w:p>
    <w:p w:rsidR="006577B7" w:rsidRPr="00F73854" w:rsidRDefault="006577B7" w:rsidP="006577B7">
      <w:pPr>
        <w:rPr>
          <w:rFonts w:ascii="Calibri" w:hAnsi="Calibri"/>
          <w:sz w:val="18"/>
          <w:szCs w:val="18"/>
        </w:rPr>
      </w:pPr>
      <w:r w:rsidRPr="00F73854">
        <w:rPr>
          <w:rFonts w:ascii="Calibri" w:hAnsi="Calibri"/>
          <w:sz w:val="18"/>
          <w:szCs w:val="18"/>
        </w:rPr>
        <w:t xml:space="preserve">Proceso: </w:t>
      </w:r>
      <w:r w:rsidRPr="00F73854">
        <w:rPr>
          <w:rFonts w:ascii="Calibri" w:hAnsi="Calibri"/>
          <w:sz w:val="18"/>
          <w:szCs w:val="18"/>
        </w:rPr>
        <w:tab/>
      </w:r>
      <w:r w:rsidRPr="00F73854">
        <w:rPr>
          <w:rFonts w:ascii="Calibri" w:hAnsi="Calibri"/>
          <w:sz w:val="18"/>
          <w:szCs w:val="18"/>
        </w:rPr>
        <w:tab/>
      </w:r>
      <w:r w:rsidRPr="00F73854">
        <w:rPr>
          <w:rFonts w:ascii="Calibri" w:hAnsi="Calibri"/>
          <w:sz w:val="18"/>
          <w:szCs w:val="18"/>
        </w:rPr>
        <w:tab/>
      </w:r>
      <w:r w:rsidR="00295D21">
        <w:rPr>
          <w:rFonts w:ascii="Calibri" w:hAnsi="Calibri"/>
          <w:sz w:val="18"/>
          <w:szCs w:val="18"/>
        </w:rPr>
        <w:t>Incumplimiento de contrato</w:t>
      </w:r>
    </w:p>
    <w:p w:rsidR="006577B7" w:rsidRPr="00F73854" w:rsidRDefault="006577B7" w:rsidP="006577B7">
      <w:pPr>
        <w:rPr>
          <w:rFonts w:ascii="Calibri" w:hAnsi="Calibri"/>
          <w:sz w:val="18"/>
          <w:szCs w:val="18"/>
        </w:rPr>
      </w:pPr>
      <w:r w:rsidRPr="00F73854">
        <w:rPr>
          <w:rFonts w:ascii="Calibri" w:hAnsi="Calibri"/>
          <w:sz w:val="18"/>
          <w:szCs w:val="18"/>
        </w:rPr>
        <w:t xml:space="preserve">Magistrado Ponente: </w:t>
      </w:r>
      <w:r w:rsidRPr="00F73854">
        <w:rPr>
          <w:rFonts w:ascii="Calibri" w:hAnsi="Calibri"/>
          <w:sz w:val="18"/>
          <w:szCs w:val="18"/>
        </w:rPr>
        <w:tab/>
      </w:r>
      <w:proofErr w:type="spellStart"/>
      <w:r w:rsidRPr="00F73854">
        <w:rPr>
          <w:rFonts w:ascii="Calibri" w:hAnsi="Calibri"/>
          <w:sz w:val="18"/>
          <w:szCs w:val="18"/>
        </w:rPr>
        <w:t>EDDER</w:t>
      </w:r>
      <w:proofErr w:type="spellEnd"/>
      <w:r w:rsidRPr="00F73854">
        <w:rPr>
          <w:rFonts w:ascii="Calibri" w:hAnsi="Calibri"/>
          <w:sz w:val="18"/>
          <w:szCs w:val="18"/>
        </w:rPr>
        <w:t xml:space="preserve"> JIMMY SÁNCHEZ </w:t>
      </w:r>
      <w:proofErr w:type="spellStart"/>
      <w:r w:rsidRPr="00F73854">
        <w:rPr>
          <w:rFonts w:ascii="Calibri" w:hAnsi="Calibri"/>
          <w:sz w:val="18"/>
          <w:szCs w:val="18"/>
        </w:rPr>
        <w:t>CALAMBÁS</w:t>
      </w:r>
      <w:proofErr w:type="spellEnd"/>
    </w:p>
    <w:p w:rsidR="006577B7" w:rsidRPr="00244B60" w:rsidRDefault="006577B7" w:rsidP="006577B7">
      <w:pPr>
        <w:rPr>
          <w:rFonts w:ascii="Calibri" w:hAnsi="Calibri"/>
          <w:sz w:val="18"/>
          <w:szCs w:val="18"/>
        </w:rPr>
      </w:pPr>
    </w:p>
    <w:p w:rsidR="00CD7A59" w:rsidRPr="000E420D" w:rsidRDefault="006577B7" w:rsidP="00CD7A59">
      <w:pPr>
        <w:jc w:val="both"/>
        <w:rPr>
          <w:rFonts w:asciiTheme="minorHAnsi" w:hAnsiTheme="minorHAnsi"/>
          <w:sz w:val="18"/>
          <w:szCs w:val="18"/>
        </w:rPr>
      </w:pPr>
      <w:r w:rsidRPr="00A432F1">
        <w:rPr>
          <w:rFonts w:asciiTheme="minorHAnsi" w:hAnsiTheme="minorHAnsi"/>
          <w:b/>
          <w:sz w:val="18"/>
          <w:szCs w:val="18"/>
        </w:rPr>
        <w:t xml:space="preserve">TEMAS:                                </w:t>
      </w:r>
      <w:r w:rsidRPr="00A432F1">
        <w:rPr>
          <w:rFonts w:asciiTheme="minorHAnsi" w:hAnsiTheme="minorHAnsi"/>
          <w:b/>
          <w:sz w:val="18"/>
          <w:szCs w:val="18"/>
        </w:rPr>
        <w:tab/>
      </w:r>
      <w:r w:rsidR="00295D21">
        <w:rPr>
          <w:rFonts w:asciiTheme="minorHAnsi" w:hAnsiTheme="minorHAnsi"/>
          <w:b/>
          <w:sz w:val="18"/>
          <w:szCs w:val="18"/>
        </w:rPr>
        <w:t xml:space="preserve">INCUMPLIMIENTO DE CONTRATO / SOLICITUD DE </w:t>
      </w:r>
      <w:r w:rsidR="00CD7A59">
        <w:rPr>
          <w:rFonts w:asciiTheme="minorHAnsi" w:hAnsiTheme="minorHAnsi"/>
          <w:b/>
          <w:sz w:val="18"/>
          <w:szCs w:val="18"/>
        </w:rPr>
        <w:t xml:space="preserve">INSCRIPCIÓN DE LA DEMANDA EN </w:t>
      </w:r>
      <w:r w:rsidR="00295D21">
        <w:rPr>
          <w:rFonts w:asciiTheme="minorHAnsi" w:hAnsiTheme="minorHAnsi"/>
          <w:b/>
          <w:sz w:val="18"/>
          <w:szCs w:val="18"/>
        </w:rPr>
        <w:t>EL REGISTRO MERCANT</w:t>
      </w:r>
      <w:r w:rsidR="00B5482E">
        <w:rPr>
          <w:rFonts w:asciiTheme="minorHAnsi" w:hAnsiTheme="minorHAnsi"/>
          <w:b/>
          <w:sz w:val="18"/>
          <w:szCs w:val="18"/>
        </w:rPr>
        <w:t xml:space="preserve">IL / MEDIDA CAUTELAR </w:t>
      </w:r>
      <w:r w:rsidR="00295D21">
        <w:rPr>
          <w:rFonts w:asciiTheme="minorHAnsi" w:hAnsiTheme="minorHAnsi"/>
          <w:b/>
          <w:sz w:val="18"/>
          <w:szCs w:val="18"/>
        </w:rPr>
        <w:t>RECHAZADA POR EL A QUO</w:t>
      </w:r>
      <w:r w:rsidRPr="00A432F1">
        <w:rPr>
          <w:rFonts w:asciiTheme="minorHAnsi" w:hAnsiTheme="minorHAnsi"/>
          <w:b/>
          <w:sz w:val="18"/>
          <w:szCs w:val="18"/>
        </w:rPr>
        <w:t>/</w:t>
      </w:r>
      <w:r w:rsidR="00CD7A59">
        <w:rPr>
          <w:rFonts w:asciiTheme="minorHAnsi" w:hAnsiTheme="minorHAnsi"/>
          <w:b/>
          <w:sz w:val="18"/>
          <w:szCs w:val="18"/>
        </w:rPr>
        <w:t xml:space="preserve"> SE CONFIRMA /</w:t>
      </w:r>
      <w:r w:rsidRPr="00A432F1">
        <w:rPr>
          <w:rFonts w:asciiTheme="minorHAnsi" w:hAnsiTheme="minorHAnsi"/>
          <w:b/>
          <w:sz w:val="18"/>
          <w:szCs w:val="18"/>
        </w:rPr>
        <w:t xml:space="preserve"> “</w:t>
      </w:r>
      <w:r w:rsidR="00CD7A59" w:rsidRPr="000E420D">
        <w:rPr>
          <w:rFonts w:asciiTheme="minorHAnsi" w:hAnsiTheme="minorHAnsi"/>
          <w:sz w:val="18"/>
          <w:szCs w:val="18"/>
        </w:rPr>
        <w:t xml:space="preserve">Ante tal requerimiento, el asesor judicial de la demandante, manifiesta al juzgado que por error involuntario “se obvió incluir una petición para dar cumplimiento a tal requisito”, por lo que solicita al despacho, de conformidad con los artículos 590 y 591 del </w:t>
      </w:r>
      <w:proofErr w:type="spellStart"/>
      <w:r w:rsidR="00CD7A59" w:rsidRPr="000E420D">
        <w:rPr>
          <w:rFonts w:asciiTheme="minorHAnsi" w:hAnsiTheme="minorHAnsi"/>
          <w:sz w:val="18"/>
          <w:szCs w:val="18"/>
        </w:rPr>
        <w:t>CGP</w:t>
      </w:r>
      <w:proofErr w:type="spellEnd"/>
      <w:r w:rsidR="00CD7A59" w:rsidRPr="000E420D">
        <w:rPr>
          <w:rFonts w:asciiTheme="minorHAnsi" w:hAnsiTheme="minorHAnsi"/>
          <w:sz w:val="18"/>
          <w:szCs w:val="18"/>
        </w:rPr>
        <w:t xml:space="preserve">, se decrete la cautela de inscripción de la demanda en la matrícula mercantil No. 180716 de la Cámara de Comercio de </w:t>
      </w:r>
      <w:proofErr w:type="spellStart"/>
      <w:r w:rsidR="00CD7A59" w:rsidRPr="000E420D">
        <w:rPr>
          <w:rFonts w:asciiTheme="minorHAnsi" w:hAnsiTheme="minorHAnsi"/>
          <w:sz w:val="18"/>
          <w:szCs w:val="18"/>
        </w:rPr>
        <w:t>Aburrá</w:t>
      </w:r>
      <w:proofErr w:type="spellEnd"/>
      <w:r w:rsidR="00CD7A59" w:rsidRPr="000E420D">
        <w:rPr>
          <w:rFonts w:asciiTheme="minorHAnsi" w:hAnsiTheme="minorHAnsi"/>
          <w:sz w:val="18"/>
          <w:szCs w:val="18"/>
        </w:rPr>
        <w:t xml:space="preserve"> Sur, “obviando así el Requisito de </w:t>
      </w:r>
      <w:proofErr w:type="spellStart"/>
      <w:r w:rsidR="00CD7A59" w:rsidRPr="000E420D">
        <w:rPr>
          <w:rFonts w:asciiTheme="minorHAnsi" w:hAnsiTheme="minorHAnsi"/>
          <w:sz w:val="18"/>
          <w:szCs w:val="18"/>
        </w:rPr>
        <w:t>Procedibilidad</w:t>
      </w:r>
      <w:proofErr w:type="spellEnd"/>
      <w:r w:rsidR="00CD7A59" w:rsidRPr="000E420D">
        <w:rPr>
          <w:rFonts w:asciiTheme="minorHAnsi" w:hAnsiTheme="minorHAnsi"/>
          <w:sz w:val="18"/>
          <w:szCs w:val="18"/>
        </w:rPr>
        <w:t xml:space="preserve"> para acudir ante este estrado judicial.” (</w:t>
      </w:r>
      <w:proofErr w:type="spellStart"/>
      <w:r w:rsidR="00CD7A59" w:rsidRPr="000E420D">
        <w:rPr>
          <w:rFonts w:asciiTheme="minorHAnsi" w:hAnsiTheme="minorHAnsi"/>
          <w:sz w:val="18"/>
          <w:szCs w:val="18"/>
        </w:rPr>
        <w:t>fls</w:t>
      </w:r>
      <w:proofErr w:type="spellEnd"/>
      <w:r w:rsidR="00CD7A59" w:rsidRPr="000E420D">
        <w:rPr>
          <w:rFonts w:asciiTheme="minorHAnsi" w:hAnsiTheme="minorHAnsi"/>
          <w:sz w:val="18"/>
          <w:szCs w:val="18"/>
        </w:rPr>
        <w:t xml:space="preserve">. 20-21 </w:t>
      </w:r>
      <w:proofErr w:type="spellStart"/>
      <w:r w:rsidR="00CD7A59" w:rsidRPr="000E420D">
        <w:rPr>
          <w:rFonts w:asciiTheme="minorHAnsi" w:hAnsiTheme="minorHAnsi"/>
          <w:sz w:val="18"/>
          <w:szCs w:val="18"/>
        </w:rPr>
        <w:t>íd</w:t>
      </w:r>
      <w:proofErr w:type="spellEnd"/>
      <w:r w:rsidR="00CD7A59" w:rsidRPr="000E420D">
        <w:rPr>
          <w:rFonts w:asciiTheme="minorHAnsi" w:hAnsiTheme="minorHAnsi"/>
          <w:sz w:val="18"/>
          <w:szCs w:val="18"/>
        </w:rPr>
        <w:t>).</w:t>
      </w:r>
    </w:p>
    <w:p w:rsidR="00CD7A59" w:rsidRPr="000E420D" w:rsidRDefault="00CD7A59" w:rsidP="00CD7A59">
      <w:pPr>
        <w:jc w:val="both"/>
        <w:rPr>
          <w:rFonts w:asciiTheme="minorHAnsi" w:hAnsiTheme="minorHAnsi"/>
          <w:sz w:val="18"/>
          <w:szCs w:val="18"/>
        </w:rPr>
      </w:pP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Claramente se observa que lo que pretende el citado profesiona</w:t>
      </w:r>
      <w:bookmarkStart w:id="0" w:name="_GoBack"/>
      <w:bookmarkEnd w:id="0"/>
      <w:r w:rsidRPr="000E420D">
        <w:rPr>
          <w:rFonts w:asciiTheme="minorHAnsi" w:hAnsiTheme="minorHAnsi"/>
          <w:sz w:val="18"/>
          <w:szCs w:val="18"/>
        </w:rPr>
        <w:t xml:space="preserve">l del derecho es obviar, como él mismo lo dice, el requisito de </w:t>
      </w:r>
      <w:proofErr w:type="spellStart"/>
      <w:r w:rsidRPr="000E420D">
        <w:rPr>
          <w:rFonts w:asciiTheme="minorHAnsi" w:hAnsiTheme="minorHAnsi"/>
          <w:sz w:val="18"/>
          <w:szCs w:val="18"/>
        </w:rPr>
        <w:t>procedibilidad</w:t>
      </w:r>
      <w:proofErr w:type="spellEnd"/>
      <w:r w:rsidRPr="000E420D">
        <w:rPr>
          <w:rFonts w:asciiTheme="minorHAnsi" w:hAnsiTheme="minorHAnsi"/>
          <w:sz w:val="18"/>
          <w:szCs w:val="18"/>
        </w:rPr>
        <w:t xml:space="preserve"> para acudir a la vía judicial, circunstancia que no puede acolitar este estrado judicial. En situaciones semejantes la Corte Suprema de Justicia ha señalado que: “Ha de verse, además, que avalar una interpretación como la que sugiere el inconforme, daría al traste no sólo con la regulación prevista para las medidas cautelares en procesos declarativos (pues, serían inocuos los literales a y b del art. 590 del C. G. del P. C., si se permitiera, indiscriminadamente, el decreto de embargos y secuestros desde la admisión de la demanda en procesos declarativos), sino también con la ostensible intención del legislador de promover la utilización de mecanismos extrajudiciales de resolución de conflictos (ya que le bastaría a todo demandante con solicitar cualquier clase de medida cautelar, por más ostensible que sea su improcedencia, para evitar el agotamiento de la conciliación prejudicial). (Subrayado y negritas intencionales)</w:t>
      </w:r>
    </w:p>
    <w:p w:rsidR="00CD7A59" w:rsidRPr="000E420D" w:rsidRDefault="00CD7A59" w:rsidP="00CD7A59">
      <w:pPr>
        <w:jc w:val="both"/>
        <w:rPr>
          <w:rFonts w:asciiTheme="minorHAnsi" w:hAnsiTheme="minorHAnsi"/>
          <w:sz w:val="18"/>
          <w:szCs w:val="18"/>
        </w:rPr>
      </w:pP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Lo anterior sería suficiente para despachar desfavorablemente el recurso impetrado, no obstante esta Magistratura considera pertinente pronunciarse sobre la medida cautelar deprecada.”</w:t>
      </w: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w:t>
      </w:r>
    </w:p>
    <w:p w:rsidR="00CD7A59" w:rsidRPr="000E420D" w:rsidRDefault="00CD7A59" w:rsidP="00CD7A59">
      <w:pPr>
        <w:jc w:val="both"/>
        <w:rPr>
          <w:rFonts w:asciiTheme="minorHAnsi" w:hAnsiTheme="minorHAnsi"/>
          <w:sz w:val="18"/>
          <w:szCs w:val="18"/>
        </w:rPr>
      </w:pP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 xml:space="preserve">“Si bien el artículo 35 de la Ley 640 de 2001 y el parágrafo 1º del 590 del </w:t>
      </w:r>
      <w:proofErr w:type="spellStart"/>
      <w:r w:rsidRPr="000E420D">
        <w:rPr>
          <w:rFonts w:asciiTheme="minorHAnsi" w:hAnsiTheme="minorHAnsi"/>
          <w:sz w:val="18"/>
          <w:szCs w:val="18"/>
        </w:rPr>
        <w:t>CGP</w:t>
      </w:r>
      <w:proofErr w:type="spellEnd"/>
      <w:r w:rsidRPr="000E420D">
        <w:rPr>
          <w:rFonts w:asciiTheme="minorHAnsi" w:hAnsiTheme="minorHAnsi"/>
          <w:sz w:val="18"/>
          <w:szCs w:val="18"/>
        </w:rPr>
        <w:t>, autorizan a la pate demandante que acuda directamente a la jurisdicción, cuando en el proceso que se trate se quiera solicitar el decreto y la práctica de medidas cautelares, tal prerrogativa, entiende esta Magistratura, está condicionada a la viabilidad de la respectiva cautela, hipótesis que no se verifica en el asunto sub lite, en tanto que la inscripción de la demanda en la matrícula mercantil de la sociedad llamada a juicio, que solicitó la parte demandante, no es procedente como medida cautelar previa en procesos declarativos similares al de la referencia.</w:t>
      </w:r>
    </w:p>
    <w:p w:rsidR="00CD7A59" w:rsidRPr="000E420D" w:rsidRDefault="00CD7A59" w:rsidP="00CD7A59">
      <w:pPr>
        <w:jc w:val="both"/>
        <w:rPr>
          <w:rFonts w:asciiTheme="minorHAnsi" w:hAnsiTheme="minorHAnsi"/>
          <w:sz w:val="18"/>
          <w:szCs w:val="18"/>
        </w:rPr>
      </w:pP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 xml:space="preserve">Ciertamente, el artículo 590 del </w:t>
      </w:r>
      <w:proofErr w:type="spellStart"/>
      <w:r w:rsidRPr="000E420D">
        <w:rPr>
          <w:rFonts w:asciiTheme="minorHAnsi" w:hAnsiTheme="minorHAnsi"/>
          <w:sz w:val="18"/>
          <w:szCs w:val="18"/>
        </w:rPr>
        <w:t>CGP</w:t>
      </w:r>
      <w:proofErr w:type="spellEnd"/>
      <w:r w:rsidRPr="000E420D">
        <w:rPr>
          <w:rFonts w:asciiTheme="minorHAnsi" w:hAnsiTheme="minorHAnsi"/>
          <w:sz w:val="18"/>
          <w:szCs w:val="18"/>
        </w:rPr>
        <w:t xml:space="preserve"> es claro en indicar que en los procesos de tal naturaleza, la específica medida solicitada (inscripción de la demanda) procede únicamente cuando la demanda verse sobre bienes sujetos a registro.”</w:t>
      </w: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w:t>
      </w:r>
    </w:p>
    <w:p w:rsidR="00CD7A59" w:rsidRPr="000E420D" w:rsidRDefault="00CD7A59" w:rsidP="00CD7A59">
      <w:pPr>
        <w:jc w:val="both"/>
        <w:rPr>
          <w:rFonts w:asciiTheme="minorHAnsi" w:hAnsiTheme="minorHAnsi"/>
          <w:sz w:val="18"/>
          <w:szCs w:val="18"/>
        </w:rPr>
      </w:pP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“De conformidad con lo que antecede, no cabe duda que los argumentos aquí traídos por la parte inconforme están llamados al fracaso, teniendo en cuenta que la medida cautelar reclamada por la parte actora no produce los efectos por ésta pretendidos, esto es, asegurar los resultados que ha de producir la sentencia, pues la inscripción de la demanda en el registro mercantil de la sociedad demandada sólo constituye una anotación que da publicidad sobre la existencia o pendencia del proceso, pero no constituye en sí una cautela, una forma especial de garantía en caso de resultar favorable las pretensiones de la demanda.</w:t>
      </w:r>
    </w:p>
    <w:p w:rsidR="00CD7A59" w:rsidRPr="000E420D" w:rsidRDefault="00CD7A59" w:rsidP="00CD7A59">
      <w:pPr>
        <w:jc w:val="both"/>
        <w:rPr>
          <w:rFonts w:asciiTheme="minorHAnsi" w:hAnsiTheme="minorHAnsi"/>
          <w:sz w:val="18"/>
          <w:szCs w:val="18"/>
        </w:rPr>
      </w:pP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 xml:space="preserve">Y es que tampoco la reseñada cautela era procedente a la luz del literal c del precitado artículo 590, como lo reclama el </w:t>
      </w:r>
      <w:proofErr w:type="spellStart"/>
      <w:r w:rsidRPr="000E420D">
        <w:rPr>
          <w:rFonts w:asciiTheme="minorHAnsi" w:hAnsiTheme="minorHAnsi"/>
          <w:sz w:val="18"/>
          <w:szCs w:val="18"/>
        </w:rPr>
        <w:t>opugnante</w:t>
      </w:r>
      <w:proofErr w:type="spellEnd"/>
      <w:r w:rsidRPr="000E420D">
        <w:rPr>
          <w:rFonts w:asciiTheme="minorHAnsi" w:hAnsiTheme="minorHAnsi"/>
          <w:sz w:val="18"/>
          <w:szCs w:val="18"/>
        </w:rPr>
        <w:t>; pues tal precepto (aplicable a asuntos que por sus particularidades resulten ciertamente excepcionales) permite que el juez de conocimiento decrete cualquier otra medida (distinta de la inscripción de la demanda, del embargo y del secuestro, cuya regulación quedó establecida en los literales a y b de la misma disposición) que encuentre razonable para la protección del derecho objeto del litigio.”</w:t>
      </w:r>
    </w:p>
    <w:p w:rsidR="00CD7A59" w:rsidRPr="000E420D" w:rsidRDefault="00CD7A59" w:rsidP="00CD7A59">
      <w:pPr>
        <w:jc w:val="both"/>
        <w:rPr>
          <w:rFonts w:asciiTheme="minorHAnsi" w:hAnsiTheme="minorHAnsi"/>
          <w:sz w:val="18"/>
          <w:szCs w:val="18"/>
        </w:rPr>
      </w:pPr>
    </w:p>
    <w:p w:rsidR="00CD7A59" w:rsidRPr="000E420D" w:rsidRDefault="00CD7A59" w:rsidP="00CD7A59">
      <w:pPr>
        <w:jc w:val="both"/>
        <w:rPr>
          <w:rFonts w:asciiTheme="minorHAnsi" w:hAnsiTheme="minorHAnsi"/>
          <w:sz w:val="18"/>
          <w:szCs w:val="18"/>
        </w:rPr>
      </w:pPr>
      <w:r w:rsidRPr="00CD7A59">
        <w:rPr>
          <w:rFonts w:asciiTheme="minorHAnsi" w:hAnsiTheme="minorHAnsi"/>
          <w:b/>
          <w:sz w:val="18"/>
          <w:szCs w:val="18"/>
        </w:rPr>
        <w:t>Citación jurisprudencial:</w:t>
      </w:r>
      <w:r w:rsidRPr="000E420D">
        <w:rPr>
          <w:rFonts w:asciiTheme="minorHAnsi" w:hAnsiTheme="minorHAnsi"/>
          <w:sz w:val="18"/>
          <w:szCs w:val="18"/>
        </w:rPr>
        <w:t xml:space="preserve"> CORTE SUPREMA DE JUSTICIA – SALA </w:t>
      </w:r>
      <w:proofErr w:type="spellStart"/>
      <w:r w:rsidRPr="000E420D">
        <w:rPr>
          <w:rFonts w:asciiTheme="minorHAnsi" w:hAnsiTheme="minorHAnsi"/>
          <w:sz w:val="18"/>
          <w:szCs w:val="18"/>
        </w:rPr>
        <w:t>CASACION</w:t>
      </w:r>
      <w:proofErr w:type="spellEnd"/>
      <w:r w:rsidRPr="000E420D">
        <w:rPr>
          <w:rFonts w:asciiTheme="minorHAnsi" w:hAnsiTheme="minorHAnsi"/>
          <w:sz w:val="18"/>
          <w:szCs w:val="18"/>
        </w:rPr>
        <w:t xml:space="preserve"> CIVIL, sentencia STC11653-2015, del 2 de septiembre de 2015, </w:t>
      </w:r>
      <w:proofErr w:type="spellStart"/>
      <w:r w:rsidRPr="000E420D">
        <w:rPr>
          <w:rFonts w:asciiTheme="minorHAnsi" w:hAnsiTheme="minorHAnsi"/>
          <w:sz w:val="18"/>
          <w:szCs w:val="18"/>
        </w:rPr>
        <w:t>M.P</w:t>
      </w:r>
      <w:proofErr w:type="spellEnd"/>
      <w:r w:rsidRPr="000E420D">
        <w:rPr>
          <w:rFonts w:asciiTheme="minorHAnsi" w:hAnsiTheme="minorHAnsi"/>
          <w:sz w:val="18"/>
          <w:szCs w:val="18"/>
        </w:rPr>
        <w:t xml:space="preserve">. Ariel Salazar Ramírez. / CORTE SUPREMA DE JUSTICIA - SALA DE CASACIÓN CIVIL,  STC12573-2014 Radicación n.° 11001-02-03-000-2014-02049-00, 18 de septiembre de 2014, </w:t>
      </w:r>
      <w:proofErr w:type="spellStart"/>
      <w:r w:rsidRPr="000E420D">
        <w:rPr>
          <w:rFonts w:asciiTheme="minorHAnsi" w:hAnsiTheme="minorHAnsi"/>
          <w:sz w:val="18"/>
          <w:szCs w:val="18"/>
        </w:rPr>
        <w:t>M.P</w:t>
      </w:r>
      <w:proofErr w:type="spellEnd"/>
      <w:r w:rsidRPr="000E420D">
        <w:rPr>
          <w:rFonts w:asciiTheme="minorHAnsi" w:hAnsiTheme="minorHAnsi"/>
          <w:sz w:val="18"/>
          <w:szCs w:val="18"/>
        </w:rPr>
        <w:t xml:space="preserve">.  TOLOSA </w:t>
      </w:r>
      <w:proofErr w:type="spellStart"/>
      <w:r w:rsidRPr="000E420D">
        <w:rPr>
          <w:rFonts w:asciiTheme="minorHAnsi" w:hAnsiTheme="minorHAnsi"/>
          <w:sz w:val="18"/>
          <w:szCs w:val="18"/>
        </w:rPr>
        <w:t>VILLABONA</w:t>
      </w:r>
      <w:proofErr w:type="spellEnd"/>
      <w:r w:rsidRPr="000E420D">
        <w:rPr>
          <w:rFonts w:asciiTheme="minorHAnsi" w:hAnsiTheme="minorHAnsi"/>
          <w:sz w:val="18"/>
          <w:szCs w:val="18"/>
        </w:rPr>
        <w:t xml:space="preserve"> Luis Armando. </w:t>
      </w:r>
    </w:p>
    <w:p w:rsidR="00CD7A59" w:rsidRPr="000E420D" w:rsidRDefault="00CD7A59" w:rsidP="00CD7A59">
      <w:pPr>
        <w:jc w:val="both"/>
        <w:rPr>
          <w:rFonts w:asciiTheme="minorHAnsi" w:hAnsiTheme="minorHAnsi"/>
          <w:sz w:val="18"/>
          <w:szCs w:val="18"/>
        </w:rPr>
      </w:pPr>
      <w:r w:rsidRPr="000E420D">
        <w:rPr>
          <w:rFonts w:asciiTheme="minorHAnsi" w:hAnsiTheme="minorHAnsi"/>
          <w:sz w:val="18"/>
          <w:szCs w:val="18"/>
        </w:rPr>
        <w:t>CORTE CONSTITUCIONAL, sentencia C-621 de 2003.</w:t>
      </w:r>
    </w:p>
    <w:p w:rsidR="006577B7" w:rsidRPr="00395E53" w:rsidRDefault="006577B7" w:rsidP="006577B7">
      <w:pPr>
        <w:pStyle w:val="Sinespaciado"/>
        <w:jc w:val="both"/>
        <w:rPr>
          <w:rFonts w:asciiTheme="minorHAnsi" w:hAnsiTheme="minorHAnsi"/>
          <w:sz w:val="18"/>
          <w:szCs w:val="18"/>
        </w:rPr>
      </w:pPr>
    </w:p>
    <w:p w:rsidR="002F5E7A" w:rsidRDefault="00CD7A59" w:rsidP="002F5E7A">
      <w:pPr>
        <w:spacing w:line="360" w:lineRule="auto"/>
        <w:ind w:firstLine="2410"/>
        <w:rPr>
          <w:rFonts w:ascii="Arial" w:hAnsi="Arial" w:cs="Arial"/>
          <w:b/>
          <w:bCs/>
          <w:sz w:val="26"/>
          <w:szCs w:val="26"/>
        </w:rPr>
      </w:pPr>
      <w:r>
        <w:rPr>
          <w:rFonts w:ascii="Arial" w:hAnsi="Arial" w:cs="Arial"/>
          <w:b/>
          <w:bCs/>
          <w:sz w:val="26"/>
          <w:szCs w:val="26"/>
        </w:rPr>
        <w:t>------------------------------------------------------------</w:t>
      </w:r>
    </w:p>
    <w:p w:rsidR="002F5E7A" w:rsidRDefault="002F5E7A" w:rsidP="002F5E7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F5E7A" w:rsidRPr="0075390C" w:rsidRDefault="002F5E7A" w:rsidP="002F5E7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2F5E7A" w:rsidRDefault="002F5E7A" w:rsidP="002F5E7A">
      <w:pPr>
        <w:spacing w:line="360" w:lineRule="auto"/>
        <w:ind w:firstLine="2835"/>
        <w:rPr>
          <w:rFonts w:ascii="Arial" w:hAnsi="Arial" w:cs="Arial"/>
          <w:bCs/>
          <w:sz w:val="26"/>
          <w:szCs w:val="26"/>
        </w:rPr>
      </w:pPr>
    </w:p>
    <w:p w:rsidR="002F5E7A" w:rsidRPr="00E618BA" w:rsidRDefault="002F5E7A" w:rsidP="002F5E7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2F5E7A" w:rsidRDefault="00527675" w:rsidP="002F5E7A">
      <w:pPr>
        <w:spacing w:line="360" w:lineRule="auto"/>
        <w:ind w:firstLine="2835"/>
        <w:rPr>
          <w:rFonts w:ascii="Arial" w:hAnsi="Arial" w:cs="Arial"/>
          <w:bCs/>
          <w:sz w:val="26"/>
          <w:szCs w:val="26"/>
        </w:rPr>
      </w:pPr>
      <w:r>
        <w:rPr>
          <w:rFonts w:ascii="Arial" w:hAnsi="Arial" w:cs="Arial"/>
          <w:bCs/>
          <w:sz w:val="26"/>
          <w:szCs w:val="26"/>
        </w:rPr>
        <w:lastRenderedPageBreak/>
        <w:t>Pereira, seis (6</w:t>
      </w:r>
      <w:r w:rsidR="00462E72">
        <w:rPr>
          <w:rFonts w:ascii="Arial" w:hAnsi="Arial" w:cs="Arial"/>
          <w:bCs/>
          <w:sz w:val="26"/>
          <w:szCs w:val="26"/>
        </w:rPr>
        <w:t>)</w:t>
      </w:r>
      <w:r w:rsidR="002F5E7A" w:rsidRPr="00D063A2">
        <w:rPr>
          <w:rFonts w:ascii="Arial" w:hAnsi="Arial" w:cs="Arial"/>
          <w:bCs/>
          <w:sz w:val="26"/>
          <w:szCs w:val="26"/>
        </w:rPr>
        <w:t xml:space="preserve"> de </w:t>
      </w:r>
      <w:r w:rsidR="00462E72">
        <w:rPr>
          <w:rFonts w:ascii="Arial" w:hAnsi="Arial" w:cs="Arial"/>
          <w:bCs/>
          <w:sz w:val="26"/>
          <w:szCs w:val="26"/>
        </w:rPr>
        <w:t xml:space="preserve">diciembre </w:t>
      </w:r>
      <w:r w:rsidR="002F5E7A">
        <w:rPr>
          <w:rFonts w:ascii="Arial" w:hAnsi="Arial" w:cs="Arial"/>
          <w:bCs/>
          <w:sz w:val="26"/>
          <w:szCs w:val="26"/>
        </w:rPr>
        <w:t>de 2016</w:t>
      </w:r>
    </w:p>
    <w:p w:rsidR="002F5E7A" w:rsidRDefault="002F5E7A" w:rsidP="002F5E7A">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66001-31-03-00</w:t>
      </w:r>
      <w:r>
        <w:rPr>
          <w:rFonts w:ascii="Arial" w:hAnsi="Arial" w:cs="Arial"/>
          <w:sz w:val="26"/>
          <w:szCs w:val="26"/>
        </w:rPr>
        <w:t>4</w:t>
      </w:r>
      <w:r w:rsidRPr="000202C6">
        <w:rPr>
          <w:rFonts w:ascii="Arial" w:hAnsi="Arial" w:cs="Arial"/>
          <w:sz w:val="26"/>
          <w:szCs w:val="26"/>
        </w:rPr>
        <w:t>-201</w:t>
      </w:r>
      <w:r>
        <w:rPr>
          <w:rFonts w:ascii="Arial" w:hAnsi="Arial" w:cs="Arial"/>
          <w:sz w:val="26"/>
          <w:szCs w:val="26"/>
        </w:rPr>
        <w:t>6</w:t>
      </w:r>
      <w:r w:rsidRPr="000202C6">
        <w:rPr>
          <w:rFonts w:ascii="Arial" w:hAnsi="Arial" w:cs="Arial"/>
          <w:sz w:val="26"/>
          <w:szCs w:val="26"/>
        </w:rPr>
        <w:t>-00</w:t>
      </w:r>
      <w:r>
        <w:rPr>
          <w:rFonts w:ascii="Arial" w:hAnsi="Arial" w:cs="Arial"/>
          <w:sz w:val="26"/>
          <w:szCs w:val="26"/>
        </w:rPr>
        <w:t>207</w:t>
      </w:r>
      <w:r w:rsidRPr="000202C6">
        <w:rPr>
          <w:rFonts w:ascii="Arial" w:hAnsi="Arial" w:cs="Arial"/>
          <w:sz w:val="26"/>
          <w:szCs w:val="26"/>
        </w:rPr>
        <w:t>-01</w:t>
      </w:r>
    </w:p>
    <w:p w:rsidR="002F5E7A" w:rsidRDefault="002F5E7A" w:rsidP="002F5E7A">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___________________________________________</w:t>
      </w:r>
    </w:p>
    <w:p w:rsidR="002F5E7A" w:rsidRDefault="002F5E7A" w:rsidP="002F5E7A">
      <w:pPr>
        <w:pStyle w:val="Sinespaciado1"/>
        <w:spacing w:line="360" w:lineRule="auto"/>
        <w:rPr>
          <w:rFonts w:ascii="Arial" w:hAnsi="Arial" w:cs="Arial"/>
          <w:sz w:val="26"/>
          <w:szCs w:val="26"/>
          <w:lang w:val="es-ES" w:eastAsia="es-ES"/>
        </w:rPr>
      </w:pPr>
    </w:p>
    <w:p w:rsidR="002F5E7A" w:rsidRDefault="002F5E7A" w:rsidP="002F5E7A">
      <w:pPr>
        <w:pStyle w:val="Sinespaciado1"/>
        <w:spacing w:line="360" w:lineRule="auto"/>
        <w:rPr>
          <w:rFonts w:ascii="Arial" w:hAnsi="Arial" w:cs="Arial"/>
          <w:sz w:val="28"/>
          <w:szCs w:val="28"/>
          <w:lang w:val="es-ES" w:eastAsia="es-ES"/>
        </w:rPr>
      </w:pPr>
    </w:p>
    <w:p w:rsidR="002F5E7A" w:rsidRDefault="002F5E7A" w:rsidP="002F5E7A">
      <w:pPr>
        <w:pStyle w:val="Sinespaciado1"/>
        <w:spacing w:line="360" w:lineRule="auto"/>
        <w:ind w:firstLine="2835"/>
        <w:jc w:val="both"/>
        <w:rPr>
          <w:rFonts w:ascii="Arial" w:hAnsi="Arial" w:cs="Arial"/>
          <w:b/>
          <w:sz w:val="26"/>
          <w:szCs w:val="26"/>
          <w:lang w:val="es-ES" w:eastAsia="es-ES"/>
        </w:rPr>
      </w:pPr>
    </w:p>
    <w:p w:rsidR="002F5E7A" w:rsidRPr="00462E72" w:rsidRDefault="00462E72" w:rsidP="002F5E7A">
      <w:pPr>
        <w:pStyle w:val="Sinespaciado1"/>
        <w:spacing w:line="360" w:lineRule="auto"/>
        <w:ind w:firstLine="2835"/>
        <w:jc w:val="both"/>
        <w:rPr>
          <w:rFonts w:ascii="Arial" w:hAnsi="Arial" w:cs="Arial"/>
          <w:b/>
          <w:szCs w:val="26"/>
          <w:lang w:val="es-ES" w:eastAsia="es-ES"/>
        </w:rPr>
      </w:pPr>
      <w:r w:rsidRPr="00462E72">
        <w:rPr>
          <w:rFonts w:ascii="Arial" w:hAnsi="Arial" w:cs="Arial"/>
          <w:b/>
          <w:szCs w:val="26"/>
          <w:lang w:val="es-ES" w:eastAsia="es-ES"/>
        </w:rPr>
        <w:t>I. ASUNTO</w:t>
      </w:r>
    </w:p>
    <w:p w:rsidR="002F5E7A" w:rsidRPr="005113BB" w:rsidRDefault="002F5E7A" w:rsidP="002F5E7A">
      <w:pPr>
        <w:pStyle w:val="Sinespaciado1"/>
        <w:spacing w:line="360" w:lineRule="auto"/>
        <w:ind w:firstLine="2835"/>
        <w:jc w:val="both"/>
        <w:rPr>
          <w:rFonts w:ascii="Arial" w:hAnsi="Arial" w:cs="Arial"/>
          <w:b/>
          <w:sz w:val="24"/>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Pr>
          <w:rFonts w:ascii="Arial" w:hAnsi="Arial" w:cs="Arial"/>
          <w:bCs/>
          <w:sz w:val="26"/>
          <w:szCs w:val="26"/>
          <w:lang w:val="es-MX"/>
        </w:rPr>
        <w:t xml:space="preserve">formulado </w:t>
      </w:r>
      <w:r w:rsidRPr="00333FD5">
        <w:rPr>
          <w:rFonts w:ascii="Arial" w:hAnsi="Arial" w:cs="Arial"/>
          <w:bCs/>
          <w:sz w:val="26"/>
          <w:szCs w:val="26"/>
          <w:lang w:val="es-MX"/>
        </w:rPr>
        <w:t xml:space="preserve">contra el auto proferido el </w:t>
      </w:r>
      <w:r>
        <w:rPr>
          <w:rFonts w:ascii="Arial" w:hAnsi="Arial" w:cs="Arial"/>
          <w:bCs/>
          <w:sz w:val="26"/>
          <w:szCs w:val="26"/>
          <w:lang w:val="es-MX"/>
        </w:rPr>
        <w:t>11</w:t>
      </w:r>
      <w:r w:rsidRPr="00333FD5">
        <w:rPr>
          <w:rFonts w:ascii="Arial" w:hAnsi="Arial" w:cs="Arial"/>
          <w:bCs/>
          <w:sz w:val="26"/>
          <w:szCs w:val="26"/>
          <w:lang w:val="es-MX"/>
        </w:rPr>
        <w:t xml:space="preserve"> de </w:t>
      </w:r>
      <w:r>
        <w:rPr>
          <w:rFonts w:ascii="Arial" w:hAnsi="Arial" w:cs="Arial"/>
          <w:bCs/>
          <w:sz w:val="26"/>
          <w:szCs w:val="26"/>
          <w:lang w:val="es-MX"/>
        </w:rPr>
        <w:t>julio de 2016</w:t>
      </w:r>
      <w:r w:rsidRPr="00333FD5">
        <w:rPr>
          <w:rFonts w:ascii="Arial" w:hAnsi="Arial" w:cs="Arial"/>
          <w:bCs/>
          <w:sz w:val="26"/>
          <w:szCs w:val="26"/>
          <w:lang w:val="es-MX"/>
        </w:rPr>
        <w:t xml:space="preserve"> por el Juzgado </w:t>
      </w:r>
      <w:r>
        <w:rPr>
          <w:rFonts w:ascii="Arial" w:hAnsi="Arial" w:cs="Arial"/>
          <w:bCs/>
          <w:sz w:val="26"/>
          <w:szCs w:val="26"/>
          <w:lang w:val="es-MX"/>
        </w:rPr>
        <w:t xml:space="preserve">Cuarto </w:t>
      </w:r>
      <w:r w:rsidRPr="00333FD5">
        <w:rPr>
          <w:rFonts w:ascii="Arial" w:hAnsi="Arial" w:cs="Arial"/>
          <w:bCs/>
          <w:sz w:val="26"/>
          <w:szCs w:val="26"/>
          <w:lang w:val="es-MX"/>
        </w:rPr>
        <w:t xml:space="preserve">Civil del Circuito de Pereira, dentro del trámite </w:t>
      </w:r>
      <w:r>
        <w:rPr>
          <w:rFonts w:ascii="Arial" w:hAnsi="Arial" w:cs="Arial"/>
          <w:bCs/>
          <w:sz w:val="26"/>
          <w:szCs w:val="26"/>
          <w:lang w:val="es-MX"/>
        </w:rPr>
        <w:t xml:space="preserve">de la demanda </w:t>
      </w:r>
      <w:r w:rsidR="00462E72">
        <w:rPr>
          <w:rFonts w:ascii="Arial" w:hAnsi="Arial" w:cs="Arial"/>
          <w:bCs/>
          <w:sz w:val="26"/>
          <w:szCs w:val="26"/>
          <w:lang w:val="es-MX"/>
        </w:rPr>
        <w:t xml:space="preserve">que </w:t>
      </w:r>
      <w:r>
        <w:rPr>
          <w:rFonts w:ascii="Arial" w:hAnsi="Arial" w:cs="Arial"/>
          <w:bCs/>
          <w:sz w:val="26"/>
          <w:szCs w:val="26"/>
          <w:lang w:val="es-MX"/>
        </w:rPr>
        <w:t>por incumplimiento de contrato,</w:t>
      </w:r>
      <w:r w:rsidRPr="00333FD5">
        <w:rPr>
          <w:rFonts w:ascii="Arial" w:hAnsi="Arial" w:cs="Arial"/>
          <w:bCs/>
          <w:sz w:val="26"/>
          <w:szCs w:val="26"/>
          <w:lang w:val="es-MX"/>
        </w:rPr>
        <w:t xml:space="preserve"> propu</w:t>
      </w:r>
      <w:r w:rsidR="00462E72">
        <w:rPr>
          <w:rFonts w:ascii="Arial" w:hAnsi="Arial" w:cs="Arial"/>
          <w:bCs/>
          <w:sz w:val="26"/>
          <w:szCs w:val="26"/>
          <w:lang w:val="es-MX"/>
        </w:rPr>
        <w:t xml:space="preserve">so </w:t>
      </w:r>
      <w:r>
        <w:rPr>
          <w:rFonts w:ascii="Arial" w:hAnsi="Arial" w:cs="Arial"/>
          <w:bCs/>
          <w:szCs w:val="26"/>
          <w:lang w:val="es-MX"/>
        </w:rPr>
        <w:t>HILDA MARÍA GÓMEZ CORREA</w:t>
      </w:r>
      <w:r>
        <w:rPr>
          <w:rFonts w:ascii="Arial" w:hAnsi="Arial" w:cs="Arial"/>
          <w:bCs/>
          <w:szCs w:val="26"/>
        </w:rPr>
        <w:t xml:space="preserve">, </w:t>
      </w:r>
      <w:r w:rsidRPr="004F504D">
        <w:rPr>
          <w:rFonts w:ascii="Arial" w:hAnsi="Arial" w:cs="Arial"/>
          <w:bCs/>
          <w:sz w:val="26"/>
          <w:szCs w:val="26"/>
        </w:rPr>
        <w:t>contra</w:t>
      </w:r>
      <w:r w:rsidR="00462E72">
        <w:rPr>
          <w:rFonts w:ascii="Arial" w:hAnsi="Arial" w:cs="Arial"/>
          <w:bCs/>
          <w:sz w:val="26"/>
          <w:szCs w:val="26"/>
        </w:rPr>
        <w:t xml:space="preserve"> la</w:t>
      </w:r>
      <w:r>
        <w:rPr>
          <w:rFonts w:ascii="Arial" w:hAnsi="Arial" w:cs="Arial"/>
          <w:bCs/>
          <w:szCs w:val="26"/>
        </w:rPr>
        <w:t xml:space="preserve"> </w:t>
      </w:r>
      <w:r w:rsidRPr="007F7340">
        <w:rPr>
          <w:rFonts w:ascii="Arial" w:hAnsi="Arial" w:cs="Arial"/>
          <w:bCs/>
          <w:szCs w:val="26"/>
        </w:rPr>
        <w:t>O</w:t>
      </w:r>
      <w:r>
        <w:rPr>
          <w:rFonts w:ascii="Arial" w:hAnsi="Arial" w:cs="Arial"/>
          <w:bCs/>
          <w:szCs w:val="26"/>
        </w:rPr>
        <w:t>PERADORA AVÍCOLA DE COLOMBIA S.A.S.</w:t>
      </w:r>
    </w:p>
    <w:p w:rsidR="002F5E7A" w:rsidRPr="009550D5" w:rsidRDefault="002F5E7A" w:rsidP="002F5E7A">
      <w:pPr>
        <w:pStyle w:val="Sinespaciado1"/>
        <w:spacing w:line="360" w:lineRule="auto"/>
        <w:ind w:firstLine="2835"/>
        <w:jc w:val="both"/>
        <w:rPr>
          <w:rFonts w:ascii="Arial" w:hAnsi="Arial" w:cs="Arial"/>
          <w:sz w:val="24"/>
          <w:szCs w:val="28"/>
          <w:lang w:val="es-ES" w:eastAsia="es-ES"/>
        </w:rPr>
      </w:pP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9550D5" w:rsidRDefault="002F5E7A" w:rsidP="002F5E7A">
      <w:pPr>
        <w:pStyle w:val="Sinespaciado1"/>
        <w:spacing w:line="360" w:lineRule="auto"/>
        <w:ind w:firstLine="2835"/>
        <w:jc w:val="both"/>
        <w:rPr>
          <w:rFonts w:ascii="Arial" w:hAnsi="Arial" w:cs="Arial"/>
          <w:bCs/>
          <w:sz w:val="24"/>
          <w:szCs w:val="28"/>
          <w:lang w:val="es-ES_tradnl" w:eastAsia="es-ES"/>
        </w:rPr>
      </w:pPr>
    </w:p>
    <w:p w:rsidR="002F5E7A" w:rsidRDefault="002F5E7A" w:rsidP="002F5E7A">
      <w:pPr>
        <w:pStyle w:val="Sinespaciado1"/>
        <w:spacing w:line="360" w:lineRule="auto"/>
        <w:ind w:firstLine="2835"/>
        <w:jc w:val="both"/>
        <w:rPr>
          <w:rFonts w:ascii="Arial" w:hAnsi="Arial" w:cs="Arial"/>
          <w:sz w:val="26"/>
          <w:szCs w:val="26"/>
        </w:rPr>
      </w:pPr>
      <w:r w:rsidRPr="0025032B">
        <w:rPr>
          <w:rFonts w:ascii="Arial" w:hAnsi="Arial" w:cs="Arial"/>
          <w:sz w:val="26"/>
          <w:szCs w:val="26"/>
        </w:rPr>
        <w:t xml:space="preserve">1. </w:t>
      </w:r>
      <w:r w:rsidRPr="00107F3F">
        <w:rPr>
          <w:rFonts w:ascii="Arial" w:hAnsi="Arial" w:cs="Arial"/>
          <w:sz w:val="26"/>
          <w:szCs w:val="26"/>
        </w:rPr>
        <w:t xml:space="preserve">En el referido </w:t>
      </w:r>
      <w:r>
        <w:rPr>
          <w:rFonts w:ascii="Arial" w:hAnsi="Arial" w:cs="Arial"/>
          <w:sz w:val="26"/>
          <w:szCs w:val="26"/>
        </w:rPr>
        <w:t xml:space="preserve">proceso, decidió la </w:t>
      </w:r>
      <w:r>
        <w:rPr>
          <w:rFonts w:ascii="Arial" w:hAnsi="Arial" w:cs="Arial"/>
          <w:i/>
          <w:sz w:val="26"/>
          <w:szCs w:val="26"/>
        </w:rPr>
        <w:t xml:space="preserve"> a quo </w:t>
      </w:r>
      <w:r>
        <w:rPr>
          <w:rFonts w:ascii="Arial" w:hAnsi="Arial" w:cs="Arial"/>
          <w:sz w:val="26"/>
          <w:szCs w:val="26"/>
        </w:rPr>
        <w:t xml:space="preserve"> inadmitir la demanda p</w:t>
      </w:r>
      <w:r w:rsidR="00462E72">
        <w:rPr>
          <w:rFonts w:ascii="Arial" w:hAnsi="Arial" w:cs="Arial"/>
          <w:sz w:val="26"/>
          <w:szCs w:val="26"/>
        </w:rPr>
        <w:t xml:space="preserve">or cuanto no se allegó </w:t>
      </w:r>
      <w:r w:rsidRPr="0085571C">
        <w:rPr>
          <w:rFonts w:ascii="Arial" w:hAnsi="Arial" w:cs="Arial"/>
          <w:i/>
          <w:sz w:val="24"/>
          <w:szCs w:val="26"/>
        </w:rPr>
        <w:t>“la audiencia extrajudicial de que trata el artículo 38 de la ley 640 de 2001,</w:t>
      </w:r>
      <w:r w:rsidR="00462E72" w:rsidRPr="0085571C">
        <w:rPr>
          <w:rFonts w:ascii="Arial" w:hAnsi="Arial" w:cs="Arial"/>
          <w:i/>
          <w:sz w:val="24"/>
          <w:szCs w:val="26"/>
        </w:rPr>
        <w:t xml:space="preserve"> requisito de procedibilidad indispensable para este tipo de procesos.</w:t>
      </w:r>
      <w:r w:rsidRPr="0085571C">
        <w:rPr>
          <w:rFonts w:ascii="Arial" w:hAnsi="Arial" w:cs="Arial"/>
          <w:i/>
          <w:sz w:val="24"/>
          <w:szCs w:val="26"/>
        </w:rPr>
        <w:t>”</w:t>
      </w:r>
      <w:r w:rsidR="00462E72">
        <w:rPr>
          <w:rFonts w:ascii="Arial" w:hAnsi="Arial" w:cs="Arial"/>
          <w:i/>
          <w:sz w:val="26"/>
          <w:szCs w:val="26"/>
        </w:rPr>
        <w:t xml:space="preserve"> </w:t>
      </w:r>
      <w:r w:rsidR="00462E72" w:rsidRPr="00462E72">
        <w:rPr>
          <w:rFonts w:ascii="Arial" w:hAnsi="Arial" w:cs="Arial"/>
          <w:sz w:val="26"/>
          <w:szCs w:val="26"/>
        </w:rPr>
        <w:t>Le orden</w:t>
      </w:r>
      <w:r w:rsidR="00462E72">
        <w:rPr>
          <w:rFonts w:ascii="Arial" w:hAnsi="Arial" w:cs="Arial"/>
          <w:sz w:val="26"/>
          <w:szCs w:val="26"/>
        </w:rPr>
        <w:t>ó</w:t>
      </w:r>
      <w:r w:rsidR="00462E72" w:rsidRPr="00462E72">
        <w:rPr>
          <w:rFonts w:ascii="Arial" w:hAnsi="Arial" w:cs="Arial"/>
          <w:sz w:val="26"/>
          <w:szCs w:val="26"/>
        </w:rPr>
        <w:t xml:space="preserve"> </w:t>
      </w:r>
      <w:r w:rsidR="00462E72">
        <w:rPr>
          <w:rFonts w:ascii="Arial" w:hAnsi="Arial" w:cs="Arial"/>
          <w:sz w:val="26"/>
          <w:szCs w:val="26"/>
        </w:rPr>
        <w:t>subsanar</w:t>
      </w:r>
      <w:r w:rsidR="00462E72" w:rsidRPr="00462E72">
        <w:rPr>
          <w:rFonts w:ascii="Arial" w:hAnsi="Arial" w:cs="Arial"/>
          <w:sz w:val="26"/>
          <w:szCs w:val="26"/>
        </w:rPr>
        <w:t xml:space="preserve"> tal falencia</w:t>
      </w:r>
      <w:r w:rsidR="00462E72">
        <w:rPr>
          <w:rFonts w:ascii="Arial" w:hAnsi="Arial" w:cs="Arial"/>
          <w:sz w:val="26"/>
          <w:szCs w:val="26"/>
        </w:rPr>
        <w:t>.</w:t>
      </w:r>
      <w:r>
        <w:rPr>
          <w:rFonts w:ascii="Arial" w:hAnsi="Arial" w:cs="Arial"/>
          <w:i/>
          <w:sz w:val="26"/>
          <w:szCs w:val="26"/>
        </w:rPr>
        <w:t xml:space="preserve"> </w:t>
      </w:r>
      <w:r w:rsidR="00462E72">
        <w:rPr>
          <w:rFonts w:ascii="Arial" w:hAnsi="Arial" w:cs="Arial"/>
          <w:sz w:val="24"/>
          <w:szCs w:val="26"/>
        </w:rPr>
        <w:t>(</w:t>
      </w:r>
      <w:proofErr w:type="spellStart"/>
      <w:r w:rsidR="00462E72">
        <w:rPr>
          <w:rFonts w:ascii="Arial" w:hAnsi="Arial" w:cs="Arial"/>
          <w:sz w:val="24"/>
          <w:szCs w:val="26"/>
        </w:rPr>
        <w:t>fl</w:t>
      </w:r>
      <w:proofErr w:type="spellEnd"/>
      <w:r>
        <w:rPr>
          <w:rFonts w:ascii="Arial" w:hAnsi="Arial" w:cs="Arial"/>
          <w:sz w:val="24"/>
          <w:szCs w:val="26"/>
        </w:rPr>
        <w:t xml:space="preserve">. 19 cd. </w:t>
      </w:r>
      <w:r w:rsidR="00462E72">
        <w:rPr>
          <w:rFonts w:ascii="Arial" w:hAnsi="Arial" w:cs="Arial"/>
          <w:sz w:val="24"/>
          <w:szCs w:val="26"/>
        </w:rPr>
        <w:t>p</w:t>
      </w:r>
      <w:r>
        <w:rPr>
          <w:rFonts w:ascii="Arial" w:hAnsi="Arial" w:cs="Arial"/>
          <w:sz w:val="24"/>
          <w:szCs w:val="26"/>
        </w:rPr>
        <w:t>pal</w:t>
      </w:r>
      <w:r w:rsidR="00462E72">
        <w:rPr>
          <w:rFonts w:ascii="Arial" w:hAnsi="Arial" w:cs="Arial"/>
          <w:sz w:val="24"/>
          <w:szCs w:val="26"/>
        </w:rPr>
        <w:t>.</w:t>
      </w:r>
      <w:r>
        <w:rPr>
          <w:rFonts w:ascii="Arial" w:hAnsi="Arial" w:cs="Arial"/>
          <w:sz w:val="24"/>
          <w:szCs w:val="26"/>
        </w:rPr>
        <w:t>).</w:t>
      </w:r>
    </w:p>
    <w:p w:rsidR="002F5E7A" w:rsidRPr="00462E72" w:rsidRDefault="002F5E7A" w:rsidP="002F5E7A">
      <w:pPr>
        <w:pStyle w:val="Sinespaciado1"/>
        <w:spacing w:line="360" w:lineRule="auto"/>
        <w:ind w:firstLine="2835"/>
        <w:jc w:val="both"/>
        <w:rPr>
          <w:rFonts w:ascii="Arial" w:hAnsi="Arial" w:cs="Arial"/>
          <w:sz w:val="16"/>
          <w:szCs w:val="26"/>
        </w:rPr>
      </w:pPr>
    </w:p>
    <w:p w:rsidR="002F5E7A" w:rsidRPr="00933D8C" w:rsidRDefault="00906480" w:rsidP="002F5E7A">
      <w:pPr>
        <w:pStyle w:val="Sinespaciado1"/>
        <w:spacing w:line="360" w:lineRule="auto"/>
        <w:ind w:firstLine="2835"/>
        <w:jc w:val="both"/>
        <w:rPr>
          <w:rFonts w:ascii="Arial" w:hAnsi="Arial" w:cs="Arial"/>
          <w:sz w:val="24"/>
          <w:szCs w:val="26"/>
        </w:rPr>
      </w:pPr>
      <w:r>
        <w:rPr>
          <w:rFonts w:ascii="Arial" w:hAnsi="Arial" w:cs="Arial"/>
          <w:sz w:val="26"/>
          <w:szCs w:val="26"/>
        </w:rPr>
        <w:t xml:space="preserve">2. Ante tal requerimiento, el </w:t>
      </w:r>
      <w:r w:rsidR="002F5E7A" w:rsidRPr="00107F3F">
        <w:rPr>
          <w:rFonts w:ascii="Arial" w:hAnsi="Arial" w:cs="Arial"/>
          <w:sz w:val="26"/>
          <w:szCs w:val="26"/>
        </w:rPr>
        <w:t>asesor judicial de l</w:t>
      </w:r>
      <w:r w:rsidR="002F5E7A">
        <w:rPr>
          <w:rFonts w:ascii="Arial" w:hAnsi="Arial" w:cs="Arial"/>
          <w:sz w:val="26"/>
          <w:szCs w:val="26"/>
        </w:rPr>
        <w:t>a demandante</w:t>
      </w:r>
      <w:r>
        <w:rPr>
          <w:rFonts w:ascii="Arial" w:hAnsi="Arial" w:cs="Arial"/>
          <w:sz w:val="26"/>
          <w:szCs w:val="26"/>
        </w:rPr>
        <w:t xml:space="preserve">, manifiesta al juzgado que por error involuntario </w:t>
      </w:r>
      <w:r w:rsidR="002F5E7A">
        <w:rPr>
          <w:rFonts w:ascii="Arial" w:hAnsi="Arial" w:cs="Arial"/>
          <w:sz w:val="26"/>
          <w:szCs w:val="26"/>
        </w:rPr>
        <w:t xml:space="preserve">obvió </w:t>
      </w:r>
      <w:r>
        <w:rPr>
          <w:rFonts w:ascii="Arial" w:hAnsi="Arial" w:cs="Arial"/>
          <w:sz w:val="26"/>
          <w:szCs w:val="26"/>
        </w:rPr>
        <w:t xml:space="preserve">incluir una petición para dar cumplimiento a tal requisito; por lo que solicita al despacho, de </w:t>
      </w:r>
      <w:r w:rsidR="002F5E7A">
        <w:rPr>
          <w:rFonts w:ascii="Arial" w:hAnsi="Arial" w:cs="Arial"/>
          <w:sz w:val="26"/>
          <w:szCs w:val="26"/>
        </w:rPr>
        <w:t>conformidad con los artículo</w:t>
      </w:r>
      <w:r w:rsidR="00527675">
        <w:rPr>
          <w:rFonts w:ascii="Arial" w:hAnsi="Arial" w:cs="Arial"/>
          <w:sz w:val="26"/>
          <w:szCs w:val="26"/>
        </w:rPr>
        <w:t>s</w:t>
      </w:r>
      <w:r w:rsidR="002F5E7A">
        <w:rPr>
          <w:rFonts w:ascii="Arial" w:hAnsi="Arial" w:cs="Arial"/>
          <w:sz w:val="26"/>
          <w:szCs w:val="26"/>
        </w:rPr>
        <w:t xml:space="preserve"> 590 y 591 del CGP, se decrete la caute</w:t>
      </w:r>
      <w:r>
        <w:rPr>
          <w:rFonts w:ascii="Arial" w:hAnsi="Arial" w:cs="Arial"/>
          <w:sz w:val="26"/>
          <w:szCs w:val="26"/>
        </w:rPr>
        <w:t>la de inscripción de la demanda</w:t>
      </w:r>
      <w:r w:rsidR="002F5E7A">
        <w:rPr>
          <w:rFonts w:ascii="Arial" w:hAnsi="Arial" w:cs="Arial"/>
          <w:sz w:val="26"/>
          <w:szCs w:val="26"/>
        </w:rPr>
        <w:t xml:space="preserve"> en la ma</w:t>
      </w:r>
      <w:r>
        <w:rPr>
          <w:rFonts w:ascii="Arial" w:hAnsi="Arial" w:cs="Arial"/>
          <w:sz w:val="26"/>
          <w:szCs w:val="26"/>
        </w:rPr>
        <w:t>trícula mercantil</w:t>
      </w:r>
      <w:r w:rsidR="002F5E7A">
        <w:rPr>
          <w:rFonts w:ascii="Arial" w:hAnsi="Arial" w:cs="Arial"/>
          <w:sz w:val="26"/>
          <w:szCs w:val="26"/>
        </w:rPr>
        <w:t xml:space="preserve"> No. 180716 de la Cámara de Comercio de </w:t>
      </w:r>
      <w:proofErr w:type="spellStart"/>
      <w:r w:rsidR="002F5E7A">
        <w:rPr>
          <w:rFonts w:ascii="Arial" w:hAnsi="Arial" w:cs="Arial"/>
          <w:sz w:val="26"/>
          <w:szCs w:val="26"/>
        </w:rPr>
        <w:t>Aburrá</w:t>
      </w:r>
      <w:proofErr w:type="spellEnd"/>
      <w:r w:rsidR="002F5E7A">
        <w:rPr>
          <w:rFonts w:ascii="Arial" w:hAnsi="Arial" w:cs="Arial"/>
          <w:sz w:val="26"/>
          <w:szCs w:val="26"/>
        </w:rPr>
        <w:t xml:space="preserve"> Sur, </w:t>
      </w:r>
      <w:r w:rsidRPr="0085571C">
        <w:rPr>
          <w:rFonts w:ascii="Arial" w:hAnsi="Arial" w:cs="Arial"/>
          <w:i/>
          <w:sz w:val="24"/>
          <w:szCs w:val="26"/>
        </w:rPr>
        <w:t>“obviando así el Requisito de Procedibilidad para acudir ante este estrado judicial.”</w:t>
      </w:r>
      <w:r w:rsidR="002F5E7A">
        <w:rPr>
          <w:rFonts w:ascii="Arial" w:hAnsi="Arial" w:cs="Arial"/>
          <w:sz w:val="26"/>
          <w:szCs w:val="26"/>
        </w:rPr>
        <w:t xml:space="preserve"> </w:t>
      </w:r>
      <w:r w:rsidR="002F5E7A">
        <w:rPr>
          <w:rFonts w:ascii="Arial" w:hAnsi="Arial" w:cs="Arial"/>
          <w:sz w:val="24"/>
          <w:szCs w:val="26"/>
        </w:rPr>
        <w:t>(</w:t>
      </w:r>
      <w:proofErr w:type="spellStart"/>
      <w:r w:rsidR="002F5E7A">
        <w:rPr>
          <w:rFonts w:ascii="Arial" w:hAnsi="Arial" w:cs="Arial"/>
          <w:sz w:val="24"/>
          <w:szCs w:val="26"/>
        </w:rPr>
        <w:t>fls</w:t>
      </w:r>
      <w:proofErr w:type="spellEnd"/>
      <w:r w:rsidR="002F5E7A">
        <w:rPr>
          <w:rFonts w:ascii="Arial" w:hAnsi="Arial" w:cs="Arial"/>
          <w:sz w:val="24"/>
          <w:szCs w:val="26"/>
        </w:rPr>
        <w:t xml:space="preserve">. 20-21 </w:t>
      </w:r>
      <w:proofErr w:type="spellStart"/>
      <w:r w:rsidR="002F5E7A">
        <w:rPr>
          <w:rFonts w:ascii="Arial" w:hAnsi="Arial" w:cs="Arial"/>
          <w:sz w:val="24"/>
          <w:szCs w:val="26"/>
        </w:rPr>
        <w:t>íd</w:t>
      </w:r>
      <w:proofErr w:type="spellEnd"/>
      <w:r w:rsidR="002F5E7A">
        <w:rPr>
          <w:rFonts w:ascii="Arial" w:hAnsi="Arial" w:cs="Arial"/>
          <w:sz w:val="24"/>
          <w:szCs w:val="26"/>
        </w:rPr>
        <w:t>).</w:t>
      </w:r>
    </w:p>
    <w:p w:rsidR="002F5E7A" w:rsidRPr="00A147AF" w:rsidRDefault="002F5E7A" w:rsidP="002F5E7A">
      <w:pPr>
        <w:pStyle w:val="Sinespaciado1"/>
        <w:spacing w:line="360" w:lineRule="auto"/>
        <w:ind w:firstLine="2835"/>
        <w:jc w:val="both"/>
        <w:rPr>
          <w:rFonts w:ascii="Arial" w:hAnsi="Arial" w:cs="Arial"/>
          <w:sz w:val="20"/>
          <w:szCs w:val="26"/>
        </w:rPr>
      </w:pPr>
    </w:p>
    <w:p w:rsidR="002F5E7A" w:rsidRDefault="00906480" w:rsidP="002F5E7A">
      <w:pPr>
        <w:pStyle w:val="Sinespaciado1"/>
        <w:spacing w:line="360" w:lineRule="auto"/>
        <w:ind w:firstLine="2835"/>
        <w:jc w:val="both"/>
        <w:rPr>
          <w:rFonts w:ascii="Arial" w:hAnsi="Arial" w:cs="Arial"/>
          <w:sz w:val="26"/>
          <w:szCs w:val="26"/>
        </w:rPr>
      </w:pPr>
      <w:r>
        <w:rPr>
          <w:rFonts w:ascii="Arial" w:hAnsi="Arial" w:cs="Arial"/>
          <w:sz w:val="26"/>
          <w:szCs w:val="26"/>
        </w:rPr>
        <w:t>3</w:t>
      </w:r>
      <w:r w:rsidR="002F5E7A">
        <w:rPr>
          <w:rFonts w:ascii="Arial" w:hAnsi="Arial" w:cs="Arial"/>
          <w:sz w:val="26"/>
          <w:szCs w:val="26"/>
        </w:rPr>
        <w:t xml:space="preserve">. Con proveído del 11 de julio de este año, el juzgado no tuvo por subsanada dicha falencia y resolvió rechazar la demanda. Adujo, las medidas proceden siempre y cuando el bien se encuentre sujeto a registro y en el presente caso la matrícula mercantil no tiene estas connotaciones. </w:t>
      </w:r>
    </w:p>
    <w:p w:rsidR="002F5E7A" w:rsidRPr="00906480" w:rsidRDefault="002F5E7A" w:rsidP="002F5E7A">
      <w:pPr>
        <w:pStyle w:val="Sinespaciado1"/>
        <w:spacing w:line="360" w:lineRule="auto"/>
        <w:ind w:firstLine="2835"/>
        <w:jc w:val="both"/>
        <w:rPr>
          <w:rFonts w:ascii="Arial" w:hAnsi="Arial" w:cs="Arial"/>
          <w:sz w:val="16"/>
          <w:szCs w:val="26"/>
        </w:rPr>
      </w:pPr>
    </w:p>
    <w:p w:rsidR="00816B4F" w:rsidRDefault="00816B4F" w:rsidP="002F5E7A">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4</w:t>
      </w:r>
      <w:r w:rsidR="002F5E7A">
        <w:rPr>
          <w:rFonts w:ascii="Arial" w:hAnsi="Arial" w:cs="Arial"/>
          <w:sz w:val="26"/>
          <w:szCs w:val="26"/>
        </w:rPr>
        <w:t xml:space="preserve">. </w:t>
      </w:r>
      <w:r w:rsidR="002F5E7A" w:rsidRPr="00F22A8B">
        <w:rPr>
          <w:rFonts w:ascii="Arial" w:hAnsi="Arial" w:cs="Arial"/>
          <w:sz w:val="26"/>
          <w:szCs w:val="26"/>
        </w:rPr>
        <w:t>Los motivos de inconformidad de la parte demanda</w:t>
      </w:r>
      <w:r w:rsidR="002F5E7A">
        <w:rPr>
          <w:rFonts w:ascii="Arial" w:hAnsi="Arial" w:cs="Arial"/>
          <w:sz w:val="26"/>
          <w:szCs w:val="26"/>
        </w:rPr>
        <w:t>nte</w:t>
      </w:r>
      <w:r w:rsidR="002F5E7A" w:rsidRPr="00F22A8B">
        <w:rPr>
          <w:rFonts w:ascii="Arial" w:hAnsi="Arial" w:cs="Arial"/>
          <w:sz w:val="26"/>
          <w:szCs w:val="26"/>
        </w:rPr>
        <w:t xml:space="preserve"> contra </w:t>
      </w:r>
      <w:r w:rsidR="002F5E7A">
        <w:rPr>
          <w:rFonts w:ascii="Arial" w:hAnsi="Arial" w:cs="Arial"/>
          <w:sz w:val="26"/>
          <w:szCs w:val="26"/>
        </w:rPr>
        <w:t>la mencionada providencia</w:t>
      </w:r>
      <w:r w:rsidR="002F5E7A" w:rsidRPr="00F22A8B">
        <w:rPr>
          <w:rFonts w:ascii="Arial" w:hAnsi="Arial" w:cs="Arial"/>
          <w:sz w:val="26"/>
          <w:szCs w:val="26"/>
        </w:rPr>
        <w:t>, se formularon por vía de reposición y en subsidio apelación, alegando</w:t>
      </w:r>
      <w:r w:rsidR="002F5E7A">
        <w:rPr>
          <w:rFonts w:ascii="Arial" w:hAnsi="Arial" w:cs="Arial"/>
          <w:sz w:val="26"/>
          <w:szCs w:val="26"/>
        </w:rPr>
        <w:t xml:space="preserve"> entre otras</w:t>
      </w:r>
      <w:r>
        <w:rPr>
          <w:rFonts w:ascii="Arial" w:hAnsi="Arial" w:cs="Arial"/>
          <w:sz w:val="26"/>
          <w:szCs w:val="26"/>
        </w:rPr>
        <w:t xml:space="preserve"> las siguientes</w:t>
      </w:r>
      <w:r w:rsidR="002F5E7A">
        <w:rPr>
          <w:rFonts w:ascii="Arial" w:hAnsi="Arial" w:cs="Arial"/>
          <w:sz w:val="26"/>
          <w:szCs w:val="26"/>
        </w:rPr>
        <w:t xml:space="preserve"> razones</w:t>
      </w:r>
      <w:r>
        <w:rPr>
          <w:rFonts w:ascii="Arial" w:hAnsi="Arial" w:cs="Arial"/>
          <w:sz w:val="26"/>
          <w:szCs w:val="26"/>
        </w:rPr>
        <w:t>:</w:t>
      </w:r>
    </w:p>
    <w:p w:rsidR="00816B4F" w:rsidRPr="00816B4F" w:rsidRDefault="00816B4F" w:rsidP="002F5E7A">
      <w:pPr>
        <w:pStyle w:val="Sinespaciado1"/>
        <w:spacing w:line="360" w:lineRule="auto"/>
        <w:ind w:firstLine="2835"/>
        <w:jc w:val="both"/>
        <w:rPr>
          <w:rFonts w:ascii="Arial" w:hAnsi="Arial" w:cs="Arial"/>
          <w:sz w:val="16"/>
          <w:szCs w:val="26"/>
        </w:rPr>
      </w:pPr>
    </w:p>
    <w:p w:rsidR="00816B4F" w:rsidRDefault="00816B4F" w:rsidP="002F5E7A">
      <w:pPr>
        <w:pStyle w:val="Sinespaciado1"/>
        <w:spacing w:line="360" w:lineRule="auto"/>
        <w:ind w:firstLine="2835"/>
        <w:jc w:val="both"/>
        <w:rPr>
          <w:rFonts w:ascii="Arial" w:hAnsi="Arial" w:cs="Arial"/>
          <w:sz w:val="26"/>
          <w:szCs w:val="26"/>
        </w:rPr>
      </w:pPr>
      <w:r>
        <w:rPr>
          <w:rFonts w:ascii="Arial" w:hAnsi="Arial" w:cs="Arial"/>
          <w:sz w:val="26"/>
          <w:szCs w:val="26"/>
        </w:rPr>
        <w:t>4.1. El artículo 35 de la Ley 640 de 2001 es claro en señalar que se puede acudir directamente a la jurisdicción cuando se pretenda solicitar el decreto y práctica de medidas cautelares, sin que establezca taxativamente que las mismas deban recaer sobre bienes sujetos a registro.</w:t>
      </w:r>
    </w:p>
    <w:p w:rsidR="00816B4F" w:rsidRPr="00816B4F" w:rsidRDefault="00816B4F" w:rsidP="002F5E7A">
      <w:pPr>
        <w:pStyle w:val="Sinespaciado1"/>
        <w:spacing w:line="360" w:lineRule="auto"/>
        <w:ind w:firstLine="2835"/>
        <w:jc w:val="both"/>
        <w:rPr>
          <w:rFonts w:ascii="Arial" w:hAnsi="Arial" w:cs="Arial"/>
          <w:sz w:val="16"/>
          <w:szCs w:val="26"/>
        </w:rPr>
      </w:pPr>
    </w:p>
    <w:p w:rsidR="002F5E7A" w:rsidRPr="00190CD1" w:rsidRDefault="00816B4F" w:rsidP="00190CD1">
      <w:pPr>
        <w:pStyle w:val="Sinespaciado1"/>
        <w:spacing w:line="360" w:lineRule="auto"/>
        <w:ind w:firstLine="2835"/>
        <w:jc w:val="both"/>
        <w:rPr>
          <w:rFonts w:ascii="Arial" w:hAnsi="Arial" w:cs="Arial"/>
          <w:sz w:val="26"/>
          <w:szCs w:val="26"/>
        </w:rPr>
      </w:pPr>
      <w:r>
        <w:rPr>
          <w:rFonts w:ascii="Arial" w:hAnsi="Arial" w:cs="Arial"/>
          <w:sz w:val="26"/>
          <w:szCs w:val="26"/>
        </w:rPr>
        <w:t>4.2. Aduce que l</w:t>
      </w:r>
      <w:r w:rsidR="002F5E7A">
        <w:rPr>
          <w:rFonts w:ascii="Arial" w:hAnsi="Arial" w:cs="Arial"/>
          <w:sz w:val="26"/>
          <w:szCs w:val="26"/>
        </w:rPr>
        <w:t>a medida fue pedida con fundamento en el literal C del artículo 590 del CGP y no en el literal A como l</w:t>
      </w:r>
      <w:r>
        <w:rPr>
          <w:rFonts w:ascii="Arial" w:hAnsi="Arial" w:cs="Arial"/>
          <w:sz w:val="26"/>
          <w:szCs w:val="26"/>
        </w:rPr>
        <w:t>o entendió el despacho judicial, por lo que el tema tiene que ver es con las medidas innominadas</w:t>
      </w:r>
      <w:r w:rsidR="00E510AF">
        <w:rPr>
          <w:rFonts w:ascii="Arial" w:hAnsi="Arial" w:cs="Arial"/>
          <w:sz w:val="26"/>
          <w:szCs w:val="26"/>
        </w:rPr>
        <w:t>. Estima que las medidas cautelares no debe limitarlas el operador judicial para que recaigan exclusivamente sobre aquellos bienes tangibles que son sujetos a registro, aunque cabe aclarar, dice, la matrícula mercantil es un registro de orden público administrado por la Cámaras de Comercio</w:t>
      </w:r>
      <w:r w:rsidR="00190CD1">
        <w:rPr>
          <w:rFonts w:ascii="Arial" w:hAnsi="Arial" w:cs="Arial"/>
          <w:sz w:val="26"/>
          <w:szCs w:val="26"/>
        </w:rPr>
        <w:t>, que de acuerdo con el artículo 28-8 del Código de Comercio en tal registro se inscriben las medidas cautelares y demandas civiles.</w:t>
      </w:r>
    </w:p>
    <w:p w:rsidR="002F5E7A" w:rsidRPr="00190CD1" w:rsidRDefault="002F5E7A" w:rsidP="002F5E7A">
      <w:pPr>
        <w:pStyle w:val="Sinespaciado1"/>
        <w:spacing w:line="360" w:lineRule="auto"/>
        <w:ind w:firstLine="2835"/>
        <w:jc w:val="both"/>
        <w:rPr>
          <w:rFonts w:ascii="Arial" w:hAnsi="Arial" w:cs="Arial"/>
          <w:sz w:val="16"/>
          <w:szCs w:val="26"/>
        </w:rPr>
      </w:pPr>
    </w:p>
    <w:p w:rsidR="00190CD1" w:rsidRDefault="00190CD1" w:rsidP="00190CD1">
      <w:pPr>
        <w:pStyle w:val="Sinespaciado1"/>
        <w:spacing w:line="360" w:lineRule="auto"/>
        <w:ind w:firstLine="2835"/>
        <w:jc w:val="both"/>
        <w:rPr>
          <w:rFonts w:ascii="Arial" w:hAnsi="Arial" w:cs="Arial"/>
          <w:sz w:val="26"/>
          <w:szCs w:val="26"/>
        </w:rPr>
      </w:pPr>
      <w:r>
        <w:rPr>
          <w:rFonts w:ascii="Arial" w:hAnsi="Arial" w:cs="Arial"/>
          <w:sz w:val="26"/>
          <w:szCs w:val="26"/>
        </w:rPr>
        <w:t xml:space="preserve">4.3. Señala </w:t>
      </w:r>
      <w:r w:rsidR="002F5E7A">
        <w:rPr>
          <w:rFonts w:ascii="Arial" w:hAnsi="Arial" w:cs="Arial"/>
          <w:sz w:val="26"/>
          <w:szCs w:val="26"/>
        </w:rPr>
        <w:t>que la medida cautelar innominada pretendida, tiene como fin dar publicidad a terceros de la iniciación del proceso y evitar que el demandado realice movimientos societarios o mercantiles que puedan conllevar a no cumplir la sentencia de ser favorable.</w:t>
      </w:r>
      <w:r w:rsidRPr="00190CD1">
        <w:rPr>
          <w:rFonts w:ascii="Arial" w:hAnsi="Arial" w:cs="Arial"/>
          <w:sz w:val="26"/>
          <w:szCs w:val="26"/>
        </w:rPr>
        <w:t xml:space="preserve"> </w:t>
      </w:r>
      <w:r>
        <w:rPr>
          <w:rFonts w:ascii="Arial" w:hAnsi="Arial" w:cs="Arial"/>
          <w:sz w:val="26"/>
          <w:szCs w:val="26"/>
        </w:rPr>
        <w:t>En sustento de sus dichos trae en cita conceptos cobre medidas cautelares innominadas y pronunciamiento de la Superintendencia de Sociedades.</w:t>
      </w:r>
    </w:p>
    <w:p w:rsidR="00190CD1" w:rsidRPr="00190CD1" w:rsidRDefault="00190CD1" w:rsidP="00190CD1">
      <w:pPr>
        <w:pStyle w:val="Sinespaciado1"/>
        <w:spacing w:line="360" w:lineRule="auto"/>
        <w:ind w:firstLine="2835"/>
        <w:jc w:val="both"/>
        <w:rPr>
          <w:rFonts w:ascii="Arial" w:hAnsi="Arial" w:cs="Arial"/>
          <w:sz w:val="16"/>
          <w:szCs w:val="26"/>
        </w:rPr>
      </w:pPr>
    </w:p>
    <w:p w:rsidR="002F5E7A" w:rsidRDefault="00190CD1" w:rsidP="00190CD1">
      <w:pPr>
        <w:pStyle w:val="Sinespaciado1"/>
        <w:spacing w:line="360" w:lineRule="auto"/>
        <w:ind w:firstLine="2835"/>
        <w:jc w:val="both"/>
        <w:rPr>
          <w:rFonts w:ascii="Arial" w:hAnsi="Arial" w:cs="Arial"/>
          <w:sz w:val="26"/>
          <w:szCs w:val="26"/>
        </w:rPr>
      </w:pPr>
      <w:r>
        <w:rPr>
          <w:rFonts w:ascii="Arial" w:hAnsi="Arial" w:cs="Arial"/>
          <w:sz w:val="26"/>
          <w:szCs w:val="26"/>
        </w:rPr>
        <w:t>4.4. Finalmente, a</w:t>
      </w:r>
      <w:r w:rsidR="002F5E7A">
        <w:rPr>
          <w:rFonts w:ascii="Arial" w:hAnsi="Arial" w:cs="Arial"/>
          <w:sz w:val="26"/>
          <w:szCs w:val="26"/>
        </w:rPr>
        <w:t>ñade que de no accederse a la cautela solicitada, no se rechace la demanda ya que se cumplió con el presupuesto del artículo 30 de la Ley 640 de 2001, en el sentido que cuanto en el proceso se requiera el decreto y práctica de medidas cautelares se podrá acudir directamente a la jurisdicción, sin que la norma refiera que la med</w:t>
      </w:r>
      <w:r w:rsidR="00527675">
        <w:rPr>
          <w:rFonts w:ascii="Arial" w:hAnsi="Arial" w:cs="Arial"/>
          <w:sz w:val="26"/>
          <w:szCs w:val="26"/>
        </w:rPr>
        <w:t>id</w:t>
      </w:r>
      <w:r w:rsidR="002F5E7A">
        <w:rPr>
          <w:rFonts w:ascii="Arial" w:hAnsi="Arial" w:cs="Arial"/>
          <w:sz w:val="26"/>
          <w:szCs w:val="26"/>
        </w:rPr>
        <w:t xml:space="preserve">a deba ser decretada, basta con ser solicitada, para no hacer exigible el requisito de </w:t>
      </w:r>
      <w:proofErr w:type="spellStart"/>
      <w:r w:rsidR="002F5E7A">
        <w:rPr>
          <w:rFonts w:ascii="Arial" w:hAnsi="Arial" w:cs="Arial"/>
          <w:sz w:val="26"/>
          <w:szCs w:val="26"/>
        </w:rPr>
        <w:t>procedibilidad</w:t>
      </w:r>
      <w:proofErr w:type="spellEnd"/>
      <w:r w:rsidR="002F5E7A">
        <w:rPr>
          <w:rFonts w:ascii="Arial" w:hAnsi="Arial" w:cs="Arial"/>
          <w:sz w:val="26"/>
          <w:szCs w:val="26"/>
        </w:rPr>
        <w:t xml:space="preserve"> </w:t>
      </w:r>
      <w:r w:rsidR="002F5E7A" w:rsidRPr="009A6CB9">
        <w:rPr>
          <w:rFonts w:ascii="Arial" w:hAnsi="Arial" w:cs="Arial"/>
          <w:sz w:val="24"/>
          <w:szCs w:val="26"/>
        </w:rPr>
        <w:t>(</w:t>
      </w:r>
      <w:proofErr w:type="spellStart"/>
      <w:r w:rsidR="002F5E7A" w:rsidRPr="009A6CB9">
        <w:rPr>
          <w:rFonts w:ascii="Arial" w:hAnsi="Arial" w:cs="Arial"/>
          <w:sz w:val="24"/>
          <w:szCs w:val="26"/>
        </w:rPr>
        <w:t>fl</w:t>
      </w:r>
      <w:proofErr w:type="spellEnd"/>
      <w:r w:rsidR="002F5E7A" w:rsidRPr="009A6CB9">
        <w:rPr>
          <w:rFonts w:ascii="Arial" w:hAnsi="Arial" w:cs="Arial"/>
          <w:sz w:val="24"/>
          <w:szCs w:val="26"/>
        </w:rPr>
        <w:t xml:space="preserve">. 28 a 33 </w:t>
      </w:r>
      <w:proofErr w:type="spellStart"/>
      <w:r w:rsidR="002F5E7A" w:rsidRPr="009A6CB9">
        <w:rPr>
          <w:rFonts w:ascii="Arial" w:hAnsi="Arial" w:cs="Arial"/>
          <w:sz w:val="24"/>
          <w:szCs w:val="26"/>
        </w:rPr>
        <w:t>íd</w:t>
      </w:r>
      <w:proofErr w:type="spellEnd"/>
      <w:r w:rsidR="002F5E7A" w:rsidRPr="009A6CB9">
        <w:rPr>
          <w:rFonts w:ascii="Arial" w:hAnsi="Arial" w:cs="Arial"/>
          <w:sz w:val="24"/>
          <w:szCs w:val="26"/>
        </w:rPr>
        <w:t>)</w:t>
      </w:r>
      <w:r w:rsidR="002F5E7A">
        <w:rPr>
          <w:rFonts w:ascii="Arial" w:hAnsi="Arial" w:cs="Arial"/>
          <w:sz w:val="24"/>
          <w:szCs w:val="26"/>
        </w:rPr>
        <w:t>.</w:t>
      </w:r>
    </w:p>
    <w:p w:rsidR="0085571C" w:rsidRPr="00190CD1" w:rsidRDefault="0085571C" w:rsidP="002F5E7A">
      <w:pPr>
        <w:pStyle w:val="Sinespaciado1"/>
        <w:spacing w:line="360" w:lineRule="auto"/>
        <w:ind w:firstLine="2835"/>
        <w:jc w:val="both"/>
        <w:rPr>
          <w:rFonts w:ascii="Arial" w:hAnsi="Arial" w:cs="Arial"/>
          <w:bCs/>
          <w:sz w:val="16"/>
          <w:szCs w:val="26"/>
        </w:rPr>
      </w:pPr>
    </w:p>
    <w:p w:rsidR="002F5E7A" w:rsidRPr="00527675" w:rsidRDefault="00190CD1" w:rsidP="00527675">
      <w:pPr>
        <w:pStyle w:val="Sinespaciado1"/>
        <w:spacing w:line="360" w:lineRule="auto"/>
        <w:ind w:firstLine="2835"/>
        <w:jc w:val="both"/>
        <w:rPr>
          <w:rFonts w:ascii="Arial" w:hAnsi="Arial" w:cs="Arial"/>
          <w:bCs/>
          <w:sz w:val="26"/>
          <w:szCs w:val="26"/>
        </w:rPr>
      </w:pPr>
      <w:r>
        <w:rPr>
          <w:rFonts w:ascii="Arial" w:hAnsi="Arial" w:cs="Arial"/>
          <w:bCs/>
          <w:sz w:val="26"/>
          <w:szCs w:val="26"/>
        </w:rPr>
        <w:lastRenderedPageBreak/>
        <w:t>5</w:t>
      </w:r>
      <w:r w:rsidR="002F5E7A" w:rsidRPr="005377B8">
        <w:rPr>
          <w:rFonts w:ascii="Arial" w:hAnsi="Arial" w:cs="Arial"/>
          <w:bCs/>
          <w:sz w:val="26"/>
          <w:szCs w:val="26"/>
        </w:rPr>
        <w:t xml:space="preserve">. </w:t>
      </w:r>
      <w:r>
        <w:rPr>
          <w:rFonts w:ascii="Arial" w:hAnsi="Arial" w:cs="Arial"/>
          <w:bCs/>
          <w:sz w:val="26"/>
          <w:szCs w:val="26"/>
        </w:rPr>
        <w:t xml:space="preserve">Por auto de </w:t>
      </w:r>
      <w:r w:rsidR="002F5E7A" w:rsidRPr="00860A4B">
        <w:rPr>
          <w:rFonts w:ascii="Arial" w:hAnsi="Arial" w:cs="Arial"/>
          <w:bCs/>
          <w:sz w:val="24"/>
          <w:szCs w:val="26"/>
        </w:rPr>
        <w:t>5 de ag</w:t>
      </w:r>
      <w:r>
        <w:rPr>
          <w:rFonts w:ascii="Arial" w:hAnsi="Arial" w:cs="Arial"/>
          <w:bCs/>
          <w:sz w:val="24"/>
          <w:szCs w:val="26"/>
        </w:rPr>
        <w:t>osto de 2016</w:t>
      </w:r>
      <w:r w:rsidR="002F5E7A" w:rsidRPr="005377B8">
        <w:rPr>
          <w:rFonts w:ascii="Arial" w:hAnsi="Arial" w:cs="Arial"/>
          <w:bCs/>
          <w:sz w:val="26"/>
          <w:szCs w:val="26"/>
        </w:rPr>
        <w:t xml:space="preserve"> la a quo</w:t>
      </w:r>
      <w:r>
        <w:rPr>
          <w:rFonts w:ascii="Arial" w:hAnsi="Arial" w:cs="Arial"/>
          <w:bCs/>
          <w:sz w:val="26"/>
          <w:szCs w:val="26"/>
        </w:rPr>
        <w:t>,</w:t>
      </w:r>
      <w:r w:rsidR="002F5E7A" w:rsidRPr="005377B8">
        <w:rPr>
          <w:rFonts w:ascii="Arial" w:hAnsi="Arial" w:cs="Arial"/>
          <w:bCs/>
          <w:sz w:val="26"/>
          <w:szCs w:val="26"/>
        </w:rPr>
        <w:t xml:space="preserve"> después de traer a colación pronunciamiento de </w:t>
      </w:r>
      <w:r w:rsidR="002F5E7A">
        <w:rPr>
          <w:rFonts w:ascii="Arial" w:hAnsi="Arial" w:cs="Arial"/>
          <w:bCs/>
          <w:sz w:val="26"/>
          <w:szCs w:val="26"/>
        </w:rPr>
        <w:t xml:space="preserve">esta </w:t>
      </w:r>
      <w:r w:rsidR="00527675">
        <w:rPr>
          <w:rFonts w:ascii="Arial" w:hAnsi="Arial" w:cs="Arial"/>
          <w:bCs/>
          <w:sz w:val="26"/>
          <w:szCs w:val="26"/>
        </w:rPr>
        <w:t>Corporación</w:t>
      </w:r>
      <w:r w:rsidR="002F5E7A">
        <w:rPr>
          <w:rFonts w:ascii="Arial" w:hAnsi="Arial" w:cs="Arial"/>
          <w:bCs/>
          <w:sz w:val="26"/>
          <w:szCs w:val="26"/>
        </w:rPr>
        <w:t xml:space="preserve">, mantuvo su decisión y concedió la alzada ante esta instancia </w:t>
      </w:r>
      <w:r w:rsidR="002F5E7A">
        <w:rPr>
          <w:rFonts w:ascii="Arial" w:hAnsi="Arial" w:cs="Arial"/>
          <w:bCs/>
          <w:sz w:val="24"/>
          <w:szCs w:val="26"/>
        </w:rPr>
        <w:t>(</w:t>
      </w:r>
      <w:proofErr w:type="spellStart"/>
      <w:r w:rsidR="002F5E7A">
        <w:rPr>
          <w:rFonts w:ascii="Arial" w:hAnsi="Arial" w:cs="Arial"/>
          <w:bCs/>
          <w:sz w:val="24"/>
          <w:szCs w:val="26"/>
        </w:rPr>
        <w:t>fl</w:t>
      </w:r>
      <w:proofErr w:type="spellEnd"/>
      <w:r w:rsidR="002F5E7A">
        <w:rPr>
          <w:rFonts w:ascii="Arial" w:hAnsi="Arial" w:cs="Arial"/>
          <w:bCs/>
          <w:sz w:val="24"/>
          <w:szCs w:val="26"/>
        </w:rPr>
        <w:t xml:space="preserve">. 34 a 38 </w:t>
      </w:r>
      <w:proofErr w:type="spellStart"/>
      <w:r w:rsidR="002F5E7A">
        <w:rPr>
          <w:rFonts w:ascii="Arial" w:hAnsi="Arial" w:cs="Arial"/>
          <w:bCs/>
          <w:sz w:val="24"/>
          <w:szCs w:val="26"/>
        </w:rPr>
        <w:t>íd</w:t>
      </w:r>
      <w:proofErr w:type="spellEnd"/>
      <w:r w:rsidR="002F5E7A">
        <w:rPr>
          <w:rFonts w:ascii="Arial" w:hAnsi="Arial" w:cs="Arial"/>
          <w:bCs/>
          <w:sz w:val="24"/>
          <w:szCs w:val="26"/>
        </w:rPr>
        <w:t>).</w:t>
      </w:r>
    </w:p>
    <w:p w:rsidR="002F5E7A" w:rsidRPr="00F07159" w:rsidRDefault="002F5E7A" w:rsidP="002F5E7A">
      <w:pPr>
        <w:pStyle w:val="Sinespaciado1"/>
        <w:spacing w:line="360" w:lineRule="auto"/>
        <w:ind w:firstLine="2835"/>
        <w:jc w:val="both"/>
        <w:rPr>
          <w:rFonts w:ascii="Arial" w:hAnsi="Arial" w:cs="Arial"/>
          <w:bCs/>
          <w:sz w:val="16"/>
          <w:szCs w:val="26"/>
        </w:rPr>
      </w:pPr>
    </w:p>
    <w:p w:rsidR="002F5E7A" w:rsidRDefault="00190CD1" w:rsidP="002F5E7A">
      <w:pPr>
        <w:pStyle w:val="Sinespaciado1"/>
        <w:spacing w:line="360" w:lineRule="auto"/>
        <w:ind w:firstLine="2835"/>
        <w:jc w:val="both"/>
        <w:rPr>
          <w:rFonts w:ascii="Arial" w:hAnsi="Arial" w:cs="Arial"/>
          <w:bCs/>
          <w:sz w:val="26"/>
          <w:szCs w:val="26"/>
        </w:rPr>
      </w:pPr>
      <w:r>
        <w:rPr>
          <w:rFonts w:ascii="Arial" w:hAnsi="Arial" w:cs="Arial"/>
          <w:bCs/>
          <w:sz w:val="26"/>
          <w:szCs w:val="26"/>
        </w:rPr>
        <w:t>6</w:t>
      </w:r>
      <w:r w:rsidR="002F5E7A">
        <w:rPr>
          <w:rFonts w:ascii="Arial" w:hAnsi="Arial" w:cs="Arial"/>
          <w:bCs/>
          <w:sz w:val="26"/>
          <w:szCs w:val="26"/>
        </w:rPr>
        <w:t xml:space="preserve">. Enseguida, adjuntó el apelante escrito </w:t>
      </w:r>
      <w:r w:rsidR="00527675">
        <w:rPr>
          <w:rFonts w:ascii="Arial" w:hAnsi="Arial" w:cs="Arial"/>
          <w:bCs/>
          <w:sz w:val="26"/>
          <w:szCs w:val="26"/>
        </w:rPr>
        <w:t xml:space="preserve">de sustentación </w:t>
      </w:r>
      <w:r w:rsidR="002F5E7A">
        <w:rPr>
          <w:rFonts w:ascii="Arial" w:hAnsi="Arial" w:cs="Arial"/>
          <w:bCs/>
          <w:sz w:val="26"/>
          <w:szCs w:val="26"/>
        </w:rPr>
        <w:t xml:space="preserve">con argumentos idénticos a los planteados en su queja inicial </w:t>
      </w:r>
      <w:r w:rsidR="002F5E7A">
        <w:rPr>
          <w:rFonts w:ascii="Arial" w:hAnsi="Arial" w:cs="Arial"/>
          <w:bCs/>
          <w:sz w:val="24"/>
          <w:szCs w:val="26"/>
        </w:rPr>
        <w:t>(</w:t>
      </w:r>
      <w:proofErr w:type="spellStart"/>
      <w:r w:rsidR="002F5E7A">
        <w:rPr>
          <w:rFonts w:ascii="Arial" w:hAnsi="Arial" w:cs="Arial"/>
          <w:bCs/>
          <w:sz w:val="24"/>
          <w:szCs w:val="26"/>
        </w:rPr>
        <w:t>fl</w:t>
      </w:r>
      <w:proofErr w:type="spellEnd"/>
      <w:r w:rsidR="002F5E7A">
        <w:rPr>
          <w:rFonts w:ascii="Arial" w:hAnsi="Arial" w:cs="Arial"/>
          <w:bCs/>
          <w:sz w:val="24"/>
          <w:szCs w:val="26"/>
        </w:rPr>
        <w:t xml:space="preserve">. 40 a 45 </w:t>
      </w:r>
      <w:proofErr w:type="spellStart"/>
      <w:r w:rsidR="002F5E7A">
        <w:rPr>
          <w:rFonts w:ascii="Arial" w:hAnsi="Arial" w:cs="Arial"/>
          <w:bCs/>
          <w:sz w:val="24"/>
          <w:szCs w:val="26"/>
        </w:rPr>
        <w:t>íd</w:t>
      </w:r>
      <w:proofErr w:type="spellEnd"/>
      <w:r w:rsidR="002F5E7A">
        <w:rPr>
          <w:rFonts w:ascii="Arial" w:hAnsi="Arial" w:cs="Arial"/>
          <w:bCs/>
          <w:sz w:val="24"/>
          <w:szCs w:val="26"/>
        </w:rPr>
        <w:t xml:space="preserve">). </w:t>
      </w:r>
      <w:r w:rsidR="002F5E7A">
        <w:rPr>
          <w:rFonts w:ascii="Arial" w:hAnsi="Arial" w:cs="Arial"/>
          <w:bCs/>
          <w:sz w:val="26"/>
          <w:szCs w:val="26"/>
        </w:rPr>
        <w:t xml:space="preserve"> </w:t>
      </w:r>
    </w:p>
    <w:p w:rsidR="002F5E7A" w:rsidRPr="00AE36BA" w:rsidRDefault="002F5E7A" w:rsidP="002F5E7A">
      <w:pPr>
        <w:pStyle w:val="Sinespaciado1"/>
        <w:spacing w:line="360" w:lineRule="auto"/>
        <w:ind w:firstLine="2835"/>
        <w:jc w:val="both"/>
        <w:rPr>
          <w:rFonts w:ascii="Arial" w:hAnsi="Arial" w:cs="Arial"/>
          <w:sz w:val="16"/>
          <w:szCs w:val="26"/>
        </w:rPr>
      </w:pPr>
    </w:p>
    <w:p w:rsidR="002F5E7A" w:rsidRPr="00AE36BA" w:rsidRDefault="00190CD1" w:rsidP="002F5E7A">
      <w:pPr>
        <w:pStyle w:val="Sinespaciado1"/>
        <w:spacing w:line="360" w:lineRule="auto"/>
        <w:ind w:firstLine="2835"/>
        <w:jc w:val="both"/>
        <w:rPr>
          <w:rFonts w:ascii="Arial" w:hAnsi="Arial" w:cs="Arial"/>
          <w:sz w:val="26"/>
          <w:szCs w:val="26"/>
        </w:rPr>
      </w:pPr>
      <w:r>
        <w:rPr>
          <w:rFonts w:ascii="Arial" w:hAnsi="Arial" w:cs="Arial"/>
          <w:sz w:val="26"/>
          <w:szCs w:val="26"/>
        </w:rPr>
        <w:t>7</w:t>
      </w:r>
      <w:r w:rsidR="002F5E7A" w:rsidRPr="00AE36BA">
        <w:rPr>
          <w:rFonts w:ascii="Arial" w:hAnsi="Arial" w:cs="Arial"/>
          <w:sz w:val="26"/>
          <w:szCs w:val="26"/>
        </w:rPr>
        <w:t>. Cumplido el trámite del recurso, procede la Sala a resolverlo.</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Pr="0085571C" w:rsidRDefault="0085571C" w:rsidP="000202C6">
      <w:pPr>
        <w:pStyle w:val="Sinespaciado1"/>
        <w:spacing w:line="360" w:lineRule="auto"/>
        <w:ind w:firstLine="2835"/>
        <w:jc w:val="both"/>
        <w:rPr>
          <w:rFonts w:ascii="Arial" w:hAnsi="Arial" w:cs="Arial"/>
          <w:b/>
          <w:szCs w:val="26"/>
        </w:rPr>
      </w:pPr>
      <w:r w:rsidRPr="0085571C">
        <w:rPr>
          <w:rFonts w:ascii="Arial" w:hAnsi="Arial" w:cs="Arial"/>
          <w:b/>
          <w:szCs w:val="26"/>
        </w:rPr>
        <w:t>III. CONSIDERACIONES</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Default="00AE36BA" w:rsidP="000202C6">
      <w:pPr>
        <w:pStyle w:val="Sinespaciado1"/>
        <w:spacing w:line="360" w:lineRule="auto"/>
        <w:ind w:firstLine="2835"/>
        <w:jc w:val="both"/>
        <w:rPr>
          <w:rFonts w:ascii="Arial" w:hAnsi="Arial" w:cs="Arial"/>
          <w:b/>
          <w:sz w:val="28"/>
          <w:szCs w:val="28"/>
        </w:rPr>
      </w:pPr>
      <w:r w:rsidRPr="001F5E5A">
        <w:rPr>
          <w:rFonts w:ascii="Arial" w:hAnsi="Arial" w:cs="Arial"/>
          <w:bCs/>
          <w:sz w:val="26"/>
          <w:szCs w:val="26"/>
        </w:rPr>
        <w:t>1. El auto recurrido es apelab</w:t>
      </w:r>
      <w:r>
        <w:rPr>
          <w:rFonts w:ascii="Arial" w:hAnsi="Arial" w:cs="Arial"/>
          <w:bCs/>
          <w:sz w:val="26"/>
          <w:szCs w:val="26"/>
        </w:rPr>
        <w:t xml:space="preserve">le, por virtud del inciso segundo, numeral </w:t>
      </w:r>
      <w:r w:rsidR="00A209FA">
        <w:rPr>
          <w:rFonts w:ascii="Arial" w:hAnsi="Arial" w:cs="Arial"/>
          <w:bCs/>
          <w:sz w:val="26"/>
          <w:szCs w:val="26"/>
        </w:rPr>
        <w:t>1</w:t>
      </w:r>
      <w:r w:rsidR="00A25051">
        <w:rPr>
          <w:rFonts w:ascii="Arial" w:hAnsi="Arial" w:cs="Arial"/>
          <w:bCs/>
          <w:sz w:val="26"/>
          <w:szCs w:val="26"/>
        </w:rPr>
        <w:t xml:space="preserve"> </w:t>
      </w:r>
      <w:r>
        <w:rPr>
          <w:rFonts w:ascii="Arial" w:hAnsi="Arial" w:cs="Arial"/>
          <w:bCs/>
          <w:sz w:val="26"/>
          <w:szCs w:val="26"/>
        </w:rPr>
        <w:t xml:space="preserve">del artículo </w:t>
      </w:r>
      <w:r w:rsidR="00A209FA">
        <w:rPr>
          <w:rFonts w:ascii="Arial" w:hAnsi="Arial" w:cs="Arial"/>
          <w:bCs/>
          <w:sz w:val="26"/>
          <w:szCs w:val="26"/>
        </w:rPr>
        <w:t>321</w:t>
      </w:r>
      <w:r w:rsidRPr="001F5E5A">
        <w:rPr>
          <w:rFonts w:ascii="Arial" w:hAnsi="Arial" w:cs="Arial"/>
          <w:bCs/>
          <w:sz w:val="26"/>
          <w:szCs w:val="26"/>
        </w:rPr>
        <w:t xml:space="preserve"> del </w:t>
      </w:r>
      <w:r w:rsidRPr="00EF4D76">
        <w:rPr>
          <w:rFonts w:ascii="Arial" w:hAnsi="Arial" w:cs="Arial"/>
          <w:bCs/>
          <w:sz w:val="24"/>
          <w:szCs w:val="26"/>
        </w:rPr>
        <w:t>C</w:t>
      </w:r>
      <w:r w:rsidR="00A209FA">
        <w:rPr>
          <w:rFonts w:ascii="Arial" w:hAnsi="Arial" w:cs="Arial"/>
          <w:bCs/>
          <w:sz w:val="24"/>
          <w:szCs w:val="26"/>
        </w:rPr>
        <w:t>GP</w:t>
      </w:r>
      <w:r w:rsidR="0060372E">
        <w:rPr>
          <w:rFonts w:ascii="Arial" w:hAnsi="Arial" w:cs="Arial"/>
          <w:bCs/>
          <w:sz w:val="24"/>
          <w:szCs w:val="26"/>
        </w:rPr>
        <w:t>.</w:t>
      </w:r>
      <w:r w:rsidRPr="001F5E5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F07159">
        <w:rPr>
          <w:rFonts w:ascii="Arial" w:hAnsi="Arial" w:cs="Arial"/>
          <w:sz w:val="26"/>
          <w:szCs w:val="26"/>
        </w:rPr>
        <w:t xml:space="preserve"> afectado</w:t>
      </w:r>
      <w:r>
        <w:rPr>
          <w:rFonts w:ascii="Arial" w:hAnsi="Arial" w:cs="Arial"/>
          <w:sz w:val="26"/>
          <w:szCs w:val="26"/>
        </w:rPr>
        <w:t>.</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DD190B"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w:t>
      </w:r>
      <w:r w:rsidR="00B6062D">
        <w:rPr>
          <w:rFonts w:ascii="Arial" w:hAnsi="Arial" w:cs="Arial"/>
          <w:sz w:val="26"/>
          <w:szCs w:val="26"/>
        </w:rPr>
        <w:t xml:space="preserve"> </w:t>
      </w:r>
      <w:r w:rsidR="00A7025B">
        <w:rPr>
          <w:rFonts w:ascii="Arial" w:hAnsi="Arial" w:cs="Arial"/>
          <w:sz w:val="26"/>
          <w:szCs w:val="26"/>
        </w:rPr>
        <w:t>l</w:t>
      </w:r>
      <w:r w:rsidR="00B6062D">
        <w:rPr>
          <w:rFonts w:ascii="Arial" w:hAnsi="Arial" w:cs="Arial"/>
          <w:sz w:val="26"/>
          <w:szCs w:val="26"/>
        </w:rPr>
        <w:t>a</w:t>
      </w:r>
      <w:r w:rsidR="00A7025B">
        <w:rPr>
          <w:rFonts w:ascii="Arial" w:hAnsi="Arial" w:cs="Arial"/>
          <w:sz w:val="26"/>
          <w:szCs w:val="26"/>
        </w:rPr>
        <w:t xml:space="preserve"> señor</w:t>
      </w:r>
      <w:r w:rsidR="00B6062D">
        <w:rPr>
          <w:rFonts w:ascii="Arial" w:hAnsi="Arial" w:cs="Arial"/>
          <w:sz w:val="26"/>
          <w:szCs w:val="26"/>
        </w:rPr>
        <w:t>a</w:t>
      </w:r>
      <w:r w:rsidR="008546F6" w:rsidRPr="008546F6">
        <w:rPr>
          <w:rFonts w:ascii="Arial" w:hAnsi="Arial" w:cs="Arial"/>
          <w:sz w:val="26"/>
          <w:szCs w:val="26"/>
        </w:rPr>
        <w:t xml:space="preserve"> </w:t>
      </w:r>
      <w:r w:rsidR="008546F6">
        <w:rPr>
          <w:rFonts w:ascii="Arial" w:hAnsi="Arial" w:cs="Arial"/>
          <w:sz w:val="26"/>
          <w:szCs w:val="26"/>
        </w:rPr>
        <w:t>Juez</w:t>
      </w:r>
      <w:r w:rsidR="008546F6" w:rsidRPr="00175378">
        <w:rPr>
          <w:rFonts w:ascii="Arial" w:hAnsi="Arial" w:cs="Arial"/>
          <w:sz w:val="26"/>
          <w:szCs w:val="26"/>
        </w:rPr>
        <w:t xml:space="preserve"> </w:t>
      </w:r>
      <w:r w:rsidR="008546F6">
        <w:rPr>
          <w:rFonts w:ascii="Arial" w:hAnsi="Arial" w:cs="Arial"/>
          <w:sz w:val="26"/>
          <w:szCs w:val="26"/>
        </w:rPr>
        <w:t>Cuarto</w:t>
      </w:r>
      <w:r w:rsidR="008546F6" w:rsidRPr="00175378">
        <w:rPr>
          <w:rFonts w:ascii="Arial" w:hAnsi="Arial" w:cs="Arial"/>
          <w:sz w:val="26"/>
          <w:szCs w:val="26"/>
        </w:rPr>
        <w:t xml:space="preserve"> Civil del Circuito de Pereira</w:t>
      </w:r>
      <w:r w:rsidR="008546F6">
        <w:rPr>
          <w:rFonts w:ascii="Arial" w:hAnsi="Arial" w:cs="Arial"/>
          <w:sz w:val="26"/>
          <w:szCs w:val="26"/>
        </w:rPr>
        <w:t>, consistente en el rechazo de la demanda por no haberse cumplido el requisito de procedibilidad de la conciliación  extrajudicial</w:t>
      </w:r>
      <w:r w:rsidRPr="00175378">
        <w:rPr>
          <w:rFonts w:ascii="Arial" w:hAnsi="Arial" w:cs="Arial"/>
          <w:sz w:val="26"/>
          <w:szCs w:val="26"/>
        </w:rPr>
        <w:t>, tiene o no asidero jurídico y, por lo tanto, debe o no mantenerse.</w:t>
      </w:r>
    </w:p>
    <w:p w:rsidR="00DD190B" w:rsidRPr="00F07159" w:rsidRDefault="00DD190B" w:rsidP="00DD190B">
      <w:pPr>
        <w:pStyle w:val="Sinespaciado1"/>
        <w:spacing w:line="360" w:lineRule="auto"/>
        <w:ind w:firstLine="2835"/>
        <w:jc w:val="both"/>
        <w:rPr>
          <w:rFonts w:ascii="Arial" w:hAnsi="Arial" w:cs="Arial"/>
          <w:sz w:val="16"/>
          <w:szCs w:val="26"/>
        </w:rPr>
      </w:pPr>
    </w:p>
    <w:p w:rsidR="008546F6" w:rsidRDefault="004A55AD" w:rsidP="00696339">
      <w:pPr>
        <w:pStyle w:val="Sinespaciado1"/>
        <w:spacing w:line="360" w:lineRule="auto"/>
        <w:ind w:firstLine="2835"/>
        <w:jc w:val="both"/>
        <w:rPr>
          <w:rFonts w:ascii="Arial" w:hAnsi="Arial" w:cs="Arial"/>
          <w:color w:val="000000"/>
          <w:sz w:val="26"/>
          <w:szCs w:val="26"/>
        </w:rPr>
      </w:pPr>
      <w:r>
        <w:rPr>
          <w:rFonts w:ascii="Arial" w:hAnsi="Arial" w:cs="Arial"/>
          <w:sz w:val="26"/>
          <w:szCs w:val="26"/>
        </w:rPr>
        <w:t>3.</w:t>
      </w:r>
      <w:r w:rsidR="00511517" w:rsidRPr="00DD190B">
        <w:rPr>
          <w:rFonts w:ascii="Arial" w:hAnsi="Arial" w:cs="Arial"/>
          <w:color w:val="000000"/>
          <w:sz w:val="26"/>
          <w:szCs w:val="26"/>
        </w:rPr>
        <w:t> </w:t>
      </w:r>
      <w:r>
        <w:rPr>
          <w:rFonts w:ascii="Arial" w:hAnsi="Arial" w:cs="Arial"/>
          <w:color w:val="000000"/>
          <w:sz w:val="26"/>
          <w:szCs w:val="26"/>
        </w:rPr>
        <w:t>E</w:t>
      </w:r>
      <w:r w:rsidR="008546F6">
        <w:rPr>
          <w:rFonts w:ascii="Arial" w:hAnsi="Arial" w:cs="Arial"/>
          <w:color w:val="000000"/>
          <w:sz w:val="26"/>
          <w:szCs w:val="26"/>
        </w:rPr>
        <w:t>n principio, ha de decirse que el artículo 35 de la Ley 640 de 2001</w:t>
      </w:r>
      <w:r w:rsidR="007F41BB">
        <w:rPr>
          <w:rFonts w:ascii="Arial" w:hAnsi="Arial" w:cs="Arial"/>
          <w:color w:val="000000"/>
          <w:sz w:val="26"/>
          <w:szCs w:val="26"/>
        </w:rPr>
        <w:t xml:space="preserve"> prescribe: </w:t>
      </w:r>
      <w:r w:rsidR="007F41BB" w:rsidRPr="007F41BB">
        <w:rPr>
          <w:rFonts w:ascii="Arial" w:hAnsi="Arial" w:cs="Arial"/>
          <w:i/>
          <w:color w:val="000000"/>
          <w:sz w:val="24"/>
          <w:szCs w:val="26"/>
        </w:rPr>
        <w:t>“En los asuntos susceptibles de conciliación, la conciliación extrajudicial en derecho es requisito de procedibilidad para acudir ante las jurisdicciones civil, contenciosa administrativa, laboral y de familia…”</w:t>
      </w:r>
    </w:p>
    <w:p w:rsidR="008546F6" w:rsidRPr="00A80BE2" w:rsidRDefault="008546F6" w:rsidP="00696339">
      <w:pPr>
        <w:pStyle w:val="Sinespaciado1"/>
        <w:spacing w:line="360" w:lineRule="auto"/>
        <w:ind w:firstLine="2835"/>
        <w:jc w:val="both"/>
        <w:rPr>
          <w:rFonts w:ascii="Arial" w:hAnsi="Arial" w:cs="Arial"/>
          <w:color w:val="000000"/>
          <w:sz w:val="16"/>
          <w:szCs w:val="26"/>
        </w:rPr>
      </w:pPr>
    </w:p>
    <w:p w:rsidR="00A80BE2" w:rsidRDefault="00745CC2" w:rsidP="00696339">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4. El litigio puesto a consideración del Juzgado Cuarto Civil del Circuito (responsabilidad civil contractual) es de los que</w:t>
      </w:r>
      <w:r w:rsidR="00644463">
        <w:rPr>
          <w:rFonts w:ascii="Arial" w:hAnsi="Arial" w:cs="Arial"/>
          <w:color w:val="000000"/>
          <w:sz w:val="26"/>
          <w:szCs w:val="26"/>
        </w:rPr>
        <w:t xml:space="preserve"> contempla el citado artículo</w:t>
      </w:r>
      <w:r>
        <w:rPr>
          <w:rFonts w:ascii="Arial" w:hAnsi="Arial" w:cs="Arial"/>
          <w:color w:val="000000"/>
          <w:sz w:val="26"/>
          <w:szCs w:val="26"/>
        </w:rPr>
        <w:t xml:space="preserve">, por lo cual era requisito para </w:t>
      </w:r>
      <w:r w:rsidR="00A80BE2">
        <w:rPr>
          <w:rFonts w:ascii="Arial" w:hAnsi="Arial" w:cs="Arial"/>
          <w:color w:val="000000"/>
          <w:sz w:val="26"/>
          <w:szCs w:val="26"/>
        </w:rPr>
        <w:t xml:space="preserve">que la actora pudiese </w:t>
      </w:r>
      <w:r>
        <w:rPr>
          <w:rFonts w:ascii="Arial" w:hAnsi="Arial" w:cs="Arial"/>
          <w:color w:val="000000"/>
          <w:sz w:val="26"/>
          <w:szCs w:val="26"/>
        </w:rPr>
        <w:t xml:space="preserve">acudir a la jurisdicción civil, acreditar la conciliación previa que ordena tal </w:t>
      </w:r>
      <w:r w:rsidR="00A80BE2">
        <w:rPr>
          <w:rFonts w:ascii="Arial" w:hAnsi="Arial" w:cs="Arial"/>
          <w:color w:val="000000"/>
          <w:sz w:val="26"/>
          <w:szCs w:val="26"/>
        </w:rPr>
        <w:t>normativa</w:t>
      </w:r>
      <w:r>
        <w:rPr>
          <w:rFonts w:ascii="Arial" w:hAnsi="Arial" w:cs="Arial"/>
          <w:color w:val="000000"/>
          <w:sz w:val="26"/>
          <w:szCs w:val="26"/>
        </w:rPr>
        <w:t>.</w:t>
      </w:r>
    </w:p>
    <w:p w:rsidR="00A80BE2" w:rsidRDefault="00A80BE2" w:rsidP="00696339">
      <w:pPr>
        <w:pStyle w:val="Sinespaciado1"/>
        <w:spacing w:line="360" w:lineRule="auto"/>
        <w:ind w:firstLine="2835"/>
        <w:jc w:val="both"/>
        <w:rPr>
          <w:rFonts w:ascii="Arial" w:hAnsi="Arial" w:cs="Arial"/>
          <w:color w:val="000000"/>
          <w:sz w:val="26"/>
          <w:szCs w:val="26"/>
        </w:rPr>
      </w:pPr>
    </w:p>
    <w:p w:rsidR="008546F6" w:rsidRDefault="00A80BE2" w:rsidP="00696339">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lastRenderedPageBreak/>
        <w:t xml:space="preserve">5. Es evidente que, como lo acreditan los documentos que obran en el expediente, a la </w:t>
      </w:r>
      <w:r w:rsidR="00624646">
        <w:rPr>
          <w:rFonts w:ascii="Arial" w:hAnsi="Arial" w:cs="Arial"/>
          <w:color w:val="000000"/>
          <w:sz w:val="26"/>
          <w:szCs w:val="26"/>
        </w:rPr>
        <w:t>presentación d</w:t>
      </w:r>
      <w:r w:rsidR="00D941BF">
        <w:rPr>
          <w:rFonts w:ascii="Arial" w:hAnsi="Arial" w:cs="Arial"/>
          <w:color w:val="000000"/>
          <w:sz w:val="26"/>
          <w:szCs w:val="26"/>
        </w:rPr>
        <w:t>e la demanda</w:t>
      </w:r>
      <w:r>
        <w:rPr>
          <w:rFonts w:ascii="Arial" w:hAnsi="Arial" w:cs="Arial"/>
          <w:color w:val="000000"/>
          <w:sz w:val="26"/>
          <w:szCs w:val="26"/>
        </w:rPr>
        <w:t xml:space="preserve"> no se </w:t>
      </w:r>
      <w:r w:rsidR="00527675">
        <w:rPr>
          <w:rFonts w:ascii="Arial" w:hAnsi="Arial" w:cs="Arial"/>
          <w:color w:val="000000"/>
          <w:sz w:val="26"/>
          <w:szCs w:val="26"/>
        </w:rPr>
        <w:t>cumpli</w:t>
      </w:r>
      <w:r>
        <w:rPr>
          <w:rFonts w:ascii="Arial" w:hAnsi="Arial" w:cs="Arial"/>
          <w:color w:val="000000"/>
          <w:sz w:val="26"/>
          <w:szCs w:val="26"/>
        </w:rPr>
        <w:t xml:space="preserve">ó dicha exigencia, </w:t>
      </w:r>
      <w:r w:rsidR="00527675">
        <w:rPr>
          <w:rFonts w:ascii="Arial" w:hAnsi="Arial" w:cs="Arial"/>
          <w:color w:val="000000"/>
          <w:sz w:val="26"/>
          <w:szCs w:val="26"/>
        </w:rPr>
        <w:t xml:space="preserve">a pesar de no haberse solicitado medidas cautelares, </w:t>
      </w:r>
      <w:r>
        <w:rPr>
          <w:rFonts w:ascii="Arial" w:hAnsi="Arial" w:cs="Arial"/>
          <w:color w:val="000000"/>
          <w:sz w:val="26"/>
          <w:szCs w:val="26"/>
        </w:rPr>
        <w:t>por lo cual</w:t>
      </w:r>
      <w:r w:rsidR="00624646">
        <w:rPr>
          <w:rFonts w:ascii="Arial" w:hAnsi="Arial" w:cs="Arial"/>
          <w:color w:val="000000"/>
          <w:sz w:val="26"/>
          <w:szCs w:val="26"/>
        </w:rPr>
        <w:t xml:space="preserve"> la a quo </w:t>
      </w:r>
      <w:r w:rsidR="00D941BF">
        <w:rPr>
          <w:rFonts w:ascii="Arial" w:hAnsi="Arial" w:cs="Arial"/>
          <w:color w:val="000000"/>
          <w:sz w:val="26"/>
          <w:szCs w:val="26"/>
        </w:rPr>
        <w:t>resolvió inadmitirla;</w:t>
      </w:r>
      <w:r w:rsidR="00624646">
        <w:rPr>
          <w:rFonts w:ascii="Arial" w:hAnsi="Arial" w:cs="Arial"/>
          <w:color w:val="000000"/>
          <w:sz w:val="26"/>
          <w:szCs w:val="26"/>
        </w:rPr>
        <w:t xml:space="preserve"> concedió 5 días a la parte demandante para que la subsanara.</w:t>
      </w:r>
    </w:p>
    <w:p w:rsidR="00624646" w:rsidRPr="00624646" w:rsidRDefault="00624646" w:rsidP="00696339">
      <w:pPr>
        <w:pStyle w:val="Sinespaciado1"/>
        <w:spacing w:line="360" w:lineRule="auto"/>
        <w:ind w:firstLine="2835"/>
        <w:jc w:val="both"/>
        <w:rPr>
          <w:rFonts w:ascii="Arial" w:hAnsi="Arial" w:cs="Arial"/>
          <w:color w:val="000000"/>
          <w:sz w:val="16"/>
          <w:szCs w:val="26"/>
        </w:rPr>
      </w:pPr>
    </w:p>
    <w:p w:rsidR="00624646" w:rsidRDefault="00624646" w:rsidP="00696339">
      <w:pPr>
        <w:pStyle w:val="Sinespaciado1"/>
        <w:spacing w:line="360" w:lineRule="auto"/>
        <w:ind w:firstLine="2835"/>
        <w:jc w:val="both"/>
        <w:rPr>
          <w:rFonts w:ascii="Arial" w:hAnsi="Arial" w:cs="Arial"/>
          <w:sz w:val="24"/>
          <w:szCs w:val="26"/>
        </w:rPr>
      </w:pPr>
      <w:r>
        <w:rPr>
          <w:rFonts w:ascii="Arial" w:hAnsi="Arial" w:cs="Arial"/>
          <w:color w:val="000000"/>
          <w:sz w:val="26"/>
          <w:szCs w:val="26"/>
        </w:rPr>
        <w:t>6. A</w:t>
      </w:r>
      <w:r>
        <w:rPr>
          <w:rFonts w:ascii="Arial" w:hAnsi="Arial" w:cs="Arial"/>
          <w:sz w:val="26"/>
          <w:szCs w:val="26"/>
        </w:rPr>
        <w:t xml:space="preserve">nte tal requerimiento, el </w:t>
      </w:r>
      <w:r w:rsidRPr="00107F3F">
        <w:rPr>
          <w:rFonts w:ascii="Arial" w:hAnsi="Arial" w:cs="Arial"/>
          <w:sz w:val="26"/>
          <w:szCs w:val="26"/>
        </w:rPr>
        <w:t>asesor judicial de l</w:t>
      </w:r>
      <w:r>
        <w:rPr>
          <w:rFonts w:ascii="Arial" w:hAnsi="Arial" w:cs="Arial"/>
          <w:sz w:val="26"/>
          <w:szCs w:val="26"/>
        </w:rPr>
        <w:t xml:space="preserve">a demandante, manifiesta al juzgado que por error involuntario </w:t>
      </w:r>
      <w:r w:rsidRPr="005036F4">
        <w:rPr>
          <w:rFonts w:ascii="Arial" w:hAnsi="Arial" w:cs="Arial"/>
          <w:i/>
          <w:sz w:val="26"/>
          <w:szCs w:val="26"/>
        </w:rPr>
        <w:t>“se obvió incluir una petición para dar cumplimiento a tal requisito”</w:t>
      </w:r>
      <w:r w:rsidR="005036F4">
        <w:rPr>
          <w:rFonts w:ascii="Arial" w:hAnsi="Arial" w:cs="Arial"/>
          <w:sz w:val="26"/>
          <w:szCs w:val="26"/>
        </w:rPr>
        <w:t>,</w:t>
      </w:r>
      <w:r>
        <w:rPr>
          <w:rFonts w:ascii="Arial" w:hAnsi="Arial" w:cs="Arial"/>
          <w:sz w:val="26"/>
          <w:szCs w:val="26"/>
        </w:rPr>
        <w:t xml:space="preserve"> por lo que solicita al despacho, de conformidad con los artículo</w:t>
      </w:r>
      <w:r w:rsidR="00644463">
        <w:rPr>
          <w:rFonts w:ascii="Arial" w:hAnsi="Arial" w:cs="Arial"/>
          <w:sz w:val="26"/>
          <w:szCs w:val="26"/>
        </w:rPr>
        <w:t>s</w:t>
      </w:r>
      <w:r>
        <w:rPr>
          <w:rFonts w:ascii="Arial" w:hAnsi="Arial" w:cs="Arial"/>
          <w:sz w:val="26"/>
          <w:szCs w:val="26"/>
        </w:rPr>
        <w:t xml:space="preserve"> 590 y 591 del CGP, se decrete la cautela de inscripción de la demanda en la matrícula mercantil No. 180716 de la Cámara de Comercio de </w:t>
      </w:r>
      <w:proofErr w:type="spellStart"/>
      <w:r>
        <w:rPr>
          <w:rFonts w:ascii="Arial" w:hAnsi="Arial" w:cs="Arial"/>
          <w:sz w:val="26"/>
          <w:szCs w:val="26"/>
        </w:rPr>
        <w:t>Aburrá</w:t>
      </w:r>
      <w:proofErr w:type="spellEnd"/>
      <w:r>
        <w:rPr>
          <w:rFonts w:ascii="Arial" w:hAnsi="Arial" w:cs="Arial"/>
          <w:sz w:val="26"/>
          <w:szCs w:val="26"/>
        </w:rPr>
        <w:t xml:space="preserve"> Sur, </w:t>
      </w:r>
      <w:r w:rsidRPr="0085571C">
        <w:rPr>
          <w:rFonts w:ascii="Arial" w:hAnsi="Arial" w:cs="Arial"/>
          <w:i/>
          <w:sz w:val="24"/>
          <w:szCs w:val="26"/>
        </w:rPr>
        <w:t>“obviando así el Requisito de Procedibilidad para acudir ante este estrado judicial.”</w:t>
      </w:r>
      <w:r>
        <w:rPr>
          <w:rFonts w:ascii="Arial" w:hAnsi="Arial" w:cs="Arial"/>
          <w:sz w:val="26"/>
          <w:szCs w:val="26"/>
        </w:rPr>
        <w:t xml:space="preserve"> </w:t>
      </w:r>
      <w:r>
        <w:rPr>
          <w:rFonts w:ascii="Arial" w:hAnsi="Arial" w:cs="Arial"/>
          <w:sz w:val="24"/>
          <w:szCs w:val="26"/>
        </w:rPr>
        <w:t>(</w:t>
      </w:r>
      <w:proofErr w:type="spellStart"/>
      <w:r>
        <w:rPr>
          <w:rFonts w:ascii="Arial" w:hAnsi="Arial" w:cs="Arial"/>
          <w:sz w:val="24"/>
          <w:szCs w:val="26"/>
        </w:rPr>
        <w:t>fls</w:t>
      </w:r>
      <w:proofErr w:type="spellEnd"/>
      <w:r>
        <w:rPr>
          <w:rFonts w:ascii="Arial" w:hAnsi="Arial" w:cs="Arial"/>
          <w:sz w:val="24"/>
          <w:szCs w:val="26"/>
        </w:rPr>
        <w:t xml:space="preserve">. 20-21 </w:t>
      </w:r>
      <w:proofErr w:type="spellStart"/>
      <w:r>
        <w:rPr>
          <w:rFonts w:ascii="Arial" w:hAnsi="Arial" w:cs="Arial"/>
          <w:sz w:val="24"/>
          <w:szCs w:val="26"/>
        </w:rPr>
        <w:t>íd</w:t>
      </w:r>
      <w:proofErr w:type="spellEnd"/>
      <w:r>
        <w:rPr>
          <w:rFonts w:ascii="Arial" w:hAnsi="Arial" w:cs="Arial"/>
          <w:sz w:val="24"/>
          <w:szCs w:val="26"/>
        </w:rPr>
        <w:t>).</w:t>
      </w:r>
    </w:p>
    <w:p w:rsidR="00624646" w:rsidRPr="00257FA1" w:rsidRDefault="00624646" w:rsidP="00696339">
      <w:pPr>
        <w:pStyle w:val="Sinespaciado1"/>
        <w:spacing w:line="360" w:lineRule="auto"/>
        <w:ind w:firstLine="2835"/>
        <w:jc w:val="both"/>
        <w:rPr>
          <w:rFonts w:ascii="Arial" w:hAnsi="Arial" w:cs="Arial"/>
          <w:sz w:val="16"/>
          <w:szCs w:val="26"/>
        </w:rPr>
      </w:pPr>
    </w:p>
    <w:p w:rsidR="0058121E" w:rsidRDefault="00624646" w:rsidP="0058121E">
      <w:pPr>
        <w:pStyle w:val="Sinespaciado1"/>
        <w:spacing w:line="360" w:lineRule="auto"/>
        <w:ind w:firstLine="2835"/>
        <w:jc w:val="both"/>
        <w:rPr>
          <w:rFonts w:ascii="Arial" w:hAnsi="Arial" w:cs="Arial"/>
          <w:sz w:val="26"/>
          <w:szCs w:val="26"/>
        </w:rPr>
      </w:pPr>
      <w:r>
        <w:rPr>
          <w:rFonts w:ascii="Arial" w:hAnsi="Arial" w:cs="Arial"/>
          <w:color w:val="000000"/>
          <w:sz w:val="26"/>
          <w:szCs w:val="26"/>
        </w:rPr>
        <w:t xml:space="preserve">7. Claramente se observa que lo que pretende el </w:t>
      </w:r>
      <w:r w:rsidR="005036F4">
        <w:rPr>
          <w:rFonts w:ascii="Arial" w:hAnsi="Arial" w:cs="Arial"/>
          <w:color w:val="000000"/>
          <w:sz w:val="26"/>
          <w:szCs w:val="26"/>
        </w:rPr>
        <w:t xml:space="preserve">citado profesional del derecho </w:t>
      </w:r>
      <w:r>
        <w:rPr>
          <w:rFonts w:ascii="Arial" w:hAnsi="Arial" w:cs="Arial"/>
          <w:color w:val="000000"/>
          <w:sz w:val="26"/>
          <w:szCs w:val="26"/>
        </w:rPr>
        <w:t>es obviar, como él mismo lo dice, el requisito de procedibilidad</w:t>
      </w:r>
      <w:r w:rsidR="0058121E">
        <w:rPr>
          <w:rFonts w:ascii="Arial" w:hAnsi="Arial" w:cs="Arial"/>
          <w:color w:val="000000"/>
          <w:sz w:val="26"/>
          <w:szCs w:val="26"/>
        </w:rPr>
        <w:t xml:space="preserve"> para acudir a la vía judicial</w:t>
      </w:r>
      <w:r w:rsidR="00257FA1">
        <w:rPr>
          <w:rFonts w:ascii="Arial" w:hAnsi="Arial" w:cs="Arial"/>
          <w:color w:val="000000"/>
          <w:sz w:val="26"/>
          <w:szCs w:val="26"/>
        </w:rPr>
        <w:t>, circunstancia que no puede acolitar este estrado judicial</w:t>
      </w:r>
      <w:r w:rsidR="0058121E">
        <w:rPr>
          <w:rFonts w:ascii="Arial" w:hAnsi="Arial" w:cs="Arial"/>
          <w:color w:val="000000"/>
          <w:sz w:val="26"/>
          <w:szCs w:val="26"/>
        </w:rPr>
        <w:t>. E</w:t>
      </w:r>
      <w:r w:rsidR="00257FA1">
        <w:rPr>
          <w:rFonts w:ascii="Arial" w:hAnsi="Arial" w:cs="Arial"/>
          <w:color w:val="000000"/>
          <w:sz w:val="26"/>
          <w:szCs w:val="26"/>
        </w:rPr>
        <w:t>n situaciones semejantes la Corte Suprema de Justicia ha señalado que</w:t>
      </w:r>
      <w:r w:rsidR="005036F4">
        <w:rPr>
          <w:rFonts w:ascii="Arial" w:hAnsi="Arial" w:cs="Arial"/>
          <w:color w:val="000000"/>
          <w:sz w:val="26"/>
          <w:szCs w:val="26"/>
        </w:rPr>
        <w:t>:</w:t>
      </w:r>
      <w:r w:rsidR="005036F4" w:rsidRPr="00C9037F">
        <w:rPr>
          <w:rFonts w:ascii="Arial" w:hAnsi="Arial" w:cs="Arial"/>
          <w:i/>
          <w:sz w:val="26"/>
          <w:szCs w:val="26"/>
        </w:rPr>
        <w:t xml:space="preserve"> </w:t>
      </w:r>
      <w:r w:rsidR="0058121E" w:rsidRPr="0058121E">
        <w:rPr>
          <w:rFonts w:ascii="Arial" w:hAnsi="Arial" w:cs="Arial"/>
          <w:i/>
          <w:sz w:val="24"/>
          <w:szCs w:val="26"/>
        </w:rPr>
        <w:t>“</w:t>
      </w:r>
      <w:r w:rsidR="005036F4" w:rsidRPr="0058121E">
        <w:rPr>
          <w:rFonts w:ascii="Arial" w:hAnsi="Arial" w:cs="Arial"/>
          <w:i/>
          <w:sz w:val="24"/>
          <w:szCs w:val="26"/>
        </w:rPr>
        <w:t>Ha de verse, además, que avalar una interpretación como la que sugiere el inconforme, daría al traste no sólo con la regulación prevista para las medidas cautelares en procesos declarativos (pues, serían inocuos los literales a y b del art. 590 del C. G. del P. C., si se permitiera, indiscriminadamente, el decreto de embargos y secuestros desde la admisión de la demanda en procesos declarativos),</w:t>
      </w:r>
      <w:r w:rsidR="005036F4" w:rsidRPr="0058121E">
        <w:rPr>
          <w:rFonts w:ascii="Arial" w:hAnsi="Arial" w:cs="Arial"/>
          <w:b/>
          <w:i/>
          <w:sz w:val="24"/>
          <w:szCs w:val="26"/>
        </w:rPr>
        <w:t xml:space="preserve"> </w:t>
      </w:r>
      <w:r w:rsidR="005036F4" w:rsidRPr="0058121E">
        <w:rPr>
          <w:rFonts w:ascii="Arial" w:hAnsi="Arial" w:cs="Arial"/>
          <w:b/>
          <w:i/>
          <w:sz w:val="24"/>
          <w:szCs w:val="26"/>
          <w:u w:val="single"/>
        </w:rPr>
        <w:t>sino también con la ostensible intención del legislador de promover la utilización de mecanismos extrajudiciales de resolución de conflictos (ya que le bastaría a todo demandante con solicitar cualquier clase de medida cautelar, por más ostensible que sea su improcedencia, para evitar el agotamiento de la conciliación prejudicial)</w:t>
      </w:r>
      <w:r w:rsidR="005036F4" w:rsidRPr="0058121E">
        <w:rPr>
          <w:rFonts w:ascii="Arial" w:hAnsi="Arial" w:cs="Arial"/>
          <w:b/>
          <w:i/>
          <w:sz w:val="24"/>
          <w:szCs w:val="26"/>
        </w:rPr>
        <w:t>.</w:t>
      </w:r>
      <w:r w:rsidRPr="0058121E">
        <w:rPr>
          <w:rStyle w:val="Refdenotaalpie"/>
          <w:rFonts w:ascii="Arial" w:hAnsi="Arial"/>
          <w:b/>
          <w:sz w:val="24"/>
          <w:szCs w:val="26"/>
        </w:rPr>
        <w:footnoteReference w:id="1"/>
      </w:r>
      <w:r w:rsidR="0058121E">
        <w:rPr>
          <w:rFonts w:ascii="Arial" w:hAnsi="Arial" w:cs="Arial"/>
          <w:b/>
          <w:i/>
          <w:sz w:val="24"/>
          <w:szCs w:val="26"/>
        </w:rPr>
        <w:t xml:space="preserve"> </w:t>
      </w:r>
      <w:r w:rsidR="0058121E">
        <w:rPr>
          <w:rFonts w:ascii="Arial" w:hAnsi="Arial" w:cs="Arial"/>
          <w:sz w:val="24"/>
          <w:szCs w:val="26"/>
        </w:rPr>
        <w:t>(S</w:t>
      </w:r>
      <w:r w:rsidR="0058121E" w:rsidRPr="0058121E">
        <w:rPr>
          <w:rFonts w:ascii="Arial" w:hAnsi="Arial" w:cs="Arial"/>
          <w:sz w:val="24"/>
          <w:szCs w:val="26"/>
        </w:rPr>
        <w:t>ubrayado y negritas intencionales)</w:t>
      </w:r>
    </w:p>
    <w:p w:rsidR="0058121E" w:rsidRPr="0058121E" w:rsidRDefault="0058121E" w:rsidP="0058121E">
      <w:pPr>
        <w:pStyle w:val="Sinespaciado1"/>
        <w:spacing w:line="360" w:lineRule="auto"/>
        <w:ind w:firstLine="2835"/>
        <w:jc w:val="both"/>
        <w:rPr>
          <w:rFonts w:ascii="Arial" w:hAnsi="Arial" w:cs="Arial"/>
          <w:sz w:val="20"/>
          <w:szCs w:val="26"/>
        </w:rPr>
      </w:pPr>
    </w:p>
    <w:p w:rsidR="00624646" w:rsidRPr="0058121E" w:rsidRDefault="0058121E" w:rsidP="0058121E">
      <w:pPr>
        <w:pStyle w:val="Sinespaciado1"/>
        <w:spacing w:line="360" w:lineRule="auto"/>
        <w:ind w:firstLine="2835"/>
        <w:jc w:val="both"/>
      </w:pPr>
      <w:r>
        <w:rPr>
          <w:rFonts w:ascii="Arial" w:hAnsi="Arial" w:cs="Arial"/>
          <w:color w:val="000000"/>
          <w:sz w:val="26"/>
          <w:szCs w:val="26"/>
        </w:rPr>
        <w:t xml:space="preserve">8. </w:t>
      </w:r>
      <w:r w:rsidR="00257FA1">
        <w:rPr>
          <w:rFonts w:ascii="Arial" w:hAnsi="Arial" w:cs="Arial"/>
          <w:color w:val="000000"/>
          <w:sz w:val="26"/>
          <w:szCs w:val="26"/>
        </w:rPr>
        <w:t xml:space="preserve">Lo anterior sería </w:t>
      </w:r>
      <w:r w:rsidR="00527675">
        <w:rPr>
          <w:rFonts w:ascii="Arial" w:hAnsi="Arial" w:cs="Arial"/>
          <w:color w:val="000000"/>
          <w:sz w:val="26"/>
          <w:szCs w:val="26"/>
        </w:rPr>
        <w:t>suf</w:t>
      </w:r>
      <w:r w:rsidR="00257FA1">
        <w:rPr>
          <w:rFonts w:ascii="Arial" w:hAnsi="Arial" w:cs="Arial"/>
          <w:color w:val="000000"/>
          <w:sz w:val="26"/>
          <w:szCs w:val="26"/>
        </w:rPr>
        <w:t>i</w:t>
      </w:r>
      <w:r w:rsidR="00527675">
        <w:rPr>
          <w:rFonts w:ascii="Arial" w:hAnsi="Arial" w:cs="Arial"/>
          <w:color w:val="000000"/>
          <w:sz w:val="26"/>
          <w:szCs w:val="26"/>
        </w:rPr>
        <w:t>ci</w:t>
      </w:r>
      <w:r w:rsidR="00257FA1">
        <w:rPr>
          <w:rFonts w:ascii="Arial" w:hAnsi="Arial" w:cs="Arial"/>
          <w:color w:val="000000"/>
          <w:sz w:val="26"/>
          <w:szCs w:val="26"/>
        </w:rPr>
        <w:t>ente para despachar desfavorablemente el recurso impetrado</w:t>
      </w:r>
      <w:r>
        <w:rPr>
          <w:rFonts w:ascii="Arial" w:hAnsi="Arial" w:cs="Arial"/>
          <w:color w:val="000000"/>
          <w:sz w:val="26"/>
          <w:szCs w:val="26"/>
        </w:rPr>
        <w:t xml:space="preserve">, no obstante esta Magistratura considera </w:t>
      </w:r>
      <w:r w:rsidR="00D941BF">
        <w:rPr>
          <w:rFonts w:ascii="Arial" w:hAnsi="Arial" w:cs="Arial"/>
          <w:color w:val="000000"/>
          <w:sz w:val="26"/>
          <w:szCs w:val="26"/>
        </w:rPr>
        <w:t xml:space="preserve">pertinente </w:t>
      </w:r>
      <w:r>
        <w:rPr>
          <w:rFonts w:ascii="Arial" w:hAnsi="Arial" w:cs="Arial"/>
          <w:color w:val="000000"/>
          <w:sz w:val="26"/>
          <w:szCs w:val="26"/>
        </w:rPr>
        <w:t>pronunciarse sobre la medida cautelar deprecada</w:t>
      </w:r>
      <w:r w:rsidR="00257FA1">
        <w:rPr>
          <w:rFonts w:ascii="Arial" w:hAnsi="Arial" w:cs="Arial"/>
          <w:color w:val="000000"/>
          <w:sz w:val="26"/>
          <w:szCs w:val="26"/>
        </w:rPr>
        <w:t xml:space="preserve">. </w:t>
      </w:r>
    </w:p>
    <w:p w:rsidR="00624646" w:rsidRDefault="00624646" w:rsidP="00D941BF">
      <w:pPr>
        <w:pStyle w:val="Sinespaciado1"/>
        <w:spacing w:line="360" w:lineRule="auto"/>
        <w:jc w:val="both"/>
        <w:rPr>
          <w:rFonts w:ascii="Arial" w:hAnsi="Arial" w:cs="Arial"/>
          <w:color w:val="000000"/>
          <w:sz w:val="26"/>
          <w:szCs w:val="26"/>
        </w:rPr>
      </w:pPr>
    </w:p>
    <w:p w:rsidR="004A55AD" w:rsidRPr="00D941BF" w:rsidRDefault="00D941BF" w:rsidP="00D941BF">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lastRenderedPageBreak/>
        <w:t xml:space="preserve">8.1. Como se sabe, </w:t>
      </w:r>
      <w:r w:rsidR="004A55AD">
        <w:rPr>
          <w:rFonts w:ascii="Arial" w:hAnsi="Arial" w:cs="Arial"/>
          <w:color w:val="000000"/>
          <w:sz w:val="26"/>
          <w:szCs w:val="26"/>
        </w:rPr>
        <w:t>l</w:t>
      </w:r>
      <w:r w:rsidR="00696339" w:rsidRPr="00696339">
        <w:rPr>
          <w:rFonts w:ascii="Arial" w:hAnsi="Arial" w:cs="Arial"/>
          <w:color w:val="000000"/>
          <w:sz w:val="26"/>
          <w:szCs w:val="26"/>
        </w:rPr>
        <w:t>as medidas cautelares son instrumentos procesales para asegurar la efectividad</w:t>
      </w:r>
      <w:r w:rsidR="00696339">
        <w:rPr>
          <w:rFonts w:ascii="Arial" w:hAnsi="Arial" w:cs="Arial"/>
          <w:color w:val="000000"/>
          <w:sz w:val="26"/>
          <w:szCs w:val="26"/>
        </w:rPr>
        <w:t xml:space="preserve"> </w:t>
      </w:r>
      <w:r w:rsidR="00696339" w:rsidRPr="00696339">
        <w:rPr>
          <w:rFonts w:ascii="Arial" w:hAnsi="Arial" w:cs="Arial"/>
          <w:color w:val="000000"/>
          <w:sz w:val="26"/>
          <w:szCs w:val="26"/>
        </w:rPr>
        <w:t>de los derechos judicialmente declarados, y han sido consideradas como un componente</w:t>
      </w:r>
      <w:r w:rsidR="00696339">
        <w:rPr>
          <w:rFonts w:ascii="Arial" w:hAnsi="Arial" w:cs="Arial"/>
          <w:color w:val="000000"/>
          <w:sz w:val="26"/>
          <w:szCs w:val="26"/>
        </w:rPr>
        <w:t xml:space="preserve"> </w:t>
      </w:r>
      <w:r w:rsidR="00696339" w:rsidRPr="00696339">
        <w:rPr>
          <w:rFonts w:ascii="Arial" w:hAnsi="Arial" w:cs="Arial"/>
          <w:color w:val="000000"/>
          <w:sz w:val="26"/>
          <w:szCs w:val="26"/>
        </w:rPr>
        <w:t>del derecho de acceso a la Administración de Justicia, en virtud a que comprende no solo la pretensión de obtener un pronunciamiento judicial</w:t>
      </w:r>
      <w:r w:rsidR="00696339">
        <w:rPr>
          <w:rFonts w:ascii="Arial" w:hAnsi="Arial" w:cs="Arial"/>
          <w:color w:val="000000"/>
          <w:sz w:val="26"/>
          <w:szCs w:val="26"/>
        </w:rPr>
        <w:t xml:space="preserve"> </w:t>
      </w:r>
      <w:r w:rsidR="00696339" w:rsidRPr="00696339">
        <w:rPr>
          <w:rFonts w:ascii="Arial" w:hAnsi="Arial" w:cs="Arial"/>
          <w:color w:val="000000"/>
          <w:sz w:val="26"/>
          <w:szCs w:val="26"/>
        </w:rPr>
        <w:t>en torno a los derechos, sino la materialización de las medidas que los hagan efectivo</w:t>
      </w:r>
      <w:r w:rsidR="00696339">
        <w:rPr>
          <w:rStyle w:val="Refdenotaalpie"/>
          <w:rFonts w:ascii="Arial" w:hAnsi="Arial"/>
          <w:color w:val="000000"/>
          <w:sz w:val="26"/>
          <w:szCs w:val="26"/>
        </w:rPr>
        <w:footnoteReference w:id="2"/>
      </w:r>
      <w:r w:rsidR="00696339">
        <w:rPr>
          <w:rFonts w:ascii="Arial" w:hAnsi="Arial" w:cs="Arial"/>
          <w:color w:val="000000"/>
          <w:sz w:val="26"/>
          <w:szCs w:val="26"/>
        </w:rPr>
        <w:t>.</w:t>
      </w:r>
    </w:p>
    <w:p w:rsidR="004A55AD" w:rsidRPr="004A55AD" w:rsidRDefault="004A55AD" w:rsidP="004A55AD">
      <w:pPr>
        <w:pStyle w:val="Sinespaciado1"/>
        <w:spacing w:line="360" w:lineRule="auto"/>
        <w:ind w:firstLine="2835"/>
        <w:jc w:val="both"/>
        <w:rPr>
          <w:rFonts w:ascii="Arial" w:hAnsi="Arial" w:cs="Arial"/>
          <w:color w:val="000000"/>
          <w:sz w:val="16"/>
          <w:szCs w:val="26"/>
        </w:rPr>
      </w:pPr>
    </w:p>
    <w:p w:rsidR="004A55AD" w:rsidRPr="004A55AD" w:rsidRDefault="00D941BF" w:rsidP="004A55AD">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8.2. </w:t>
      </w:r>
      <w:r w:rsidR="004A55AD" w:rsidRPr="004A55AD">
        <w:rPr>
          <w:rFonts w:ascii="Arial" w:hAnsi="Arial" w:cs="Arial"/>
          <w:color w:val="000000"/>
          <w:sz w:val="26"/>
          <w:szCs w:val="26"/>
        </w:rPr>
        <w:t>El régimen de estas medidas quedó recogido en el Libro Cuarto</w:t>
      </w:r>
      <w:r w:rsidR="004A55AD">
        <w:rPr>
          <w:rFonts w:ascii="Arial" w:hAnsi="Arial" w:cs="Arial"/>
          <w:color w:val="000000"/>
          <w:sz w:val="26"/>
          <w:szCs w:val="26"/>
        </w:rPr>
        <w:t xml:space="preserve"> del Código General del Proceso</w:t>
      </w:r>
      <w:r w:rsidR="004A55AD" w:rsidRPr="004A55AD">
        <w:rPr>
          <w:rFonts w:ascii="Arial" w:hAnsi="Arial" w:cs="Arial"/>
          <w:color w:val="000000"/>
          <w:sz w:val="26"/>
          <w:szCs w:val="26"/>
        </w:rPr>
        <w:t xml:space="preserve"> y se diferenciaron para los procesos declarativos, los de familia y los ejecutivos. Colombia acoge la posibilidad de medidas cautelares para </w:t>
      </w:r>
      <w:r w:rsidR="004A55AD">
        <w:rPr>
          <w:rFonts w:ascii="Arial" w:hAnsi="Arial" w:cs="Arial"/>
          <w:color w:val="000000"/>
          <w:sz w:val="26"/>
          <w:szCs w:val="26"/>
        </w:rPr>
        <w:t xml:space="preserve">los dos primeros </w:t>
      </w:r>
      <w:r w:rsidR="004A55AD" w:rsidRPr="004A55AD">
        <w:rPr>
          <w:rFonts w:ascii="Arial" w:hAnsi="Arial" w:cs="Arial"/>
          <w:color w:val="000000"/>
          <w:sz w:val="26"/>
          <w:szCs w:val="26"/>
        </w:rPr>
        <w:t>en su condición de innominadas, atípicas o genéricas. El artículo 590 del CGP reglamenta las medidas cautelares en procesos declarativos</w:t>
      </w:r>
      <w:r>
        <w:rPr>
          <w:rFonts w:ascii="Arial" w:hAnsi="Arial" w:cs="Arial"/>
          <w:color w:val="000000"/>
          <w:sz w:val="26"/>
          <w:szCs w:val="26"/>
        </w:rPr>
        <w:t xml:space="preserve">, en </w:t>
      </w:r>
      <w:r w:rsidR="004A55AD" w:rsidRPr="004A55AD">
        <w:rPr>
          <w:rFonts w:ascii="Arial" w:hAnsi="Arial" w:cs="Arial"/>
          <w:color w:val="000000"/>
          <w:sz w:val="26"/>
          <w:szCs w:val="26"/>
        </w:rPr>
        <w:t xml:space="preserve">el 598 en </w:t>
      </w:r>
      <w:r w:rsidR="005644C6">
        <w:rPr>
          <w:rFonts w:ascii="Arial" w:hAnsi="Arial" w:cs="Arial"/>
          <w:color w:val="000000"/>
          <w:sz w:val="26"/>
          <w:szCs w:val="26"/>
        </w:rPr>
        <w:t xml:space="preserve">los </w:t>
      </w:r>
      <w:r w:rsidR="004A55AD" w:rsidRPr="004A55AD">
        <w:rPr>
          <w:rFonts w:ascii="Arial" w:hAnsi="Arial" w:cs="Arial"/>
          <w:color w:val="000000"/>
          <w:sz w:val="26"/>
          <w:szCs w:val="26"/>
        </w:rPr>
        <w:t xml:space="preserve">de familia y en el 599 en </w:t>
      </w:r>
      <w:r w:rsidR="005644C6">
        <w:rPr>
          <w:rFonts w:ascii="Arial" w:hAnsi="Arial" w:cs="Arial"/>
          <w:color w:val="000000"/>
          <w:sz w:val="26"/>
          <w:szCs w:val="26"/>
        </w:rPr>
        <w:t xml:space="preserve">los </w:t>
      </w:r>
      <w:r w:rsidR="004A55AD" w:rsidRPr="004A55AD">
        <w:rPr>
          <w:rFonts w:ascii="Arial" w:hAnsi="Arial" w:cs="Arial"/>
          <w:color w:val="000000"/>
          <w:sz w:val="26"/>
          <w:szCs w:val="26"/>
        </w:rPr>
        <w:t>ejecutivos.</w:t>
      </w:r>
    </w:p>
    <w:p w:rsidR="004A55AD" w:rsidRPr="00921D94" w:rsidRDefault="004A55AD" w:rsidP="00651AE2">
      <w:pPr>
        <w:pStyle w:val="Sinespaciado1"/>
        <w:spacing w:line="360" w:lineRule="auto"/>
        <w:ind w:firstLine="2835"/>
        <w:jc w:val="both"/>
        <w:rPr>
          <w:rFonts w:ascii="Arial" w:hAnsi="Arial" w:cs="Arial"/>
          <w:color w:val="000000"/>
          <w:sz w:val="16"/>
          <w:szCs w:val="26"/>
        </w:rPr>
      </w:pPr>
    </w:p>
    <w:p w:rsidR="00921D94" w:rsidRPr="00921D94" w:rsidRDefault="00651AE2" w:rsidP="00921D94">
      <w:pPr>
        <w:pStyle w:val="Sinespaciado1"/>
        <w:spacing w:line="360" w:lineRule="auto"/>
        <w:ind w:firstLine="2835"/>
        <w:jc w:val="both"/>
        <w:rPr>
          <w:rFonts w:ascii="Arial" w:hAnsi="Arial" w:cs="Arial"/>
          <w:color w:val="000000"/>
          <w:sz w:val="26"/>
          <w:szCs w:val="26"/>
        </w:rPr>
      </w:pPr>
      <w:r w:rsidRPr="00921D94">
        <w:rPr>
          <w:rFonts w:ascii="Arial" w:hAnsi="Arial" w:cs="Arial"/>
          <w:color w:val="000000"/>
          <w:sz w:val="26"/>
          <w:szCs w:val="26"/>
        </w:rPr>
        <w:t>Así, tratándose de procesos declarativos,</w:t>
      </w:r>
      <w:r w:rsidR="00921D94" w:rsidRPr="00921D94">
        <w:rPr>
          <w:rFonts w:ascii="Arial" w:hAnsi="Arial" w:cs="Arial"/>
          <w:sz w:val="26"/>
          <w:szCs w:val="26"/>
        </w:rPr>
        <w:t xml:space="preserve"> </w:t>
      </w:r>
      <w:r w:rsidR="00921D94">
        <w:rPr>
          <w:rFonts w:ascii="Arial" w:hAnsi="Arial" w:cs="Arial"/>
          <w:sz w:val="26"/>
          <w:szCs w:val="26"/>
        </w:rPr>
        <w:t>segú</w:t>
      </w:r>
      <w:r w:rsidR="00921D94" w:rsidRPr="00921D94">
        <w:rPr>
          <w:rFonts w:ascii="Arial" w:hAnsi="Arial" w:cs="Arial"/>
          <w:sz w:val="26"/>
          <w:szCs w:val="26"/>
        </w:rPr>
        <w:t xml:space="preserve">n las reglas del artículo 590, </w:t>
      </w:r>
      <w:r w:rsidR="00921D94" w:rsidRPr="00921D94">
        <w:rPr>
          <w:rFonts w:ascii="Arial" w:hAnsi="Arial" w:cs="Arial"/>
          <w:color w:val="000000"/>
          <w:sz w:val="26"/>
          <w:szCs w:val="26"/>
        </w:rPr>
        <w:t>desde la presentación de la demanda, a petición del demandante, el juez podrá decretar las siguientes medidas cautelares:</w:t>
      </w:r>
    </w:p>
    <w:p w:rsidR="00921D94" w:rsidRPr="00921D94" w:rsidRDefault="00921D94" w:rsidP="00921D94">
      <w:pPr>
        <w:pStyle w:val="Sinespaciado1"/>
        <w:spacing w:line="360" w:lineRule="auto"/>
        <w:ind w:firstLine="2835"/>
        <w:jc w:val="both"/>
        <w:rPr>
          <w:rFonts w:ascii="Arial" w:hAnsi="Arial" w:cs="Arial"/>
          <w:color w:val="000000"/>
          <w:sz w:val="16"/>
          <w:szCs w:val="26"/>
        </w:rPr>
      </w:pPr>
    </w:p>
    <w:p w:rsidR="00921D94" w:rsidRPr="00921D94" w:rsidRDefault="00921D94" w:rsidP="00921D94">
      <w:pPr>
        <w:pStyle w:val="Sinespaciado1"/>
        <w:spacing w:line="360" w:lineRule="auto"/>
        <w:ind w:firstLine="2835"/>
        <w:jc w:val="both"/>
        <w:rPr>
          <w:rFonts w:ascii="Arial" w:hAnsi="Arial" w:cs="Arial"/>
          <w:color w:val="000000"/>
          <w:sz w:val="26"/>
          <w:szCs w:val="26"/>
        </w:rPr>
      </w:pPr>
      <w:r w:rsidRPr="00921D94">
        <w:rPr>
          <w:rFonts w:ascii="Arial" w:hAnsi="Arial" w:cs="Arial"/>
          <w:color w:val="000000"/>
          <w:sz w:val="26"/>
          <w:szCs w:val="26"/>
        </w:rPr>
        <w:t>a) La inscripción de la demanda sobre bienes sujetos a registro y el secuestro de los demás cuando la demanda verse sobre dominio u otro derecho real principal, directamente o como consecuencia de una pretensión distinta o en subsidio de otra, o sob</w:t>
      </w:r>
      <w:r>
        <w:rPr>
          <w:rFonts w:ascii="Arial" w:hAnsi="Arial" w:cs="Arial"/>
          <w:color w:val="000000"/>
          <w:sz w:val="26"/>
          <w:szCs w:val="26"/>
        </w:rPr>
        <w:t>re una universalidad de bienes.</w:t>
      </w:r>
    </w:p>
    <w:p w:rsidR="00921D94" w:rsidRPr="00921D94" w:rsidRDefault="00921D94" w:rsidP="00921D94">
      <w:pPr>
        <w:pStyle w:val="Sinespaciado1"/>
        <w:spacing w:line="360" w:lineRule="auto"/>
        <w:ind w:firstLine="2835"/>
        <w:jc w:val="both"/>
        <w:rPr>
          <w:rFonts w:ascii="Arial" w:hAnsi="Arial" w:cs="Arial"/>
          <w:color w:val="000000"/>
          <w:sz w:val="16"/>
          <w:szCs w:val="26"/>
        </w:rPr>
      </w:pPr>
    </w:p>
    <w:p w:rsidR="00921D94" w:rsidRPr="00921D94" w:rsidRDefault="00921D94" w:rsidP="00921D94">
      <w:pPr>
        <w:pStyle w:val="Sinespaciado1"/>
        <w:spacing w:line="360" w:lineRule="auto"/>
        <w:ind w:firstLine="2835"/>
        <w:jc w:val="both"/>
        <w:rPr>
          <w:rFonts w:ascii="Arial" w:hAnsi="Arial" w:cs="Arial"/>
          <w:color w:val="000000"/>
          <w:sz w:val="26"/>
          <w:szCs w:val="26"/>
        </w:rPr>
      </w:pPr>
      <w:r w:rsidRPr="00921D94">
        <w:rPr>
          <w:rFonts w:ascii="Arial" w:hAnsi="Arial" w:cs="Arial"/>
          <w:color w:val="000000"/>
          <w:sz w:val="26"/>
          <w:szCs w:val="26"/>
        </w:rPr>
        <w:t xml:space="preserve">b) La inscripción de la demanda sobre bienes sujetos a registro que sean de propiedad del demandado, cuando en el proceso se persiga el pago de perjuicios provenientes de responsabilidad civil </w:t>
      </w:r>
      <w:r>
        <w:rPr>
          <w:rFonts w:ascii="Arial" w:hAnsi="Arial" w:cs="Arial"/>
          <w:color w:val="000000"/>
          <w:sz w:val="26"/>
          <w:szCs w:val="26"/>
        </w:rPr>
        <w:t>contractual o extracontractual.</w:t>
      </w:r>
    </w:p>
    <w:p w:rsidR="00921D94" w:rsidRPr="00921D94" w:rsidRDefault="00921D94" w:rsidP="00921D94">
      <w:pPr>
        <w:pStyle w:val="Sinespaciado1"/>
        <w:spacing w:line="360" w:lineRule="auto"/>
        <w:ind w:firstLine="2835"/>
        <w:jc w:val="both"/>
        <w:rPr>
          <w:rFonts w:ascii="Arial" w:hAnsi="Arial" w:cs="Arial"/>
          <w:color w:val="000000"/>
          <w:sz w:val="16"/>
          <w:szCs w:val="26"/>
        </w:rPr>
      </w:pPr>
    </w:p>
    <w:p w:rsidR="00921D94" w:rsidRPr="00921D94" w:rsidRDefault="00921D94" w:rsidP="00921D94">
      <w:pPr>
        <w:pStyle w:val="Sinespaciado1"/>
        <w:spacing w:line="360" w:lineRule="auto"/>
        <w:ind w:firstLine="2835"/>
        <w:jc w:val="both"/>
        <w:rPr>
          <w:rFonts w:ascii="Arial" w:hAnsi="Arial" w:cs="Arial"/>
          <w:color w:val="000000"/>
          <w:sz w:val="26"/>
          <w:szCs w:val="26"/>
        </w:rPr>
      </w:pPr>
      <w:r w:rsidRPr="00921D94">
        <w:rPr>
          <w:rFonts w:ascii="Arial" w:hAnsi="Arial" w:cs="Arial"/>
          <w:color w:val="000000"/>
          <w:sz w:val="26"/>
          <w:szCs w:val="26"/>
        </w:rPr>
        <w:t>c) Cualquiera otra medida que el juez encuentre razonable para la protección del derecho objeto del litigio, impedir su infracción o evitar las consecuencias derivadas de la misma, prevenir daños, hacer cesar los que se hubieren causado o asegurar la efectividad de la pretensión.</w:t>
      </w:r>
    </w:p>
    <w:p w:rsidR="00921D94" w:rsidRPr="00921D94" w:rsidRDefault="00921D94" w:rsidP="00921D94">
      <w:pPr>
        <w:pStyle w:val="Sinespaciado1"/>
        <w:spacing w:line="360" w:lineRule="auto"/>
        <w:ind w:firstLine="2835"/>
        <w:jc w:val="both"/>
        <w:rPr>
          <w:rFonts w:ascii="Arial" w:hAnsi="Arial" w:cs="Arial"/>
          <w:color w:val="000000"/>
          <w:sz w:val="26"/>
          <w:szCs w:val="26"/>
        </w:rPr>
      </w:pPr>
    </w:p>
    <w:p w:rsidR="00651AE2" w:rsidRPr="00881526" w:rsidRDefault="00651AE2" w:rsidP="00651AE2">
      <w:pPr>
        <w:pStyle w:val="Sinespaciado1"/>
        <w:spacing w:line="360" w:lineRule="auto"/>
        <w:ind w:firstLine="2835"/>
        <w:jc w:val="both"/>
        <w:rPr>
          <w:rFonts w:ascii="Arial" w:hAnsi="Arial" w:cs="Arial"/>
          <w:color w:val="000000"/>
          <w:sz w:val="20"/>
          <w:szCs w:val="26"/>
        </w:rPr>
      </w:pPr>
    </w:p>
    <w:p w:rsidR="003F3386" w:rsidRDefault="003F3386" w:rsidP="00651AE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lastRenderedPageBreak/>
        <w:t>8.3</w:t>
      </w:r>
      <w:r w:rsidR="00AD3718">
        <w:rPr>
          <w:rFonts w:ascii="Arial" w:hAnsi="Arial" w:cs="Arial"/>
          <w:color w:val="000000"/>
          <w:sz w:val="26"/>
          <w:szCs w:val="26"/>
        </w:rPr>
        <w:t xml:space="preserve">. </w:t>
      </w:r>
      <w:r w:rsidR="00651AE2" w:rsidRPr="00651AE2">
        <w:rPr>
          <w:rFonts w:ascii="Arial" w:hAnsi="Arial" w:cs="Arial"/>
          <w:color w:val="000000"/>
          <w:sz w:val="26"/>
          <w:szCs w:val="26"/>
        </w:rPr>
        <w:t xml:space="preserve">En el caso bajo estudio se tiene que </w:t>
      </w:r>
      <w:r>
        <w:rPr>
          <w:rFonts w:ascii="Arial" w:hAnsi="Arial" w:cs="Arial"/>
          <w:color w:val="000000"/>
          <w:sz w:val="26"/>
          <w:szCs w:val="26"/>
        </w:rPr>
        <w:t xml:space="preserve">el </w:t>
      </w:r>
      <w:r w:rsidR="00651AE2" w:rsidRPr="00651AE2">
        <w:rPr>
          <w:rFonts w:ascii="Arial" w:hAnsi="Arial" w:cs="Arial"/>
          <w:color w:val="000000"/>
          <w:sz w:val="26"/>
          <w:szCs w:val="26"/>
        </w:rPr>
        <w:t xml:space="preserve">recurrente </w:t>
      </w:r>
      <w:r w:rsidRPr="009C12FE">
        <w:rPr>
          <w:rFonts w:ascii="Arial" w:hAnsi="Arial" w:cs="Arial"/>
          <w:i/>
          <w:color w:val="000000"/>
          <w:sz w:val="24"/>
          <w:szCs w:val="26"/>
        </w:rPr>
        <w:t>“para obviar el Requisito de Procedibilidad”</w:t>
      </w:r>
      <w:r w:rsidR="005644C6">
        <w:rPr>
          <w:rFonts w:ascii="Arial" w:hAnsi="Arial" w:cs="Arial"/>
          <w:i/>
          <w:color w:val="000000"/>
          <w:sz w:val="24"/>
          <w:szCs w:val="26"/>
        </w:rPr>
        <w:t>,</w:t>
      </w:r>
      <w:r>
        <w:rPr>
          <w:rFonts w:ascii="Arial" w:hAnsi="Arial" w:cs="Arial"/>
          <w:color w:val="000000"/>
          <w:sz w:val="26"/>
          <w:szCs w:val="26"/>
        </w:rPr>
        <w:t xml:space="preserve"> pidió decretar como medida cautelar </w:t>
      </w:r>
      <w:r w:rsidRPr="00A00BC7">
        <w:rPr>
          <w:rFonts w:ascii="Arial" w:hAnsi="Arial" w:cs="Arial"/>
          <w:i/>
          <w:color w:val="000000"/>
          <w:sz w:val="24"/>
          <w:szCs w:val="26"/>
        </w:rPr>
        <w:t xml:space="preserve">“la inscripción de la presente demanda en la matrícula mercantil número 180716 </w:t>
      </w:r>
      <w:r w:rsidR="008D5B26" w:rsidRPr="00A00BC7">
        <w:rPr>
          <w:rFonts w:ascii="Arial" w:hAnsi="Arial" w:cs="Arial"/>
          <w:i/>
          <w:color w:val="000000"/>
          <w:sz w:val="24"/>
          <w:szCs w:val="26"/>
        </w:rPr>
        <w:t>de</w:t>
      </w:r>
      <w:r w:rsidR="00BF4025" w:rsidRPr="00A00BC7">
        <w:rPr>
          <w:rFonts w:ascii="Arial" w:hAnsi="Arial" w:cs="Arial"/>
          <w:i/>
          <w:color w:val="000000"/>
          <w:sz w:val="24"/>
          <w:szCs w:val="26"/>
        </w:rPr>
        <w:t xml:space="preserve"> la Cámara de Comercio de </w:t>
      </w:r>
      <w:proofErr w:type="spellStart"/>
      <w:r w:rsidR="00BF4025" w:rsidRPr="00A00BC7">
        <w:rPr>
          <w:rFonts w:ascii="Arial" w:hAnsi="Arial" w:cs="Arial"/>
          <w:i/>
          <w:color w:val="000000"/>
          <w:sz w:val="24"/>
          <w:szCs w:val="26"/>
        </w:rPr>
        <w:t>Aburrá</w:t>
      </w:r>
      <w:proofErr w:type="spellEnd"/>
      <w:r w:rsidR="00BF4025" w:rsidRPr="00A00BC7">
        <w:rPr>
          <w:rFonts w:ascii="Arial" w:hAnsi="Arial" w:cs="Arial"/>
          <w:i/>
          <w:color w:val="000000"/>
          <w:sz w:val="24"/>
          <w:szCs w:val="26"/>
        </w:rPr>
        <w:t xml:space="preserve"> Sur</w:t>
      </w:r>
      <w:r w:rsidRPr="00A00BC7">
        <w:rPr>
          <w:rFonts w:ascii="Arial" w:hAnsi="Arial" w:cs="Arial"/>
          <w:i/>
          <w:color w:val="000000"/>
          <w:sz w:val="24"/>
          <w:szCs w:val="26"/>
        </w:rPr>
        <w:t>…”</w:t>
      </w:r>
    </w:p>
    <w:p w:rsidR="003F3386" w:rsidRPr="00ED16A8" w:rsidRDefault="003F3386" w:rsidP="00651AE2">
      <w:pPr>
        <w:pStyle w:val="Sinespaciado1"/>
        <w:spacing w:line="360" w:lineRule="auto"/>
        <w:ind w:firstLine="2835"/>
        <w:jc w:val="both"/>
        <w:rPr>
          <w:rFonts w:ascii="Arial" w:hAnsi="Arial" w:cs="Arial"/>
          <w:color w:val="000000"/>
          <w:sz w:val="18"/>
          <w:szCs w:val="26"/>
        </w:rPr>
      </w:pPr>
    </w:p>
    <w:p w:rsidR="00EE021D" w:rsidRDefault="00BF797C" w:rsidP="00651AE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Si bien el artículo 35 de la Ley 640 de 200</w:t>
      </w:r>
      <w:r w:rsidR="00ED16A8">
        <w:rPr>
          <w:rFonts w:ascii="Arial" w:hAnsi="Arial" w:cs="Arial"/>
          <w:color w:val="000000"/>
          <w:sz w:val="26"/>
          <w:szCs w:val="26"/>
        </w:rPr>
        <w:t>1 y el parágrafo 1º del 590 del CGP, autorizan a la pate demandante</w:t>
      </w:r>
      <w:r>
        <w:rPr>
          <w:rFonts w:ascii="Arial" w:hAnsi="Arial" w:cs="Arial"/>
          <w:color w:val="000000"/>
          <w:sz w:val="26"/>
          <w:szCs w:val="26"/>
        </w:rPr>
        <w:t xml:space="preserve"> que acuda directamente a la jurisdicción, cuando en el proceso que se trate se quiera solicitar el </w:t>
      </w:r>
      <w:r w:rsidR="00ED16A8">
        <w:rPr>
          <w:rFonts w:ascii="Arial" w:hAnsi="Arial" w:cs="Arial"/>
          <w:color w:val="000000"/>
          <w:sz w:val="26"/>
          <w:szCs w:val="26"/>
        </w:rPr>
        <w:t>decreto</w:t>
      </w:r>
      <w:r>
        <w:rPr>
          <w:rFonts w:ascii="Arial" w:hAnsi="Arial" w:cs="Arial"/>
          <w:color w:val="000000"/>
          <w:sz w:val="26"/>
          <w:szCs w:val="26"/>
        </w:rPr>
        <w:t xml:space="preserve"> y la </w:t>
      </w:r>
      <w:r w:rsidR="00ED16A8">
        <w:rPr>
          <w:rFonts w:ascii="Arial" w:hAnsi="Arial" w:cs="Arial"/>
          <w:color w:val="000000"/>
          <w:sz w:val="26"/>
          <w:szCs w:val="26"/>
        </w:rPr>
        <w:t>práctica de medidas cautelares, tal</w:t>
      </w:r>
      <w:r>
        <w:rPr>
          <w:rFonts w:ascii="Arial" w:hAnsi="Arial" w:cs="Arial"/>
          <w:color w:val="000000"/>
          <w:sz w:val="26"/>
          <w:szCs w:val="26"/>
        </w:rPr>
        <w:t xml:space="preserve"> prerrogativa</w:t>
      </w:r>
      <w:r w:rsidR="005644C6">
        <w:rPr>
          <w:rFonts w:ascii="Arial" w:hAnsi="Arial" w:cs="Arial"/>
          <w:color w:val="000000"/>
          <w:sz w:val="26"/>
          <w:szCs w:val="26"/>
        </w:rPr>
        <w:t>, entiende esta Magistratura,</w:t>
      </w:r>
      <w:r>
        <w:rPr>
          <w:rFonts w:ascii="Arial" w:hAnsi="Arial" w:cs="Arial"/>
          <w:color w:val="000000"/>
          <w:sz w:val="26"/>
          <w:szCs w:val="26"/>
        </w:rPr>
        <w:t xml:space="preserve"> </w:t>
      </w:r>
      <w:r w:rsidR="00ED16A8">
        <w:rPr>
          <w:rFonts w:ascii="Arial" w:hAnsi="Arial" w:cs="Arial"/>
          <w:color w:val="000000"/>
          <w:sz w:val="26"/>
          <w:szCs w:val="26"/>
        </w:rPr>
        <w:t>está</w:t>
      </w:r>
      <w:r>
        <w:rPr>
          <w:rFonts w:ascii="Arial" w:hAnsi="Arial" w:cs="Arial"/>
          <w:color w:val="000000"/>
          <w:sz w:val="26"/>
          <w:szCs w:val="26"/>
        </w:rPr>
        <w:t xml:space="preserve"> </w:t>
      </w:r>
      <w:r w:rsidR="00ED16A8">
        <w:rPr>
          <w:rFonts w:ascii="Arial" w:hAnsi="Arial" w:cs="Arial"/>
          <w:color w:val="000000"/>
          <w:sz w:val="26"/>
          <w:szCs w:val="26"/>
        </w:rPr>
        <w:t>condicionada</w:t>
      </w:r>
      <w:r>
        <w:rPr>
          <w:rFonts w:ascii="Arial" w:hAnsi="Arial" w:cs="Arial"/>
          <w:color w:val="000000"/>
          <w:sz w:val="26"/>
          <w:szCs w:val="26"/>
        </w:rPr>
        <w:t xml:space="preserve"> a la viabilidad de la respectiva cautela, hipótesis que no se verifica en el asunto sub</w:t>
      </w:r>
      <w:r w:rsidR="00ED16A8">
        <w:rPr>
          <w:rFonts w:ascii="Arial" w:hAnsi="Arial" w:cs="Arial"/>
          <w:color w:val="000000"/>
          <w:sz w:val="26"/>
          <w:szCs w:val="26"/>
        </w:rPr>
        <w:t xml:space="preserve"> lite, en tanto que la inscripción d</w:t>
      </w:r>
      <w:r>
        <w:rPr>
          <w:rFonts w:ascii="Arial" w:hAnsi="Arial" w:cs="Arial"/>
          <w:color w:val="000000"/>
          <w:sz w:val="26"/>
          <w:szCs w:val="26"/>
        </w:rPr>
        <w:t xml:space="preserve">e la demanda </w:t>
      </w:r>
      <w:r w:rsidR="005644C6">
        <w:rPr>
          <w:rFonts w:ascii="Arial" w:hAnsi="Arial" w:cs="Arial"/>
          <w:color w:val="000000"/>
          <w:sz w:val="26"/>
          <w:szCs w:val="26"/>
        </w:rPr>
        <w:t xml:space="preserve">en la matrícula mercantil de la sociedad llamada a juicio, </w:t>
      </w:r>
      <w:r w:rsidR="00ED16A8">
        <w:rPr>
          <w:rFonts w:ascii="Arial" w:hAnsi="Arial" w:cs="Arial"/>
          <w:color w:val="000000"/>
          <w:sz w:val="26"/>
          <w:szCs w:val="26"/>
        </w:rPr>
        <w:t xml:space="preserve">que solicitó la parte demandante, no es procedente como medida cautelar previa en procesos declarativos </w:t>
      </w:r>
      <w:r w:rsidR="00C743CD">
        <w:rPr>
          <w:rFonts w:ascii="Arial" w:hAnsi="Arial" w:cs="Arial"/>
          <w:color w:val="000000"/>
          <w:sz w:val="26"/>
          <w:szCs w:val="26"/>
        </w:rPr>
        <w:t>similares a</w:t>
      </w:r>
      <w:r w:rsidR="00ED16A8">
        <w:rPr>
          <w:rFonts w:ascii="Arial" w:hAnsi="Arial" w:cs="Arial"/>
          <w:color w:val="000000"/>
          <w:sz w:val="26"/>
          <w:szCs w:val="26"/>
        </w:rPr>
        <w:t>l de la referencia.</w:t>
      </w:r>
    </w:p>
    <w:p w:rsidR="00ED16A8" w:rsidRPr="009C12FE" w:rsidRDefault="00ED16A8" w:rsidP="00651AE2">
      <w:pPr>
        <w:pStyle w:val="Sinespaciado1"/>
        <w:spacing w:line="360" w:lineRule="auto"/>
        <w:ind w:firstLine="2835"/>
        <w:jc w:val="both"/>
        <w:rPr>
          <w:rFonts w:ascii="Arial" w:hAnsi="Arial" w:cs="Arial"/>
          <w:color w:val="000000"/>
          <w:sz w:val="16"/>
          <w:szCs w:val="26"/>
        </w:rPr>
      </w:pPr>
    </w:p>
    <w:p w:rsidR="00A00BC7" w:rsidRDefault="00ED16A8" w:rsidP="00A00BC7">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Ciertamente, el artículo 590 del CGP es claro en indicar que en los procesos de </w:t>
      </w:r>
      <w:r w:rsidR="00C743CD">
        <w:rPr>
          <w:rFonts w:ascii="Arial" w:hAnsi="Arial" w:cs="Arial"/>
          <w:color w:val="000000"/>
          <w:sz w:val="26"/>
          <w:szCs w:val="26"/>
        </w:rPr>
        <w:t>tal</w:t>
      </w:r>
      <w:r>
        <w:rPr>
          <w:rFonts w:ascii="Arial" w:hAnsi="Arial" w:cs="Arial"/>
          <w:color w:val="000000"/>
          <w:sz w:val="26"/>
          <w:szCs w:val="26"/>
        </w:rPr>
        <w:t xml:space="preserve"> naturaleza, la específica medida solicitada (inscripción de la demanda) procede únicamente cuando la demanda verse </w:t>
      </w:r>
      <w:r w:rsidRPr="00921D94">
        <w:rPr>
          <w:rFonts w:ascii="Arial" w:hAnsi="Arial" w:cs="Arial"/>
          <w:color w:val="000000"/>
          <w:sz w:val="26"/>
          <w:szCs w:val="26"/>
        </w:rPr>
        <w:t>sobre bienes sujetos</w:t>
      </w:r>
      <w:r>
        <w:rPr>
          <w:rFonts w:ascii="Arial" w:hAnsi="Arial" w:cs="Arial"/>
          <w:color w:val="000000"/>
          <w:sz w:val="26"/>
          <w:szCs w:val="26"/>
        </w:rPr>
        <w:t xml:space="preserve"> a registro</w:t>
      </w:r>
      <w:r w:rsidR="009C12FE">
        <w:rPr>
          <w:rFonts w:ascii="Arial" w:hAnsi="Arial" w:cs="Arial"/>
          <w:color w:val="000000"/>
          <w:sz w:val="26"/>
          <w:szCs w:val="26"/>
        </w:rPr>
        <w:t>.</w:t>
      </w:r>
    </w:p>
    <w:p w:rsidR="00A00BC7" w:rsidRPr="005644C6" w:rsidRDefault="00A00BC7" w:rsidP="00A00BC7">
      <w:pPr>
        <w:pStyle w:val="Sinespaciado1"/>
        <w:spacing w:line="360" w:lineRule="auto"/>
        <w:ind w:firstLine="2835"/>
        <w:jc w:val="both"/>
        <w:rPr>
          <w:rFonts w:ascii="Arial" w:hAnsi="Arial" w:cs="Arial"/>
          <w:color w:val="000000"/>
          <w:sz w:val="16"/>
          <w:szCs w:val="26"/>
        </w:rPr>
      </w:pPr>
    </w:p>
    <w:p w:rsidR="00FB6089" w:rsidRDefault="00A00BC7" w:rsidP="00FB6089">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8.4. </w:t>
      </w:r>
      <w:r w:rsidR="002A6E62">
        <w:rPr>
          <w:rFonts w:ascii="Arial" w:hAnsi="Arial" w:cs="Arial"/>
          <w:color w:val="000000"/>
          <w:sz w:val="26"/>
          <w:szCs w:val="26"/>
        </w:rPr>
        <w:t xml:space="preserve">Ahora, </w:t>
      </w:r>
      <w:r w:rsidR="005644C6">
        <w:rPr>
          <w:rFonts w:ascii="Arial" w:hAnsi="Arial" w:cs="Arial"/>
          <w:color w:val="000000"/>
          <w:sz w:val="26"/>
          <w:szCs w:val="26"/>
        </w:rPr>
        <w:t xml:space="preserve">a la voces del artículo 26 del Código de Comercio, </w:t>
      </w:r>
      <w:r w:rsidR="009910A3" w:rsidRPr="009652C7">
        <w:rPr>
          <w:rFonts w:ascii="Arial" w:hAnsi="Arial" w:cs="Arial"/>
          <w:color w:val="000000"/>
          <w:sz w:val="26"/>
          <w:szCs w:val="26"/>
        </w:rPr>
        <w:t>la matrícula mercantil</w:t>
      </w:r>
      <w:r w:rsidR="00A34FA5">
        <w:rPr>
          <w:rFonts w:ascii="Arial" w:hAnsi="Arial" w:cs="Arial"/>
          <w:color w:val="000000"/>
          <w:sz w:val="24"/>
          <w:szCs w:val="26"/>
        </w:rPr>
        <w:t xml:space="preserve"> </w:t>
      </w:r>
      <w:r w:rsidR="009910A3" w:rsidRPr="009652C7">
        <w:rPr>
          <w:rFonts w:ascii="Arial" w:hAnsi="Arial" w:cs="Arial"/>
          <w:color w:val="000000"/>
          <w:sz w:val="26"/>
          <w:szCs w:val="26"/>
        </w:rPr>
        <w:t>es un medio de identificación del comerciante y de su</w:t>
      </w:r>
      <w:r w:rsidR="00A34FA5">
        <w:rPr>
          <w:rFonts w:ascii="Arial" w:hAnsi="Arial" w:cs="Arial"/>
          <w:color w:val="000000"/>
          <w:sz w:val="26"/>
          <w:szCs w:val="26"/>
        </w:rPr>
        <w:t>s</w:t>
      </w:r>
      <w:r w:rsidR="009910A3" w:rsidRPr="009652C7">
        <w:rPr>
          <w:rFonts w:ascii="Arial" w:hAnsi="Arial" w:cs="Arial"/>
          <w:color w:val="000000"/>
          <w:sz w:val="26"/>
          <w:szCs w:val="26"/>
        </w:rPr>
        <w:t xml:space="preserve"> establecimiento</w:t>
      </w:r>
      <w:r w:rsidR="00A34FA5">
        <w:rPr>
          <w:rFonts w:ascii="Arial" w:hAnsi="Arial" w:cs="Arial"/>
          <w:color w:val="000000"/>
          <w:sz w:val="26"/>
          <w:szCs w:val="26"/>
        </w:rPr>
        <w:t>s</w:t>
      </w:r>
      <w:r w:rsidR="009910A3" w:rsidRPr="009652C7">
        <w:rPr>
          <w:rFonts w:ascii="Arial" w:hAnsi="Arial" w:cs="Arial"/>
          <w:color w:val="000000"/>
          <w:sz w:val="26"/>
          <w:szCs w:val="26"/>
        </w:rPr>
        <w:t xml:space="preserve"> de comercio, así como prueba de existencia de uno y de otro, </w:t>
      </w:r>
      <w:r w:rsidR="00A34FA5">
        <w:rPr>
          <w:rFonts w:ascii="Arial" w:hAnsi="Arial" w:cs="Arial"/>
          <w:color w:val="000000"/>
          <w:sz w:val="26"/>
          <w:szCs w:val="26"/>
        </w:rPr>
        <w:t xml:space="preserve">mientras que el registro mercantil, a cargo de las cámaras de comercio, </w:t>
      </w:r>
      <w:r w:rsidR="00A34FA5" w:rsidRPr="00A34FA5">
        <w:rPr>
          <w:rFonts w:ascii="Arial" w:hAnsi="Arial" w:cs="Arial"/>
          <w:color w:val="000000"/>
          <w:sz w:val="26"/>
          <w:szCs w:val="26"/>
        </w:rPr>
        <w:t>t</w:t>
      </w:r>
      <w:r w:rsidR="00A34FA5">
        <w:rPr>
          <w:rFonts w:ascii="Arial" w:hAnsi="Arial" w:cs="Arial"/>
          <w:color w:val="000000"/>
          <w:sz w:val="26"/>
          <w:szCs w:val="26"/>
        </w:rPr>
        <w:t xml:space="preserve">iene </w:t>
      </w:r>
      <w:r w:rsidR="00A34FA5" w:rsidRPr="00A34FA5">
        <w:rPr>
          <w:rFonts w:ascii="Arial" w:hAnsi="Arial" w:cs="Arial"/>
          <w:color w:val="000000"/>
          <w:sz w:val="26"/>
          <w:szCs w:val="26"/>
        </w:rPr>
        <w:t>por objeto llevar</w:t>
      </w:r>
      <w:r w:rsidR="00A34FA5">
        <w:rPr>
          <w:rFonts w:ascii="Arial" w:hAnsi="Arial" w:cs="Arial"/>
          <w:color w:val="000000"/>
          <w:sz w:val="26"/>
          <w:szCs w:val="26"/>
        </w:rPr>
        <w:t xml:space="preserve"> tal información</w:t>
      </w:r>
      <w:r w:rsidR="00A34FA5" w:rsidRPr="00A34FA5">
        <w:rPr>
          <w:rFonts w:ascii="Arial" w:hAnsi="Arial" w:cs="Arial"/>
          <w:color w:val="000000"/>
          <w:sz w:val="26"/>
          <w:szCs w:val="26"/>
        </w:rPr>
        <w:t>, así como la inscripción de todos los actos, libros y documentos respecto de los cuales la ley exigiere esa formalidad.</w:t>
      </w:r>
      <w:r w:rsidR="00FB6089">
        <w:rPr>
          <w:rFonts w:ascii="Arial" w:hAnsi="Arial" w:cs="Arial"/>
          <w:color w:val="000000"/>
          <w:sz w:val="26"/>
          <w:szCs w:val="26"/>
        </w:rPr>
        <w:t xml:space="preserve"> </w:t>
      </w:r>
      <w:r w:rsidR="00C743CD">
        <w:rPr>
          <w:rFonts w:ascii="Arial" w:hAnsi="Arial" w:cs="Arial"/>
          <w:color w:val="000000"/>
          <w:sz w:val="26"/>
          <w:szCs w:val="26"/>
        </w:rPr>
        <w:t xml:space="preserve">Con relación a esta </w:t>
      </w:r>
      <w:r w:rsidR="00FB6089">
        <w:rPr>
          <w:rFonts w:ascii="Arial" w:hAnsi="Arial" w:cs="Arial"/>
          <w:color w:val="000000"/>
          <w:sz w:val="26"/>
          <w:szCs w:val="26"/>
        </w:rPr>
        <w:t>figura, la Corte Constitucional ha dicho:</w:t>
      </w:r>
    </w:p>
    <w:p w:rsidR="00FB6089" w:rsidRPr="008D7718" w:rsidRDefault="00FB6089" w:rsidP="00A00BC7">
      <w:pPr>
        <w:pStyle w:val="Sinespaciado1"/>
        <w:spacing w:line="360" w:lineRule="auto"/>
        <w:ind w:firstLine="2835"/>
        <w:jc w:val="both"/>
        <w:rPr>
          <w:rFonts w:ascii="Arial" w:hAnsi="Arial" w:cs="Arial"/>
          <w:color w:val="000000"/>
          <w:sz w:val="16"/>
          <w:szCs w:val="26"/>
        </w:rPr>
      </w:pPr>
    </w:p>
    <w:p w:rsidR="008D7718" w:rsidRPr="00FA104C" w:rsidRDefault="00FB6089" w:rsidP="00FA104C">
      <w:pPr>
        <w:pStyle w:val="Sinespaciado1"/>
        <w:ind w:left="708" w:right="565" w:firstLine="2127"/>
        <w:jc w:val="both"/>
        <w:rPr>
          <w:rFonts w:ascii="Arial" w:hAnsi="Arial" w:cs="Arial"/>
          <w:i/>
          <w:color w:val="000000"/>
          <w:sz w:val="24"/>
          <w:szCs w:val="26"/>
        </w:rPr>
      </w:pPr>
      <w:r w:rsidRPr="00FA104C">
        <w:rPr>
          <w:rFonts w:ascii="Arial" w:hAnsi="Arial" w:cs="Arial"/>
          <w:i/>
          <w:color w:val="000000"/>
          <w:sz w:val="24"/>
          <w:szCs w:val="26"/>
        </w:rPr>
        <w:t>“Coinciden unánimemente la doctrina y la jurisprudencia en reconocer que el registro mercantil es un instrumento de publicidad para la vida comercial, cuyo objeto es permitir al público el conocimiento ciertos datos relevantes para el tráfico mercantil. Algunos hechos y actividades de esta naturaleza producen efectos no sólo entre la partes, sino también frente a terceros, por lo cual, por razones de seguridad jurídica, es menester que exista un mecanismo para su conocimiento público. Por ello, la ley impone al comerciante la oblig</w:t>
      </w:r>
      <w:r w:rsidR="008D7718" w:rsidRPr="00FA104C">
        <w:rPr>
          <w:rFonts w:ascii="Arial" w:hAnsi="Arial" w:cs="Arial"/>
          <w:i/>
          <w:color w:val="000000"/>
          <w:sz w:val="24"/>
          <w:szCs w:val="26"/>
        </w:rPr>
        <w:t>ación de dar publicidad a tales</w:t>
      </w:r>
      <w:r w:rsidRPr="00FA104C">
        <w:rPr>
          <w:rFonts w:ascii="Arial" w:hAnsi="Arial" w:cs="Arial"/>
          <w:i/>
          <w:color w:val="000000"/>
          <w:sz w:val="24"/>
          <w:szCs w:val="26"/>
        </w:rPr>
        <w:t xml:space="preserve"> hechos o actos, así como su pr</w:t>
      </w:r>
      <w:r w:rsidR="008D7718" w:rsidRPr="00FA104C">
        <w:rPr>
          <w:rFonts w:ascii="Arial" w:hAnsi="Arial" w:cs="Arial"/>
          <w:i/>
          <w:color w:val="000000"/>
          <w:sz w:val="24"/>
          <w:szCs w:val="26"/>
        </w:rPr>
        <w:t>opia condición de comerciante</w:t>
      </w:r>
      <w:r w:rsidRPr="00FA104C">
        <w:rPr>
          <w:rFonts w:ascii="Arial" w:hAnsi="Arial" w:cs="Arial"/>
          <w:i/>
          <w:color w:val="000000"/>
          <w:sz w:val="24"/>
          <w:szCs w:val="26"/>
        </w:rPr>
        <w:t xml:space="preserve">. Este interés de terceros, señala acertadamente </w:t>
      </w:r>
      <w:proofErr w:type="spellStart"/>
      <w:r w:rsidRPr="00FA104C">
        <w:rPr>
          <w:rFonts w:ascii="Arial" w:hAnsi="Arial" w:cs="Arial"/>
          <w:i/>
          <w:color w:val="000000"/>
          <w:sz w:val="24"/>
          <w:szCs w:val="26"/>
        </w:rPr>
        <w:t>Garrigues</w:t>
      </w:r>
      <w:proofErr w:type="spellEnd"/>
      <w:r w:rsidRPr="00FA104C">
        <w:rPr>
          <w:rFonts w:ascii="Arial" w:hAnsi="Arial" w:cs="Arial"/>
          <w:i/>
          <w:color w:val="000000"/>
          <w:sz w:val="24"/>
          <w:szCs w:val="26"/>
        </w:rPr>
        <w:t xml:space="preserve">, no es un </w:t>
      </w:r>
      <w:r w:rsidR="008D7718" w:rsidRPr="00FA104C">
        <w:rPr>
          <w:rFonts w:ascii="Arial" w:hAnsi="Arial" w:cs="Arial"/>
          <w:i/>
          <w:color w:val="000000"/>
          <w:sz w:val="24"/>
          <w:szCs w:val="26"/>
        </w:rPr>
        <w:t>interés difuso, sino concreto</w:t>
      </w:r>
      <w:r w:rsidRPr="00FA104C">
        <w:rPr>
          <w:rFonts w:ascii="Arial" w:hAnsi="Arial" w:cs="Arial"/>
          <w:i/>
          <w:color w:val="000000"/>
          <w:sz w:val="24"/>
          <w:szCs w:val="26"/>
        </w:rPr>
        <w:t>.</w:t>
      </w:r>
    </w:p>
    <w:p w:rsidR="008D7718" w:rsidRPr="00FA104C" w:rsidRDefault="008D7718" w:rsidP="00FA104C">
      <w:pPr>
        <w:pStyle w:val="Sinespaciado1"/>
        <w:ind w:left="708" w:right="565" w:firstLine="2127"/>
        <w:jc w:val="both"/>
        <w:rPr>
          <w:rFonts w:ascii="Arial" w:hAnsi="Arial" w:cs="Arial"/>
          <w:i/>
          <w:color w:val="000000"/>
          <w:sz w:val="14"/>
          <w:szCs w:val="26"/>
        </w:rPr>
      </w:pPr>
    </w:p>
    <w:p w:rsidR="00FB6089" w:rsidRPr="008D7718" w:rsidRDefault="00FB6089" w:rsidP="00FA104C">
      <w:pPr>
        <w:pStyle w:val="Sinespaciado1"/>
        <w:ind w:left="708" w:right="565" w:firstLine="2127"/>
        <w:jc w:val="both"/>
        <w:rPr>
          <w:rFonts w:ascii="Arial" w:hAnsi="Arial" w:cs="Arial"/>
          <w:i/>
          <w:color w:val="000000"/>
          <w:szCs w:val="26"/>
        </w:rPr>
      </w:pPr>
      <w:r w:rsidRPr="00FA104C">
        <w:rPr>
          <w:rFonts w:ascii="Arial" w:hAnsi="Arial" w:cs="Arial"/>
          <w:i/>
          <w:color w:val="000000"/>
          <w:sz w:val="24"/>
          <w:szCs w:val="26"/>
        </w:rPr>
        <w:lastRenderedPageBreak/>
        <w:t>A diferencia de otros registros que son de naturaleza real, como el registro inmobiliario, el registro mercantil es de naturaleza personal porque lo inscrito es la persona misma en su condición de comerciante y los hechos y actos que a él lo afectan frente a terceros. Usualmente se le reconoce un carácter meramente declarativo, en cuanto es simplemente un mecanismo de publicidad de ciertos hechos o actos relevantes en el tráfico mercantil. Es decir, la inscripción en el registro no es un requisito de aquellos que son necesarios para la existencia o para la validez de los actos jurídicos inscritos,  sino que únicamente los hace conocidos y por lo tanto “oponibles” a los terceros. Así, una vez hecho el correspondiente registro, el acto tendrá efectos no sólo entre quienes participaron en él, sino erga omnes, por lo cual en adelante nadie podrá alegar su desconocimiento. Este es el principio que se conoce como de “publicidad material del registro”, en virtud del cual, una vez inscrito, el acto se supone conocido de todos. Por lo anterior, la doctrina señala que la finalidad inmediata del registro es dar seguridad a las relaciones que implican la responsabilidad jurídica del comerciante.</w:t>
      </w:r>
      <w:r w:rsidR="008D7718" w:rsidRPr="00FA104C">
        <w:rPr>
          <w:rFonts w:ascii="Arial" w:hAnsi="Arial" w:cs="Arial"/>
          <w:i/>
          <w:color w:val="000000"/>
          <w:sz w:val="24"/>
          <w:szCs w:val="26"/>
        </w:rPr>
        <w:t>”</w:t>
      </w:r>
      <w:r w:rsidR="008D7718" w:rsidRPr="00FA104C">
        <w:rPr>
          <w:rStyle w:val="Refdenotaalpie"/>
          <w:rFonts w:ascii="Arial" w:hAnsi="Arial"/>
          <w:i/>
          <w:color w:val="000000"/>
          <w:sz w:val="24"/>
          <w:szCs w:val="26"/>
        </w:rPr>
        <w:footnoteReference w:id="3"/>
      </w:r>
    </w:p>
    <w:p w:rsidR="00FB6089" w:rsidRPr="008D7718" w:rsidRDefault="00FB6089" w:rsidP="008D7718">
      <w:pPr>
        <w:pStyle w:val="Sinespaciado1"/>
        <w:spacing w:line="360" w:lineRule="auto"/>
        <w:jc w:val="both"/>
        <w:rPr>
          <w:rFonts w:ascii="Arial" w:hAnsi="Arial" w:cs="Arial"/>
          <w:color w:val="000000"/>
          <w:sz w:val="20"/>
          <w:szCs w:val="26"/>
        </w:rPr>
      </w:pPr>
    </w:p>
    <w:p w:rsidR="009910A3" w:rsidRPr="009652C7" w:rsidRDefault="008D7718" w:rsidP="00A00BC7">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8.5. </w:t>
      </w:r>
      <w:r w:rsidR="00A34FA5">
        <w:rPr>
          <w:rFonts w:ascii="Arial" w:hAnsi="Arial" w:cs="Arial"/>
          <w:color w:val="000000"/>
          <w:sz w:val="26"/>
          <w:szCs w:val="26"/>
        </w:rPr>
        <w:t>De ahí</w:t>
      </w:r>
      <w:r w:rsidR="009910A3" w:rsidRPr="009652C7">
        <w:rPr>
          <w:rFonts w:ascii="Arial" w:hAnsi="Arial" w:cs="Arial"/>
          <w:color w:val="000000"/>
          <w:sz w:val="26"/>
          <w:szCs w:val="26"/>
        </w:rPr>
        <w:t xml:space="preserve"> que</w:t>
      </w:r>
      <w:r w:rsidR="00A34FA5">
        <w:rPr>
          <w:rFonts w:ascii="Arial" w:hAnsi="Arial" w:cs="Arial"/>
          <w:color w:val="000000"/>
          <w:sz w:val="26"/>
          <w:szCs w:val="26"/>
        </w:rPr>
        <w:t>,</w:t>
      </w:r>
      <w:r w:rsidR="009910A3" w:rsidRPr="009652C7">
        <w:rPr>
          <w:rFonts w:ascii="Arial" w:hAnsi="Arial" w:cs="Arial"/>
          <w:color w:val="000000"/>
          <w:sz w:val="26"/>
          <w:szCs w:val="26"/>
        </w:rPr>
        <w:t xml:space="preserve"> tal y como lo ha sostenido la doctrina, </w:t>
      </w:r>
      <w:r w:rsidR="009910A3" w:rsidRPr="00DC1CD7">
        <w:rPr>
          <w:rFonts w:ascii="Arial" w:hAnsi="Arial" w:cs="Arial"/>
          <w:i/>
          <w:color w:val="000000"/>
          <w:sz w:val="24"/>
          <w:szCs w:val="26"/>
        </w:rPr>
        <w:t>“por el solo hecho de la anotación de la demanda no puede afirmarse que se ha mejorado o desmejorado el derecho o los derechos que aparecen inscritos; ni mucho menos constituye una garantía a favor del demandante, ni le otorga facultades para enajenar o transmitir el derecho, solamente la anotación de la demanda está dirigida a la publicación del proceso”</w:t>
      </w:r>
      <w:r w:rsidR="009910A3">
        <w:rPr>
          <w:rStyle w:val="Refdenotaalpie"/>
          <w:rFonts w:ascii="Arial" w:hAnsi="Arial"/>
          <w:i/>
          <w:color w:val="000000"/>
          <w:sz w:val="24"/>
          <w:szCs w:val="26"/>
        </w:rPr>
        <w:footnoteReference w:id="4"/>
      </w:r>
      <w:r w:rsidR="009910A3" w:rsidRPr="009652C7">
        <w:rPr>
          <w:rFonts w:ascii="Arial" w:hAnsi="Arial" w:cs="Arial"/>
          <w:color w:val="000000"/>
          <w:sz w:val="26"/>
          <w:szCs w:val="26"/>
        </w:rPr>
        <w:t>.</w:t>
      </w:r>
    </w:p>
    <w:p w:rsidR="009910A3" w:rsidRPr="00A00BC7" w:rsidRDefault="009910A3" w:rsidP="009652C7">
      <w:pPr>
        <w:pStyle w:val="Sinespaciado1"/>
        <w:spacing w:line="360" w:lineRule="auto"/>
        <w:ind w:firstLine="2835"/>
        <w:jc w:val="both"/>
        <w:rPr>
          <w:rFonts w:ascii="Arial" w:hAnsi="Arial" w:cs="Arial"/>
          <w:color w:val="000000"/>
          <w:sz w:val="16"/>
          <w:szCs w:val="26"/>
        </w:rPr>
      </w:pPr>
    </w:p>
    <w:p w:rsidR="00852093" w:rsidRPr="008D7718" w:rsidRDefault="008D7718" w:rsidP="008D771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8.6.</w:t>
      </w:r>
      <w:r w:rsidR="00A34FA5">
        <w:rPr>
          <w:rFonts w:ascii="Arial" w:hAnsi="Arial" w:cs="Arial"/>
          <w:color w:val="000000"/>
          <w:sz w:val="26"/>
          <w:szCs w:val="26"/>
        </w:rPr>
        <w:t xml:space="preserve"> </w:t>
      </w:r>
      <w:r w:rsidR="00E65415">
        <w:rPr>
          <w:rFonts w:ascii="Arial" w:hAnsi="Arial" w:cs="Arial"/>
          <w:color w:val="000000"/>
          <w:sz w:val="26"/>
          <w:szCs w:val="26"/>
        </w:rPr>
        <w:t xml:space="preserve">La Corte Suprema de Justicia, en sede de tutela, al examinar un asunto en el que se debatió la procedencia de la medida cautelar similar a la aquí estudiada, </w:t>
      </w:r>
      <w:r w:rsidR="00FA104C">
        <w:rPr>
          <w:rFonts w:ascii="Arial" w:hAnsi="Arial" w:cs="Arial"/>
          <w:color w:val="000000"/>
          <w:sz w:val="26"/>
          <w:szCs w:val="26"/>
        </w:rPr>
        <w:t xml:space="preserve">señaló </w:t>
      </w:r>
      <w:r w:rsidR="00E65415">
        <w:rPr>
          <w:rFonts w:ascii="Arial" w:hAnsi="Arial" w:cs="Arial"/>
          <w:color w:val="000000"/>
          <w:sz w:val="26"/>
          <w:szCs w:val="26"/>
        </w:rPr>
        <w:t>que la hermenéutica en la que se basó el Tribunal Superior de Bucaramanga</w:t>
      </w:r>
      <w:r w:rsidR="00FA104C">
        <w:rPr>
          <w:rFonts w:ascii="Arial" w:hAnsi="Arial" w:cs="Arial"/>
          <w:color w:val="000000"/>
          <w:sz w:val="26"/>
          <w:szCs w:val="26"/>
        </w:rPr>
        <w:t xml:space="preserve"> demandado</w:t>
      </w:r>
      <w:r w:rsidR="00E65415">
        <w:rPr>
          <w:rFonts w:ascii="Arial" w:hAnsi="Arial" w:cs="Arial"/>
          <w:color w:val="000000"/>
          <w:sz w:val="26"/>
          <w:szCs w:val="26"/>
        </w:rPr>
        <w:t xml:space="preserve">, no luce </w:t>
      </w:r>
      <w:r w:rsidR="00FA104C">
        <w:rPr>
          <w:rFonts w:ascii="Arial" w:hAnsi="Arial" w:cs="Arial"/>
          <w:color w:val="000000"/>
          <w:sz w:val="26"/>
          <w:szCs w:val="26"/>
        </w:rPr>
        <w:t>arbitraria. En seguida se trascribe parte de su pronunciamiento, que comparte esta Magistratura</w:t>
      </w:r>
      <w:r w:rsidR="00852093">
        <w:rPr>
          <w:rFonts w:ascii="Arial" w:hAnsi="Arial" w:cs="Arial"/>
          <w:color w:val="000000"/>
          <w:sz w:val="26"/>
          <w:szCs w:val="26"/>
        </w:rPr>
        <w:t>:</w:t>
      </w:r>
    </w:p>
    <w:p w:rsidR="00852093" w:rsidRPr="000326E3" w:rsidRDefault="00852093" w:rsidP="00852093">
      <w:pPr>
        <w:ind w:left="851" w:right="848"/>
        <w:rPr>
          <w:rFonts w:ascii="Arial" w:hAnsi="Arial" w:cs="Arial"/>
          <w:i/>
          <w:color w:val="000000"/>
          <w:szCs w:val="26"/>
          <w:lang w:val="es-CO" w:eastAsia="en-US"/>
        </w:rPr>
      </w:pPr>
    </w:p>
    <w:p w:rsidR="00852093" w:rsidRPr="000326E3" w:rsidRDefault="00FA104C" w:rsidP="00852093">
      <w:pPr>
        <w:ind w:left="851" w:right="848"/>
        <w:jc w:val="both"/>
        <w:rPr>
          <w:rFonts w:ascii="Arial" w:hAnsi="Arial" w:cs="Arial"/>
          <w:color w:val="000000"/>
          <w:sz w:val="24"/>
          <w:szCs w:val="24"/>
          <w:lang w:val="es-CO" w:eastAsia="en-US"/>
        </w:rPr>
      </w:pPr>
      <w:r>
        <w:rPr>
          <w:rFonts w:ascii="Arial" w:hAnsi="Arial" w:cs="Arial"/>
          <w:i/>
          <w:color w:val="000000"/>
          <w:sz w:val="24"/>
          <w:szCs w:val="24"/>
          <w:lang w:val="es-CO" w:eastAsia="en-US"/>
        </w:rPr>
        <w:t>«…</w:t>
      </w:r>
      <w:r w:rsidR="00852093" w:rsidRPr="000326E3">
        <w:rPr>
          <w:rFonts w:ascii="Arial" w:hAnsi="Arial" w:cs="Arial"/>
          <w:i/>
          <w:color w:val="000000"/>
          <w:sz w:val="24"/>
          <w:szCs w:val="24"/>
          <w:lang w:val="es-CO" w:eastAsia="en-US"/>
        </w:rPr>
        <w:t xml:space="preserve">en trámites como el que nos convoca, la inscripción de la demanda sólo puede pesar sobre bienes del demandado sujetos a registro, los que, no está de más decirlo, deben determinarse con precisión, con arreglo a lo pontificado por el inciso final del art. 76 del C. de P. C. </w:t>
      </w:r>
      <w:r w:rsidR="00852093" w:rsidRPr="000326E3">
        <w:rPr>
          <w:rFonts w:ascii="Arial" w:hAnsi="Arial" w:cs="Arial"/>
          <w:i/>
          <w:color w:val="000000"/>
          <w:sz w:val="24"/>
          <w:szCs w:val="24"/>
          <w:u w:val="single"/>
          <w:lang w:val="es-CO" w:eastAsia="en-US"/>
        </w:rPr>
        <w:t>La matrícula mercantil de la persona jurídica accionada, que fue lo afectado en atención a la súplica del demandante, no constituye, ni de cerca, un bien, como sí lo son, por ejemplo, sus establecimientos de comercio, llámense sucursales o agencias</w:t>
      </w:r>
      <w:r w:rsidR="00852093" w:rsidRPr="000326E3">
        <w:rPr>
          <w:rFonts w:ascii="Arial" w:hAnsi="Arial" w:cs="Arial"/>
          <w:i/>
          <w:color w:val="000000"/>
          <w:sz w:val="24"/>
          <w:szCs w:val="24"/>
          <w:lang w:val="es-CO" w:eastAsia="en-US"/>
        </w:rPr>
        <w:t xml:space="preserve"> (arts. 263 y 264 del Código de Comercio), con todos los elementos que los integran como unidades económicas (art. 516 ibíd.), incluyéndose dentro de éstos el nombre comercial, que como propiedad industrial que es, </w:t>
      </w:r>
      <w:r w:rsidR="00852093" w:rsidRPr="000326E3">
        <w:rPr>
          <w:rFonts w:ascii="Arial" w:hAnsi="Arial" w:cs="Arial"/>
          <w:i/>
          <w:color w:val="000000"/>
          <w:sz w:val="24"/>
          <w:szCs w:val="24"/>
          <w:u w:val="single"/>
          <w:lang w:val="es-CO" w:eastAsia="en-US"/>
        </w:rPr>
        <w:t xml:space="preserve">no es más que un bien, que se ha de diferenciar del nombre legal o atributo de la personalidad que es un derecho cuya mutación no está sujeta a registro mercantil y que recibe el mote de razón o denominación social </w:t>
      </w:r>
      <w:r w:rsidR="00852093" w:rsidRPr="000326E3">
        <w:rPr>
          <w:rFonts w:ascii="Arial" w:hAnsi="Arial" w:cs="Arial"/>
          <w:i/>
          <w:color w:val="000000"/>
          <w:sz w:val="24"/>
          <w:szCs w:val="24"/>
          <w:u w:val="single"/>
          <w:lang w:val="es-CO" w:eastAsia="en-US"/>
        </w:rPr>
        <w:lastRenderedPageBreak/>
        <w:t>según sea su forma de composición</w:t>
      </w:r>
      <w:r w:rsidR="00852093" w:rsidRPr="000326E3">
        <w:rPr>
          <w:rFonts w:ascii="Arial" w:hAnsi="Arial" w:cs="Arial"/>
          <w:i/>
          <w:color w:val="000000"/>
          <w:sz w:val="24"/>
          <w:szCs w:val="24"/>
          <w:lang w:val="es-CO" w:eastAsia="en-US"/>
        </w:rPr>
        <w:t>, atendiendo al tipo societario de que se trate (arts. 303 y 373 ibíd.)» (</w:t>
      </w:r>
      <w:proofErr w:type="spellStart"/>
      <w:r w:rsidR="00852093" w:rsidRPr="000326E3">
        <w:rPr>
          <w:rFonts w:ascii="Arial" w:hAnsi="Arial" w:cs="Arial"/>
          <w:i/>
          <w:color w:val="000000"/>
          <w:sz w:val="24"/>
          <w:szCs w:val="24"/>
          <w:lang w:val="es-CO" w:eastAsia="en-US"/>
        </w:rPr>
        <w:t>fls</w:t>
      </w:r>
      <w:proofErr w:type="spellEnd"/>
      <w:r w:rsidR="00852093" w:rsidRPr="000326E3">
        <w:rPr>
          <w:rFonts w:ascii="Arial" w:hAnsi="Arial" w:cs="Arial"/>
          <w:i/>
          <w:color w:val="000000"/>
          <w:sz w:val="24"/>
          <w:szCs w:val="24"/>
          <w:lang w:val="es-CO" w:eastAsia="en-US"/>
        </w:rPr>
        <w:t>. 78 y 79)</w:t>
      </w:r>
      <w:r w:rsidR="00852093" w:rsidRPr="000326E3">
        <w:rPr>
          <w:rStyle w:val="Refdenotaalpie"/>
          <w:rFonts w:ascii="Arial" w:hAnsi="Arial"/>
          <w:i/>
          <w:color w:val="000000"/>
          <w:sz w:val="24"/>
          <w:szCs w:val="24"/>
          <w:lang w:val="es-CO" w:eastAsia="en-US"/>
        </w:rPr>
        <w:footnoteReference w:id="5"/>
      </w:r>
      <w:r w:rsidR="00852093" w:rsidRPr="000326E3">
        <w:rPr>
          <w:rFonts w:ascii="Arial" w:hAnsi="Arial" w:cs="Arial"/>
          <w:i/>
          <w:color w:val="000000"/>
          <w:sz w:val="24"/>
          <w:szCs w:val="24"/>
          <w:lang w:val="es-CO" w:eastAsia="en-US"/>
        </w:rPr>
        <w:t>.</w:t>
      </w:r>
      <w:r w:rsidR="00852093">
        <w:rPr>
          <w:rFonts w:ascii="Arial" w:hAnsi="Arial" w:cs="Arial"/>
          <w:i/>
          <w:color w:val="000000"/>
          <w:sz w:val="24"/>
          <w:szCs w:val="24"/>
          <w:lang w:val="es-CO" w:eastAsia="en-US"/>
        </w:rPr>
        <w:t xml:space="preserve"> </w:t>
      </w:r>
      <w:r w:rsidR="00852093">
        <w:rPr>
          <w:rFonts w:ascii="Arial" w:hAnsi="Arial" w:cs="Arial"/>
          <w:color w:val="000000"/>
          <w:sz w:val="24"/>
          <w:szCs w:val="24"/>
          <w:lang w:val="es-CO" w:eastAsia="en-US"/>
        </w:rPr>
        <w:t xml:space="preserve"> Subrayas propias.</w:t>
      </w:r>
    </w:p>
    <w:p w:rsidR="00852093" w:rsidRDefault="00852093" w:rsidP="009652C7">
      <w:pPr>
        <w:pStyle w:val="Sinespaciado1"/>
        <w:spacing w:line="360" w:lineRule="auto"/>
        <w:ind w:firstLine="2835"/>
        <w:jc w:val="both"/>
        <w:rPr>
          <w:rFonts w:ascii="Arial" w:hAnsi="Arial" w:cs="Arial"/>
          <w:color w:val="000000"/>
          <w:sz w:val="26"/>
          <w:szCs w:val="26"/>
        </w:rPr>
      </w:pPr>
    </w:p>
    <w:p w:rsidR="00550D37" w:rsidRDefault="008D7718" w:rsidP="00550D37">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8.7</w:t>
      </w:r>
      <w:r w:rsidR="009910A3">
        <w:rPr>
          <w:rFonts w:ascii="Arial" w:hAnsi="Arial" w:cs="Arial"/>
          <w:color w:val="000000"/>
          <w:sz w:val="26"/>
          <w:szCs w:val="26"/>
        </w:rPr>
        <w:t>. D</w:t>
      </w:r>
      <w:r w:rsidR="009652C7" w:rsidRPr="009652C7">
        <w:rPr>
          <w:rFonts w:ascii="Arial" w:hAnsi="Arial" w:cs="Arial"/>
          <w:color w:val="000000"/>
          <w:sz w:val="26"/>
          <w:szCs w:val="26"/>
        </w:rPr>
        <w:t xml:space="preserve">e conformidad con lo que antecede, no cabe duda que los argumentos aquí traídos por la parte inconforme están llamados al fracaso, teniendo en cuenta que la medida cautelar reclamada por la parte actora no produce los efectos por ésta pretendidos, esto es, asegurar los </w:t>
      </w:r>
      <w:r w:rsidR="00FA104C">
        <w:rPr>
          <w:rFonts w:ascii="Arial" w:hAnsi="Arial" w:cs="Arial"/>
          <w:color w:val="000000"/>
          <w:sz w:val="26"/>
          <w:szCs w:val="26"/>
        </w:rPr>
        <w:t xml:space="preserve">resultados </w:t>
      </w:r>
      <w:r w:rsidR="009652C7" w:rsidRPr="009652C7">
        <w:rPr>
          <w:rFonts w:ascii="Arial" w:hAnsi="Arial" w:cs="Arial"/>
          <w:color w:val="000000"/>
          <w:sz w:val="26"/>
          <w:szCs w:val="26"/>
        </w:rPr>
        <w:t xml:space="preserve">que ha de producir la sentencia, pues la inscripción de la demanda en el registro mercantil de la sociedad demandada sólo constituye una anotación que da publicidad sobre la existencia o pendencia del proceso, pero </w:t>
      </w:r>
      <w:r w:rsidR="009910A3">
        <w:rPr>
          <w:rFonts w:ascii="Arial" w:hAnsi="Arial" w:cs="Arial"/>
          <w:color w:val="000000"/>
          <w:sz w:val="26"/>
          <w:szCs w:val="26"/>
        </w:rPr>
        <w:t xml:space="preserve">no constituye en sí una cautela, </w:t>
      </w:r>
      <w:r w:rsidR="009652C7" w:rsidRPr="009652C7">
        <w:rPr>
          <w:rFonts w:ascii="Arial" w:hAnsi="Arial" w:cs="Arial"/>
          <w:color w:val="000000"/>
          <w:sz w:val="26"/>
          <w:szCs w:val="26"/>
        </w:rPr>
        <w:t>una forma especial de garantía en caso de resultar favorable la</w:t>
      </w:r>
      <w:r w:rsidR="00FA104C">
        <w:rPr>
          <w:rFonts w:ascii="Arial" w:hAnsi="Arial" w:cs="Arial"/>
          <w:color w:val="000000"/>
          <w:sz w:val="26"/>
          <w:szCs w:val="26"/>
        </w:rPr>
        <w:t>s pretensiones de la demanda</w:t>
      </w:r>
      <w:r w:rsidR="009652C7" w:rsidRPr="009652C7">
        <w:rPr>
          <w:rFonts w:ascii="Arial" w:hAnsi="Arial" w:cs="Arial"/>
          <w:color w:val="000000"/>
          <w:sz w:val="26"/>
          <w:szCs w:val="26"/>
        </w:rPr>
        <w:t>.</w:t>
      </w:r>
    </w:p>
    <w:p w:rsidR="00550D37" w:rsidRPr="00FA104C" w:rsidRDefault="00550D37" w:rsidP="00550D37">
      <w:pPr>
        <w:pStyle w:val="Sinespaciado1"/>
        <w:spacing w:line="360" w:lineRule="auto"/>
        <w:ind w:firstLine="2835"/>
        <w:jc w:val="both"/>
        <w:rPr>
          <w:rFonts w:ascii="Arial" w:hAnsi="Arial" w:cs="Arial"/>
          <w:color w:val="000000"/>
          <w:sz w:val="16"/>
          <w:szCs w:val="26"/>
        </w:rPr>
      </w:pPr>
    </w:p>
    <w:p w:rsidR="00355F42" w:rsidRDefault="00852093" w:rsidP="008D7718">
      <w:pPr>
        <w:pStyle w:val="Sinespaciado1"/>
        <w:spacing w:line="360" w:lineRule="auto"/>
        <w:ind w:firstLine="2835"/>
        <w:jc w:val="both"/>
        <w:rPr>
          <w:rFonts w:ascii="Arial" w:hAnsi="Arial" w:cs="Arial"/>
          <w:color w:val="000000"/>
          <w:sz w:val="26"/>
          <w:szCs w:val="26"/>
        </w:rPr>
      </w:pPr>
      <w:r>
        <w:rPr>
          <w:rFonts w:ascii="Arial" w:hAnsi="Arial" w:cs="Arial"/>
          <w:sz w:val="26"/>
          <w:szCs w:val="26"/>
        </w:rPr>
        <w:t>8</w:t>
      </w:r>
      <w:r w:rsidR="008D7718">
        <w:rPr>
          <w:rFonts w:ascii="Arial" w:hAnsi="Arial" w:cs="Arial"/>
          <w:sz w:val="26"/>
          <w:szCs w:val="26"/>
        </w:rPr>
        <w:t>.8</w:t>
      </w:r>
      <w:r w:rsidR="005D3D18">
        <w:rPr>
          <w:rFonts w:ascii="Arial" w:hAnsi="Arial" w:cs="Arial"/>
          <w:sz w:val="26"/>
          <w:szCs w:val="26"/>
        </w:rPr>
        <w:t xml:space="preserve">. </w:t>
      </w:r>
      <w:r w:rsidR="008D7718">
        <w:rPr>
          <w:rFonts w:ascii="Arial" w:hAnsi="Arial" w:cs="Arial"/>
          <w:sz w:val="26"/>
          <w:szCs w:val="26"/>
        </w:rPr>
        <w:t xml:space="preserve">Y es que </w:t>
      </w:r>
      <w:r w:rsidR="00550D37">
        <w:rPr>
          <w:rFonts w:ascii="Arial" w:hAnsi="Arial" w:cs="Arial"/>
          <w:sz w:val="26"/>
          <w:szCs w:val="26"/>
        </w:rPr>
        <w:t>t</w:t>
      </w:r>
      <w:r w:rsidR="00550D37" w:rsidRPr="00550D37">
        <w:rPr>
          <w:rFonts w:ascii="Arial" w:hAnsi="Arial" w:cs="Arial"/>
          <w:sz w:val="26"/>
          <w:szCs w:val="26"/>
        </w:rPr>
        <w:t>ampoco la reseñada cautela</w:t>
      </w:r>
      <w:r w:rsidR="00344505">
        <w:rPr>
          <w:rFonts w:ascii="Arial" w:hAnsi="Arial" w:cs="Arial"/>
          <w:sz w:val="26"/>
          <w:szCs w:val="26"/>
        </w:rPr>
        <w:t xml:space="preserve"> era</w:t>
      </w:r>
      <w:r w:rsidR="00FA104C">
        <w:rPr>
          <w:rFonts w:ascii="Arial" w:hAnsi="Arial" w:cs="Arial"/>
          <w:sz w:val="26"/>
          <w:szCs w:val="26"/>
        </w:rPr>
        <w:t xml:space="preserve"> procedente</w:t>
      </w:r>
      <w:r w:rsidR="00550D37" w:rsidRPr="00550D37">
        <w:rPr>
          <w:rFonts w:ascii="Arial" w:hAnsi="Arial" w:cs="Arial"/>
          <w:sz w:val="26"/>
          <w:szCs w:val="26"/>
        </w:rPr>
        <w:t xml:space="preserve"> a la luz del literal </w:t>
      </w:r>
      <w:r w:rsidR="00FA104C">
        <w:rPr>
          <w:rFonts w:ascii="Arial" w:hAnsi="Arial" w:cs="Arial"/>
          <w:sz w:val="26"/>
          <w:szCs w:val="26"/>
        </w:rPr>
        <w:t>c del precitado artículo 590</w:t>
      </w:r>
      <w:r w:rsidR="00550D37" w:rsidRPr="00550D37">
        <w:rPr>
          <w:rFonts w:ascii="Arial" w:hAnsi="Arial" w:cs="Arial"/>
          <w:sz w:val="26"/>
          <w:szCs w:val="26"/>
        </w:rPr>
        <w:t xml:space="preserve">, </w:t>
      </w:r>
      <w:r w:rsidR="00344505">
        <w:rPr>
          <w:rFonts w:ascii="Arial" w:hAnsi="Arial" w:cs="Arial"/>
          <w:sz w:val="26"/>
          <w:szCs w:val="26"/>
        </w:rPr>
        <w:t xml:space="preserve">como lo reclama el </w:t>
      </w:r>
      <w:proofErr w:type="spellStart"/>
      <w:r w:rsidR="00344505">
        <w:rPr>
          <w:rFonts w:ascii="Arial" w:hAnsi="Arial" w:cs="Arial"/>
          <w:sz w:val="26"/>
          <w:szCs w:val="26"/>
        </w:rPr>
        <w:t>opugnante</w:t>
      </w:r>
      <w:proofErr w:type="spellEnd"/>
      <w:r w:rsidR="00344505">
        <w:rPr>
          <w:rFonts w:ascii="Arial" w:hAnsi="Arial" w:cs="Arial"/>
          <w:sz w:val="26"/>
          <w:szCs w:val="26"/>
        </w:rPr>
        <w:t xml:space="preserve">; </w:t>
      </w:r>
      <w:r w:rsidR="00550D37" w:rsidRPr="00550D37">
        <w:rPr>
          <w:rFonts w:ascii="Arial" w:hAnsi="Arial" w:cs="Arial"/>
          <w:sz w:val="26"/>
          <w:szCs w:val="26"/>
        </w:rPr>
        <w:t xml:space="preserve">pues tal precepto </w:t>
      </w:r>
      <w:r w:rsidR="00550D37" w:rsidRPr="00344505">
        <w:rPr>
          <w:rFonts w:ascii="Arial" w:hAnsi="Arial" w:cs="Arial"/>
          <w:sz w:val="24"/>
          <w:szCs w:val="26"/>
        </w:rPr>
        <w:t>(aplicable a asuntos que por sus particularidades resulten ciertamente excepcionales)</w:t>
      </w:r>
      <w:r w:rsidR="00550D37" w:rsidRPr="00550D37">
        <w:rPr>
          <w:rFonts w:ascii="Arial" w:hAnsi="Arial" w:cs="Arial"/>
          <w:sz w:val="26"/>
          <w:szCs w:val="26"/>
        </w:rPr>
        <w:t xml:space="preserve"> permite que e</w:t>
      </w:r>
      <w:r w:rsidR="00344505">
        <w:rPr>
          <w:rFonts w:ascii="Arial" w:hAnsi="Arial" w:cs="Arial"/>
          <w:sz w:val="26"/>
          <w:szCs w:val="26"/>
        </w:rPr>
        <w:t xml:space="preserve">l juez de conocimiento decrete </w:t>
      </w:r>
      <w:r w:rsidR="00550D37" w:rsidRPr="00550D37">
        <w:rPr>
          <w:rFonts w:ascii="Arial" w:hAnsi="Arial" w:cs="Arial"/>
          <w:sz w:val="26"/>
          <w:szCs w:val="26"/>
        </w:rPr>
        <w:t xml:space="preserve">cualquier otra medida </w:t>
      </w:r>
      <w:r w:rsidR="00550D37" w:rsidRPr="00344505">
        <w:rPr>
          <w:rFonts w:ascii="Arial" w:hAnsi="Arial" w:cs="Arial"/>
          <w:sz w:val="24"/>
          <w:szCs w:val="26"/>
        </w:rPr>
        <w:t>(distinta de la inscripción de la demanda, del embargo y del secuestro, cuya regulación quedó establecida en los literales a y b de la misma disposición)</w:t>
      </w:r>
      <w:r w:rsidR="00550D37" w:rsidRPr="00550D37">
        <w:rPr>
          <w:rFonts w:ascii="Arial" w:hAnsi="Arial" w:cs="Arial"/>
          <w:sz w:val="26"/>
          <w:szCs w:val="26"/>
        </w:rPr>
        <w:t xml:space="preserve"> que encuentre razonable para la protección de</w:t>
      </w:r>
      <w:r w:rsidR="00344505">
        <w:rPr>
          <w:rFonts w:ascii="Arial" w:hAnsi="Arial" w:cs="Arial"/>
          <w:sz w:val="26"/>
          <w:szCs w:val="26"/>
        </w:rPr>
        <w:t>l derecho objeto del litigio</w:t>
      </w:r>
      <w:r w:rsidR="00550D37" w:rsidRPr="00550D37">
        <w:rPr>
          <w:rFonts w:ascii="Arial" w:hAnsi="Arial" w:cs="Arial"/>
          <w:sz w:val="26"/>
          <w:szCs w:val="26"/>
        </w:rPr>
        <w:t>.</w:t>
      </w:r>
    </w:p>
    <w:p w:rsidR="008D7718" w:rsidRPr="008D7718" w:rsidRDefault="008D7718" w:rsidP="008D7718">
      <w:pPr>
        <w:pStyle w:val="Sinespaciado1"/>
        <w:spacing w:line="360" w:lineRule="auto"/>
        <w:ind w:firstLine="2835"/>
        <w:jc w:val="both"/>
        <w:rPr>
          <w:rFonts w:ascii="Arial" w:hAnsi="Arial" w:cs="Arial"/>
          <w:color w:val="000000"/>
          <w:sz w:val="16"/>
          <w:szCs w:val="26"/>
        </w:rPr>
      </w:pPr>
    </w:p>
    <w:p w:rsidR="00CA7AF6" w:rsidRPr="00C9037F" w:rsidRDefault="00E7148F" w:rsidP="008D7718">
      <w:pPr>
        <w:pStyle w:val="Sinespaciado1"/>
        <w:spacing w:line="360" w:lineRule="auto"/>
        <w:ind w:firstLine="2880"/>
        <w:jc w:val="both"/>
        <w:rPr>
          <w:rFonts w:ascii="Arial" w:hAnsi="Arial" w:cs="Arial"/>
          <w:i/>
          <w:sz w:val="26"/>
          <w:szCs w:val="26"/>
        </w:rPr>
      </w:pPr>
      <w:r>
        <w:rPr>
          <w:rFonts w:ascii="Arial" w:hAnsi="Arial" w:cs="Arial"/>
          <w:sz w:val="26"/>
          <w:szCs w:val="26"/>
        </w:rPr>
        <w:t>9</w:t>
      </w:r>
      <w:r w:rsidR="000852EA">
        <w:rPr>
          <w:rFonts w:ascii="Arial" w:hAnsi="Arial" w:cs="Arial"/>
          <w:sz w:val="26"/>
          <w:szCs w:val="26"/>
        </w:rPr>
        <w:t xml:space="preserve">. </w:t>
      </w:r>
      <w:r w:rsidR="00DB2C30">
        <w:rPr>
          <w:rFonts w:ascii="Arial" w:hAnsi="Arial" w:cs="Arial"/>
          <w:sz w:val="26"/>
          <w:szCs w:val="26"/>
        </w:rPr>
        <w:t xml:space="preserve">Surge entonces de contera, la </w:t>
      </w:r>
      <w:r>
        <w:rPr>
          <w:rFonts w:ascii="Arial" w:hAnsi="Arial" w:cs="Arial"/>
          <w:sz w:val="26"/>
          <w:szCs w:val="26"/>
        </w:rPr>
        <w:t xml:space="preserve">confirmación del </w:t>
      </w:r>
      <w:r w:rsidR="00DB2C30">
        <w:rPr>
          <w:rFonts w:ascii="Arial" w:hAnsi="Arial" w:cs="Arial"/>
          <w:sz w:val="26"/>
          <w:szCs w:val="26"/>
        </w:rPr>
        <w:t xml:space="preserve"> auto apelado</w:t>
      </w:r>
      <w:r w:rsidR="008D7718">
        <w:rPr>
          <w:rFonts w:ascii="Arial" w:hAnsi="Arial" w:cs="Arial"/>
          <w:sz w:val="26"/>
          <w:szCs w:val="26"/>
        </w:rPr>
        <w:t>.</w:t>
      </w:r>
    </w:p>
    <w:p w:rsidR="00510332" w:rsidRPr="008D7718" w:rsidRDefault="00510332" w:rsidP="00DB2C30">
      <w:pPr>
        <w:pStyle w:val="Sinespaciado1"/>
        <w:spacing w:line="360" w:lineRule="auto"/>
        <w:ind w:firstLine="2880"/>
        <w:jc w:val="both"/>
        <w:rPr>
          <w:rFonts w:ascii="Arial" w:hAnsi="Arial" w:cs="Arial"/>
          <w:sz w:val="24"/>
          <w:szCs w:val="26"/>
        </w:rPr>
      </w:pPr>
    </w:p>
    <w:p w:rsidR="00DB2C30" w:rsidRPr="008D7718" w:rsidRDefault="00DB2C30" w:rsidP="00DB2C30">
      <w:pPr>
        <w:pStyle w:val="Sinespaciado1"/>
        <w:spacing w:line="360" w:lineRule="auto"/>
        <w:ind w:firstLine="2880"/>
        <w:jc w:val="both"/>
        <w:rPr>
          <w:rFonts w:ascii="Arial" w:hAnsi="Arial" w:cs="Arial"/>
          <w:b/>
          <w:szCs w:val="26"/>
        </w:rPr>
      </w:pPr>
      <w:r w:rsidRPr="008D7718">
        <w:rPr>
          <w:rFonts w:ascii="Arial" w:hAnsi="Arial" w:cs="Arial"/>
          <w:b/>
          <w:szCs w:val="26"/>
        </w:rPr>
        <w:t>IV. D</w:t>
      </w:r>
      <w:r w:rsidR="008D7718" w:rsidRPr="008D7718">
        <w:rPr>
          <w:rFonts w:ascii="Arial" w:hAnsi="Arial" w:cs="Arial"/>
          <w:b/>
          <w:szCs w:val="26"/>
        </w:rPr>
        <w:t>ECISIÓN</w:t>
      </w:r>
    </w:p>
    <w:p w:rsidR="000852EA" w:rsidRPr="000852EA" w:rsidRDefault="000852EA" w:rsidP="00DB2C30">
      <w:pPr>
        <w:pStyle w:val="Sinespaciado1"/>
        <w:spacing w:line="360" w:lineRule="auto"/>
        <w:ind w:firstLine="2880"/>
        <w:jc w:val="both"/>
        <w:rPr>
          <w:rFonts w:ascii="Arial" w:hAnsi="Arial" w:cs="Arial"/>
          <w:sz w:val="24"/>
          <w:szCs w:val="26"/>
        </w:rPr>
      </w:pPr>
    </w:p>
    <w:p w:rsidR="00DB2C30" w:rsidRPr="00195957"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Pr="00D66029">
        <w:rPr>
          <w:rFonts w:ascii="Arial" w:hAnsi="Arial" w:cs="Arial"/>
          <w:sz w:val="24"/>
          <w:szCs w:val="24"/>
        </w:rPr>
        <w:t xml:space="preserve">: </w:t>
      </w:r>
      <w:r>
        <w:rPr>
          <w:rFonts w:ascii="Arial" w:hAnsi="Arial" w:cs="Arial"/>
          <w:b/>
          <w:sz w:val="24"/>
          <w:szCs w:val="24"/>
        </w:rPr>
        <w:t>C</w:t>
      </w:r>
      <w:r w:rsidR="007C7220">
        <w:rPr>
          <w:rFonts w:ascii="Arial" w:hAnsi="Arial" w:cs="Arial"/>
          <w:b/>
          <w:sz w:val="24"/>
          <w:szCs w:val="24"/>
        </w:rPr>
        <w:t>ONFIRMAR</w:t>
      </w:r>
      <w:r>
        <w:rPr>
          <w:rFonts w:ascii="Arial" w:hAnsi="Arial" w:cs="Arial"/>
          <w:b/>
          <w:sz w:val="24"/>
          <w:szCs w:val="24"/>
        </w:rPr>
        <w:t xml:space="preserve"> </w:t>
      </w:r>
      <w:r>
        <w:rPr>
          <w:rFonts w:ascii="Arial" w:hAnsi="Arial" w:cs="Arial"/>
          <w:sz w:val="26"/>
          <w:szCs w:val="26"/>
        </w:rPr>
        <w:t xml:space="preserve">el </w:t>
      </w:r>
      <w:r w:rsidR="007C7220">
        <w:rPr>
          <w:rFonts w:ascii="Arial" w:hAnsi="Arial" w:cs="Arial"/>
          <w:sz w:val="26"/>
          <w:szCs w:val="26"/>
        </w:rPr>
        <w:t>auto</w:t>
      </w:r>
      <w:r>
        <w:rPr>
          <w:rFonts w:ascii="Arial" w:hAnsi="Arial" w:cs="Arial"/>
          <w:sz w:val="26"/>
          <w:szCs w:val="26"/>
        </w:rPr>
        <w:t xml:space="preserve"> impugnado</w:t>
      </w:r>
      <w:r w:rsidRPr="00195957">
        <w:rPr>
          <w:rFonts w:ascii="Arial" w:hAnsi="Arial" w:cs="Arial"/>
          <w:sz w:val="26"/>
          <w:szCs w:val="26"/>
        </w:rPr>
        <w:t xml:space="preserve">. </w:t>
      </w:r>
    </w:p>
    <w:p w:rsidR="00DB2C30" w:rsidRPr="009B779B" w:rsidRDefault="00DB2C30" w:rsidP="00DB2C30">
      <w:pPr>
        <w:pStyle w:val="Sinespaciado1"/>
        <w:spacing w:line="360" w:lineRule="auto"/>
        <w:ind w:firstLine="2880"/>
        <w:jc w:val="both"/>
        <w:rPr>
          <w:rFonts w:ascii="Arial" w:hAnsi="Arial" w:cs="Arial"/>
          <w:sz w:val="16"/>
          <w:szCs w:val="26"/>
        </w:rPr>
      </w:pPr>
    </w:p>
    <w:p w:rsidR="00DB2C30" w:rsidRPr="001F5E5A"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Pr="00572B23">
        <w:rPr>
          <w:rFonts w:ascii="Arial" w:hAnsi="Arial" w:cs="Arial"/>
          <w:bCs/>
          <w:sz w:val="26"/>
          <w:szCs w:val="26"/>
        </w:rPr>
        <w:t xml:space="preserve">, </w:t>
      </w:r>
      <w:r>
        <w:rPr>
          <w:rFonts w:ascii="Arial" w:hAnsi="Arial" w:cs="Arial"/>
          <w:bCs/>
          <w:sz w:val="26"/>
          <w:szCs w:val="26"/>
        </w:rPr>
        <w:t>por no haberse causado</w:t>
      </w:r>
      <w:r w:rsidRPr="00572B23">
        <w:rPr>
          <w:rFonts w:ascii="Arial" w:hAnsi="Arial" w:cs="Arial"/>
          <w:bCs/>
          <w:sz w:val="24"/>
          <w:szCs w:val="26"/>
        </w:rPr>
        <w:t>.</w:t>
      </w:r>
    </w:p>
    <w:p w:rsidR="00DB2C30" w:rsidRPr="009B779B" w:rsidRDefault="00DB2C30" w:rsidP="00DB2C30">
      <w:pPr>
        <w:pStyle w:val="Sinespaciado1"/>
        <w:spacing w:line="360" w:lineRule="auto"/>
        <w:ind w:firstLine="2880"/>
        <w:jc w:val="both"/>
        <w:rPr>
          <w:rFonts w:ascii="Arial" w:hAnsi="Arial" w:cs="Arial"/>
          <w:sz w:val="16"/>
          <w:szCs w:val="26"/>
        </w:rPr>
      </w:pPr>
    </w:p>
    <w:p w:rsidR="009B779B" w:rsidRPr="00FB10CD" w:rsidRDefault="005454BF" w:rsidP="00FB10CD">
      <w:pPr>
        <w:pStyle w:val="Sinespaciado1"/>
        <w:spacing w:line="360" w:lineRule="auto"/>
        <w:ind w:firstLine="2880"/>
        <w:jc w:val="both"/>
        <w:rPr>
          <w:rFonts w:ascii="Arial" w:hAnsi="Arial" w:cs="Arial"/>
          <w:sz w:val="26"/>
          <w:szCs w:val="26"/>
        </w:rPr>
      </w:pPr>
      <w:r>
        <w:rPr>
          <w:rFonts w:ascii="Arial" w:hAnsi="Arial" w:cs="Arial"/>
          <w:sz w:val="26"/>
          <w:szCs w:val="26"/>
        </w:rPr>
        <w:t xml:space="preserve">Ejecutoriada esta providencia, </w:t>
      </w:r>
      <w:r w:rsidR="00DB2C30" w:rsidRPr="001F5E5A">
        <w:rPr>
          <w:rFonts w:ascii="Arial" w:hAnsi="Arial" w:cs="Arial"/>
          <w:sz w:val="26"/>
          <w:szCs w:val="26"/>
        </w:rPr>
        <w:t xml:space="preserve">devuélvase el expediente al </w:t>
      </w:r>
      <w:r w:rsidR="00DB2C30">
        <w:rPr>
          <w:rFonts w:ascii="Arial" w:hAnsi="Arial" w:cs="Arial"/>
          <w:sz w:val="26"/>
          <w:szCs w:val="26"/>
        </w:rPr>
        <w:t xml:space="preserve">Juzgado </w:t>
      </w:r>
      <w:r w:rsidR="00DB2C30" w:rsidRPr="001F5E5A">
        <w:rPr>
          <w:rFonts w:ascii="Arial" w:hAnsi="Arial" w:cs="Arial"/>
          <w:sz w:val="26"/>
          <w:szCs w:val="26"/>
        </w:rPr>
        <w:t>de origen.</w:t>
      </w:r>
    </w:p>
    <w:p w:rsidR="008F2BFF" w:rsidRPr="00FB10CD" w:rsidRDefault="008F2BFF" w:rsidP="00F24FC3">
      <w:pPr>
        <w:pStyle w:val="Sinespaciado1"/>
        <w:spacing w:line="360" w:lineRule="auto"/>
        <w:ind w:firstLine="2880"/>
        <w:jc w:val="both"/>
        <w:rPr>
          <w:rFonts w:ascii="Arial" w:hAnsi="Arial" w:cs="Arial"/>
          <w:sz w:val="1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24"/>
          <w:szCs w:val="28"/>
        </w:rPr>
      </w:pPr>
    </w:p>
    <w:p w:rsidR="008F2BFF" w:rsidRDefault="008F2BFF" w:rsidP="009B779B">
      <w:pPr>
        <w:pStyle w:val="Sinespaciado1"/>
        <w:spacing w:line="360" w:lineRule="auto"/>
        <w:ind w:firstLine="2880"/>
        <w:jc w:val="both"/>
        <w:rPr>
          <w:rFonts w:ascii="Arial" w:hAnsi="Arial" w:cs="Arial"/>
          <w:b/>
          <w:sz w:val="24"/>
          <w:szCs w:val="28"/>
        </w:rPr>
      </w:pPr>
    </w:p>
    <w:p w:rsidR="00921C7E" w:rsidRDefault="00921C7E" w:rsidP="009B779B">
      <w:pPr>
        <w:pStyle w:val="Sinespaciado1"/>
        <w:spacing w:line="360" w:lineRule="auto"/>
        <w:ind w:firstLine="2880"/>
        <w:jc w:val="both"/>
        <w:rPr>
          <w:rFonts w:ascii="Arial" w:hAnsi="Arial" w:cs="Arial"/>
          <w:b/>
          <w:sz w:val="24"/>
          <w:szCs w:val="28"/>
        </w:rPr>
      </w:pPr>
    </w:p>
    <w:p w:rsidR="00195957" w:rsidRDefault="00195957" w:rsidP="009B779B">
      <w:pPr>
        <w:pStyle w:val="Sinespaciado1"/>
        <w:spacing w:line="360" w:lineRule="auto"/>
        <w:ind w:firstLine="2880"/>
        <w:jc w:val="both"/>
        <w:rPr>
          <w:rFonts w:ascii="Arial" w:hAnsi="Arial" w:cs="Arial"/>
          <w:b/>
          <w:sz w:val="24"/>
          <w:szCs w:val="28"/>
        </w:rPr>
      </w:pPr>
    </w:p>
    <w:p w:rsidR="009B779B" w:rsidRPr="00FB10CD" w:rsidRDefault="000202C6" w:rsidP="009B779B">
      <w:pPr>
        <w:pStyle w:val="Sinespaciado1"/>
        <w:spacing w:line="360" w:lineRule="auto"/>
        <w:ind w:firstLine="2880"/>
        <w:jc w:val="both"/>
        <w:rPr>
          <w:rFonts w:ascii="Arial" w:hAnsi="Arial" w:cs="Arial"/>
        </w:rPr>
      </w:pPr>
      <w:r w:rsidRPr="00FB10CD">
        <w:rPr>
          <w:rFonts w:ascii="Arial" w:hAnsi="Arial" w:cs="Arial"/>
          <w:b/>
        </w:rPr>
        <w:t>EDDER JIMMY SÁNCHEZ CALAMBÁS</w:t>
      </w:r>
    </w:p>
    <w:p w:rsidR="000202C6" w:rsidRDefault="000202C6" w:rsidP="009B779B">
      <w:pPr>
        <w:pStyle w:val="Sinespaciado1"/>
        <w:spacing w:line="360" w:lineRule="auto"/>
        <w:ind w:firstLine="2880"/>
        <w:jc w:val="both"/>
        <w:rPr>
          <w:rFonts w:ascii="Arial" w:hAnsi="Arial" w:cs="Arial"/>
        </w:rPr>
      </w:pPr>
      <w:r w:rsidRPr="00FB10CD">
        <w:rPr>
          <w:rFonts w:ascii="Arial" w:hAnsi="Arial" w:cs="Arial"/>
        </w:rPr>
        <w:t>Magistrado</w:t>
      </w:r>
    </w:p>
    <w:p w:rsidR="00FB10CD" w:rsidRDefault="00FB10CD" w:rsidP="009B779B">
      <w:pPr>
        <w:pStyle w:val="Sinespaciado1"/>
        <w:spacing w:line="360" w:lineRule="auto"/>
        <w:ind w:firstLine="2880"/>
        <w:jc w:val="both"/>
        <w:rPr>
          <w:rFonts w:ascii="Arial" w:hAnsi="Arial" w:cs="Arial"/>
        </w:rPr>
      </w:pPr>
    </w:p>
    <w:p w:rsidR="00FB10CD" w:rsidRPr="00FB10CD" w:rsidRDefault="00FB10CD" w:rsidP="009B779B">
      <w:pPr>
        <w:pStyle w:val="Sinespaciado1"/>
        <w:spacing w:line="360" w:lineRule="auto"/>
        <w:ind w:firstLine="2880"/>
        <w:jc w:val="both"/>
        <w:rPr>
          <w:rFonts w:ascii="Arial" w:hAnsi="Arial" w:cs="Arial"/>
        </w:rPr>
      </w:pPr>
    </w:p>
    <w:p w:rsidR="008F2BFF" w:rsidRDefault="008F2BFF" w:rsidP="000202C6">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14:anchorId="22D71908" wp14:editId="30E7FF6E">
                <wp:simplePos x="0" y="0"/>
                <wp:positionH relativeFrom="column">
                  <wp:posOffset>1031875</wp:posOffset>
                </wp:positionH>
                <wp:positionV relativeFrom="paragraph">
                  <wp:posOffset>245745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inespaciado"/>
                              <w:shd w:val="clear" w:color="auto" w:fill="FFFFFF" w:themeFill="background1"/>
                              <w:jc w:val="center"/>
                              <w:rPr>
                                <w:rFonts w:ascii="Arial" w:hAnsi="Arial" w:cs="Arial"/>
                                <w:color w:val="000000"/>
                              </w:rPr>
                            </w:pPr>
                          </w:p>
                          <w:p w:rsidR="008F2BFF" w:rsidRPr="00A36728" w:rsidRDefault="008F2BFF" w:rsidP="00EA2C10">
                            <w:pPr>
                              <w:pStyle w:val="Sinespaciado"/>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F2BFF" w:rsidRPr="00A36728" w:rsidRDefault="008F2BFF"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1908" id="Rectángulo 1" o:spid="_x0000_s1026" style="position:absolute;left:0;text-align:left;margin-left:81.25pt;margin-top:19.35pt;width:260.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" fillcolor="window" strokecolor="windowText" strokeweight="1pt">
                <v:textbo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inespaciado"/>
                        <w:shd w:val="clear" w:color="auto" w:fill="FFFFFF" w:themeFill="background1"/>
                        <w:jc w:val="center"/>
                        <w:rPr>
                          <w:rFonts w:ascii="Arial" w:hAnsi="Arial" w:cs="Arial"/>
                          <w:color w:val="000000"/>
                        </w:rPr>
                      </w:pPr>
                    </w:p>
                    <w:p w:rsidR="008F2BFF" w:rsidRPr="00A36728" w:rsidRDefault="008F2BFF" w:rsidP="00EA2C10">
                      <w:pPr>
                        <w:pStyle w:val="Sinespaciado"/>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F2BFF" w:rsidRPr="00A36728" w:rsidRDefault="008F2BFF"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v:textbox>
                <w10:wrap type="topAndBottom"/>
              </v:rect>
            </w:pict>
          </mc:Fallback>
        </mc:AlternateContent>
      </w:r>
    </w:p>
    <w:p w:rsidR="008F2BFF" w:rsidRDefault="008F2BFF" w:rsidP="000202C6">
      <w:pPr>
        <w:jc w:val="center"/>
        <w:rPr>
          <w:rFonts w:ascii="Arial" w:hAnsi="Arial" w:cs="Arial"/>
          <w:sz w:val="28"/>
          <w:szCs w:val="28"/>
        </w:rPr>
      </w:pPr>
    </w:p>
    <w:p w:rsidR="000202C6" w:rsidRDefault="000202C6" w:rsidP="000202C6">
      <w:pPr>
        <w:jc w:val="center"/>
        <w:rPr>
          <w:rFonts w:ascii="Arial" w:hAnsi="Arial" w:cs="Arial"/>
          <w:sz w:val="28"/>
          <w:szCs w:val="28"/>
        </w:rPr>
      </w:pPr>
    </w:p>
    <w:p w:rsidR="00C8475A" w:rsidRDefault="00C8475A" w:rsidP="00D06C65">
      <w:pPr>
        <w:pStyle w:val="Sinespaciado1"/>
        <w:spacing w:line="360" w:lineRule="auto"/>
        <w:ind w:firstLine="2835"/>
        <w:jc w:val="both"/>
        <w:rPr>
          <w:rFonts w:ascii="Arial" w:hAnsi="Arial" w:cs="Arial"/>
          <w:color w:val="000000"/>
          <w:sz w:val="26"/>
          <w:szCs w:val="26"/>
        </w:rPr>
      </w:pPr>
    </w:p>
    <w:p w:rsidR="00C8475A" w:rsidRDefault="00C8475A" w:rsidP="00D06C65">
      <w:pPr>
        <w:pStyle w:val="Sinespaciado1"/>
        <w:spacing w:line="360" w:lineRule="auto"/>
        <w:ind w:firstLine="2835"/>
        <w:jc w:val="both"/>
        <w:rPr>
          <w:rFonts w:ascii="Arial" w:hAnsi="Arial" w:cs="Arial"/>
          <w:color w:val="000000"/>
          <w:sz w:val="26"/>
          <w:szCs w:val="26"/>
        </w:rPr>
      </w:pPr>
    </w:p>
    <w:p w:rsidR="00C8475A" w:rsidRDefault="00C8475A" w:rsidP="00D06C65">
      <w:pPr>
        <w:pStyle w:val="Sinespaciado1"/>
        <w:spacing w:line="360" w:lineRule="auto"/>
        <w:ind w:firstLine="2835"/>
        <w:jc w:val="both"/>
        <w:rPr>
          <w:rFonts w:ascii="Arial" w:hAnsi="Arial" w:cs="Arial"/>
          <w:color w:val="000000"/>
          <w:sz w:val="26"/>
          <w:szCs w:val="26"/>
        </w:rPr>
      </w:pPr>
    </w:p>
    <w:p w:rsidR="00C8475A" w:rsidRDefault="00C8475A" w:rsidP="00D06C65">
      <w:pPr>
        <w:pStyle w:val="Sinespaciado1"/>
        <w:spacing w:line="360" w:lineRule="auto"/>
        <w:ind w:firstLine="2835"/>
        <w:jc w:val="both"/>
        <w:rPr>
          <w:rFonts w:ascii="Arial" w:hAnsi="Arial" w:cs="Arial"/>
          <w:color w:val="000000"/>
          <w:sz w:val="26"/>
          <w:szCs w:val="26"/>
        </w:rPr>
      </w:pPr>
    </w:p>
    <w:p w:rsidR="00C8475A" w:rsidRDefault="00C8475A"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21C7E" w:rsidRDefault="00921C7E" w:rsidP="00D06C65">
      <w:pPr>
        <w:pStyle w:val="Sinespaciado1"/>
        <w:spacing w:line="360" w:lineRule="auto"/>
        <w:ind w:firstLine="2835"/>
        <w:jc w:val="both"/>
        <w:rPr>
          <w:rFonts w:ascii="Arial" w:hAnsi="Arial" w:cs="Arial"/>
          <w:color w:val="000000"/>
          <w:sz w:val="26"/>
          <w:szCs w:val="26"/>
        </w:rPr>
      </w:pPr>
    </w:p>
    <w:p w:rsidR="009C4936" w:rsidRDefault="009C4936" w:rsidP="00D06C65">
      <w:pPr>
        <w:pStyle w:val="Sinespaciado1"/>
        <w:spacing w:line="360" w:lineRule="auto"/>
        <w:ind w:firstLine="2835"/>
        <w:jc w:val="both"/>
        <w:rPr>
          <w:rFonts w:ascii="Arial" w:hAnsi="Arial" w:cs="Arial"/>
          <w:color w:val="000000"/>
          <w:sz w:val="26"/>
          <w:szCs w:val="26"/>
        </w:rPr>
      </w:pPr>
    </w:p>
    <w:p w:rsidR="009C4936" w:rsidRDefault="009C4936" w:rsidP="00D06C65">
      <w:pPr>
        <w:pStyle w:val="Sinespaciado1"/>
        <w:spacing w:line="360" w:lineRule="auto"/>
        <w:ind w:firstLine="2835"/>
        <w:jc w:val="both"/>
        <w:rPr>
          <w:rFonts w:ascii="Arial" w:hAnsi="Arial" w:cs="Arial"/>
          <w:color w:val="000000"/>
          <w:sz w:val="26"/>
          <w:szCs w:val="26"/>
        </w:rPr>
      </w:pPr>
    </w:p>
    <w:p w:rsidR="009C4936" w:rsidRDefault="009C4936" w:rsidP="00D06C65">
      <w:pPr>
        <w:pStyle w:val="Sinespaciado1"/>
        <w:spacing w:line="360" w:lineRule="auto"/>
        <w:ind w:firstLine="2835"/>
        <w:jc w:val="both"/>
        <w:rPr>
          <w:rFonts w:ascii="Arial" w:hAnsi="Arial" w:cs="Arial"/>
          <w:color w:val="000000"/>
          <w:sz w:val="26"/>
          <w:szCs w:val="26"/>
        </w:rPr>
      </w:pPr>
    </w:p>
    <w:sectPr w:rsidR="009C4936" w:rsidSect="00921C7E">
      <w:footerReference w:type="default" r:id="rId8"/>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1E" w:rsidRDefault="000B1D1E" w:rsidP="000202C6">
      <w:r>
        <w:separator/>
      </w:r>
    </w:p>
  </w:endnote>
  <w:endnote w:type="continuationSeparator" w:id="0">
    <w:p w:rsidR="000B1D1E" w:rsidRDefault="000B1D1E"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58" w:rsidRPr="00B97631" w:rsidRDefault="00734D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5482E">
      <w:rPr>
        <w:rFonts w:ascii="Arial" w:hAnsi="Arial" w:cs="Arial"/>
        <w:noProof/>
        <w:sz w:val="22"/>
        <w:szCs w:val="22"/>
      </w:rPr>
      <w:t>10</w:t>
    </w:r>
    <w:r w:rsidRPr="00B97631">
      <w:rPr>
        <w:rFonts w:ascii="Arial" w:hAnsi="Arial" w:cs="Arial"/>
        <w:sz w:val="22"/>
        <w:szCs w:val="22"/>
      </w:rPr>
      <w:fldChar w:fldCharType="end"/>
    </w:r>
  </w:p>
  <w:p w:rsidR="00FA6F58" w:rsidRDefault="000B1D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1E" w:rsidRDefault="000B1D1E" w:rsidP="000202C6">
      <w:r>
        <w:separator/>
      </w:r>
    </w:p>
  </w:footnote>
  <w:footnote w:type="continuationSeparator" w:id="0">
    <w:p w:rsidR="000B1D1E" w:rsidRDefault="000B1D1E" w:rsidP="000202C6">
      <w:r>
        <w:continuationSeparator/>
      </w:r>
    </w:p>
  </w:footnote>
  <w:footnote w:id="1">
    <w:p w:rsidR="00624646" w:rsidRPr="00527675" w:rsidRDefault="00624646" w:rsidP="00624646">
      <w:pPr>
        <w:pStyle w:val="Textonotapie"/>
        <w:jc w:val="both"/>
        <w:rPr>
          <w:rFonts w:ascii="Arial" w:hAnsi="Arial" w:cs="Arial"/>
          <w:lang w:val="es-CO"/>
        </w:rPr>
      </w:pPr>
      <w:r w:rsidRPr="0058121E">
        <w:rPr>
          <w:rStyle w:val="Refdenotaalpie"/>
          <w:rFonts w:ascii="Arial" w:hAnsi="Arial" w:cs="Arial"/>
          <w:sz w:val="18"/>
        </w:rPr>
        <w:footnoteRef/>
      </w:r>
      <w:r w:rsidRPr="0058121E">
        <w:rPr>
          <w:rFonts w:ascii="Arial" w:hAnsi="Arial" w:cs="Arial"/>
          <w:sz w:val="18"/>
        </w:rPr>
        <w:t xml:space="preserve"> CORTE SUPREMA DE JUSTICIA – SALA CASACION CIVIL</w:t>
      </w:r>
      <w:r w:rsidR="0058121E">
        <w:rPr>
          <w:rFonts w:ascii="Arial" w:hAnsi="Arial" w:cs="Arial"/>
        </w:rPr>
        <w:t>, sentencia</w:t>
      </w:r>
      <w:r w:rsidRPr="00527675">
        <w:rPr>
          <w:rFonts w:ascii="Arial" w:hAnsi="Arial" w:cs="Arial"/>
        </w:rPr>
        <w:t xml:space="preserve"> STC11653-2015, del 2 de septiembre de 2015, M.P. </w:t>
      </w:r>
      <w:r w:rsidR="0058121E">
        <w:rPr>
          <w:rFonts w:ascii="Arial" w:hAnsi="Arial" w:cs="Arial"/>
        </w:rPr>
        <w:t>Ariel Salazar Ramírez</w:t>
      </w:r>
      <w:r w:rsidRPr="00527675">
        <w:rPr>
          <w:rFonts w:ascii="Arial" w:hAnsi="Arial" w:cs="Arial"/>
        </w:rPr>
        <w:t xml:space="preserve">. </w:t>
      </w:r>
    </w:p>
  </w:footnote>
  <w:footnote w:id="2">
    <w:p w:rsidR="00696339" w:rsidRPr="00893791" w:rsidRDefault="00696339" w:rsidP="00893791">
      <w:pPr>
        <w:pStyle w:val="Textonotapie"/>
        <w:jc w:val="both"/>
        <w:rPr>
          <w:rFonts w:ascii="Arial" w:hAnsi="Arial" w:cs="Arial"/>
          <w:sz w:val="19"/>
          <w:szCs w:val="19"/>
          <w:lang w:val="es-CO"/>
        </w:rPr>
      </w:pPr>
      <w:r w:rsidRPr="00921D94">
        <w:rPr>
          <w:rStyle w:val="Refdenotaalpie"/>
          <w:rFonts w:ascii="Arial" w:hAnsi="Arial" w:cs="Arial"/>
          <w:sz w:val="18"/>
          <w:szCs w:val="19"/>
        </w:rPr>
        <w:footnoteRef/>
      </w:r>
      <w:r w:rsidRPr="00921D94">
        <w:rPr>
          <w:rFonts w:ascii="Arial" w:hAnsi="Arial" w:cs="Arial"/>
          <w:sz w:val="18"/>
          <w:szCs w:val="19"/>
        </w:rPr>
        <w:t xml:space="preserve"> </w:t>
      </w:r>
      <w:r w:rsidRPr="00921D94">
        <w:rPr>
          <w:rFonts w:ascii="Arial" w:hAnsi="Arial" w:cs="Arial"/>
          <w:sz w:val="18"/>
          <w:szCs w:val="19"/>
          <w:lang w:val="es-CO"/>
        </w:rPr>
        <w:t>CORTE CONSTITUCIONAL,</w:t>
      </w:r>
      <w:r w:rsidRPr="00921D94">
        <w:rPr>
          <w:rFonts w:ascii="Arial" w:hAnsi="Arial" w:cs="Arial"/>
          <w:sz w:val="18"/>
          <w:szCs w:val="19"/>
        </w:rPr>
        <w:t xml:space="preserve"> </w:t>
      </w:r>
      <w:r w:rsidRPr="00893791">
        <w:rPr>
          <w:rFonts w:ascii="Arial" w:hAnsi="Arial" w:cs="Arial"/>
          <w:sz w:val="19"/>
          <w:szCs w:val="19"/>
        </w:rPr>
        <w:t xml:space="preserve">Sentencia C-039 del 27 abril de 2004, </w:t>
      </w:r>
      <w:r w:rsidRPr="00893791">
        <w:rPr>
          <w:rFonts w:ascii="Arial" w:hAnsi="Arial" w:cs="Arial"/>
          <w:sz w:val="19"/>
          <w:szCs w:val="19"/>
          <w:lang w:val="es-CO"/>
        </w:rPr>
        <w:t>M.P.  R</w:t>
      </w:r>
      <w:r w:rsidR="00921D94">
        <w:rPr>
          <w:rFonts w:ascii="Arial" w:hAnsi="Arial" w:cs="Arial"/>
          <w:sz w:val="19"/>
          <w:szCs w:val="19"/>
          <w:lang w:val="es-CO"/>
        </w:rPr>
        <w:t>odrigo Escobar Gil.</w:t>
      </w:r>
      <w:r w:rsidRPr="00893791">
        <w:rPr>
          <w:rFonts w:ascii="Arial" w:hAnsi="Arial" w:cs="Arial"/>
          <w:sz w:val="19"/>
          <w:szCs w:val="19"/>
          <w:lang w:val="es-CO"/>
        </w:rPr>
        <w:t xml:space="preserve"> </w:t>
      </w:r>
    </w:p>
  </w:footnote>
  <w:footnote w:id="3">
    <w:p w:rsidR="008D7718" w:rsidRPr="008D7718" w:rsidRDefault="008D7718" w:rsidP="008D7718">
      <w:pPr>
        <w:pStyle w:val="Textonotapie"/>
        <w:jc w:val="both"/>
        <w:rPr>
          <w:rFonts w:ascii="Arial" w:hAnsi="Arial" w:cs="Arial"/>
          <w:lang w:val="es-CO"/>
        </w:rPr>
      </w:pPr>
      <w:r w:rsidRPr="008D7718">
        <w:rPr>
          <w:rStyle w:val="Refdenotaalpie"/>
          <w:rFonts w:ascii="Arial" w:hAnsi="Arial" w:cs="Arial"/>
        </w:rPr>
        <w:footnoteRef/>
      </w:r>
      <w:r w:rsidRPr="008D7718">
        <w:rPr>
          <w:rFonts w:ascii="Arial" w:hAnsi="Arial" w:cs="Arial"/>
        </w:rPr>
        <w:t xml:space="preserve"> </w:t>
      </w:r>
      <w:r w:rsidRPr="008D7718">
        <w:rPr>
          <w:rFonts w:ascii="Arial" w:hAnsi="Arial" w:cs="Arial"/>
          <w:sz w:val="18"/>
          <w:lang w:val="es-CO"/>
        </w:rPr>
        <w:t>CORTE CONSTITUCIONAL,</w:t>
      </w:r>
      <w:r w:rsidRPr="008D7718">
        <w:rPr>
          <w:rFonts w:ascii="Arial" w:hAnsi="Arial" w:cs="Arial"/>
          <w:lang w:val="es-CO"/>
        </w:rPr>
        <w:t xml:space="preserve"> sentencia C-621 de 2003</w:t>
      </w:r>
      <w:r>
        <w:rPr>
          <w:rFonts w:ascii="Arial" w:hAnsi="Arial" w:cs="Arial"/>
          <w:lang w:val="es-CO"/>
        </w:rPr>
        <w:t>.</w:t>
      </w:r>
    </w:p>
  </w:footnote>
  <w:footnote w:id="4">
    <w:p w:rsidR="009910A3" w:rsidRPr="001E15C1" w:rsidRDefault="009910A3" w:rsidP="009910A3">
      <w:pPr>
        <w:pStyle w:val="Textonotapie"/>
        <w:rPr>
          <w:rFonts w:ascii="Arial" w:hAnsi="Arial" w:cs="Arial"/>
          <w:sz w:val="18"/>
          <w:szCs w:val="18"/>
          <w:lang w:val="es-CO"/>
        </w:rPr>
      </w:pPr>
      <w:r w:rsidRPr="001E15C1">
        <w:rPr>
          <w:rStyle w:val="Refdenotaalpie"/>
          <w:rFonts w:ascii="Arial" w:hAnsi="Arial" w:cs="Arial"/>
          <w:sz w:val="18"/>
          <w:szCs w:val="18"/>
        </w:rPr>
        <w:footnoteRef/>
      </w:r>
      <w:r w:rsidRPr="001E15C1">
        <w:rPr>
          <w:rFonts w:ascii="Arial" w:hAnsi="Arial" w:cs="Arial"/>
          <w:sz w:val="18"/>
          <w:szCs w:val="18"/>
        </w:rPr>
        <w:t xml:space="preserve"> QUIROGA CUBILLOS,</w:t>
      </w:r>
      <w:r w:rsidRPr="008D7718">
        <w:rPr>
          <w:rFonts w:ascii="Arial" w:hAnsi="Arial" w:cs="Arial"/>
          <w:szCs w:val="18"/>
        </w:rPr>
        <w:t xml:space="preserve"> Héctor Enrique. Procesos y Medidas Cautelares. Segunda Edición. 1991. </w:t>
      </w:r>
      <w:proofErr w:type="spellStart"/>
      <w:r w:rsidRPr="008D7718">
        <w:rPr>
          <w:rFonts w:ascii="Arial" w:hAnsi="Arial" w:cs="Arial"/>
          <w:szCs w:val="18"/>
        </w:rPr>
        <w:t>Pág</w:t>
      </w:r>
      <w:proofErr w:type="spellEnd"/>
      <w:r w:rsidRPr="008D7718">
        <w:rPr>
          <w:rFonts w:ascii="Arial" w:hAnsi="Arial" w:cs="Arial"/>
          <w:szCs w:val="18"/>
        </w:rPr>
        <w:t xml:space="preserve"> 237</w:t>
      </w:r>
      <w:r w:rsidR="008D7718">
        <w:rPr>
          <w:rFonts w:ascii="Arial" w:hAnsi="Arial" w:cs="Arial"/>
          <w:szCs w:val="18"/>
        </w:rPr>
        <w:t>.</w:t>
      </w:r>
    </w:p>
  </w:footnote>
  <w:footnote w:id="5">
    <w:p w:rsidR="00852093" w:rsidRPr="00A0603A" w:rsidRDefault="00852093" w:rsidP="00852093">
      <w:pPr>
        <w:pStyle w:val="Textonotapie"/>
        <w:rPr>
          <w:lang w:val="es-CO"/>
        </w:rPr>
      </w:pPr>
      <w:r w:rsidRPr="001E15C1">
        <w:rPr>
          <w:rStyle w:val="Refdenotaalpie"/>
          <w:rFonts w:ascii="Arial" w:hAnsi="Arial" w:cs="Arial"/>
          <w:sz w:val="18"/>
          <w:szCs w:val="18"/>
        </w:rPr>
        <w:footnoteRef/>
      </w:r>
      <w:r w:rsidRPr="001E15C1">
        <w:rPr>
          <w:rFonts w:ascii="Arial" w:hAnsi="Arial" w:cs="Arial"/>
          <w:sz w:val="18"/>
          <w:szCs w:val="18"/>
        </w:rPr>
        <w:t xml:space="preserve"> CORTE SUPREMA DE JUSTICIA - SALA DE CASACIÓN CIVIL,  STC12573-2014 Radicación n.° 11001-02-03-000-2014-02049-00, 18 de septiembre de 2014, M.P.  TOLOSA VILLABONA Luis Armando.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11342"/>
    <w:rsid w:val="000202C6"/>
    <w:rsid w:val="000326E3"/>
    <w:rsid w:val="00035B6D"/>
    <w:rsid w:val="00061E71"/>
    <w:rsid w:val="00075C71"/>
    <w:rsid w:val="000852EA"/>
    <w:rsid w:val="000978D5"/>
    <w:rsid w:val="000B1D1E"/>
    <w:rsid w:val="000C1DA5"/>
    <w:rsid w:val="000C7719"/>
    <w:rsid w:val="000D06D6"/>
    <w:rsid w:val="000D51DB"/>
    <w:rsid w:val="000F274F"/>
    <w:rsid w:val="00102C6C"/>
    <w:rsid w:val="0010750A"/>
    <w:rsid w:val="00107F3F"/>
    <w:rsid w:val="00114DC6"/>
    <w:rsid w:val="00122E76"/>
    <w:rsid w:val="00125AE9"/>
    <w:rsid w:val="001405DB"/>
    <w:rsid w:val="001422F1"/>
    <w:rsid w:val="00143F9E"/>
    <w:rsid w:val="00161E72"/>
    <w:rsid w:val="00165066"/>
    <w:rsid w:val="001711CA"/>
    <w:rsid w:val="00172BF4"/>
    <w:rsid w:val="00175378"/>
    <w:rsid w:val="00175E3F"/>
    <w:rsid w:val="00177FEB"/>
    <w:rsid w:val="00184AF5"/>
    <w:rsid w:val="001876F5"/>
    <w:rsid w:val="00190CD1"/>
    <w:rsid w:val="00192508"/>
    <w:rsid w:val="00192DD1"/>
    <w:rsid w:val="00195957"/>
    <w:rsid w:val="001A1E4D"/>
    <w:rsid w:val="001A3C23"/>
    <w:rsid w:val="001B28E6"/>
    <w:rsid w:val="001C48AE"/>
    <w:rsid w:val="001D1D7B"/>
    <w:rsid w:val="001E15C1"/>
    <w:rsid w:val="001E336F"/>
    <w:rsid w:val="001F368D"/>
    <w:rsid w:val="001F5553"/>
    <w:rsid w:val="00205FC6"/>
    <w:rsid w:val="0021383A"/>
    <w:rsid w:val="00220DD7"/>
    <w:rsid w:val="002225E2"/>
    <w:rsid w:val="0022452F"/>
    <w:rsid w:val="00244474"/>
    <w:rsid w:val="0024526E"/>
    <w:rsid w:val="0025032B"/>
    <w:rsid w:val="00251FFA"/>
    <w:rsid w:val="002576CA"/>
    <w:rsid w:val="00257FA1"/>
    <w:rsid w:val="00272627"/>
    <w:rsid w:val="002757FD"/>
    <w:rsid w:val="00276F36"/>
    <w:rsid w:val="00277683"/>
    <w:rsid w:val="00286505"/>
    <w:rsid w:val="00286A17"/>
    <w:rsid w:val="00290916"/>
    <w:rsid w:val="00293437"/>
    <w:rsid w:val="002950A5"/>
    <w:rsid w:val="0029576B"/>
    <w:rsid w:val="00295D21"/>
    <w:rsid w:val="002A6E62"/>
    <w:rsid w:val="002A7ACA"/>
    <w:rsid w:val="002A7C02"/>
    <w:rsid w:val="002C0624"/>
    <w:rsid w:val="002C4D40"/>
    <w:rsid w:val="002D23E8"/>
    <w:rsid w:val="002D446F"/>
    <w:rsid w:val="002E1D64"/>
    <w:rsid w:val="002F271E"/>
    <w:rsid w:val="002F312C"/>
    <w:rsid w:val="002F5E7A"/>
    <w:rsid w:val="00301D98"/>
    <w:rsid w:val="00303022"/>
    <w:rsid w:val="0031061D"/>
    <w:rsid w:val="003336B2"/>
    <w:rsid w:val="00333FD5"/>
    <w:rsid w:val="00334255"/>
    <w:rsid w:val="00344505"/>
    <w:rsid w:val="00355F42"/>
    <w:rsid w:val="00355FC0"/>
    <w:rsid w:val="003577B5"/>
    <w:rsid w:val="00371C9E"/>
    <w:rsid w:val="003A3EC7"/>
    <w:rsid w:val="003D0578"/>
    <w:rsid w:val="003E54CB"/>
    <w:rsid w:val="003F3386"/>
    <w:rsid w:val="00405AB5"/>
    <w:rsid w:val="00406AA9"/>
    <w:rsid w:val="00422FA6"/>
    <w:rsid w:val="004248CD"/>
    <w:rsid w:val="00427448"/>
    <w:rsid w:val="00430778"/>
    <w:rsid w:val="00433F41"/>
    <w:rsid w:val="00445B5E"/>
    <w:rsid w:val="00453CDA"/>
    <w:rsid w:val="00462E72"/>
    <w:rsid w:val="00463C89"/>
    <w:rsid w:val="00466E6E"/>
    <w:rsid w:val="00470F4E"/>
    <w:rsid w:val="00480869"/>
    <w:rsid w:val="00484DAE"/>
    <w:rsid w:val="00486E58"/>
    <w:rsid w:val="00492FB2"/>
    <w:rsid w:val="0049500C"/>
    <w:rsid w:val="00495244"/>
    <w:rsid w:val="004A55AD"/>
    <w:rsid w:val="004E235E"/>
    <w:rsid w:val="004E3F8A"/>
    <w:rsid w:val="004E6FB0"/>
    <w:rsid w:val="004F4BD5"/>
    <w:rsid w:val="004F504D"/>
    <w:rsid w:val="00500996"/>
    <w:rsid w:val="005036F4"/>
    <w:rsid w:val="005039A0"/>
    <w:rsid w:val="00510332"/>
    <w:rsid w:val="005113BB"/>
    <w:rsid w:val="00511517"/>
    <w:rsid w:val="00511E48"/>
    <w:rsid w:val="00512F21"/>
    <w:rsid w:val="005269FE"/>
    <w:rsid w:val="00527675"/>
    <w:rsid w:val="005377B8"/>
    <w:rsid w:val="00540172"/>
    <w:rsid w:val="00544826"/>
    <w:rsid w:val="005454BF"/>
    <w:rsid w:val="00550D37"/>
    <w:rsid w:val="00560926"/>
    <w:rsid w:val="005644C6"/>
    <w:rsid w:val="0056560E"/>
    <w:rsid w:val="00576A82"/>
    <w:rsid w:val="0058121E"/>
    <w:rsid w:val="00585F6E"/>
    <w:rsid w:val="0058748A"/>
    <w:rsid w:val="005A1668"/>
    <w:rsid w:val="005A1B88"/>
    <w:rsid w:val="005A6741"/>
    <w:rsid w:val="005A7520"/>
    <w:rsid w:val="005B0B1A"/>
    <w:rsid w:val="005C5AE5"/>
    <w:rsid w:val="005D1BD6"/>
    <w:rsid w:val="005D3D18"/>
    <w:rsid w:val="005F0E33"/>
    <w:rsid w:val="0060372E"/>
    <w:rsid w:val="00605D58"/>
    <w:rsid w:val="00610C61"/>
    <w:rsid w:val="00624646"/>
    <w:rsid w:val="00633038"/>
    <w:rsid w:val="00640C69"/>
    <w:rsid w:val="00644463"/>
    <w:rsid w:val="006450F7"/>
    <w:rsid w:val="00651AE2"/>
    <w:rsid w:val="006577B7"/>
    <w:rsid w:val="00661097"/>
    <w:rsid w:val="00665A06"/>
    <w:rsid w:val="00677050"/>
    <w:rsid w:val="006905F9"/>
    <w:rsid w:val="00692829"/>
    <w:rsid w:val="00693D66"/>
    <w:rsid w:val="00696339"/>
    <w:rsid w:val="006A56E0"/>
    <w:rsid w:val="006B652D"/>
    <w:rsid w:val="006C31BE"/>
    <w:rsid w:val="006C5713"/>
    <w:rsid w:val="006E0E89"/>
    <w:rsid w:val="006E1F7D"/>
    <w:rsid w:val="006E3DF4"/>
    <w:rsid w:val="006F5904"/>
    <w:rsid w:val="006F7939"/>
    <w:rsid w:val="00704845"/>
    <w:rsid w:val="0070688D"/>
    <w:rsid w:val="007326DC"/>
    <w:rsid w:val="00734D71"/>
    <w:rsid w:val="0073658D"/>
    <w:rsid w:val="00736C81"/>
    <w:rsid w:val="007411C7"/>
    <w:rsid w:val="007438B4"/>
    <w:rsid w:val="00745CC2"/>
    <w:rsid w:val="00746E99"/>
    <w:rsid w:val="00763ABE"/>
    <w:rsid w:val="007706EB"/>
    <w:rsid w:val="00771E2C"/>
    <w:rsid w:val="0078244F"/>
    <w:rsid w:val="00790AA0"/>
    <w:rsid w:val="007921E7"/>
    <w:rsid w:val="00795B24"/>
    <w:rsid w:val="007C23B3"/>
    <w:rsid w:val="007C7220"/>
    <w:rsid w:val="007D007B"/>
    <w:rsid w:val="007F41BB"/>
    <w:rsid w:val="007F7340"/>
    <w:rsid w:val="00803195"/>
    <w:rsid w:val="0080461D"/>
    <w:rsid w:val="00816B4F"/>
    <w:rsid w:val="0084238B"/>
    <w:rsid w:val="00852093"/>
    <w:rsid w:val="008546F6"/>
    <w:rsid w:val="0085571C"/>
    <w:rsid w:val="00860A4B"/>
    <w:rsid w:val="00865536"/>
    <w:rsid w:val="008751EE"/>
    <w:rsid w:val="00876382"/>
    <w:rsid w:val="0087782E"/>
    <w:rsid w:val="00881526"/>
    <w:rsid w:val="00893791"/>
    <w:rsid w:val="008956D0"/>
    <w:rsid w:val="00897E9D"/>
    <w:rsid w:val="008A2B94"/>
    <w:rsid w:val="008A6006"/>
    <w:rsid w:val="008C27F6"/>
    <w:rsid w:val="008D5B26"/>
    <w:rsid w:val="008D7718"/>
    <w:rsid w:val="008F17C4"/>
    <w:rsid w:val="008F2BFF"/>
    <w:rsid w:val="008F5FA4"/>
    <w:rsid w:val="00904685"/>
    <w:rsid w:val="00906480"/>
    <w:rsid w:val="00921C7E"/>
    <w:rsid w:val="00921D94"/>
    <w:rsid w:val="00933D8C"/>
    <w:rsid w:val="009354B0"/>
    <w:rsid w:val="00937268"/>
    <w:rsid w:val="009400B2"/>
    <w:rsid w:val="009550D5"/>
    <w:rsid w:val="009557F4"/>
    <w:rsid w:val="00962F79"/>
    <w:rsid w:val="009652C7"/>
    <w:rsid w:val="009809FD"/>
    <w:rsid w:val="009910A3"/>
    <w:rsid w:val="00992B30"/>
    <w:rsid w:val="009A213D"/>
    <w:rsid w:val="009A6CB9"/>
    <w:rsid w:val="009B779B"/>
    <w:rsid w:val="009C12FE"/>
    <w:rsid w:val="009C4936"/>
    <w:rsid w:val="009E23B4"/>
    <w:rsid w:val="009E4F46"/>
    <w:rsid w:val="009F7258"/>
    <w:rsid w:val="00A00BC7"/>
    <w:rsid w:val="00A03CA2"/>
    <w:rsid w:val="00A0603A"/>
    <w:rsid w:val="00A147AF"/>
    <w:rsid w:val="00A16949"/>
    <w:rsid w:val="00A209FA"/>
    <w:rsid w:val="00A25051"/>
    <w:rsid w:val="00A274BD"/>
    <w:rsid w:val="00A27FFD"/>
    <w:rsid w:val="00A34FA5"/>
    <w:rsid w:val="00A3759E"/>
    <w:rsid w:val="00A4406D"/>
    <w:rsid w:val="00A56CEC"/>
    <w:rsid w:val="00A62C40"/>
    <w:rsid w:val="00A7025B"/>
    <w:rsid w:val="00A77EAA"/>
    <w:rsid w:val="00A80BE2"/>
    <w:rsid w:val="00A83C6A"/>
    <w:rsid w:val="00AA7179"/>
    <w:rsid w:val="00AB3ED6"/>
    <w:rsid w:val="00AC0D7D"/>
    <w:rsid w:val="00AD3718"/>
    <w:rsid w:val="00AD613E"/>
    <w:rsid w:val="00AE2112"/>
    <w:rsid w:val="00AE36BA"/>
    <w:rsid w:val="00AF00D6"/>
    <w:rsid w:val="00AF7590"/>
    <w:rsid w:val="00B31FB5"/>
    <w:rsid w:val="00B35C78"/>
    <w:rsid w:val="00B45609"/>
    <w:rsid w:val="00B5482E"/>
    <w:rsid w:val="00B550CC"/>
    <w:rsid w:val="00B6062D"/>
    <w:rsid w:val="00B76DBC"/>
    <w:rsid w:val="00B81833"/>
    <w:rsid w:val="00B829DD"/>
    <w:rsid w:val="00B84F84"/>
    <w:rsid w:val="00BA3C1C"/>
    <w:rsid w:val="00BA4E0D"/>
    <w:rsid w:val="00BB07E1"/>
    <w:rsid w:val="00BC05F5"/>
    <w:rsid w:val="00BC2119"/>
    <w:rsid w:val="00BD57FF"/>
    <w:rsid w:val="00BF4025"/>
    <w:rsid w:val="00BF5CDC"/>
    <w:rsid w:val="00BF6B1D"/>
    <w:rsid w:val="00BF797C"/>
    <w:rsid w:val="00C34A2A"/>
    <w:rsid w:val="00C372A4"/>
    <w:rsid w:val="00C743CD"/>
    <w:rsid w:val="00C7697F"/>
    <w:rsid w:val="00C81586"/>
    <w:rsid w:val="00C82FB9"/>
    <w:rsid w:val="00C83455"/>
    <w:rsid w:val="00C8445B"/>
    <w:rsid w:val="00C8475A"/>
    <w:rsid w:val="00C9037F"/>
    <w:rsid w:val="00C96723"/>
    <w:rsid w:val="00CA4335"/>
    <w:rsid w:val="00CA4880"/>
    <w:rsid w:val="00CA7AF6"/>
    <w:rsid w:val="00CC5BB8"/>
    <w:rsid w:val="00CD4BA8"/>
    <w:rsid w:val="00CD7A59"/>
    <w:rsid w:val="00D06C65"/>
    <w:rsid w:val="00D20199"/>
    <w:rsid w:val="00D20EC8"/>
    <w:rsid w:val="00D233C2"/>
    <w:rsid w:val="00D33FD0"/>
    <w:rsid w:val="00D51A06"/>
    <w:rsid w:val="00D60ED7"/>
    <w:rsid w:val="00D71519"/>
    <w:rsid w:val="00D72342"/>
    <w:rsid w:val="00D801F1"/>
    <w:rsid w:val="00D80B0B"/>
    <w:rsid w:val="00D92F67"/>
    <w:rsid w:val="00D941BF"/>
    <w:rsid w:val="00DB2C30"/>
    <w:rsid w:val="00DC1CD7"/>
    <w:rsid w:val="00DD190B"/>
    <w:rsid w:val="00DF3675"/>
    <w:rsid w:val="00DF41A2"/>
    <w:rsid w:val="00E02872"/>
    <w:rsid w:val="00E12588"/>
    <w:rsid w:val="00E16558"/>
    <w:rsid w:val="00E2150F"/>
    <w:rsid w:val="00E303AA"/>
    <w:rsid w:val="00E4034E"/>
    <w:rsid w:val="00E510AF"/>
    <w:rsid w:val="00E53F62"/>
    <w:rsid w:val="00E65415"/>
    <w:rsid w:val="00E7148F"/>
    <w:rsid w:val="00E72DD1"/>
    <w:rsid w:val="00E73ADE"/>
    <w:rsid w:val="00E77E6F"/>
    <w:rsid w:val="00E80AD7"/>
    <w:rsid w:val="00EA0B67"/>
    <w:rsid w:val="00EA2C10"/>
    <w:rsid w:val="00EA3B66"/>
    <w:rsid w:val="00EB68C6"/>
    <w:rsid w:val="00EC186E"/>
    <w:rsid w:val="00EC1F04"/>
    <w:rsid w:val="00EC5B3F"/>
    <w:rsid w:val="00ED16A8"/>
    <w:rsid w:val="00EE021D"/>
    <w:rsid w:val="00EE20CD"/>
    <w:rsid w:val="00EE7A89"/>
    <w:rsid w:val="00EF0587"/>
    <w:rsid w:val="00EF0F06"/>
    <w:rsid w:val="00EF2350"/>
    <w:rsid w:val="00EF4D76"/>
    <w:rsid w:val="00EF6955"/>
    <w:rsid w:val="00EF7460"/>
    <w:rsid w:val="00F050A5"/>
    <w:rsid w:val="00F06A09"/>
    <w:rsid w:val="00F07159"/>
    <w:rsid w:val="00F10890"/>
    <w:rsid w:val="00F1266F"/>
    <w:rsid w:val="00F14D1C"/>
    <w:rsid w:val="00F22A8B"/>
    <w:rsid w:val="00F24FC3"/>
    <w:rsid w:val="00F306FE"/>
    <w:rsid w:val="00F544DA"/>
    <w:rsid w:val="00F85FE8"/>
    <w:rsid w:val="00F95383"/>
    <w:rsid w:val="00F970FA"/>
    <w:rsid w:val="00F974C4"/>
    <w:rsid w:val="00FA104C"/>
    <w:rsid w:val="00FA61BE"/>
    <w:rsid w:val="00FB10CD"/>
    <w:rsid w:val="00FB3019"/>
    <w:rsid w:val="00FB6089"/>
    <w:rsid w:val="00FB7122"/>
    <w:rsid w:val="00FD2D5D"/>
    <w:rsid w:val="00FD560B"/>
    <w:rsid w:val="00FD6CD3"/>
    <w:rsid w:val="00FE2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uiPriority w:val="99"/>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882E-1382-4F58-8BFD-F8CFC562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10</Pages>
  <Words>3279</Words>
  <Characters>18037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44</cp:revision>
  <cp:lastPrinted>2016-12-06T14:37:00Z</cp:lastPrinted>
  <dcterms:created xsi:type="dcterms:W3CDTF">2016-11-24T12:51:00Z</dcterms:created>
  <dcterms:modified xsi:type="dcterms:W3CDTF">2017-03-14T15:39:00Z</dcterms:modified>
</cp:coreProperties>
</file>