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DA0" w:rsidRPr="00E33DA0" w:rsidRDefault="00E33DA0" w:rsidP="00E33DA0">
      <w:pPr>
        <w:spacing w:line="360" w:lineRule="auto"/>
        <w:jc w:val="both"/>
        <w:rPr>
          <w:rFonts w:ascii="Arial Narrow" w:hAnsi="Arial Narrow" w:cs="Arial"/>
          <w:b/>
          <w:i/>
          <w:sz w:val="28"/>
          <w:szCs w:val="28"/>
          <w:u w:val="single"/>
        </w:rPr>
      </w:pPr>
      <w:r w:rsidRPr="00E33DA0">
        <w:rPr>
          <w:rFonts w:ascii="Arial Narrow" w:hAnsi="Arial Narrow" w:cs="Arial"/>
          <w:b/>
          <w:i/>
          <w:sz w:val="28"/>
          <w:szCs w:val="28"/>
          <w:u w:val="single"/>
        </w:rPr>
        <w:t>ORALIDAD</w:t>
      </w:r>
    </w:p>
    <w:p w:rsidR="00E33DA0" w:rsidRDefault="00E33DA0" w:rsidP="00E33DA0">
      <w:pPr>
        <w:pStyle w:val="Sinespaciado"/>
      </w:pPr>
    </w:p>
    <w:p w:rsidR="00E33DA0" w:rsidRPr="00E33DA0" w:rsidRDefault="00E33DA0" w:rsidP="00BD6E65">
      <w:pPr>
        <w:jc w:val="both"/>
        <w:rPr>
          <w:rFonts w:ascii="Arial Narrow" w:hAnsi="Arial Narrow" w:cs="Arial"/>
          <w:i/>
          <w:sz w:val="18"/>
          <w:szCs w:val="18"/>
        </w:rPr>
      </w:pPr>
      <w:r w:rsidRPr="00E33DA0">
        <w:rPr>
          <w:rFonts w:ascii="Arial Narrow" w:hAnsi="Arial Narrow" w:cs="Arial"/>
          <w:b/>
          <w:i/>
          <w:sz w:val="18"/>
          <w:szCs w:val="18"/>
        </w:rPr>
        <w:t>Providencia</w:t>
      </w:r>
      <w:r w:rsidRPr="00E33DA0">
        <w:rPr>
          <w:rFonts w:ascii="Arial Narrow" w:hAnsi="Arial Narrow" w:cs="Arial"/>
          <w:i/>
          <w:sz w:val="18"/>
          <w:szCs w:val="18"/>
        </w:rPr>
        <w:t>:</w:t>
      </w:r>
      <w:r w:rsidR="00BD6E65">
        <w:rPr>
          <w:rFonts w:ascii="Arial Narrow" w:hAnsi="Arial Narrow" w:cs="Arial"/>
          <w:b/>
          <w:i/>
          <w:sz w:val="18"/>
          <w:szCs w:val="18"/>
        </w:rPr>
        <w:t xml:space="preserve">                 </w:t>
      </w:r>
      <w:r w:rsidRPr="00E33DA0">
        <w:rPr>
          <w:rFonts w:ascii="Arial Narrow" w:hAnsi="Arial Narrow" w:cs="Arial"/>
          <w:i/>
          <w:sz w:val="18"/>
          <w:szCs w:val="18"/>
        </w:rPr>
        <w:t xml:space="preserve">Auto de Segunda Instancia, jueves </w:t>
      </w:r>
      <w:r>
        <w:rPr>
          <w:rFonts w:ascii="Arial Narrow" w:hAnsi="Arial Narrow" w:cs="Arial"/>
          <w:i/>
          <w:sz w:val="18"/>
          <w:szCs w:val="18"/>
        </w:rPr>
        <w:t>3 de marzo de 2016</w:t>
      </w:r>
    </w:p>
    <w:p w:rsidR="00E33DA0" w:rsidRPr="00E33DA0" w:rsidRDefault="00E33DA0" w:rsidP="00BD6E65">
      <w:pPr>
        <w:jc w:val="both"/>
        <w:rPr>
          <w:rFonts w:ascii="Arial Narrow" w:hAnsi="Arial Narrow" w:cs="Arial"/>
          <w:bCs/>
          <w:i/>
          <w:iCs/>
          <w:sz w:val="18"/>
          <w:szCs w:val="18"/>
        </w:rPr>
      </w:pPr>
      <w:r w:rsidRPr="00E33DA0">
        <w:rPr>
          <w:rFonts w:ascii="Arial Narrow" w:hAnsi="Arial Narrow" w:cs="Arial"/>
          <w:b/>
          <w:bCs/>
          <w:i/>
          <w:sz w:val="18"/>
          <w:szCs w:val="18"/>
        </w:rPr>
        <w:t>Radicación No</w:t>
      </w:r>
      <w:r w:rsidRPr="00E33DA0">
        <w:rPr>
          <w:rFonts w:ascii="Arial Narrow" w:hAnsi="Arial Narrow" w:cs="Arial"/>
          <w:bCs/>
          <w:i/>
          <w:sz w:val="18"/>
          <w:szCs w:val="18"/>
        </w:rPr>
        <w:t>:</w:t>
      </w:r>
      <w:r w:rsidR="00BD6E65">
        <w:rPr>
          <w:rFonts w:ascii="Arial Narrow" w:hAnsi="Arial Narrow" w:cs="Arial"/>
          <w:b/>
          <w:bCs/>
          <w:i/>
          <w:sz w:val="18"/>
          <w:szCs w:val="18"/>
        </w:rPr>
        <w:t xml:space="preserve"> </w:t>
      </w:r>
      <w:r w:rsidR="00BD6E65">
        <w:rPr>
          <w:rFonts w:ascii="Arial Narrow" w:hAnsi="Arial Narrow" w:cs="Arial"/>
          <w:b/>
          <w:bCs/>
          <w:i/>
          <w:sz w:val="18"/>
          <w:szCs w:val="18"/>
        </w:rPr>
        <w:tab/>
        <w:t xml:space="preserve">   </w:t>
      </w:r>
      <w:r w:rsidRPr="00E33DA0">
        <w:rPr>
          <w:rFonts w:ascii="Arial Narrow" w:hAnsi="Arial Narrow" w:cs="Arial"/>
          <w:bCs/>
          <w:i/>
          <w:sz w:val="18"/>
          <w:szCs w:val="18"/>
        </w:rPr>
        <w:t>66001-31-05-00</w:t>
      </w:r>
      <w:r>
        <w:rPr>
          <w:rFonts w:ascii="Arial Narrow" w:hAnsi="Arial Narrow" w:cs="Arial"/>
          <w:bCs/>
          <w:i/>
          <w:sz w:val="18"/>
          <w:szCs w:val="18"/>
        </w:rPr>
        <w:t>3-2015-00128-01</w:t>
      </w:r>
    </w:p>
    <w:p w:rsidR="00E33DA0" w:rsidRPr="00E33DA0" w:rsidRDefault="00E33DA0" w:rsidP="00BD6E65">
      <w:pPr>
        <w:jc w:val="both"/>
        <w:rPr>
          <w:rFonts w:ascii="Arial Narrow" w:hAnsi="Arial Narrow" w:cs="Arial"/>
          <w:i/>
          <w:iCs/>
          <w:sz w:val="18"/>
          <w:szCs w:val="18"/>
        </w:rPr>
      </w:pPr>
      <w:r w:rsidRPr="00E33DA0">
        <w:rPr>
          <w:rFonts w:ascii="Arial Narrow" w:hAnsi="Arial Narrow" w:cs="Arial"/>
          <w:b/>
          <w:bCs/>
          <w:i/>
          <w:iCs/>
          <w:sz w:val="18"/>
          <w:szCs w:val="18"/>
        </w:rPr>
        <w:t>Proceso</w:t>
      </w:r>
      <w:r w:rsidRPr="00E33DA0">
        <w:rPr>
          <w:rFonts w:ascii="Arial Narrow" w:hAnsi="Arial Narrow" w:cs="Arial"/>
          <w:bCs/>
          <w:i/>
          <w:iCs/>
          <w:sz w:val="18"/>
          <w:szCs w:val="18"/>
        </w:rPr>
        <w:t>:</w:t>
      </w:r>
      <w:r w:rsidRPr="00E33DA0">
        <w:rPr>
          <w:rFonts w:ascii="Arial Narrow" w:hAnsi="Arial Narrow" w:cs="Arial"/>
          <w:i/>
          <w:iCs/>
          <w:sz w:val="18"/>
          <w:szCs w:val="18"/>
        </w:rPr>
        <w:t xml:space="preserve"> </w:t>
      </w:r>
      <w:r w:rsidRPr="00E33DA0">
        <w:rPr>
          <w:rFonts w:ascii="Arial Narrow" w:hAnsi="Arial Narrow" w:cs="Arial"/>
          <w:b/>
          <w:i/>
          <w:iCs/>
          <w:sz w:val="18"/>
          <w:szCs w:val="18"/>
        </w:rPr>
        <w:tab/>
      </w:r>
      <w:r w:rsidR="00BD6E65">
        <w:rPr>
          <w:rFonts w:ascii="Arial Narrow" w:hAnsi="Arial Narrow" w:cs="Arial"/>
          <w:i/>
          <w:iCs/>
          <w:sz w:val="18"/>
          <w:szCs w:val="18"/>
        </w:rPr>
        <w:tab/>
        <w:t xml:space="preserve">  </w:t>
      </w:r>
      <w:r w:rsidRPr="00E33DA0">
        <w:rPr>
          <w:rFonts w:ascii="Arial Narrow" w:hAnsi="Arial Narrow" w:cs="Arial"/>
          <w:i/>
          <w:iCs/>
          <w:sz w:val="18"/>
          <w:szCs w:val="18"/>
        </w:rPr>
        <w:t>Ordinario Laboral.</w:t>
      </w:r>
    </w:p>
    <w:p w:rsidR="00E33DA0" w:rsidRPr="00E33DA0" w:rsidRDefault="00E33DA0" w:rsidP="00BD6E65">
      <w:pPr>
        <w:ind w:right="849"/>
        <w:rPr>
          <w:rFonts w:ascii="Arial Narrow" w:hAnsi="Arial Narrow" w:cs="Arial"/>
          <w:bCs/>
          <w:i/>
          <w:sz w:val="18"/>
          <w:szCs w:val="18"/>
        </w:rPr>
      </w:pPr>
      <w:r w:rsidRPr="00E33DA0">
        <w:rPr>
          <w:rFonts w:ascii="Arial Narrow" w:hAnsi="Arial Narrow" w:cs="Arial"/>
          <w:b/>
          <w:i/>
          <w:iCs/>
          <w:sz w:val="18"/>
          <w:szCs w:val="18"/>
        </w:rPr>
        <w:t>Demandante</w:t>
      </w:r>
      <w:r w:rsidR="00BD6E65">
        <w:rPr>
          <w:rFonts w:ascii="Arial Narrow" w:hAnsi="Arial Narrow" w:cs="Arial"/>
          <w:i/>
          <w:iCs/>
          <w:sz w:val="18"/>
          <w:szCs w:val="18"/>
        </w:rPr>
        <w:t xml:space="preserve">:              </w:t>
      </w:r>
      <w:r>
        <w:rPr>
          <w:rFonts w:ascii="Arial Narrow" w:hAnsi="Arial Narrow" w:cs="Arial"/>
          <w:bCs/>
          <w:i/>
          <w:sz w:val="18"/>
          <w:szCs w:val="18"/>
        </w:rPr>
        <w:t xml:space="preserve">Efraín Hernández Cano </w:t>
      </w:r>
    </w:p>
    <w:p w:rsidR="00E33DA0" w:rsidRPr="00E33DA0" w:rsidRDefault="00E33DA0" w:rsidP="00BD6E65">
      <w:pPr>
        <w:ind w:right="849"/>
        <w:rPr>
          <w:rFonts w:ascii="Arial Narrow" w:hAnsi="Arial Narrow" w:cs="Arial"/>
          <w:bCs/>
          <w:i/>
          <w:sz w:val="18"/>
          <w:szCs w:val="18"/>
        </w:rPr>
      </w:pPr>
      <w:r w:rsidRPr="00E33DA0">
        <w:rPr>
          <w:rFonts w:ascii="Arial Narrow" w:hAnsi="Arial Narrow" w:cs="Arial"/>
          <w:b/>
          <w:bCs/>
          <w:i/>
          <w:sz w:val="18"/>
          <w:szCs w:val="18"/>
        </w:rPr>
        <w:t>Demandado:</w:t>
      </w:r>
      <w:r w:rsidR="00BD6E65">
        <w:rPr>
          <w:rFonts w:ascii="Arial Narrow" w:hAnsi="Arial Narrow" w:cs="Arial"/>
          <w:bCs/>
          <w:sz w:val="18"/>
          <w:szCs w:val="18"/>
        </w:rPr>
        <w:t xml:space="preserve">               </w:t>
      </w:r>
      <w:r>
        <w:rPr>
          <w:rFonts w:ascii="Arial Narrow" w:hAnsi="Arial Narrow" w:cs="Arial"/>
          <w:bCs/>
          <w:sz w:val="18"/>
          <w:szCs w:val="18"/>
        </w:rPr>
        <w:t>Colpensiones</w:t>
      </w:r>
      <w:r w:rsidRPr="00E33DA0">
        <w:rPr>
          <w:rFonts w:ascii="Arial Narrow" w:hAnsi="Arial Narrow" w:cs="Arial"/>
          <w:bCs/>
          <w:i/>
          <w:sz w:val="18"/>
          <w:szCs w:val="18"/>
        </w:rPr>
        <w:t xml:space="preserve"> </w:t>
      </w:r>
    </w:p>
    <w:p w:rsidR="00E33DA0" w:rsidRDefault="00E33DA0" w:rsidP="00BD6E65">
      <w:pPr>
        <w:jc w:val="both"/>
        <w:rPr>
          <w:rFonts w:ascii="Arial Narrow" w:hAnsi="Arial Narrow" w:cs="Arial"/>
          <w:i/>
          <w:sz w:val="18"/>
          <w:szCs w:val="18"/>
        </w:rPr>
      </w:pPr>
      <w:r w:rsidRPr="00E33DA0">
        <w:rPr>
          <w:rFonts w:ascii="Arial Narrow" w:hAnsi="Arial Narrow" w:cs="Arial"/>
          <w:b/>
          <w:i/>
          <w:sz w:val="18"/>
          <w:szCs w:val="18"/>
        </w:rPr>
        <w:t>Juzgado de origen</w:t>
      </w:r>
      <w:r w:rsidR="00BD6E65">
        <w:rPr>
          <w:rFonts w:ascii="Arial Narrow" w:hAnsi="Arial Narrow" w:cs="Arial"/>
          <w:i/>
          <w:sz w:val="18"/>
          <w:szCs w:val="18"/>
        </w:rPr>
        <w:t>:</w:t>
      </w:r>
      <w:r w:rsidR="00BD6E65">
        <w:rPr>
          <w:rFonts w:ascii="Arial Narrow" w:hAnsi="Arial Narrow" w:cs="Arial"/>
          <w:i/>
          <w:sz w:val="18"/>
          <w:szCs w:val="18"/>
        </w:rPr>
        <w:tab/>
        <w:t xml:space="preserve">  </w:t>
      </w:r>
      <w:r>
        <w:rPr>
          <w:rFonts w:ascii="Arial Narrow" w:hAnsi="Arial Narrow" w:cs="Arial"/>
          <w:i/>
          <w:sz w:val="18"/>
          <w:szCs w:val="18"/>
        </w:rPr>
        <w:t xml:space="preserve">Tercero </w:t>
      </w:r>
      <w:r w:rsidRPr="00E33DA0">
        <w:rPr>
          <w:rFonts w:ascii="Arial Narrow" w:hAnsi="Arial Narrow" w:cs="Arial"/>
          <w:i/>
          <w:sz w:val="18"/>
          <w:szCs w:val="18"/>
        </w:rPr>
        <w:t>Laboral del Circuito</w:t>
      </w:r>
      <w:r>
        <w:rPr>
          <w:rFonts w:ascii="Arial Narrow" w:hAnsi="Arial Narrow" w:cs="Arial"/>
          <w:i/>
          <w:sz w:val="18"/>
          <w:szCs w:val="18"/>
        </w:rPr>
        <w:t xml:space="preserve"> de Pereira </w:t>
      </w:r>
    </w:p>
    <w:p w:rsidR="00E33DA0" w:rsidRDefault="00BD6E65" w:rsidP="00BD6E65">
      <w:pPr>
        <w:jc w:val="both"/>
        <w:rPr>
          <w:rFonts w:ascii="Arial Narrow" w:hAnsi="Arial Narrow" w:cs="Arial"/>
          <w:bCs/>
          <w:i/>
          <w:sz w:val="18"/>
          <w:szCs w:val="18"/>
        </w:rPr>
      </w:pPr>
      <w:r>
        <w:rPr>
          <w:rFonts w:ascii="Arial Narrow" w:hAnsi="Arial Narrow" w:cs="Arial"/>
          <w:b/>
          <w:i/>
          <w:iCs/>
          <w:sz w:val="18"/>
          <w:szCs w:val="18"/>
        </w:rPr>
        <w:t>Magistrado Ponente:</w:t>
      </w:r>
      <w:r w:rsidR="00E33DA0" w:rsidRPr="00E33DA0">
        <w:rPr>
          <w:rFonts w:ascii="Arial Narrow" w:hAnsi="Arial Narrow" w:cs="Arial"/>
          <w:b/>
          <w:bCs/>
          <w:i/>
          <w:sz w:val="18"/>
          <w:szCs w:val="18"/>
        </w:rPr>
        <w:t xml:space="preserve"> </w:t>
      </w:r>
      <w:r w:rsidR="00E33DA0" w:rsidRPr="00E33DA0">
        <w:rPr>
          <w:rFonts w:ascii="Arial Narrow" w:hAnsi="Arial Narrow" w:cs="Arial"/>
          <w:bCs/>
          <w:i/>
          <w:sz w:val="18"/>
          <w:szCs w:val="18"/>
        </w:rPr>
        <w:t>Francisco Javier Tamayo Tabares</w:t>
      </w:r>
    </w:p>
    <w:p w:rsidR="00BD6E65" w:rsidRDefault="00BD6E65" w:rsidP="00BD6E65">
      <w:pPr>
        <w:pStyle w:val="Sinespaciado"/>
        <w:jc w:val="both"/>
        <w:rPr>
          <w:rFonts w:ascii="Arial Narrow" w:hAnsi="Arial Narrow" w:cs="Arial"/>
          <w:b/>
          <w:bCs/>
          <w:i/>
          <w:sz w:val="18"/>
          <w:szCs w:val="18"/>
        </w:rPr>
      </w:pPr>
      <w:r>
        <w:rPr>
          <w:rFonts w:ascii="Arial Narrow" w:hAnsi="Arial Narrow" w:cs="Arial"/>
          <w:b/>
          <w:bCs/>
          <w:i/>
          <w:sz w:val="18"/>
          <w:szCs w:val="18"/>
        </w:rPr>
        <w:t>Tema a tratar:</w:t>
      </w:r>
    </w:p>
    <w:p w:rsidR="009452FC" w:rsidRPr="00BD6E65" w:rsidRDefault="009452FC" w:rsidP="00BD6E65">
      <w:pPr>
        <w:pStyle w:val="Sinespaciado"/>
        <w:ind w:left="1418"/>
        <w:jc w:val="both"/>
        <w:rPr>
          <w:rFonts w:ascii="Arial Narrow" w:hAnsi="Arial Narrow" w:cs="Arial"/>
          <w:bCs/>
          <w:spacing w:val="-8"/>
          <w:sz w:val="18"/>
          <w:szCs w:val="18"/>
        </w:rPr>
      </w:pPr>
      <w:r w:rsidRPr="00BD6E65">
        <w:rPr>
          <w:rFonts w:ascii="Arial Narrow" w:hAnsi="Arial Narrow" w:cs="Arial"/>
          <w:bCs/>
          <w:spacing w:val="-8"/>
          <w:sz w:val="18"/>
          <w:szCs w:val="18"/>
        </w:rPr>
        <w:t>INDICIO GRAVE COMO SANCIÓN POR INASISTENCIA A AUDIENCIA/ Efectos/ Diferencia con la presunción de certeza de los hechos de la demanda susceptibles de confesión</w:t>
      </w:r>
    </w:p>
    <w:p w:rsidR="009452FC" w:rsidRPr="00BD6E65" w:rsidRDefault="00BD6E65" w:rsidP="00BD6E65">
      <w:pPr>
        <w:pStyle w:val="Sinespaciado"/>
        <w:ind w:left="1418"/>
        <w:jc w:val="both"/>
        <w:rPr>
          <w:rFonts w:ascii="Arial Narrow" w:hAnsi="Arial Narrow" w:cs="Arial"/>
          <w:bCs/>
          <w:spacing w:val="-8"/>
          <w:sz w:val="18"/>
          <w:szCs w:val="18"/>
        </w:rPr>
      </w:pPr>
      <w:r w:rsidRPr="00BD6E65">
        <w:rPr>
          <w:rFonts w:ascii="Arial Narrow" w:hAnsi="Arial Narrow" w:cs="Arial"/>
          <w:bCs/>
          <w:spacing w:val="-8"/>
          <w:sz w:val="18"/>
          <w:szCs w:val="18"/>
        </w:rPr>
        <w:t xml:space="preserve"> </w:t>
      </w:r>
    </w:p>
    <w:p w:rsidR="009452FC" w:rsidRPr="00BD6E65" w:rsidRDefault="009452FC" w:rsidP="00BD6E65">
      <w:pPr>
        <w:pStyle w:val="Sinespaciado"/>
        <w:ind w:left="1418"/>
        <w:jc w:val="both"/>
        <w:rPr>
          <w:rFonts w:ascii="Arial Narrow" w:hAnsi="Arial Narrow" w:cs="Arial"/>
          <w:bCs/>
          <w:spacing w:val="-8"/>
          <w:sz w:val="18"/>
          <w:szCs w:val="18"/>
        </w:rPr>
      </w:pPr>
      <w:r w:rsidRPr="00BD6E65">
        <w:rPr>
          <w:rFonts w:ascii="Arial Narrow" w:hAnsi="Arial Narrow" w:cs="Arial"/>
          <w:bCs/>
          <w:spacing w:val="-8"/>
          <w:sz w:val="18"/>
          <w:szCs w:val="18"/>
        </w:rPr>
        <w:t xml:space="preserve">“(…) la jueza de instancia, correctamente, no declaró como sanción procesal por la no comparecencia del representante legal de la entidad demandada, la presunción de veracidad de los hechos que admitan prueba de confesión, pues no eran susceptibles de ese medio, sino que procedió a tenerlos como indicio grave en contra de la entidad demandada, por lo que se descarta el reproche del recurrente dirigido a cuestionar la imposición de la presunción de veracidad de los hechos susceptibles de confesión. </w:t>
      </w:r>
    </w:p>
    <w:p w:rsidR="009452FC" w:rsidRPr="00BD6E65" w:rsidRDefault="009452FC" w:rsidP="00BD6E65">
      <w:pPr>
        <w:pStyle w:val="Sinespaciado"/>
        <w:ind w:left="1418"/>
        <w:jc w:val="both"/>
        <w:rPr>
          <w:rFonts w:ascii="Arial Narrow" w:hAnsi="Arial Narrow" w:cs="Arial"/>
          <w:bCs/>
          <w:spacing w:val="-8"/>
          <w:sz w:val="18"/>
          <w:szCs w:val="18"/>
        </w:rPr>
      </w:pPr>
    </w:p>
    <w:p w:rsidR="00150C55" w:rsidRPr="00BD6E65" w:rsidRDefault="009452FC" w:rsidP="00BD6E65">
      <w:pPr>
        <w:pStyle w:val="Sinespaciado"/>
        <w:ind w:left="1418"/>
        <w:jc w:val="both"/>
        <w:rPr>
          <w:rFonts w:ascii="Arial Narrow" w:hAnsi="Arial Narrow" w:cs="Arial"/>
          <w:bCs/>
          <w:spacing w:val="-8"/>
          <w:sz w:val="18"/>
          <w:szCs w:val="18"/>
        </w:rPr>
      </w:pPr>
      <w:r w:rsidRPr="00BD6E65">
        <w:rPr>
          <w:rFonts w:ascii="Arial Narrow" w:hAnsi="Arial Narrow" w:cs="Arial"/>
          <w:bCs/>
          <w:spacing w:val="-8"/>
          <w:sz w:val="18"/>
          <w:szCs w:val="18"/>
        </w:rPr>
        <w:t>Ahora bien, en cuanto a la inconformidad relacionada con la aplicación de la sanción procesal sobre hechos que no vinculan de manera directa a la entidad accionada, habrá que precisar que en tratándose del indicio, como medio de prueba indirecta, la sanción procesal por la no comparecencia a la audiencia necesariamente debe recaer sobre las afirmaciones de hecho que pretende demostrar la parte actora, sin consideración a la vinculación directa o no de su contraparte, pues el indicio grave no posee los efectos de la confesión, en la medida en que no versa sobre aquellos hechos que conlleven a consecuencias jurídicas desfavorables para la parte incumplida, sino que parte de un hecho conocido para establecer la existencia de otro desconocido, a través de un razonamiento lógico y de las máximas de la experiencia, sin que ese hecho tenga que ser necesariamente un acto qu</w:t>
      </w:r>
      <w:r w:rsidRPr="00BD6E65">
        <w:rPr>
          <w:rFonts w:ascii="Arial Narrow" w:hAnsi="Arial Narrow" w:cs="Arial"/>
          <w:bCs/>
          <w:spacing w:val="-8"/>
          <w:sz w:val="18"/>
          <w:szCs w:val="18"/>
        </w:rPr>
        <w:t>e emane del sujeto a sancionar.”</w:t>
      </w:r>
    </w:p>
    <w:p w:rsidR="001A10D0" w:rsidRPr="000A2232" w:rsidRDefault="001A10D0" w:rsidP="00BD6E65">
      <w:pPr>
        <w:pStyle w:val="Sinespaciado"/>
        <w:spacing w:line="360" w:lineRule="auto"/>
        <w:jc w:val="both"/>
      </w:pPr>
      <w:bookmarkStart w:id="0" w:name="_GoBack"/>
      <w:bookmarkEnd w:id="0"/>
    </w:p>
    <w:p w:rsidR="001A10D0" w:rsidRPr="009B65E2" w:rsidRDefault="001A10D0" w:rsidP="001A10D0">
      <w:pPr>
        <w:ind w:firstLine="840"/>
        <w:rPr>
          <w:rFonts w:ascii="Arial Narrow" w:hAnsi="Arial Narrow" w:cs="Arial"/>
          <w:b/>
          <w:i/>
          <w:iCs/>
          <w:sz w:val="28"/>
          <w:szCs w:val="28"/>
        </w:rPr>
      </w:pPr>
      <w:r w:rsidRPr="009B65E2">
        <w:rPr>
          <w:rFonts w:ascii="Arial Narrow" w:hAnsi="Arial Narrow" w:cs="Arial"/>
          <w:b/>
          <w:bCs/>
          <w:i/>
          <w:sz w:val="28"/>
          <w:szCs w:val="28"/>
          <w:u w:val="single"/>
        </w:rPr>
        <w:t xml:space="preserve">I. OBJETO DE DECISIÓN: </w:t>
      </w:r>
    </w:p>
    <w:p w:rsidR="00E33DA0" w:rsidRPr="009B65E2" w:rsidRDefault="00E33DA0" w:rsidP="009B65E2">
      <w:pPr>
        <w:pStyle w:val="Sinespaciado"/>
        <w:spacing w:line="360" w:lineRule="auto"/>
      </w:pPr>
    </w:p>
    <w:p w:rsidR="00E33DA0" w:rsidRPr="009B65E2" w:rsidRDefault="00E33DA0" w:rsidP="001A10D0">
      <w:pPr>
        <w:pStyle w:val="Standard"/>
        <w:tabs>
          <w:tab w:val="left" w:pos="1560"/>
        </w:tabs>
        <w:spacing w:line="276" w:lineRule="auto"/>
        <w:ind w:firstLine="708"/>
        <w:jc w:val="both"/>
        <w:rPr>
          <w:rFonts w:ascii="Arial Narrow" w:hAnsi="Arial Narrow" w:cs="Arial"/>
          <w:bCs/>
          <w:sz w:val="28"/>
          <w:szCs w:val="28"/>
        </w:rPr>
      </w:pPr>
      <w:r w:rsidRPr="009B65E2">
        <w:rPr>
          <w:rFonts w:ascii="Arial Narrow" w:hAnsi="Arial Narrow" w:cs="Arial"/>
          <w:sz w:val="28"/>
          <w:szCs w:val="28"/>
        </w:rPr>
        <w:t xml:space="preserve">En Pereira, hoy tres (03) de marzo de dos mil dieciséis, siendo las nueve y treinta minutos de la mañana (9:30 a.m.), la magistrada y los magistrados de la </w:t>
      </w:r>
      <w:r w:rsidRPr="009B65E2">
        <w:rPr>
          <w:rFonts w:ascii="Arial Narrow" w:hAnsi="Arial Narrow" w:cs="Comic Sans MS"/>
          <w:sz w:val="28"/>
          <w:szCs w:val="28"/>
        </w:rPr>
        <w:t>Sala Laboral del Tribunal Superior del Distrito Judicial de Pereira, se constituyen en audiencia pública con el propósito de desatar el recurso de apelación interpuesto por</w:t>
      </w:r>
      <w:r w:rsidRPr="009B65E2">
        <w:rPr>
          <w:rFonts w:ascii="Arial Narrow" w:hAnsi="Arial Narrow" w:cs="Arial"/>
          <w:sz w:val="28"/>
          <w:szCs w:val="28"/>
        </w:rPr>
        <w:t xml:space="preserve"> el apoderado judicial de la parte demandada, contra el auto proferido el 12 de agosto de 2015, por el Juzgado Tercero Laboral del Circuito de Pereira, Risaralda, dentro del proceso ordinario laboral promovido por </w:t>
      </w:r>
      <w:r w:rsidRPr="009B65E2">
        <w:rPr>
          <w:rFonts w:ascii="Arial Narrow" w:hAnsi="Arial Narrow" w:cs="Arial"/>
          <w:b/>
          <w:sz w:val="28"/>
          <w:szCs w:val="28"/>
        </w:rPr>
        <w:t xml:space="preserve">Efraín Hernández Cano </w:t>
      </w:r>
      <w:r w:rsidRPr="009B65E2">
        <w:rPr>
          <w:rFonts w:ascii="Arial Narrow" w:hAnsi="Arial Narrow" w:cs="Arial"/>
          <w:sz w:val="28"/>
          <w:szCs w:val="28"/>
        </w:rPr>
        <w:t>e</w:t>
      </w:r>
      <w:r w:rsidRPr="009B65E2">
        <w:rPr>
          <w:rFonts w:ascii="Arial Narrow" w:hAnsi="Arial Narrow" w:cs="Arial"/>
          <w:bCs/>
          <w:sz w:val="28"/>
          <w:szCs w:val="28"/>
        </w:rPr>
        <w:t xml:space="preserve">n contra de la </w:t>
      </w:r>
      <w:r w:rsidRPr="009B65E2">
        <w:rPr>
          <w:rFonts w:ascii="Arial Narrow" w:hAnsi="Arial Narrow" w:cs="Arial"/>
          <w:b/>
          <w:bCs/>
          <w:sz w:val="28"/>
          <w:szCs w:val="28"/>
        </w:rPr>
        <w:t>Administradora Colombiana de Pensiones Colpensiones</w:t>
      </w:r>
      <w:r w:rsidRPr="009B65E2">
        <w:rPr>
          <w:rFonts w:ascii="Arial Narrow" w:hAnsi="Arial Narrow" w:cs="Arial"/>
          <w:bCs/>
          <w:sz w:val="28"/>
          <w:szCs w:val="28"/>
        </w:rPr>
        <w:t>.</w:t>
      </w:r>
    </w:p>
    <w:p w:rsidR="001A10D0" w:rsidRPr="009B65E2" w:rsidRDefault="001A10D0" w:rsidP="000A2232">
      <w:pPr>
        <w:pStyle w:val="Sinespaciado"/>
        <w:spacing w:line="360" w:lineRule="auto"/>
        <w:rPr>
          <w:sz w:val="28"/>
          <w:szCs w:val="28"/>
        </w:rPr>
      </w:pPr>
    </w:p>
    <w:p w:rsidR="001A10D0" w:rsidRPr="009B65E2" w:rsidRDefault="001A10D0" w:rsidP="001A10D0">
      <w:pPr>
        <w:shd w:val="clear" w:color="auto" w:fill="FFFFFF"/>
        <w:spacing w:line="360" w:lineRule="auto"/>
        <w:ind w:firstLine="851"/>
        <w:jc w:val="both"/>
        <w:rPr>
          <w:rFonts w:ascii="Arial Narrow" w:hAnsi="Arial Narrow" w:cs="Tahoma"/>
          <w:b/>
          <w:bCs/>
          <w:i/>
          <w:color w:val="000000"/>
          <w:sz w:val="28"/>
          <w:szCs w:val="28"/>
        </w:rPr>
      </w:pPr>
      <w:r w:rsidRPr="009B65E2">
        <w:rPr>
          <w:rFonts w:ascii="Arial Narrow" w:hAnsi="Arial Narrow" w:cs="Tahoma"/>
          <w:b/>
          <w:bCs/>
          <w:i/>
          <w:color w:val="000000"/>
          <w:sz w:val="28"/>
          <w:szCs w:val="28"/>
        </w:rPr>
        <w:t>IDENTIFICACIÓN DE LOS PRESENTES:</w:t>
      </w:r>
    </w:p>
    <w:p w:rsidR="00E33DA0" w:rsidRPr="009B65E2" w:rsidRDefault="00E33DA0" w:rsidP="009B65E2">
      <w:pPr>
        <w:pStyle w:val="Sinespaciado"/>
      </w:pPr>
    </w:p>
    <w:p w:rsidR="001A10D0" w:rsidRPr="009B65E2" w:rsidRDefault="00E33DA0" w:rsidP="001A10D0">
      <w:pPr>
        <w:numPr>
          <w:ilvl w:val="0"/>
          <w:numId w:val="2"/>
        </w:numPr>
        <w:spacing w:line="360" w:lineRule="auto"/>
        <w:ind w:left="1276" w:hanging="283"/>
        <w:jc w:val="both"/>
        <w:rPr>
          <w:rFonts w:ascii="Arial Narrow" w:hAnsi="Arial Narrow" w:cs="Arial"/>
          <w:b/>
          <w:i/>
          <w:sz w:val="28"/>
          <w:szCs w:val="28"/>
          <w:u w:val="single"/>
        </w:rPr>
      </w:pPr>
      <w:r w:rsidRPr="009B65E2">
        <w:rPr>
          <w:rFonts w:ascii="Arial Narrow" w:hAnsi="Arial Narrow" w:cs="Arial"/>
          <w:b/>
          <w:i/>
          <w:sz w:val="28"/>
          <w:szCs w:val="28"/>
          <w:u w:val="single"/>
        </w:rPr>
        <w:t>ANTECEDENTES</w:t>
      </w:r>
    </w:p>
    <w:p w:rsidR="001A10D0" w:rsidRPr="009B65E2" w:rsidRDefault="001A10D0" w:rsidP="009B65E2">
      <w:pPr>
        <w:pStyle w:val="Sinespaciado"/>
      </w:pPr>
    </w:p>
    <w:p w:rsidR="001A10D0" w:rsidRPr="009B65E2" w:rsidRDefault="001A10D0" w:rsidP="00D755CD">
      <w:pPr>
        <w:spacing w:line="276" w:lineRule="auto"/>
        <w:ind w:firstLine="708"/>
        <w:jc w:val="both"/>
        <w:rPr>
          <w:rFonts w:ascii="Arial Narrow" w:hAnsi="Arial Narrow" w:cs="Arial"/>
          <w:sz w:val="28"/>
          <w:szCs w:val="28"/>
        </w:rPr>
      </w:pPr>
      <w:r w:rsidRPr="009B65E2">
        <w:rPr>
          <w:rFonts w:ascii="Arial Narrow" w:hAnsi="Arial Narrow" w:cs="Arial"/>
          <w:sz w:val="28"/>
          <w:szCs w:val="28"/>
        </w:rPr>
        <w:t xml:space="preserve">Se anticipan los pormenores de este litigio </w:t>
      </w:r>
      <w:r w:rsidR="00FD403A" w:rsidRPr="009B65E2">
        <w:rPr>
          <w:rFonts w:ascii="Arial Narrow" w:hAnsi="Arial Narrow" w:cs="Arial"/>
          <w:sz w:val="28"/>
          <w:szCs w:val="28"/>
        </w:rPr>
        <w:t xml:space="preserve">así: el demandante pretende el </w:t>
      </w:r>
      <w:r w:rsidRPr="009B65E2">
        <w:rPr>
          <w:rFonts w:ascii="Arial Narrow" w:hAnsi="Arial Narrow" w:cs="Arial"/>
          <w:sz w:val="28"/>
          <w:szCs w:val="28"/>
        </w:rPr>
        <w:t xml:space="preserve">reconocimiento y pago de la pensión de jubilación contemplada en la Ley 33 de 1985, a partir del 10 de octubre de 2011, </w:t>
      </w:r>
      <w:r w:rsidR="00FD403A" w:rsidRPr="009B65E2">
        <w:rPr>
          <w:rFonts w:ascii="Arial Narrow" w:hAnsi="Arial Narrow" w:cs="Arial"/>
          <w:sz w:val="28"/>
          <w:szCs w:val="28"/>
        </w:rPr>
        <w:t xml:space="preserve">más </w:t>
      </w:r>
      <w:r w:rsidRPr="009B65E2">
        <w:rPr>
          <w:rFonts w:ascii="Arial Narrow" w:hAnsi="Arial Narrow" w:cs="Arial"/>
          <w:sz w:val="28"/>
          <w:szCs w:val="28"/>
        </w:rPr>
        <w:t xml:space="preserve">los intereses moratorios y </w:t>
      </w:r>
      <w:r w:rsidR="00FD403A" w:rsidRPr="009B65E2">
        <w:rPr>
          <w:rFonts w:ascii="Arial Narrow" w:hAnsi="Arial Narrow" w:cs="Arial"/>
          <w:sz w:val="28"/>
          <w:szCs w:val="28"/>
        </w:rPr>
        <w:t xml:space="preserve">a </w:t>
      </w:r>
      <w:r w:rsidRPr="009B65E2">
        <w:rPr>
          <w:rFonts w:ascii="Arial Narrow" w:hAnsi="Arial Narrow" w:cs="Arial"/>
          <w:sz w:val="28"/>
          <w:szCs w:val="28"/>
        </w:rPr>
        <w:t xml:space="preserve">las costas del proceso. </w:t>
      </w:r>
    </w:p>
    <w:p w:rsidR="00E33DA0" w:rsidRPr="000A2232" w:rsidRDefault="00E33DA0" w:rsidP="000A2232">
      <w:pPr>
        <w:pStyle w:val="Sinespaciado"/>
      </w:pPr>
    </w:p>
    <w:p w:rsidR="00E33DA0" w:rsidRPr="009B65E2" w:rsidRDefault="00E33DA0" w:rsidP="00D755CD">
      <w:pPr>
        <w:spacing w:line="276" w:lineRule="auto"/>
        <w:ind w:firstLine="708"/>
        <w:jc w:val="both"/>
        <w:rPr>
          <w:rFonts w:ascii="Arial Narrow" w:hAnsi="Arial Narrow" w:cs="Arial"/>
          <w:sz w:val="28"/>
          <w:szCs w:val="28"/>
        </w:rPr>
      </w:pPr>
      <w:r w:rsidRPr="009B65E2">
        <w:rPr>
          <w:rFonts w:ascii="Arial Narrow" w:hAnsi="Arial Narrow" w:cs="Arial"/>
          <w:sz w:val="28"/>
          <w:szCs w:val="28"/>
        </w:rPr>
        <w:t xml:space="preserve">En lo que interesa al recurso, el Juzgado de conocimiento en audiencia de conciliación del artículo 77 del Código Procesal del Trabajo y la Seguridad Social, celebrada el 12 de agosto de 2015, decidió imponer a la demandada la sanción procesal contenida en el canón anotado, ante la incomparecencia del representante legal de la entidad, teniendo esa conducta como indicio grave en su contra. </w:t>
      </w:r>
    </w:p>
    <w:p w:rsidR="00FE5834" w:rsidRPr="000A2232" w:rsidRDefault="00FE5834" w:rsidP="000A2232">
      <w:pPr>
        <w:pStyle w:val="Sinespaciado"/>
      </w:pPr>
    </w:p>
    <w:p w:rsidR="00FE5834" w:rsidRDefault="00FE5834" w:rsidP="00D755CD">
      <w:pPr>
        <w:spacing w:line="276" w:lineRule="auto"/>
        <w:ind w:firstLine="708"/>
        <w:jc w:val="both"/>
        <w:rPr>
          <w:rFonts w:ascii="Arial Narrow" w:hAnsi="Arial Narrow" w:cs="Arial"/>
          <w:sz w:val="28"/>
          <w:szCs w:val="28"/>
        </w:rPr>
      </w:pPr>
      <w:r w:rsidRPr="009B65E2">
        <w:rPr>
          <w:rFonts w:ascii="Arial Narrow" w:hAnsi="Arial Narrow" w:cs="Arial"/>
          <w:sz w:val="28"/>
          <w:szCs w:val="28"/>
        </w:rPr>
        <w:lastRenderedPageBreak/>
        <w:t xml:space="preserve">Contra la anterior determinación, se alzó la parte demandada, arguyendo </w:t>
      </w:r>
      <w:r w:rsidR="001267D6" w:rsidRPr="009B65E2">
        <w:rPr>
          <w:rFonts w:ascii="Arial Narrow" w:hAnsi="Arial Narrow" w:cs="Arial"/>
          <w:sz w:val="28"/>
          <w:szCs w:val="28"/>
        </w:rPr>
        <w:t xml:space="preserve">que </w:t>
      </w:r>
      <w:r w:rsidR="00540098" w:rsidRPr="009B65E2">
        <w:rPr>
          <w:rFonts w:ascii="Arial Narrow" w:hAnsi="Arial Narrow" w:cs="Arial"/>
          <w:sz w:val="28"/>
          <w:szCs w:val="28"/>
        </w:rPr>
        <w:t>(i)</w:t>
      </w:r>
      <w:r w:rsidR="001267D6" w:rsidRPr="009B65E2">
        <w:rPr>
          <w:rFonts w:ascii="Arial Narrow" w:hAnsi="Arial Narrow" w:cs="Arial"/>
          <w:sz w:val="28"/>
          <w:szCs w:val="28"/>
        </w:rPr>
        <w:t xml:space="preserve"> </w:t>
      </w:r>
      <w:r w:rsidR="00540098" w:rsidRPr="009B65E2">
        <w:rPr>
          <w:rFonts w:ascii="Arial Narrow" w:hAnsi="Arial Narrow" w:cs="Arial"/>
          <w:sz w:val="28"/>
          <w:szCs w:val="28"/>
        </w:rPr>
        <w:t xml:space="preserve">en atención a la naturaleza y calidad de la entidad, ésta no puede ser sancionada a tener como ciertos los hechos susceptibles de confesión </w:t>
      </w:r>
      <w:r w:rsidR="003F3241" w:rsidRPr="009B65E2">
        <w:rPr>
          <w:rFonts w:ascii="Arial Narrow" w:hAnsi="Arial Narrow" w:cs="Arial"/>
          <w:sz w:val="28"/>
          <w:szCs w:val="28"/>
        </w:rPr>
        <w:t xml:space="preserve">por </w:t>
      </w:r>
      <w:r w:rsidR="00540098" w:rsidRPr="009B65E2">
        <w:rPr>
          <w:rFonts w:ascii="Arial Narrow" w:hAnsi="Arial Narrow" w:cs="Arial"/>
          <w:sz w:val="28"/>
          <w:szCs w:val="28"/>
        </w:rPr>
        <w:t>la inasistencia de su representante legal</w:t>
      </w:r>
      <w:r w:rsidR="001267D6" w:rsidRPr="009B65E2">
        <w:rPr>
          <w:rFonts w:ascii="Arial Narrow" w:hAnsi="Arial Narrow" w:cs="Arial"/>
          <w:sz w:val="28"/>
          <w:szCs w:val="28"/>
        </w:rPr>
        <w:t xml:space="preserve"> </w:t>
      </w:r>
      <w:r w:rsidR="003F3241" w:rsidRPr="009B65E2">
        <w:rPr>
          <w:rFonts w:ascii="Arial Narrow" w:hAnsi="Arial Narrow" w:cs="Arial"/>
          <w:sz w:val="28"/>
          <w:szCs w:val="28"/>
        </w:rPr>
        <w:t>y, (ii)</w:t>
      </w:r>
      <w:r w:rsidR="00FD403A" w:rsidRPr="009B65E2">
        <w:rPr>
          <w:rFonts w:ascii="Arial Narrow" w:hAnsi="Arial Narrow" w:cs="Arial"/>
          <w:sz w:val="28"/>
          <w:szCs w:val="28"/>
        </w:rPr>
        <w:t xml:space="preserve"> </w:t>
      </w:r>
      <w:r w:rsidR="001267D6" w:rsidRPr="009B65E2">
        <w:rPr>
          <w:rFonts w:ascii="Arial Narrow" w:hAnsi="Arial Narrow" w:cs="Arial"/>
          <w:sz w:val="28"/>
          <w:szCs w:val="28"/>
        </w:rPr>
        <w:t xml:space="preserve">algunos hechos que fueron referidos por el despacho no permiten ser tenidos como indicio grave o confesión por cuanto son aseveraciones propias del demandante que no involucran la actividad de la entidad. </w:t>
      </w:r>
    </w:p>
    <w:p w:rsidR="009B65E2" w:rsidRPr="009B65E2" w:rsidRDefault="00E33DA0" w:rsidP="009B65E2">
      <w:pPr>
        <w:ind w:firstLine="426"/>
        <w:jc w:val="both"/>
        <w:rPr>
          <w:rFonts w:ascii="Arial Narrow" w:hAnsi="Arial Narrow" w:cs="Arial"/>
          <w:b/>
          <w:i/>
          <w:sz w:val="28"/>
          <w:szCs w:val="28"/>
        </w:rPr>
      </w:pPr>
      <w:r w:rsidRPr="009B65E2">
        <w:rPr>
          <w:rFonts w:ascii="Arial Narrow" w:hAnsi="Arial Narrow" w:cs="Arial"/>
          <w:b/>
          <w:i/>
          <w:sz w:val="28"/>
          <w:szCs w:val="28"/>
        </w:rPr>
        <w:t xml:space="preserve"> </w:t>
      </w:r>
      <w:r w:rsidR="009B65E2" w:rsidRPr="009B65E2">
        <w:rPr>
          <w:rFonts w:ascii="Arial Narrow" w:hAnsi="Arial Narrow" w:cs="Arial"/>
          <w:b/>
          <w:i/>
          <w:sz w:val="28"/>
          <w:szCs w:val="28"/>
        </w:rPr>
        <w:t xml:space="preserve">Problemas jurídicos. </w:t>
      </w:r>
    </w:p>
    <w:p w:rsidR="009B65E2" w:rsidRPr="009B65E2" w:rsidRDefault="009B65E2" w:rsidP="009B65E2">
      <w:pPr>
        <w:pStyle w:val="Sinespaciado"/>
      </w:pPr>
    </w:p>
    <w:p w:rsidR="001A10D0" w:rsidRPr="009B65E2" w:rsidRDefault="009B65E2" w:rsidP="009B65E2">
      <w:pPr>
        <w:ind w:firstLine="851"/>
        <w:jc w:val="both"/>
        <w:rPr>
          <w:rFonts w:ascii="Arial Narrow" w:hAnsi="Arial Narrow" w:cs="Arial"/>
          <w:sz w:val="28"/>
          <w:szCs w:val="28"/>
        </w:rPr>
      </w:pPr>
      <w:r w:rsidRPr="009B65E2">
        <w:rPr>
          <w:rFonts w:ascii="Arial Narrow" w:hAnsi="Arial Narrow" w:cs="Arial"/>
          <w:sz w:val="28"/>
          <w:szCs w:val="28"/>
        </w:rPr>
        <w:t>V</w:t>
      </w:r>
      <w:r w:rsidR="001A10D0" w:rsidRPr="009B65E2">
        <w:rPr>
          <w:rFonts w:ascii="Arial Narrow" w:hAnsi="Arial Narrow" w:cs="Arial"/>
          <w:sz w:val="28"/>
          <w:szCs w:val="28"/>
        </w:rPr>
        <w:t xml:space="preserve">ista la panorámica anterior el </w:t>
      </w:r>
      <w:r w:rsidR="00FD403A" w:rsidRPr="009B65E2">
        <w:rPr>
          <w:rFonts w:ascii="Arial Narrow" w:hAnsi="Arial Narrow" w:cs="Arial"/>
          <w:sz w:val="28"/>
          <w:szCs w:val="28"/>
        </w:rPr>
        <w:t>problema jurídico a resolver es el siguiente:</w:t>
      </w:r>
    </w:p>
    <w:p w:rsidR="000A2232" w:rsidRDefault="000A2232" w:rsidP="009B65E2">
      <w:pPr>
        <w:spacing w:line="276" w:lineRule="auto"/>
        <w:ind w:firstLine="567"/>
        <w:jc w:val="both"/>
        <w:rPr>
          <w:rFonts w:ascii="Arial Narrow" w:hAnsi="Arial Narrow" w:cs="Arial"/>
          <w:i/>
          <w:sz w:val="26"/>
          <w:szCs w:val="26"/>
        </w:rPr>
      </w:pPr>
    </w:p>
    <w:p w:rsidR="00FD403A" w:rsidRPr="009B65E2" w:rsidRDefault="00FD403A" w:rsidP="000A2232">
      <w:pPr>
        <w:spacing w:line="276" w:lineRule="auto"/>
        <w:ind w:firstLine="851"/>
        <w:jc w:val="both"/>
        <w:rPr>
          <w:rFonts w:ascii="Arial Narrow" w:hAnsi="Arial Narrow" w:cs="Arial"/>
          <w:i/>
          <w:sz w:val="26"/>
          <w:szCs w:val="26"/>
        </w:rPr>
      </w:pPr>
      <w:r w:rsidRPr="009B65E2">
        <w:rPr>
          <w:rFonts w:ascii="Arial Narrow" w:hAnsi="Arial Narrow" w:cs="Arial"/>
          <w:i/>
          <w:sz w:val="26"/>
          <w:szCs w:val="26"/>
        </w:rPr>
        <w:t xml:space="preserve">¿Le asiste razón al recurrente al aseverar que la </w:t>
      </w:r>
      <w:r w:rsidR="002854D5" w:rsidRPr="009B65E2">
        <w:rPr>
          <w:rFonts w:ascii="Arial Narrow" w:hAnsi="Arial Narrow" w:cs="Arial"/>
          <w:i/>
          <w:sz w:val="26"/>
          <w:szCs w:val="26"/>
        </w:rPr>
        <w:t>jueza de primer grado</w:t>
      </w:r>
      <w:r w:rsidRPr="009B65E2">
        <w:rPr>
          <w:rFonts w:ascii="Arial Narrow" w:hAnsi="Arial Narrow" w:cs="Arial"/>
          <w:i/>
          <w:sz w:val="26"/>
          <w:szCs w:val="26"/>
        </w:rPr>
        <w:t xml:space="preserve"> </w:t>
      </w:r>
      <w:r w:rsidR="002854D5" w:rsidRPr="009B65E2">
        <w:rPr>
          <w:rFonts w:ascii="Arial Narrow" w:hAnsi="Arial Narrow" w:cs="Arial"/>
          <w:i/>
          <w:sz w:val="26"/>
          <w:szCs w:val="26"/>
        </w:rPr>
        <w:t>erró al decretar la</w:t>
      </w:r>
      <w:r w:rsidRPr="009B65E2">
        <w:rPr>
          <w:rFonts w:ascii="Arial Narrow" w:hAnsi="Arial Narrow" w:cs="Arial"/>
          <w:i/>
          <w:sz w:val="26"/>
          <w:szCs w:val="26"/>
        </w:rPr>
        <w:t>s consecuencias procesales de tener por ciertos los hechos susceptibles de confesi</w:t>
      </w:r>
      <w:r w:rsidR="002854D5" w:rsidRPr="009B65E2">
        <w:rPr>
          <w:rFonts w:ascii="Arial Narrow" w:hAnsi="Arial Narrow" w:cs="Arial"/>
          <w:i/>
          <w:sz w:val="26"/>
          <w:szCs w:val="26"/>
        </w:rPr>
        <w:t>ón ante la inasistencia del representante legal de la entidad</w:t>
      </w:r>
      <w:r w:rsidRPr="009B65E2">
        <w:rPr>
          <w:rFonts w:ascii="Arial Narrow" w:hAnsi="Arial Narrow" w:cs="Arial"/>
          <w:i/>
          <w:sz w:val="26"/>
          <w:szCs w:val="26"/>
        </w:rPr>
        <w:t xml:space="preserve">? </w:t>
      </w:r>
    </w:p>
    <w:p w:rsidR="001A10D0" w:rsidRPr="000A2232" w:rsidRDefault="001A10D0" w:rsidP="000A2232">
      <w:pPr>
        <w:pStyle w:val="Sinespaciado"/>
      </w:pPr>
    </w:p>
    <w:p w:rsidR="001A10D0" w:rsidRDefault="002854D5" w:rsidP="000A2232">
      <w:pPr>
        <w:spacing w:line="276" w:lineRule="auto"/>
        <w:ind w:firstLine="851"/>
        <w:jc w:val="both"/>
        <w:rPr>
          <w:rFonts w:ascii="Arial Narrow" w:hAnsi="Arial Narrow" w:cs="Arial"/>
          <w:i/>
          <w:sz w:val="26"/>
          <w:szCs w:val="26"/>
        </w:rPr>
      </w:pPr>
      <w:r w:rsidRPr="009B65E2">
        <w:rPr>
          <w:rFonts w:ascii="Arial Narrow" w:hAnsi="Arial Narrow" w:cs="Arial"/>
          <w:i/>
          <w:sz w:val="26"/>
          <w:szCs w:val="26"/>
        </w:rPr>
        <w:t>¿</w:t>
      </w:r>
      <w:r w:rsidR="00E0604D" w:rsidRPr="009B65E2">
        <w:rPr>
          <w:rFonts w:ascii="Arial Narrow" w:hAnsi="Arial Narrow" w:cs="Arial"/>
          <w:i/>
          <w:sz w:val="26"/>
          <w:szCs w:val="26"/>
        </w:rPr>
        <w:t xml:space="preserve">Hay lugar a excluir </w:t>
      </w:r>
      <w:r w:rsidR="00D755CD" w:rsidRPr="009B65E2">
        <w:rPr>
          <w:rFonts w:ascii="Arial Narrow" w:hAnsi="Arial Narrow" w:cs="Arial"/>
          <w:i/>
          <w:sz w:val="26"/>
          <w:szCs w:val="26"/>
        </w:rPr>
        <w:t xml:space="preserve">de la </w:t>
      </w:r>
      <w:r w:rsidR="00E0604D" w:rsidRPr="009B65E2">
        <w:rPr>
          <w:rFonts w:ascii="Arial Narrow" w:hAnsi="Arial Narrow" w:cs="Arial"/>
          <w:i/>
          <w:sz w:val="26"/>
          <w:szCs w:val="26"/>
        </w:rPr>
        <w:t xml:space="preserve">sanción procesal que </w:t>
      </w:r>
      <w:r w:rsidR="00D755CD" w:rsidRPr="009B65E2">
        <w:rPr>
          <w:rFonts w:ascii="Arial Narrow" w:hAnsi="Arial Narrow" w:cs="Arial"/>
          <w:i/>
          <w:sz w:val="26"/>
          <w:szCs w:val="26"/>
        </w:rPr>
        <w:t>aprecia como indicio grave</w:t>
      </w:r>
      <w:r w:rsidR="009B65E2" w:rsidRPr="009B65E2">
        <w:rPr>
          <w:rFonts w:ascii="Arial Narrow" w:hAnsi="Arial Narrow" w:cs="Arial"/>
          <w:i/>
          <w:sz w:val="26"/>
          <w:szCs w:val="26"/>
        </w:rPr>
        <w:t xml:space="preserve"> en contra de la entidad</w:t>
      </w:r>
      <w:r w:rsidR="00D755CD" w:rsidRPr="009B65E2">
        <w:rPr>
          <w:rFonts w:ascii="Arial Narrow" w:hAnsi="Arial Narrow" w:cs="Arial"/>
          <w:i/>
          <w:sz w:val="26"/>
          <w:szCs w:val="26"/>
        </w:rPr>
        <w:t xml:space="preserve">, algunos supuestos fácticos que no </w:t>
      </w:r>
      <w:r w:rsidR="009B65E2" w:rsidRPr="009B65E2">
        <w:rPr>
          <w:rFonts w:ascii="Arial Narrow" w:hAnsi="Arial Narrow" w:cs="Arial"/>
          <w:i/>
          <w:sz w:val="26"/>
          <w:szCs w:val="26"/>
        </w:rPr>
        <w:t>la vinculan</w:t>
      </w:r>
      <w:r w:rsidR="00AB74D5">
        <w:rPr>
          <w:rFonts w:ascii="Arial Narrow" w:hAnsi="Arial Narrow" w:cs="Arial"/>
          <w:i/>
          <w:sz w:val="26"/>
          <w:szCs w:val="26"/>
        </w:rPr>
        <w:t xml:space="preserve"> por ser aseveraciones propias del demandante</w:t>
      </w:r>
      <w:r w:rsidR="009B65E2" w:rsidRPr="009B65E2">
        <w:rPr>
          <w:rFonts w:ascii="Arial Narrow" w:hAnsi="Arial Narrow" w:cs="Arial"/>
          <w:i/>
          <w:sz w:val="26"/>
          <w:szCs w:val="26"/>
        </w:rPr>
        <w:t>?</w:t>
      </w:r>
      <w:r w:rsidR="00D755CD" w:rsidRPr="009B65E2">
        <w:rPr>
          <w:rFonts w:ascii="Arial Narrow" w:hAnsi="Arial Narrow" w:cs="Arial"/>
          <w:i/>
          <w:sz w:val="26"/>
          <w:szCs w:val="26"/>
        </w:rPr>
        <w:t xml:space="preserve"> </w:t>
      </w:r>
    </w:p>
    <w:p w:rsidR="009B65E2" w:rsidRPr="000A2CAE" w:rsidRDefault="009B65E2" w:rsidP="000A2CAE">
      <w:pPr>
        <w:pStyle w:val="Sinespaciado"/>
        <w:spacing w:line="360" w:lineRule="auto"/>
      </w:pPr>
    </w:p>
    <w:p w:rsidR="009B65E2" w:rsidRDefault="009B65E2" w:rsidP="009B65E2">
      <w:pPr>
        <w:spacing w:line="276" w:lineRule="auto"/>
        <w:ind w:firstLine="993"/>
        <w:jc w:val="both"/>
        <w:rPr>
          <w:rFonts w:ascii="Arial Narrow" w:hAnsi="Arial Narrow" w:cs="Arial"/>
          <w:b/>
          <w:i/>
          <w:sz w:val="28"/>
          <w:szCs w:val="28"/>
          <w:u w:val="single"/>
        </w:rPr>
      </w:pPr>
      <w:r w:rsidRPr="009B65E2">
        <w:rPr>
          <w:rFonts w:ascii="Arial Narrow" w:hAnsi="Arial Narrow" w:cs="Arial"/>
          <w:b/>
          <w:i/>
          <w:sz w:val="28"/>
          <w:szCs w:val="28"/>
          <w:u w:val="single"/>
        </w:rPr>
        <w:t xml:space="preserve">III.CONSIDERACIONES </w:t>
      </w:r>
    </w:p>
    <w:p w:rsidR="009B65E2" w:rsidRPr="000A2232" w:rsidRDefault="009B65E2" w:rsidP="00A84B69">
      <w:pPr>
        <w:pStyle w:val="Sinespaciado"/>
        <w:spacing w:line="276" w:lineRule="auto"/>
      </w:pPr>
    </w:p>
    <w:p w:rsidR="00496608" w:rsidRDefault="009B65E2" w:rsidP="009B65E2">
      <w:pPr>
        <w:spacing w:line="276" w:lineRule="auto"/>
        <w:ind w:firstLine="993"/>
        <w:jc w:val="both"/>
        <w:rPr>
          <w:rFonts w:ascii="Arial Narrow" w:hAnsi="Arial Narrow" w:cs="Arial"/>
          <w:b/>
          <w:i/>
          <w:sz w:val="28"/>
          <w:szCs w:val="28"/>
        </w:rPr>
      </w:pPr>
      <w:r>
        <w:rPr>
          <w:rFonts w:ascii="Arial Narrow" w:hAnsi="Arial Narrow" w:cs="Arial"/>
          <w:b/>
          <w:i/>
          <w:sz w:val="28"/>
          <w:szCs w:val="28"/>
        </w:rPr>
        <w:t>3.1. Consecuencias procesales ante la inasistencia a la audiencia de conciliación</w:t>
      </w:r>
      <w:r w:rsidR="00496608">
        <w:rPr>
          <w:rFonts w:ascii="Arial Narrow" w:hAnsi="Arial Narrow" w:cs="Arial"/>
          <w:b/>
          <w:i/>
          <w:sz w:val="28"/>
          <w:szCs w:val="28"/>
        </w:rPr>
        <w:t>.</w:t>
      </w:r>
    </w:p>
    <w:p w:rsidR="00496608" w:rsidRPr="000A2CAE" w:rsidRDefault="00496608" w:rsidP="00A84B69">
      <w:pPr>
        <w:pStyle w:val="Sinespaciado"/>
        <w:spacing w:line="276" w:lineRule="auto"/>
      </w:pPr>
    </w:p>
    <w:p w:rsidR="006C418B" w:rsidRPr="006C418B" w:rsidRDefault="00496608" w:rsidP="00003724">
      <w:pPr>
        <w:spacing w:line="276" w:lineRule="auto"/>
        <w:ind w:firstLine="993"/>
        <w:jc w:val="both"/>
        <w:rPr>
          <w:rFonts w:ascii="Arial Narrow" w:hAnsi="Arial Narrow" w:cs="Arial"/>
          <w:sz w:val="28"/>
          <w:szCs w:val="28"/>
        </w:rPr>
      </w:pPr>
      <w:r w:rsidRPr="006C418B">
        <w:rPr>
          <w:rFonts w:ascii="Arial Narrow" w:hAnsi="Arial Narrow" w:cs="Arial"/>
          <w:sz w:val="28"/>
          <w:szCs w:val="28"/>
        </w:rPr>
        <w:t>Establece el artículo 77</w:t>
      </w:r>
      <w:r w:rsidR="00C011FF">
        <w:rPr>
          <w:rFonts w:ascii="Arial Narrow" w:hAnsi="Arial Narrow" w:cs="Arial"/>
          <w:sz w:val="28"/>
          <w:szCs w:val="28"/>
        </w:rPr>
        <w:t xml:space="preserve"> del C.P.T y de la S.S., modificado por el artículo 11 de la Ley 1149 de 2007, </w:t>
      </w:r>
      <w:r w:rsidRPr="006C418B">
        <w:rPr>
          <w:rFonts w:ascii="Arial Narrow" w:hAnsi="Arial Narrow" w:cs="Arial"/>
          <w:sz w:val="28"/>
          <w:szCs w:val="28"/>
        </w:rPr>
        <w:t>que si el demandante o el demandado no concurren a la audiencia de conciliación</w:t>
      </w:r>
      <w:r w:rsidR="006C418B" w:rsidRPr="006C418B">
        <w:rPr>
          <w:rFonts w:ascii="Arial Narrow" w:hAnsi="Arial Narrow" w:cs="Arial"/>
          <w:sz w:val="28"/>
          <w:szCs w:val="28"/>
        </w:rPr>
        <w:t xml:space="preserve">, el juez la declarará clausurada y se producirán las siguientes consecuencias procesales: </w:t>
      </w:r>
    </w:p>
    <w:p w:rsidR="006C418B" w:rsidRPr="00F927A6" w:rsidRDefault="006C418B" w:rsidP="00F927A6">
      <w:pPr>
        <w:pStyle w:val="Sinespaciado"/>
      </w:pPr>
    </w:p>
    <w:p w:rsidR="006C418B" w:rsidRPr="006C418B" w:rsidRDefault="006C418B" w:rsidP="00003724">
      <w:pPr>
        <w:spacing w:line="276" w:lineRule="auto"/>
        <w:ind w:firstLine="993"/>
        <w:jc w:val="both"/>
        <w:rPr>
          <w:rFonts w:ascii="Arial Narrow" w:hAnsi="Arial Narrow"/>
          <w:sz w:val="28"/>
          <w:szCs w:val="28"/>
        </w:rPr>
      </w:pPr>
      <w:r w:rsidRPr="006C418B">
        <w:rPr>
          <w:rFonts w:ascii="Arial Narrow" w:hAnsi="Arial Narrow"/>
          <w:sz w:val="28"/>
          <w:szCs w:val="28"/>
        </w:rPr>
        <w:t xml:space="preserve">1. Si se trata del demandante se presumirán ciertos los hechos susceptibles de confesión contenidos en la contestación de la demanda y en las excepciones de mérito. </w:t>
      </w:r>
    </w:p>
    <w:p w:rsidR="006C418B" w:rsidRPr="00A84B69" w:rsidRDefault="006C418B" w:rsidP="00A84B69">
      <w:pPr>
        <w:pStyle w:val="Sinespaciado"/>
      </w:pPr>
    </w:p>
    <w:p w:rsidR="009B65E2" w:rsidRPr="006C418B" w:rsidRDefault="006C418B" w:rsidP="00003724">
      <w:pPr>
        <w:spacing w:line="276" w:lineRule="auto"/>
        <w:ind w:firstLine="993"/>
        <w:jc w:val="both"/>
        <w:rPr>
          <w:rFonts w:ascii="Arial Narrow" w:hAnsi="Arial Narrow"/>
          <w:sz w:val="28"/>
          <w:szCs w:val="28"/>
        </w:rPr>
      </w:pPr>
      <w:r w:rsidRPr="006C418B">
        <w:rPr>
          <w:rFonts w:ascii="Arial Narrow" w:hAnsi="Arial Narrow"/>
          <w:sz w:val="28"/>
          <w:szCs w:val="28"/>
        </w:rPr>
        <w:t>2. Si se trata del demandado, se presumirán ciertos los hechos de la demanda susceptibles de confesión.</w:t>
      </w:r>
    </w:p>
    <w:p w:rsidR="006C418B" w:rsidRPr="00003724" w:rsidRDefault="006C418B" w:rsidP="00003724">
      <w:pPr>
        <w:pStyle w:val="Sinespaciado"/>
      </w:pPr>
    </w:p>
    <w:p w:rsidR="006C418B" w:rsidRPr="006C418B" w:rsidRDefault="006C418B" w:rsidP="00003724">
      <w:pPr>
        <w:spacing w:line="276" w:lineRule="auto"/>
        <w:ind w:firstLine="993"/>
        <w:jc w:val="both"/>
        <w:rPr>
          <w:rFonts w:ascii="Arial Narrow" w:hAnsi="Arial Narrow"/>
          <w:sz w:val="28"/>
          <w:szCs w:val="28"/>
        </w:rPr>
      </w:pPr>
      <w:r w:rsidRPr="006C418B">
        <w:rPr>
          <w:rFonts w:ascii="Arial Narrow" w:hAnsi="Arial Narrow"/>
          <w:sz w:val="28"/>
          <w:szCs w:val="28"/>
        </w:rPr>
        <w:t>3. Cuando los hechos no admitan prueba de confesión, la no comparecencia de las partes se apreciará como indicio grave en su contra.</w:t>
      </w:r>
    </w:p>
    <w:p w:rsidR="006C418B" w:rsidRPr="00003724" w:rsidRDefault="006C418B" w:rsidP="00003724">
      <w:pPr>
        <w:pStyle w:val="Sinespaciado"/>
      </w:pPr>
    </w:p>
    <w:p w:rsidR="006C418B" w:rsidRPr="006C418B" w:rsidRDefault="006C418B" w:rsidP="009B65E2">
      <w:pPr>
        <w:spacing w:line="276" w:lineRule="auto"/>
        <w:ind w:firstLine="993"/>
        <w:jc w:val="both"/>
        <w:rPr>
          <w:rFonts w:ascii="Arial Narrow" w:hAnsi="Arial Narrow" w:cs="Arial"/>
          <w:b/>
          <w:i/>
          <w:sz w:val="28"/>
          <w:szCs w:val="28"/>
        </w:rPr>
      </w:pPr>
      <w:r w:rsidRPr="006C418B">
        <w:rPr>
          <w:rFonts w:ascii="Arial Narrow" w:hAnsi="Arial Narrow"/>
          <w:sz w:val="28"/>
          <w:szCs w:val="28"/>
        </w:rPr>
        <w:t>(…)</w:t>
      </w:r>
    </w:p>
    <w:p w:rsidR="00E33DA0" w:rsidRDefault="00E33DA0" w:rsidP="00003724">
      <w:pPr>
        <w:pStyle w:val="Sinespaciado"/>
        <w:spacing w:line="360" w:lineRule="auto"/>
        <w:rPr>
          <w:lang w:val="es-ES"/>
        </w:rPr>
      </w:pPr>
    </w:p>
    <w:p w:rsidR="00496608" w:rsidRDefault="000A2CAE" w:rsidP="000A2CAE">
      <w:pPr>
        <w:pStyle w:val="Sinespaciado"/>
        <w:ind w:firstLine="708"/>
        <w:rPr>
          <w:rFonts w:ascii="Arial Narrow" w:hAnsi="Arial Narrow"/>
          <w:b/>
          <w:i/>
          <w:sz w:val="28"/>
          <w:szCs w:val="28"/>
          <w:lang w:val="es-ES"/>
        </w:rPr>
      </w:pPr>
      <w:r w:rsidRPr="000A2CAE">
        <w:rPr>
          <w:rFonts w:ascii="Arial Narrow" w:hAnsi="Arial Narrow"/>
          <w:b/>
          <w:i/>
          <w:sz w:val="28"/>
          <w:szCs w:val="28"/>
          <w:lang w:val="es-ES"/>
        </w:rPr>
        <w:t xml:space="preserve">3.2 Caso concreto </w:t>
      </w:r>
    </w:p>
    <w:p w:rsidR="00F927A6" w:rsidRPr="00E6453B" w:rsidRDefault="00F927A6" w:rsidP="00E6453B">
      <w:pPr>
        <w:pStyle w:val="Sinespaciado"/>
      </w:pPr>
    </w:p>
    <w:p w:rsidR="0045692C" w:rsidRPr="001910E3" w:rsidRDefault="0045692C" w:rsidP="001910E3">
      <w:pPr>
        <w:pStyle w:val="Sinespaciado"/>
        <w:spacing w:line="276" w:lineRule="auto"/>
        <w:ind w:firstLine="708"/>
        <w:jc w:val="both"/>
        <w:rPr>
          <w:rFonts w:ascii="Arial Narrow" w:hAnsi="Arial Narrow"/>
          <w:sz w:val="28"/>
          <w:szCs w:val="28"/>
          <w:lang w:val="es-ES"/>
        </w:rPr>
      </w:pPr>
      <w:r w:rsidRPr="001910E3">
        <w:rPr>
          <w:rFonts w:ascii="Arial Narrow" w:hAnsi="Arial Narrow"/>
          <w:sz w:val="28"/>
          <w:szCs w:val="28"/>
          <w:lang w:val="es-ES"/>
        </w:rPr>
        <w:t>Sea lo primero advertir, que al tenor de lo preceptuado en el artículo 103 de la Ley 446 de 1998, aplicable por remisión expresa del artículo 65 del C.P.T</w:t>
      </w:r>
      <w:r w:rsidR="005628DE" w:rsidRPr="001910E3">
        <w:rPr>
          <w:rFonts w:ascii="Arial Narrow" w:hAnsi="Arial Narrow"/>
          <w:sz w:val="28"/>
          <w:szCs w:val="28"/>
          <w:lang w:val="es-ES"/>
        </w:rPr>
        <w:t>, el</w:t>
      </w:r>
      <w:r w:rsidRPr="001910E3">
        <w:rPr>
          <w:rFonts w:ascii="Arial Narrow" w:hAnsi="Arial Narrow"/>
          <w:sz w:val="28"/>
          <w:szCs w:val="28"/>
          <w:lang w:val="es-ES"/>
        </w:rPr>
        <w:t xml:space="preserve"> auto que impone una sanción es suscep</w:t>
      </w:r>
      <w:r w:rsidR="005628DE" w:rsidRPr="001910E3">
        <w:rPr>
          <w:rFonts w:ascii="Arial Narrow" w:hAnsi="Arial Narrow"/>
          <w:sz w:val="28"/>
          <w:szCs w:val="28"/>
          <w:lang w:val="es-ES"/>
        </w:rPr>
        <w:t xml:space="preserve">tible del recurso de apelación. Ahora, </w:t>
      </w:r>
      <w:r w:rsidRPr="001910E3">
        <w:rPr>
          <w:rFonts w:ascii="Arial Narrow" w:hAnsi="Arial Narrow"/>
          <w:sz w:val="28"/>
          <w:szCs w:val="28"/>
          <w:lang w:val="es-ES"/>
        </w:rPr>
        <w:t xml:space="preserve">si bien </w:t>
      </w:r>
      <w:r w:rsidR="00BD3D12" w:rsidRPr="001910E3">
        <w:rPr>
          <w:rFonts w:ascii="Arial Narrow" w:hAnsi="Arial Narrow"/>
          <w:sz w:val="28"/>
          <w:szCs w:val="28"/>
          <w:lang w:val="es-ES"/>
        </w:rPr>
        <w:t xml:space="preserve">dicha disposición normativa </w:t>
      </w:r>
      <w:r w:rsidRPr="001910E3">
        <w:rPr>
          <w:rFonts w:ascii="Arial Narrow" w:hAnsi="Arial Narrow"/>
          <w:sz w:val="28"/>
          <w:szCs w:val="28"/>
          <w:lang w:val="es-ES"/>
        </w:rPr>
        <w:t xml:space="preserve">fue derogada por literal c) del artículo 626 del Código General del Proceso, dicha derogatoria sólo </w:t>
      </w:r>
      <w:r w:rsidR="00E6453B" w:rsidRPr="001910E3">
        <w:rPr>
          <w:rFonts w:ascii="Arial Narrow" w:hAnsi="Arial Narrow"/>
          <w:sz w:val="28"/>
          <w:szCs w:val="28"/>
          <w:lang w:val="es-ES"/>
        </w:rPr>
        <w:t xml:space="preserve">empezó a regir </w:t>
      </w:r>
      <w:r w:rsidRPr="001910E3">
        <w:rPr>
          <w:rFonts w:ascii="Arial Narrow" w:hAnsi="Arial Narrow"/>
          <w:sz w:val="28"/>
          <w:szCs w:val="28"/>
          <w:lang w:val="es-ES"/>
        </w:rPr>
        <w:t>a partir del 1º de enero de 2016, en virtud de la expedición del Acuerdo No. PSAA15-10392 del 2015 del Consejo Superior de la Judicatura</w:t>
      </w:r>
      <w:r w:rsidR="00E6453B" w:rsidRPr="001910E3">
        <w:rPr>
          <w:rFonts w:ascii="Arial Narrow" w:hAnsi="Arial Narrow"/>
          <w:sz w:val="28"/>
          <w:szCs w:val="28"/>
          <w:lang w:val="es-ES"/>
        </w:rPr>
        <w:t xml:space="preserve">, de modo que </w:t>
      </w:r>
      <w:r w:rsidR="00470B39" w:rsidRPr="001910E3">
        <w:rPr>
          <w:rFonts w:ascii="Arial Narrow" w:hAnsi="Arial Narrow"/>
          <w:sz w:val="28"/>
          <w:szCs w:val="28"/>
          <w:lang w:val="es-ES"/>
        </w:rPr>
        <w:t xml:space="preserve">no alcanza </w:t>
      </w:r>
      <w:r w:rsidR="00BD3D12" w:rsidRPr="001910E3">
        <w:rPr>
          <w:rFonts w:ascii="Arial Narrow" w:hAnsi="Arial Narrow"/>
          <w:sz w:val="28"/>
          <w:szCs w:val="28"/>
          <w:lang w:val="es-ES"/>
        </w:rPr>
        <w:t>a</w:t>
      </w:r>
      <w:r w:rsidR="00470B39" w:rsidRPr="001910E3">
        <w:rPr>
          <w:rFonts w:ascii="Arial Narrow" w:hAnsi="Arial Narrow"/>
          <w:sz w:val="28"/>
          <w:szCs w:val="28"/>
          <w:lang w:val="es-ES"/>
        </w:rPr>
        <w:t xml:space="preserve"> afectar la </w:t>
      </w:r>
      <w:r w:rsidR="005628DE" w:rsidRPr="001910E3">
        <w:rPr>
          <w:rFonts w:ascii="Arial Narrow" w:hAnsi="Arial Narrow"/>
          <w:sz w:val="28"/>
          <w:szCs w:val="28"/>
          <w:lang w:val="es-ES"/>
        </w:rPr>
        <w:t>situación</w:t>
      </w:r>
      <w:r w:rsidR="00470B39" w:rsidRPr="001910E3">
        <w:rPr>
          <w:rFonts w:ascii="Arial Narrow" w:hAnsi="Arial Narrow"/>
          <w:sz w:val="28"/>
          <w:szCs w:val="28"/>
          <w:lang w:val="es-ES"/>
        </w:rPr>
        <w:t xml:space="preserve"> definida conforme la norma anterior.</w:t>
      </w:r>
    </w:p>
    <w:p w:rsidR="00E6453B" w:rsidRPr="00E6453B" w:rsidRDefault="00E6453B" w:rsidP="001910E3">
      <w:pPr>
        <w:pStyle w:val="Sinespaciado"/>
        <w:spacing w:line="276" w:lineRule="auto"/>
      </w:pPr>
    </w:p>
    <w:p w:rsidR="000A2CAE" w:rsidRPr="009701F8" w:rsidRDefault="00BD3D12" w:rsidP="001910E3">
      <w:pPr>
        <w:pStyle w:val="Sinespaciado"/>
        <w:spacing w:line="276" w:lineRule="auto"/>
        <w:ind w:firstLine="284"/>
        <w:jc w:val="both"/>
        <w:rPr>
          <w:rFonts w:ascii="Arial Narrow" w:hAnsi="Arial Narrow"/>
          <w:sz w:val="28"/>
          <w:szCs w:val="28"/>
          <w:lang w:val="es-ES"/>
        </w:rPr>
      </w:pPr>
      <w:r>
        <w:rPr>
          <w:rFonts w:ascii="Arial Narrow" w:hAnsi="Arial Narrow"/>
          <w:sz w:val="28"/>
          <w:szCs w:val="28"/>
          <w:lang w:val="es-ES"/>
        </w:rPr>
        <w:t>E</w:t>
      </w:r>
      <w:r w:rsidR="000A2CAE" w:rsidRPr="009701F8">
        <w:rPr>
          <w:rFonts w:ascii="Arial Narrow" w:hAnsi="Arial Narrow"/>
          <w:sz w:val="28"/>
          <w:szCs w:val="28"/>
          <w:lang w:val="es-ES"/>
        </w:rPr>
        <w:t xml:space="preserve">n el sub-lite, resulta inobjetable que el 12 de agosto de 2015 </w:t>
      </w:r>
      <w:r w:rsidR="00447091" w:rsidRPr="009701F8">
        <w:rPr>
          <w:rFonts w:ascii="Arial Narrow" w:hAnsi="Arial Narrow"/>
          <w:sz w:val="28"/>
          <w:szCs w:val="28"/>
          <w:lang w:val="es-ES"/>
        </w:rPr>
        <w:t xml:space="preserve">se llevó a cabo la audiencia prevista en el artículo 77 del C.P.T y de la S.S. (fl.76), calenda en la que se contó únicamente con la presencia del demandante y de los voceros judiciales de las partes, lo que llevó a que </w:t>
      </w:r>
      <w:r w:rsidR="00D86F33" w:rsidRPr="009701F8">
        <w:rPr>
          <w:rFonts w:ascii="Arial Narrow" w:hAnsi="Arial Narrow"/>
          <w:sz w:val="28"/>
          <w:szCs w:val="28"/>
          <w:lang w:val="es-ES"/>
        </w:rPr>
        <w:t xml:space="preserve">ante la </w:t>
      </w:r>
      <w:r w:rsidR="00447091" w:rsidRPr="009701F8">
        <w:rPr>
          <w:rFonts w:ascii="Arial Narrow" w:hAnsi="Arial Narrow"/>
          <w:sz w:val="28"/>
          <w:szCs w:val="28"/>
          <w:lang w:val="es-ES"/>
        </w:rPr>
        <w:t>inasistencia del representante legal de la entidad demandada</w:t>
      </w:r>
      <w:r w:rsidR="00C62B8D" w:rsidRPr="009701F8">
        <w:rPr>
          <w:rFonts w:ascii="Arial Narrow" w:hAnsi="Arial Narrow"/>
          <w:sz w:val="28"/>
          <w:szCs w:val="28"/>
          <w:lang w:val="es-ES"/>
        </w:rPr>
        <w:t xml:space="preserve">, la a-quo estableciera como sanción procesal tener como </w:t>
      </w:r>
      <w:r w:rsidR="00447091" w:rsidRPr="009701F8">
        <w:rPr>
          <w:rFonts w:ascii="Arial Narrow" w:hAnsi="Arial Narrow"/>
          <w:sz w:val="28"/>
          <w:szCs w:val="28"/>
          <w:lang w:val="es-ES"/>
        </w:rPr>
        <w:t xml:space="preserve">indicio grave </w:t>
      </w:r>
      <w:r w:rsidR="00293AD7" w:rsidRPr="009701F8">
        <w:rPr>
          <w:rFonts w:ascii="Arial Narrow" w:hAnsi="Arial Narrow"/>
          <w:sz w:val="28"/>
          <w:szCs w:val="28"/>
          <w:lang w:val="es-ES"/>
        </w:rPr>
        <w:t xml:space="preserve">en </w:t>
      </w:r>
      <w:r w:rsidR="002920D1" w:rsidRPr="009701F8">
        <w:rPr>
          <w:rFonts w:ascii="Arial Narrow" w:hAnsi="Arial Narrow"/>
          <w:sz w:val="28"/>
          <w:szCs w:val="28"/>
          <w:lang w:val="es-ES"/>
        </w:rPr>
        <w:t xml:space="preserve">su </w:t>
      </w:r>
      <w:r w:rsidR="00293AD7" w:rsidRPr="009701F8">
        <w:rPr>
          <w:rFonts w:ascii="Arial Narrow" w:hAnsi="Arial Narrow"/>
          <w:sz w:val="28"/>
          <w:szCs w:val="28"/>
          <w:lang w:val="es-ES"/>
        </w:rPr>
        <w:t>contra, los hechos 1,2, 3</w:t>
      </w:r>
      <w:r w:rsidR="00C2264B" w:rsidRPr="009701F8">
        <w:rPr>
          <w:rFonts w:ascii="Arial Narrow" w:hAnsi="Arial Narrow"/>
          <w:sz w:val="28"/>
          <w:szCs w:val="28"/>
          <w:lang w:val="es-ES"/>
        </w:rPr>
        <w:t>, 4, 5, 6, 10</w:t>
      </w:r>
      <w:r w:rsidR="0086406B" w:rsidRPr="009701F8">
        <w:rPr>
          <w:rFonts w:ascii="Arial Narrow" w:hAnsi="Arial Narrow"/>
          <w:sz w:val="28"/>
          <w:szCs w:val="28"/>
          <w:lang w:val="es-ES"/>
        </w:rPr>
        <w:t xml:space="preserve">, 11, 12, 14 y 17 de la demanda, los cuales consideró ser </w:t>
      </w:r>
      <w:r w:rsidR="00AD57CF">
        <w:rPr>
          <w:rFonts w:ascii="Arial Narrow" w:hAnsi="Arial Narrow"/>
          <w:sz w:val="28"/>
          <w:szCs w:val="28"/>
          <w:lang w:val="es-ES"/>
        </w:rPr>
        <w:t xml:space="preserve">no ser </w:t>
      </w:r>
      <w:r w:rsidR="0086406B" w:rsidRPr="009701F8">
        <w:rPr>
          <w:rFonts w:ascii="Arial Narrow" w:hAnsi="Arial Narrow"/>
          <w:sz w:val="28"/>
          <w:szCs w:val="28"/>
          <w:lang w:val="es-ES"/>
        </w:rPr>
        <w:t xml:space="preserve">susceptibles de prueba </w:t>
      </w:r>
      <w:r w:rsidR="00AD57CF">
        <w:rPr>
          <w:rFonts w:ascii="Arial Narrow" w:hAnsi="Arial Narrow"/>
          <w:sz w:val="28"/>
          <w:szCs w:val="28"/>
          <w:lang w:val="es-ES"/>
        </w:rPr>
        <w:t>de confesión</w:t>
      </w:r>
      <w:r w:rsidR="0086406B" w:rsidRPr="009701F8">
        <w:rPr>
          <w:rFonts w:ascii="Arial Narrow" w:hAnsi="Arial Narrow"/>
          <w:sz w:val="28"/>
          <w:szCs w:val="28"/>
          <w:lang w:val="es-ES"/>
        </w:rPr>
        <w:t>.</w:t>
      </w:r>
    </w:p>
    <w:p w:rsidR="00BD3D12" w:rsidRPr="00915336" w:rsidRDefault="00BD3D12" w:rsidP="00915336">
      <w:pPr>
        <w:pStyle w:val="Sinespaciado"/>
      </w:pPr>
    </w:p>
    <w:p w:rsidR="000A2232" w:rsidRDefault="00BD3D12" w:rsidP="00FE2499">
      <w:pPr>
        <w:pStyle w:val="Sinespaciado"/>
        <w:spacing w:line="276" w:lineRule="auto"/>
        <w:ind w:firstLine="708"/>
        <w:jc w:val="both"/>
        <w:rPr>
          <w:rFonts w:ascii="Arial Narrow" w:hAnsi="Arial Narrow"/>
          <w:sz w:val="28"/>
          <w:szCs w:val="28"/>
          <w:lang w:val="es-ES"/>
        </w:rPr>
      </w:pPr>
      <w:r>
        <w:rPr>
          <w:rFonts w:ascii="Arial Narrow" w:hAnsi="Arial Narrow"/>
          <w:sz w:val="28"/>
          <w:szCs w:val="28"/>
          <w:lang w:val="es-ES"/>
        </w:rPr>
        <w:t>Conforme se anotó en precedencia, la inasistencia de una de las partes a la audiencia de conciliación laboral tiene una serie de consecuencia</w:t>
      </w:r>
      <w:r w:rsidR="00FE2499">
        <w:rPr>
          <w:rFonts w:ascii="Arial Narrow" w:hAnsi="Arial Narrow"/>
          <w:sz w:val="28"/>
          <w:szCs w:val="28"/>
          <w:lang w:val="es-ES"/>
        </w:rPr>
        <w:t>s,</w:t>
      </w:r>
      <w:r w:rsidR="00F54337">
        <w:rPr>
          <w:rFonts w:ascii="Arial Narrow" w:hAnsi="Arial Narrow"/>
          <w:sz w:val="28"/>
          <w:szCs w:val="28"/>
          <w:lang w:val="es-ES"/>
        </w:rPr>
        <w:t xml:space="preserve"> </w:t>
      </w:r>
      <w:r w:rsidR="00FE2499">
        <w:rPr>
          <w:rFonts w:ascii="Arial Narrow" w:hAnsi="Arial Narrow"/>
          <w:sz w:val="28"/>
          <w:szCs w:val="28"/>
          <w:lang w:val="es-ES"/>
        </w:rPr>
        <w:t>dependiendo, en primer lugar, de la parte que inasista, y en s</w:t>
      </w:r>
      <w:r w:rsidR="00915336">
        <w:rPr>
          <w:rFonts w:ascii="Arial Narrow" w:hAnsi="Arial Narrow"/>
          <w:sz w:val="28"/>
          <w:szCs w:val="28"/>
          <w:lang w:val="es-ES"/>
        </w:rPr>
        <w:t>u</w:t>
      </w:r>
      <w:r w:rsidR="00FE2499">
        <w:rPr>
          <w:rFonts w:ascii="Arial Narrow" w:hAnsi="Arial Narrow"/>
          <w:sz w:val="28"/>
          <w:szCs w:val="28"/>
          <w:lang w:val="es-ES"/>
        </w:rPr>
        <w:t xml:space="preserve"> lugar, si se trata de </w:t>
      </w:r>
      <w:r>
        <w:rPr>
          <w:rFonts w:ascii="Arial Narrow" w:hAnsi="Arial Narrow"/>
          <w:sz w:val="28"/>
          <w:szCs w:val="28"/>
          <w:lang w:val="es-ES"/>
        </w:rPr>
        <w:t>hechos</w:t>
      </w:r>
      <w:r w:rsidR="00FE2499">
        <w:rPr>
          <w:rFonts w:ascii="Arial Narrow" w:hAnsi="Arial Narrow"/>
          <w:sz w:val="28"/>
          <w:szCs w:val="28"/>
          <w:lang w:val="es-ES"/>
        </w:rPr>
        <w:t xml:space="preserve"> susceptibles de confesión o no, los a calificar en contra del renuente, puesto que en el primer evento, se declararán presumidos los hechos, y en el segundo, el indicio grave </w:t>
      </w:r>
      <w:r w:rsidRPr="009701F8">
        <w:rPr>
          <w:rFonts w:ascii="Arial Narrow" w:hAnsi="Arial Narrow"/>
          <w:sz w:val="28"/>
          <w:szCs w:val="28"/>
          <w:lang w:val="es-ES"/>
        </w:rPr>
        <w:t xml:space="preserve">contra </w:t>
      </w:r>
      <w:r w:rsidR="00FE2499">
        <w:rPr>
          <w:rFonts w:ascii="Arial Narrow" w:hAnsi="Arial Narrow"/>
          <w:sz w:val="28"/>
          <w:szCs w:val="28"/>
          <w:lang w:val="es-ES"/>
        </w:rPr>
        <w:t>el incumplido.</w:t>
      </w:r>
    </w:p>
    <w:p w:rsidR="00FE2499" w:rsidRPr="000A2232" w:rsidRDefault="00FE2499" w:rsidP="00FE2499">
      <w:pPr>
        <w:pStyle w:val="Sinespaciado"/>
        <w:spacing w:line="276" w:lineRule="auto"/>
        <w:ind w:firstLine="708"/>
        <w:jc w:val="both"/>
      </w:pPr>
    </w:p>
    <w:p w:rsidR="001C2163" w:rsidRDefault="009D47CB" w:rsidP="009701F8">
      <w:pPr>
        <w:pStyle w:val="Sinespaciado"/>
        <w:spacing w:line="276" w:lineRule="auto"/>
        <w:ind w:firstLine="708"/>
        <w:jc w:val="both"/>
        <w:rPr>
          <w:rFonts w:ascii="Arial Narrow" w:hAnsi="Arial Narrow"/>
          <w:sz w:val="28"/>
          <w:szCs w:val="28"/>
          <w:lang w:val="es-ES"/>
        </w:rPr>
      </w:pPr>
      <w:r w:rsidRPr="009701F8">
        <w:rPr>
          <w:rFonts w:ascii="Arial Narrow" w:hAnsi="Arial Narrow"/>
          <w:sz w:val="28"/>
          <w:szCs w:val="28"/>
          <w:lang w:val="es-ES"/>
        </w:rPr>
        <w:t xml:space="preserve">Aterrizado lo anterior al caso de autos, observa la Sala que </w:t>
      </w:r>
      <w:r w:rsidR="003C16A3" w:rsidRPr="009701F8">
        <w:rPr>
          <w:rFonts w:ascii="Arial Narrow" w:hAnsi="Arial Narrow"/>
          <w:sz w:val="28"/>
          <w:szCs w:val="28"/>
          <w:lang w:val="es-ES"/>
        </w:rPr>
        <w:t>la jueza</w:t>
      </w:r>
      <w:r w:rsidR="000D1E9C" w:rsidRPr="009701F8">
        <w:rPr>
          <w:rFonts w:ascii="Arial Narrow" w:hAnsi="Arial Narrow"/>
          <w:sz w:val="28"/>
          <w:szCs w:val="28"/>
          <w:lang w:val="es-ES"/>
        </w:rPr>
        <w:t xml:space="preserve"> de</w:t>
      </w:r>
      <w:r w:rsidR="00915336">
        <w:rPr>
          <w:rFonts w:ascii="Arial Narrow" w:hAnsi="Arial Narrow"/>
          <w:sz w:val="28"/>
          <w:szCs w:val="28"/>
          <w:lang w:val="es-ES"/>
        </w:rPr>
        <w:t xml:space="preserve"> instancia, correctamente, </w:t>
      </w:r>
      <w:r w:rsidR="00F54337">
        <w:rPr>
          <w:rFonts w:ascii="Arial Narrow" w:hAnsi="Arial Narrow"/>
          <w:sz w:val="28"/>
          <w:szCs w:val="28"/>
          <w:lang w:val="es-ES"/>
        </w:rPr>
        <w:t>no declar</w:t>
      </w:r>
      <w:r w:rsidR="007B4024">
        <w:rPr>
          <w:rFonts w:ascii="Arial Narrow" w:hAnsi="Arial Narrow"/>
          <w:sz w:val="28"/>
          <w:szCs w:val="28"/>
          <w:lang w:val="es-ES"/>
        </w:rPr>
        <w:t xml:space="preserve">ó </w:t>
      </w:r>
      <w:r w:rsidR="00F54337">
        <w:rPr>
          <w:rFonts w:ascii="Arial Narrow" w:hAnsi="Arial Narrow"/>
          <w:sz w:val="28"/>
          <w:szCs w:val="28"/>
          <w:lang w:val="es-ES"/>
        </w:rPr>
        <w:t>como sanción procesal por la</w:t>
      </w:r>
      <w:r w:rsidR="00D77FC8">
        <w:rPr>
          <w:rFonts w:ascii="Arial Narrow" w:hAnsi="Arial Narrow"/>
          <w:sz w:val="28"/>
          <w:szCs w:val="28"/>
          <w:lang w:val="es-ES"/>
        </w:rPr>
        <w:t xml:space="preserve"> no comparecencia </w:t>
      </w:r>
      <w:r w:rsidR="00F54337">
        <w:rPr>
          <w:rFonts w:ascii="Arial Narrow" w:hAnsi="Arial Narrow"/>
          <w:sz w:val="28"/>
          <w:szCs w:val="28"/>
          <w:lang w:val="es-ES"/>
        </w:rPr>
        <w:t xml:space="preserve">del representante legal de la entidad demandada, </w:t>
      </w:r>
      <w:r w:rsidR="007B4024">
        <w:rPr>
          <w:rFonts w:ascii="Arial Narrow" w:hAnsi="Arial Narrow"/>
          <w:sz w:val="28"/>
          <w:szCs w:val="28"/>
          <w:lang w:val="es-ES"/>
        </w:rPr>
        <w:t>la presunción de veracidad de los hechos que admit</w:t>
      </w:r>
      <w:r w:rsidR="001C2163">
        <w:rPr>
          <w:rFonts w:ascii="Arial Narrow" w:hAnsi="Arial Narrow"/>
          <w:sz w:val="28"/>
          <w:szCs w:val="28"/>
          <w:lang w:val="es-ES"/>
        </w:rPr>
        <w:t>a</w:t>
      </w:r>
      <w:r w:rsidR="007B4024">
        <w:rPr>
          <w:rFonts w:ascii="Arial Narrow" w:hAnsi="Arial Narrow"/>
          <w:sz w:val="28"/>
          <w:szCs w:val="28"/>
          <w:lang w:val="es-ES"/>
        </w:rPr>
        <w:t>n prueba de confesión,</w:t>
      </w:r>
      <w:r w:rsidR="00CD73D8">
        <w:rPr>
          <w:rFonts w:ascii="Arial Narrow" w:hAnsi="Arial Narrow"/>
          <w:sz w:val="28"/>
          <w:szCs w:val="28"/>
          <w:lang w:val="es-ES"/>
        </w:rPr>
        <w:t xml:space="preserve"> pues n</w:t>
      </w:r>
      <w:r w:rsidR="007B4024">
        <w:rPr>
          <w:rFonts w:ascii="Arial Narrow" w:hAnsi="Arial Narrow"/>
          <w:sz w:val="28"/>
          <w:szCs w:val="28"/>
          <w:lang w:val="es-ES"/>
        </w:rPr>
        <w:t xml:space="preserve">o eran susceptibles de ese medio, </w:t>
      </w:r>
      <w:r w:rsidR="00CD73D8">
        <w:rPr>
          <w:rFonts w:ascii="Arial Narrow" w:hAnsi="Arial Narrow"/>
          <w:sz w:val="28"/>
          <w:szCs w:val="28"/>
          <w:lang w:val="es-ES"/>
        </w:rPr>
        <w:t xml:space="preserve">sino que </w:t>
      </w:r>
      <w:r w:rsidR="001C2163">
        <w:rPr>
          <w:rFonts w:ascii="Arial Narrow" w:hAnsi="Arial Narrow"/>
          <w:sz w:val="28"/>
          <w:szCs w:val="28"/>
          <w:lang w:val="es-ES"/>
        </w:rPr>
        <w:t xml:space="preserve">procedió a tenerlos </w:t>
      </w:r>
      <w:r w:rsidR="007B4024">
        <w:rPr>
          <w:rFonts w:ascii="Arial Narrow" w:hAnsi="Arial Narrow"/>
          <w:sz w:val="28"/>
          <w:szCs w:val="28"/>
          <w:lang w:val="es-ES"/>
        </w:rPr>
        <w:t>como indicio grave en contra de la entid</w:t>
      </w:r>
      <w:r w:rsidR="00B02EA1">
        <w:rPr>
          <w:rFonts w:ascii="Arial Narrow" w:hAnsi="Arial Narrow"/>
          <w:sz w:val="28"/>
          <w:szCs w:val="28"/>
          <w:lang w:val="es-ES"/>
        </w:rPr>
        <w:t>ad</w:t>
      </w:r>
      <w:r w:rsidR="00D77FC8">
        <w:rPr>
          <w:rFonts w:ascii="Arial Narrow" w:hAnsi="Arial Narrow"/>
          <w:sz w:val="28"/>
          <w:szCs w:val="28"/>
          <w:lang w:val="es-ES"/>
        </w:rPr>
        <w:t xml:space="preserve"> demandada</w:t>
      </w:r>
      <w:r w:rsidR="00B02EA1">
        <w:rPr>
          <w:rFonts w:ascii="Arial Narrow" w:hAnsi="Arial Narrow"/>
          <w:sz w:val="28"/>
          <w:szCs w:val="28"/>
          <w:lang w:val="es-ES"/>
        </w:rPr>
        <w:t xml:space="preserve">, </w:t>
      </w:r>
      <w:r w:rsidR="007D5AAA">
        <w:rPr>
          <w:rFonts w:ascii="Arial Narrow" w:hAnsi="Arial Narrow"/>
          <w:sz w:val="28"/>
          <w:szCs w:val="28"/>
          <w:lang w:val="es-ES"/>
        </w:rPr>
        <w:t>por lo que</w:t>
      </w:r>
      <w:r w:rsidR="002E179C">
        <w:rPr>
          <w:rFonts w:ascii="Arial Narrow" w:hAnsi="Arial Narrow"/>
          <w:sz w:val="28"/>
          <w:szCs w:val="28"/>
          <w:lang w:val="es-ES"/>
        </w:rPr>
        <w:t xml:space="preserve"> se descarta </w:t>
      </w:r>
      <w:r w:rsidR="007D5AAA">
        <w:rPr>
          <w:rFonts w:ascii="Arial Narrow" w:hAnsi="Arial Narrow"/>
          <w:sz w:val="28"/>
          <w:szCs w:val="28"/>
          <w:lang w:val="es-ES"/>
        </w:rPr>
        <w:t>el</w:t>
      </w:r>
      <w:r w:rsidR="001C2163">
        <w:rPr>
          <w:rFonts w:ascii="Arial Narrow" w:hAnsi="Arial Narrow"/>
          <w:sz w:val="28"/>
          <w:szCs w:val="28"/>
          <w:lang w:val="es-ES"/>
        </w:rPr>
        <w:t xml:space="preserve"> reproche del recurrente dirigido a cuestionar la imposición de la </w:t>
      </w:r>
      <w:r w:rsidR="007D5AAA">
        <w:rPr>
          <w:rFonts w:ascii="Arial Narrow" w:hAnsi="Arial Narrow"/>
          <w:sz w:val="28"/>
          <w:szCs w:val="28"/>
          <w:lang w:val="es-ES"/>
        </w:rPr>
        <w:t xml:space="preserve">presunción de veracidad de los hechos susceptibles de confesión. </w:t>
      </w:r>
    </w:p>
    <w:p w:rsidR="007D5AAA" w:rsidRPr="00657B6F" w:rsidRDefault="007D5AAA" w:rsidP="00657B6F">
      <w:pPr>
        <w:pStyle w:val="Sinespaciado"/>
      </w:pPr>
    </w:p>
    <w:p w:rsidR="00C55F5B" w:rsidRPr="0088779E" w:rsidRDefault="007D5AAA" w:rsidP="0026129B">
      <w:pPr>
        <w:pStyle w:val="Sinespaciado"/>
        <w:spacing w:line="276" w:lineRule="auto"/>
        <w:ind w:firstLine="708"/>
        <w:jc w:val="both"/>
        <w:rPr>
          <w:rFonts w:ascii="Arial Narrow" w:hAnsi="Arial Narrow"/>
          <w:sz w:val="28"/>
          <w:szCs w:val="28"/>
          <w:lang w:val="es-ES"/>
        </w:rPr>
      </w:pPr>
      <w:r>
        <w:rPr>
          <w:rFonts w:ascii="Arial Narrow" w:hAnsi="Arial Narrow"/>
          <w:sz w:val="28"/>
          <w:szCs w:val="28"/>
          <w:lang w:val="es-ES"/>
        </w:rPr>
        <w:t xml:space="preserve">Ahora bien, en cuanto </w:t>
      </w:r>
      <w:r w:rsidR="00035CE9">
        <w:rPr>
          <w:rFonts w:ascii="Arial Narrow" w:hAnsi="Arial Narrow"/>
          <w:sz w:val="28"/>
          <w:szCs w:val="28"/>
          <w:lang w:val="es-ES"/>
        </w:rPr>
        <w:t>a la inconformidad relacionada</w:t>
      </w:r>
      <w:r>
        <w:rPr>
          <w:rFonts w:ascii="Arial Narrow" w:hAnsi="Arial Narrow"/>
          <w:sz w:val="28"/>
          <w:szCs w:val="28"/>
          <w:lang w:val="es-ES"/>
        </w:rPr>
        <w:t xml:space="preserve"> con la aplicación </w:t>
      </w:r>
      <w:r w:rsidR="00035CE9">
        <w:rPr>
          <w:rFonts w:ascii="Arial Narrow" w:hAnsi="Arial Narrow"/>
          <w:sz w:val="28"/>
          <w:szCs w:val="28"/>
          <w:lang w:val="es-ES"/>
        </w:rPr>
        <w:t xml:space="preserve">de la sanción procesal sobre hechos que no vinculan de manera directa a la entidad accionada, habrá que </w:t>
      </w:r>
      <w:r w:rsidR="00657B6F">
        <w:rPr>
          <w:rFonts w:ascii="Arial Narrow" w:hAnsi="Arial Narrow"/>
          <w:sz w:val="28"/>
          <w:szCs w:val="28"/>
          <w:lang w:val="es-ES"/>
        </w:rPr>
        <w:t xml:space="preserve">precisar </w:t>
      </w:r>
      <w:r w:rsidR="00035CE9" w:rsidRPr="0088779E">
        <w:rPr>
          <w:rFonts w:ascii="Arial Narrow" w:hAnsi="Arial Narrow"/>
          <w:sz w:val="28"/>
          <w:szCs w:val="28"/>
          <w:lang w:val="es-ES"/>
        </w:rPr>
        <w:t xml:space="preserve">que </w:t>
      </w:r>
      <w:r w:rsidR="0088779E" w:rsidRPr="0088779E">
        <w:rPr>
          <w:rFonts w:ascii="Arial Narrow" w:hAnsi="Arial Narrow"/>
          <w:sz w:val="28"/>
          <w:szCs w:val="28"/>
          <w:lang w:val="es-ES"/>
        </w:rPr>
        <w:t>en tratándose d</w:t>
      </w:r>
      <w:r w:rsidR="00C55F5B" w:rsidRPr="0088779E">
        <w:rPr>
          <w:rFonts w:ascii="Arial Narrow" w:hAnsi="Arial Narrow"/>
          <w:sz w:val="28"/>
          <w:szCs w:val="28"/>
          <w:lang w:val="es-ES"/>
        </w:rPr>
        <w:t>el indicio</w:t>
      </w:r>
      <w:r w:rsidR="007739FE" w:rsidRPr="0088779E">
        <w:rPr>
          <w:rFonts w:ascii="Arial Narrow" w:hAnsi="Arial Narrow"/>
          <w:sz w:val="28"/>
          <w:szCs w:val="28"/>
          <w:lang w:val="es-ES"/>
        </w:rPr>
        <w:t xml:space="preserve">, </w:t>
      </w:r>
      <w:r w:rsidR="00657B6F" w:rsidRPr="0088779E">
        <w:rPr>
          <w:rFonts w:ascii="Arial Narrow" w:hAnsi="Arial Narrow"/>
          <w:sz w:val="28"/>
          <w:szCs w:val="28"/>
          <w:lang w:val="es-ES"/>
        </w:rPr>
        <w:t>como medio de prueba indirecta,</w:t>
      </w:r>
      <w:r w:rsidR="007739FE" w:rsidRPr="0088779E">
        <w:rPr>
          <w:rFonts w:ascii="Arial Narrow" w:hAnsi="Arial Narrow"/>
          <w:sz w:val="28"/>
          <w:szCs w:val="28"/>
          <w:lang w:val="es-ES"/>
        </w:rPr>
        <w:t xml:space="preserve"> </w:t>
      </w:r>
      <w:r w:rsidR="0026129B">
        <w:rPr>
          <w:rFonts w:ascii="Arial Narrow" w:hAnsi="Arial Narrow"/>
          <w:sz w:val="28"/>
          <w:szCs w:val="28"/>
          <w:lang w:val="es-ES"/>
        </w:rPr>
        <w:t>la sanción</w:t>
      </w:r>
      <w:r w:rsidR="00EC521C">
        <w:rPr>
          <w:rFonts w:ascii="Arial Narrow" w:hAnsi="Arial Narrow"/>
          <w:sz w:val="28"/>
          <w:szCs w:val="28"/>
          <w:lang w:val="es-ES"/>
        </w:rPr>
        <w:t xml:space="preserve"> procesal por la no comparecencia a la audiencia </w:t>
      </w:r>
      <w:r w:rsidR="00330587">
        <w:rPr>
          <w:rFonts w:ascii="Arial Narrow" w:hAnsi="Arial Narrow"/>
          <w:sz w:val="28"/>
          <w:szCs w:val="28"/>
          <w:lang w:val="es-ES"/>
        </w:rPr>
        <w:t>necesariamente</w:t>
      </w:r>
      <w:r w:rsidR="00EF181B">
        <w:rPr>
          <w:rFonts w:ascii="Arial Narrow" w:hAnsi="Arial Narrow"/>
          <w:sz w:val="28"/>
          <w:szCs w:val="28"/>
          <w:lang w:val="es-ES"/>
        </w:rPr>
        <w:t xml:space="preserve"> debe recaer </w:t>
      </w:r>
      <w:r w:rsidR="00330587">
        <w:rPr>
          <w:rFonts w:ascii="Arial Narrow" w:hAnsi="Arial Narrow"/>
          <w:sz w:val="28"/>
          <w:szCs w:val="28"/>
          <w:lang w:val="es-ES"/>
        </w:rPr>
        <w:t>so</w:t>
      </w:r>
      <w:r w:rsidR="00F04DDA">
        <w:rPr>
          <w:rFonts w:ascii="Arial Narrow" w:hAnsi="Arial Narrow"/>
          <w:sz w:val="28"/>
          <w:szCs w:val="28"/>
          <w:lang w:val="es-ES"/>
        </w:rPr>
        <w:t>bre l</w:t>
      </w:r>
      <w:r w:rsidR="00330587">
        <w:rPr>
          <w:rFonts w:ascii="Arial Narrow" w:hAnsi="Arial Narrow"/>
          <w:sz w:val="28"/>
          <w:szCs w:val="28"/>
          <w:lang w:val="es-ES"/>
        </w:rPr>
        <w:t>as afirmaciones de hecho q</w:t>
      </w:r>
      <w:r w:rsidR="00F04DDA">
        <w:rPr>
          <w:rFonts w:ascii="Arial Narrow" w:hAnsi="Arial Narrow"/>
          <w:sz w:val="28"/>
          <w:szCs w:val="28"/>
          <w:lang w:val="es-ES"/>
        </w:rPr>
        <w:t>ue pretend</w:t>
      </w:r>
      <w:r w:rsidR="00EF181B">
        <w:rPr>
          <w:rFonts w:ascii="Arial Narrow" w:hAnsi="Arial Narrow"/>
          <w:sz w:val="28"/>
          <w:szCs w:val="28"/>
          <w:lang w:val="es-ES"/>
        </w:rPr>
        <w:t>e</w:t>
      </w:r>
      <w:r w:rsidR="00F04DDA">
        <w:rPr>
          <w:rFonts w:ascii="Arial Narrow" w:hAnsi="Arial Narrow"/>
          <w:sz w:val="28"/>
          <w:szCs w:val="28"/>
          <w:lang w:val="es-ES"/>
        </w:rPr>
        <w:t xml:space="preserve"> demostrar la parte actora, sin consideración </w:t>
      </w:r>
      <w:r w:rsidR="00F9445D">
        <w:rPr>
          <w:rFonts w:ascii="Arial Narrow" w:hAnsi="Arial Narrow"/>
          <w:sz w:val="28"/>
          <w:szCs w:val="28"/>
          <w:lang w:val="es-ES"/>
        </w:rPr>
        <w:t xml:space="preserve">a la vinculación directa </w:t>
      </w:r>
      <w:r w:rsidR="00EF181B">
        <w:rPr>
          <w:rFonts w:ascii="Arial Narrow" w:hAnsi="Arial Narrow"/>
          <w:sz w:val="28"/>
          <w:szCs w:val="28"/>
          <w:lang w:val="es-ES"/>
        </w:rPr>
        <w:t xml:space="preserve">o no </w:t>
      </w:r>
      <w:r w:rsidR="00F9445D">
        <w:rPr>
          <w:rFonts w:ascii="Arial Narrow" w:hAnsi="Arial Narrow"/>
          <w:sz w:val="28"/>
          <w:szCs w:val="28"/>
          <w:lang w:val="es-ES"/>
        </w:rPr>
        <w:t xml:space="preserve">de </w:t>
      </w:r>
      <w:r w:rsidR="00330587">
        <w:rPr>
          <w:rFonts w:ascii="Arial Narrow" w:hAnsi="Arial Narrow"/>
          <w:sz w:val="28"/>
          <w:szCs w:val="28"/>
          <w:lang w:val="es-ES"/>
        </w:rPr>
        <w:t xml:space="preserve">su contraparte, </w:t>
      </w:r>
      <w:r w:rsidR="00F9445D">
        <w:rPr>
          <w:rFonts w:ascii="Arial Narrow" w:hAnsi="Arial Narrow"/>
          <w:sz w:val="28"/>
          <w:szCs w:val="28"/>
          <w:lang w:val="es-ES"/>
        </w:rPr>
        <w:t xml:space="preserve">pues </w:t>
      </w:r>
      <w:r w:rsidR="00EF181B">
        <w:rPr>
          <w:rFonts w:ascii="Arial Narrow" w:hAnsi="Arial Narrow"/>
          <w:sz w:val="28"/>
          <w:szCs w:val="28"/>
          <w:lang w:val="es-ES"/>
        </w:rPr>
        <w:t xml:space="preserve">el indicio </w:t>
      </w:r>
      <w:r w:rsidR="00EC521C">
        <w:rPr>
          <w:rFonts w:ascii="Arial Narrow" w:hAnsi="Arial Narrow"/>
          <w:sz w:val="28"/>
          <w:szCs w:val="28"/>
          <w:lang w:val="es-ES"/>
        </w:rPr>
        <w:t xml:space="preserve">grave </w:t>
      </w:r>
      <w:r w:rsidR="00F9445D">
        <w:rPr>
          <w:rFonts w:ascii="Arial Narrow" w:hAnsi="Arial Narrow"/>
          <w:sz w:val="28"/>
          <w:szCs w:val="28"/>
          <w:lang w:val="es-ES"/>
        </w:rPr>
        <w:t xml:space="preserve">no </w:t>
      </w:r>
      <w:r w:rsidR="00EF181B">
        <w:rPr>
          <w:rFonts w:ascii="Arial Narrow" w:hAnsi="Arial Narrow"/>
          <w:sz w:val="28"/>
          <w:szCs w:val="28"/>
          <w:lang w:val="es-ES"/>
        </w:rPr>
        <w:t xml:space="preserve">posee </w:t>
      </w:r>
      <w:r w:rsidR="0014676D">
        <w:rPr>
          <w:rFonts w:ascii="Arial Narrow" w:hAnsi="Arial Narrow"/>
          <w:sz w:val="28"/>
          <w:szCs w:val="28"/>
          <w:lang w:val="es-ES"/>
        </w:rPr>
        <w:t xml:space="preserve">los </w:t>
      </w:r>
      <w:r w:rsidR="00F9445D">
        <w:rPr>
          <w:rFonts w:ascii="Arial Narrow" w:hAnsi="Arial Narrow"/>
          <w:sz w:val="28"/>
          <w:szCs w:val="28"/>
          <w:lang w:val="es-ES"/>
        </w:rPr>
        <w:t>efectos de la confesión</w:t>
      </w:r>
      <w:r w:rsidR="00EF181B">
        <w:rPr>
          <w:rFonts w:ascii="Arial Narrow" w:hAnsi="Arial Narrow"/>
          <w:sz w:val="28"/>
          <w:szCs w:val="28"/>
          <w:lang w:val="es-ES"/>
        </w:rPr>
        <w:t xml:space="preserve">, </w:t>
      </w:r>
      <w:r w:rsidR="00EC521C">
        <w:rPr>
          <w:rFonts w:ascii="Arial Narrow" w:hAnsi="Arial Narrow"/>
          <w:sz w:val="28"/>
          <w:szCs w:val="28"/>
          <w:lang w:val="es-ES"/>
        </w:rPr>
        <w:t xml:space="preserve">en la medida en que no </w:t>
      </w:r>
      <w:r w:rsidR="00F9445D">
        <w:rPr>
          <w:rFonts w:ascii="Arial Narrow" w:hAnsi="Arial Narrow"/>
          <w:sz w:val="28"/>
          <w:szCs w:val="28"/>
          <w:lang w:val="es-ES"/>
        </w:rPr>
        <w:t xml:space="preserve">versa sobre </w:t>
      </w:r>
      <w:r w:rsidR="0014676D">
        <w:rPr>
          <w:rFonts w:ascii="Arial Narrow" w:hAnsi="Arial Narrow"/>
          <w:sz w:val="28"/>
          <w:szCs w:val="28"/>
          <w:lang w:val="es-ES"/>
        </w:rPr>
        <w:t xml:space="preserve">aquellos </w:t>
      </w:r>
      <w:r w:rsidR="00F9445D">
        <w:rPr>
          <w:rFonts w:ascii="Arial Narrow" w:hAnsi="Arial Narrow"/>
          <w:sz w:val="28"/>
          <w:szCs w:val="28"/>
          <w:lang w:val="es-ES"/>
        </w:rPr>
        <w:t>hechos que conlleven a consecuencias jurídicas desfavorables para</w:t>
      </w:r>
      <w:r w:rsidR="00EF181B">
        <w:rPr>
          <w:rFonts w:ascii="Arial Narrow" w:hAnsi="Arial Narrow"/>
          <w:sz w:val="28"/>
          <w:szCs w:val="28"/>
          <w:lang w:val="es-ES"/>
        </w:rPr>
        <w:t xml:space="preserve"> la parte </w:t>
      </w:r>
      <w:r w:rsidR="00EC521C">
        <w:rPr>
          <w:rFonts w:ascii="Arial Narrow" w:hAnsi="Arial Narrow"/>
          <w:sz w:val="28"/>
          <w:szCs w:val="28"/>
          <w:lang w:val="es-ES"/>
        </w:rPr>
        <w:t>incumplida, sino que parte de un hecho conocido</w:t>
      </w:r>
      <w:r w:rsidR="00EC521C" w:rsidRPr="0088779E">
        <w:rPr>
          <w:rFonts w:ascii="Arial Narrow" w:hAnsi="Arial Narrow"/>
          <w:sz w:val="28"/>
          <w:szCs w:val="28"/>
          <w:lang w:val="es-ES"/>
        </w:rPr>
        <w:t xml:space="preserve"> para establecer la existencia de </w:t>
      </w:r>
      <w:r w:rsidR="00EC521C">
        <w:rPr>
          <w:rFonts w:ascii="Arial Narrow" w:hAnsi="Arial Narrow"/>
          <w:sz w:val="28"/>
          <w:szCs w:val="28"/>
          <w:lang w:val="es-ES"/>
        </w:rPr>
        <w:t xml:space="preserve">otro </w:t>
      </w:r>
      <w:r w:rsidR="00EC521C" w:rsidRPr="0088779E">
        <w:rPr>
          <w:rFonts w:ascii="Arial Narrow" w:hAnsi="Arial Narrow"/>
          <w:sz w:val="28"/>
          <w:szCs w:val="28"/>
          <w:lang w:val="es-ES"/>
        </w:rPr>
        <w:t>desconocido</w:t>
      </w:r>
      <w:r w:rsidR="00EC521C">
        <w:rPr>
          <w:rFonts w:ascii="Arial Narrow" w:hAnsi="Arial Narrow"/>
          <w:sz w:val="28"/>
          <w:szCs w:val="28"/>
          <w:lang w:val="es-ES"/>
        </w:rPr>
        <w:t>,</w:t>
      </w:r>
      <w:r w:rsidR="00EC521C" w:rsidRPr="0088779E">
        <w:rPr>
          <w:rFonts w:ascii="Arial Narrow" w:hAnsi="Arial Narrow"/>
          <w:sz w:val="28"/>
          <w:szCs w:val="28"/>
          <w:lang w:val="es-ES"/>
        </w:rPr>
        <w:t xml:space="preserve"> a través de </w:t>
      </w:r>
      <w:r w:rsidR="00EC521C">
        <w:rPr>
          <w:rFonts w:ascii="Arial Narrow" w:hAnsi="Arial Narrow"/>
          <w:sz w:val="28"/>
          <w:szCs w:val="28"/>
          <w:lang w:val="es-ES"/>
        </w:rPr>
        <w:t xml:space="preserve">un razonamiento </w:t>
      </w:r>
      <w:r w:rsidR="00EC521C" w:rsidRPr="0088779E">
        <w:rPr>
          <w:rFonts w:ascii="Arial Narrow" w:hAnsi="Arial Narrow"/>
          <w:sz w:val="28"/>
          <w:szCs w:val="28"/>
          <w:lang w:val="es-ES"/>
        </w:rPr>
        <w:t>lóg</w:t>
      </w:r>
      <w:r w:rsidR="00EC521C">
        <w:rPr>
          <w:rFonts w:ascii="Arial Narrow" w:hAnsi="Arial Narrow"/>
          <w:sz w:val="28"/>
          <w:szCs w:val="28"/>
          <w:lang w:val="es-ES"/>
        </w:rPr>
        <w:t xml:space="preserve">ico y de </w:t>
      </w:r>
      <w:r w:rsidR="00EC521C" w:rsidRPr="0088779E">
        <w:rPr>
          <w:rFonts w:ascii="Arial Narrow" w:hAnsi="Arial Narrow"/>
          <w:sz w:val="28"/>
          <w:szCs w:val="28"/>
          <w:lang w:val="es-ES"/>
        </w:rPr>
        <w:t>las m</w:t>
      </w:r>
      <w:r w:rsidR="00EC521C">
        <w:rPr>
          <w:rFonts w:ascii="Arial Narrow" w:hAnsi="Arial Narrow"/>
          <w:sz w:val="28"/>
          <w:szCs w:val="28"/>
          <w:lang w:val="es-ES"/>
        </w:rPr>
        <w:t>áximas de la experiencia</w:t>
      </w:r>
      <w:r w:rsidR="00915336">
        <w:rPr>
          <w:rFonts w:ascii="Arial Narrow" w:hAnsi="Arial Narrow"/>
          <w:sz w:val="28"/>
          <w:szCs w:val="28"/>
          <w:lang w:val="es-ES"/>
        </w:rPr>
        <w:t>, sin que ese hecho tenga que ser necesariamente un acto que emane del sujeto a sancionar.</w:t>
      </w:r>
    </w:p>
    <w:p w:rsidR="00C55F5B" w:rsidRPr="00EC521C" w:rsidRDefault="00C55F5B" w:rsidP="00EC521C">
      <w:pPr>
        <w:pStyle w:val="Sinespaciado"/>
      </w:pPr>
    </w:p>
    <w:p w:rsidR="00E91182" w:rsidRDefault="00D25A28" w:rsidP="007D5AAA">
      <w:pPr>
        <w:pStyle w:val="Sinespaciado"/>
        <w:spacing w:line="276" w:lineRule="auto"/>
        <w:ind w:firstLine="708"/>
        <w:jc w:val="both"/>
        <w:rPr>
          <w:rFonts w:ascii="Arial Narrow" w:hAnsi="Arial Narrow"/>
          <w:sz w:val="28"/>
          <w:szCs w:val="28"/>
          <w:lang w:val="es-ES"/>
        </w:rPr>
      </w:pPr>
      <w:r>
        <w:rPr>
          <w:rFonts w:ascii="Arial Narrow" w:hAnsi="Arial Narrow"/>
          <w:sz w:val="28"/>
          <w:szCs w:val="28"/>
          <w:lang w:val="es-ES"/>
        </w:rPr>
        <w:t xml:space="preserve">Por ende, tampoco prospera este </w:t>
      </w:r>
      <w:r w:rsidR="00C46E36">
        <w:rPr>
          <w:rFonts w:ascii="Arial Narrow" w:hAnsi="Arial Narrow"/>
          <w:sz w:val="28"/>
          <w:szCs w:val="28"/>
          <w:lang w:val="es-ES"/>
        </w:rPr>
        <w:t xml:space="preserve">segmento </w:t>
      </w:r>
      <w:r>
        <w:rPr>
          <w:rFonts w:ascii="Arial Narrow" w:hAnsi="Arial Narrow"/>
          <w:sz w:val="28"/>
          <w:szCs w:val="28"/>
          <w:lang w:val="es-ES"/>
        </w:rPr>
        <w:t>d</w:t>
      </w:r>
      <w:r w:rsidR="00C46E36">
        <w:rPr>
          <w:rFonts w:ascii="Arial Narrow" w:hAnsi="Arial Narrow"/>
          <w:sz w:val="28"/>
          <w:szCs w:val="28"/>
          <w:lang w:val="es-ES"/>
        </w:rPr>
        <w:t>e</w:t>
      </w:r>
      <w:r>
        <w:rPr>
          <w:rFonts w:ascii="Arial Narrow" w:hAnsi="Arial Narrow"/>
          <w:sz w:val="28"/>
          <w:szCs w:val="28"/>
          <w:lang w:val="es-ES"/>
        </w:rPr>
        <w:t xml:space="preserve"> la apelación. Se confirmar</w:t>
      </w:r>
      <w:r w:rsidR="00C46E36">
        <w:rPr>
          <w:rFonts w:ascii="Arial Narrow" w:hAnsi="Arial Narrow"/>
          <w:sz w:val="28"/>
          <w:szCs w:val="28"/>
          <w:lang w:val="es-ES"/>
        </w:rPr>
        <w:t xml:space="preserve">á íntegramente </w:t>
      </w:r>
      <w:r>
        <w:rPr>
          <w:rFonts w:ascii="Arial Narrow" w:hAnsi="Arial Narrow"/>
          <w:sz w:val="28"/>
          <w:szCs w:val="28"/>
          <w:lang w:val="es-ES"/>
        </w:rPr>
        <w:t>la providencia de primer grado.</w:t>
      </w:r>
    </w:p>
    <w:p w:rsidR="00E91182" w:rsidRPr="0014676D" w:rsidRDefault="00E91182" w:rsidP="0014676D">
      <w:pPr>
        <w:pStyle w:val="Sinespaciado"/>
      </w:pPr>
    </w:p>
    <w:p w:rsidR="00C46E36" w:rsidRDefault="00C46E36" w:rsidP="007D5AAA">
      <w:pPr>
        <w:pStyle w:val="Sinespaciado"/>
        <w:spacing w:line="276" w:lineRule="auto"/>
        <w:ind w:firstLine="708"/>
        <w:jc w:val="both"/>
        <w:rPr>
          <w:rFonts w:ascii="Arial Narrow" w:hAnsi="Arial Narrow"/>
          <w:sz w:val="28"/>
          <w:szCs w:val="28"/>
          <w:lang w:val="es-ES"/>
        </w:rPr>
      </w:pPr>
      <w:r>
        <w:rPr>
          <w:rFonts w:ascii="Arial Narrow" w:hAnsi="Arial Narrow"/>
          <w:sz w:val="28"/>
          <w:szCs w:val="28"/>
          <w:lang w:val="es-ES"/>
        </w:rPr>
        <w:t xml:space="preserve">Costas en esta instancia a cargo del recurrente. </w:t>
      </w:r>
    </w:p>
    <w:p w:rsidR="00035CE9" w:rsidRDefault="00035CE9" w:rsidP="007D5AAA">
      <w:pPr>
        <w:pStyle w:val="Sinespaciado"/>
        <w:spacing w:line="276" w:lineRule="auto"/>
        <w:ind w:firstLine="708"/>
        <w:jc w:val="both"/>
        <w:rPr>
          <w:rFonts w:ascii="Arial Narrow" w:hAnsi="Arial Narrow"/>
          <w:sz w:val="28"/>
          <w:szCs w:val="28"/>
          <w:lang w:val="es-ES"/>
        </w:rPr>
      </w:pPr>
    </w:p>
    <w:p w:rsidR="009701F8" w:rsidRPr="00310236" w:rsidRDefault="00E33DA0" w:rsidP="004310C0">
      <w:pPr>
        <w:pStyle w:val="Prrafodelista1"/>
        <w:spacing w:after="0"/>
        <w:ind w:left="0" w:firstLine="709"/>
        <w:jc w:val="both"/>
        <w:rPr>
          <w:rFonts w:ascii="Arial Narrow" w:hAnsi="Arial Narrow"/>
          <w:sz w:val="28"/>
          <w:szCs w:val="28"/>
        </w:rPr>
      </w:pPr>
      <w:r w:rsidRPr="009701F8">
        <w:rPr>
          <w:rFonts w:ascii="Arial Narrow" w:hAnsi="Arial Narrow" w:cs="Arial"/>
          <w:sz w:val="28"/>
          <w:szCs w:val="28"/>
        </w:rPr>
        <w:t xml:space="preserve">En mérito de lo expuesto, </w:t>
      </w:r>
      <w:r w:rsidRPr="009701F8">
        <w:rPr>
          <w:rFonts w:ascii="Arial Narrow" w:hAnsi="Arial Narrow" w:cs="Arial"/>
          <w:b/>
          <w:sz w:val="28"/>
          <w:szCs w:val="28"/>
        </w:rPr>
        <w:t>la Sala Laboral del Tribunal Superior de Distrito Judicial de Pereira - Risaralda</w:t>
      </w:r>
      <w:r w:rsidR="009701F8" w:rsidRPr="009701F8">
        <w:rPr>
          <w:rFonts w:ascii="Arial Narrow" w:hAnsi="Arial Narrow" w:cs="Arial"/>
          <w:sz w:val="28"/>
          <w:szCs w:val="28"/>
        </w:rPr>
        <w:t xml:space="preserve">, </w:t>
      </w:r>
      <w:r w:rsidR="009701F8" w:rsidRPr="00310236">
        <w:rPr>
          <w:rFonts w:ascii="Arial Narrow" w:hAnsi="Arial Narrow"/>
          <w:sz w:val="28"/>
          <w:szCs w:val="28"/>
        </w:rPr>
        <w:t>administrando justicia en nombre de la República y por autoridad de la ley,</w:t>
      </w:r>
    </w:p>
    <w:p w:rsidR="009701F8" w:rsidRDefault="009701F8" w:rsidP="009701F8">
      <w:pPr>
        <w:pStyle w:val="Sinespaciado"/>
      </w:pPr>
    </w:p>
    <w:p w:rsidR="009701F8" w:rsidRDefault="009701F8" w:rsidP="009701F8">
      <w:pPr>
        <w:pStyle w:val="Sinespaciado"/>
        <w:spacing w:line="276" w:lineRule="auto"/>
        <w:ind w:firstLine="708"/>
        <w:jc w:val="center"/>
        <w:rPr>
          <w:rFonts w:ascii="Arial Narrow" w:hAnsi="Arial Narrow" w:cs="Arial"/>
          <w:b/>
          <w:sz w:val="28"/>
          <w:szCs w:val="28"/>
        </w:rPr>
      </w:pPr>
      <w:r w:rsidRPr="009701F8">
        <w:rPr>
          <w:rFonts w:ascii="Arial Narrow" w:hAnsi="Arial Narrow" w:cs="Arial"/>
          <w:b/>
          <w:sz w:val="28"/>
          <w:szCs w:val="28"/>
        </w:rPr>
        <w:t>RESUELVE</w:t>
      </w:r>
    </w:p>
    <w:p w:rsidR="0019714A" w:rsidRPr="009701F8" w:rsidRDefault="0019714A" w:rsidP="009701F8">
      <w:pPr>
        <w:pStyle w:val="Sinespaciado"/>
        <w:spacing w:line="276" w:lineRule="auto"/>
        <w:ind w:firstLine="708"/>
        <w:jc w:val="center"/>
        <w:rPr>
          <w:rFonts w:ascii="Arial Narrow" w:hAnsi="Arial Narrow" w:cs="Arial"/>
          <w:b/>
          <w:sz w:val="28"/>
          <w:szCs w:val="28"/>
        </w:rPr>
      </w:pPr>
    </w:p>
    <w:p w:rsidR="009701F8" w:rsidRPr="009701F8" w:rsidRDefault="00EC521C" w:rsidP="00A84B69">
      <w:pPr>
        <w:pStyle w:val="Sinespaciado"/>
        <w:spacing w:line="276" w:lineRule="auto"/>
        <w:ind w:firstLine="284"/>
        <w:jc w:val="both"/>
        <w:rPr>
          <w:rFonts w:ascii="Arial Narrow" w:hAnsi="Arial Narrow"/>
          <w:sz w:val="28"/>
          <w:szCs w:val="28"/>
          <w:lang w:val="es-ES"/>
        </w:rPr>
      </w:pPr>
      <w:r>
        <w:rPr>
          <w:rFonts w:ascii="Arial Narrow" w:hAnsi="Arial Narrow"/>
          <w:b/>
          <w:i/>
          <w:sz w:val="28"/>
          <w:szCs w:val="28"/>
          <w:lang w:val="es-ES"/>
        </w:rPr>
        <w:t xml:space="preserve">Confirma </w:t>
      </w:r>
      <w:r w:rsidR="009701F8">
        <w:rPr>
          <w:rFonts w:ascii="Arial Narrow" w:hAnsi="Arial Narrow"/>
          <w:sz w:val="28"/>
          <w:szCs w:val="28"/>
          <w:lang w:val="es-ES"/>
        </w:rPr>
        <w:t xml:space="preserve">la decisión proferida por el Juzgado Tercero Laboral del Circuito de esta </w:t>
      </w:r>
      <w:r>
        <w:rPr>
          <w:rFonts w:ascii="Arial Narrow" w:hAnsi="Arial Narrow"/>
          <w:sz w:val="28"/>
          <w:szCs w:val="28"/>
          <w:lang w:val="es-ES"/>
        </w:rPr>
        <w:t>ciudad el 12 de agosto de 2015, dentro del proceso de la referencia.</w:t>
      </w:r>
    </w:p>
    <w:p w:rsidR="009701F8" w:rsidRPr="009701F8" w:rsidRDefault="009701F8" w:rsidP="00A84B69">
      <w:pPr>
        <w:pStyle w:val="Sinespaciado"/>
        <w:spacing w:line="276" w:lineRule="auto"/>
        <w:rPr>
          <w:lang w:val="es-ES"/>
        </w:rPr>
      </w:pPr>
    </w:p>
    <w:p w:rsidR="00313101" w:rsidRDefault="00313101" w:rsidP="00313101">
      <w:pPr>
        <w:pStyle w:val="Sinespaciado"/>
        <w:spacing w:line="276" w:lineRule="auto"/>
        <w:ind w:firstLine="708"/>
        <w:jc w:val="both"/>
        <w:rPr>
          <w:rFonts w:ascii="Arial Narrow" w:hAnsi="Arial Narrow"/>
          <w:sz w:val="28"/>
          <w:szCs w:val="28"/>
          <w:lang w:val="es-ES"/>
        </w:rPr>
      </w:pPr>
      <w:r>
        <w:rPr>
          <w:rFonts w:ascii="Arial Narrow" w:hAnsi="Arial Narrow"/>
          <w:sz w:val="28"/>
          <w:szCs w:val="28"/>
          <w:lang w:val="es-ES"/>
        </w:rPr>
        <w:t xml:space="preserve">Costas en esta instancia a cargo de la demandada. </w:t>
      </w:r>
    </w:p>
    <w:p w:rsidR="00E33DA0" w:rsidRDefault="00E33DA0" w:rsidP="004310C0">
      <w:pPr>
        <w:pStyle w:val="Sinespaciado"/>
      </w:pPr>
    </w:p>
    <w:p w:rsidR="00A84B69" w:rsidRPr="009701F8" w:rsidRDefault="00A84B69" w:rsidP="004310C0">
      <w:pPr>
        <w:pStyle w:val="Sinespaciado"/>
      </w:pPr>
    </w:p>
    <w:p w:rsidR="00E33DA0" w:rsidRPr="009701F8" w:rsidRDefault="00E33DA0" w:rsidP="00E33DA0">
      <w:pPr>
        <w:spacing w:line="360" w:lineRule="auto"/>
        <w:ind w:firstLine="708"/>
        <w:jc w:val="both"/>
        <w:rPr>
          <w:rFonts w:ascii="Arial Narrow" w:hAnsi="Arial Narrow" w:cs="Arial"/>
          <w:b/>
          <w:bCs/>
          <w:i/>
          <w:iCs/>
          <w:sz w:val="28"/>
          <w:szCs w:val="28"/>
        </w:rPr>
      </w:pPr>
      <w:r w:rsidRPr="009701F8">
        <w:rPr>
          <w:rFonts w:ascii="Arial Narrow" w:hAnsi="Arial Narrow" w:cs="Arial"/>
          <w:b/>
          <w:bCs/>
          <w:i/>
          <w:iCs/>
          <w:sz w:val="28"/>
          <w:szCs w:val="28"/>
        </w:rPr>
        <w:t>NOTIFÍQUESE, CÚMPLASE Y DEVUÉLVASE.</w:t>
      </w:r>
    </w:p>
    <w:p w:rsidR="004310C0" w:rsidRDefault="004310C0" w:rsidP="00A84B69">
      <w:pPr>
        <w:pStyle w:val="Sinespaciado"/>
        <w:spacing w:line="276" w:lineRule="auto"/>
      </w:pPr>
    </w:p>
    <w:p w:rsidR="00E33DA0" w:rsidRPr="009701F8" w:rsidRDefault="00E33DA0" w:rsidP="00E33DA0">
      <w:pPr>
        <w:spacing w:line="360" w:lineRule="auto"/>
        <w:jc w:val="both"/>
        <w:rPr>
          <w:rFonts w:ascii="Arial Narrow" w:hAnsi="Arial Narrow" w:cs="Arial"/>
          <w:i/>
          <w:sz w:val="28"/>
          <w:szCs w:val="28"/>
        </w:rPr>
      </w:pPr>
      <w:r w:rsidRPr="009701F8">
        <w:rPr>
          <w:rFonts w:ascii="Arial Narrow" w:hAnsi="Arial Narrow" w:cs="Arial"/>
          <w:sz w:val="28"/>
          <w:szCs w:val="28"/>
        </w:rPr>
        <w:t>Quedan las partes notificadas en</w:t>
      </w:r>
      <w:r w:rsidRPr="009701F8">
        <w:rPr>
          <w:rFonts w:ascii="Arial Narrow" w:hAnsi="Arial Narrow" w:cs="Arial"/>
          <w:i/>
          <w:sz w:val="28"/>
          <w:szCs w:val="28"/>
        </w:rPr>
        <w:t xml:space="preserve"> </w:t>
      </w:r>
      <w:r w:rsidRPr="009701F8">
        <w:rPr>
          <w:rFonts w:ascii="Arial Narrow" w:hAnsi="Arial Narrow" w:cs="Arial"/>
          <w:b/>
          <w:i/>
          <w:sz w:val="28"/>
          <w:szCs w:val="28"/>
        </w:rPr>
        <w:t>ESTRADOS.</w:t>
      </w:r>
    </w:p>
    <w:p w:rsidR="00E33DA0" w:rsidRPr="009701F8" w:rsidRDefault="00E33DA0" w:rsidP="00E33DA0">
      <w:pPr>
        <w:spacing w:line="360" w:lineRule="auto"/>
        <w:jc w:val="center"/>
        <w:rPr>
          <w:rFonts w:ascii="Arial Narrow" w:hAnsi="Arial Narrow" w:cs="Arial"/>
          <w:b/>
          <w:bCs/>
          <w:sz w:val="28"/>
          <w:szCs w:val="28"/>
        </w:rPr>
      </w:pPr>
    </w:p>
    <w:p w:rsidR="00E33DA0" w:rsidRPr="009701F8" w:rsidRDefault="00E33DA0" w:rsidP="00E33DA0">
      <w:pPr>
        <w:spacing w:line="360" w:lineRule="auto"/>
        <w:ind w:firstLine="900"/>
        <w:jc w:val="both"/>
        <w:rPr>
          <w:rFonts w:ascii="Arial Narrow" w:hAnsi="Arial Narrow" w:cs="Microsoft Sans Serif"/>
          <w:bCs/>
          <w:iCs/>
          <w:sz w:val="28"/>
          <w:szCs w:val="28"/>
          <w:lang w:val="es-ES"/>
        </w:rPr>
      </w:pPr>
    </w:p>
    <w:p w:rsidR="00E33DA0" w:rsidRPr="009701F8" w:rsidRDefault="00E33DA0" w:rsidP="004310C0">
      <w:pPr>
        <w:jc w:val="center"/>
        <w:rPr>
          <w:rFonts w:ascii="Arial Narrow" w:hAnsi="Arial Narrow" w:cs="Microsoft Sans Serif"/>
          <w:b/>
          <w:bCs/>
          <w:iCs/>
          <w:sz w:val="28"/>
          <w:szCs w:val="28"/>
          <w:lang w:val="es-ES"/>
        </w:rPr>
      </w:pPr>
    </w:p>
    <w:p w:rsidR="00E33DA0" w:rsidRDefault="00E33DA0" w:rsidP="004310C0">
      <w:pPr>
        <w:jc w:val="center"/>
        <w:rPr>
          <w:rFonts w:ascii="Arial Narrow" w:hAnsi="Arial Narrow" w:cs="Microsoft Sans Serif"/>
          <w:b/>
          <w:bCs/>
          <w:iCs/>
          <w:sz w:val="28"/>
          <w:szCs w:val="28"/>
          <w:lang w:val="es-ES"/>
        </w:rPr>
      </w:pPr>
      <w:r w:rsidRPr="009701F8">
        <w:rPr>
          <w:rFonts w:ascii="Arial Narrow" w:hAnsi="Arial Narrow" w:cs="Microsoft Sans Serif"/>
          <w:b/>
          <w:bCs/>
          <w:iCs/>
          <w:sz w:val="28"/>
          <w:szCs w:val="28"/>
          <w:lang w:val="es-ES"/>
        </w:rPr>
        <w:t>FRANCISCO JAVIER TAMAYO TABARES</w:t>
      </w:r>
    </w:p>
    <w:p w:rsidR="004310C0" w:rsidRPr="004310C0" w:rsidRDefault="004310C0" w:rsidP="004310C0">
      <w:pPr>
        <w:jc w:val="center"/>
        <w:rPr>
          <w:rFonts w:ascii="Arial Narrow" w:hAnsi="Arial Narrow" w:cs="Microsoft Sans Serif"/>
          <w:bCs/>
          <w:iCs/>
          <w:sz w:val="28"/>
          <w:szCs w:val="28"/>
          <w:lang w:val="es-ES"/>
        </w:rPr>
      </w:pPr>
      <w:r w:rsidRPr="004310C0">
        <w:rPr>
          <w:rFonts w:ascii="Arial Narrow" w:hAnsi="Arial Narrow" w:cs="Microsoft Sans Serif"/>
          <w:bCs/>
          <w:iCs/>
          <w:sz w:val="28"/>
          <w:szCs w:val="28"/>
          <w:lang w:val="es-ES"/>
        </w:rPr>
        <w:t>Magistrado</w:t>
      </w:r>
    </w:p>
    <w:p w:rsidR="004310C0" w:rsidRDefault="004310C0" w:rsidP="004310C0">
      <w:pPr>
        <w:spacing w:line="360" w:lineRule="auto"/>
        <w:jc w:val="center"/>
        <w:rPr>
          <w:rFonts w:ascii="Arial Narrow" w:hAnsi="Arial Narrow" w:cs="Microsoft Sans Serif"/>
          <w:b/>
          <w:bCs/>
          <w:iCs/>
          <w:sz w:val="28"/>
          <w:szCs w:val="28"/>
          <w:lang w:val="es-ES"/>
        </w:rPr>
      </w:pPr>
    </w:p>
    <w:p w:rsidR="004310C0" w:rsidRDefault="004310C0" w:rsidP="004310C0">
      <w:pPr>
        <w:spacing w:line="360" w:lineRule="auto"/>
        <w:jc w:val="center"/>
        <w:rPr>
          <w:rFonts w:ascii="Arial Narrow" w:hAnsi="Arial Narrow" w:cs="Microsoft Sans Serif"/>
          <w:b/>
          <w:bCs/>
          <w:iCs/>
          <w:sz w:val="28"/>
          <w:szCs w:val="28"/>
          <w:lang w:val="es-ES"/>
        </w:rPr>
      </w:pPr>
    </w:p>
    <w:p w:rsidR="004310C0" w:rsidRDefault="004310C0" w:rsidP="004310C0">
      <w:pPr>
        <w:spacing w:line="360" w:lineRule="auto"/>
        <w:jc w:val="center"/>
        <w:rPr>
          <w:rFonts w:ascii="Arial Narrow" w:hAnsi="Arial Narrow" w:cs="Microsoft Sans Serif"/>
          <w:b/>
          <w:bCs/>
          <w:iCs/>
          <w:sz w:val="28"/>
          <w:szCs w:val="28"/>
          <w:lang w:val="es-ES"/>
        </w:rPr>
      </w:pPr>
    </w:p>
    <w:p w:rsidR="004310C0" w:rsidRDefault="004310C0" w:rsidP="004310C0">
      <w:pPr>
        <w:jc w:val="center"/>
        <w:rPr>
          <w:rFonts w:ascii="Arial Narrow" w:hAnsi="Arial Narrow" w:cs="Microsoft Sans Serif"/>
          <w:b/>
          <w:bCs/>
          <w:iCs/>
          <w:sz w:val="28"/>
          <w:szCs w:val="28"/>
          <w:lang w:val="es-ES"/>
        </w:rPr>
      </w:pPr>
    </w:p>
    <w:p w:rsidR="004310C0" w:rsidRDefault="004310C0" w:rsidP="004310C0">
      <w:pPr>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ANA LUCIA CAICEDO CALDERÓN                  ISSA RAFAEL ULLOQUE TOSCANO</w:t>
      </w:r>
    </w:p>
    <w:p w:rsidR="004310C0" w:rsidRPr="004310C0" w:rsidRDefault="004310C0" w:rsidP="004310C0">
      <w:pPr>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Pr="004310C0">
        <w:rPr>
          <w:rFonts w:ascii="Arial Narrow" w:hAnsi="Arial Narrow" w:cs="Microsoft Sans Serif"/>
          <w:bCs/>
          <w:iCs/>
          <w:sz w:val="28"/>
          <w:szCs w:val="28"/>
          <w:lang w:val="es-ES"/>
        </w:rPr>
        <w:t xml:space="preserve">Magistrada                                     </w:t>
      </w:r>
      <w:r>
        <w:rPr>
          <w:rFonts w:ascii="Arial Narrow" w:hAnsi="Arial Narrow" w:cs="Microsoft Sans Serif"/>
          <w:bCs/>
          <w:iCs/>
          <w:sz w:val="28"/>
          <w:szCs w:val="28"/>
          <w:lang w:val="es-ES"/>
        </w:rPr>
        <w:t xml:space="preserve">                       </w:t>
      </w:r>
      <w:r w:rsidRPr="004310C0">
        <w:rPr>
          <w:rFonts w:ascii="Arial Narrow" w:hAnsi="Arial Narrow" w:cs="Microsoft Sans Serif"/>
          <w:bCs/>
          <w:iCs/>
          <w:sz w:val="28"/>
          <w:szCs w:val="28"/>
          <w:lang w:val="es-ES"/>
        </w:rPr>
        <w:t xml:space="preserve"> Magistrado</w:t>
      </w:r>
    </w:p>
    <w:p w:rsidR="00E33DA0" w:rsidRDefault="00E33DA0" w:rsidP="00E33DA0">
      <w:pPr>
        <w:spacing w:line="360" w:lineRule="auto"/>
        <w:ind w:firstLine="900"/>
        <w:jc w:val="both"/>
        <w:rPr>
          <w:rFonts w:ascii="Arial Narrow" w:hAnsi="Arial Narrow" w:cs="Microsoft Sans Serif"/>
          <w:bCs/>
          <w:iCs/>
          <w:sz w:val="28"/>
          <w:szCs w:val="28"/>
          <w:lang w:val="es-ES"/>
        </w:rPr>
      </w:pPr>
    </w:p>
    <w:p w:rsidR="004310C0" w:rsidRDefault="004310C0" w:rsidP="004310C0">
      <w:pPr>
        <w:ind w:firstLine="900"/>
        <w:jc w:val="both"/>
        <w:rPr>
          <w:rFonts w:ascii="Arial Narrow" w:hAnsi="Arial Narrow" w:cs="Microsoft Sans Serif"/>
          <w:bCs/>
          <w:iCs/>
          <w:sz w:val="28"/>
          <w:szCs w:val="28"/>
          <w:lang w:val="es-ES"/>
        </w:rPr>
      </w:pPr>
    </w:p>
    <w:p w:rsidR="000A2232" w:rsidRDefault="000A2232" w:rsidP="004310C0">
      <w:pPr>
        <w:ind w:firstLine="900"/>
        <w:jc w:val="both"/>
        <w:rPr>
          <w:rFonts w:ascii="Arial Narrow" w:hAnsi="Arial Narrow" w:cs="Microsoft Sans Serif"/>
          <w:bCs/>
          <w:iCs/>
          <w:sz w:val="28"/>
          <w:szCs w:val="28"/>
          <w:lang w:val="es-ES"/>
        </w:rPr>
      </w:pPr>
    </w:p>
    <w:p w:rsidR="004310C0" w:rsidRPr="004310C0" w:rsidRDefault="004310C0" w:rsidP="004310C0">
      <w:pPr>
        <w:ind w:firstLine="900"/>
        <w:jc w:val="center"/>
        <w:rPr>
          <w:rFonts w:ascii="Arial Narrow" w:hAnsi="Arial Narrow" w:cs="Microsoft Sans Serif"/>
          <w:bCs/>
          <w:iCs/>
          <w:sz w:val="28"/>
          <w:szCs w:val="28"/>
          <w:lang w:val="es-ES"/>
        </w:rPr>
      </w:pPr>
    </w:p>
    <w:p w:rsidR="004310C0" w:rsidRDefault="004310C0" w:rsidP="004310C0">
      <w:pPr>
        <w:ind w:firstLine="900"/>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                             LEONARDO CORTÉS PÉREZ</w:t>
      </w:r>
    </w:p>
    <w:p w:rsidR="00E33DA0" w:rsidRPr="009701F8" w:rsidRDefault="004310C0" w:rsidP="004310C0">
      <w:pPr>
        <w:ind w:firstLine="900"/>
        <w:rPr>
          <w:rFonts w:ascii="Arial Narrow" w:hAnsi="Arial Narrow"/>
          <w:sz w:val="28"/>
          <w:szCs w:val="28"/>
        </w:rPr>
      </w:pPr>
      <w:r>
        <w:rPr>
          <w:rFonts w:ascii="Arial Narrow" w:hAnsi="Arial Narrow" w:cs="Microsoft Sans Serif"/>
          <w:iCs/>
          <w:sz w:val="28"/>
          <w:szCs w:val="28"/>
          <w:lang w:val="es-ES"/>
        </w:rPr>
        <w:t xml:space="preserve">                                              Secretario</w:t>
      </w:r>
    </w:p>
    <w:p w:rsidR="00D84850" w:rsidRPr="009701F8" w:rsidRDefault="0069530B" w:rsidP="004310C0">
      <w:pPr>
        <w:jc w:val="center"/>
        <w:rPr>
          <w:sz w:val="28"/>
          <w:szCs w:val="28"/>
        </w:rPr>
      </w:pPr>
    </w:p>
    <w:sectPr w:rsidR="00D84850" w:rsidRPr="009701F8" w:rsidSect="001A10D0">
      <w:headerReference w:type="even" r:id="rId8"/>
      <w:headerReference w:type="default" r:id="rId9"/>
      <w:footerReference w:type="even" r:id="rId10"/>
      <w:footerReference w:type="default" r:id="rId11"/>
      <w:headerReference w:type="first" r:id="rId12"/>
      <w:pgSz w:w="12242" w:h="18722" w:code="119"/>
      <w:pgMar w:top="1135" w:right="1701" w:bottom="1702"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30B" w:rsidRDefault="0069530B" w:rsidP="00E33DA0">
      <w:r>
        <w:separator/>
      </w:r>
    </w:p>
  </w:endnote>
  <w:endnote w:type="continuationSeparator" w:id="0">
    <w:p w:rsidR="0069530B" w:rsidRDefault="0069530B" w:rsidP="00E3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76" w:rsidRDefault="00314D81" w:rsidP="00C747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0076" w:rsidRDefault="0069530B" w:rsidP="00C747E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76" w:rsidRDefault="00314D81" w:rsidP="00C747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530B">
      <w:rPr>
        <w:rStyle w:val="Nmerodepgina"/>
        <w:noProof/>
      </w:rPr>
      <w:t>1</w:t>
    </w:r>
    <w:r>
      <w:rPr>
        <w:rStyle w:val="Nmerodepgina"/>
      </w:rPr>
      <w:fldChar w:fldCharType="end"/>
    </w:r>
  </w:p>
  <w:p w:rsidR="00080076" w:rsidRDefault="0069530B">
    <w:pPr>
      <w:pStyle w:val="Piedepgina"/>
      <w:framePr w:wrap="auto" w:hAnchor="text" w:y="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30B" w:rsidRDefault="0069530B" w:rsidP="00E33DA0">
      <w:r>
        <w:separator/>
      </w:r>
    </w:p>
  </w:footnote>
  <w:footnote w:type="continuationSeparator" w:id="0">
    <w:p w:rsidR="0069530B" w:rsidRDefault="0069530B" w:rsidP="00E33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76" w:rsidRDefault="00314D81" w:rsidP="00C747E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0076" w:rsidRDefault="0069530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76" w:rsidRDefault="0069530B" w:rsidP="00C747E5">
    <w:pPr>
      <w:pStyle w:val="Encabezado"/>
      <w:framePr w:wrap="around" w:vAnchor="text" w:hAnchor="margin" w:xAlign="right" w:y="1"/>
      <w:rPr>
        <w:rStyle w:val="Nmerodepgina"/>
      </w:rPr>
    </w:pPr>
  </w:p>
  <w:p w:rsidR="00080076" w:rsidRPr="00E33DA0" w:rsidRDefault="00314D81" w:rsidP="00350EE8">
    <w:pPr>
      <w:pStyle w:val="Ttulo2"/>
      <w:tabs>
        <w:tab w:val="right" w:pos="8931"/>
      </w:tabs>
      <w:ind w:right="-92"/>
      <w:rPr>
        <w:rFonts w:ascii="Arial Narrow" w:hAnsi="Arial Narrow" w:cs="Arial"/>
        <w:bCs/>
        <w:sz w:val="18"/>
        <w:szCs w:val="18"/>
      </w:rPr>
    </w:pPr>
    <w:r w:rsidRPr="00E33DA0">
      <w:rPr>
        <w:rFonts w:ascii="Arial Narrow" w:hAnsi="Arial Narrow" w:cs="Arial"/>
        <w:sz w:val="18"/>
        <w:szCs w:val="18"/>
      </w:rPr>
      <w:t xml:space="preserve">Radicación No. </w:t>
    </w:r>
    <w:r w:rsidRPr="00E33DA0">
      <w:rPr>
        <w:rFonts w:ascii="Arial Narrow" w:hAnsi="Arial Narrow" w:cs="Arial"/>
        <w:bCs/>
        <w:sz w:val="18"/>
        <w:szCs w:val="18"/>
      </w:rPr>
      <w:t>66001–31-05–00</w:t>
    </w:r>
    <w:r w:rsidR="00E33DA0" w:rsidRPr="00E33DA0">
      <w:rPr>
        <w:rFonts w:ascii="Arial Narrow" w:hAnsi="Arial Narrow" w:cs="Arial"/>
        <w:bCs/>
        <w:sz w:val="18"/>
        <w:szCs w:val="18"/>
      </w:rPr>
      <w:t>3-2015-00128-01</w:t>
    </w:r>
    <w:r w:rsidRPr="00E33DA0">
      <w:rPr>
        <w:rFonts w:ascii="Arial Narrow" w:hAnsi="Arial Narrow" w:cs="Arial"/>
        <w:bCs/>
        <w:sz w:val="18"/>
        <w:szCs w:val="18"/>
      </w:rPr>
      <w:t xml:space="preserve"> </w:t>
    </w:r>
  </w:p>
  <w:p w:rsidR="00080076" w:rsidRPr="00E33DA0" w:rsidRDefault="00E33DA0" w:rsidP="00350EE8">
    <w:pPr>
      <w:pStyle w:val="Ttulo2"/>
      <w:tabs>
        <w:tab w:val="right" w:pos="8931"/>
      </w:tabs>
      <w:ind w:right="-92"/>
      <w:rPr>
        <w:rFonts w:ascii="Arial Narrow" w:hAnsi="Arial Narrow" w:cs="Arial"/>
        <w:sz w:val="18"/>
        <w:szCs w:val="18"/>
      </w:rPr>
    </w:pPr>
    <w:r w:rsidRPr="00E33DA0">
      <w:rPr>
        <w:rFonts w:ascii="Arial Narrow" w:hAnsi="Arial Narrow" w:cs="Arial"/>
        <w:bCs/>
        <w:sz w:val="18"/>
        <w:szCs w:val="18"/>
      </w:rPr>
      <w:t xml:space="preserve">Efrain Hernández Cano </w:t>
    </w:r>
    <w:r w:rsidR="00314D81" w:rsidRPr="00E33DA0">
      <w:rPr>
        <w:rFonts w:ascii="Arial Narrow" w:hAnsi="Arial Narrow" w:cs="Arial"/>
        <w:sz w:val="18"/>
        <w:szCs w:val="18"/>
      </w:rPr>
      <w:t>Vs</w:t>
    </w:r>
    <w:r w:rsidRPr="00E33DA0">
      <w:rPr>
        <w:rFonts w:ascii="Arial Narrow" w:hAnsi="Arial Narrow" w:cs="Arial"/>
        <w:sz w:val="18"/>
        <w:szCs w:val="18"/>
      </w:rPr>
      <w:t xml:space="preserve"> Colpensiones </w:t>
    </w:r>
  </w:p>
  <w:p w:rsidR="00080076" w:rsidRPr="00E33DA0" w:rsidRDefault="0069530B" w:rsidP="00C747E5">
    <w:pP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76" w:rsidRPr="006258A8" w:rsidRDefault="00314D81" w:rsidP="00C747E5">
    <w:pPr>
      <w:pStyle w:val="Encabezado"/>
      <w:ind w:right="-59"/>
      <w:rPr>
        <w:rFonts w:ascii="Arial" w:hAnsi="Arial" w:cs="Arial"/>
        <w:i/>
      </w:rPr>
    </w:pPr>
    <w:r w:rsidRPr="006258A8">
      <w:rPr>
        <w:rFonts w:ascii="Arial" w:hAnsi="Arial" w:cs="Arial"/>
        <w:i/>
      </w:rPr>
      <w:t>Radicación No. 66001-31-05-002-2010-00758-01</w:t>
    </w:r>
  </w:p>
  <w:p w:rsidR="00080076" w:rsidRPr="007D6B28" w:rsidRDefault="0069530B" w:rsidP="00C747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64B10"/>
    <w:multiLevelType w:val="hybridMultilevel"/>
    <w:tmpl w:val="CD6C2A14"/>
    <w:lvl w:ilvl="0" w:tplc="A170CF7E">
      <w:start w:val="1"/>
      <w:numFmt w:val="decimal"/>
      <w:lvlText w:val="%1."/>
      <w:lvlJc w:val="left"/>
      <w:pPr>
        <w:ind w:left="1353"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1">
    <w:nsid w:val="5D611E7E"/>
    <w:multiLevelType w:val="hybridMultilevel"/>
    <w:tmpl w:val="72745070"/>
    <w:lvl w:ilvl="0" w:tplc="237C9512">
      <w:start w:val="2"/>
      <w:numFmt w:val="upperRoman"/>
      <w:lvlText w:val="%1."/>
      <w:lvlJc w:val="left"/>
      <w:pPr>
        <w:ind w:left="2124" w:hanging="720"/>
      </w:pPr>
      <w:rPr>
        <w:rFonts w:hint="default"/>
      </w:rPr>
    </w:lvl>
    <w:lvl w:ilvl="1" w:tplc="0C0A0019" w:tentative="1">
      <w:start w:val="1"/>
      <w:numFmt w:val="lowerLetter"/>
      <w:lvlText w:val="%2."/>
      <w:lvlJc w:val="left"/>
      <w:pPr>
        <w:ind w:left="2484" w:hanging="360"/>
      </w:pPr>
    </w:lvl>
    <w:lvl w:ilvl="2" w:tplc="0C0A001B" w:tentative="1">
      <w:start w:val="1"/>
      <w:numFmt w:val="lowerRoman"/>
      <w:lvlText w:val="%3."/>
      <w:lvlJc w:val="right"/>
      <w:pPr>
        <w:ind w:left="3204" w:hanging="180"/>
      </w:pPr>
    </w:lvl>
    <w:lvl w:ilvl="3" w:tplc="0C0A000F" w:tentative="1">
      <w:start w:val="1"/>
      <w:numFmt w:val="decimal"/>
      <w:lvlText w:val="%4."/>
      <w:lvlJc w:val="left"/>
      <w:pPr>
        <w:ind w:left="3924" w:hanging="360"/>
      </w:pPr>
    </w:lvl>
    <w:lvl w:ilvl="4" w:tplc="0C0A0019" w:tentative="1">
      <w:start w:val="1"/>
      <w:numFmt w:val="lowerLetter"/>
      <w:lvlText w:val="%5."/>
      <w:lvlJc w:val="left"/>
      <w:pPr>
        <w:ind w:left="4644" w:hanging="360"/>
      </w:pPr>
    </w:lvl>
    <w:lvl w:ilvl="5" w:tplc="0C0A001B" w:tentative="1">
      <w:start w:val="1"/>
      <w:numFmt w:val="lowerRoman"/>
      <w:lvlText w:val="%6."/>
      <w:lvlJc w:val="right"/>
      <w:pPr>
        <w:ind w:left="5364" w:hanging="180"/>
      </w:pPr>
    </w:lvl>
    <w:lvl w:ilvl="6" w:tplc="0C0A000F" w:tentative="1">
      <w:start w:val="1"/>
      <w:numFmt w:val="decimal"/>
      <w:lvlText w:val="%7."/>
      <w:lvlJc w:val="left"/>
      <w:pPr>
        <w:ind w:left="6084" w:hanging="360"/>
      </w:pPr>
    </w:lvl>
    <w:lvl w:ilvl="7" w:tplc="0C0A0019" w:tentative="1">
      <w:start w:val="1"/>
      <w:numFmt w:val="lowerLetter"/>
      <w:lvlText w:val="%8."/>
      <w:lvlJc w:val="left"/>
      <w:pPr>
        <w:ind w:left="6804" w:hanging="360"/>
      </w:pPr>
    </w:lvl>
    <w:lvl w:ilvl="8" w:tplc="0C0A001B" w:tentative="1">
      <w:start w:val="1"/>
      <w:numFmt w:val="lowerRoman"/>
      <w:lvlText w:val="%9."/>
      <w:lvlJc w:val="right"/>
      <w:pPr>
        <w:ind w:left="7524" w:hanging="180"/>
      </w:pPr>
    </w:lvl>
  </w:abstractNum>
  <w:abstractNum w:abstractNumId="2">
    <w:nsid w:val="66796CFB"/>
    <w:multiLevelType w:val="hybridMultilevel"/>
    <w:tmpl w:val="F77AC5F6"/>
    <w:lvl w:ilvl="0" w:tplc="7494BFEA">
      <w:start w:val="1"/>
      <w:numFmt w:val="decimal"/>
      <w:lvlText w:val="%1."/>
      <w:lvlJc w:val="left"/>
      <w:pPr>
        <w:ind w:left="4330" w:hanging="360"/>
      </w:pPr>
      <w:rPr>
        <w:rFonts w:hint="default"/>
      </w:rPr>
    </w:lvl>
    <w:lvl w:ilvl="1" w:tplc="240A0019" w:tentative="1">
      <w:start w:val="1"/>
      <w:numFmt w:val="lowerLetter"/>
      <w:lvlText w:val="%2."/>
      <w:lvlJc w:val="left"/>
      <w:pPr>
        <w:ind w:left="5050" w:hanging="360"/>
      </w:pPr>
    </w:lvl>
    <w:lvl w:ilvl="2" w:tplc="240A001B" w:tentative="1">
      <w:start w:val="1"/>
      <w:numFmt w:val="lowerRoman"/>
      <w:lvlText w:val="%3."/>
      <w:lvlJc w:val="right"/>
      <w:pPr>
        <w:ind w:left="5770" w:hanging="180"/>
      </w:pPr>
    </w:lvl>
    <w:lvl w:ilvl="3" w:tplc="240A000F" w:tentative="1">
      <w:start w:val="1"/>
      <w:numFmt w:val="decimal"/>
      <w:lvlText w:val="%4."/>
      <w:lvlJc w:val="left"/>
      <w:pPr>
        <w:ind w:left="6490" w:hanging="360"/>
      </w:pPr>
    </w:lvl>
    <w:lvl w:ilvl="4" w:tplc="240A0019" w:tentative="1">
      <w:start w:val="1"/>
      <w:numFmt w:val="lowerLetter"/>
      <w:lvlText w:val="%5."/>
      <w:lvlJc w:val="left"/>
      <w:pPr>
        <w:ind w:left="7210" w:hanging="360"/>
      </w:pPr>
    </w:lvl>
    <w:lvl w:ilvl="5" w:tplc="240A001B" w:tentative="1">
      <w:start w:val="1"/>
      <w:numFmt w:val="lowerRoman"/>
      <w:lvlText w:val="%6."/>
      <w:lvlJc w:val="right"/>
      <w:pPr>
        <w:ind w:left="7930" w:hanging="180"/>
      </w:pPr>
    </w:lvl>
    <w:lvl w:ilvl="6" w:tplc="240A000F" w:tentative="1">
      <w:start w:val="1"/>
      <w:numFmt w:val="decimal"/>
      <w:lvlText w:val="%7."/>
      <w:lvlJc w:val="left"/>
      <w:pPr>
        <w:ind w:left="8650" w:hanging="360"/>
      </w:pPr>
    </w:lvl>
    <w:lvl w:ilvl="7" w:tplc="240A0019" w:tentative="1">
      <w:start w:val="1"/>
      <w:numFmt w:val="lowerLetter"/>
      <w:lvlText w:val="%8."/>
      <w:lvlJc w:val="left"/>
      <w:pPr>
        <w:ind w:left="9370" w:hanging="360"/>
      </w:pPr>
    </w:lvl>
    <w:lvl w:ilvl="8" w:tplc="240A001B" w:tentative="1">
      <w:start w:val="1"/>
      <w:numFmt w:val="lowerRoman"/>
      <w:lvlText w:val="%9."/>
      <w:lvlJc w:val="right"/>
      <w:pPr>
        <w:ind w:left="10090" w:hanging="180"/>
      </w:pPr>
    </w:lvl>
  </w:abstractNum>
  <w:abstractNum w:abstractNumId="3">
    <w:nsid w:val="6F2C3BA2"/>
    <w:multiLevelType w:val="hybridMultilevel"/>
    <w:tmpl w:val="6A4A2F18"/>
    <w:lvl w:ilvl="0" w:tplc="2ED647D0">
      <w:start w:val="1"/>
      <w:numFmt w:val="lowerLetter"/>
      <w:lvlText w:val="%1."/>
      <w:lvlJc w:val="left"/>
      <w:pPr>
        <w:ind w:left="1143" w:hanging="360"/>
      </w:pPr>
      <w:rPr>
        <w:rFonts w:hint="default"/>
      </w:rPr>
    </w:lvl>
    <w:lvl w:ilvl="1" w:tplc="0C0A0019" w:tentative="1">
      <w:start w:val="1"/>
      <w:numFmt w:val="lowerLetter"/>
      <w:lvlText w:val="%2."/>
      <w:lvlJc w:val="left"/>
      <w:pPr>
        <w:ind w:left="1863" w:hanging="360"/>
      </w:pPr>
    </w:lvl>
    <w:lvl w:ilvl="2" w:tplc="0C0A001B" w:tentative="1">
      <w:start w:val="1"/>
      <w:numFmt w:val="lowerRoman"/>
      <w:lvlText w:val="%3."/>
      <w:lvlJc w:val="right"/>
      <w:pPr>
        <w:ind w:left="2583" w:hanging="180"/>
      </w:pPr>
    </w:lvl>
    <w:lvl w:ilvl="3" w:tplc="0C0A000F" w:tentative="1">
      <w:start w:val="1"/>
      <w:numFmt w:val="decimal"/>
      <w:lvlText w:val="%4."/>
      <w:lvlJc w:val="left"/>
      <w:pPr>
        <w:ind w:left="3303" w:hanging="360"/>
      </w:pPr>
    </w:lvl>
    <w:lvl w:ilvl="4" w:tplc="0C0A0019" w:tentative="1">
      <w:start w:val="1"/>
      <w:numFmt w:val="lowerLetter"/>
      <w:lvlText w:val="%5."/>
      <w:lvlJc w:val="left"/>
      <w:pPr>
        <w:ind w:left="4023" w:hanging="360"/>
      </w:pPr>
    </w:lvl>
    <w:lvl w:ilvl="5" w:tplc="0C0A001B" w:tentative="1">
      <w:start w:val="1"/>
      <w:numFmt w:val="lowerRoman"/>
      <w:lvlText w:val="%6."/>
      <w:lvlJc w:val="right"/>
      <w:pPr>
        <w:ind w:left="4743" w:hanging="180"/>
      </w:pPr>
    </w:lvl>
    <w:lvl w:ilvl="6" w:tplc="0C0A000F" w:tentative="1">
      <w:start w:val="1"/>
      <w:numFmt w:val="decimal"/>
      <w:lvlText w:val="%7."/>
      <w:lvlJc w:val="left"/>
      <w:pPr>
        <w:ind w:left="5463" w:hanging="360"/>
      </w:pPr>
    </w:lvl>
    <w:lvl w:ilvl="7" w:tplc="0C0A0019" w:tentative="1">
      <w:start w:val="1"/>
      <w:numFmt w:val="lowerLetter"/>
      <w:lvlText w:val="%8."/>
      <w:lvlJc w:val="left"/>
      <w:pPr>
        <w:ind w:left="6183" w:hanging="360"/>
      </w:pPr>
    </w:lvl>
    <w:lvl w:ilvl="8" w:tplc="0C0A001B" w:tentative="1">
      <w:start w:val="1"/>
      <w:numFmt w:val="lowerRoman"/>
      <w:lvlText w:val="%9."/>
      <w:lvlJc w:val="right"/>
      <w:pPr>
        <w:ind w:left="6903"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A0"/>
    <w:rsid w:val="00003724"/>
    <w:rsid w:val="0003525C"/>
    <w:rsid w:val="00035CE9"/>
    <w:rsid w:val="00037AAD"/>
    <w:rsid w:val="000656F0"/>
    <w:rsid w:val="0007227F"/>
    <w:rsid w:val="00077976"/>
    <w:rsid w:val="000A2232"/>
    <w:rsid w:val="000A2CAE"/>
    <w:rsid w:val="000A7107"/>
    <w:rsid w:val="000D1E9C"/>
    <w:rsid w:val="000D1F42"/>
    <w:rsid w:val="000E7F42"/>
    <w:rsid w:val="000F042E"/>
    <w:rsid w:val="00107D70"/>
    <w:rsid w:val="001267D6"/>
    <w:rsid w:val="0014676D"/>
    <w:rsid w:val="00150C55"/>
    <w:rsid w:val="00163834"/>
    <w:rsid w:val="00172834"/>
    <w:rsid w:val="00185A5C"/>
    <w:rsid w:val="001910E3"/>
    <w:rsid w:val="0019714A"/>
    <w:rsid w:val="001A10D0"/>
    <w:rsid w:val="001C2163"/>
    <w:rsid w:val="001C3EA6"/>
    <w:rsid w:val="00216C57"/>
    <w:rsid w:val="00220B59"/>
    <w:rsid w:val="00242152"/>
    <w:rsid w:val="0026129B"/>
    <w:rsid w:val="0026370C"/>
    <w:rsid w:val="002854D5"/>
    <w:rsid w:val="002920D1"/>
    <w:rsid w:val="002936F1"/>
    <w:rsid w:val="00293AD7"/>
    <w:rsid w:val="002A02C7"/>
    <w:rsid w:val="002D60C6"/>
    <w:rsid w:val="002E0082"/>
    <w:rsid w:val="002E179C"/>
    <w:rsid w:val="0031009F"/>
    <w:rsid w:val="00311B7A"/>
    <w:rsid w:val="00313101"/>
    <w:rsid w:val="00314D81"/>
    <w:rsid w:val="0032483B"/>
    <w:rsid w:val="00330587"/>
    <w:rsid w:val="0038001D"/>
    <w:rsid w:val="003C16A3"/>
    <w:rsid w:val="003E00E3"/>
    <w:rsid w:val="003F3241"/>
    <w:rsid w:val="003F3326"/>
    <w:rsid w:val="003F5E25"/>
    <w:rsid w:val="004310C0"/>
    <w:rsid w:val="00447091"/>
    <w:rsid w:val="004538EB"/>
    <w:rsid w:val="0045692C"/>
    <w:rsid w:val="004578A8"/>
    <w:rsid w:val="004657AB"/>
    <w:rsid w:val="00470B39"/>
    <w:rsid w:val="00481D65"/>
    <w:rsid w:val="00496608"/>
    <w:rsid w:val="004C1F9B"/>
    <w:rsid w:val="004D01C5"/>
    <w:rsid w:val="004F2A69"/>
    <w:rsid w:val="004F3332"/>
    <w:rsid w:val="004F7042"/>
    <w:rsid w:val="00515BDC"/>
    <w:rsid w:val="00540098"/>
    <w:rsid w:val="005628DE"/>
    <w:rsid w:val="00563496"/>
    <w:rsid w:val="005677D4"/>
    <w:rsid w:val="005965CF"/>
    <w:rsid w:val="005B560C"/>
    <w:rsid w:val="005D7E24"/>
    <w:rsid w:val="005F374A"/>
    <w:rsid w:val="005F5E82"/>
    <w:rsid w:val="006135E9"/>
    <w:rsid w:val="00657B6F"/>
    <w:rsid w:val="00670730"/>
    <w:rsid w:val="006775A0"/>
    <w:rsid w:val="0069530B"/>
    <w:rsid w:val="006C053C"/>
    <w:rsid w:val="006C418B"/>
    <w:rsid w:val="006F2FF3"/>
    <w:rsid w:val="00715A63"/>
    <w:rsid w:val="00766BF7"/>
    <w:rsid w:val="007739FE"/>
    <w:rsid w:val="007B4024"/>
    <w:rsid w:val="007B5499"/>
    <w:rsid w:val="007D5AAA"/>
    <w:rsid w:val="007E1FFD"/>
    <w:rsid w:val="007F6F90"/>
    <w:rsid w:val="008275AD"/>
    <w:rsid w:val="00843266"/>
    <w:rsid w:val="0086406B"/>
    <w:rsid w:val="008676B6"/>
    <w:rsid w:val="0088779E"/>
    <w:rsid w:val="008F003B"/>
    <w:rsid w:val="00907A5F"/>
    <w:rsid w:val="00915336"/>
    <w:rsid w:val="00930481"/>
    <w:rsid w:val="009452FC"/>
    <w:rsid w:val="009533A5"/>
    <w:rsid w:val="009701F8"/>
    <w:rsid w:val="009B65E2"/>
    <w:rsid w:val="009D47CB"/>
    <w:rsid w:val="00A23CFA"/>
    <w:rsid w:val="00A646ED"/>
    <w:rsid w:val="00A6732C"/>
    <w:rsid w:val="00A82AC2"/>
    <w:rsid w:val="00A84B69"/>
    <w:rsid w:val="00A928D2"/>
    <w:rsid w:val="00AA300C"/>
    <w:rsid w:val="00AB74D5"/>
    <w:rsid w:val="00AD57CF"/>
    <w:rsid w:val="00B02EA1"/>
    <w:rsid w:val="00B56E76"/>
    <w:rsid w:val="00B73F9F"/>
    <w:rsid w:val="00BA0C20"/>
    <w:rsid w:val="00BA64F9"/>
    <w:rsid w:val="00BB5AD9"/>
    <w:rsid w:val="00BC21C5"/>
    <w:rsid w:val="00BD3D12"/>
    <w:rsid w:val="00BD6E65"/>
    <w:rsid w:val="00BF49BE"/>
    <w:rsid w:val="00C011FF"/>
    <w:rsid w:val="00C20693"/>
    <w:rsid w:val="00C2264B"/>
    <w:rsid w:val="00C41B2A"/>
    <w:rsid w:val="00C46E36"/>
    <w:rsid w:val="00C55F5B"/>
    <w:rsid w:val="00C62B8D"/>
    <w:rsid w:val="00CA00CB"/>
    <w:rsid w:val="00CD73D8"/>
    <w:rsid w:val="00CF576A"/>
    <w:rsid w:val="00D158E2"/>
    <w:rsid w:val="00D25A28"/>
    <w:rsid w:val="00D755CD"/>
    <w:rsid w:val="00D77FC8"/>
    <w:rsid w:val="00D82E68"/>
    <w:rsid w:val="00D86F33"/>
    <w:rsid w:val="00DA56EF"/>
    <w:rsid w:val="00DA7B3A"/>
    <w:rsid w:val="00DC72E4"/>
    <w:rsid w:val="00DD3290"/>
    <w:rsid w:val="00DF30A5"/>
    <w:rsid w:val="00E0604D"/>
    <w:rsid w:val="00E12202"/>
    <w:rsid w:val="00E166FD"/>
    <w:rsid w:val="00E27B52"/>
    <w:rsid w:val="00E33DA0"/>
    <w:rsid w:val="00E6453B"/>
    <w:rsid w:val="00E91182"/>
    <w:rsid w:val="00E918BE"/>
    <w:rsid w:val="00EB0758"/>
    <w:rsid w:val="00EB49DC"/>
    <w:rsid w:val="00EC521C"/>
    <w:rsid w:val="00ED748F"/>
    <w:rsid w:val="00EF181B"/>
    <w:rsid w:val="00F02E3D"/>
    <w:rsid w:val="00F04DDA"/>
    <w:rsid w:val="00F272CB"/>
    <w:rsid w:val="00F54337"/>
    <w:rsid w:val="00F63FB9"/>
    <w:rsid w:val="00F65645"/>
    <w:rsid w:val="00F927A6"/>
    <w:rsid w:val="00F9445D"/>
    <w:rsid w:val="00FC1753"/>
    <w:rsid w:val="00FD403A"/>
    <w:rsid w:val="00FD70E4"/>
    <w:rsid w:val="00FE1978"/>
    <w:rsid w:val="00FE2499"/>
    <w:rsid w:val="00FE5834"/>
    <w:rsid w:val="00FE6791"/>
    <w:rsid w:val="00FE6F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E1CE2-BF3A-407F-9162-49004990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A0"/>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E33DA0"/>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E33DA0"/>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3DA0"/>
    <w:rPr>
      <w:rFonts w:ascii="Cambria" w:eastAsia="Times New Roman" w:hAnsi="Cambria" w:cs="Times New Roman"/>
      <w:b/>
      <w:bCs/>
      <w:kern w:val="32"/>
      <w:sz w:val="32"/>
      <w:szCs w:val="32"/>
      <w:lang w:val="es-ES_tradnl" w:eastAsia="es-ES"/>
    </w:rPr>
  </w:style>
  <w:style w:type="character" w:customStyle="1" w:styleId="Ttulo2Car">
    <w:name w:val="Título 2 Car"/>
    <w:basedOn w:val="Fuentedeprrafopredeter"/>
    <w:link w:val="Ttulo2"/>
    <w:rsid w:val="00E33DA0"/>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E33DA0"/>
    <w:pPr>
      <w:tabs>
        <w:tab w:val="center" w:pos="4252"/>
        <w:tab w:val="right" w:pos="8504"/>
      </w:tabs>
    </w:pPr>
    <w:rPr>
      <w:sz w:val="20"/>
    </w:rPr>
  </w:style>
  <w:style w:type="character" w:customStyle="1" w:styleId="EncabezadoCar">
    <w:name w:val="Encabezado Car"/>
    <w:basedOn w:val="Fuentedeprrafopredeter"/>
    <w:link w:val="Encabezado"/>
    <w:rsid w:val="00E33DA0"/>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E33DA0"/>
  </w:style>
  <w:style w:type="paragraph" w:styleId="Textoindependiente">
    <w:name w:val="Body Text"/>
    <w:basedOn w:val="Normal"/>
    <w:link w:val="TextoindependienteCar"/>
    <w:rsid w:val="00E33DA0"/>
    <w:pPr>
      <w:jc w:val="both"/>
    </w:pPr>
    <w:rPr>
      <w:rFonts w:ascii="Arial" w:hAnsi="Arial"/>
    </w:rPr>
  </w:style>
  <w:style w:type="character" w:customStyle="1" w:styleId="TextoindependienteCar">
    <w:name w:val="Texto independiente Car"/>
    <w:basedOn w:val="Fuentedeprrafopredeter"/>
    <w:link w:val="Textoindependiente"/>
    <w:rsid w:val="00E33DA0"/>
    <w:rPr>
      <w:rFonts w:ascii="Arial" w:eastAsia="Times New Roman" w:hAnsi="Arial" w:cs="Times New Roman"/>
      <w:sz w:val="24"/>
      <w:szCs w:val="20"/>
      <w:lang w:val="es-ES_tradnl" w:eastAsia="es-ES"/>
    </w:rPr>
  </w:style>
  <w:style w:type="paragraph" w:styleId="Piedepgina">
    <w:name w:val="footer"/>
    <w:basedOn w:val="Normal"/>
    <w:link w:val="PiedepginaCar"/>
    <w:rsid w:val="00E33DA0"/>
    <w:pPr>
      <w:tabs>
        <w:tab w:val="center" w:pos="4419"/>
        <w:tab w:val="right" w:pos="8838"/>
      </w:tabs>
    </w:pPr>
    <w:rPr>
      <w:sz w:val="20"/>
    </w:rPr>
  </w:style>
  <w:style w:type="character" w:customStyle="1" w:styleId="PiedepginaCar">
    <w:name w:val="Pie de página Car"/>
    <w:basedOn w:val="Fuentedeprrafopredeter"/>
    <w:link w:val="Piedepgina"/>
    <w:rsid w:val="00E33DA0"/>
    <w:rPr>
      <w:rFonts w:ascii="Times New Roman" w:eastAsia="Times New Roman" w:hAnsi="Times New Roman" w:cs="Times New Roman"/>
      <w:sz w:val="20"/>
      <w:szCs w:val="20"/>
      <w:lang w:val="es-ES_tradnl" w:eastAsia="es-ES"/>
    </w:rPr>
  </w:style>
  <w:style w:type="paragraph" w:customStyle="1" w:styleId="Standard">
    <w:name w:val="Standard"/>
    <w:rsid w:val="00E33DA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E33DA0"/>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6C418B"/>
    <w:pPr>
      <w:ind w:left="720"/>
      <w:contextualSpacing/>
    </w:pPr>
  </w:style>
  <w:style w:type="paragraph" w:customStyle="1" w:styleId="Prrafodelista1">
    <w:name w:val="Párrafo de lista1"/>
    <w:basedOn w:val="Normal"/>
    <w:rsid w:val="009701F8"/>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EB49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9DC"/>
    <w:rPr>
      <w:rFonts w:ascii="Segoe UI" w:eastAsia="Times New Roman" w:hAnsi="Segoe UI" w:cs="Segoe UI"/>
      <w:sz w:val="18"/>
      <w:szCs w:val="18"/>
      <w:lang w:val="es-ES_tradnl" w:eastAsia="es-ES"/>
    </w:rPr>
  </w:style>
  <w:style w:type="character" w:styleId="Refdenotaalpie">
    <w:name w:val="footnote reference"/>
    <w:basedOn w:val="Fuentedeprrafopredeter"/>
    <w:uiPriority w:val="99"/>
    <w:semiHidden/>
    <w:unhideWhenUsed/>
    <w:rsid w:val="00657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604">
      <w:bodyDiv w:val="1"/>
      <w:marLeft w:val="0"/>
      <w:marRight w:val="0"/>
      <w:marTop w:val="0"/>
      <w:marBottom w:val="0"/>
      <w:divBdr>
        <w:top w:val="none" w:sz="0" w:space="0" w:color="auto"/>
        <w:left w:val="none" w:sz="0" w:space="0" w:color="auto"/>
        <w:bottom w:val="none" w:sz="0" w:space="0" w:color="auto"/>
        <w:right w:val="none" w:sz="0" w:space="0" w:color="auto"/>
      </w:divBdr>
    </w:div>
    <w:div w:id="177520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A400-C227-4B47-A31E-E750F4F8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1418</Words>
  <Characters>7805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41</cp:revision>
  <cp:lastPrinted>2016-02-12T16:22:00Z</cp:lastPrinted>
  <dcterms:created xsi:type="dcterms:W3CDTF">2016-02-12T16:30:00Z</dcterms:created>
  <dcterms:modified xsi:type="dcterms:W3CDTF">2016-07-26T16:50:00Z</dcterms:modified>
</cp:coreProperties>
</file>