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D0" w:rsidRPr="00FD38A6" w:rsidRDefault="006658D0" w:rsidP="006658D0">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6658D0" w:rsidRPr="004A6AB6" w:rsidRDefault="006658D0" w:rsidP="006658D0">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w:t>
      </w:r>
      <w:r>
        <w:rPr>
          <w:rFonts w:ascii="Arial Narrow" w:hAnsi="Arial Narrow" w:cs="Arial"/>
          <w:sz w:val="18"/>
          <w:szCs w:val="18"/>
        </w:rPr>
        <w:t xml:space="preserve"> lunes 7 de marzo de </w:t>
      </w:r>
      <w:r w:rsidRPr="004A6AB6">
        <w:rPr>
          <w:rFonts w:ascii="Arial Narrow" w:hAnsi="Arial Narrow" w:cs="Arial"/>
          <w:sz w:val="18"/>
          <w:szCs w:val="18"/>
        </w:rPr>
        <w:t>2016.</w:t>
      </w:r>
    </w:p>
    <w:p w:rsidR="006658D0" w:rsidRPr="004A6AB6" w:rsidRDefault="006658D0" w:rsidP="006658D0">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2-2014-00081-01</w:t>
      </w:r>
    </w:p>
    <w:p w:rsidR="006658D0" w:rsidRPr="004A6AB6" w:rsidRDefault="006658D0" w:rsidP="006658D0">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6658D0" w:rsidRPr="004A6AB6" w:rsidRDefault="006658D0" w:rsidP="006658D0">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María Consuelo López de Lasso </w:t>
      </w:r>
      <w:r w:rsidRPr="004A6AB6">
        <w:rPr>
          <w:rFonts w:ascii="Arial Narrow" w:hAnsi="Arial Narrow" w:cs="Arial"/>
          <w:iCs/>
          <w:sz w:val="18"/>
          <w:szCs w:val="18"/>
        </w:rPr>
        <w:t xml:space="preserve"> </w:t>
      </w:r>
    </w:p>
    <w:p w:rsidR="006658D0" w:rsidRPr="004A6AB6" w:rsidRDefault="006658D0" w:rsidP="006658D0">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6658D0" w:rsidRPr="004A6AB6" w:rsidRDefault="006658D0" w:rsidP="006658D0">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Segundo </w:t>
      </w:r>
      <w:r w:rsidRPr="004A6AB6">
        <w:rPr>
          <w:rFonts w:ascii="Arial Narrow" w:hAnsi="Arial Narrow" w:cs="Arial"/>
          <w:sz w:val="18"/>
          <w:szCs w:val="18"/>
        </w:rPr>
        <w:t>Laboral del Circuito de Pereira.</w:t>
      </w:r>
    </w:p>
    <w:p w:rsidR="006658D0" w:rsidRPr="004A6AB6" w:rsidRDefault="006658D0" w:rsidP="006658D0">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6658D0" w:rsidRDefault="006658D0" w:rsidP="006658D0">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sidRPr="00886B92">
        <w:rPr>
          <w:rFonts w:ascii="Arial Narrow" w:hAnsi="Arial Narrow" w:cs="Arial"/>
          <w:b/>
          <w:bCs/>
          <w:sz w:val="18"/>
          <w:szCs w:val="18"/>
        </w:rPr>
        <w:tab/>
      </w:r>
      <w:r w:rsidRPr="00886B92">
        <w:rPr>
          <w:rFonts w:ascii="Arial Narrow" w:hAnsi="Arial Narrow" w:cs="Tahoma"/>
          <w:sz w:val="18"/>
          <w:szCs w:val="18"/>
        </w:rPr>
        <w:t xml:space="preserve"> </w:t>
      </w:r>
    </w:p>
    <w:p w:rsidR="007231C1" w:rsidRDefault="007231C1" w:rsidP="006658D0">
      <w:pPr>
        <w:pStyle w:val="Textoindependiente31"/>
        <w:spacing w:line="240" w:lineRule="auto"/>
        <w:ind w:left="2124" w:hanging="2124"/>
        <w:rPr>
          <w:rFonts w:ascii="Arial Narrow" w:hAnsi="Arial Narrow" w:cs="Tahoma"/>
          <w:color w:val="FF0000"/>
          <w:sz w:val="18"/>
          <w:szCs w:val="18"/>
        </w:rPr>
      </w:pPr>
    </w:p>
    <w:p w:rsidR="007231C1" w:rsidRPr="00F21655" w:rsidRDefault="007231C1" w:rsidP="00D97D11">
      <w:pPr>
        <w:pStyle w:val="Textoindependiente31"/>
        <w:spacing w:line="240" w:lineRule="auto"/>
        <w:ind w:left="1701"/>
        <w:rPr>
          <w:rFonts w:cs="Arial"/>
          <w:bCs/>
          <w:spacing w:val="-6"/>
          <w:sz w:val="18"/>
          <w:szCs w:val="18"/>
        </w:rPr>
      </w:pPr>
      <w:r w:rsidRPr="00F21655">
        <w:rPr>
          <w:rFonts w:cs="Arial"/>
          <w:bCs/>
          <w:spacing w:val="-6"/>
          <w:sz w:val="18"/>
          <w:szCs w:val="18"/>
        </w:rPr>
        <w:t>PRINCIPIO DE FAVORABILIDAD/ Posibilidad de aplicar el requisito de semanas exigido en norma anterior a la vigente al momento del deceso del causante/ Acreditación de la convivencia</w:t>
      </w:r>
      <w:r>
        <w:rPr>
          <w:rFonts w:cs="Arial"/>
          <w:bCs/>
          <w:spacing w:val="-6"/>
          <w:sz w:val="18"/>
          <w:szCs w:val="18"/>
        </w:rPr>
        <w:t xml:space="preserve"> para </w:t>
      </w:r>
      <w:r w:rsidRPr="00F21655">
        <w:rPr>
          <w:rFonts w:cs="Arial"/>
          <w:bCs/>
          <w:spacing w:val="-6"/>
          <w:sz w:val="18"/>
          <w:szCs w:val="18"/>
        </w:rPr>
        <w:t xml:space="preserve">cónyuge supérstite   </w:t>
      </w:r>
    </w:p>
    <w:p w:rsidR="007231C1" w:rsidRPr="00F21655" w:rsidRDefault="007231C1" w:rsidP="00D97D11">
      <w:pPr>
        <w:pStyle w:val="Textoindependiente31"/>
        <w:spacing w:line="240" w:lineRule="auto"/>
        <w:ind w:left="1701"/>
        <w:rPr>
          <w:rFonts w:cs="Arial"/>
          <w:bCs/>
          <w:spacing w:val="-6"/>
          <w:sz w:val="18"/>
          <w:szCs w:val="18"/>
        </w:rPr>
      </w:pPr>
    </w:p>
    <w:p w:rsidR="00D97D11" w:rsidRPr="00D97D11" w:rsidRDefault="00D97D11" w:rsidP="00D97D11">
      <w:pPr>
        <w:pStyle w:val="Textoindependiente31"/>
        <w:spacing w:line="240" w:lineRule="auto"/>
        <w:ind w:left="1701"/>
        <w:rPr>
          <w:rFonts w:cs="Arial"/>
          <w:bCs/>
          <w:spacing w:val="-6"/>
          <w:sz w:val="18"/>
          <w:szCs w:val="18"/>
        </w:rPr>
      </w:pPr>
      <w:r>
        <w:rPr>
          <w:rFonts w:cs="Arial"/>
          <w:bCs/>
          <w:spacing w:val="-6"/>
          <w:sz w:val="18"/>
          <w:szCs w:val="18"/>
        </w:rPr>
        <w:t>“(…)</w:t>
      </w:r>
      <w:r w:rsidRPr="00D97D11">
        <w:rPr>
          <w:rFonts w:cs="Arial"/>
          <w:bCs/>
          <w:spacing w:val="-6"/>
          <w:sz w:val="18"/>
          <w:szCs w:val="18"/>
        </w:rPr>
        <w:t xml:space="preserve"> se reúnen las condiciones antes previstas, dado que al 1º de abril de 1994 el causante había sufragado al sistema pensional un total de 494.42 semanas de aportes, es evidente que la decisión de la Jueza a-quo es acertada, al concluir que aquel dejó causado el derecho para que sus posibles beneficiarios accedieran a la pensión de sobrevivientes</w:t>
      </w:r>
      <w:r w:rsidR="002B1EA6">
        <w:rPr>
          <w:rFonts w:cs="Arial"/>
          <w:bCs/>
          <w:spacing w:val="-6"/>
          <w:sz w:val="18"/>
          <w:szCs w:val="18"/>
        </w:rPr>
        <w:t xml:space="preserve"> (…)</w:t>
      </w:r>
    </w:p>
    <w:p w:rsidR="00D97D11" w:rsidRPr="00D97D11" w:rsidRDefault="00D97D11" w:rsidP="008B477B">
      <w:pPr>
        <w:pStyle w:val="Textoindependiente31"/>
        <w:spacing w:line="240" w:lineRule="auto"/>
        <w:rPr>
          <w:rFonts w:cs="Arial"/>
          <w:bCs/>
          <w:spacing w:val="-6"/>
          <w:sz w:val="18"/>
          <w:szCs w:val="18"/>
        </w:rPr>
      </w:pPr>
    </w:p>
    <w:p w:rsidR="00D97D11" w:rsidRDefault="00D97D11" w:rsidP="00D97D11">
      <w:pPr>
        <w:pStyle w:val="Textoindependiente31"/>
        <w:spacing w:line="240" w:lineRule="auto"/>
        <w:ind w:left="1701"/>
        <w:rPr>
          <w:rFonts w:cs="Arial"/>
          <w:bCs/>
          <w:spacing w:val="-6"/>
          <w:sz w:val="18"/>
          <w:szCs w:val="18"/>
        </w:rPr>
      </w:pPr>
      <w:r w:rsidRPr="00D97D11">
        <w:rPr>
          <w:rFonts w:cs="Arial"/>
          <w:bCs/>
          <w:spacing w:val="-6"/>
          <w:sz w:val="18"/>
          <w:szCs w:val="18"/>
        </w:rPr>
        <w:t xml:space="preserve">Vista la prueba testimonial recaudada, encuentra la Sala que en efecto, a la accionante le asiste el derecho a percibir la pensión de sobrevivientes, pues en condición de </w:t>
      </w:r>
      <w:r w:rsidR="008B477B">
        <w:rPr>
          <w:rFonts w:cs="Arial"/>
          <w:bCs/>
          <w:spacing w:val="-6"/>
          <w:sz w:val="18"/>
          <w:szCs w:val="18"/>
        </w:rPr>
        <w:t>cónyuge supérstite del de cujus</w:t>
      </w:r>
      <w:r w:rsidRPr="00D97D11">
        <w:rPr>
          <w:rFonts w:cs="Arial"/>
          <w:bCs/>
          <w:spacing w:val="-6"/>
          <w:sz w:val="18"/>
          <w:szCs w:val="18"/>
        </w:rPr>
        <w:t xml:space="preserve"> logró acreditar una convivencia superior a los 5 años exigidos en el artículo 12 de la Ley 797 de 2003, modificatorio del artículo 47 de la Ley 100 de 1993, por lo que acertada resulta la decisión de la a </w:t>
      </w:r>
      <w:r w:rsidR="00DC3F73">
        <w:rPr>
          <w:rFonts w:cs="Arial"/>
          <w:bCs/>
          <w:spacing w:val="-6"/>
          <w:sz w:val="18"/>
          <w:szCs w:val="18"/>
        </w:rPr>
        <w:t>quo, al otorgarle la prestación (…)”</w:t>
      </w:r>
    </w:p>
    <w:p w:rsidR="00DC3F73" w:rsidRPr="00F21655" w:rsidRDefault="00DC3F73" w:rsidP="00D97D11">
      <w:pPr>
        <w:pStyle w:val="Textoindependiente31"/>
        <w:spacing w:line="240" w:lineRule="auto"/>
        <w:ind w:left="1701"/>
        <w:rPr>
          <w:rFonts w:cs="Arial"/>
          <w:bCs/>
          <w:spacing w:val="-6"/>
          <w:sz w:val="18"/>
          <w:szCs w:val="18"/>
        </w:rPr>
      </w:pPr>
    </w:p>
    <w:p w:rsidR="006658D0" w:rsidRDefault="007231C1" w:rsidP="00D97D11">
      <w:pPr>
        <w:pStyle w:val="Textoindependiente31"/>
        <w:spacing w:line="240" w:lineRule="auto"/>
        <w:ind w:left="1701"/>
        <w:rPr>
          <w:rFonts w:cs="Arial"/>
          <w:bCs/>
          <w:spacing w:val="-6"/>
          <w:sz w:val="16"/>
          <w:szCs w:val="18"/>
        </w:rPr>
      </w:pPr>
      <w:r w:rsidRPr="00F21655">
        <w:rPr>
          <w:rFonts w:cs="Arial"/>
          <w:bCs/>
          <w:spacing w:val="-6"/>
          <w:sz w:val="16"/>
          <w:szCs w:val="18"/>
        </w:rPr>
        <w:t>Citas: Corte Suprema de Justicia, Sala Laboral, providencia de 25 de julio de 2012 -rad. 38674-.</w:t>
      </w:r>
    </w:p>
    <w:p w:rsidR="00963F94" w:rsidRPr="00963F94" w:rsidRDefault="00963F94" w:rsidP="00DC3F73">
      <w:pPr>
        <w:pStyle w:val="Textoindependiente31"/>
        <w:spacing w:line="240" w:lineRule="auto"/>
        <w:rPr>
          <w:rFonts w:cs="Arial"/>
          <w:bCs/>
          <w:spacing w:val="-6"/>
          <w:sz w:val="16"/>
          <w:szCs w:val="18"/>
        </w:rPr>
      </w:pPr>
    </w:p>
    <w:p w:rsidR="006658D0" w:rsidRPr="00977ED0" w:rsidRDefault="006658D0" w:rsidP="006658D0">
      <w:pPr>
        <w:ind w:left="2127" w:hanging="2127"/>
        <w:jc w:val="both"/>
        <w:rPr>
          <w:rFonts w:ascii="Arial Narrow" w:hAnsi="Arial Narrow" w:cs="Arial"/>
          <w:bCs/>
          <w:i/>
          <w:color w:val="00B0F0"/>
          <w:sz w:val="18"/>
          <w:szCs w:val="18"/>
          <w:lang w:val="es-ES"/>
        </w:rPr>
      </w:pPr>
    </w:p>
    <w:p w:rsidR="006658D0" w:rsidRPr="00E845FE" w:rsidRDefault="006658D0" w:rsidP="006658D0">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6658D0" w:rsidRPr="00500953" w:rsidRDefault="006658D0" w:rsidP="006658D0">
      <w:pPr>
        <w:pStyle w:val="Sinespaciado"/>
      </w:pPr>
    </w:p>
    <w:p w:rsidR="006658D0" w:rsidRPr="00E845FE" w:rsidRDefault="006658D0" w:rsidP="00886B92">
      <w:pPr>
        <w:spacing w:line="276"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siete (07)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marzo de dos mil dieciséis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minutos de la mañana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10:30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E845FE">
        <w:rPr>
          <w:rFonts w:ascii="Arial Narrow" w:hAnsi="Arial Narrow" w:cs="Tahoma"/>
          <w:bCs/>
          <w:color w:val="000000"/>
          <w:sz w:val="28"/>
          <w:szCs w:val="28"/>
          <w:lang w:eastAsia="es-CO"/>
        </w:rPr>
        <w:t xml:space="preserve">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14 de noviembre de 2014</w:t>
      </w:r>
      <w:r w:rsidRPr="00E845FE">
        <w:rPr>
          <w:rFonts w:ascii="Arial Narrow" w:hAnsi="Arial Narrow" w:cs="Arial"/>
          <w:sz w:val="28"/>
          <w:szCs w:val="28"/>
        </w:rPr>
        <w:t xml:space="preserve"> por el Juzgado</w:t>
      </w:r>
      <w:r>
        <w:rPr>
          <w:rFonts w:ascii="Arial Narrow" w:hAnsi="Arial Narrow" w:cs="Arial"/>
          <w:sz w:val="28"/>
          <w:szCs w:val="28"/>
        </w:rPr>
        <w:t xml:space="preserve"> Segundo </w:t>
      </w:r>
      <w:r w:rsidRPr="00E845FE">
        <w:rPr>
          <w:rFonts w:ascii="Arial Narrow" w:hAnsi="Arial Narrow" w:cs="Arial"/>
          <w:sz w:val="28"/>
          <w:szCs w:val="28"/>
        </w:rPr>
        <w:t xml:space="preserve">Laboral del Circuito de Pereira, dentro del proceso promovido por </w:t>
      </w:r>
      <w:r>
        <w:rPr>
          <w:rFonts w:ascii="Arial Narrow" w:hAnsi="Arial Narrow" w:cs="Arial"/>
          <w:b/>
          <w:i/>
          <w:sz w:val="28"/>
          <w:szCs w:val="28"/>
        </w:rPr>
        <w:t xml:space="preserve">María Consuelo López de Lasso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6658D0" w:rsidRPr="007420E2" w:rsidRDefault="006658D0" w:rsidP="006658D0">
      <w:pPr>
        <w:pStyle w:val="Sinespaciado"/>
      </w:pPr>
    </w:p>
    <w:p w:rsidR="006658D0" w:rsidRPr="00E845FE" w:rsidRDefault="006658D0" w:rsidP="006658D0">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6658D0" w:rsidRPr="00E845FE" w:rsidRDefault="006658D0" w:rsidP="00886B92">
      <w:pPr>
        <w:shd w:val="clear" w:color="auto" w:fill="FFFFFF"/>
        <w:spacing w:line="276" w:lineRule="auto"/>
        <w:jc w:val="both"/>
        <w:rPr>
          <w:rFonts w:ascii="Arial Narrow" w:hAnsi="Arial Narrow" w:cs="Tahoma"/>
          <w:b/>
          <w:bCs/>
          <w:i/>
          <w:color w:val="000000"/>
          <w:sz w:val="28"/>
          <w:szCs w:val="28"/>
          <w:lang w:eastAsia="es-CO"/>
        </w:rPr>
      </w:pPr>
    </w:p>
    <w:p w:rsidR="006658D0" w:rsidRDefault="006658D0" w:rsidP="00886B92">
      <w:pPr>
        <w:spacing w:line="276"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Pr>
          <w:rFonts w:ascii="Arial Narrow" w:hAnsi="Arial Narrow" w:cs="Tahoma"/>
          <w:sz w:val="28"/>
          <w:szCs w:val="28"/>
        </w:rPr>
        <w:t xml:space="preserve"> que </w:t>
      </w:r>
      <w:r>
        <w:rPr>
          <w:rFonts w:ascii="Arial Narrow" w:hAnsi="Arial Narrow" w:cs="Arial"/>
          <w:b/>
          <w:i/>
          <w:sz w:val="28"/>
          <w:szCs w:val="28"/>
        </w:rPr>
        <w:t>María Consuelo López de Lasso</w:t>
      </w:r>
      <w:r w:rsidRPr="00E845FE">
        <w:rPr>
          <w:rFonts w:ascii="Arial Narrow" w:hAnsi="Arial Narrow" w:cs="Tahoma"/>
          <w:sz w:val="28"/>
          <w:szCs w:val="28"/>
        </w:rPr>
        <w:t xml:space="preserve"> </w:t>
      </w:r>
      <w:r>
        <w:rPr>
          <w:rFonts w:ascii="Arial Narrow" w:hAnsi="Arial Narrow" w:cs="Tahoma"/>
          <w:sz w:val="28"/>
          <w:szCs w:val="28"/>
        </w:rPr>
        <w:t xml:space="preserve">demandó a Colpensiones para que, previos los trámites del proceso ordinario, en aplicación del principio de la condición más beneficiosa </w:t>
      </w:r>
      <w:r w:rsidRPr="00E845FE">
        <w:rPr>
          <w:rFonts w:ascii="Arial Narrow" w:hAnsi="Arial Narrow" w:cs="Tahoma"/>
          <w:sz w:val="28"/>
          <w:szCs w:val="28"/>
        </w:rPr>
        <w:t xml:space="preserve">se le reconozca </w:t>
      </w:r>
      <w:r>
        <w:rPr>
          <w:rFonts w:ascii="Arial Narrow" w:hAnsi="Arial Narrow" w:cs="Tahoma"/>
          <w:sz w:val="28"/>
          <w:szCs w:val="28"/>
        </w:rPr>
        <w:t xml:space="preserve">y pague </w:t>
      </w:r>
      <w:r w:rsidRPr="00E845FE">
        <w:rPr>
          <w:rFonts w:ascii="Arial Narrow" w:hAnsi="Arial Narrow" w:cs="Tahoma"/>
          <w:sz w:val="28"/>
          <w:szCs w:val="28"/>
        </w:rPr>
        <w:t xml:space="preserve">la pensión de sobrevivientes, </w:t>
      </w:r>
      <w:r>
        <w:rPr>
          <w:rFonts w:ascii="Arial Narrow" w:hAnsi="Arial Narrow" w:cs="Tahoma"/>
          <w:sz w:val="28"/>
          <w:szCs w:val="28"/>
        </w:rPr>
        <w:t xml:space="preserve">a partir del 6 de junio de 2012, más el retroactivo, los intereses de mora y las costas procesales. </w:t>
      </w:r>
    </w:p>
    <w:p w:rsidR="006658D0" w:rsidRDefault="006658D0" w:rsidP="00886B92">
      <w:pPr>
        <w:pStyle w:val="Sinespaciado"/>
        <w:spacing w:line="276" w:lineRule="auto"/>
      </w:pPr>
    </w:p>
    <w:p w:rsidR="006658D0" w:rsidRPr="006658D0" w:rsidRDefault="006658D0" w:rsidP="00886B92">
      <w:pPr>
        <w:spacing w:line="276" w:lineRule="auto"/>
        <w:ind w:firstLine="708"/>
        <w:jc w:val="both"/>
        <w:rPr>
          <w:rFonts w:ascii="Arial Narrow" w:hAnsi="Arial Narrow" w:cs="Arial"/>
          <w:sz w:val="28"/>
          <w:szCs w:val="28"/>
        </w:rPr>
      </w:pPr>
      <w:r>
        <w:rPr>
          <w:rFonts w:ascii="Arial Narrow" w:hAnsi="Arial Narrow" w:cs="Tahoma"/>
          <w:sz w:val="28"/>
          <w:szCs w:val="28"/>
        </w:rPr>
        <w:t xml:space="preserve">Fundamentó sus peticiones, básicamente, en que </w:t>
      </w:r>
      <w:r>
        <w:rPr>
          <w:rFonts w:ascii="Arial" w:hAnsi="Arial" w:cs="Arial"/>
        </w:rPr>
        <w:t xml:space="preserve">en que </w:t>
      </w:r>
      <w:r w:rsidRPr="006658D0">
        <w:rPr>
          <w:rFonts w:ascii="Arial Narrow" w:hAnsi="Arial Narrow" w:cs="Arial"/>
          <w:sz w:val="28"/>
          <w:szCs w:val="28"/>
        </w:rPr>
        <w:t xml:space="preserve">contrajo matrimonio con el señor Luis Rafael Lasso el 19 de enero de 1975, con quien convivió desde esa fecha hasta el 6 de junio de 2012 día en el que </w:t>
      </w:r>
      <w:r>
        <w:rPr>
          <w:rFonts w:ascii="Arial Narrow" w:hAnsi="Arial Narrow" w:cs="Arial"/>
          <w:sz w:val="28"/>
          <w:szCs w:val="28"/>
        </w:rPr>
        <w:t xml:space="preserve">aquel </w:t>
      </w:r>
      <w:r w:rsidRPr="006658D0">
        <w:rPr>
          <w:rFonts w:ascii="Arial Narrow" w:hAnsi="Arial Narrow" w:cs="Arial"/>
          <w:sz w:val="28"/>
          <w:szCs w:val="28"/>
        </w:rPr>
        <w:t xml:space="preserve">falleció; sostiene que el causante cotizó un total de 494.43 semanas a los riesgos IVM entre el 1º de mayo de </w:t>
      </w:r>
      <w:r>
        <w:rPr>
          <w:rFonts w:ascii="Arial Narrow" w:hAnsi="Arial Narrow" w:cs="Arial"/>
          <w:sz w:val="28"/>
          <w:szCs w:val="28"/>
        </w:rPr>
        <w:t xml:space="preserve">1974 y el 1º de agosto de 1988; que </w:t>
      </w:r>
      <w:r w:rsidRPr="006658D0">
        <w:rPr>
          <w:rFonts w:ascii="Arial Narrow" w:hAnsi="Arial Narrow" w:cs="Arial"/>
          <w:sz w:val="28"/>
          <w:szCs w:val="28"/>
        </w:rPr>
        <w:t xml:space="preserve">presentó </w:t>
      </w:r>
      <w:r>
        <w:rPr>
          <w:rFonts w:ascii="Arial Narrow" w:hAnsi="Arial Narrow" w:cs="Arial"/>
          <w:sz w:val="28"/>
          <w:szCs w:val="28"/>
        </w:rPr>
        <w:t xml:space="preserve">la </w:t>
      </w:r>
      <w:r w:rsidRPr="006658D0">
        <w:rPr>
          <w:rFonts w:ascii="Arial Narrow" w:hAnsi="Arial Narrow" w:cs="Arial"/>
          <w:sz w:val="28"/>
          <w:szCs w:val="28"/>
        </w:rPr>
        <w:t xml:space="preserve">reclamación administrativa el 16 de septiembre </w:t>
      </w:r>
      <w:r w:rsidRPr="006658D0">
        <w:rPr>
          <w:rFonts w:ascii="Arial Narrow" w:hAnsi="Arial Narrow" w:cs="Arial"/>
          <w:sz w:val="28"/>
          <w:szCs w:val="28"/>
        </w:rPr>
        <w:lastRenderedPageBreak/>
        <w:t xml:space="preserve">de 2013, tendiente a que se le reconociera la pensión de sobrevivientes, sin que a la fecha de presentación de la demanda </w:t>
      </w:r>
      <w:r>
        <w:rPr>
          <w:rFonts w:ascii="Arial Narrow" w:hAnsi="Arial Narrow" w:cs="Arial"/>
          <w:sz w:val="28"/>
          <w:szCs w:val="28"/>
        </w:rPr>
        <w:t xml:space="preserve">la administradora de pensiones </w:t>
      </w:r>
      <w:r w:rsidRPr="006658D0">
        <w:rPr>
          <w:rFonts w:ascii="Arial Narrow" w:hAnsi="Arial Narrow" w:cs="Arial"/>
          <w:sz w:val="28"/>
          <w:szCs w:val="28"/>
        </w:rPr>
        <w:t>haya dado respuesta a esa petición.</w:t>
      </w:r>
    </w:p>
    <w:p w:rsidR="006658D0" w:rsidRPr="00886B92" w:rsidRDefault="006658D0" w:rsidP="00886B92">
      <w:pPr>
        <w:pStyle w:val="Sinespaciado"/>
      </w:pPr>
    </w:p>
    <w:p w:rsidR="006658D0" w:rsidRDefault="006658D0" w:rsidP="00886B92">
      <w:pPr>
        <w:spacing w:line="276" w:lineRule="auto"/>
        <w:ind w:firstLine="900"/>
        <w:jc w:val="both"/>
        <w:rPr>
          <w:rFonts w:ascii="Arial Narrow" w:hAnsi="Arial Narrow" w:cs="Tahoma"/>
          <w:sz w:val="28"/>
          <w:szCs w:val="28"/>
        </w:rPr>
      </w:pPr>
      <w:r>
        <w:rPr>
          <w:rFonts w:ascii="Arial Narrow" w:hAnsi="Arial Narrow" w:cs="Arial"/>
          <w:sz w:val="28"/>
          <w:szCs w:val="28"/>
        </w:rPr>
        <w:t xml:space="preserve">Al dar respuesta a la demanda, la </w:t>
      </w:r>
      <w:r w:rsidRPr="00C323E0">
        <w:rPr>
          <w:rFonts w:ascii="Arial Narrow" w:hAnsi="Arial Narrow" w:cs="Arial"/>
          <w:b/>
          <w:i/>
          <w:sz w:val="28"/>
          <w:szCs w:val="28"/>
        </w:rPr>
        <w:t xml:space="preserve">Administradora Colombiana de Pensiones </w:t>
      </w:r>
      <w:r w:rsidRPr="00C323E0">
        <w:rPr>
          <w:rFonts w:ascii="Arial Narrow" w:hAnsi="Arial Narrow" w:cs="Arial"/>
          <w:b/>
          <w:bCs/>
          <w:i/>
          <w:sz w:val="28"/>
          <w:szCs w:val="28"/>
        </w:rPr>
        <w:t>Colpensiones</w:t>
      </w:r>
      <w:r w:rsidRPr="00C323E0">
        <w:rPr>
          <w:rFonts w:ascii="Arial Narrow" w:hAnsi="Arial Narrow" w:cs="Tahoma"/>
          <w:b/>
          <w:i/>
          <w:sz w:val="28"/>
          <w:szCs w:val="28"/>
        </w:rPr>
        <w:t>,</w:t>
      </w:r>
      <w:r w:rsidRPr="00E845FE">
        <w:rPr>
          <w:rFonts w:ascii="Arial Narrow" w:hAnsi="Arial Narrow" w:cs="Tahoma"/>
          <w:sz w:val="28"/>
          <w:szCs w:val="28"/>
        </w:rPr>
        <w:t xml:space="preserve"> </w:t>
      </w:r>
      <w:r>
        <w:rPr>
          <w:rFonts w:ascii="Arial Narrow" w:hAnsi="Arial Narrow" w:cs="Tahoma"/>
          <w:sz w:val="28"/>
          <w:szCs w:val="28"/>
        </w:rPr>
        <w:t xml:space="preserve">se opuso a las pretensiones y, en cuanto a los hechos, admitió la fecha del deceso del asegurado, el vínculo matrimonial entre éste y la demandante y el agotamiento de la vía gubernativa. Los demás los negó o manifestó la necesidad de ser probados. En su defensa, propuso las excepciones de “Inexistencia del derecho a la pensión de sobrevivientes” y “Prescripción”. </w:t>
      </w:r>
    </w:p>
    <w:p w:rsidR="006658D0" w:rsidRDefault="006658D0" w:rsidP="006658D0">
      <w:pPr>
        <w:spacing w:line="360" w:lineRule="auto"/>
        <w:jc w:val="both"/>
        <w:rPr>
          <w:rFonts w:ascii="Arial" w:hAnsi="Arial" w:cs="Arial"/>
        </w:rPr>
      </w:pPr>
    </w:p>
    <w:p w:rsidR="006658D0" w:rsidRDefault="006658D0" w:rsidP="00886B92">
      <w:pPr>
        <w:spacing w:line="276"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6658D0" w:rsidRPr="00886B92" w:rsidRDefault="006658D0" w:rsidP="00886B92">
      <w:pPr>
        <w:pStyle w:val="Sinespaciado"/>
      </w:pPr>
    </w:p>
    <w:p w:rsidR="00942927" w:rsidRPr="00942927" w:rsidRDefault="006658D0" w:rsidP="00886B92">
      <w:pPr>
        <w:spacing w:line="276" w:lineRule="auto"/>
        <w:ind w:firstLine="900"/>
        <w:jc w:val="both"/>
        <w:rPr>
          <w:rFonts w:ascii="Arial Narrow" w:hAnsi="Arial Narrow" w:cs="Arial"/>
          <w:sz w:val="28"/>
          <w:szCs w:val="28"/>
        </w:rPr>
      </w:pPr>
      <w:r>
        <w:rPr>
          <w:rFonts w:ascii="Arial Narrow" w:hAnsi="Arial Narrow" w:cs="Tahoma"/>
          <w:sz w:val="28"/>
          <w:szCs w:val="28"/>
        </w:rPr>
        <w:t>El Juzgado de conocimiento mediante fallo del 14 de noviembre de 2014, con base en las pruebas allegadas</w:t>
      </w:r>
      <w:r w:rsidR="00942927">
        <w:rPr>
          <w:rFonts w:ascii="Arial Narrow" w:hAnsi="Arial Narrow" w:cs="Tahoma"/>
          <w:sz w:val="28"/>
          <w:szCs w:val="28"/>
        </w:rPr>
        <w:t xml:space="preserve"> </w:t>
      </w:r>
      <w:r>
        <w:rPr>
          <w:rFonts w:ascii="Arial Narrow" w:hAnsi="Arial Narrow" w:cs="Tahoma"/>
          <w:sz w:val="28"/>
          <w:szCs w:val="28"/>
        </w:rPr>
        <w:t>a la actuación</w:t>
      </w:r>
      <w:r w:rsidR="00942927">
        <w:rPr>
          <w:rFonts w:ascii="Arial Narrow" w:hAnsi="Arial Narrow" w:cs="Tahoma"/>
          <w:sz w:val="28"/>
          <w:szCs w:val="28"/>
        </w:rPr>
        <w:t xml:space="preserve">, </w:t>
      </w:r>
      <w:r>
        <w:rPr>
          <w:rFonts w:ascii="Arial Narrow" w:hAnsi="Arial Narrow" w:cs="Tahoma"/>
          <w:sz w:val="28"/>
          <w:szCs w:val="28"/>
        </w:rPr>
        <w:t xml:space="preserve">condenó a la Administradora Colombiana de Pensiones Colpensiones a reconocer y pagar a la señora </w:t>
      </w:r>
      <w:r w:rsidRPr="006213A8">
        <w:rPr>
          <w:rFonts w:ascii="Arial Narrow" w:hAnsi="Arial Narrow" w:cs="Arial"/>
          <w:sz w:val="28"/>
          <w:szCs w:val="28"/>
        </w:rPr>
        <w:t>María Consuelo López de Lasso</w:t>
      </w:r>
      <w:r w:rsidRPr="006213A8">
        <w:rPr>
          <w:rFonts w:ascii="Arial Narrow" w:hAnsi="Arial Narrow" w:cs="Tahoma"/>
          <w:sz w:val="28"/>
          <w:szCs w:val="28"/>
        </w:rPr>
        <w:t>,</w:t>
      </w:r>
      <w:r>
        <w:rPr>
          <w:rFonts w:ascii="Arial Narrow" w:hAnsi="Arial Narrow" w:cs="Tahoma"/>
          <w:sz w:val="28"/>
          <w:szCs w:val="28"/>
        </w:rPr>
        <w:t xml:space="preserve"> la </w:t>
      </w:r>
      <w:r w:rsidRPr="00942927">
        <w:rPr>
          <w:rFonts w:ascii="Arial Narrow" w:hAnsi="Arial Narrow" w:cs="Tahoma"/>
          <w:sz w:val="28"/>
          <w:szCs w:val="28"/>
        </w:rPr>
        <w:t xml:space="preserve">pensión de sobrevivientes con ocasión del fallecimiento de su cónyuge, </w:t>
      </w:r>
      <w:r w:rsidR="00942927" w:rsidRPr="00942927">
        <w:rPr>
          <w:rFonts w:ascii="Arial Narrow" w:hAnsi="Arial Narrow" w:cs="Tahoma"/>
          <w:sz w:val="28"/>
          <w:szCs w:val="28"/>
        </w:rPr>
        <w:t>Luis Rafael Lasso</w:t>
      </w:r>
      <w:r w:rsidRPr="00942927">
        <w:rPr>
          <w:rFonts w:ascii="Arial Narrow" w:hAnsi="Arial Narrow" w:cs="Tahoma"/>
          <w:sz w:val="28"/>
          <w:szCs w:val="28"/>
        </w:rPr>
        <w:t xml:space="preserve">, a partir del </w:t>
      </w:r>
      <w:r w:rsidR="00942927" w:rsidRPr="00942927">
        <w:rPr>
          <w:rFonts w:ascii="Arial Narrow" w:hAnsi="Arial Narrow" w:cs="Tahoma"/>
          <w:sz w:val="28"/>
          <w:szCs w:val="28"/>
        </w:rPr>
        <w:t>6 de junio de 2</w:t>
      </w:r>
      <w:r w:rsidRPr="00942927">
        <w:rPr>
          <w:rFonts w:ascii="Arial Narrow" w:hAnsi="Arial Narrow" w:cs="Tahoma"/>
          <w:sz w:val="28"/>
          <w:szCs w:val="28"/>
        </w:rPr>
        <w:t>012, en cuantía de un salario mínimo legal mensual vige</w:t>
      </w:r>
      <w:r w:rsidR="00942927" w:rsidRPr="00942927">
        <w:rPr>
          <w:rFonts w:ascii="Arial Narrow" w:hAnsi="Arial Narrow" w:cs="Tahoma"/>
          <w:sz w:val="28"/>
          <w:szCs w:val="28"/>
        </w:rPr>
        <w:t xml:space="preserve">nte y por trece mesadas anuales. </w:t>
      </w:r>
      <w:r w:rsidR="00942927">
        <w:rPr>
          <w:rFonts w:ascii="Arial Narrow" w:hAnsi="Arial Narrow" w:cs="Tahoma"/>
          <w:sz w:val="28"/>
          <w:szCs w:val="28"/>
        </w:rPr>
        <w:t>Absolvió a la entidad del pago de los intereses de mora. P</w:t>
      </w:r>
      <w:r w:rsidR="00942927" w:rsidRPr="00942927">
        <w:rPr>
          <w:rFonts w:ascii="Arial Narrow" w:hAnsi="Arial Narrow" w:cs="Tahoma"/>
          <w:sz w:val="28"/>
          <w:szCs w:val="28"/>
        </w:rPr>
        <w:t xml:space="preserve">ara así concluir, sostuvo que </w:t>
      </w:r>
      <w:r w:rsidR="00942927" w:rsidRPr="00942927">
        <w:rPr>
          <w:rFonts w:ascii="Arial Narrow" w:hAnsi="Arial Narrow" w:cs="Arial"/>
          <w:sz w:val="28"/>
          <w:szCs w:val="28"/>
        </w:rPr>
        <w:t>si bien el causante no sufragó 50 semanas en los tres años anteriores a su deceso, al haber realizado cotizaciones superiores a 300 semanas con anterioridad al 1º de abril de 1994, debe tenerse como causado el derecho, en aplicación del principio de la condición más b</w:t>
      </w:r>
      <w:r w:rsidR="00942927">
        <w:rPr>
          <w:rFonts w:ascii="Arial Narrow" w:hAnsi="Arial Narrow" w:cs="Arial"/>
          <w:sz w:val="28"/>
          <w:szCs w:val="28"/>
        </w:rPr>
        <w:t>eneficiosa y de progresividad,</w:t>
      </w:r>
      <w:r w:rsidR="00942927" w:rsidRPr="00942927">
        <w:rPr>
          <w:rFonts w:ascii="Arial Narrow" w:hAnsi="Arial Narrow" w:cs="Arial"/>
          <w:sz w:val="28"/>
          <w:szCs w:val="28"/>
        </w:rPr>
        <w:t xml:space="preserve"> dado que cumple con los requisitos establecidos en el Acuerdo 049 de 1990 para ello.</w:t>
      </w:r>
      <w:r w:rsidR="00942927">
        <w:rPr>
          <w:rFonts w:ascii="Arial Narrow" w:hAnsi="Arial Narrow" w:cs="Arial"/>
          <w:sz w:val="28"/>
          <w:szCs w:val="28"/>
        </w:rPr>
        <w:t xml:space="preserve"> De otra parte, con las declaraciones vertidas en la actuación dio por </w:t>
      </w:r>
      <w:r w:rsidR="00942927" w:rsidRPr="00942927">
        <w:rPr>
          <w:rFonts w:ascii="Arial Narrow" w:hAnsi="Arial Narrow" w:cs="Arial"/>
          <w:sz w:val="28"/>
          <w:szCs w:val="28"/>
        </w:rPr>
        <w:t>acreditado el tiempo de convivencia exigido en el artículo 13 de la Ley 797 de 2003</w:t>
      </w:r>
      <w:r w:rsidR="00942927">
        <w:rPr>
          <w:rFonts w:ascii="Arial Narrow" w:hAnsi="Arial Narrow" w:cs="Arial"/>
          <w:sz w:val="28"/>
          <w:szCs w:val="28"/>
        </w:rPr>
        <w:t>.</w:t>
      </w:r>
    </w:p>
    <w:p w:rsidR="006658D0" w:rsidRPr="007420E2" w:rsidRDefault="006658D0" w:rsidP="00886B92">
      <w:pPr>
        <w:pStyle w:val="Sinespaciado"/>
        <w:spacing w:line="276" w:lineRule="auto"/>
      </w:pPr>
    </w:p>
    <w:p w:rsidR="006658D0" w:rsidRDefault="006658D0" w:rsidP="00886B92">
      <w:pPr>
        <w:shd w:val="clear" w:color="auto" w:fill="FFFFFF"/>
        <w:spacing w:line="276"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886B92" w:rsidRDefault="00886B92" w:rsidP="00886B92">
      <w:pPr>
        <w:shd w:val="clear" w:color="auto" w:fill="FFFFFF"/>
        <w:spacing w:line="360" w:lineRule="auto"/>
        <w:ind w:firstLine="851"/>
        <w:jc w:val="both"/>
        <w:rPr>
          <w:rFonts w:ascii="Arial Narrow" w:hAnsi="Arial Narrow" w:cs="Tahoma"/>
          <w:color w:val="000000"/>
          <w:sz w:val="28"/>
          <w:szCs w:val="28"/>
          <w:lang w:eastAsia="es-CO"/>
        </w:rPr>
      </w:pPr>
    </w:p>
    <w:p w:rsidR="006658D0" w:rsidRPr="00E845FE" w:rsidRDefault="006658D0" w:rsidP="00886B92">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6658D0" w:rsidRPr="00886B92" w:rsidRDefault="006658D0" w:rsidP="00886B92">
      <w:pPr>
        <w:pStyle w:val="Sinespaciado"/>
      </w:pPr>
    </w:p>
    <w:p w:rsidR="00886B92" w:rsidRDefault="006658D0" w:rsidP="00886B92">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886B92" w:rsidRDefault="00886B92" w:rsidP="00886B92">
      <w:pPr>
        <w:pStyle w:val="Sinespaciado"/>
      </w:pPr>
    </w:p>
    <w:p w:rsidR="006658D0" w:rsidRPr="007420E2" w:rsidRDefault="006658D0" w:rsidP="00886B92">
      <w:pPr>
        <w:shd w:val="clear" w:color="auto" w:fill="FFFFFF"/>
        <w:tabs>
          <w:tab w:val="left" w:pos="5197"/>
        </w:tabs>
        <w:ind w:firstLine="851"/>
        <w:jc w:val="both"/>
        <w:rPr>
          <w:rFonts w:ascii="Arial Narrow" w:hAnsi="Arial Narrow" w:cs="Tahoma"/>
          <w:i/>
          <w:iCs/>
          <w:sz w:val="26"/>
          <w:szCs w:val="26"/>
        </w:rPr>
      </w:pPr>
      <w:r w:rsidRPr="007420E2">
        <w:rPr>
          <w:rFonts w:ascii="Arial Narrow" w:hAnsi="Arial Narrow" w:cs="Tahoma"/>
          <w:i/>
          <w:sz w:val="26"/>
          <w:szCs w:val="26"/>
        </w:rPr>
        <w:t>¿Es procedente reconocer la pensión de sobrevivientes conforme al Acuerdo 049 de 1990, en aplicación de la condición más beneficiosa, cuando el óbito del asegurado se produjo en vigencia de la Ley 797 de 2003</w:t>
      </w:r>
      <w:r w:rsidRPr="007420E2">
        <w:rPr>
          <w:rFonts w:ascii="Arial Narrow" w:hAnsi="Arial Narrow" w:cs="Tahoma"/>
          <w:i/>
          <w:iCs/>
          <w:sz w:val="26"/>
          <w:szCs w:val="26"/>
        </w:rPr>
        <w:t>?</w:t>
      </w:r>
    </w:p>
    <w:p w:rsidR="006658D0" w:rsidRPr="007420E2" w:rsidRDefault="006658D0" w:rsidP="00886B92">
      <w:pPr>
        <w:pStyle w:val="Sinespaciado"/>
      </w:pPr>
    </w:p>
    <w:p w:rsidR="006658D0" w:rsidRPr="007420E2" w:rsidRDefault="006658D0" w:rsidP="00886B92">
      <w:pPr>
        <w:tabs>
          <w:tab w:val="left" w:pos="0"/>
          <w:tab w:val="left" w:pos="8647"/>
        </w:tabs>
        <w:suppressAutoHyphens/>
        <w:ind w:firstLine="900"/>
        <w:jc w:val="both"/>
        <w:rPr>
          <w:rFonts w:ascii="Arial Narrow" w:hAnsi="Arial Narrow" w:cs="Tahoma"/>
          <w:i/>
          <w:iCs/>
          <w:sz w:val="26"/>
          <w:szCs w:val="26"/>
        </w:rPr>
      </w:pPr>
      <w:r w:rsidRPr="007420E2">
        <w:rPr>
          <w:rFonts w:ascii="Arial Narrow" w:hAnsi="Arial Narrow" w:cs="Tahoma"/>
          <w:i/>
          <w:iCs/>
          <w:sz w:val="26"/>
          <w:szCs w:val="26"/>
        </w:rPr>
        <w:t xml:space="preserve">¿La demandante es beneficiaria de la prestación pensional que reclama? </w:t>
      </w:r>
    </w:p>
    <w:p w:rsidR="006658D0" w:rsidRPr="007420E2" w:rsidRDefault="006658D0" w:rsidP="00886B92">
      <w:pPr>
        <w:pStyle w:val="Sinespaciado"/>
        <w:spacing w:line="360" w:lineRule="auto"/>
      </w:pPr>
    </w:p>
    <w:p w:rsidR="006658D0" w:rsidRDefault="006658D0" w:rsidP="00886B92">
      <w:pPr>
        <w:tabs>
          <w:tab w:val="left" w:pos="0"/>
          <w:tab w:val="left" w:pos="8647"/>
        </w:tabs>
        <w:suppressAutoHyphens/>
        <w:spacing w:line="276"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6658D0" w:rsidRPr="00E845FE" w:rsidRDefault="006658D0" w:rsidP="00886B92">
      <w:pPr>
        <w:pStyle w:val="Sinespaciado"/>
        <w:spacing w:line="276" w:lineRule="auto"/>
      </w:pPr>
    </w:p>
    <w:p w:rsidR="006658D0" w:rsidRDefault="006658D0" w:rsidP="00886B92">
      <w:pPr>
        <w:spacing w:line="276"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Pr>
          <w:rFonts w:ascii="Arial Narrow" w:hAnsi="Arial Narrow" w:cs="Tahoma"/>
          <w:sz w:val="28"/>
          <w:szCs w:val="28"/>
        </w:rPr>
        <w:t>para que presenten sus alegatos de conclusión.</w:t>
      </w:r>
    </w:p>
    <w:p w:rsidR="006658D0" w:rsidRPr="0036284D" w:rsidRDefault="006658D0" w:rsidP="00886B92">
      <w:pPr>
        <w:pStyle w:val="Sinespaciado"/>
        <w:spacing w:line="276" w:lineRule="auto"/>
      </w:pPr>
    </w:p>
    <w:p w:rsidR="006658D0" w:rsidRPr="00E845FE" w:rsidRDefault="006658D0" w:rsidP="00886B92">
      <w:pPr>
        <w:spacing w:line="276"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6658D0" w:rsidRPr="00E845FE" w:rsidRDefault="006658D0" w:rsidP="00886B92">
      <w:pPr>
        <w:pStyle w:val="Sinespaciado"/>
        <w:spacing w:line="276" w:lineRule="auto"/>
      </w:pPr>
    </w:p>
    <w:p w:rsidR="006658D0" w:rsidRPr="000E0538" w:rsidRDefault="006658D0" w:rsidP="006658D0">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6658D0" w:rsidRPr="0036284D" w:rsidRDefault="006658D0" w:rsidP="006658D0">
      <w:pPr>
        <w:pStyle w:val="Sinespaciado"/>
      </w:pPr>
      <w:r w:rsidRPr="000E0538">
        <w:rPr>
          <w:i/>
        </w:rPr>
        <w:tab/>
      </w:r>
      <w:r w:rsidRPr="00E845FE">
        <w:tab/>
      </w:r>
    </w:p>
    <w:p w:rsidR="006658D0" w:rsidRDefault="006658D0" w:rsidP="00886B92">
      <w:pPr>
        <w:pStyle w:val="Textoindependiente"/>
        <w:spacing w:line="276"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6658D0" w:rsidRPr="008278F7" w:rsidRDefault="006658D0" w:rsidP="00886B92">
      <w:pPr>
        <w:pStyle w:val="Sinespaciado"/>
        <w:spacing w:line="276" w:lineRule="auto"/>
      </w:pPr>
    </w:p>
    <w:p w:rsidR="006658D0" w:rsidRPr="00F769BA" w:rsidRDefault="006658D0" w:rsidP="00886B92">
      <w:pPr>
        <w:spacing w:line="276"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instancia: (i) que el óbito del asegurado, </w:t>
      </w:r>
      <w:r w:rsidR="004443F1">
        <w:rPr>
          <w:rFonts w:ascii="Arial Narrow" w:hAnsi="Arial Narrow"/>
          <w:sz w:val="28"/>
          <w:szCs w:val="28"/>
          <w:lang w:eastAsia="en-US"/>
        </w:rPr>
        <w:t xml:space="preserve">Luis Rafael Lasso </w:t>
      </w:r>
      <w:r w:rsidRPr="00F769BA">
        <w:rPr>
          <w:rFonts w:ascii="Arial Narrow" w:hAnsi="Arial Narrow"/>
          <w:sz w:val="28"/>
          <w:szCs w:val="28"/>
          <w:lang w:eastAsia="en-US"/>
        </w:rPr>
        <w:t xml:space="preserve">ocurrió el </w:t>
      </w:r>
      <w:r w:rsidR="004443F1">
        <w:rPr>
          <w:rFonts w:ascii="Arial Narrow" w:hAnsi="Arial Narrow"/>
          <w:sz w:val="28"/>
          <w:szCs w:val="28"/>
          <w:lang w:eastAsia="en-US"/>
        </w:rPr>
        <w:t xml:space="preserve">06 de junio </w:t>
      </w:r>
      <w:r w:rsidRPr="00F769BA">
        <w:rPr>
          <w:rFonts w:ascii="Arial Narrow" w:hAnsi="Arial Narrow"/>
          <w:sz w:val="28"/>
          <w:szCs w:val="28"/>
          <w:lang w:eastAsia="en-US"/>
        </w:rPr>
        <w:t>de 2012 (fl.</w:t>
      </w:r>
      <w:r w:rsidR="004443F1">
        <w:rPr>
          <w:rFonts w:ascii="Arial Narrow" w:hAnsi="Arial Narrow"/>
          <w:sz w:val="28"/>
          <w:szCs w:val="28"/>
          <w:lang w:eastAsia="en-US"/>
        </w:rPr>
        <w:t>35</w:t>
      </w:r>
      <w:r w:rsidRPr="00F769BA">
        <w:rPr>
          <w:rFonts w:ascii="Arial Narrow" w:hAnsi="Arial Narrow"/>
          <w:sz w:val="28"/>
          <w:szCs w:val="28"/>
          <w:lang w:eastAsia="en-US"/>
        </w:rPr>
        <w:t xml:space="preserve">); (ii) que éste y la demandante contrajeron matrimonio católico el </w:t>
      </w:r>
      <w:r w:rsidR="004443F1">
        <w:rPr>
          <w:rFonts w:ascii="Arial Narrow" w:hAnsi="Arial Narrow"/>
          <w:sz w:val="28"/>
          <w:szCs w:val="28"/>
          <w:lang w:eastAsia="en-US"/>
        </w:rPr>
        <w:t xml:space="preserve">19 de enero de 1975 </w:t>
      </w:r>
      <w:r w:rsidRPr="00F769BA">
        <w:rPr>
          <w:rFonts w:ascii="Arial Narrow" w:hAnsi="Arial Narrow"/>
          <w:sz w:val="28"/>
          <w:szCs w:val="28"/>
          <w:lang w:eastAsia="en-US"/>
        </w:rPr>
        <w:t>(fl.</w:t>
      </w:r>
      <w:r w:rsidR="004443F1">
        <w:rPr>
          <w:rFonts w:ascii="Arial Narrow" w:hAnsi="Arial Narrow"/>
          <w:sz w:val="28"/>
          <w:szCs w:val="28"/>
          <w:lang w:eastAsia="en-US"/>
        </w:rPr>
        <w:t>17</w:t>
      </w:r>
      <w:r w:rsidRPr="00F769BA">
        <w:rPr>
          <w:rFonts w:ascii="Arial Narrow" w:hAnsi="Arial Narrow"/>
          <w:sz w:val="28"/>
          <w:szCs w:val="28"/>
          <w:lang w:eastAsia="en-US"/>
        </w:rPr>
        <w:t xml:space="preserve">); (iii) que el afiliado cotizó un total de </w:t>
      </w:r>
      <w:r w:rsidR="004443F1">
        <w:rPr>
          <w:rFonts w:ascii="Arial Narrow" w:hAnsi="Arial Narrow"/>
          <w:sz w:val="28"/>
          <w:szCs w:val="28"/>
          <w:lang w:eastAsia="en-US"/>
        </w:rPr>
        <w:t xml:space="preserve">494.42 </w:t>
      </w:r>
      <w:r w:rsidRPr="00F769BA">
        <w:rPr>
          <w:rFonts w:ascii="Arial Narrow" w:hAnsi="Arial Narrow"/>
          <w:sz w:val="28"/>
          <w:szCs w:val="28"/>
          <w:lang w:eastAsia="en-US"/>
        </w:rPr>
        <w:t xml:space="preserve">semanas en toda su vida laboral desde el </w:t>
      </w:r>
      <w:r w:rsidR="004443F1">
        <w:rPr>
          <w:rFonts w:ascii="Arial Narrow" w:hAnsi="Arial Narrow"/>
          <w:sz w:val="28"/>
          <w:szCs w:val="28"/>
          <w:lang w:eastAsia="en-US"/>
        </w:rPr>
        <w:t>1º de mayo de 1994 y el 1 de agosto de 1988.</w:t>
      </w:r>
    </w:p>
    <w:p w:rsidR="006658D0" w:rsidRPr="00886B92" w:rsidRDefault="006658D0" w:rsidP="00886B92">
      <w:pPr>
        <w:pStyle w:val="Sinespaciado"/>
      </w:pPr>
    </w:p>
    <w:p w:rsidR="006658D0" w:rsidRPr="00F769BA" w:rsidRDefault="006658D0" w:rsidP="00886B92">
      <w:pPr>
        <w:spacing w:line="276" w:lineRule="auto"/>
        <w:ind w:firstLine="708"/>
        <w:jc w:val="both"/>
        <w:rPr>
          <w:rFonts w:ascii="Arial Narrow" w:hAnsi="Arial Narrow" w:cs="Arial"/>
          <w:sz w:val="28"/>
          <w:szCs w:val="28"/>
        </w:rPr>
      </w:pPr>
      <w:r w:rsidRPr="00F769BA">
        <w:rPr>
          <w:rFonts w:ascii="Arial Narrow" w:hAnsi="Arial Narrow" w:cs="Arial"/>
          <w:sz w:val="28"/>
          <w:szCs w:val="28"/>
        </w:rPr>
        <w:t>Así las cosas, es preciso recordar que la norma rectora en casos de pensión de sobrevivientes es la que regía al momento del deceso del asegurado, de modo que, en el sub-lite, es de recibo el artículo 12 de la Ley 797 de 2003 que reformó el artículo 46 de la Ley 100 de 1993, que exige una densidad mínima de 50 semanas dentro de los tres</w:t>
      </w:r>
      <w:r>
        <w:rPr>
          <w:rFonts w:ascii="Arial Narrow" w:hAnsi="Arial Narrow" w:cs="Arial"/>
          <w:sz w:val="28"/>
          <w:szCs w:val="28"/>
        </w:rPr>
        <w:t xml:space="preserve"> años anteriores al </w:t>
      </w:r>
      <w:r w:rsidRPr="00F769BA">
        <w:rPr>
          <w:rFonts w:ascii="Arial Narrow" w:hAnsi="Arial Narrow" w:cs="Arial"/>
          <w:sz w:val="28"/>
          <w:szCs w:val="28"/>
        </w:rPr>
        <w:t>deceso</w:t>
      </w:r>
      <w:r>
        <w:rPr>
          <w:rFonts w:ascii="Arial Narrow" w:hAnsi="Arial Narrow" w:cs="Arial"/>
          <w:sz w:val="28"/>
          <w:szCs w:val="28"/>
        </w:rPr>
        <w:t xml:space="preserve"> del asegurado</w:t>
      </w:r>
      <w:r w:rsidRPr="00F769BA">
        <w:rPr>
          <w:rFonts w:ascii="Arial Narrow" w:hAnsi="Arial Narrow" w:cs="Arial"/>
          <w:sz w:val="28"/>
          <w:szCs w:val="28"/>
        </w:rPr>
        <w:t>; condición ésta que no satisfizo el de cujus, por cuanto efectuó su último aporte al sistema general de pen</w:t>
      </w:r>
      <w:r w:rsidR="00785307">
        <w:rPr>
          <w:rFonts w:ascii="Arial Narrow" w:hAnsi="Arial Narrow" w:cs="Arial"/>
          <w:sz w:val="28"/>
          <w:szCs w:val="28"/>
        </w:rPr>
        <w:t>siones en el mes de agosto de 1988</w:t>
      </w:r>
      <w:r w:rsidRPr="00F769BA">
        <w:rPr>
          <w:rFonts w:ascii="Arial Narrow" w:hAnsi="Arial Narrow" w:cs="Arial"/>
          <w:sz w:val="28"/>
          <w:szCs w:val="28"/>
        </w:rPr>
        <w:t xml:space="preserve">, tal como se colige del reporte de semanas cotizadas obrante a folio </w:t>
      </w:r>
      <w:r w:rsidR="00785307">
        <w:rPr>
          <w:rFonts w:ascii="Arial Narrow" w:hAnsi="Arial Narrow" w:cs="Arial"/>
          <w:sz w:val="28"/>
          <w:szCs w:val="28"/>
        </w:rPr>
        <w:t>54</w:t>
      </w:r>
      <w:r w:rsidRPr="00F769BA">
        <w:rPr>
          <w:rFonts w:ascii="Arial Narrow" w:hAnsi="Arial Narrow" w:cs="Arial"/>
          <w:sz w:val="28"/>
          <w:szCs w:val="28"/>
        </w:rPr>
        <w:t xml:space="preserve">. </w:t>
      </w:r>
    </w:p>
    <w:p w:rsidR="006658D0" w:rsidRPr="00886B92" w:rsidRDefault="006658D0" w:rsidP="00886B92">
      <w:pPr>
        <w:pStyle w:val="Sinespaciado"/>
      </w:pPr>
    </w:p>
    <w:p w:rsidR="006658D0" w:rsidRDefault="006658D0" w:rsidP="00886B92">
      <w:pPr>
        <w:spacing w:line="276"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más de 300 semanas sufragadas al sistema pensional, las que en vigencia del acuerdo 049 de 1990</w:t>
      </w:r>
      <w:r w:rsidR="00B15939">
        <w:rPr>
          <w:rFonts w:ascii="Arial Narrow" w:hAnsi="Arial Narrow"/>
          <w:sz w:val="28"/>
          <w:szCs w:val="28"/>
        </w:rPr>
        <w:t xml:space="preserve"> y el 224 de 1966</w:t>
      </w:r>
      <w:r w:rsidRPr="006A4EB4">
        <w:rPr>
          <w:rFonts w:ascii="Arial Narrow" w:hAnsi="Arial Narrow"/>
          <w:sz w:val="28"/>
          <w:szCs w:val="28"/>
        </w:rPr>
        <w:t xml:space="preserve">, hubieran sido suficientes para </w:t>
      </w:r>
      <w:r>
        <w:rPr>
          <w:rFonts w:ascii="Arial Narrow" w:hAnsi="Arial Narrow"/>
          <w:sz w:val="28"/>
          <w:szCs w:val="28"/>
        </w:rPr>
        <w:t xml:space="preserve">que sus causahabientes alcanzaran el derecho a la pensión de sobrevivientes, es preciso el análisis en torno a si en favor del de las pretensiones de la demandante juega el principio de la condición más beneficiosa. </w:t>
      </w:r>
    </w:p>
    <w:p w:rsidR="006658D0" w:rsidRPr="008278F7" w:rsidRDefault="006658D0" w:rsidP="00886B92">
      <w:pPr>
        <w:pStyle w:val="Sinespaciado"/>
        <w:spacing w:line="276" w:lineRule="auto"/>
      </w:pPr>
    </w:p>
    <w:p w:rsidR="006658D0" w:rsidRPr="006A4EB4" w:rsidRDefault="006658D0" w:rsidP="00886B92">
      <w:pPr>
        <w:pStyle w:val="Textoindependiente32"/>
        <w:spacing w:line="276" w:lineRule="auto"/>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6658D0" w:rsidRPr="0036284D" w:rsidRDefault="006658D0" w:rsidP="00886B92">
      <w:pPr>
        <w:pStyle w:val="Sinespaciado"/>
      </w:pPr>
    </w:p>
    <w:p w:rsidR="006658D0" w:rsidRPr="00244AA1" w:rsidRDefault="006658D0" w:rsidP="00886B92">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6658D0" w:rsidRPr="006A4EB4" w:rsidRDefault="006658D0" w:rsidP="006658D0">
      <w:pPr>
        <w:pStyle w:val="Sinespaciado"/>
        <w:spacing w:line="276" w:lineRule="auto"/>
      </w:pPr>
    </w:p>
    <w:p w:rsidR="006658D0" w:rsidRPr="006A4EB4" w:rsidRDefault="006658D0" w:rsidP="00886B92">
      <w:pPr>
        <w:pStyle w:val="Textoindependiente32"/>
        <w:spacing w:line="276" w:lineRule="auto"/>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886B92" w:rsidRDefault="00886B92" w:rsidP="006658D0">
      <w:pPr>
        <w:pStyle w:val="Textoindependiente32"/>
        <w:spacing w:line="240" w:lineRule="auto"/>
        <w:ind w:firstLine="709"/>
        <w:rPr>
          <w:rFonts w:ascii="Arial Narrow" w:hAnsi="Arial Narrow"/>
          <w:sz w:val="26"/>
          <w:szCs w:val="26"/>
        </w:rPr>
      </w:pPr>
    </w:p>
    <w:p w:rsidR="006658D0" w:rsidRPr="00244AA1" w:rsidRDefault="006658D0" w:rsidP="006658D0">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6658D0" w:rsidRPr="00244AA1" w:rsidRDefault="006658D0" w:rsidP="006658D0">
      <w:pPr>
        <w:pStyle w:val="Sinespaciado"/>
        <w:spacing w:line="360" w:lineRule="auto"/>
      </w:pPr>
    </w:p>
    <w:p w:rsidR="006658D0" w:rsidRPr="00244AA1" w:rsidRDefault="006658D0" w:rsidP="00886B92">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6658D0" w:rsidRPr="008278F7" w:rsidRDefault="006658D0" w:rsidP="00886B92">
      <w:pPr>
        <w:pStyle w:val="Sinespaciado"/>
        <w:spacing w:line="276" w:lineRule="auto"/>
      </w:pPr>
    </w:p>
    <w:p w:rsidR="006658D0" w:rsidRPr="006A4EB4" w:rsidRDefault="006658D0" w:rsidP="00886B92">
      <w:pPr>
        <w:pStyle w:val="Textoindependiente32"/>
        <w:spacing w:line="276" w:lineRule="auto"/>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 xml:space="preserve">. </w:t>
      </w:r>
    </w:p>
    <w:p w:rsidR="006658D0" w:rsidRPr="008278F7" w:rsidRDefault="006658D0" w:rsidP="00886B92">
      <w:pPr>
        <w:pStyle w:val="Sinespaciado"/>
        <w:spacing w:line="276" w:lineRule="auto"/>
      </w:pPr>
    </w:p>
    <w:p w:rsidR="006658D0" w:rsidRDefault="006658D0" w:rsidP="00886B92">
      <w:pPr>
        <w:pStyle w:val="Textoindependiente32"/>
        <w:spacing w:line="276" w:lineRule="auto"/>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6658D0" w:rsidRPr="008278F7" w:rsidRDefault="006658D0" w:rsidP="00886B92">
      <w:pPr>
        <w:pStyle w:val="Sinespaciado"/>
        <w:spacing w:line="276" w:lineRule="auto"/>
      </w:pPr>
    </w:p>
    <w:p w:rsidR="006658D0" w:rsidRDefault="006658D0" w:rsidP="00886B92">
      <w:pPr>
        <w:pStyle w:val="Textoindependiente32"/>
        <w:spacing w:line="276" w:lineRule="auto"/>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6658D0" w:rsidRPr="0036284D" w:rsidRDefault="006658D0" w:rsidP="006658D0">
      <w:pPr>
        <w:pStyle w:val="Sinespaciado"/>
      </w:pPr>
    </w:p>
    <w:p w:rsidR="006658D0" w:rsidRPr="00244AA1" w:rsidRDefault="006658D0" w:rsidP="00886B92">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 …”.</w:t>
      </w:r>
    </w:p>
    <w:p w:rsidR="006658D0" w:rsidRPr="00886B92" w:rsidRDefault="006658D0" w:rsidP="00886B92">
      <w:pPr>
        <w:pStyle w:val="Sinespaciado"/>
      </w:pPr>
    </w:p>
    <w:p w:rsidR="006658D0" w:rsidRDefault="006658D0" w:rsidP="00886B92">
      <w:pPr>
        <w:pStyle w:val="Textoindependiente31"/>
        <w:spacing w:line="276" w:lineRule="auto"/>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B15939" w:rsidRPr="00244AA1" w:rsidRDefault="00B15939" w:rsidP="00886B92">
      <w:pPr>
        <w:pStyle w:val="Sinespaciado"/>
        <w:spacing w:line="276" w:lineRule="auto"/>
      </w:pPr>
    </w:p>
    <w:p w:rsidR="006658D0" w:rsidRPr="00244AA1" w:rsidRDefault="006658D0" w:rsidP="00886B92">
      <w:pPr>
        <w:pStyle w:val="Textoindependiente31"/>
        <w:spacing w:line="276" w:lineRule="auto"/>
        <w:ind w:firstLine="851"/>
        <w:rPr>
          <w:rFonts w:ascii="Arial Narrow" w:hAnsi="Arial Narrow" w:cs="Tahoma"/>
          <w:sz w:val="28"/>
          <w:szCs w:val="28"/>
        </w:rPr>
      </w:pPr>
      <w:r w:rsidRPr="00244AA1">
        <w:rPr>
          <w:rFonts w:ascii="Arial Narrow" w:hAnsi="Arial Narrow" w:cs="Tahoma"/>
          <w:sz w:val="28"/>
          <w:szCs w:val="28"/>
        </w:rPr>
        <w:t>En lo que toca al principio de la sostenibilidad financiera del sistema de la seguridad social, instaurada por el Acto Legislativo 01 de 2005, señala la ameritada jurisprudencia de la Corte Suprema de Justicia:</w:t>
      </w:r>
    </w:p>
    <w:p w:rsidR="006658D0" w:rsidRPr="00D86D29" w:rsidRDefault="006658D0" w:rsidP="006658D0">
      <w:pPr>
        <w:pStyle w:val="Sinespaciado"/>
      </w:pPr>
    </w:p>
    <w:p w:rsidR="006658D0" w:rsidRPr="00832CD7" w:rsidRDefault="006658D0" w:rsidP="006658D0">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6658D0" w:rsidRPr="00832CD7" w:rsidRDefault="006658D0" w:rsidP="00886B92">
      <w:pPr>
        <w:pStyle w:val="Sinespaciado"/>
      </w:pPr>
    </w:p>
    <w:p w:rsidR="006658D0" w:rsidRPr="005C6252" w:rsidRDefault="006658D0" w:rsidP="00886B92">
      <w:pPr>
        <w:pStyle w:val="Textoindependiente31"/>
        <w:spacing w:line="276" w:lineRule="auto"/>
        <w:ind w:firstLine="851"/>
        <w:rPr>
          <w:rFonts w:ascii="Arial Narrow" w:hAnsi="Arial Narrow" w:cs="Tahoma"/>
          <w:sz w:val="28"/>
          <w:szCs w:val="28"/>
        </w:rPr>
      </w:pPr>
      <w:r w:rsidRPr="00DB20B4">
        <w:rPr>
          <w:rFonts w:ascii="Arial Narrow" w:hAnsi="Arial Narrow" w:cs="Tahoma"/>
          <w:sz w:val="28"/>
          <w:szCs w:val="28"/>
        </w:rPr>
        <w:t xml:space="preserve">Ahora bien, en relación con el mismo tema, esto es, la procedencia de la condición más beneficiosa, no ya entre la ley 100 de 1993 y el acuerdo 049 de 1990, sobre la cual es pacífica la doctrina, sino entre las leyes 797 y 860 y el mentado acuerdo 049 de 1990, la jurisprudencia constitucional, T-401 de 2015 y T. 4.190.630, entre otras, es aún más </w:t>
      </w:r>
      <w:r w:rsidRPr="005C6252">
        <w:rPr>
          <w:rFonts w:ascii="Arial Narrow" w:hAnsi="Arial Narrow" w:cs="Tahoma"/>
          <w:sz w:val="28"/>
          <w:szCs w:val="28"/>
        </w:rPr>
        <w:t xml:space="preserve">amplia al abarcar esta última hipótesis, al esbozar con razones muy similares a las blandidas por su homóloga laboral. </w:t>
      </w:r>
    </w:p>
    <w:p w:rsidR="006658D0" w:rsidRPr="00886B92" w:rsidRDefault="006658D0" w:rsidP="00886B92">
      <w:pPr>
        <w:pStyle w:val="Sinespaciado"/>
      </w:pPr>
    </w:p>
    <w:p w:rsidR="006658D0" w:rsidRDefault="006658D0" w:rsidP="00886B92">
      <w:pPr>
        <w:pStyle w:val="Textoindependiente31"/>
        <w:spacing w:line="276" w:lineRule="auto"/>
        <w:ind w:firstLine="851"/>
        <w:rPr>
          <w:rFonts w:ascii="Arial Narrow" w:hAnsi="Arial Narrow" w:cs="Tahoma"/>
          <w:sz w:val="28"/>
          <w:szCs w:val="28"/>
        </w:rPr>
      </w:pPr>
      <w:r w:rsidRPr="005C6252">
        <w:rPr>
          <w:rFonts w:ascii="Arial Narrow" w:hAnsi="Arial Narrow" w:cs="Tahoma"/>
          <w:sz w:val="28"/>
          <w:szCs w:val="28"/>
        </w:rPr>
        <w:t>En efecto, enseña el alto Tribunal Constitucional, que ante la inexistencia de un régimen de transición para las pensiones de sobrevivencia e invalidez, en atención a los principios de buena fe, confianza legítima y favorabilidad, es dable dar aplicación a una norma anterior, como es el Acuerdo 049 de 1990, si el afiliado realizó cotizaciones en vigencia de dicha disposición, siempre que una norma posterior resulte ser desfavorable a su derecho pensional, puesto que dicha regla, se estatuye con el fin de proteger el principio de favorabilidad que en materia laboral ha reconocido el artículo 53 del ordenamiento superior, el cual, garantiza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B15939" w:rsidRDefault="00B15939" w:rsidP="00886B92">
      <w:pPr>
        <w:pStyle w:val="Sinespaciado"/>
        <w:spacing w:line="360" w:lineRule="auto"/>
      </w:pPr>
    </w:p>
    <w:p w:rsidR="006658D0" w:rsidRPr="005C6252" w:rsidRDefault="006658D0" w:rsidP="00886B92">
      <w:pPr>
        <w:pStyle w:val="Textoindependiente31"/>
        <w:spacing w:line="276" w:lineRule="auto"/>
        <w:ind w:firstLine="708"/>
        <w:rPr>
          <w:rFonts w:ascii="Arial Narrow" w:hAnsi="Arial Narrow" w:cs="Tahoma"/>
          <w:sz w:val="28"/>
          <w:szCs w:val="28"/>
        </w:rPr>
      </w:pPr>
      <w:r w:rsidRPr="005C6252">
        <w:rPr>
          <w:rFonts w:ascii="Arial Narrow" w:hAnsi="Arial Narrow" w:cs="Tahoma"/>
          <w:sz w:val="28"/>
          <w:szCs w:val="28"/>
        </w:rPr>
        <w:t>Recaba igualmente</w:t>
      </w:r>
      <w:r>
        <w:rPr>
          <w:rFonts w:ascii="Arial Narrow" w:hAnsi="Arial Narrow" w:cs="Tahoma"/>
          <w:sz w:val="28"/>
          <w:szCs w:val="28"/>
        </w:rPr>
        <w:t xml:space="preserve"> esa corporación</w:t>
      </w:r>
      <w:r w:rsidRPr="005C6252">
        <w:rPr>
          <w:rFonts w:ascii="Arial Narrow" w:hAnsi="Arial Narrow" w:cs="Tahoma"/>
          <w:sz w:val="28"/>
          <w:szCs w:val="28"/>
        </w:rPr>
        <w:t xml:space="preserve">, que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6658D0" w:rsidRPr="008278F7" w:rsidRDefault="006658D0" w:rsidP="00886B92">
      <w:pPr>
        <w:pStyle w:val="Sinespaciado"/>
        <w:spacing w:line="276" w:lineRule="auto"/>
      </w:pPr>
    </w:p>
    <w:p w:rsidR="006658D0" w:rsidRPr="005C6252" w:rsidRDefault="006658D0" w:rsidP="00886B92">
      <w:pPr>
        <w:pStyle w:val="Textoindependiente31"/>
        <w:spacing w:line="276" w:lineRule="auto"/>
        <w:ind w:firstLine="709"/>
        <w:rPr>
          <w:rFonts w:ascii="Arial Narrow" w:hAnsi="Arial Narrow" w:cs="Tahoma"/>
          <w:sz w:val="28"/>
          <w:szCs w:val="28"/>
        </w:rPr>
      </w:pPr>
      <w:r w:rsidRPr="005C6252">
        <w:rPr>
          <w:rFonts w:ascii="Arial Narrow" w:hAnsi="Arial Narrow" w:cs="Tahoma"/>
          <w:sz w:val="28"/>
          <w:szCs w:val="28"/>
        </w:rPr>
        <w:t>Con todo el material jurisprudencial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6658D0" w:rsidRPr="008278F7" w:rsidRDefault="006658D0" w:rsidP="00886B92">
      <w:pPr>
        <w:pStyle w:val="Sinespaciado"/>
        <w:spacing w:line="276" w:lineRule="auto"/>
      </w:pPr>
    </w:p>
    <w:p w:rsidR="006658D0" w:rsidRDefault="006658D0" w:rsidP="00886B92">
      <w:pPr>
        <w:pStyle w:val="Textoindependiente31"/>
        <w:spacing w:line="276" w:lineRule="auto"/>
        <w:ind w:firstLine="709"/>
        <w:rPr>
          <w:rFonts w:ascii="Arial Narrow" w:hAnsi="Arial Narrow" w:cs="Tahoma"/>
          <w:sz w:val="28"/>
          <w:szCs w:val="28"/>
        </w:rPr>
      </w:pPr>
      <w:r w:rsidRPr="005C6252">
        <w:rPr>
          <w:rFonts w:ascii="Arial Narrow" w:hAnsi="Arial Narrow" w:cs="Tahoma"/>
          <w:sz w:val="28"/>
          <w:szCs w:val="28"/>
        </w:rPr>
        <w:t>Prospera, entonces, la pretensión de la parte actora al amparo de los comentados principios</w:t>
      </w:r>
      <w:r>
        <w:rPr>
          <w:rFonts w:ascii="Arial Narrow" w:hAnsi="Arial Narrow" w:cs="Tahoma"/>
          <w:sz w:val="28"/>
          <w:szCs w:val="28"/>
        </w:rPr>
        <w:t xml:space="preserve">. </w:t>
      </w:r>
    </w:p>
    <w:p w:rsidR="006658D0" w:rsidRPr="00CB46FB" w:rsidRDefault="006658D0" w:rsidP="00886B92">
      <w:pPr>
        <w:pStyle w:val="Sinespaciado"/>
        <w:spacing w:line="276" w:lineRule="auto"/>
      </w:pPr>
    </w:p>
    <w:p w:rsidR="006658D0" w:rsidRDefault="006658D0" w:rsidP="00886B92">
      <w:pPr>
        <w:pStyle w:val="Textoindependiente31"/>
        <w:spacing w:line="276" w:lineRule="auto"/>
        <w:ind w:firstLine="851"/>
        <w:rPr>
          <w:rFonts w:ascii="Arial Narrow" w:hAnsi="Arial Narrow" w:cs="Arial"/>
          <w:sz w:val="28"/>
          <w:szCs w:val="28"/>
        </w:rPr>
      </w:pPr>
      <w:r>
        <w:rPr>
          <w:rFonts w:ascii="Arial Narrow" w:hAnsi="Arial Narrow" w:cs="Tahoma"/>
          <w:sz w:val="28"/>
          <w:szCs w:val="28"/>
        </w:rPr>
        <w:t>De</w:t>
      </w:r>
      <w:r w:rsidRPr="005C6252">
        <w:rPr>
          <w:rFonts w:ascii="Arial Narrow" w:hAnsi="Arial Narrow" w:cs="Arial"/>
          <w:sz w:val="28"/>
          <w:szCs w:val="28"/>
        </w:rPr>
        <w:t xml:space="preserve"> manera pues que, </w:t>
      </w:r>
      <w:r>
        <w:rPr>
          <w:rFonts w:ascii="Arial Narrow" w:hAnsi="Arial Narrow" w:cs="Arial"/>
          <w:sz w:val="28"/>
          <w:szCs w:val="28"/>
        </w:rPr>
        <w:t xml:space="preserve">como en este caso se reúnen las condiciones antes previstas, dado que al 1º de abril de 1994 el causante había sufragado al sistema </w:t>
      </w:r>
      <w:r w:rsidR="004765C3">
        <w:rPr>
          <w:rFonts w:ascii="Arial Narrow" w:hAnsi="Arial Narrow" w:cs="Arial"/>
          <w:sz w:val="28"/>
          <w:szCs w:val="28"/>
        </w:rPr>
        <w:t>pe</w:t>
      </w:r>
      <w:r>
        <w:rPr>
          <w:rFonts w:ascii="Arial Narrow" w:hAnsi="Arial Narrow" w:cs="Arial"/>
          <w:sz w:val="28"/>
          <w:szCs w:val="28"/>
        </w:rPr>
        <w:t xml:space="preserve">nsional un total de </w:t>
      </w:r>
      <w:r w:rsidR="004765C3">
        <w:rPr>
          <w:rFonts w:ascii="Arial Narrow" w:hAnsi="Arial Narrow" w:cs="Arial"/>
          <w:sz w:val="28"/>
          <w:szCs w:val="28"/>
        </w:rPr>
        <w:t xml:space="preserve">494.42 semanas </w:t>
      </w:r>
      <w:r>
        <w:rPr>
          <w:rFonts w:ascii="Arial Narrow" w:hAnsi="Arial Narrow" w:cs="Arial"/>
          <w:sz w:val="28"/>
          <w:szCs w:val="28"/>
        </w:rPr>
        <w:t xml:space="preserve">de aportes, </w:t>
      </w:r>
      <w:r w:rsidRPr="005C6252">
        <w:rPr>
          <w:rFonts w:ascii="Arial Narrow" w:hAnsi="Arial Narrow" w:cs="Arial"/>
          <w:sz w:val="28"/>
          <w:szCs w:val="28"/>
          <w:lang w:val="es-ES"/>
        </w:rPr>
        <w:t xml:space="preserve">es evidente que la decisión </w:t>
      </w:r>
      <w:r>
        <w:rPr>
          <w:rFonts w:ascii="Arial Narrow" w:hAnsi="Arial Narrow" w:cs="Arial"/>
          <w:sz w:val="28"/>
          <w:szCs w:val="28"/>
          <w:lang w:val="es-ES"/>
        </w:rPr>
        <w:t xml:space="preserve">de </w:t>
      </w:r>
      <w:r w:rsidRPr="005C6252">
        <w:rPr>
          <w:rFonts w:ascii="Arial Narrow" w:hAnsi="Arial Narrow" w:cs="Arial"/>
          <w:sz w:val="28"/>
          <w:szCs w:val="28"/>
          <w:lang w:val="es-ES"/>
        </w:rPr>
        <w:t>la Jueza a-quo es acertada</w:t>
      </w:r>
      <w:r>
        <w:rPr>
          <w:rFonts w:ascii="Arial Narrow" w:hAnsi="Arial Narrow" w:cs="Arial"/>
          <w:sz w:val="28"/>
          <w:szCs w:val="28"/>
          <w:lang w:val="es-ES"/>
        </w:rPr>
        <w:t>, al concluir que aquel dejó causado el derecho para que sus posibles beneficiarios accedieran a la pensión de sobrevivientes, por lo que en sede de consulta se confirmará este fragmento de la providencia.</w:t>
      </w:r>
    </w:p>
    <w:p w:rsidR="006658D0" w:rsidRPr="008278F7" w:rsidRDefault="006658D0" w:rsidP="00886B92">
      <w:pPr>
        <w:pStyle w:val="Sinespaciado"/>
        <w:spacing w:line="276" w:lineRule="auto"/>
      </w:pPr>
    </w:p>
    <w:p w:rsidR="006658D0" w:rsidRDefault="006658D0" w:rsidP="00886B92">
      <w:pPr>
        <w:spacing w:line="276" w:lineRule="auto"/>
        <w:ind w:firstLine="851"/>
        <w:jc w:val="both"/>
        <w:rPr>
          <w:rFonts w:ascii="Arial Narrow" w:hAnsi="Arial Narrow" w:cs="Arial"/>
          <w:sz w:val="28"/>
          <w:szCs w:val="28"/>
        </w:rPr>
      </w:pPr>
      <w:r>
        <w:rPr>
          <w:rFonts w:ascii="Arial Narrow" w:hAnsi="Arial Narrow" w:cs="Arial"/>
          <w:sz w:val="28"/>
          <w:szCs w:val="28"/>
        </w:rPr>
        <w:t>Ahora bien, en torno a</w:t>
      </w:r>
      <w:r w:rsidRPr="00F326B9">
        <w:rPr>
          <w:rFonts w:ascii="Arial Narrow" w:hAnsi="Arial Narrow" w:cs="Arial"/>
          <w:sz w:val="28"/>
          <w:szCs w:val="28"/>
        </w:rPr>
        <w:t xml:space="preserve">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 xml:space="preserve">para ostentar la calidad de beneficiaria de la pensión de sobrevivientes peticionada, al tenor de lo preceptuado en el artículo 13 de la Ley 797 de 2003, le </w:t>
      </w:r>
      <w:r w:rsidRPr="005C1838">
        <w:rPr>
          <w:rFonts w:ascii="Arial Narrow" w:hAnsi="Arial Narrow" w:cs="Arial"/>
          <w:sz w:val="28"/>
          <w:szCs w:val="28"/>
        </w:rPr>
        <w:t>correspondía a</w:t>
      </w:r>
      <w:r>
        <w:rPr>
          <w:rFonts w:ascii="Arial Narrow" w:hAnsi="Arial Narrow" w:cs="Arial"/>
          <w:sz w:val="28"/>
          <w:szCs w:val="28"/>
        </w:rPr>
        <w:t xml:space="preserve"> la señora Mar</w:t>
      </w:r>
      <w:r w:rsidR="004765C3">
        <w:rPr>
          <w:rFonts w:ascii="Arial Narrow" w:hAnsi="Arial Narrow" w:cs="Arial"/>
          <w:sz w:val="28"/>
          <w:szCs w:val="28"/>
        </w:rPr>
        <w:t>ía Consuelo</w:t>
      </w:r>
      <w:r>
        <w:rPr>
          <w:rFonts w:ascii="Arial Narrow" w:hAnsi="Arial Narrow" w:cs="Arial"/>
          <w:sz w:val="28"/>
          <w:szCs w:val="28"/>
        </w:rPr>
        <w:t>, acr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el señor</w:t>
      </w:r>
      <w:r w:rsidR="004765C3">
        <w:rPr>
          <w:rFonts w:ascii="Arial Narrow" w:hAnsi="Arial Narrow" w:cs="Arial"/>
          <w:sz w:val="28"/>
          <w:szCs w:val="28"/>
        </w:rPr>
        <w:t xml:space="preserve"> Luis Rafael Lasso</w:t>
      </w:r>
      <w:r>
        <w:rPr>
          <w:rFonts w:ascii="Arial Narrow" w:hAnsi="Arial Narrow" w:cs="Arial"/>
          <w:sz w:val="28"/>
          <w:szCs w:val="28"/>
        </w:rPr>
        <w:t xml:space="preserve">, anteriores a su deceso. </w:t>
      </w:r>
    </w:p>
    <w:p w:rsidR="006658D0" w:rsidRDefault="006658D0" w:rsidP="00886B92">
      <w:pPr>
        <w:pStyle w:val="Sinespaciado"/>
        <w:spacing w:line="276" w:lineRule="auto"/>
      </w:pPr>
    </w:p>
    <w:p w:rsidR="006658D0" w:rsidRDefault="006658D0" w:rsidP="00886B92">
      <w:pPr>
        <w:spacing w:line="276" w:lineRule="auto"/>
        <w:ind w:firstLine="851"/>
        <w:jc w:val="both"/>
        <w:rPr>
          <w:rFonts w:ascii="Arial Narrow" w:hAnsi="Arial Narrow"/>
          <w:sz w:val="28"/>
          <w:szCs w:val="28"/>
          <w:lang w:val="es-CO"/>
        </w:rPr>
      </w:pPr>
      <w:r>
        <w:rPr>
          <w:rFonts w:ascii="Arial Narrow" w:hAnsi="Arial Narrow" w:cs="Arial"/>
          <w:sz w:val="28"/>
          <w:szCs w:val="28"/>
        </w:rPr>
        <w:t xml:space="preserve">Para el efecto, se escucharon las declaraciones de </w:t>
      </w:r>
      <w:r w:rsidR="004B52E6">
        <w:rPr>
          <w:rFonts w:ascii="Arial Narrow" w:hAnsi="Arial Narrow" w:cs="Arial"/>
          <w:sz w:val="28"/>
          <w:szCs w:val="28"/>
        </w:rPr>
        <w:t xml:space="preserve">Leonardo Antonio Benjumea Grajales y Fernando Enrique López Gallego, quienes </w:t>
      </w:r>
      <w:r>
        <w:rPr>
          <w:rFonts w:ascii="Arial Narrow" w:hAnsi="Arial Narrow" w:cs="Arial"/>
          <w:sz w:val="28"/>
          <w:szCs w:val="28"/>
        </w:rPr>
        <w:t>de manera clara, coherente y precisa, indicaron que la demandante fungió como esposa del causante</w:t>
      </w:r>
      <w:r w:rsidR="00AB079B">
        <w:rPr>
          <w:rFonts w:ascii="Arial Narrow" w:hAnsi="Arial Narrow" w:cs="Arial"/>
          <w:sz w:val="28"/>
          <w:szCs w:val="28"/>
        </w:rPr>
        <w:t xml:space="preserve"> desde el año 75</w:t>
      </w:r>
      <w:r>
        <w:rPr>
          <w:rFonts w:ascii="Arial Narrow" w:hAnsi="Arial Narrow" w:cs="Arial"/>
          <w:sz w:val="28"/>
          <w:szCs w:val="28"/>
        </w:rPr>
        <w:t>, que procrearon</w:t>
      </w:r>
      <w:r w:rsidR="004B52E6">
        <w:rPr>
          <w:rFonts w:ascii="Arial Narrow" w:hAnsi="Arial Narrow" w:cs="Arial"/>
          <w:sz w:val="28"/>
          <w:szCs w:val="28"/>
        </w:rPr>
        <w:t xml:space="preserve"> cinco </w:t>
      </w:r>
      <w:r>
        <w:rPr>
          <w:rFonts w:ascii="Arial Narrow" w:hAnsi="Arial Narrow" w:cs="Arial"/>
          <w:sz w:val="28"/>
          <w:szCs w:val="28"/>
        </w:rPr>
        <w:t xml:space="preserve">hijos de nombres </w:t>
      </w:r>
      <w:r w:rsidR="004B52E6">
        <w:rPr>
          <w:rFonts w:ascii="Arial Narrow" w:hAnsi="Arial Narrow"/>
          <w:sz w:val="28"/>
          <w:szCs w:val="28"/>
          <w:lang w:val="es-CO"/>
        </w:rPr>
        <w:t xml:space="preserve">María Belsa, Jazmín Helena,  María de los Angeles, Magali y Brian, </w:t>
      </w:r>
      <w:r>
        <w:rPr>
          <w:rFonts w:ascii="Arial Narrow" w:hAnsi="Arial Narrow"/>
          <w:sz w:val="28"/>
          <w:szCs w:val="28"/>
          <w:lang w:val="es-CO"/>
        </w:rPr>
        <w:t>en la actualidad todos mayores de edad; que la pareja conviv</w:t>
      </w:r>
      <w:r w:rsidR="004B52E6">
        <w:rPr>
          <w:rFonts w:ascii="Arial Narrow" w:hAnsi="Arial Narrow"/>
          <w:sz w:val="28"/>
          <w:szCs w:val="28"/>
          <w:lang w:val="es-CO"/>
        </w:rPr>
        <w:t>ió en Viterbo, Caldas</w:t>
      </w:r>
      <w:r>
        <w:rPr>
          <w:rFonts w:ascii="Arial Narrow" w:hAnsi="Arial Narrow"/>
          <w:sz w:val="28"/>
          <w:szCs w:val="28"/>
          <w:lang w:val="es-CO"/>
        </w:rPr>
        <w:t xml:space="preserve">; que el señor </w:t>
      </w:r>
      <w:r w:rsidR="004B52E6">
        <w:rPr>
          <w:rFonts w:ascii="Arial Narrow" w:hAnsi="Arial Narrow"/>
          <w:sz w:val="28"/>
          <w:szCs w:val="28"/>
          <w:lang w:val="es-CO"/>
        </w:rPr>
        <w:t>Rafael Lasso falleció a causa de complicaciones respiratorias</w:t>
      </w:r>
      <w:r>
        <w:rPr>
          <w:rFonts w:ascii="Arial Narrow" w:hAnsi="Arial Narrow"/>
          <w:sz w:val="28"/>
          <w:szCs w:val="28"/>
          <w:lang w:val="es-CO"/>
        </w:rPr>
        <w:t xml:space="preserve">, </w:t>
      </w:r>
      <w:r w:rsidR="004B52E6">
        <w:rPr>
          <w:rFonts w:ascii="Arial Narrow" w:hAnsi="Arial Narrow"/>
          <w:sz w:val="28"/>
          <w:szCs w:val="28"/>
          <w:lang w:val="es-CO"/>
        </w:rPr>
        <w:t xml:space="preserve">y que </w:t>
      </w:r>
      <w:r w:rsidR="00450964">
        <w:rPr>
          <w:rFonts w:ascii="Arial Narrow" w:hAnsi="Arial Narrow"/>
          <w:sz w:val="28"/>
          <w:szCs w:val="28"/>
          <w:lang w:val="es-CO"/>
        </w:rPr>
        <w:t>n</w:t>
      </w:r>
      <w:r w:rsidR="00AB079B">
        <w:rPr>
          <w:rFonts w:ascii="Arial Narrow" w:hAnsi="Arial Narrow"/>
          <w:sz w:val="28"/>
          <w:szCs w:val="28"/>
          <w:lang w:val="es-CO"/>
        </w:rPr>
        <w:t xml:space="preserve">unca </w:t>
      </w:r>
      <w:r w:rsidR="00450964">
        <w:rPr>
          <w:rFonts w:ascii="Arial Narrow" w:hAnsi="Arial Narrow"/>
          <w:sz w:val="28"/>
          <w:szCs w:val="28"/>
          <w:lang w:val="es-CO"/>
        </w:rPr>
        <w:t xml:space="preserve">tuvieron noticia </w:t>
      </w:r>
      <w:r w:rsidR="00AB079B">
        <w:rPr>
          <w:rFonts w:ascii="Arial Narrow" w:hAnsi="Arial Narrow"/>
          <w:sz w:val="28"/>
          <w:szCs w:val="28"/>
          <w:lang w:val="es-CO"/>
        </w:rPr>
        <w:t>de separación o rompimiento de la pareja.</w:t>
      </w:r>
    </w:p>
    <w:p w:rsidR="00886B92" w:rsidRPr="00886B92" w:rsidRDefault="00886B92" w:rsidP="00886B92">
      <w:pPr>
        <w:pStyle w:val="Sinespaciado"/>
      </w:pPr>
    </w:p>
    <w:p w:rsidR="00886B92" w:rsidRDefault="00886B92" w:rsidP="00886B92">
      <w:pPr>
        <w:spacing w:line="276" w:lineRule="auto"/>
        <w:ind w:firstLine="858"/>
        <w:jc w:val="both"/>
        <w:rPr>
          <w:rFonts w:ascii="Arial Narrow" w:hAnsi="Arial Narrow"/>
          <w:sz w:val="28"/>
          <w:szCs w:val="28"/>
          <w:lang w:val="es-ES"/>
        </w:rPr>
      </w:pPr>
      <w:r w:rsidRPr="00C91EFC">
        <w:rPr>
          <w:rFonts w:ascii="Arial Narrow" w:hAnsi="Arial Narrow"/>
          <w:sz w:val="28"/>
          <w:szCs w:val="28"/>
          <w:lang w:val="es-ES"/>
        </w:rPr>
        <w:t xml:space="preserve">Vista la prueba testimonial recaudada, </w:t>
      </w:r>
      <w:r>
        <w:rPr>
          <w:rFonts w:ascii="Arial Narrow" w:hAnsi="Arial Narrow"/>
          <w:sz w:val="28"/>
          <w:szCs w:val="28"/>
          <w:lang w:val="es-ES"/>
        </w:rPr>
        <w:t xml:space="preserve">encuentra </w:t>
      </w:r>
      <w:r w:rsidRPr="005E0F14">
        <w:rPr>
          <w:rFonts w:ascii="Arial Narrow" w:hAnsi="Arial Narrow" w:cs="Arial"/>
          <w:sz w:val="28"/>
          <w:szCs w:val="28"/>
        </w:rPr>
        <w:t xml:space="preserve">la Sala que </w:t>
      </w:r>
      <w:r>
        <w:rPr>
          <w:rFonts w:ascii="Arial Narrow" w:hAnsi="Arial Narrow" w:cs="Arial"/>
          <w:sz w:val="28"/>
          <w:szCs w:val="28"/>
        </w:rPr>
        <w:t xml:space="preserve">en efecto, </w:t>
      </w:r>
      <w:r w:rsidRPr="005E0F14">
        <w:rPr>
          <w:rFonts w:ascii="Arial Narrow" w:hAnsi="Arial Narrow" w:cs="Arial"/>
          <w:sz w:val="28"/>
          <w:szCs w:val="28"/>
        </w:rPr>
        <w:t>a</w:t>
      </w:r>
      <w:r>
        <w:rPr>
          <w:rFonts w:ascii="Arial Narrow" w:hAnsi="Arial Narrow" w:cs="Arial"/>
          <w:sz w:val="28"/>
          <w:szCs w:val="28"/>
        </w:rPr>
        <w:t xml:space="preserve"> la </w:t>
      </w:r>
      <w:r w:rsidRPr="005E0F14">
        <w:rPr>
          <w:rFonts w:ascii="Arial Narrow" w:hAnsi="Arial Narrow" w:cs="Arial"/>
          <w:sz w:val="28"/>
          <w:szCs w:val="28"/>
        </w:rPr>
        <w:t>accionant</w:t>
      </w:r>
      <w:r>
        <w:rPr>
          <w:rFonts w:ascii="Arial Narrow" w:hAnsi="Arial Narrow" w:cs="Arial"/>
          <w:sz w:val="28"/>
          <w:szCs w:val="28"/>
        </w:rPr>
        <w:t>e le asiste el</w:t>
      </w:r>
      <w:r w:rsidRPr="005E0F14">
        <w:rPr>
          <w:rFonts w:ascii="Arial Narrow" w:hAnsi="Arial Narrow" w:cs="Arial"/>
          <w:sz w:val="28"/>
          <w:szCs w:val="28"/>
        </w:rPr>
        <w:t xml:space="preserve"> derecho a percibir la pensión de sobrevivientes, pues en condición de </w:t>
      </w:r>
      <w:r>
        <w:rPr>
          <w:rFonts w:ascii="Arial Narrow" w:hAnsi="Arial Narrow" w:cs="Arial"/>
          <w:sz w:val="28"/>
          <w:szCs w:val="28"/>
        </w:rPr>
        <w:t xml:space="preserve">cónyuge supérstite del de cujus </w:t>
      </w:r>
      <w:r w:rsidRPr="005E0F14">
        <w:rPr>
          <w:rFonts w:ascii="Arial Narrow" w:hAnsi="Arial Narrow" w:cs="Arial"/>
          <w:sz w:val="28"/>
          <w:szCs w:val="28"/>
        </w:rPr>
        <w:t xml:space="preserve"> logró acreditar una convivencia superior a los 5 años exigidos en el artículo 12 de la Ley 797 de 2003, modificatorio del artículo 47 de la Ley 100 de 1993, por lo que acertada resulta la decisión de la a quo, al </w:t>
      </w:r>
      <w:r>
        <w:rPr>
          <w:rFonts w:ascii="Arial Narrow" w:hAnsi="Arial Narrow" w:cs="Arial"/>
          <w:sz w:val="28"/>
          <w:szCs w:val="28"/>
        </w:rPr>
        <w:t xml:space="preserve">otorgarle la prestación a </w:t>
      </w:r>
      <w:r w:rsidRPr="005E0F14">
        <w:rPr>
          <w:rFonts w:ascii="Arial Narrow" w:hAnsi="Arial Narrow" w:cs="Arial"/>
          <w:sz w:val="28"/>
          <w:szCs w:val="28"/>
        </w:rPr>
        <w:t xml:space="preserve">partir del </w:t>
      </w:r>
      <w:r>
        <w:rPr>
          <w:rFonts w:ascii="Arial Narrow" w:hAnsi="Arial Narrow" w:cs="Arial"/>
          <w:sz w:val="28"/>
          <w:szCs w:val="28"/>
        </w:rPr>
        <w:t xml:space="preserve">6 de junio de 2012, en cuantía de un salario mínimo legal mensual vigente, y </w:t>
      </w:r>
      <w:r w:rsidRPr="005E0F14">
        <w:rPr>
          <w:rFonts w:ascii="Arial Narrow" w:hAnsi="Arial Narrow" w:cs="Arial"/>
          <w:sz w:val="28"/>
          <w:szCs w:val="28"/>
        </w:rPr>
        <w:t>por 1</w:t>
      </w:r>
      <w:r>
        <w:rPr>
          <w:rFonts w:ascii="Arial Narrow" w:hAnsi="Arial Narrow" w:cs="Arial"/>
          <w:sz w:val="28"/>
          <w:szCs w:val="28"/>
        </w:rPr>
        <w:t>3</w:t>
      </w:r>
      <w:r w:rsidRPr="005E0F14">
        <w:rPr>
          <w:rFonts w:ascii="Arial Narrow" w:hAnsi="Arial Narrow" w:cs="Arial"/>
          <w:sz w:val="28"/>
          <w:szCs w:val="28"/>
        </w:rPr>
        <w:t xml:space="preserve"> mesadas al año, </w:t>
      </w:r>
      <w:r>
        <w:rPr>
          <w:rFonts w:ascii="Arial Narrow" w:hAnsi="Arial Narrow" w:cs="Arial"/>
          <w:sz w:val="28"/>
          <w:szCs w:val="28"/>
        </w:rPr>
        <w:t xml:space="preserve">dado que la causación del derecho se dio con posterioridad al 31 de julio de 2011, conforme lo establece </w:t>
      </w:r>
      <w:r w:rsidRPr="005E0F14">
        <w:rPr>
          <w:rFonts w:ascii="Arial Narrow" w:hAnsi="Arial Narrow"/>
          <w:sz w:val="28"/>
          <w:szCs w:val="28"/>
          <w:lang w:val="es-ES"/>
        </w:rPr>
        <w:t>el Acto Legislativo 01 de 2005.</w:t>
      </w:r>
    </w:p>
    <w:p w:rsidR="00886B92" w:rsidRPr="00886B92" w:rsidRDefault="00886B92" w:rsidP="00886B92">
      <w:pPr>
        <w:pStyle w:val="Sinespaciado"/>
      </w:pPr>
    </w:p>
    <w:p w:rsidR="006658D0" w:rsidRDefault="006658D0" w:rsidP="00886B92">
      <w:pPr>
        <w:spacing w:line="276" w:lineRule="auto"/>
        <w:ind w:firstLine="709"/>
        <w:jc w:val="both"/>
        <w:rPr>
          <w:rFonts w:ascii="Arial Narrow" w:hAnsi="Arial Narrow"/>
          <w:sz w:val="28"/>
          <w:szCs w:val="28"/>
        </w:rPr>
      </w:pPr>
      <w:r>
        <w:rPr>
          <w:rFonts w:ascii="Arial Narrow" w:hAnsi="Arial Narrow" w:cs="Arial"/>
          <w:sz w:val="28"/>
          <w:szCs w:val="28"/>
          <w:lang w:val="es-ES"/>
        </w:rPr>
        <w:t xml:space="preserve">No prospera la excepción de prescripción propuesta por la entidad demandada, habida consideración de que </w:t>
      </w:r>
      <w:r w:rsidRPr="0037308E">
        <w:rPr>
          <w:rFonts w:ascii="Arial Narrow" w:hAnsi="Arial Narrow"/>
          <w:sz w:val="28"/>
          <w:szCs w:val="28"/>
        </w:rPr>
        <w:t xml:space="preserve">en los términos del artículo 151 del C.P.T.S.S., no transcurrieron más de tres años desde que la respectiva obligación se hizo exigible y la interposición de la demanda, la cual tuvo lugar el </w:t>
      </w:r>
      <w:r w:rsidR="00886B92">
        <w:rPr>
          <w:rFonts w:ascii="Arial Narrow" w:hAnsi="Arial Narrow"/>
          <w:sz w:val="28"/>
          <w:szCs w:val="28"/>
        </w:rPr>
        <w:t>19 de febrero de 2</w:t>
      </w:r>
      <w:r>
        <w:rPr>
          <w:rFonts w:ascii="Arial Narrow" w:hAnsi="Arial Narrow"/>
          <w:sz w:val="28"/>
          <w:szCs w:val="28"/>
        </w:rPr>
        <w:t>014</w:t>
      </w:r>
      <w:r w:rsidRPr="0037308E">
        <w:rPr>
          <w:rFonts w:ascii="Arial Narrow" w:hAnsi="Arial Narrow"/>
          <w:sz w:val="28"/>
          <w:szCs w:val="28"/>
        </w:rPr>
        <w:t xml:space="preserve"> (fl.</w:t>
      </w:r>
      <w:r w:rsidR="00886B92">
        <w:rPr>
          <w:rFonts w:ascii="Arial Narrow" w:hAnsi="Arial Narrow"/>
          <w:sz w:val="28"/>
          <w:szCs w:val="28"/>
        </w:rPr>
        <w:t>9)</w:t>
      </w:r>
      <w:r w:rsidRPr="0037308E">
        <w:rPr>
          <w:rFonts w:ascii="Arial Narrow" w:hAnsi="Arial Narrow"/>
          <w:sz w:val="28"/>
          <w:szCs w:val="28"/>
        </w:rPr>
        <w:t xml:space="preserve">. </w:t>
      </w:r>
    </w:p>
    <w:p w:rsidR="006658D0" w:rsidRPr="008278F7" w:rsidRDefault="006658D0" w:rsidP="00886B92">
      <w:pPr>
        <w:pStyle w:val="Sinespaciado"/>
        <w:spacing w:line="276" w:lineRule="auto"/>
      </w:pPr>
    </w:p>
    <w:p w:rsidR="006658D0" w:rsidRDefault="006658D0" w:rsidP="00886B92">
      <w:pPr>
        <w:pStyle w:val="Textoindependiente"/>
        <w:spacing w:line="276" w:lineRule="auto"/>
        <w:ind w:firstLine="851"/>
        <w:rPr>
          <w:rFonts w:ascii="Arial Narrow" w:hAnsi="Arial Narrow" w:cs="Tahoma"/>
          <w:sz w:val="28"/>
          <w:szCs w:val="28"/>
        </w:rPr>
      </w:pPr>
      <w:r>
        <w:rPr>
          <w:rFonts w:ascii="Arial Narrow" w:hAnsi="Arial Narrow" w:cs="Tahoma"/>
          <w:sz w:val="28"/>
          <w:szCs w:val="28"/>
        </w:rPr>
        <w:t xml:space="preserve">En </w:t>
      </w:r>
      <w:r w:rsidR="00886B92">
        <w:rPr>
          <w:rFonts w:ascii="Arial Narrow" w:hAnsi="Arial Narrow" w:cs="Tahoma"/>
          <w:sz w:val="28"/>
          <w:szCs w:val="28"/>
        </w:rPr>
        <w:t>consecuencia, se confirmará en su integridad la s</w:t>
      </w:r>
      <w:r>
        <w:rPr>
          <w:rFonts w:ascii="Arial Narrow" w:hAnsi="Arial Narrow" w:cs="Tahoma"/>
          <w:sz w:val="28"/>
          <w:szCs w:val="28"/>
        </w:rPr>
        <w:t xml:space="preserve">entencia consultada. </w:t>
      </w:r>
    </w:p>
    <w:p w:rsidR="006658D0" w:rsidRPr="00886B92" w:rsidRDefault="006658D0" w:rsidP="00886B92">
      <w:pPr>
        <w:pStyle w:val="Sinespaciado"/>
        <w:spacing w:line="276" w:lineRule="auto"/>
      </w:pPr>
    </w:p>
    <w:p w:rsidR="006658D0" w:rsidRPr="008424AB" w:rsidRDefault="006658D0" w:rsidP="00886B92">
      <w:pPr>
        <w:pStyle w:val="Textoindependiente"/>
        <w:spacing w:line="276" w:lineRule="auto"/>
        <w:ind w:firstLine="851"/>
        <w:rPr>
          <w:rFonts w:ascii="Arial Narrow" w:hAnsi="Arial Narrow" w:cs="Tahoma"/>
          <w:sz w:val="28"/>
          <w:szCs w:val="28"/>
        </w:rPr>
      </w:pPr>
      <w:r>
        <w:rPr>
          <w:rFonts w:ascii="Arial Narrow" w:hAnsi="Arial Narrow" w:cs="Tahoma"/>
          <w:sz w:val="28"/>
          <w:szCs w:val="28"/>
        </w:rPr>
        <w:t>Sin costas en esta instancia.</w:t>
      </w:r>
    </w:p>
    <w:p w:rsidR="006658D0" w:rsidRPr="008424AB" w:rsidRDefault="006658D0" w:rsidP="00886B92">
      <w:pPr>
        <w:pStyle w:val="Sinespaciado"/>
        <w:spacing w:line="276" w:lineRule="auto"/>
      </w:pPr>
    </w:p>
    <w:p w:rsidR="006658D0" w:rsidRPr="008424AB" w:rsidRDefault="006658D0" w:rsidP="00886B92">
      <w:pPr>
        <w:pStyle w:val="Prrafodelista2"/>
        <w:spacing w:after="0"/>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6658D0" w:rsidRPr="008424AB" w:rsidRDefault="006658D0" w:rsidP="00886B92">
      <w:pPr>
        <w:pStyle w:val="Prrafodelista2"/>
        <w:spacing w:after="0"/>
        <w:ind w:left="0" w:firstLine="900"/>
        <w:jc w:val="both"/>
        <w:rPr>
          <w:rFonts w:ascii="Arial Narrow" w:hAnsi="Arial Narrow"/>
          <w:sz w:val="28"/>
          <w:szCs w:val="28"/>
        </w:rPr>
      </w:pPr>
    </w:p>
    <w:p w:rsidR="006658D0" w:rsidRPr="008424AB" w:rsidRDefault="006658D0" w:rsidP="00886B92">
      <w:pPr>
        <w:spacing w:line="276" w:lineRule="auto"/>
        <w:jc w:val="center"/>
        <w:rPr>
          <w:rFonts w:ascii="Arial Narrow" w:hAnsi="Arial Narrow" w:cs="Arial"/>
          <w:b/>
          <w:i/>
          <w:sz w:val="28"/>
          <w:szCs w:val="28"/>
        </w:rPr>
      </w:pPr>
      <w:r w:rsidRPr="008424AB">
        <w:rPr>
          <w:rFonts w:ascii="Arial Narrow" w:hAnsi="Arial Narrow" w:cs="Arial"/>
          <w:b/>
          <w:i/>
          <w:sz w:val="28"/>
          <w:szCs w:val="28"/>
        </w:rPr>
        <w:t>FALLA</w:t>
      </w:r>
    </w:p>
    <w:p w:rsidR="006658D0" w:rsidRPr="00886B92" w:rsidRDefault="00886B92" w:rsidP="00886B92">
      <w:pPr>
        <w:pStyle w:val="Prrafodelista"/>
        <w:numPr>
          <w:ilvl w:val="0"/>
          <w:numId w:val="1"/>
        </w:numPr>
        <w:tabs>
          <w:tab w:val="left" w:pos="1134"/>
        </w:tabs>
        <w:spacing w:line="276" w:lineRule="auto"/>
        <w:ind w:left="142" w:firstLine="567"/>
        <w:jc w:val="both"/>
        <w:rPr>
          <w:rFonts w:ascii="Arial Narrow" w:hAnsi="Arial Narrow" w:cs="Arial"/>
          <w:b/>
          <w:color w:val="000000"/>
          <w:sz w:val="28"/>
          <w:szCs w:val="28"/>
          <w:shd w:val="clear" w:color="auto" w:fill="FFFFFF"/>
        </w:rPr>
      </w:pPr>
      <w:r>
        <w:rPr>
          <w:rFonts w:ascii="Arial Narrow" w:hAnsi="Arial Narrow" w:cs="Arial"/>
          <w:b/>
          <w:i/>
          <w:spacing w:val="-2"/>
          <w:sz w:val="28"/>
          <w:szCs w:val="28"/>
        </w:rPr>
        <w:t xml:space="preserve">Confirma </w:t>
      </w:r>
      <w:r w:rsidR="006658D0" w:rsidRPr="003C2A49">
        <w:rPr>
          <w:rFonts w:ascii="Arial Narrow" w:hAnsi="Arial Narrow" w:cs="Arial"/>
          <w:spacing w:val="-2"/>
          <w:sz w:val="28"/>
          <w:szCs w:val="28"/>
        </w:rPr>
        <w:t>l</w:t>
      </w:r>
      <w:r w:rsidR="006658D0" w:rsidRPr="003C2A49">
        <w:rPr>
          <w:rFonts w:ascii="Arial Narrow" w:hAnsi="Arial Narrow" w:cs="Arial"/>
          <w:sz w:val="28"/>
          <w:szCs w:val="28"/>
        </w:rPr>
        <w:t xml:space="preserve">a sentencia proferida el </w:t>
      </w:r>
      <w:r>
        <w:rPr>
          <w:rFonts w:ascii="Arial Narrow" w:hAnsi="Arial Narrow" w:cs="Arial"/>
          <w:sz w:val="28"/>
          <w:szCs w:val="28"/>
        </w:rPr>
        <w:t>14 de noviembre de 2014</w:t>
      </w:r>
      <w:r w:rsidR="006658D0" w:rsidRPr="003C2A49">
        <w:rPr>
          <w:rFonts w:ascii="Arial Narrow" w:hAnsi="Arial Narrow" w:cs="Arial"/>
          <w:sz w:val="28"/>
          <w:szCs w:val="28"/>
        </w:rPr>
        <w:t xml:space="preserve">, por el Juzgado </w:t>
      </w:r>
      <w:r>
        <w:rPr>
          <w:rFonts w:ascii="Arial Narrow" w:hAnsi="Arial Narrow" w:cs="Arial"/>
          <w:sz w:val="28"/>
          <w:szCs w:val="28"/>
        </w:rPr>
        <w:t xml:space="preserve">Segundo </w:t>
      </w:r>
      <w:r w:rsidR="006658D0" w:rsidRPr="003C2A49">
        <w:rPr>
          <w:rFonts w:ascii="Arial Narrow" w:hAnsi="Arial Narrow" w:cs="Arial"/>
          <w:sz w:val="28"/>
          <w:szCs w:val="28"/>
        </w:rPr>
        <w:t xml:space="preserve">Laboral del Circuito de Pereira, dentro del proceso </w:t>
      </w:r>
      <w:r>
        <w:rPr>
          <w:rFonts w:ascii="Arial Narrow" w:hAnsi="Arial Narrow" w:cs="Arial"/>
          <w:sz w:val="28"/>
          <w:szCs w:val="28"/>
        </w:rPr>
        <w:t xml:space="preserve">que contra la </w:t>
      </w:r>
      <w:r w:rsidRPr="00886B92">
        <w:rPr>
          <w:rFonts w:ascii="Arial Narrow" w:hAnsi="Arial Narrow" w:cs="Arial"/>
          <w:b/>
          <w:sz w:val="28"/>
          <w:szCs w:val="28"/>
        </w:rPr>
        <w:t>Administradora Colombiana de Pensiones Colpensiones</w:t>
      </w:r>
      <w:r>
        <w:rPr>
          <w:rFonts w:ascii="Arial Narrow" w:hAnsi="Arial Narrow" w:cs="Arial"/>
          <w:sz w:val="28"/>
          <w:szCs w:val="28"/>
        </w:rPr>
        <w:t xml:space="preserve"> promueve </w:t>
      </w:r>
      <w:r w:rsidRPr="00886B92">
        <w:rPr>
          <w:rFonts w:ascii="Arial Narrow" w:hAnsi="Arial Narrow" w:cs="Arial"/>
          <w:b/>
          <w:sz w:val="28"/>
          <w:szCs w:val="28"/>
        </w:rPr>
        <w:t xml:space="preserve">María Consuelo López de Lasso. </w:t>
      </w:r>
    </w:p>
    <w:p w:rsidR="006658D0" w:rsidRPr="003D2B6A" w:rsidRDefault="006658D0" w:rsidP="00886B92">
      <w:pPr>
        <w:pStyle w:val="Sinespaciado"/>
        <w:spacing w:line="276" w:lineRule="auto"/>
      </w:pPr>
    </w:p>
    <w:p w:rsidR="006658D0" w:rsidRPr="003C2A49" w:rsidRDefault="006658D0" w:rsidP="00886B92">
      <w:pPr>
        <w:pStyle w:val="Prrafodelista"/>
        <w:numPr>
          <w:ilvl w:val="0"/>
          <w:numId w:val="1"/>
        </w:numPr>
        <w:spacing w:line="276" w:lineRule="auto"/>
        <w:jc w:val="both"/>
        <w:rPr>
          <w:rFonts w:ascii="Arial Narrow" w:hAnsi="Arial Narrow"/>
          <w:sz w:val="28"/>
          <w:szCs w:val="28"/>
        </w:rPr>
      </w:pPr>
      <w:r>
        <w:rPr>
          <w:rFonts w:ascii="Arial Narrow" w:hAnsi="Arial Narrow"/>
          <w:sz w:val="28"/>
          <w:szCs w:val="28"/>
        </w:rPr>
        <w:t>Sin costas en esta instancia.</w:t>
      </w:r>
    </w:p>
    <w:p w:rsidR="006658D0" w:rsidRDefault="006658D0" w:rsidP="00886B92">
      <w:pPr>
        <w:pStyle w:val="Sinespaciado"/>
        <w:spacing w:line="276" w:lineRule="auto"/>
        <w:rPr>
          <w:lang w:val="es-ES"/>
        </w:rPr>
      </w:pPr>
    </w:p>
    <w:p w:rsidR="006658D0" w:rsidRPr="001B076A" w:rsidRDefault="006658D0" w:rsidP="00886B92">
      <w:pPr>
        <w:spacing w:line="276" w:lineRule="auto"/>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6658D0" w:rsidRDefault="006658D0" w:rsidP="006658D0">
      <w:pPr>
        <w:ind w:firstLine="900"/>
        <w:jc w:val="center"/>
        <w:rPr>
          <w:rFonts w:ascii="Arial Narrow" w:hAnsi="Arial Narrow" w:cs="Microsoft Sans Serif"/>
          <w:b/>
          <w:bCs/>
          <w:iCs/>
          <w:sz w:val="28"/>
          <w:szCs w:val="28"/>
          <w:lang w:val="es-ES"/>
        </w:rPr>
      </w:pPr>
    </w:p>
    <w:p w:rsidR="006658D0" w:rsidRPr="008424AB" w:rsidRDefault="006658D0" w:rsidP="006658D0">
      <w:pPr>
        <w:ind w:firstLine="900"/>
        <w:jc w:val="center"/>
        <w:rPr>
          <w:rFonts w:ascii="Arial Narrow" w:hAnsi="Arial Narrow" w:cs="Microsoft Sans Serif"/>
          <w:b/>
          <w:bCs/>
          <w:iCs/>
          <w:sz w:val="28"/>
          <w:szCs w:val="28"/>
          <w:lang w:val="es-ES"/>
        </w:rPr>
      </w:pPr>
    </w:p>
    <w:p w:rsidR="006658D0" w:rsidRDefault="006658D0" w:rsidP="006658D0">
      <w:pPr>
        <w:ind w:firstLine="900"/>
        <w:jc w:val="center"/>
        <w:rPr>
          <w:rFonts w:ascii="Arial Narrow" w:hAnsi="Arial Narrow" w:cs="Microsoft Sans Serif"/>
          <w:b/>
          <w:bCs/>
          <w:iCs/>
          <w:sz w:val="28"/>
          <w:szCs w:val="28"/>
          <w:lang w:val="es-ES"/>
        </w:rPr>
      </w:pPr>
    </w:p>
    <w:p w:rsidR="006658D0" w:rsidRDefault="006658D0" w:rsidP="006658D0">
      <w:pPr>
        <w:ind w:firstLine="900"/>
        <w:jc w:val="center"/>
        <w:rPr>
          <w:rFonts w:ascii="Arial Narrow" w:hAnsi="Arial Narrow" w:cs="Microsoft Sans Serif"/>
          <w:b/>
          <w:bCs/>
          <w:iCs/>
          <w:sz w:val="28"/>
          <w:szCs w:val="28"/>
          <w:lang w:val="es-ES"/>
        </w:rPr>
      </w:pPr>
    </w:p>
    <w:p w:rsidR="006658D0" w:rsidRPr="008424AB" w:rsidRDefault="006658D0" w:rsidP="006658D0">
      <w:pPr>
        <w:ind w:firstLine="900"/>
        <w:jc w:val="center"/>
        <w:rPr>
          <w:rFonts w:ascii="Arial Narrow" w:hAnsi="Arial Narrow" w:cs="Microsoft Sans Serif"/>
          <w:b/>
          <w:bCs/>
          <w:iCs/>
          <w:sz w:val="28"/>
          <w:szCs w:val="28"/>
          <w:lang w:val="es-ES"/>
        </w:rPr>
      </w:pPr>
    </w:p>
    <w:p w:rsidR="006658D0" w:rsidRPr="008424AB" w:rsidRDefault="006658D0" w:rsidP="006658D0">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6658D0" w:rsidRPr="001B076A" w:rsidRDefault="006658D0" w:rsidP="006658D0">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6658D0" w:rsidRDefault="006658D0" w:rsidP="006658D0">
      <w:pPr>
        <w:jc w:val="both"/>
        <w:rPr>
          <w:rFonts w:ascii="Arial Narrow" w:hAnsi="Arial Narrow" w:cs="Microsoft Sans Serif"/>
          <w:b/>
          <w:bCs/>
          <w:iCs/>
          <w:sz w:val="28"/>
          <w:szCs w:val="28"/>
          <w:lang w:val="es-ES"/>
        </w:rPr>
      </w:pPr>
    </w:p>
    <w:p w:rsidR="006658D0" w:rsidRDefault="006658D0" w:rsidP="006658D0">
      <w:pPr>
        <w:jc w:val="both"/>
        <w:rPr>
          <w:rFonts w:ascii="Arial Narrow" w:hAnsi="Arial Narrow" w:cs="Microsoft Sans Serif"/>
          <w:b/>
          <w:bCs/>
          <w:iCs/>
          <w:sz w:val="28"/>
          <w:szCs w:val="28"/>
          <w:lang w:val="es-ES"/>
        </w:rPr>
      </w:pPr>
    </w:p>
    <w:p w:rsidR="006658D0" w:rsidRDefault="006658D0" w:rsidP="006658D0">
      <w:pPr>
        <w:jc w:val="both"/>
        <w:rPr>
          <w:rFonts w:ascii="Arial Narrow" w:hAnsi="Arial Narrow" w:cs="Microsoft Sans Serif"/>
          <w:b/>
          <w:bCs/>
          <w:iCs/>
          <w:sz w:val="28"/>
          <w:szCs w:val="28"/>
          <w:lang w:val="es-ES"/>
        </w:rPr>
      </w:pPr>
    </w:p>
    <w:p w:rsidR="006658D0" w:rsidRDefault="006658D0" w:rsidP="006658D0">
      <w:pPr>
        <w:jc w:val="both"/>
        <w:rPr>
          <w:rFonts w:ascii="Arial Narrow" w:hAnsi="Arial Narrow" w:cs="Microsoft Sans Serif"/>
          <w:b/>
          <w:bCs/>
          <w:iCs/>
          <w:sz w:val="28"/>
          <w:szCs w:val="28"/>
          <w:lang w:val="es-ES"/>
        </w:rPr>
      </w:pPr>
    </w:p>
    <w:p w:rsidR="006658D0" w:rsidRPr="008424AB" w:rsidRDefault="006658D0" w:rsidP="006658D0">
      <w:pPr>
        <w:jc w:val="both"/>
        <w:rPr>
          <w:rFonts w:ascii="Arial Narrow" w:hAnsi="Arial Narrow" w:cs="Microsoft Sans Serif"/>
          <w:b/>
          <w:bCs/>
          <w:iCs/>
          <w:sz w:val="28"/>
          <w:szCs w:val="28"/>
          <w:lang w:val="es-ES"/>
        </w:rPr>
      </w:pPr>
    </w:p>
    <w:p w:rsidR="006658D0" w:rsidRPr="008424AB" w:rsidRDefault="006658D0" w:rsidP="006658D0">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886B92">
        <w:rPr>
          <w:rFonts w:ascii="Arial Narrow" w:hAnsi="Arial Narrow" w:cs="Microsoft Sans Serif"/>
          <w:b/>
          <w:bCs/>
          <w:iCs/>
          <w:sz w:val="28"/>
          <w:szCs w:val="28"/>
          <w:lang w:val="es-ES"/>
        </w:rPr>
        <w:t>JULIO CESAR SALAZAR MUÑOZ</w:t>
      </w:r>
      <w:r w:rsidRPr="008424AB">
        <w:rPr>
          <w:rFonts w:ascii="Arial Narrow" w:hAnsi="Arial Narrow" w:cs="Microsoft Sans Serif"/>
          <w:sz w:val="28"/>
          <w:szCs w:val="28"/>
          <w:lang w:val="es-ES"/>
        </w:rPr>
        <w:t xml:space="preserve"> </w:t>
      </w:r>
    </w:p>
    <w:p w:rsidR="006658D0" w:rsidRDefault="006658D0" w:rsidP="006658D0">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Magistrado</w:t>
      </w:r>
    </w:p>
    <w:p w:rsidR="006658D0" w:rsidRPr="00886B92" w:rsidRDefault="006658D0" w:rsidP="006658D0">
      <w:pPr>
        <w:ind w:firstLine="900"/>
        <w:jc w:val="both"/>
        <w:rPr>
          <w:rFonts w:ascii="Arial Narrow" w:hAnsi="Arial Narrow" w:cs="Microsoft Sans Serif"/>
          <w:bCs/>
          <w:iCs/>
          <w:sz w:val="26"/>
          <w:szCs w:val="26"/>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sidR="00886B92">
        <w:rPr>
          <w:rFonts w:ascii="Arial Narrow" w:hAnsi="Arial Narrow" w:cs="Microsoft Sans Serif"/>
          <w:bCs/>
          <w:iCs/>
          <w:sz w:val="28"/>
          <w:szCs w:val="28"/>
          <w:lang w:val="es-ES"/>
        </w:rPr>
        <w:tab/>
      </w:r>
      <w:r w:rsidR="00886B92">
        <w:rPr>
          <w:rFonts w:ascii="Arial Narrow" w:hAnsi="Arial Narrow" w:cs="Microsoft Sans Serif"/>
          <w:bCs/>
          <w:iCs/>
          <w:sz w:val="28"/>
          <w:szCs w:val="28"/>
          <w:lang w:val="es-ES"/>
        </w:rPr>
        <w:tab/>
      </w:r>
      <w:r w:rsidR="00886B92">
        <w:rPr>
          <w:rFonts w:ascii="Arial Narrow" w:hAnsi="Arial Narrow" w:cs="Microsoft Sans Serif"/>
          <w:bCs/>
          <w:iCs/>
          <w:sz w:val="28"/>
          <w:szCs w:val="28"/>
          <w:lang w:val="es-ES"/>
        </w:rPr>
        <w:tab/>
      </w:r>
      <w:r w:rsidR="00886B92">
        <w:rPr>
          <w:rFonts w:ascii="Arial Narrow" w:hAnsi="Arial Narrow" w:cs="Microsoft Sans Serif"/>
          <w:bCs/>
          <w:iCs/>
          <w:sz w:val="28"/>
          <w:szCs w:val="28"/>
          <w:lang w:val="es-ES"/>
        </w:rPr>
        <w:tab/>
      </w:r>
      <w:r w:rsidR="00886B92" w:rsidRPr="00886B92">
        <w:rPr>
          <w:rFonts w:ascii="Arial Narrow" w:hAnsi="Arial Narrow" w:cs="Microsoft Sans Serif"/>
          <w:bCs/>
          <w:iCs/>
          <w:sz w:val="26"/>
          <w:szCs w:val="26"/>
          <w:lang w:val="es-ES"/>
        </w:rPr>
        <w:t xml:space="preserve">   </w:t>
      </w:r>
      <w:r w:rsidRPr="00886B92">
        <w:rPr>
          <w:rFonts w:ascii="Arial Narrow" w:hAnsi="Arial Narrow" w:cs="Microsoft Sans Serif"/>
          <w:bCs/>
          <w:iCs/>
          <w:sz w:val="26"/>
          <w:szCs w:val="26"/>
          <w:lang w:val="es-ES"/>
        </w:rPr>
        <w:t xml:space="preserve"> </w:t>
      </w:r>
      <w:r w:rsidR="00886B92">
        <w:rPr>
          <w:rFonts w:ascii="Arial Narrow" w:hAnsi="Arial Narrow" w:cs="Microsoft Sans Serif"/>
          <w:bCs/>
          <w:iCs/>
          <w:sz w:val="26"/>
          <w:szCs w:val="26"/>
          <w:lang w:val="es-ES"/>
        </w:rPr>
        <w:t xml:space="preserve">       </w:t>
      </w:r>
      <w:r w:rsidRPr="00886B92">
        <w:rPr>
          <w:rFonts w:ascii="Arial Narrow" w:hAnsi="Arial Narrow" w:cs="Microsoft Sans Serif"/>
          <w:bCs/>
          <w:iCs/>
          <w:sz w:val="26"/>
          <w:szCs w:val="26"/>
          <w:lang w:val="es-ES"/>
        </w:rPr>
        <w:t xml:space="preserve"> </w:t>
      </w:r>
      <w:r w:rsidR="00886B92" w:rsidRPr="00886B92">
        <w:rPr>
          <w:rFonts w:ascii="Arial Narrow" w:hAnsi="Arial Narrow" w:cs="Microsoft Sans Serif"/>
          <w:bCs/>
          <w:iCs/>
          <w:sz w:val="26"/>
          <w:szCs w:val="26"/>
          <w:lang w:val="es-ES"/>
        </w:rPr>
        <w:t xml:space="preserve">-Salva voto- </w:t>
      </w:r>
    </w:p>
    <w:p w:rsidR="006658D0" w:rsidRDefault="006658D0" w:rsidP="006658D0">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6658D0" w:rsidRDefault="006658D0" w:rsidP="006658D0">
      <w:pPr>
        <w:ind w:firstLine="900"/>
        <w:jc w:val="both"/>
        <w:rPr>
          <w:rFonts w:ascii="Arial Narrow" w:hAnsi="Arial Narrow" w:cs="Microsoft Sans Serif"/>
          <w:bCs/>
          <w:iCs/>
          <w:sz w:val="28"/>
          <w:szCs w:val="28"/>
          <w:lang w:val="es-ES"/>
        </w:rPr>
      </w:pPr>
    </w:p>
    <w:p w:rsidR="006658D0" w:rsidRDefault="006658D0" w:rsidP="006658D0">
      <w:pPr>
        <w:ind w:firstLine="900"/>
        <w:jc w:val="both"/>
        <w:rPr>
          <w:rFonts w:ascii="Arial Narrow" w:hAnsi="Arial Narrow" w:cs="Microsoft Sans Serif"/>
          <w:bCs/>
          <w:iCs/>
          <w:sz w:val="28"/>
          <w:szCs w:val="28"/>
          <w:lang w:val="es-ES"/>
        </w:rPr>
      </w:pPr>
    </w:p>
    <w:p w:rsidR="006658D0" w:rsidRPr="008424AB" w:rsidRDefault="006658D0" w:rsidP="006658D0">
      <w:pPr>
        <w:ind w:firstLine="900"/>
        <w:jc w:val="both"/>
        <w:rPr>
          <w:rFonts w:ascii="Arial Narrow" w:hAnsi="Arial Narrow" w:cs="Microsoft Sans Serif"/>
          <w:bCs/>
          <w:iCs/>
          <w:sz w:val="28"/>
          <w:szCs w:val="28"/>
          <w:lang w:val="es-ES"/>
        </w:rPr>
      </w:pPr>
    </w:p>
    <w:p w:rsidR="006658D0" w:rsidRPr="008424AB" w:rsidRDefault="00886B92" w:rsidP="006658D0">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6658D0" w:rsidRDefault="00886B92" w:rsidP="006658D0">
      <w:pPr>
        <w:ind w:firstLine="900"/>
        <w:jc w:val="center"/>
        <w:rPr>
          <w:rFonts w:ascii="Arial Narrow" w:hAnsi="Arial Narrow"/>
          <w:sz w:val="30"/>
          <w:szCs w:val="30"/>
        </w:rPr>
      </w:pPr>
      <w:r>
        <w:rPr>
          <w:rFonts w:ascii="Arial Narrow" w:hAnsi="Arial Narrow" w:cs="Microsoft Sans Serif"/>
          <w:iCs/>
          <w:sz w:val="28"/>
          <w:szCs w:val="28"/>
          <w:lang w:val="es-ES"/>
        </w:rPr>
        <w:t>Secretario</w:t>
      </w:r>
    </w:p>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6658D0" w:rsidRDefault="006658D0"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Default="00B213FA" w:rsidP="006658D0"/>
    <w:p w:rsidR="00B213FA" w:rsidRPr="00B213FA" w:rsidRDefault="00B213FA" w:rsidP="00B213FA">
      <w:pPr>
        <w:jc w:val="both"/>
        <w:rPr>
          <w:rFonts w:ascii="Arial" w:hAnsi="Arial" w:cs="Arial"/>
          <w:i/>
          <w:sz w:val="22"/>
          <w:szCs w:val="22"/>
          <w:lang w:val="es-ES"/>
        </w:rPr>
      </w:pPr>
    </w:p>
    <w:p w:rsidR="00B213FA" w:rsidRPr="00B213FA" w:rsidRDefault="00B213FA" w:rsidP="00B213FA">
      <w:pPr>
        <w:jc w:val="both"/>
        <w:rPr>
          <w:rFonts w:ascii="Arial" w:hAnsi="Arial" w:cs="Arial"/>
          <w:b/>
          <w:i/>
          <w:sz w:val="22"/>
          <w:szCs w:val="22"/>
          <w:lang w:val="es-ES"/>
        </w:rPr>
      </w:pPr>
      <w:r w:rsidRPr="00B213FA">
        <w:rPr>
          <w:rFonts w:ascii="Arial" w:hAnsi="Arial" w:cs="Arial"/>
          <w:i/>
          <w:sz w:val="22"/>
          <w:szCs w:val="22"/>
          <w:lang w:val="es-ES"/>
        </w:rPr>
        <w:t xml:space="preserve">MAGISTRADO: </w:t>
      </w:r>
      <w:r w:rsidRPr="00B213FA">
        <w:rPr>
          <w:rFonts w:ascii="Arial" w:hAnsi="Arial" w:cs="Arial"/>
          <w:i/>
          <w:sz w:val="22"/>
          <w:szCs w:val="22"/>
          <w:lang w:val="es-ES"/>
        </w:rPr>
        <w:tab/>
      </w:r>
      <w:r w:rsidRPr="00B213FA">
        <w:rPr>
          <w:rFonts w:ascii="Arial" w:hAnsi="Arial" w:cs="Arial"/>
          <w:b/>
          <w:i/>
          <w:sz w:val="22"/>
          <w:szCs w:val="22"/>
          <w:lang w:val="es-ES"/>
        </w:rPr>
        <w:t xml:space="preserve">JULIO CÉSAR SALAZAR MUÑOZ  </w:t>
      </w:r>
      <w:r w:rsidRPr="00B213FA">
        <w:rPr>
          <w:rFonts w:ascii="Arial" w:hAnsi="Arial" w:cs="Arial"/>
          <w:b/>
          <w:i/>
          <w:sz w:val="22"/>
          <w:szCs w:val="22"/>
          <w:lang w:val="es-ES"/>
        </w:rPr>
        <w:tab/>
      </w:r>
    </w:p>
    <w:p w:rsidR="00B213FA" w:rsidRPr="00B213FA" w:rsidRDefault="00B213FA" w:rsidP="00B213FA">
      <w:pPr>
        <w:jc w:val="both"/>
        <w:rPr>
          <w:rFonts w:ascii="Arial" w:hAnsi="Arial" w:cs="Arial"/>
          <w:b/>
          <w:i/>
          <w:sz w:val="22"/>
          <w:szCs w:val="22"/>
          <w:lang w:val="es-ES"/>
        </w:rPr>
      </w:pPr>
      <w:r w:rsidRPr="00B213FA">
        <w:rPr>
          <w:rFonts w:ascii="Arial" w:hAnsi="Arial" w:cs="Arial"/>
          <w:b/>
          <w:i/>
          <w:sz w:val="22"/>
          <w:szCs w:val="22"/>
          <w:lang w:val="es-ES"/>
        </w:rPr>
        <w:tab/>
      </w:r>
      <w:r w:rsidRPr="00B213FA">
        <w:rPr>
          <w:rFonts w:ascii="Arial" w:hAnsi="Arial" w:cs="Arial"/>
          <w:b/>
          <w:i/>
          <w:sz w:val="22"/>
          <w:szCs w:val="22"/>
          <w:lang w:val="es-ES"/>
        </w:rPr>
        <w:tab/>
      </w:r>
    </w:p>
    <w:p w:rsidR="00B213FA" w:rsidRPr="00B213FA" w:rsidRDefault="00B213FA" w:rsidP="00B213FA">
      <w:pPr>
        <w:jc w:val="both"/>
        <w:rPr>
          <w:rFonts w:ascii="Arial" w:hAnsi="Arial" w:cs="Arial"/>
          <w:i/>
          <w:sz w:val="22"/>
          <w:szCs w:val="22"/>
          <w:lang w:val="es-ES"/>
        </w:rPr>
      </w:pPr>
      <w:r w:rsidRPr="00B213FA">
        <w:rPr>
          <w:rFonts w:ascii="Arial" w:hAnsi="Arial" w:cs="Arial"/>
          <w:b/>
          <w:i/>
          <w:sz w:val="22"/>
          <w:szCs w:val="22"/>
          <w:lang w:val="es-ES"/>
        </w:rPr>
        <w:tab/>
      </w:r>
      <w:r w:rsidRPr="00B213FA">
        <w:rPr>
          <w:rFonts w:ascii="Arial" w:hAnsi="Arial" w:cs="Arial"/>
          <w:i/>
          <w:sz w:val="22"/>
          <w:szCs w:val="22"/>
          <w:lang w:val="es-ES"/>
        </w:rPr>
        <w:t>Pereira,  siete  (07) de marzo de dos mil dieciséis [2016].</w:t>
      </w:r>
    </w:p>
    <w:p w:rsidR="00B213FA" w:rsidRPr="00B213FA" w:rsidRDefault="00B213FA" w:rsidP="00B213FA">
      <w:pPr>
        <w:tabs>
          <w:tab w:val="left" w:pos="1440"/>
        </w:tabs>
        <w:jc w:val="both"/>
        <w:rPr>
          <w:rFonts w:ascii="Arial" w:hAnsi="Arial" w:cs="Arial"/>
          <w:i/>
          <w:snapToGrid w:val="0"/>
          <w:sz w:val="22"/>
          <w:szCs w:val="22"/>
          <w:lang w:val="es-ES"/>
        </w:rPr>
      </w:pPr>
      <w:r w:rsidRPr="00B213FA">
        <w:rPr>
          <w:rFonts w:ascii="Arial" w:hAnsi="Arial" w:cs="Arial"/>
          <w:i/>
          <w:snapToGrid w:val="0"/>
          <w:sz w:val="22"/>
          <w:szCs w:val="22"/>
          <w:lang w:val="es-ES"/>
        </w:rPr>
        <w:tab/>
      </w:r>
    </w:p>
    <w:p w:rsidR="00B213FA" w:rsidRPr="00B213FA" w:rsidRDefault="00B213FA" w:rsidP="00B213FA">
      <w:pPr>
        <w:jc w:val="center"/>
        <w:rPr>
          <w:rFonts w:ascii="Arial" w:hAnsi="Arial" w:cs="Arial"/>
          <w:b/>
          <w:i/>
          <w:sz w:val="22"/>
          <w:szCs w:val="22"/>
          <w:lang w:val="es-ES"/>
        </w:rPr>
      </w:pPr>
      <w:r w:rsidRPr="00B213FA">
        <w:rPr>
          <w:rFonts w:ascii="Arial" w:hAnsi="Arial" w:cs="Arial"/>
          <w:b/>
          <w:i/>
          <w:sz w:val="22"/>
          <w:szCs w:val="22"/>
          <w:lang w:val="es-ES"/>
        </w:rPr>
        <w:t>SALVAMENTO  DE VOTO:</w:t>
      </w:r>
    </w:p>
    <w:p w:rsidR="00B213FA" w:rsidRPr="00B213FA" w:rsidRDefault="00B213FA" w:rsidP="00B213FA">
      <w:pPr>
        <w:jc w:val="center"/>
        <w:rPr>
          <w:rFonts w:ascii="Arial" w:hAnsi="Arial" w:cs="Arial"/>
          <w:b/>
          <w:i/>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Disiento totalmente de la decisión mayoritaria de reconocer la pensión de sobrevivientes a la actora con base en la figura de la condición más beneficiosa  toda vez que, a pesar que el causante falleció el 06 de junio de 2012, sin que para ese momento se tuvieran cotizadas 50 semanas dentro de los tres años anteriores, la sentencia, para conceder el derecho, dice aplicar el principio de la condición más beneficiosa, saltando de la ley 797 de 2003, vigente al momento del deceso, al acuerdo 049 de 1990.</w:t>
      </w:r>
    </w:p>
    <w:p w:rsidR="00B213FA" w:rsidRPr="00B213FA" w:rsidRDefault="00B213FA" w:rsidP="00B213FA">
      <w:pPr>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bCs/>
          <w:iCs/>
          <w:sz w:val="22"/>
          <w:szCs w:val="22"/>
          <w:lang w:val="es-ES"/>
        </w:rPr>
      </w:pPr>
      <w:r w:rsidRPr="00B213FA">
        <w:rPr>
          <w:rFonts w:ascii="Arial" w:hAnsi="Arial" w:cs="Arial"/>
          <w:iCs/>
          <w:sz w:val="22"/>
          <w:szCs w:val="22"/>
          <w:lang w:val="es-ES"/>
        </w:rPr>
        <w:t xml:space="preserve">Tal forma de utilizar la figura en mención está tajantemente proscrita por el máximo órgano de la jurisdicción ordinaria, </w:t>
      </w:r>
      <w:r w:rsidRPr="00B213FA">
        <w:rPr>
          <w:rFonts w:ascii="Arial" w:hAnsi="Arial" w:cs="Arial"/>
          <w:bCs/>
          <w:iCs/>
          <w:sz w:val="22"/>
          <w:szCs w:val="22"/>
          <w:lang w:val="es-ES"/>
        </w:rPr>
        <w:t xml:space="preserve">quien, en sentencias proferidas en los procesos radicados con los Nos. 39804, 44509, 57442, 44612 y 45306 esta última de 10 de septiembre de 2014, entre otras muchas más, ha reiterado en su Sala de casación Laboral su posición sobre la aplicación de la figura de la condición más beneficiosa, en el sentido de sostener que ésta no permite que se acuda por los juzgadores al uso de las disposiciones contenidas en cualquier legislación anterior que resulte más favorable, como aquí lo hace la mayoría de la Sala pasando de la ley 797 de 2003 al acuerdo 049 de 1990. En efecto, dijo la Corte. </w:t>
      </w:r>
    </w:p>
    <w:p w:rsidR="00B213FA" w:rsidRPr="00B213FA" w:rsidRDefault="00B213FA" w:rsidP="00B213FA">
      <w:pPr>
        <w:jc w:val="both"/>
        <w:rPr>
          <w:rFonts w:ascii="Arial" w:hAnsi="Arial" w:cs="Arial"/>
          <w:bCs/>
          <w:iCs/>
          <w:sz w:val="22"/>
          <w:szCs w:val="22"/>
          <w:lang w:val="es-ES"/>
        </w:rPr>
      </w:pPr>
    </w:p>
    <w:p w:rsidR="00B213FA" w:rsidRPr="00B213FA" w:rsidRDefault="00B213FA" w:rsidP="00B213FA">
      <w:pPr>
        <w:ind w:left="708"/>
        <w:jc w:val="both"/>
        <w:rPr>
          <w:rFonts w:ascii="Arial" w:hAnsi="Arial" w:cs="Arial"/>
          <w:bCs/>
          <w:iCs/>
          <w:sz w:val="22"/>
          <w:szCs w:val="22"/>
          <w:lang w:val="es-ES"/>
        </w:rPr>
      </w:pPr>
      <w:r w:rsidRPr="00B213FA">
        <w:rPr>
          <w:rFonts w:ascii="Arial" w:hAnsi="Arial" w:cs="Arial"/>
          <w:i/>
          <w:iCs/>
          <w:sz w:val="22"/>
          <w:szCs w:val="22"/>
          <w:lang w:val="es-ES"/>
        </w:rPr>
        <w:t>“…Por lo demás, no es procedente la aplicación de la condición más beneficiosa para acudir al Acuerdo 049 de 1990, pues dicho principio no se constituye en una patente de corso que habilite a quien no cumple los requisitos de la normatividad que le es aplicable, a efectuar una búsqueda histórica en la legislaciones anteriores para ver cual se ajusta a su situación, pues, esto desconoce el principio según el cual las leyes sociales son de aplicación inmediata y en principio rigen hacia el futuro.”</w:t>
      </w:r>
      <w:r w:rsidRPr="00B213FA">
        <w:rPr>
          <w:rFonts w:ascii="Arial" w:hAnsi="Arial" w:cs="Arial"/>
          <w:iCs/>
          <w:sz w:val="22"/>
          <w:szCs w:val="22"/>
          <w:lang w:val="es-ES"/>
        </w:rPr>
        <w:t>.</w:t>
      </w:r>
    </w:p>
    <w:p w:rsidR="00B213FA" w:rsidRPr="00B213FA" w:rsidRDefault="00B213FA" w:rsidP="00B213FA">
      <w:pPr>
        <w:jc w:val="both"/>
        <w:rPr>
          <w:rFonts w:ascii="Arial" w:hAnsi="Arial" w:cs="Arial"/>
          <w:bCs/>
          <w:iCs/>
          <w:sz w:val="22"/>
          <w:szCs w:val="22"/>
          <w:lang w:val="es-ES"/>
        </w:rPr>
      </w:pPr>
    </w:p>
    <w:p w:rsidR="00B213FA" w:rsidRPr="00B213FA" w:rsidRDefault="00B213FA" w:rsidP="00B213FA">
      <w:pPr>
        <w:spacing w:line="360" w:lineRule="auto"/>
        <w:jc w:val="both"/>
        <w:rPr>
          <w:rFonts w:ascii="Arial" w:hAnsi="Arial" w:cs="Arial"/>
          <w:bCs/>
          <w:iCs/>
          <w:sz w:val="22"/>
          <w:szCs w:val="22"/>
          <w:lang w:val="es-ES"/>
        </w:rPr>
      </w:pPr>
      <w:r w:rsidRPr="00B213FA">
        <w:rPr>
          <w:rFonts w:ascii="Arial" w:hAnsi="Arial" w:cs="Arial"/>
          <w:bCs/>
          <w:iCs/>
          <w:sz w:val="22"/>
          <w:szCs w:val="22"/>
          <w:lang w:val="es-ES"/>
        </w:rPr>
        <w:t>Es más, de manera explícita la Sala de Casación Laboral de la Corte Suprema de Justicia, en recientísima sentencia de 18 de febrero de 2015, radicación No. 46412 con ponencia del doctor Rigoberto Echeverri Bueno, se refirió a la forma equivocada en que se pretende aplicar el principio de la condición más beneficiosa, en los siguientes términos:</w:t>
      </w:r>
    </w:p>
    <w:p w:rsidR="00B213FA" w:rsidRPr="00B213FA" w:rsidRDefault="00B213FA" w:rsidP="00B213FA">
      <w:pPr>
        <w:jc w:val="both"/>
        <w:rPr>
          <w:rFonts w:ascii="Arial" w:hAnsi="Arial" w:cs="Arial"/>
          <w:bCs/>
          <w:iCs/>
          <w:sz w:val="22"/>
          <w:szCs w:val="22"/>
          <w:lang w:val="es-ES"/>
        </w:rPr>
      </w:pPr>
    </w:p>
    <w:p w:rsidR="00B213FA" w:rsidRPr="00B213FA" w:rsidRDefault="00B213FA" w:rsidP="00B213FA">
      <w:pPr>
        <w:ind w:left="708"/>
        <w:jc w:val="both"/>
        <w:rPr>
          <w:rFonts w:ascii="Arial" w:hAnsi="Arial" w:cs="Arial"/>
          <w:bCs/>
          <w:iCs/>
          <w:sz w:val="20"/>
          <w:lang w:val="es-ES"/>
        </w:rPr>
      </w:pPr>
      <w:r w:rsidRPr="00B213FA">
        <w:rPr>
          <w:rFonts w:ascii="Arial" w:hAnsi="Arial" w:cs="Arial"/>
          <w:bCs/>
          <w:iCs/>
          <w:sz w:val="20"/>
          <w:lang w:val="es-ES"/>
        </w:rPr>
        <w:t xml:space="preserve">“… en virtud del principio de la condición más beneficiosa, no le está permitido al juez realizar un examen histórico de las leyes anteriores a fin de determinar la más ventajosa de entre ellas para el caso particular, en lo que tiene que ver con las exigencias para acceder a la pensión de sobrevivientes, pues lo cierto es que el mencionado principio constitucional </w:t>
      </w:r>
      <w:r w:rsidRPr="00B213FA">
        <w:rPr>
          <w:rFonts w:ascii="Arial" w:hAnsi="Arial" w:cs="Arial"/>
          <w:b/>
          <w:bCs/>
          <w:iCs/>
          <w:sz w:val="20"/>
          <w:lang w:val="es-ES"/>
        </w:rPr>
        <w:t>lo que autoriza es la aplicación de la norma inmediatamente anterior frente a la nueva</w:t>
      </w:r>
      <w:r w:rsidRPr="00B213FA">
        <w:rPr>
          <w:rFonts w:ascii="Arial" w:hAnsi="Arial" w:cs="Arial"/>
          <w:bCs/>
          <w:iCs/>
          <w:sz w:val="20"/>
          <w:lang w:val="es-ES"/>
        </w:rPr>
        <w:t>, en el evento de que se cumplan las exigencias de la misma, de suerte que, ante un evento que se encuentra regulado por Ley 797 de 2003 , tal como acontece en el presente asunto, no es posible la aplicación del Acuerdo 049 de 1990.” </w:t>
      </w:r>
    </w:p>
    <w:p w:rsidR="00B213FA" w:rsidRPr="00B213FA" w:rsidRDefault="00B213FA" w:rsidP="00B213FA">
      <w:pPr>
        <w:jc w:val="both"/>
        <w:rPr>
          <w:rFonts w:ascii="Arial" w:hAnsi="Arial" w:cs="Arial"/>
          <w:bCs/>
          <w:iCs/>
          <w:sz w:val="22"/>
          <w:szCs w:val="22"/>
          <w:lang w:val="es-ES"/>
        </w:rPr>
      </w:pPr>
    </w:p>
    <w:p w:rsidR="00B213FA" w:rsidRPr="00B213FA" w:rsidRDefault="00B213FA" w:rsidP="00B213FA">
      <w:pPr>
        <w:spacing w:line="360" w:lineRule="auto"/>
        <w:jc w:val="both"/>
        <w:rPr>
          <w:rFonts w:ascii="Arial" w:hAnsi="Arial" w:cs="Arial"/>
          <w:bCs/>
          <w:iCs/>
          <w:sz w:val="22"/>
          <w:szCs w:val="22"/>
          <w:lang w:val="es-ES"/>
        </w:rPr>
      </w:pPr>
      <w:r w:rsidRPr="00B213FA">
        <w:rPr>
          <w:rFonts w:ascii="Arial" w:hAnsi="Arial" w:cs="Arial"/>
          <w:bCs/>
          <w:iCs/>
          <w:sz w:val="22"/>
          <w:szCs w:val="22"/>
          <w:lang w:val="es-ES"/>
        </w:rPr>
        <w:t xml:space="preserve">Y esta opinión del Alto Tribunal debe respetarse,  teniendo en cuenta que tres decisiones uniformes, proferidas por la Corte Suprema como Tribunal de Casación, sobre un mismo punto de derecho, constituyen doctrina probable, que en los términos de la Corte Constitucional en la parte resolutiva de la sentencia C-836 de 2001 al declarar exequible el artículo 4º de la ley 169 de 1896, obliga a </w:t>
      </w:r>
      <w:r w:rsidRPr="00B213FA">
        <w:rPr>
          <w:rFonts w:ascii="Arial" w:hAnsi="Arial" w:cs="Arial"/>
          <w:b/>
          <w:iCs/>
          <w:sz w:val="22"/>
          <w:szCs w:val="22"/>
          <w:lang w:val="es-ES"/>
        </w:rPr>
        <w:t>los jueces que conforman la jurisdicción ordinaria, a seguir la línea</w:t>
      </w:r>
      <w:r w:rsidRPr="00B213FA">
        <w:rPr>
          <w:rFonts w:ascii="Arial" w:hAnsi="Arial" w:cs="Arial"/>
          <w:bCs/>
          <w:iCs/>
          <w:sz w:val="22"/>
          <w:szCs w:val="22"/>
          <w:lang w:val="es-ES"/>
        </w:rPr>
        <w:t xml:space="preserve">, salvo una poderosa argumentación en contrario que no percibo en la providencia de la que ahora me aparto.  </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 xml:space="preserve">Es que el soporte que utiliza la sala mayoritaria, a mi juicio no tiene suficiente peso, pues sostener  que lo relevante es que las 300 semanas cotizadas en vigencia del acuerdo 049 de 1990 en cualquier caso resultan superiores a  las 26 ó 50 semanas que se exigen en la ley 100 original o en la 797 de 2003 para dejar causado el derecho, es un argumento que desconoce que las pensiones de sobrevivientes e invalidez no se financian con una larga capitalización, sino que apelan a la exigencia de una moderada fidelidad. </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Adicional a los claros argumentos de nuestro órgano de cierre, considero que no hay lugar a la aplicación de la condición más beneficiosa en el presente caso, básicamente por la orden constitucional, establecida en el artículo 1º del acto legislativo 01 de 2005, de aseguramiento de la sostenibilidad financiera del sistema.</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Fue tan claro el ánimo de esta disposición de otorgar prestaciones basadas en cálculos actuariales serios y reales que en su inciso 3º, tal vez previendo la tendencia de algún sector de los funcionarios de la jurisdicción laboral a conceder prestaciones del sistema con base en reglas anteriores a la ley 100 de 1993, como en efecto lo viene haciendo la mayoría de esta Sala, dispuso:</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“...Los requisitos y beneficios para adquirir el derecho a una pensión de invalidez o de sobrevivencia serán los establecidos por las leyes del sistema general de pensiones.”</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Y como quiera que antes de la ley 100 de 1993 no existía un sistema general de pensiones sino una serie de regímenes desarticulados que precisamente llevaron al legislador a la expedición de lo que se ha dado en llamar el sistema de seguridad social, resulta obvio que tal disposición ordena a los operadores judiciales otorgar esas pensiones de invalidez y sobrevivientes, única y exclusivamente cuando se acrediten los requisitos que en ella se establecieron y no los de las anteriores legislaciones.</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Lo que implica que por lo menos, a partir de la vigencia del acto legislativo 01 de 2005, reconocer pensiones de sobrevivientes con base en los requisitos previstos antes de la ley 100 de 1993 (verbi gratia acuerdo 049 de 1990), por fallecimientos  ocurridos después de 29 de julio de 2005, constituye una clara y consciente inaplicación de la Constitución Nacional.</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En el presente caso el causante falleció el 06 de junio de 2012, o sea, en vigencia del acto legislativo 01 de 2005, de allí que, pretender aplicar la legislación anterior a la ley 100 de 1993, esto es, aquella que existía cuando no había sistema general de pensiones, para otorgar pensiones de sobrevivientes, implica un irrespeto a nuestra Carta Fundamental, sin que sea posible sostener que el principio de la condición más beneficiosa debe prevalecer sobre el expreso texto constitucional, pues es precisamente la Carta Política la que determina las condiciones en que las reglas de derecho pueden ser aplicadas y, en los casos de invalidez y sobrevivientes, fue contundente en precisar que sólo deben concederse las pensiones con base en los requisitos previstos luego de creado el Sistema de Seguridad Social y no con fundamento en las normas preexistentes.</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En mi criterio, no le está permitido a los jueces desconocer el Estado de derecho propio del sistema democrático, prescindiendo de lo dispuesto en las leyes vigentes, o incluso como en este caso, prescindiendo de un Acto Legislativo, para hacer prevalecer normas anteriores Constitucionalmente derogadas, en pos de aplicar particulares razones de   equidad en cada caso concreto.</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Existen razones adicionales que me llevan a desconocer el uso de la figura de la condición más beneficiosa en esta clase de asuntos, pero como quiera que, lo esgrimido hasta acá, además de peso constitucional, tiene sustento en la actual posición de la Corte Suprema de Justicia, innecesaria resulta su presentación.</w:t>
      </w:r>
    </w:p>
    <w:p w:rsidR="00B213FA" w:rsidRPr="00B213FA" w:rsidRDefault="00B213FA" w:rsidP="00B213FA">
      <w:pPr>
        <w:spacing w:line="360" w:lineRule="auto"/>
        <w:jc w:val="both"/>
        <w:rPr>
          <w:rFonts w:ascii="Arial" w:hAnsi="Arial" w:cs="Arial"/>
          <w:iCs/>
          <w:sz w:val="22"/>
          <w:szCs w:val="22"/>
          <w:lang w:val="es-ES"/>
        </w:rPr>
      </w:pP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Vale la pena hacer notar que conceder la pensión de sobrevivientes en estos casos, de cumplir COLPENSIONES con su ineludible deber de cuidar el patrimonio de la entidad, conllevaría un largo trámite en casación, surtido el cual, la coherencia del sistema llevaría a la permanencia de la jurisprudencia de la Sala de Casación Laboral de la Corte Suprema de Justicia que en esta providencia se desconoce.</w:t>
      </w: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 xml:space="preserve"> </w:t>
      </w:r>
    </w:p>
    <w:p w:rsidR="00B213FA" w:rsidRPr="00B213FA" w:rsidRDefault="00B213FA" w:rsidP="00B213FA">
      <w:pPr>
        <w:spacing w:line="360" w:lineRule="auto"/>
        <w:jc w:val="both"/>
        <w:rPr>
          <w:rFonts w:ascii="Arial" w:hAnsi="Arial" w:cs="Arial"/>
          <w:iCs/>
          <w:sz w:val="22"/>
          <w:szCs w:val="22"/>
          <w:lang w:val="es-ES"/>
        </w:rPr>
      </w:pPr>
      <w:r w:rsidRPr="00B213FA">
        <w:rPr>
          <w:rFonts w:ascii="Arial" w:hAnsi="Arial" w:cs="Arial"/>
          <w:iCs/>
          <w:sz w:val="22"/>
          <w:szCs w:val="22"/>
          <w:lang w:val="es-ES"/>
        </w:rPr>
        <w:t xml:space="preserve">Dejo así salvado mi voto.  </w:t>
      </w:r>
    </w:p>
    <w:p w:rsidR="00B213FA" w:rsidRPr="00B213FA" w:rsidRDefault="00B213FA" w:rsidP="00B213FA">
      <w:pPr>
        <w:jc w:val="both"/>
        <w:rPr>
          <w:rFonts w:ascii="Arial" w:hAnsi="Arial" w:cs="Arial"/>
          <w:iCs/>
          <w:sz w:val="22"/>
          <w:szCs w:val="22"/>
          <w:lang w:val="es-ES"/>
        </w:rPr>
      </w:pPr>
    </w:p>
    <w:p w:rsidR="00B213FA" w:rsidRPr="00B213FA" w:rsidRDefault="00B213FA" w:rsidP="00B213FA">
      <w:pPr>
        <w:keepNext/>
        <w:jc w:val="center"/>
        <w:outlineLvl w:val="3"/>
        <w:rPr>
          <w:rFonts w:ascii="Arial" w:hAnsi="Arial" w:cs="Arial"/>
          <w:b/>
          <w:i/>
          <w:sz w:val="22"/>
          <w:szCs w:val="22"/>
          <w:lang w:val="es-ES"/>
        </w:rPr>
      </w:pPr>
    </w:p>
    <w:p w:rsidR="00B213FA" w:rsidRPr="00B213FA" w:rsidRDefault="00B213FA" w:rsidP="00B213FA">
      <w:pPr>
        <w:rPr>
          <w:sz w:val="20"/>
          <w:lang w:val="es-ES"/>
        </w:rPr>
      </w:pPr>
    </w:p>
    <w:p w:rsidR="00B213FA" w:rsidRPr="00B213FA" w:rsidRDefault="00B213FA" w:rsidP="00B213FA">
      <w:pPr>
        <w:keepNext/>
        <w:jc w:val="center"/>
        <w:outlineLvl w:val="3"/>
        <w:rPr>
          <w:rFonts w:ascii="Arial" w:hAnsi="Arial" w:cs="Arial"/>
          <w:b/>
          <w:i/>
          <w:sz w:val="22"/>
          <w:szCs w:val="22"/>
          <w:lang w:val="es-ES"/>
        </w:rPr>
      </w:pPr>
      <w:r w:rsidRPr="00B213FA">
        <w:rPr>
          <w:rFonts w:ascii="Arial" w:hAnsi="Arial" w:cs="Arial"/>
          <w:b/>
          <w:i/>
          <w:sz w:val="22"/>
          <w:szCs w:val="22"/>
          <w:lang w:val="es-ES"/>
        </w:rPr>
        <w:t>JULIO CÉSAR SALAZAR MUÑOZ</w:t>
      </w:r>
    </w:p>
    <w:p w:rsidR="00B213FA" w:rsidRPr="00B213FA" w:rsidRDefault="00B213FA" w:rsidP="00B213FA">
      <w:pPr>
        <w:jc w:val="center"/>
        <w:rPr>
          <w:rFonts w:ascii="Arial" w:hAnsi="Arial" w:cs="Arial"/>
          <w:szCs w:val="24"/>
          <w:lang w:val="es-ES"/>
        </w:rPr>
      </w:pPr>
      <w:r w:rsidRPr="00B213FA">
        <w:rPr>
          <w:rFonts w:ascii="Arial" w:hAnsi="Arial" w:cs="Arial"/>
          <w:szCs w:val="24"/>
          <w:lang w:val="es-ES"/>
        </w:rPr>
        <w:t xml:space="preserve">Magistrado </w:t>
      </w:r>
    </w:p>
    <w:p w:rsidR="00B213FA" w:rsidRDefault="00B213FA" w:rsidP="006658D0">
      <w:bookmarkStart w:id="0" w:name="_GoBack"/>
      <w:bookmarkEnd w:id="0"/>
    </w:p>
    <w:sectPr w:rsidR="00B213FA" w:rsidSect="007420E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F7" w:rsidRDefault="007277F7" w:rsidP="006658D0">
      <w:r>
        <w:separator/>
      </w:r>
    </w:p>
  </w:endnote>
  <w:endnote w:type="continuationSeparator" w:id="0">
    <w:p w:rsidR="007277F7" w:rsidRDefault="007277F7" w:rsidP="0066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E6010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277F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E6010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77F7">
      <w:rPr>
        <w:rStyle w:val="Nmerodepgina"/>
        <w:noProof/>
      </w:rPr>
      <w:t>1</w:t>
    </w:r>
    <w:r>
      <w:rPr>
        <w:rStyle w:val="Nmerodepgina"/>
      </w:rPr>
      <w:fldChar w:fldCharType="end"/>
    </w:r>
  </w:p>
  <w:p w:rsidR="009B4A56" w:rsidRDefault="007277F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F7" w:rsidRDefault="007277F7" w:rsidP="006658D0">
      <w:r>
        <w:separator/>
      </w:r>
    </w:p>
  </w:footnote>
  <w:footnote w:type="continuationSeparator" w:id="0">
    <w:p w:rsidR="007277F7" w:rsidRDefault="007277F7" w:rsidP="0066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D0" w:rsidRDefault="006658D0" w:rsidP="00FD38A6">
    <w:pPr>
      <w:jc w:val="both"/>
      <w:rPr>
        <w:rFonts w:ascii="Arial Narrow" w:hAnsi="Arial Narrow" w:cs="Arial"/>
        <w:bCs/>
        <w:sz w:val="16"/>
        <w:szCs w:val="16"/>
      </w:rPr>
    </w:pPr>
    <w:r>
      <w:rPr>
        <w:rFonts w:ascii="Arial Narrow" w:hAnsi="Arial Narrow" w:cs="Arial"/>
        <w:bCs/>
        <w:sz w:val="16"/>
        <w:szCs w:val="16"/>
      </w:rPr>
      <w:t>Radicación No.</w:t>
    </w:r>
    <w:r w:rsidR="00E60109" w:rsidRPr="00FD38A6">
      <w:rPr>
        <w:rFonts w:ascii="Arial Narrow" w:hAnsi="Arial Narrow" w:cs="Arial"/>
        <w:bCs/>
        <w:sz w:val="16"/>
        <w:szCs w:val="16"/>
      </w:rPr>
      <w:t xml:space="preserve"> 66001-31-05-00</w:t>
    </w:r>
    <w:r>
      <w:rPr>
        <w:rFonts w:ascii="Arial Narrow" w:hAnsi="Arial Narrow" w:cs="Arial"/>
        <w:bCs/>
        <w:sz w:val="16"/>
        <w:szCs w:val="16"/>
      </w:rPr>
      <w:t>2-2014-00081-01</w:t>
    </w:r>
  </w:p>
  <w:p w:rsidR="009B4A56" w:rsidRPr="00FD38A6" w:rsidRDefault="006658D0" w:rsidP="00FD38A6">
    <w:pPr>
      <w:jc w:val="both"/>
    </w:pPr>
    <w:r>
      <w:rPr>
        <w:rFonts w:ascii="Arial Narrow" w:hAnsi="Arial Narrow" w:cs="Arial"/>
        <w:bCs/>
        <w:sz w:val="16"/>
        <w:szCs w:val="16"/>
      </w:rPr>
      <w:t xml:space="preserve">María Consuelo López de Lasso </w:t>
    </w:r>
    <w:r w:rsidR="00E6010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D0"/>
    <w:rsid w:val="000E7F42"/>
    <w:rsid w:val="00172834"/>
    <w:rsid w:val="00237127"/>
    <w:rsid w:val="00242152"/>
    <w:rsid w:val="002B1EA6"/>
    <w:rsid w:val="003E00E3"/>
    <w:rsid w:val="004443F1"/>
    <w:rsid w:val="00450964"/>
    <w:rsid w:val="004765C3"/>
    <w:rsid w:val="004B52E6"/>
    <w:rsid w:val="004D01C5"/>
    <w:rsid w:val="004E183F"/>
    <w:rsid w:val="00515BDC"/>
    <w:rsid w:val="00562C36"/>
    <w:rsid w:val="00563496"/>
    <w:rsid w:val="005F5E82"/>
    <w:rsid w:val="006135E9"/>
    <w:rsid w:val="006213A8"/>
    <w:rsid w:val="006658D0"/>
    <w:rsid w:val="006A5ACE"/>
    <w:rsid w:val="006F2FF3"/>
    <w:rsid w:val="007231C1"/>
    <w:rsid w:val="007277F7"/>
    <w:rsid w:val="00785307"/>
    <w:rsid w:val="007B5499"/>
    <w:rsid w:val="007E1FFD"/>
    <w:rsid w:val="00886B92"/>
    <w:rsid w:val="008B477B"/>
    <w:rsid w:val="008E1072"/>
    <w:rsid w:val="008F003B"/>
    <w:rsid w:val="008F24E8"/>
    <w:rsid w:val="00907A5F"/>
    <w:rsid w:val="00942927"/>
    <w:rsid w:val="00963F94"/>
    <w:rsid w:val="00A23CFA"/>
    <w:rsid w:val="00A7650E"/>
    <w:rsid w:val="00A82AC2"/>
    <w:rsid w:val="00A928D2"/>
    <w:rsid w:val="00AB079B"/>
    <w:rsid w:val="00B15939"/>
    <w:rsid w:val="00B213FA"/>
    <w:rsid w:val="00B56E76"/>
    <w:rsid w:val="00BA0C20"/>
    <w:rsid w:val="00BA64F9"/>
    <w:rsid w:val="00BB0A3F"/>
    <w:rsid w:val="00BF50B3"/>
    <w:rsid w:val="00CF576A"/>
    <w:rsid w:val="00D97D11"/>
    <w:rsid w:val="00DC3F73"/>
    <w:rsid w:val="00DF30A5"/>
    <w:rsid w:val="00E27B52"/>
    <w:rsid w:val="00E60109"/>
    <w:rsid w:val="00F65645"/>
    <w:rsid w:val="00FC43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D1DB-572E-4096-8095-6822EA3F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D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658D0"/>
    <w:rPr>
      <w:rFonts w:ascii="Arial" w:hAnsi="Arial" w:cs="Arial"/>
      <w:sz w:val="24"/>
      <w:lang w:val="es-ES_tradnl" w:eastAsia="es-ES"/>
    </w:rPr>
  </w:style>
  <w:style w:type="paragraph" w:styleId="Textoindependiente">
    <w:name w:val="Body Text"/>
    <w:basedOn w:val="Normal"/>
    <w:link w:val="TextoindependienteCar"/>
    <w:rsid w:val="006658D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658D0"/>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6658D0"/>
    <w:pPr>
      <w:tabs>
        <w:tab w:val="center" w:pos="4252"/>
        <w:tab w:val="right" w:pos="8504"/>
      </w:tabs>
    </w:pPr>
  </w:style>
  <w:style w:type="character" w:customStyle="1" w:styleId="PiedepginaCar">
    <w:name w:val="Pie de página Car"/>
    <w:basedOn w:val="Fuentedeprrafopredeter"/>
    <w:link w:val="Piedepgina"/>
    <w:rsid w:val="006658D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658D0"/>
  </w:style>
  <w:style w:type="paragraph" w:customStyle="1" w:styleId="Textoindependiente31">
    <w:name w:val="Texto independiente 31"/>
    <w:basedOn w:val="Normal"/>
    <w:rsid w:val="006658D0"/>
    <w:pPr>
      <w:spacing w:line="360" w:lineRule="auto"/>
      <w:jc w:val="both"/>
    </w:pPr>
    <w:rPr>
      <w:rFonts w:ascii="Arial" w:hAnsi="Arial"/>
    </w:rPr>
  </w:style>
  <w:style w:type="paragraph" w:customStyle="1" w:styleId="Prrafodelista2">
    <w:name w:val="Párrafo de lista2"/>
    <w:basedOn w:val="Normal"/>
    <w:rsid w:val="006658D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6658D0"/>
    <w:pPr>
      <w:ind w:left="708"/>
    </w:pPr>
  </w:style>
  <w:style w:type="paragraph" w:styleId="Sinespaciado">
    <w:name w:val="No Spacing"/>
    <w:uiPriority w:val="1"/>
    <w:qFormat/>
    <w:rsid w:val="006658D0"/>
    <w:pPr>
      <w:spacing w:after="0" w:line="240" w:lineRule="auto"/>
    </w:pPr>
    <w:rPr>
      <w:lang w:val="es-ES_tradnl"/>
    </w:rPr>
  </w:style>
  <w:style w:type="paragraph" w:customStyle="1" w:styleId="Textoindependiente32">
    <w:name w:val="Texto independiente 32"/>
    <w:basedOn w:val="Normal"/>
    <w:rsid w:val="006658D0"/>
    <w:pPr>
      <w:spacing w:line="360" w:lineRule="auto"/>
      <w:jc w:val="both"/>
    </w:pPr>
    <w:rPr>
      <w:rFonts w:ascii="Arial" w:hAnsi="Arial"/>
    </w:rPr>
  </w:style>
  <w:style w:type="paragraph" w:styleId="Encabezado">
    <w:name w:val="header"/>
    <w:basedOn w:val="Normal"/>
    <w:link w:val="EncabezadoCar"/>
    <w:uiPriority w:val="99"/>
    <w:unhideWhenUsed/>
    <w:rsid w:val="006658D0"/>
    <w:pPr>
      <w:tabs>
        <w:tab w:val="center" w:pos="4419"/>
        <w:tab w:val="right" w:pos="8838"/>
      </w:tabs>
    </w:pPr>
  </w:style>
  <w:style w:type="character" w:customStyle="1" w:styleId="EncabezadoCar">
    <w:name w:val="Encabezado Car"/>
    <w:basedOn w:val="Fuentedeprrafopredeter"/>
    <w:link w:val="Encabezado"/>
    <w:uiPriority w:val="99"/>
    <w:rsid w:val="006658D0"/>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A765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50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4255</Words>
  <Characters>23406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7</cp:revision>
  <cp:lastPrinted>2016-02-22T19:30:00Z</cp:lastPrinted>
  <dcterms:created xsi:type="dcterms:W3CDTF">2016-02-22T19:42:00Z</dcterms:created>
  <dcterms:modified xsi:type="dcterms:W3CDTF">2016-09-08T14:41:00Z</dcterms:modified>
</cp:coreProperties>
</file>