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81B" w:rsidRPr="00402979" w:rsidRDefault="00E4081B" w:rsidP="00E4081B">
      <w:pPr>
        <w:tabs>
          <w:tab w:val="left" w:pos="3686"/>
        </w:tabs>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E4081B" w:rsidRPr="00FF3180" w:rsidRDefault="00E4081B" w:rsidP="00E4081B">
      <w:pPr>
        <w:jc w:val="both"/>
        <w:rPr>
          <w:rFonts w:ascii="Arial Narrow" w:hAnsi="Arial Narrow" w:cs="Arial"/>
          <w:sz w:val="16"/>
          <w:szCs w:val="16"/>
        </w:rPr>
      </w:pPr>
      <w:r w:rsidRPr="00FF3180">
        <w:rPr>
          <w:rFonts w:ascii="Arial Narrow" w:hAnsi="Arial Narrow" w:cs="Arial"/>
          <w:b/>
          <w:sz w:val="16"/>
          <w:szCs w:val="16"/>
        </w:rPr>
        <w:t>Providencia</w:t>
      </w:r>
      <w:r w:rsidRPr="00FF3180">
        <w:rPr>
          <w:rFonts w:ascii="Arial Narrow" w:hAnsi="Arial Narrow" w:cs="Arial"/>
          <w:sz w:val="16"/>
          <w:szCs w:val="16"/>
        </w:rPr>
        <w:t>:</w:t>
      </w:r>
      <w:r w:rsidRPr="00FF3180">
        <w:rPr>
          <w:rFonts w:ascii="Arial Narrow" w:hAnsi="Arial Narrow" w:cs="Arial"/>
          <w:sz w:val="16"/>
          <w:szCs w:val="16"/>
        </w:rPr>
        <w:tab/>
      </w:r>
      <w:r w:rsidRPr="00FF3180">
        <w:rPr>
          <w:rFonts w:ascii="Arial Narrow" w:hAnsi="Arial Narrow" w:cs="Arial"/>
          <w:sz w:val="16"/>
          <w:szCs w:val="16"/>
        </w:rPr>
        <w:tab/>
        <w:t>Sentencia de Segunda Instancia, jueves 23 de junio de 2016.</w:t>
      </w:r>
    </w:p>
    <w:p w:rsidR="00E4081B" w:rsidRPr="00FF3180" w:rsidRDefault="00E4081B" w:rsidP="00E4081B">
      <w:pPr>
        <w:jc w:val="both"/>
        <w:rPr>
          <w:rFonts w:ascii="Arial Narrow" w:hAnsi="Arial Narrow" w:cs="Arial"/>
          <w:bCs/>
          <w:iCs/>
          <w:sz w:val="16"/>
          <w:szCs w:val="16"/>
        </w:rPr>
      </w:pPr>
      <w:r w:rsidRPr="00FF3180">
        <w:rPr>
          <w:rFonts w:ascii="Arial Narrow" w:hAnsi="Arial Narrow" w:cs="Arial"/>
          <w:b/>
          <w:bCs/>
          <w:sz w:val="16"/>
          <w:szCs w:val="16"/>
        </w:rPr>
        <w:t>Radicación No</w:t>
      </w:r>
      <w:r w:rsidRPr="00FF3180">
        <w:rPr>
          <w:rFonts w:ascii="Arial Narrow" w:hAnsi="Arial Narrow" w:cs="Arial"/>
          <w:bCs/>
          <w:sz w:val="16"/>
          <w:szCs w:val="16"/>
        </w:rPr>
        <w:t>:</w:t>
      </w:r>
      <w:r w:rsidRPr="00FF3180">
        <w:rPr>
          <w:rFonts w:ascii="Arial Narrow" w:hAnsi="Arial Narrow" w:cs="Arial"/>
          <w:b/>
          <w:bCs/>
          <w:sz w:val="16"/>
          <w:szCs w:val="16"/>
        </w:rPr>
        <w:tab/>
      </w:r>
      <w:r w:rsidRPr="00FF3180">
        <w:rPr>
          <w:rFonts w:ascii="Arial Narrow" w:hAnsi="Arial Narrow" w:cs="Arial"/>
          <w:b/>
          <w:bCs/>
          <w:sz w:val="16"/>
          <w:szCs w:val="16"/>
        </w:rPr>
        <w:tab/>
      </w:r>
      <w:r w:rsidRPr="00FF3180">
        <w:rPr>
          <w:rFonts w:ascii="Arial Narrow" w:hAnsi="Arial Narrow" w:cs="Arial"/>
          <w:bCs/>
          <w:sz w:val="16"/>
          <w:szCs w:val="16"/>
        </w:rPr>
        <w:t>66001-31-05-004-2014-00543-01</w:t>
      </w:r>
    </w:p>
    <w:p w:rsidR="00E4081B" w:rsidRPr="00FF3180" w:rsidRDefault="00E4081B" w:rsidP="00E4081B">
      <w:pPr>
        <w:jc w:val="both"/>
        <w:rPr>
          <w:rFonts w:ascii="Arial Narrow" w:hAnsi="Arial Narrow" w:cs="Arial"/>
          <w:iCs/>
          <w:sz w:val="16"/>
          <w:szCs w:val="16"/>
        </w:rPr>
      </w:pPr>
      <w:r w:rsidRPr="00FF3180">
        <w:rPr>
          <w:rFonts w:ascii="Arial Narrow" w:hAnsi="Arial Narrow" w:cs="Arial"/>
          <w:b/>
          <w:bCs/>
          <w:iCs/>
          <w:sz w:val="16"/>
          <w:szCs w:val="16"/>
        </w:rPr>
        <w:t>Proceso</w:t>
      </w:r>
      <w:r w:rsidRPr="00FF3180">
        <w:rPr>
          <w:rFonts w:ascii="Arial Narrow" w:hAnsi="Arial Narrow" w:cs="Arial"/>
          <w:bCs/>
          <w:iCs/>
          <w:sz w:val="16"/>
          <w:szCs w:val="16"/>
        </w:rPr>
        <w:t>:</w:t>
      </w:r>
      <w:r w:rsidRPr="00FF3180">
        <w:rPr>
          <w:rFonts w:ascii="Arial Narrow" w:hAnsi="Arial Narrow" w:cs="Arial"/>
          <w:b/>
          <w:iCs/>
          <w:sz w:val="16"/>
          <w:szCs w:val="16"/>
        </w:rPr>
        <w:tab/>
      </w:r>
      <w:r w:rsidRPr="00FF3180">
        <w:rPr>
          <w:rFonts w:ascii="Arial Narrow" w:hAnsi="Arial Narrow" w:cs="Arial"/>
          <w:b/>
          <w:iCs/>
          <w:sz w:val="16"/>
          <w:szCs w:val="16"/>
        </w:rPr>
        <w:tab/>
      </w:r>
      <w:r w:rsidRPr="00FF3180">
        <w:rPr>
          <w:rFonts w:ascii="Arial Narrow" w:hAnsi="Arial Narrow" w:cs="Arial"/>
          <w:b/>
          <w:iCs/>
          <w:sz w:val="16"/>
          <w:szCs w:val="16"/>
        </w:rPr>
        <w:tab/>
      </w:r>
      <w:r w:rsidRPr="00FF3180">
        <w:rPr>
          <w:rFonts w:ascii="Arial Narrow" w:hAnsi="Arial Narrow" w:cs="Arial"/>
          <w:iCs/>
          <w:sz w:val="16"/>
          <w:szCs w:val="16"/>
        </w:rPr>
        <w:t>Ordinario Laboral.</w:t>
      </w:r>
    </w:p>
    <w:p w:rsidR="00E4081B" w:rsidRPr="00FF3180" w:rsidRDefault="00E4081B" w:rsidP="00E4081B">
      <w:pPr>
        <w:ind w:firstLine="6"/>
        <w:jc w:val="both"/>
        <w:rPr>
          <w:rFonts w:ascii="Arial Narrow" w:hAnsi="Arial Narrow" w:cs="Arial"/>
          <w:bCs/>
          <w:sz w:val="16"/>
          <w:szCs w:val="16"/>
        </w:rPr>
      </w:pPr>
      <w:r w:rsidRPr="00FF3180">
        <w:rPr>
          <w:rFonts w:ascii="Arial Narrow" w:hAnsi="Arial Narrow" w:cs="Arial"/>
          <w:b/>
          <w:iCs/>
          <w:sz w:val="16"/>
          <w:szCs w:val="16"/>
        </w:rPr>
        <w:t>Demandante</w:t>
      </w:r>
      <w:r w:rsidRPr="00FF3180">
        <w:rPr>
          <w:rFonts w:ascii="Arial Narrow" w:hAnsi="Arial Narrow" w:cs="Arial"/>
          <w:iCs/>
          <w:sz w:val="16"/>
          <w:szCs w:val="16"/>
        </w:rPr>
        <w:t xml:space="preserve">:     </w:t>
      </w:r>
      <w:r w:rsidRPr="00FF3180">
        <w:rPr>
          <w:rFonts w:ascii="Arial Narrow" w:hAnsi="Arial Narrow" w:cs="Arial"/>
          <w:iCs/>
          <w:sz w:val="16"/>
          <w:szCs w:val="16"/>
        </w:rPr>
        <w:tab/>
      </w:r>
      <w:r w:rsidRPr="00FF3180">
        <w:rPr>
          <w:rFonts w:ascii="Arial Narrow" w:hAnsi="Arial Narrow" w:cs="Arial"/>
          <w:iCs/>
          <w:sz w:val="16"/>
          <w:szCs w:val="16"/>
        </w:rPr>
        <w:tab/>
        <w:t xml:space="preserve">Alonso García Gallego </w:t>
      </w:r>
    </w:p>
    <w:p w:rsidR="00E4081B" w:rsidRPr="00FF3180" w:rsidRDefault="00E4081B" w:rsidP="00E4081B">
      <w:pPr>
        <w:ind w:firstLine="6"/>
        <w:jc w:val="both"/>
        <w:rPr>
          <w:rFonts w:ascii="Arial Narrow" w:hAnsi="Arial Narrow" w:cs="Arial"/>
          <w:bCs/>
          <w:sz w:val="16"/>
          <w:szCs w:val="16"/>
        </w:rPr>
      </w:pPr>
      <w:r w:rsidRPr="00FF3180">
        <w:rPr>
          <w:rFonts w:ascii="Arial Narrow" w:hAnsi="Arial Narrow" w:cs="Arial"/>
          <w:b/>
          <w:bCs/>
          <w:sz w:val="16"/>
          <w:szCs w:val="16"/>
        </w:rPr>
        <w:t>Demandado:</w:t>
      </w:r>
      <w:r w:rsidRPr="00FF3180">
        <w:rPr>
          <w:rFonts w:ascii="Arial Narrow" w:hAnsi="Arial Narrow" w:cs="Arial"/>
          <w:bCs/>
          <w:sz w:val="16"/>
          <w:szCs w:val="16"/>
        </w:rPr>
        <w:tab/>
      </w:r>
      <w:r w:rsidRPr="00FF3180">
        <w:rPr>
          <w:rFonts w:ascii="Arial Narrow" w:hAnsi="Arial Narrow" w:cs="Arial"/>
          <w:bCs/>
          <w:sz w:val="16"/>
          <w:szCs w:val="16"/>
        </w:rPr>
        <w:tab/>
        <w:t>Administradora Colombiana de Pensiones –</w:t>
      </w:r>
      <w:proofErr w:type="spellStart"/>
      <w:r w:rsidRPr="00FF3180">
        <w:rPr>
          <w:rFonts w:ascii="Arial Narrow" w:hAnsi="Arial Narrow" w:cs="Arial"/>
          <w:bCs/>
          <w:sz w:val="16"/>
          <w:szCs w:val="16"/>
        </w:rPr>
        <w:t>Colpensiones</w:t>
      </w:r>
      <w:proofErr w:type="spellEnd"/>
      <w:r w:rsidRPr="00FF3180">
        <w:rPr>
          <w:rFonts w:ascii="Arial Narrow" w:hAnsi="Arial Narrow" w:cs="Arial"/>
          <w:bCs/>
          <w:sz w:val="16"/>
          <w:szCs w:val="16"/>
        </w:rPr>
        <w:t>-</w:t>
      </w:r>
    </w:p>
    <w:p w:rsidR="00E4081B" w:rsidRPr="00FF3180" w:rsidRDefault="00E4081B" w:rsidP="00E4081B">
      <w:pPr>
        <w:jc w:val="both"/>
        <w:rPr>
          <w:rFonts w:ascii="Arial Narrow" w:hAnsi="Arial Narrow" w:cs="Arial"/>
          <w:sz w:val="16"/>
          <w:szCs w:val="16"/>
        </w:rPr>
      </w:pPr>
      <w:r w:rsidRPr="00FF3180">
        <w:rPr>
          <w:rFonts w:ascii="Arial Narrow" w:hAnsi="Arial Narrow" w:cs="Arial"/>
          <w:b/>
          <w:sz w:val="16"/>
          <w:szCs w:val="16"/>
        </w:rPr>
        <w:t>Juzgado de origen</w:t>
      </w:r>
      <w:r w:rsidRPr="00FF3180">
        <w:rPr>
          <w:rFonts w:ascii="Arial Narrow" w:hAnsi="Arial Narrow" w:cs="Arial"/>
          <w:sz w:val="16"/>
          <w:szCs w:val="16"/>
        </w:rPr>
        <w:t xml:space="preserve">:   </w:t>
      </w:r>
      <w:r w:rsidRPr="00FF3180">
        <w:rPr>
          <w:rFonts w:ascii="Arial Narrow" w:hAnsi="Arial Narrow" w:cs="Arial"/>
          <w:sz w:val="16"/>
          <w:szCs w:val="16"/>
        </w:rPr>
        <w:tab/>
      </w:r>
      <w:r w:rsidR="00FF3180">
        <w:rPr>
          <w:rFonts w:ascii="Arial Narrow" w:hAnsi="Arial Narrow" w:cs="Arial"/>
          <w:sz w:val="16"/>
          <w:szCs w:val="16"/>
        </w:rPr>
        <w:tab/>
      </w:r>
      <w:r w:rsidRPr="00FF3180">
        <w:rPr>
          <w:rFonts w:ascii="Arial Narrow" w:hAnsi="Arial Narrow" w:cs="Arial"/>
          <w:sz w:val="16"/>
          <w:szCs w:val="16"/>
        </w:rPr>
        <w:t>Cuarto Laboral del Circuito de Pereira.</w:t>
      </w:r>
    </w:p>
    <w:p w:rsidR="00E4081B" w:rsidRPr="00FF3180" w:rsidRDefault="00E4081B" w:rsidP="00E4081B">
      <w:pPr>
        <w:jc w:val="both"/>
        <w:rPr>
          <w:rFonts w:ascii="Arial Narrow" w:hAnsi="Arial Narrow" w:cs="Arial"/>
          <w:b/>
          <w:iCs/>
          <w:sz w:val="16"/>
          <w:szCs w:val="16"/>
        </w:rPr>
      </w:pPr>
      <w:r w:rsidRPr="00FF3180">
        <w:rPr>
          <w:rFonts w:ascii="Arial Narrow" w:hAnsi="Arial Narrow" w:cs="Arial"/>
          <w:b/>
          <w:iCs/>
          <w:sz w:val="16"/>
          <w:szCs w:val="16"/>
        </w:rPr>
        <w:t xml:space="preserve">Magistrado Ponente:     </w:t>
      </w:r>
      <w:r w:rsidRPr="00FF3180">
        <w:rPr>
          <w:rFonts w:ascii="Arial Narrow" w:hAnsi="Arial Narrow" w:cs="Arial"/>
          <w:b/>
          <w:iCs/>
          <w:sz w:val="16"/>
          <w:szCs w:val="16"/>
        </w:rPr>
        <w:tab/>
      </w:r>
      <w:r w:rsidRPr="00FF3180">
        <w:rPr>
          <w:rFonts w:ascii="Arial Narrow" w:hAnsi="Arial Narrow" w:cs="Arial"/>
          <w:iCs/>
          <w:sz w:val="16"/>
          <w:szCs w:val="16"/>
        </w:rPr>
        <w:t>Francisco Javier Tamayo Tabares.</w:t>
      </w:r>
    </w:p>
    <w:p w:rsidR="00A73F67" w:rsidRDefault="00E4081B" w:rsidP="00715831">
      <w:pPr>
        <w:pStyle w:val="bodytext21"/>
        <w:shd w:val="clear" w:color="auto" w:fill="FFFFFF"/>
        <w:spacing w:before="0" w:beforeAutospacing="0" w:after="0" w:afterAutospacing="0"/>
        <w:ind w:left="2124" w:right="51" w:hanging="2124"/>
        <w:jc w:val="both"/>
        <w:textAlignment w:val="baseline"/>
        <w:rPr>
          <w:rFonts w:ascii="Arial Narrow" w:hAnsi="Arial Narrow"/>
          <w:sz w:val="16"/>
          <w:szCs w:val="16"/>
          <w:shd w:val="clear" w:color="auto" w:fill="FFFFFF"/>
        </w:rPr>
      </w:pPr>
      <w:r w:rsidRPr="00FF3180">
        <w:rPr>
          <w:rFonts w:ascii="Arial Narrow" w:hAnsi="Arial Narrow"/>
          <w:b/>
          <w:bCs/>
          <w:sz w:val="16"/>
          <w:szCs w:val="16"/>
        </w:rPr>
        <w:t xml:space="preserve">Tema a tratar: </w:t>
      </w:r>
      <w:r w:rsidRPr="00FF3180">
        <w:rPr>
          <w:rFonts w:ascii="Arial Narrow" w:hAnsi="Arial Narrow"/>
          <w:b/>
          <w:bCs/>
          <w:sz w:val="16"/>
          <w:szCs w:val="16"/>
        </w:rPr>
        <w:tab/>
      </w:r>
      <w:r w:rsidRPr="00715831">
        <w:rPr>
          <w:rFonts w:ascii="Arial Narrow" w:hAnsi="Arial Narrow"/>
          <w:b/>
          <w:bCs/>
          <w:sz w:val="16"/>
          <w:szCs w:val="16"/>
        </w:rPr>
        <w:t xml:space="preserve">Cálculo del ingreso Base de Liquidación: </w:t>
      </w:r>
      <w:r w:rsidR="00FF3180" w:rsidRPr="00715831">
        <w:rPr>
          <w:rFonts w:ascii="Arial Narrow" w:hAnsi="Arial Narrow"/>
          <w:sz w:val="16"/>
          <w:szCs w:val="16"/>
        </w:rPr>
        <w:t xml:space="preserve">para </w:t>
      </w:r>
      <w:r w:rsidR="00A73F67" w:rsidRPr="00715831">
        <w:rPr>
          <w:rFonts w:ascii="Arial Narrow" w:hAnsi="Arial Narrow"/>
          <w:sz w:val="16"/>
          <w:szCs w:val="16"/>
        </w:rPr>
        <w:t xml:space="preserve">quienes les faltare diez (10) o más años, en el artículo 21 de la misma norma, cuyo contenido establece que el IBL correspondería al </w:t>
      </w:r>
      <w:r w:rsidR="00A73F67" w:rsidRPr="00715831">
        <w:rPr>
          <w:rFonts w:ascii="Arial Narrow" w:hAnsi="Arial Narrow"/>
          <w:sz w:val="16"/>
          <w:szCs w:val="16"/>
          <w:lang w:eastAsia="en-US"/>
        </w:rPr>
        <w:t>promedio de las sumas sobre las cuales el afiliado haya efectuado sus cotizaciones en los 10 años que anteceden al reconocimiento de la prestación o el de toda la vida si llegare a ser superior, sin embargo, para calcular el monto pensional con las cotizaciones efectuadas durante toda la vida, el afiliado deberá tener más de 1250 semanas.</w:t>
      </w:r>
      <w:r w:rsidR="00EA1139" w:rsidRPr="00715831">
        <w:rPr>
          <w:rFonts w:ascii="Arial Narrow" w:hAnsi="Arial Narrow"/>
          <w:sz w:val="16"/>
          <w:szCs w:val="16"/>
          <w:lang w:eastAsia="en-US"/>
        </w:rPr>
        <w:t xml:space="preserve"> </w:t>
      </w:r>
      <w:r w:rsidR="00EA1139" w:rsidRPr="00715831">
        <w:rPr>
          <w:rFonts w:ascii="Arial Narrow" w:hAnsi="Arial Narrow"/>
          <w:b/>
          <w:sz w:val="16"/>
          <w:szCs w:val="16"/>
          <w:lang w:eastAsia="en-US"/>
        </w:rPr>
        <w:t>De las categorías de cotización del Seguro Social antes de la entrada en vigencia de la Ley 100 de 1993:</w:t>
      </w:r>
      <w:r w:rsidR="00715831" w:rsidRPr="00715831">
        <w:rPr>
          <w:rFonts w:ascii="Arial Narrow" w:hAnsi="Arial Narrow"/>
          <w:sz w:val="28"/>
          <w:szCs w:val="28"/>
          <w:shd w:val="clear" w:color="auto" w:fill="FFFFFF"/>
        </w:rPr>
        <w:t xml:space="preserve"> </w:t>
      </w:r>
      <w:r w:rsidR="00715831" w:rsidRPr="00715831">
        <w:rPr>
          <w:rFonts w:ascii="Arial Narrow" w:hAnsi="Arial Narrow"/>
          <w:sz w:val="16"/>
          <w:szCs w:val="16"/>
          <w:shd w:val="clear" w:color="auto" w:fill="FFFFFF"/>
        </w:rPr>
        <w:t>la jurisprudencia constitucional se ha encargado de señalar que la liquidación de las pensiones debe hacerse con base en la asignación realmente devengada por el trabajador, pues hacerlo a partir de una asignación distinta implicaría un trato discriminatorio y un desconocimiento al principio de primacía de la realidad en las relaciones laborales, toda vez que el legislador pese a su amplia facultad de configuración en materia de seguridad social, no está facultado para excluir el salario del trabajador como elemento determinante del monto de su pensión. No obstante, dicha Corporación también hizo hincapié en la importancia de respetar los límites máximos que establece la ley para preservar el equilibrio financiero del Sistema de Seguridad Social en pensiones, que tiene como fundamento el artículo 48 de</w:t>
      </w:r>
      <w:r w:rsidR="00715831">
        <w:rPr>
          <w:rFonts w:ascii="Arial Narrow" w:hAnsi="Arial Narrow"/>
          <w:sz w:val="16"/>
          <w:szCs w:val="16"/>
          <w:shd w:val="clear" w:color="auto" w:fill="FFFFFF"/>
        </w:rPr>
        <w:t xml:space="preserve"> la C.N.</w:t>
      </w:r>
    </w:p>
    <w:p w:rsidR="00E4081B" w:rsidRPr="00715831" w:rsidRDefault="00E4081B" w:rsidP="00715831">
      <w:pPr>
        <w:pStyle w:val="Sinespaciado"/>
        <w:spacing w:line="360" w:lineRule="auto"/>
        <w:rPr>
          <w:highlight w:val="yellow"/>
        </w:rPr>
      </w:pPr>
    </w:p>
    <w:p w:rsidR="00E4081B" w:rsidRPr="00537931" w:rsidRDefault="00E4081B" w:rsidP="00E4081B">
      <w:pPr>
        <w:spacing w:line="360" w:lineRule="auto"/>
        <w:ind w:firstLine="840"/>
        <w:rPr>
          <w:rFonts w:ascii="Arial Narrow" w:hAnsi="Arial Narrow" w:cs="Arial"/>
          <w:b/>
          <w:sz w:val="28"/>
          <w:szCs w:val="28"/>
        </w:rPr>
      </w:pPr>
      <w:r w:rsidRPr="00537931">
        <w:rPr>
          <w:rFonts w:ascii="Arial Narrow" w:hAnsi="Arial Narrow" w:cs="Arial"/>
          <w:b/>
          <w:sz w:val="28"/>
          <w:szCs w:val="28"/>
          <w:u w:val="single"/>
        </w:rPr>
        <w:t>AUDIENCIA PÚBLICA</w:t>
      </w:r>
      <w:r w:rsidRPr="00537931">
        <w:rPr>
          <w:rFonts w:ascii="Arial Narrow" w:hAnsi="Arial Narrow" w:cs="Arial"/>
          <w:b/>
          <w:sz w:val="28"/>
          <w:szCs w:val="28"/>
        </w:rPr>
        <w:t>:</w:t>
      </w:r>
      <w:r>
        <w:rPr>
          <w:rFonts w:ascii="Arial Narrow" w:hAnsi="Arial Narrow" w:cs="Arial"/>
          <w:b/>
          <w:sz w:val="28"/>
          <w:szCs w:val="28"/>
        </w:rPr>
        <w:t xml:space="preserve"> </w:t>
      </w:r>
    </w:p>
    <w:p w:rsidR="00E4081B" w:rsidRPr="00715831" w:rsidRDefault="00E4081B" w:rsidP="00715831">
      <w:pPr>
        <w:pStyle w:val="Sinespaciado"/>
      </w:pPr>
    </w:p>
    <w:p w:rsidR="00E4081B" w:rsidRPr="00291C1A" w:rsidRDefault="00E4081B" w:rsidP="00E4081B">
      <w:pPr>
        <w:spacing w:line="360" w:lineRule="auto"/>
        <w:ind w:firstLine="851"/>
        <w:jc w:val="both"/>
        <w:rPr>
          <w:rFonts w:ascii="Arial Narrow" w:hAnsi="Arial Narrow" w:cs="Arial"/>
          <w:bCs/>
          <w:iCs/>
          <w:sz w:val="28"/>
          <w:szCs w:val="28"/>
        </w:rPr>
      </w:pPr>
      <w:r w:rsidRPr="00291C1A">
        <w:rPr>
          <w:rFonts w:ascii="Arial Narrow" w:eastAsia="Calibri" w:hAnsi="Arial Narrow" w:cs="Arial"/>
          <w:sz w:val="28"/>
          <w:szCs w:val="28"/>
          <w:lang w:val="es-CO" w:eastAsia="en-US"/>
        </w:rPr>
        <w:t xml:space="preserve">En Pereira, a los veintitrés (23) días del mes de junio de dos mil dieciséis (2016), siendo las siete y treinta minutos de la mañana (7:30 a.m.), </w:t>
      </w:r>
      <w:r w:rsidRPr="00291C1A">
        <w:rPr>
          <w:rFonts w:ascii="Arial Narrow" w:hAnsi="Arial Narrow" w:cs="Tahoma"/>
          <w:bCs/>
          <w:sz w:val="28"/>
          <w:szCs w:val="28"/>
          <w:lang w:eastAsia="es-CO"/>
        </w:rPr>
        <w:t xml:space="preserve">reunidos </w:t>
      </w:r>
      <w:r w:rsidRPr="00291C1A">
        <w:rPr>
          <w:rFonts w:ascii="Arial Narrow" w:hAnsi="Arial Narrow" w:cs="Tahoma"/>
          <w:bCs/>
          <w:color w:val="000000"/>
          <w:sz w:val="28"/>
          <w:szCs w:val="28"/>
          <w:lang w:eastAsia="es-CO"/>
        </w:rPr>
        <w:t xml:space="preserve">en la Sala de audiencias la magistrada y los magistrados de la Sala Laboral del Tribunal Superior de Pereira, el ponente declara abierto el acto, que tiene por objeto resolver el grado jurisdiccional de consulta y el recurso de apelación interpuesto por el demandante en contra de la sentencia proferida el 9 de abril de 2015 </w:t>
      </w:r>
      <w:r w:rsidRPr="00291C1A">
        <w:rPr>
          <w:rFonts w:ascii="Arial Narrow" w:hAnsi="Arial Narrow" w:cs="Arial"/>
          <w:sz w:val="28"/>
          <w:szCs w:val="28"/>
        </w:rPr>
        <w:t xml:space="preserve">por el Juzgado Cuarto Laboral del Circuito de Pereira, dentro del proceso ordinario laboral promovido por </w:t>
      </w:r>
      <w:r w:rsidRPr="00291C1A">
        <w:rPr>
          <w:rFonts w:ascii="Arial Narrow" w:hAnsi="Arial Narrow" w:cs="Arial"/>
          <w:b/>
          <w:i/>
          <w:sz w:val="28"/>
          <w:szCs w:val="28"/>
        </w:rPr>
        <w:t xml:space="preserve">Alonso García Gallego </w:t>
      </w:r>
      <w:r w:rsidRPr="00291C1A">
        <w:rPr>
          <w:rFonts w:ascii="Arial Narrow" w:hAnsi="Arial Narrow" w:cs="Arial"/>
          <w:sz w:val="28"/>
          <w:szCs w:val="28"/>
        </w:rPr>
        <w:t xml:space="preserve">contra la </w:t>
      </w:r>
      <w:r w:rsidRPr="00291C1A">
        <w:rPr>
          <w:rFonts w:ascii="Arial Narrow" w:hAnsi="Arial Narrow" w:cs="Arial"/>
          <w:b/>
          <w:i/>
          <w:sz w:val="28"/>
          <w:szCs w:val="28"/>
        </w:rPr>
        <w:t xml:space="preserve">Administradora Colombiana de Pensiones </w:t>
      </w:r>
      <w:proofErr w:type="spellStart"/>
      <w:r w:rsidRPr="00291C1A">
        <w:rPr>
          <w:rFonts w:ascii="Arial Narrow" w:hAnsi="Arial Narrow" w:cs="Arial"/>
          <w:b/>
          <w:bCs/>
          <w:i/>
          <w:sz w:val="28"/>
          <w:szCs w:val="28"/>
        </w:rPr>
        <w:t>Colpensiones</w:t>
      </w:r>
      <w:proofErr w:type="spellEnd"/>
      <w:r w:rsidRPr="00291C1A">
        <w:rPr>
          <w:rFonts w:ascii="Arial Narrow" w:hAnsi="Arial Narrow" w:cs="Arial"/>
          <w:b/>
          <w:bCs/>
          <w:i/>
          <w:iCs/>
          <w:sz w:val="28"/>
          <w:szCs w:val="28"/>
        </w:rPr>
        <w:t>.</w:t>
      </w:r>
    </w:p>
    <w:p w:rsidR="00E4081B" w:rsidRPr="00715831" w:rsidRDefault="00E4081B" w:rsidP="00715831">
      <w:pPr>
        <w:pStyle w:val="Sinespaciado"/>
      </w:pPr>
    </w:p>
    <w:p w:rsidR="00E4081B" w:rsidRPr="00291C1A" w:rsidRDefault="00E4081B" w:rsidP="00E4081B">
      <w:pPr>
        <w:shd w:val="clear" w:color="auto" w:fill="FFFFFF"/>
        <w:spacing w:line="360" w:lineRule="atLeast"/>
        <w:ind w:firstLine="708"/>
        <w:jc w:val="both"/>
        <w:rPr>
          <w:rFonts w:ascii="Arial Narrow" w:hAnsi="Arial Narrow" w:cs="Tahoma"/>
          <w:b/>
          <w:bCs/>
          <w:color w:val="000000"/>
          <w:sz w:val="28"/>
          <w:szCs w:val="28"/>
          <w:lang w:eastAsia="es-CO"/>
        </w:rPr>
      </w:pPr>
      <w:r w:rsidRPr="00291C1A">
        <w:rPr>
          <w:rFonts w:ascii="Arial Narrow" w:hAnsi="Arial Narrow" w:cs="Tahoma"/>
          <w:b/>
          <w:bCs/>
          <w:color w:val="000000"/>
          <w:sz w:val="28"/>
          <w:szCs w:val="28"/>
          <w:lang w:eastAsia="es-CO"/>
        </w:rPr>
        <w:t>IDENTIFICACIÓN DE LOS PRESENTES:</w:t>
      </w:r>
    </w:p>
    <w:p w:rsidR="00E4081B" w:rsidRPr="00715831" w:rsidRDefault="00E4081B" w:rsidP="00715831">
      <w:pPr>
        <w:pStyle w:val="Sinespaciado"/>
      </w:pPr>
    </w:p>
    <w:p w:rsidR="00E4081B" w:rsidRPr="00291C1A" w:rsidRDefault="00E4081B" w:rsidP="00E4081B">
      <w:pPr>
        <w:shd w:val="clear" w:color="auto" w:fill="FFFFFF"/>
        <w:spacing w:line="360" w:lineRule="atLeast"/>
        <w:ind w:firstLine="708"/>
        <w:jc w:val="both"/>
        <w:rPr>
          <w:rFonts w:ascii="Arial Narrow" w:hAnsi="Arial Narrow" w:cs="Tahoma"/>
          <w:b/>
          <w:bCs/>
          <w:i/>
          <w:color w:val="000000"/>
          <w:sz w:val="28"/>
          <w:szCs w:val="28"/>
          <w:lang w:eastAsia="es-CO"/>
        </w:rPr>
      </w:pPr>
      <w:r w:rsidRPr="00291C1A">
        <w:rPr>
          <w:rFonts w:ascii="Arial Narrow" w:hAnsi="Arial Narrow" w:cs="Tahoma"/>
          <w:b/>
          <w:bCs/>
          <w:i/>
          <w:color w:val="000000"/>
          <w:sz w:val="28"/>
          <w:szCs w:val="28"/>
          <w:lang w:eastAsia="es-CO"/>
        </w:rPr>
        <w:t xml:space="preserve">INTRODUCCIÓN </w:t>
      </w:r>
    </w:p>
    <w:p w:rsidR="00E4081B" w:rsidRPr="00715831" w:rsidRDefault="00E4081B" w:rsidP="00715831">
      <w:pPr>
        <w:pStyle w:val="Sinespaciado"/>
      </w:pPr>
    </w:p>
    <w:p w:rsidR="009C4988" w:rsidRPr="00291C1A" w:rsidRDefault="00E4081B" w:rsidP="009C4988">
      <w:pPr>
        <w:spacing w:line="360" w:lineRule="auto"/>
        <w:ind w:firstLine="900"/>
        <w:jc w:val="both"/>
        <w:rPr>
          <w:rFonts w:ascii="Arial Narrow" w:hAnsi="Arial Narrow" w:cs="Tahoma"/>
          <w:sz w:val="28"/>
          <w:szCs w:val="28"/>
          <w:lang w:eastAsia="it-IT"/>
        </w:rPr>
      </w:pPr>
      <w:r w:rsidRPr="00291C1A">
        <w:rPr>
          <w:rFonts w:ascii="Arial Narrow" w:hAnsi="Arial Narrow" w:cs="Tahoma"/>
          <w:sz w:val="28"/>
          <w:szCs w:val="28"/>
        </w:rPr>
        <w:t xml:space="preserve">Antes de que procedan los asistentes a descorrer el traslado para alegar en esta instancia, conforme a las voces del artículo 13 de la Ley 1149 de 2007, se tiene que el demandante pretende que se ordene a la Administradora Colombiana de Pensiones </w:t>
      </w:r>
      <w:proofErr w:type="spellStart"/>
      <w:r w:rsidRPr="00291C1A">
        <w:rPr>
          <w:rFonts w:ascii="Arial Narrow" w:hAnsi="Arial Narrow" w:cs="Tahoma"/>
          <w:sz w:val="28"/>
          <w:szCs w:val="28"/>
        </w:rPr>
        <w:t>Colpensiones</w:t>
      </w:r>
      <w:proofErr w:type="spellEnd"/>
      <w:r w:rsidRPr="00291C1A">
        <w:rPr>
          <w:rFonts w:ascii="Arial Narrow" w:hAnsi="Arial Narrow" w:cs="Tahoma"/>
          <w:sz w:val="28"/>
          <w:szCs w:val="28"/>
        </w:rPr>
        <w:t xml:space="preserve"> a </w:t>
      </w:r>
      <w:proofErr w:type="spellStart"/>
      <w:r w:rsidRPr="00291C1A">
        <w:rPr>
          <w:rFonts w:ascii="Arial Narrow" w:hAnsi="Arial Narrow" w:cs="Tahoma"/>
          <w:sz w:val="28"/>
          <w:szCs w:val="28"/>
        </w:rPr>
        <w:t>reliquidar</w:t>
      </w:r>
      <w:proofErr w:type="spellEnd"/>
      <w:r w:rsidRPr="00291C1A">
        <w:rPr>
          <w:rFonts w:ascii="Arial Narrow" w:hAnsi="Arial Narrow" w:cs="Tahoma"/>
          <w:sz w:val="28"/>
          <w:szCs w:val="28"/>
        </w:rPr>
        <w:t xml:space="preserve"> </w:t>
      </w:r>
      <w:r w:rsidR="009C4988" w:rsidRPr="00291C1A">
        <w:rPr>
          <w:rFonts w:ascii="Arial Narrow" w:hAnsi="Arial Narrow" w:cs="Tahoma"/>
          <w:sz w:val="28"/>
          <w:szCs w:val="28"/>
        </w:rPr>
        <w:t xml:space="preserve">el IBL de </w:t>
      </w:r>
      <w:r w:rsidRPr="00291C1A">
        <w:rPr>
          <w:rFonts w:ascii="Arial Narrow" w:hAnsi="Arial Narrow" w:cs="Tahoma"/>
          <w:sz w:val="28"/>
          <w:szCs w:val="28"/>
        </w:rPr>
        <w:t>la pensión de vejez que le fue reco</w:t>
      </w:r>
      <w:r w:rsidR="009C4988" w:rsidRPr="00291C1A">
        <w:rPr>
          <w:rFonts w:ascii="Arial Narrow" w:hAnsi="Arial Narrow" w:cs="Tahoma"/>
          <w:sz w:val="28"/>
          <w:szCs w:val="28"/>
        </w:rPr>
        <w:t>nocida mediante  Resolución No.</w:t>
      </w:r>
      <w:r w:rsidRPr="00291C1A">
        <w:rPr>
          <w:rFonts w:ascii="Arial Narrow" w:hAnsi="Arial Narrow" w:cs="Tahoma"/>
          <w:sz w:val="28"/>
          <w:szCs w:val="28"/>
        </w:rPr>
        <w:t>103190</w:t>
      </w:r>
      <w:r w:rsidR="009C4988" w:rsidRPr="00291C1A">
        <w:rPr>
          <w:rFonts w:ascii="Arial Narrow" w:hAnsi="Arial Narrow" w:cs="Tahoma"/>
          <w:sz w:val="28"/>
          <w:szCs w:val="28"/>
        </w:rPr>
        <w:t xml:space="preserve"> </w:t>
      </w:r>
      <w:r w:rsidRPr="00291C1A">
        <w:rPr>
          <w:rFonts w:ascii="Arial Narrow" w:hAnsi="Arial Narrow" w:cs="Tahoma"/>
          <w:sz w:val="28"/>
          <w:szCs w:val="28"/>
        </w:rPr>
        <w:t xml:space="preserve">del </w:t>
      </w:r>
      <w:r w:rsidR="009C4988" w:rsidRPr="00291C1A">
        <w:rPr>
          <w:rFonts w:ascii="Arial Narrow" w:hAnsi="Arial Narrow" w:cs="Tahoma"/>
          <w:sz w:val="28"/>
          <w:szCs w:val="28"/>
        </w:rPr>
        <w:t>13 de junio de 2011</w:t>
      </w:r>
      <w:r w:rsidRPr="00291C1A">
        <w:rPr>
          <w:rFonts w:ascii="Arial Narrow" w:hAnsi="Arial Narrow" w:cs="Tahoma"/>
          <w:sz w:val="28"/>
          <w:szCs w:val="28"/>
        </w:rPr>
        <w:t xml:space="preserve">, </w:t>
      </w:r>
      <w:r w:rsidR="009C4988" w:rsidRPr="00291C1A">
        <w:rPr>
          <w:rFonts w:ascii="Arial Narrow" w:hAnsi="Arial Narrow" w:cs="Tahoma"/>
          <w:sz w:val="28"/>
          <w:szCs w:val="28"/>
        </w:rPr>
        <w:t xml:space="preserve">con </w:t>
      </w:r>
      <w:r w:rsidR="009C4988" w:rsidRPr="00291C1A">
        <w:rPr>
          <w:rFonts w:ascii="Arial Narrow" w:hAnsi="Arial Narrow" w:cs="Tahoma"/>
          <w:sz w:val="28"/>
          <w:szCs w:val="28"/>
          <w:lang w:val="es-CO"/>
        </w:rPr>
        <w:t xml:space="preserve">el promedio de lo devengado en los últimos diez años, con una tasa de remplazo del 90 </w:t>
      </w:r>
      <w:r w:rsidR="009C4988" w:rsidRPr="00291C1A">
        <w:rPr>
          <w:rFonts w:ascii="Arial Narrow" w:hAnsi="Arial Narrow" w:cs="Tahoma"/>
          <w:sz w:val="28"/>
          <w:szCs w:val="28"/>
        </w:rPr>
        <w:t>y se ordene el pago de la diferencia pensional, junto con la indexación y las costas procesales.</w:t>
      </w:r>
    </w:p>
    <w:p w:rsidR="00E4081B" w:rsidRPr="00715831" w:rsidRDefault="00E4081B" w:rsidP="00715831">
      <w:pPr>
        <w:pStyle w:val="Sinespaciado"/>
      </w:pPr>
    </w:p>
    <w:p w:rsidR="009C4988" w:rsidRPr="00291C1A" w:rsidRDefault="00E4081B" w:rsidP="00E4081B">
      <w:pPr>
        <w:spacing w:line="360" w:lineRule="auto"/>
        <w:ind w:firstLine="708"/>
        <w:jc w:val="both"/>
        <w:rPr>
          <w:rFonts w:ascii="Arial Narrow" w:hAnsi="Arial Narrow" w:cs="Tahoma"/>
          <w:color w:val="000000"/>
          <w:sz w:val="28"/>
          <w:szCs w:val="28"/>
          <w:lang w:eastAsia="es-CO"/>
        </w:rPr>
      </w:pPr>
      <w:r w:rsidRPr="00291C1A">
        <w:rPr>
          <w:rFonts w:ascii="Arial Narrow" w:hAnsi="Arial Narrow" w:cs="Tahoma"/>
          <w:color w:val="000000"/>
          <w:sz w:val="28"/>
          <w:szCs w:val="28"/>
          <w:lang w:eastAsia="es-CO"/>
        </w:rPr>
        <w:t xml:space="preserve">Fundamenta sus pedimentos, básicamente en que, </w:t>
      </w:r>
      <w:r w:rsidR="009C4988" w:rsidRPr="00291C1A">
        <w:rPr>
          <w:rFonts w:ascii="Arial Narrow" w:hAnsi="Arial Narrow" w:cs="Tahoma"/>
          <w:color w:val="000000"/>
          <w:sz w:val="28"/>
          <w:szCs w:val="28"/>
          <w:lang w:eastAsia="es-CO"/>
        </w:rPr>
        <w:t xml:space="preserve">el 16 de marzo de 2011 presentó la solicitud pensional ante la entidad de seguridad social, la cual fue resuelta </w:t>
      </w:r>
      <w:r w:rsidR="009C4988" w:rsidRPr="00291C1A">
        <w:rPr>
          <w:rFonts w:ascii="Arial Narrow" w:hAnsi="Arial Narrow" w:cs="Tahoma"/>
          <w:color w:val="000000"/>
          <w:sz w:val="28"/>
          <w:szCs w:val="28"/>
          <w:lang w:eastAsia="es-CO"/>
        </w:rPr>
        <w:lastRenderedPageBreak/>
        <w:t>a través de la Resolución No. 103190 del 13 de junio de 2011, reconociendo la prestación económica a partir del 15 de marzo de 2011, con fundamento en el Acuerdo 049 de 1990, aprobado por el Decreto 758 del mismo año, dada la calidad de beneficiario del régimen de transición que ostenta; que la liquidación se basó en 1365 semanas</w:t>
      </w:r>
      <w:r w:rsidR="00AF56C9" w:rsidRPr="00291C1A">
        <w:rPr>
          <w:rFonts w:ascii="Arial Narrow" w:hAnsi="Arial Narrow" w:cs="Tahoma"/>
          <w:color w:val="000000"/>
          <w:sz w:val="28"/>
          <w:szCs w:val="28"/>
          <w:lang w:eastAsia="es-CO"/>
        </w:rPr>
        <w:t>,</w:t>
      </w:r>
      <w:r w:rsidR="009C4988" w:rsidRPr="00291C1A">
        <w:rPr>
          <w:rFonts w:ascii="Arial Narrow" w:hAnsi="Arial Narrow" w:cs="Tahoma"/>
          <w:color w:val="000000"/>
          <w:sz w:val="28"/>
          <w:szCs w:val="28"/>
          <w:lang w:eastAsia="es-CO"/>
        </w:rPr>
        <w:t xml:space="preserve"> </w:t>
      </w:r>
      <w:r w:rsidR="00AF56C9" w:rsidRPr="00291C1A">
        <w:rPr>
          <w:rFonts w:ascii="Arial Narrow" w:hAnsi="Arial Narrow" w:cs="Tahoma"/>
          <w:color w:val="000000"/>
          <w:sz w:val="28"/>
          <w:szCs w:val="28"/>
          <w:lang w:eastAsia="es-CO"/>
        </w:rPr>
        <w:t xml:space="preserve">con </w:t>
      </w:r>
      <w:r w:rsidR="009C4988" w:rsidRPr="00291C1A">
        <w:rPr>
          <w:rFonts w:ascii="Arial Narrow" w:hAnsi="Arial Narrow" w:cs="Tahoma"/>
          <w:color w:val="000000"/>
          <w:sz w:val="28"/>
          <w:szCs w:val="28"/>
          <w:lang w:eastAsia="es-CO"/>
        </w:rPr>
        <w:t xml:space="preserve">un IBL de $5`243.628 al cual se aplicó una tasa de remplazo del 90%, </w:t>
      </w:r>
      <w:r w:rsidR="00AF56C9" w:rsidRPr="00291C1A">
        <w:rPr>
          <w:rFonts w:ascii="Arial Narrow" w:hAnsi="Arial Narrow" w:cs="Tahoma"/>
          <w:color w:val="000000"/>
          <w:sz w:val="28"/>
          <w:szCs w:val="28"/>
          <w:lang w:eastAsia="es-CO"/>
        </w:rPr>
        <w:t>resultando una primera mesada pensional de $4`719.265; y que el 28 de noviembre de 2011 solicitó la reliquidación de la pensión y que la misma fue resuelta desfavorablemente mediante Resolución No. 2012-1068363.</w:t>
      </w:r>
    </w:p>
    <w:p w:rsidR="00E4081B" w:rsidRPr="00715831" w:rsidRDefault="00E4081B" w:rsidP="00715831">
      <w:pPr>
        <w:pStyle w:val="Sinespaciado"/>
      </w:pPr>
    </w:p>
    <w:p w:rsidR="00E4081B" w:rsidRPr="00291C1A" w:rsidRDefault="00E4081B" w:rsidP="00E4081B">
      <w:pPr>
        <w:shd w:val="clear" w:color="auto" w:fill="FFFFFF"/>
        <w:spacing w:line="360" w:lineRule="auto"/>
        <w:ind w:firstLine="708"/>
        <w:jc w:val="both"/>
        <w:rPr>
          <w:rFonts w:ascii="Arial Narrow" w:hAnsi="Arial Narrow" w:cs="Tahoma"/>
          <w:sz w:val="28"/>
          <w:szCs w:val="28"/>
        </w:rPr>
      </w:pPr>
      <w:r w:rsidRPr="00291C1A">
        <w:rPr>
          <w:rFonts w:ascii="Arial Narrow" w:hAnsi="Arial Narrow" w:cs="Tahoma"/>
          <w:color w:val="000000"/>
          <w:sz w:val="28"/>
          <w:szCs w:val="28"/>
          <w:lang w:eastAsia="es-CO"/>
        </w:rPr>
        <w:t xml:space="preserve">La entidad citada al proceso, aceptó los hechos relacionados con </w:t>
      </w:r>
      <w:r w:rsidR="00AF56C9" w:rsidRPr="00291C1A">
        <w:rPr>
          <w:rFonts w:ascii="Arial Narrow" w:hAnsi="Arial Narrow" w:cs="Tahoma"/>
          <w:color w:val="000000"/>
          <w:sz w:val="28"/>
          <w:szCs w:val="28"/>
          <w:lang w:eastAsia="es-CO"/>
        </w:rPr>
        <w:t xml:space="preserve">la fecha de natalicio del actor, la </w:t>
      </w:r>
      <w:r w:rsidRPr="00291C1A">
        <w:rPr>
          <w:rFonts w:ascii="Arial Narrow" w:hAnsi="Arial Narrow" w:cs="Tahoma"/>
          <w:color w:val="000000"/>
          <w:sz w:val="28"/>
          <w:szCs w:val="28"/>
          <w:lang w:eastAsia="es-CO"/>
        </w:rPr>
        <w:t>calidad de pensionad</w:t>
      </w:r>
      <w:r w:rsidR="00AF56C9" w:rsidRPr="00291C1A">
        <w:rPr>
          <w:rFonts w:ascii="Arial Narrow" w:hAnsi="Arial Narrow" w:cs="Tahoma"/>
          <w:color w:val="000000"/>
          <w:sz w:val="28"/>
          <w:szCs w:val="28"/>
          <w:lang w:eastAsia="es-CO"/>
        </w:rPr>
        <w:t>o, el monto de la prestación pensional y la petición de reliquidación</w:t>
      </w:r>
      <w:r w:rsidRPr="00291C1A">
        <w:rPr>
          <w:rFonts w:ascii="Arial Narrow" w:hAnsi="Arial Narrow" w:cs="Tahoma"/>
          <w:color w:val="000000"/>
          <w:sz w:val="28"/>
          <w:szCs w:val="28"/>
          <w:lang w:eastAsia="es-CO"/>
        </w:rPr>
        <w:t xml:space="preserve">.  Se opuso a las pretensiones de la demanda </w:t>
      </w:r>
      <w:r w:rsidR="00AF56C9" w:rsidRPr="00291C1A">
        <w:rPr>
          <w:rFonts w:ascii="Arial Narrow" w:hAnsi="Arial Narrow" w:cs="Tahoma"/>
          <w:color w:val="000000"/>
          <w:sz w:val="28"/>
          <w:szCs w:val="28"/>
          <w:lang w:eastAsia="es-CO"/>
        </w:rPr>
        <w:t xml:space="preserve">y en defensa de sus intereses </w:t>
      </w:r>
      <w:r w:rsidRPr="00291C1A">
        <w:rPr>
          <w:rFonts w:ascii="Arial Narrow" w:hAnsi="Arial Narrow" w:cs="Tahoma"/>
          <w:color w:val="000000"/>
          <w:sz w:val="28"/>
          <w:szCs w:val="28"/>
          <w:lang w:eastAsia="es-CO"/>
        </w:rPr>
        <w:t xml:space="preserve">invocó como medios exceptivos los de </w:t>
      </w:r>
      <w:r w:rsidRPr="00291C1A">
        <w:rPr>
          <w:rFonts w:ascii="Arial Narrow" w:hAnsi="Arial Narrow" w:cs="Tahoma"/>
          <w:i/>
          <w:sz w:val="28"/>
          <w:szCs w:val="28"/>
        </w:rPr>
        <w:t xml:space="preserve">“Inexistencia de la obligación demandada” </w:t>
      </w:r>
      <w:r w:rsidRPr="00291C1A">
        <w:rPr>
          <w:rFonts w:ascii="Arial Narrow" w:hAnsi="Arial Narrow" w:cs="Tahoma"/>
          <w:sz w:val="28"/>
          <w:szCs w:val="28"/>
        </w:rPr>
        <w:t xml:space="preserve">y </w:t>
      </w:r>
      <w:r w:rsidRPr="00291C1A">
        <w:rPr>
          <w:rFonts w:ascii="Arial Narrow" w:hAnsi="Arial Narrow" w:cs="Tahoma"/>
          <w:i/>
          <w:sz w:val="28"/>
          <w:szCs w:val="28"/>
        </w:rPr>
        <w:t>“Prescripción”.</w:t>
      </w:r>
    </w:p>
    <w:p w:rsidR="00E4081B" w:rsidRPr="00715831" w:rsidRDefault="00E4081B" w:rsidP="00715831">
      <w:pPr>
        <w:pStyle w:val="Sinespaciado"/>
      </w:pPr>
    </w:p>
    <w:p w:rsidR="00537709" w:rsidRPr="00291C1A" w:rsidRDefault="00E4081B" w:rsidP="00BB42E4">
      <w:pPr>
        <w:tabs>
          <w:tab w:val="left" w:pos="709"/>
          <w:tab w:val="left" w:pos="8647"/>
        </w:tabs>
        <w:spacing w:line="360" w:lineRule="auto"/>
        <w:ind w:right="191" w:firstLine="709"/>
        <w:jc w:val="both"/>
        <w:rPr>
          <w:rFonts w:ascii="Arial Narrow" w:hAnsi="Arial Narrow" w:cs="Tahoma"/>
          <w:color w:val="000000"/>
          <w:sz w:val="28"/>
          <w:szCs w:val="28"/>
          <w:lang w:eastAsia="es-CO"/>
        </w:rPr>
      </w:pPr>
      <w:r w:rsidRPr="00291C1A">
        <w:rPr>
          <w:rFonts w:ascii="Arial Narrow" w:hAnsi="Arial Narrow" w:cs="Tahoma"/>
          <w:color w:val="000000"/>
          <w:sz w:val="28"/>
          <w:szCs w:val="28"/>
          <w:lang w:eastAsia="es-CO"/>
        </w:rPr>
        <w:t xml:space="preserve">Tramitada la primera instancia, el Juzgado </w:t>
      </w:r>
      <w:r w:rsidR="001A012C" w:rsidRPr="00291C1A">
        <w:rPr>
          <w:rFonts w:ascii="Arial Narrow" w:hAnsi="Arial Narrow" w:cs="Tahoma"/>
          <w:color w:val="000000"/>
          <w:sz w:val="28"/>
          <w:szCs w:val="28"/>
          <w:lang w:eastAsia="es-CO"/>
        </w:rPr>
        <w:t xml:space="preserve">Cuarto </w:t>
      </w:r>
      <w:r w:rsidRPr="00291C1A">
        <w:rPr>
          <w:rFonts w:ascii="Arial Narrow" w:hAnsi="Arial Narrow" w:cs="Tahoma"/>
          <w:color w:val="000000"/>
          <w:sz w:val="28"/>
          <w:szCs w:val="28"/>
          <w:lang w:eastAsia="es-CO"/>
        </w:rPr>
        <w:t xml:space="preserve">Laboral del Circuito de Pereira, profirió fallo en el que accedió </w:t>
      </w:r>
      <w:r w:rsidR="00AE40F1" w:rsidRPr="00291C1A">
        <w:rPr>
          <w:rFonts w:ascii="Arial Narrow" w:hAnsi="Arial Narrow" w:cs="Tahoma"/>
          <w:color w:val="000000"/>
          <w:sz w:val="28"/>
          <w:szCs w:val="28"/>
          <w:lang w:eastAsia="es-CO"/>
        </w:rPr>
        <w:t xml:space="preserve">parcialmente a </w:t>
      </w:r>
      <w:r w:rsidRPr="00291C1A">
        <w:rPr>
          <w:rFonts w:ascii="Arial Narrow" w:hAnsi="Arial Narrow" w:cs="Tahoma"/>
          <w:color w:val="000000"/>
          <w:sz w:val="28"/>
          <w:szCs w:val="28"/>
          <w:lang w:eastAsia="es-CO"/>
        </w:rPr>
        <w:t>las pretensiones de la demanda, reconociendo</w:t>
      </w:r>
      <w:r w:rsidR="001A012C" w:rsidRPr="00291C1A">
        <w:rPr>
          <w:rFonts w:ascii="Arial Narrow" w:hAnsi="Arial Narrow" w:cs="Tahoma"/>
          <w:color w:val="000000"/>
          <w:sz w:val="28"/>
          <w:szCs w:val="28"/>
          <w:lang w:eastAsia="es-CO"/>
        </w:rPr>
        <w:t xml:space="preserve"> que el actor tiene </w:t>
      </w:r>
      <w:r w:rsidRPr="00291C1A">
        <w:rPr>
          <w:rFonts w:ascii="Arial Narrow" w:hAnsi="Arial Narrow" w:cs="Tahoma"/>
          <w:color w:val="000000"/>
          <w:sz w:val="28"/>
          <w:szCs w:val="28"/>
          <w:lang w:eastAsia="es-CO"/>
        </w:rPr>
        <w:t>derecho a la reliq</w:t>
      </w:r>
      <w:r w:rsidR="001A012C" w:rsidRPr="00291C1A">
        <w:rPr>
          <w:rFonts w:ascii="Arial Narrow" w:hAnsi="Arial Narrow" w:cs="Tahoma"/>
          <w:color w:val="000000"/>
          <w:sz w:val="28"/>
          <w:szCs w:val="28"/>
          <w:lang w:eastAsia="es-CO"/>
        </w:rPr>
        <w:t>uidación de la pensión de vejez, en cuantía de $</w:t>
      </w:r>
      <w:r w:rsidR="00AE40F1" w:rsidRPr="00291C1A">
        <w:rPr>
          <w:rFonts w:ascii="Arial Narrow" w:hAnsi="Arial Narrow" w:cs="Tahoma"/>
          <w:color w:val="000000"/>
          <w:sz w:val="28"/>
          <w:szCs w:val="28"/>
          <w:lang w:eastAsia="es-CO"/>
        </w:rPr>
        <w:t>4`734.692</w:t>
      </w:r>
      <w:r w:rsidR="00537709" w:rsidRPr="00291C1A">
        <w:rPr>
          <w:rFonts w:ascii="Arial Narrow" w:hAnsi="Arial Narrow" w:cs="Tahoma"/>
          <w:color w:val="000000"/>
          <w:sz w:val="28"/>
          <w:szCs w:val="28"/>
          <w:lang w:eastAsia="es-CO"/>
        </w:rPr>
        <w:t>,93 para el año 2011</w:t>
      </w:r>
      <w:r w:rsidR="001A012C" w:rsidRPr="00291C1A">
        <w:rPr>
          <w:rFonts w:ascii="Arial Narrow" w:hAnsi="Arial Narrow" w:cs="Tahoma"/>
          <w:color w:val="000000"/>
          <w:sz w:val="28"/>
          <w:szCs w:val="28"/>
          <w:lang w:eastAsia="es-CO"/>
        </w:rPr>
        <w:t xml:space="preserve">, que se </w:t>
      </w:r>
      <w:r w:rsidR="00AE40F1" w:rsidRPr="00291C1A">
        <w:rPr>
          <w:rFonts w:ascii="Arial Narrow" w:hAnsi="Arial Narrow" w:cs="Tahoma"/>
          <w:color w:val="000000"/>
          <w:sz w:val="28"/>
          <w:szCs w:val="28"/>
          <w:lang w:eastAsia="es-CO"/>
        </w:rPr>
        <w:t xml:space="preserve">tiene de </w:t>
      </w:r>
      <w:r w:rsidR="001A012C" w:rsidRPr="00291C1A">
        <w:rPr>
          <w:rFonts w:ascii="Arial Narrow" w:hAnsi="Arial Narrow" w:cs="Tahoma"/>
          <w:color w:val="000000"/>
          <w:sz w:val="28"/>
          <w:szCs w:val="28"/>
          <w:lang w:eastAsia="es-CO"/>
        </w:rPr>
        <w:t>obtener un IBL de $</w:t>
      </w:r>
      <w:r w:rsidR="00AE40F1" w:rsidRPr="00291C1A">
        <w:rPr>
          <w:rFonts w:ascii="Arial Narrow" w:hAnsi="Arial Narrow" w:cs="Tahoma"/>
          <w:color w:val="000000"/>
          <w:sz w:val="28"/>
          <w:szCs w:val="28"/>
          <w:lang w:eastAsia="es-CO"/>
        </w:rPr>
        <w:t>5`260.76</w:t>
      </w:r>
      <w:r w:rsidR="00537709" w:rsidRPr="00291C1A">
        <w:rPr>
          <w:rFonts w:ascii="Arial Narrow" w:hAnsi="Arial Narrow" w:cs="Tahoma"/>
          <w:color w:val="000000"/>
          <w:sz w:val="28"/>
          <w:szCs w:val="28"/>
          <w:lang w:eastAsia="es-CO"/>
        </w:rPr>
        <w:t>9 y aplicar una tasa de remplazo del 90 %.</w:t>
      </w:r>
      <w:r w:rsidR="00D55F07" w:rsidRPr="00291C1A">
        <w:rPr>
          <w:rFonts w:ascii="Arial Narrow" w:hAnsi="Arial Narrow" w:cs="Tahoma"/>
          <w:color w:val="000000"/>
          <w:sz w:val="28"/>
          <w:szCs w:val="28"/>
          <w:lang w:eastAsia="es-CO"/>
        </w:rPr>
        <w:t xml:space="preserve"> Declaró que la mesada pensional para el año 2015 alcanza un valor de 5`316.448 y c</w:t>
      </w:r>
      <w:r w:rsidR="00537709" w:rsidRPr="00291C1A">
        <w:rPr>
          <w:rFonts w:ascii="Arial Narrow" w:hAnsi="Arial Narrow" w:cs="Tahoma"/>
          <w:color w:val="000000"/>
          <w:sz w:val="28"/>
          <w:szCs w:val="28"/>
          <w:lang w:eastAsia="es-CO"/>
        </w:rPr>
        <w:t>ondenó a la entidad demandada al pago de $</w:t>
      </w:r>
      <w:r w:rsidR="00F770A4" w:rsidRPr="00291C1A">
        <w:rPr>
          <w:rFonts w:ascii="Arial Narrow" w:hAnsi="Arial Narrow" w:cs="Tahoma"/>
          <w:color w:val="000000"/>
          <w:sz w:val="28"/>
          <w:szCs w:val="28"/>
          <w:lang w:eastAsia="es-CO"/>
        </w:rPr>
        <w:t>909.402</w:t>
      </w:r>
      <w:r w:rsidR="00537709" w:rsidRPr="00291C1A">
        <w:rPr>
          <w:rFonts w:ascii="Arial Narrow" w:hAnsi="Arial Narrow" w:cs="Tahoma"/>
          <w:color w:val="000000"/>
          <w:sz w:val="28"/>
          <w:szCs w:val="28"/>
          <w:lang w:eastAsia="es-CO"/>
        </w:rPr>
        <w:t xml:space="preserve">, por concepto de diferencia pensional </w:t>
      </w:r>
      <w:r w:rsidR="00F770A4" w:rsidRPr="00291C1A">
        <w:rPr>
          <w:rFonts w:ascii="Arial Narrow" w:hAnsi="Arial Narrow" w:cs="Tahoma"/>
          <w:color w:val="000000"/>
          <w:sz w:val="28"/>
          <w:szCs w:val="28"/>
          <w:lang w:eastAsia="es-CO"/>
        </w:rPr>
        <w:t>causada</w:t>
      </w:r>
      <w:r w:rsidR="00BB42E4" w:rsidRPr="00291C1A">
        <w:rPr>
          <w:rFonts w:ascii="Arial Narrow" w:hAnsi="Arial Narrow" w:cs="Tahoma"/>
          <w:color w:val="000000"/>
          <w:sz w:val="28"/>
          <w:szCs w:val="28"/>
          <w:lang w:eastAsia="es-CO"/>
        </w:rPr>
        <w:t xml:space="preserve"> desde el 15 de marzo de 2011 al 15 de marzo de 2015, </w:t>
      </w:r>
      <w:r w:rsidR="00D55F07" w:rsidRPr="00291C1A">
        <w:rPr>
          <w:rFonts w:ascii="Arial Narrow" w:hAnsi="Arial Narrow" w:cs="Tahoma"/>
          <w:color w:val="000000"/>
          <w:sz w:val="28"/>
          <w:szCs w:val="28"/>
          <w:lang w:eastAsia="es-CO"/>
        </w:rPr>
        <w:t xml:space="preserve">debidamente indexada. </w:t>
      </w:r>
    </w:p>
    <w:p w:rsidR="00537709" w:rsidRPr="00715831" w:rsidRDefault="00537709" w:rsidP="00715831">
      <w:pPr>
        <w:pStyle w:val="Sinespaciado"/>
      </w:pPr>
    </w:p>
    <w:p w:rsidR="003A2E75" w:rsidRPr="00291C1A" w:rsidRDefault="00D55F07" w:rsidP="00E4081B">
      <w:pPr>
        <w:tabs>
          <w:tab w:val="left" w:pos="709"/>
          <w:tab w:val="left" w:pos="8647"/>
        </w:tabs>
        <w:spacing w:line="360" w:lineRule="auto"/>
        <w:ind w:right="191" w:firstLine="709"/>
        <w:jc w:val="both"/>
        <w:rPr>
          <w:rFonts w:ascii="Arial Narrow" w:hAnsi="Arial Narrow" w:cs="Tahoma"/>
          <w:color w:val="000000"/>
          <w:sz w:val="28"/>
          <w:szCs w:val="28"/>
          <w:lang w:eastAsia="es-CO"/>
        </w:rPr>
      </w:pPr>
      <w:r w:rsidRPr="00291C1A">
        <w:rPr>
          <w:rFonts w:ascii="Arial Narrow" w:hAnsi="Arial Narrow" w:cs="Tahoma"/>
          <w:color w:val="000000"/>
          <w:sz w:val="28"/>
          <w:szCs w:val="28"/>
          <w:lang w:eastAsia="es-CO"/>
        </w:rPr>
        <w:t xml:space="preserve">Inconforme con la </w:t>
      </w:r>
      <w:r w:rsidR="003A2E75" w:rsidRPr="00291C1A">
        <w:rPr>
          <w:rFonts w:ascii="Arial Narrow" w:hAnsi="Arial Narrow" w:cs="Tahoma"/>
          <w:color w:val="000000"/>
          <w:sz w:val="28"/>
          <w:szCs w:val="28"/>
          <w:lang w:eastAsia="es-CO"/>
        </w:rPr>
        <w:t>anterior determinación</w:t>
      </w:r>
      <w:r w:rsidRPr="00291C1A">
        <w:rPr>
          <w:rFonts w:ascii="Arial Narrow" w:hAnsi="Arial Narrow" w:cs="Tahoma"/>
          <w:color w:val="000000"/>
          <w:sz w:val="28"/>
          <w:szCs w:val="28"/>
          <w:lang w:eastAsia="es-CO"/>
        </w:rPr>
        <w:t xml:space="preserve">, se alzó la parte demandante en orden a que </w:t>
      </w:r>
      <w:r w:rsidR="00DF6D84" w:rsidRPr="00291C1A">
        <w:rPr>
          <w:rFonts w:ascii="Arial Narrow" w:hAnsi="Arial Narrow" w:cs="Tahoma"/>
          <w:color w:val="000000"/>
          <w:sz w:val="28"/>
          <w:szCs w:val="28"/>
          <w:lang w:eastAsia="es-CO"/>
        </w:rPr>
        <w:t xml:space="preserve">esta segunda instancia </w:t>
      </w:r>
      <w:r w:rsidRPr="00291C1A">
        <w:rPr>
          <w:rFonts w:ascii="Arial Narrow" w:hAnsi="Arial Narrow" w:cs="Tahoma"/>
          <w:color w:val="000000"/>
          <w:sz w:val="28"/>
          <w:szCs w:val="28"/>
          <w:lang w:eastAsia="es-CO"/>
        </w:rPr>
        <w:t xml:space="preserve">revise la liquidación efectuada por la Jueza a-quo, por cuanto existen </w:t>
      </w:r>
      <w:r w:rsidR="0031674F" w:rsidRPr="00291C1A">
        <w:rPr>
          <w:rFonts w:ascii="Arial Narrow" w:hAnsi="Arial Narrow" w:cs="Tahoma"/>
          <w:color w:val="000000"/>
          <w:sz w:val="28"/>
          <w:szCs w:val="28"/>
          <w:lang w:eastAsia="es-CO"/>
        </w:rPr>
        <w:t>inconsistencias respecto de</w:t>
      </w:r>
      <w:r w:rsidR="003A2E75" w:rsidRPr="00291C1A">
        <w:rPr>
          <w:rFonts w:ascii="Arial Narrow" w:hAnsi="Arial Narrow" w:cs="Tahoma"/>
          <w:color w:val="000000"/>
          <w:sz w:val="28"/>
          <w:szCs w:val="28"/>
          <w:lang w:eastAsia="es-CO"/>
        </w:rPr>
        <w:t xml:space="preserve"> la liquidación aportada en la demanda en cuanto</w:t>
      </w:r>
      <w:r w:rsidRPr="00291C1A">
        <w:rPr>
          <w:rFonts w:ascii="Arial Narrow" w:hAnsi="Arial Narrow" w:cs="Tahoma"/>
          <w:color w:val="000000"/>
          <w:sz w:val="28"/>
          <w:szCs w:val="28"/>
          <w:lang w:eastAsia="es-CO"/>
        </w:rPr>
        <w:t xml:space="preserve"> al número de </w:t>
      </w:r>
      <w:r w:rsidR="0031674F" w:rsidRPr="00291C1A">
        <w:rPr>
          <w:rFonts w:ascii="Arial Narrow" w:hAnsi="Arial Narrow" w:cs="Tahoma"/>
          <w:color w:val="000000"/>
          <w:sz w:val="28"/>
          <w:szCs w:val="28"/>
          <w:lang w:eastAsia="es-CO"/>
        </w:rPr>
        <w:t xml:space="preserve">días, pues debió efectuarse con </w:t>
      </w:r>
      <w:r w:rsidR="00277DB9" w:rsidRPr="00291C1A">
        <w:rPr>
          <w:rFonts w:ascii="Arial Narrow" w:hAnsi="Arial Narrow" w:cs="Tahoma"/>
          <w:color w:val="000000"/>
          <w:sz w:val="28"/>
          <w:szCs w:val="28"/>
          <w:lang w:eastAsia="es-CO"/>
        </w:rPr>
        <w:t xml:space="preserve">base en </w:t>
      </w:r>
      <w:r w:rsidR="0031674F" w:rsidRPr="00291C1A">
        <w:rPr>
          <w:rFonts w:ascii="Arial Narrow" w:hAnsi="Arial Narrow" w:cs="Tahoma"/>
          <w:color w:val="000000"/>
          <w:sz w:val="28"/>
          <w:szCs w:val="28"/>
          <w:lang w:eastAsia="es-CO"/>
        </w:rPr>
        <w:t xml:space="preserve">3.600 días, </w:t>
      </w:r>
      <w:r w:rsidRPr="00291C1A">
        <w:rPr>
          <w:rFonts w:ascii="Arial Narrow" w:hAnsi="Arial Narrow" w:cs="Tahoma"/>
          <w:color w:val="000000"/>
          <w:sz w:val="28"/>
          <w:szCs w:val="28"/>
          <w:lang w:eastAsia="es-CO"/>
        </w:rPr>
        <w:t>y</w:t>
      </w:r>
      <w:r w:rsidR="00A746B9" w:rsidRPr="00291C1A">
        <w:rPr>
          <w:rFonts w:ascii="Arial Narrow" w:hAnsi="Arial Narrow" w:cs="Tahoma"/>
          <w:color w:val="000000"/>
          <w:sz w:val="28"/>
          <w:szCs w:val="28"/>
          <w:lang w:eastAsia="es-CO"/>
        </w:rPr>
        <w:t xml:space="preserve"> </w:t>
      </w:r>
      <w:r w:rsidR="00277DB9" w:rsidRPr="00291C1A">
        <w:rPr>
          <w:rFonts w:ascii="Arial Narrow" w:hAnsi="Arial Narrow" w:cs="Tahoma"/>
          <w:color w:val="000000"/>
          <w:sz w:val="28"/>
          <w:szCs w:val="28"/>
          <w:lang w:eastAsia="es-CO"/>
        </w:rPr>
        <w:t>a</w:t>
      </w:r>
      <w:r w:rsidR="00A746B9" w:rsidRPr="00291C1A">
        <w:rPr>
          <w:rFonts w:ascii="Arial Narrow" w:hAnsi="Arial Narrow" w:cs="Tahoma"/>
          <w:color w:val="000000"/>
          <w:sz w:val="28"/>
          <w:szCs w:val="28"/>
          <w:lang w:eastAsia="es-CO"/>
        </w:rPr>
        <w:t xml:space="preserve">l ingreso base de cotización, </w:t>
      </w:r>
      <w:r w:rsidR="0031674F" w:rsidRPr="00291C1A">
        <w:rPr>
          <w:rFonts w:ascii="Arial Narrow" w:hAnsi="Arial Narrow" w:cs="Tahoma"/>
          <w:sz w:val="28"/>
          <w:szCs w:val="28"/>
          <w:lang w:eastAsia="es-CO"/>
        </w:rPr>
        <w:t>dado que</w:t>
      </w:r>
      <w:r w:rsidR="00A746B9" w:rsidRPr="00291C1A">
        <w:rPr>
          <w:rFonts w:ascii="Arial Narrow" w:hAnsi="Arial Narrow" w:cs="Tahoma"/>
          <w:sz w:val="28"/>
          <w:szCs w:val="28"/>
          <w:lang w:eastAsia="es-CO"/>
        </w:rPr>
        <w:t xml:space="preserve"> e</w:t>
      </w:r>
      <w:r w:rsidR="00A746B9" w:rsidRPr="00291C1A">
        <w:rPr>
          <w:rFonts w:ascii="Arial Narrow" w:hAnsi="Arial Narrow"/>
          <w:sz w:val="28"/>
          <w:szCs w:val="28"/>
          <w:shd w:val="clear" w:color="auto" w:fill="FFFFFF"/>
        </w:rPr>
        <w:t>n el Seguro Social existían categorías predeterminadas de cotización,</w:t>
      </w:r>
      <w:r w:rsidR="00A746B9" w:rsidRPr="00291C1A">
        <w:rPr>
          <w:rStyle w:val="apple-converted-space"/>
          <w:rFonts w:ascii="Arial Narrow" w:hAnsi="Arial Narrow"/>
          <w:sz w:val="28"/>
          <w:szCs w:val="28"/>
          <w:shd w:val="clear" w:color="auto" w:fill="FFFFFF"/>
        </w:rPr>
        <w:t> </w:t>
      </w:r>
      <w:r w:rsidR="00A746B9" w:rsidRPr="00291C1A">
        <w:rPr>
          <w:rFonts w:ascii="Arial Narrow" w:hAnsi="Arial Narrow" w:cs="Tahoma"/>
          <w:sz w:val="28"/>
          <w:szCs w:val="28"/>
          <w:lang w:eastAsia="es-CO"/>
        </w:rPr>
        <w:t xml:space="preserve"> conforme </w:t>
      </w:r>
      <w:r w:rsidR="003772FA" w:rsidRPr="00291C1A">
        <w:rPr>
          <w:rFonts w:ascii="Arial Narrow" w:hAnsi="Arial Narrow" w:cs="Tahoma"/>
          <w:sz w:val="28"/>
          <w:szCs w:val="28"/>
          <w:lang w:eastAsia="es-CO"/>
        </w:rPr>
        <w:t xml:space="preserve">la </w:t>
      </w:r>
      <w:r w:rsidR="003A2E75" w:rsidRPr="00291C1A">
        <w:rPr>
          <w:rFonts w:ascii="Arial Narrow" w:hAnsi="Arial Narrow" w:cs="Tahoma"/>
          <w:sz w:val="28"/>
          <w:szCs w:val="28"/>
          <w:lang w:eastAsia="es-CO"/>
        </w:rPr>
        <w:t>tabla de categorías y aportes que establec</w:t>
      </w:r>
      <w:r w:rsidR="00A746B9" w:rsidRPr="00291C1A">
        <w:rPr>
          <w:rFonts w:ascii="Arial Narrow" w:hAnsi="Arial Narrow" w:cs="Tahoma"/>
          <w:sz w:val="28"/>
          <w:szCs w:val="28"/>
          <w:lang w:eastAsia="es-CO"/>
        </w:rPr>
        <w:t xml:space="preserve">ían </w:t>
      </w:r>
      <w:r w:rsidR="003A2E75" w:rsidRPr="00291C1A">
        <w:rPr>
          <w:rFonts w:ascii="Arial Narrow" w:hAnsi="Arial Narrow" w:cs="Tahoma"/>
          <w:sz w:val="28"/>
          <w:szCs w:val="28"/>
          <w:lang w:eastAsia="es-CO"/>
        </w:rPr>
        <w:t xml:space="preserve">los Decretos 1825 de 1965, 1036 de </w:t>
      </w:r>
      <w:r w:rsidR="003A2E75" w:rsidRPr="00291C1A">
        <w:rPr>
          <w:rFonts w:ascii="Arial Narrow" w:hAnsi="Arial Narrow" w:cs="Tahoma"/>
          <w:color w:val="000000"/>
          <w:sz w:val="28"/>
          <w:szCs w:val="28"/>
          <w:lang w:eastAsia="es-CO"/>
        </w:rPr>
        <w:t>1972, 2680 de 1974, entre otros.</w:t>
      </w:r>
    </w:p>
    <w:p w:rsidR="00E4081B" w:rsidRPr="00715831" w:rsidRDefault="00E4081B" w:rsidP="00715831">
      <w:pPr>
        <w:pStyle w:val="Sinespaciado"/>
      </w:pPr>
    </w:p>
    <w:p w:rsidR="003A2E75" w:rsidRPr="00291C1A" w:rsidRDefault="003A2E75" w:rsidP="003A2E75">
      <w:pPr>
        <w:tabs>
          <w:tab w:val="left" w:pos="0"/>
          <w:tab w:val="left" w:pos="8647"/>
        </w:tabs>
        <w:suppressAutoHyphens/>
        <w:spacing w:line="360" w:lineRule="auto"/>
        <w:ind w:firstLine="900"/>
        <w:jc w:val="both"/>
        <w:rPr>
          <w:rFonts w:ascii="Arial Narrow" w:hAnsi="Arial Narrow" w:cs="Tahoma"/>
          <w:sz w:val="28"/>
          <w:szCs w:val="28"/>
        </w:rPr>
      </w:pPr>
      <w:r w:rsidRPr="00291C1A">
        <w:rPr>
          <w:rFonts w:ascii="Arial Narrow" w:hAnsi="Arial Narrow" w:cs="Tahoma"/>
          <w:sz w:val="28"/>
          <w:szCs w:val="28"/>
        </w:rPr>
        <w:t xml:space="preserve">Además del recurso sintetizado, se dispuso la consulta de la providencia, por afectarse a </w:t>
      </w:r>
      <w:proofErr w:type="spellStart"/>
      <w:r w:rsidRPr="00291C1A">
        <w:rPr>
          <w:rFonts w:ascii="Arial Narrow" w:hAnsi="Arial Narrow" w:cs="Tahoma"/>
          <w:sz w:val="28"/>
          <w:szCs w:val="28"/>
        </w:rPr>
        <w:t>Colpensiones</w:t>
      </w:r>
      <w:proofErr w:type="spellEnd"/>
      <w:r w:rsidRPr="00291C1A">
        <w:rPr>
          <w:rFonts w:ascii="Arial Narrow" w:hAnsi="Arial Narrow" w:cs="Tahoma"/>
          <w:sz w:val="28"/>
          <w:szCs w:val="28"/>
        </w:rPr>
        <w:t>, en los términos del artículo 69 del CPTSS.</w:t>
      </w:r>
    </w:p>
    <w:p w:rsidR="00E4081B" w:rsidRPr="00291C1A" w:rsidRDefault="00E4081B" w:rsidP="00E4081B">
      <w:pPr>
        <w:shd w:val="clear" w:color="auto" w:fill="FFFFFF"/>
        <w:tabs>
          <w:tab w:val="left" w:pos="5197"/>
        </w:tabs>
        <w:spacing w:line="360" w:lineRule="auto"/>
        <w:ind w:firstLine="851"/>
        <w:jc w:val="both"/>
        <w:rPr>
          <w:rFonts w:ascii="Arial Narrow" w:hAnsi="Arial Narrow" w:cs="Tahoma"/>
          <w:b/>
          <w:i/>
          <w:sz w:val="28"/>
          <w:szCs w:val="28"/>
        </w:rPr>
      </w:pPr>
      <w:r w:rsidRPr="00291C1A">
        <w:rPr>
          <w:rFonts w:ascii="Arial Narrow" w:hAnsi="Arial Narrow" w:cs="Tahoma"/>
          <w:b/>
          <w:i/>
          <w:sz w:val="28"/>
          <w:szCs w:val="28"/>
        </w:rPr>
        <w:lastRenderedPageBreak/>
        <w:t>Del problema jurídico.</w:t>
      </w:r>
    </w:p>
    <w:p w:rsidR="00E4081B" w:rsidRPr="00715831" w:rsidRDefault="00E4081B" w:rsidP="00715831">
      <w:pPr>
        <w:pStyle w:val="Sinespaciado"/>
      </w:pPr>
    </w:p>
    <w:p w:rsidR="00E4081B" w:rsidRPr="00291C1A" w:rsidRDefault="00E4081B" w:rsidP="00B132F3">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291C1A">
        <w:rPr>
          <w:rFonts w:ascii="Arial Narrow" w:hAnsi="Arial Narrow" w:cs="Tahoma"/>
          <w:color w:val="000000"/>
          <w:sz w:val="28"/>
          <w:szCs w:val="28"/>
          <w:lang w:eastAsia="es-CO"/>
        </w:rPr>
        <w:t>Visto el recuento anterior, la Sala formula el problema jurídico en los siguientes términos:</w:t>
      </w:r>
    </w:p>
    <w:p w:rsidR="002573C2" w:rsidRPr="00715831" w:rsidRDefault="00B132F3" w:rsidP="00715831">
      <w:pPr>
        <w:shd w:val="clear" w:color="auto" w:fill="FFFFFF"/>
        <w:tabs>
          <w:tab w:val="left" w:pos="5197"/>
        </w:tabs>
        <w:ind w:firstLine="851"/>
        <w:jc w:val="both"/>
        <w:rPr>
          <w:rFonts w:ascii="Arial Narrow" w:hAnsi="Arial Narrow" w:cs="Tahoma"/>
          <w:szCs w:val="24"/>
          <w:lang w:eastAsia="es-CO"/>
        </w:rPr>
      </w:pPr>
      <w:r w:rsidRPr="00291C1A">
        <w:rPr>
          <w:rFonts w:ascii="Arial Narrow" w:hAnsi="Arial Narrow" w:cs="Tahoma"/>
          <w:sz w:val="28"/>
          <w:szCs w:val="28"/>
          <w:lang w:eastAsia="es-CO"/>
        </w:rPr>
        <w:t>¿</w:t>
      </w:r>
      <w:r w:rsidRPr="00715831">
        <w:rPr>
          <w:rFonts w:ascii="Arial Narrow" w:hAnsi="Arial Narrow" w:cs="Tahoma"/>
          <w:szCs w:val="24"/>
          <w:lang w:eastAsia="es-CO"/>
        </w:rPr>
        <w:t>El demandante tiene derecho a la reliquidación de la pensión de vejez, con base en el promedio de lo d</w:t>
      </w:r>
      <w:r w:rsidR="002573C2" w:rsidRPr="00715831">
        <w:rPr>
          <w:rFonts w:ascii="Arial Narrow" w:hAnsi="Arial Narrow" w:cs="Tahoma"/>
          <w:szCs w:val="24"/>
          <w:lang w:eastAsia="es-CO"/>
        </w:rPr>
        <w:t>evengado en los últimos 10 años?</w:t>
      </w:r>
    </w:p>
    <w:p w:rsidR="002573C2" w:rsidRPr="00715831" w:rsidRDefault="002573C2" w:rsidP="00715831">
      <w:pPr>
        <w:pStyle w:val="Sinespaciado"/>
      </w:pPr>
    </w:p>
    <w:p w:rsidR="00B132F3" w:rsidRPr="00715831" w:rsidRDefault="002573C2" w:rsidP="00715831">
      <w:pPr>
        <w:shd w:val="clear" w:color="auto" w:fill="FFFFFF"/>
        <w:tabs>
          <w:tab w:val="left" w:pos="5197"/>
        </w:tabs>
        <w:ind w:firstLine="851"/>
        <w:jc w:val="both"/>
        <w:rPr>
          <w:rFonts w:ascii="Arial Narrow" w:hAnsi="Arial Narrow" w:cs="Tahoma"/>
          <w:szCs w:val="24"/>
          <w:lang w:eastAsia="es-CO"/>
        </w:rPr>
      </w:pPr>
      <w:r w:rsidRPr="00715831">
        <w:rPr>
          <w:rFonts w:ascii="Arial Narrow" w:hAnsi="Arial Narrow" w:cs="Tahoma"/>
          <w:szCs w:val="24"/>
          <w:lang w:eastAsia="es-CO"/>
        </w:rPr>
        <w:t>¿</w:t>
      </w:r>
      <w:r w:rsidR="00B132F3" w:rsidRPr="00715831">
        <w:rPr>
          <w:rFonts w:ascii="Arial Narrow" w:hAnsi="Arial Narrow" w:cs="Tahoma"/>
          <w:szCs w:val="24"/>
          <w:lang w:eastAsia="es-CO"/>
        </w:rPr>
        <w:t>Ha</w:t>
      </w:r>
      <w:r w:rsidRPr="00715831">
        <w:rPr>
          <w:rFonts w:ascii="Arial Narrow" w:hAnsi="Arial Narrow" w:cs="Tahoma"/>
          <w:szCs w:val="24"/>
          <w:lang w:eastAsia="es-CO"/>
        </w:rPr>
        <w:t>y</w:t>
      </w:r>
      <w:r w:rsidR="00B132F3" w:rsidRPr="00715831">
        <w:rPr>
          <w:rFonts w:ascii="Arial Narrow" w:hAnsi="Arial Narrow" w:cs="Tahoma"/>
          <w:szCs w:val="24"/>
          <w:lang w:eastAsia="es-CO"/>
        </w:rPr>
        <w:t xml:space="preserve"> lugar</w:t>
      </w:r>
      <w:r w:rsidR="00DA2326" w:rsidRPr="00715831">
        <w:rPr>
          <w:rFonts w:ascii="Arial Narrow" w:hAnsi="Arial Narrow" w:cs="Tahoma"/>
          <w:szCs w:val="24"/>
          <w:lang w:eastAsia="es-CO"/>
        </w:rPr>
        <w:t xml:space="preserve"> a cancelar alguna suma por concepto de diferencia pensional?</w:t>
      </w:r>
    </w:p>
    <w:p w:rsidR="00B132F3" w:rsidRPr="00715831" w:rsidRDefault="00B132F3" w:rsidP="00715831">
      <w:pPr>
        <w:pStyle w:val="Sinespaciado"/>
      </w:pPr>
    </w:p>
    <w:p w:rsidR="002573C2" w:rsidRPr="00715831" w:rsidRDefault="002573C2" w:rsidP="00715831">
      <w:pPr>
        <w:shd w:val="clear" w:color="auto" w:fill="FFFFFF"/>
        <w:tabs>
          <w:tab w:val="left" w:pos="5197"/>
        </w:tabs>
        <w:ind w:firstLine="851"/>
        <w:jc w:val="both"/>
        <w:rPr>
          <w:rFonts w:ascii="Arial Narrow" w:hAnsi="Arial Narrow" w:cs="Tahoma"/>
          <w:szCs w:val="24"/>
          <w:lang w:eastAsia="es-CO"/>
        </w:rPr>
      </w:pPr>
      <w:r w:rsidRPr="00715831">
        <w:rPr>
          <w:rFonts w:ascii="Arial Narrow" w:hAnsi="Arial Narrow" w:cs="Tahoma"/>
          <w:szCs w:val="24"/>
          <w:lang w:eastAsia="es-CO"/>
        </w:rPr>
        <w:t>¿Le asiste razón al recurrente al pretender el incremento del</w:t>
      </w:r>
      <w:r w:rsidR="00DA2326" w:rsidRPr="00715831">
        <w:rPr>
          <w:rFonts w:ascii="Arial Narrow" w:hAnsi="Arial Narrow" w:cs="Tahoma"/>
          <w:szCs w:val="24"/>
          <w:lang w:eastAsia="es-CO"/>
        </w:rPr>
        <w:t xml:space="preserve"> Ingreso Base de Cotización de algunos ciclos?</w:t>
      </w:r>
    </w:p>
    <w:p w:rsidR="00DA2326" w:rsidRPr="00291C1A" w:rsidRDefault="00DA2326" w:rsidP="00DA2326">
      <w:pPr>
        <w:pStyle w:val="Sinespaciado"/>
        <w:spacing w:line="276" w:lineRule="auto"/>
        <w:rPr>
          <w:rFonts w:ascii="Arial Narrow" w:hAnsi="Arial Narrow"/>
          <w:sz w:val="28"/>
          <w:szCs w:val="28"/>
          <w:lang w:eastAsia="es-CO"/>
        </w:rPr>
      </w:pPr>
    </w:p>
    <w:p w:rsidR="00E4081B" w:rsidRPr="00291C1A" w:rsidRDefault="00E4081B" w:rsidP="00E4081B">
      <w:pPr>
        <w:tabs>
          <w:tab w:val="left" w:pos="0"/>
          <w:tab w:val="left" w:pos="8647"/>
        </w:tabs>
        <w:suppressAutoHyphens/>
        <w:spacing w:line="360" w:lineRule="auto"/>
        <w:ind w:firstLine="900"/>
        <w:jc w:val="both"/>
        <w:rPr>
          <w:rFonts w:ascii="Arial Narrow" w:hAnsi="Arial Narrow" w:cs="Tahoma"/>
          <w:sz w:val="28"/>
          <w:szCs w:val="28"/>
        </w:rPr>
      </w:pPr>
      <w:r w:rsidRPr="00291C1A">
        <w:rPr>
          <w:rFonts w:ascii="Arial Narrow" w:hAnsi="Arial Narrow" w:cs="Tahoma"/>
          <w:b/>
          <w:i/>
          <w:sz w:val="28"/>
          <w:szCs w:val="28"/>
        </w:rPr>
        <w:t>Alegatos en esta instancia</w:t>
      </w:r>
      <w:r w:rsidRPr="00291C1A">
        <w:rPr>
          <w:rFonts w:ascii="Arial Narrow" w:hAnsi="Arial Narrow" w:cs="Tahoma"/>
          <w:sz w:val="28"/>
          <w:szCs w:val="28"/>
        </w:rPr>
        <w:t>:</w:t>
      </w:r>
    </w:p>
    <w:p w:rsidR="00E4081B" w:rsidRPr="00715831" w:rsidRDefault="00E4081B" w:rsidP="00715831">
      <w:pPr>
        <w:pStyle w:val="Sinespaciado"/>
      </w:pPr>
    </w:p>
    <w:p w:rsidR="000A3332" w:rsidRPr="00291C1A" w:rsidRDefault="00E4081B" w:rsidP="00E4081B">
      <w:pPr>
        <w:spacing w:line="360" w:lineRule="auto"/>
        <w:ind w:firstLine="851"/>
        <w:jc w:val="both"/>
        <w:rPr>
          <w:rFonts w:ascii="Arial Narrow" w:hAnsi="Arial Narrow" w:cs="Tahoma"/>
          <w:sz w:val="28"/>
          <w:szCs w:val="28"/>
        </w:rPr>
      </w:pPr>
      <w:r w:rsidRPr="00291C1A">
        <w:rPr>
          <w:rFonts w:ascii="Arial Narrow" w:hAnsi="Arial Narrow" w:cs="Tahoma"/>
          <w:sz w:val="28"/>
          <w:szCs w:val="28"/>
        </w:rPr>
        <w:t xml:space="preserve">En este estado de la diligencia y antes de que la Colegiatura, de respuesta al problema jurídico planteado, se corre traslado por el término de 8 minutos, a cada uno de los voceros judiciales de las partes asistentes a la audiencia, empezando por la parte </w:t>
      </w:r>
      <w:r w:rsidR="002573C2" w:rsidRPr="00291C1A">
        <w:rPr>
          <w:rFonts w:ascii="Arial Narrow" w:hAnsi="Arial Narrow" w:cs="Tahoma"/>
          <w:sz w:val="28"/>
          <w:szCs w:val="28"/>
        </w:rPr>
        <w:t>recurrente</w:t>
      </w:r>
      <w:r w:rsidRPr="00291C1A">
        <w:rPr>
          <w:rFonts w:ascii="Arial Narrow" w:hAnsi="Arial Narrow" w:cs="Tahoma"/>
          <w:sz w:val="28"/>
          <w:szCs w:val="28"/>
        </w:rPr>
        <w:t>.</w:t>
      </w:r>
    </w:p>
    <w:p w:rsidR="000A3332" w:rsidRPr="00715831" w:rsidRDefault="000A3332" w:rsidP="00715831">
      <w:pPr>
        <w:pStyle w:val="Sinespaciado"/>
      </w:pPr>
    </w:p>
    <w:p w:rsidR="00E4081B" w:rsidRPr="00291C1A" w:rsidRDefault="00E4081B" w:rsidP="00E4081B">
      <w:pPr>
        <w:spacing w:line="360" w:lineRule="auto"/>
        <w:ind w:firstLine="851"/>
        <w:jc w:val="both"/>
        <w:rPr>
          <w:rFonts w:ascii="Arial Narrow" w:hAnsi="Arial Narrow" w:cs="Tahoma"/>
          <w:sz w:val="28"/>
          <w:szCs w:val="28"/>
        </w:rPr>
      </w:pPr>
      <w:r w:rsidRPr="00291C1A">
        <w:rPr>
          <w:rFonts w:ascii="Arial Narrow" w:hAnsi="Arial Narrow" w:cs="Tahoma"/>
          <w:sz w:val="28"/>
          <w:szCs w:val="28"/>
        </w:rPr>
        <w:t xml:space="preserve"> Escuchadas las anteriores intervenciones que en síntesis reflejan los puntos debatidos por los integrantes de la Sala, se procede a decidir de fondo, previa las siguientes: </w:t>
      </w:r>
    </w:p>
    <w:p w:rsidR="00E4081B" w:rsidRPr="00715831" w:rsidRDefault="00E4081B" w:rsidP="00715831">
      <w:pPr>
        <w:pStyle w:val="Sinespaciado"/>
      </w:pPr>
    </w:p>
    <w:p w:rsidR="00E4081B" w:rsidRPr="00291C1A" w:rsidRDefault="00E4081B" w:rsidP="00E4081B">
      <w:pPr>
        <w:spacing w:line="360" w:lineRule="auto"/>
        <w:ind w:left="1418" w:hanging="578"/>
        <w:jc w:val="both"/>
        <w:rPr>
          <w:rFonts w:ascii="Arial Narrow" w:hAnsi="Arial Narrow" w:cs="Tahoma"/>
          <w:b/>
          <w:i/>
          <w:sz w:val="28"/>
          <w:szCs w:val="28"/>
        </w:rPr>
      </w:pPr>
      <w:r w:rsidRPr="00291C1A">
        <w:rPr>
          <w:rFonts w:ascii="Arial Narrow" w:hAnsi="Arial Narrow" w:cs="Tahoma"/>
          <w:b/>
          <w:i/>
          <w:sz w:val="28"/>
          <w:szCs w:val="28"/>
        </w:rPr>
        <w:t>II. CONSIDERACIONES:</w:t>
      </w:r>
    </w:p>
    <w:p w:rsidR="00DA2326" w:rsidRPr="00715831" w:rsidRDefault="00DA2326" w:rsidP="00715831">
      <w:pPr>
        <w:pStyle w:val="Sinespaciado"/>
      </w:pPr>
    </w:p>
    <w:p w:rsidR="00DA2326" w:rsidRPr="00291C1A" w:rsidRDefault="00DA2326" w:rsidP="00DA2326">
      <w:pPr>
        <w:spacing w:line="360" w:lineRule="auto"/>
        <w:ind w:firstLine="708"/>
        <w:jc w:val="both"/>
        <w:rPr>
          <w:rFonts w:ascii="Arial Narrow" w:hAnsi="Arial Narrow"/>
          <w:sz w:val="28"/>
          <w:szCs w:val="28"/>
        </w:rPr>
      </w:pPr>
      <w:r w:rsidRPr="00291C1A">
        <w:rPr>
          <w:rFonts w:ascii="Arial Narrow" w:hAnsi="Arial Narrow"/>
          <w:sz w:val="28"/>
          <w:szCs w:val="28"/>
        </w:rPr>
        <w:t xml:space="preserve">Sabido es que los beneficiarios del régimen de transición tienen derecho a que las condiciones pensionales de edad, tiempo y monto se rijan por las disposiciones anteriores que les resulten aplicables, no así el ingreso base de liquidación, el cual se encuentra regulado de manera expresa en la Ley 100 de 1993. </w:t>
      </w:r>
    </w:p>
    <w:p w:rsidR="00DA2326" w:rsidRPr="00715831" w:rsidRDefault="00DA2326" w:rsidP="00715831">
      <w:pPr>
        <w:pStyle w:val="Sinespaciado"/>
      </w:pPr>
    </w:p>
    <w:p w:rsidR="00715831" w:rsidRDefault="00DA2326" w:rsidP="009242C9">
      <w:pPr>
        <w:pStyle w:val="Textoindependiente"/>
        <w:spacing w:line="360" w:lineRule="auto"/>
        <w:ind w:firstLine="858"/>
        <w:rPr>
          <w:rFonts w:ascii="Arial Narrow" w:hAnsi="Arial Narrow"/>
          <w:sz w:val="28"/>
          <w:szCs w:val="28"/>
          <w:lang w:eastAsia="en-US"/>
        </w:rPr>
      </w:pPr>
      <w:r w:rsidRPr="00291C1A">
        <w:rPr>
          <w:rFonts w:ascii="Arial Narrow" w:hAnsi="Arial Narrow"/>
          <w:sz w:val="28"/>
          <w:szCs w:val="28"/>
        </w:rPr>
        <w:t>En ese orden, se ha considerado que a quienes les faltare menos de diez (10) años para adquirir el derecho, el IBL se encuentra expresamente regulado en el artículo 36 de la Ley 100 de 1993, mientras que para aquellos a los que les faltare diez (10) o más años, en el</w:t>
      </w:r>
      <w:r w:rsidR="003777B8" w:rsidRPr="00291C1A">
        <w:rPr>
          <w:rFonts w:ascii="Arial Narrow" w:hAnsi="Arial Narrow"/>
          <w:sz w:val="28"/>
          <w:szCs w:val="28"/>
        </w:rPr>
        <w:t xml:space="preserve"> artículo 21 de l</w:t>
      </w:r>
      <w:r w:rsidR="009242C9" w:rsidRPr="00291C1A">
        <w:rPr>
          <w:rFonts w:ascii="Arial Narrow" w:hAnsi="Arial Narrow"/>
          <w:sz w:val="28"/>
          <w:szCs w:val="28"/>
        </w:rPr>
        <w:t xml:space="preserve">a misma norma, cuyo contenido establece que el IBL correspondería al </w:t>
      </w:r>
      <w:r w:rsidR="009242C9" w:rsidRPr="00291C1A">
        <w:rPr>
          <w:rFonts w:ascii="Arial Narrow" w:hAnsi="Arial Narrow"/>
          <w:sz w:val="28"/>
          <w:szCs w:val="28"/>
          <w:lang w:eastAsia="en-US"/>
        </w:rPr>
        <w:t xml:space="preserve">promedio de las sumas sobre las cuales el afiliado haya efectuado sus cotizaciones en los 10 años que anteceden al reconocimiento de la prestación o el de toda la vida si llegare a ser superior, sin embargo, para calcular el monto pensional con las cotizaciones efectuadas durante toda la vida, el afiliado deberá tener más de </w:t>
      </w:r>
    </w:p>
    <w:p w:rsidR="009242C9" w:rsidRDefault="009242C9" w:rsidP="00715831">
      <w:pPr>
        <w:pStyle w:val="Textoindependiente"/>
        <w:spacing w:line="360" w:lineRule="auto"/>
        <w:rPr>
          <w:rFonts w:ascii="Arial Narrow" w:hAnsi="Arial Narrow"/>
          <w:sz w:val="28"/>
          <w:szCs w:val="28"/>
          <w:lang w:eastAsia="en-US"/>
        </w:rPr>
      </w:pPr>
      <w:r w:rsidRPr="00291C1A">
        <w:rPr>
          <w:rFonts w:ascii="Arial Narrow" w:hAnsi="Arial Narrow"/>
          <w:sz w:val="28"/>
          <w:szCs w:val="28"/>
          <w:lang w:eastAsia="en-US"/>
        </w:rPr>
        <w:lastRenderedPageBreak/>
        <w:t>1250 semanas.</w:t>
      </w:r>
    </w:p>
    <w:p w:rsidR="00353EDF" w:rsidRPr="00715831" w:rsidRDefault="00353EDF" w:rsidP="00715831">
      <w:pPr>
        <w:pStyle w:val="Sinespaciado"/>
      </w:pPr>
    </w:p>
    <w:p w:rsidR="00DA2326" w:rsidRPr="00291C1A" w:rsidRDefault="000A3332" w:rsidP="00DA2326">
      <w:pPr>
        <w:spacing w:line="360" w:lineRule="auto"/>
        <w:ind w:firstLine="708"/>
        <w:jc w:val="both"/>
        <w:rPr>
          <w:rFonts w:ascii="Arial Narrow" w:hAnsi="Arial Narrow"/>
          <w:sz w:val="28"/>
          <w:szCs w:val="28"/>
        </w:rPr>
      </w:pPr>
      <w:r w:rsidRPr="00291C1A">
        <w:rPr>
          <w:rFonts w:ascii="Arial Narrow" w:hAnsi="Arial Narrow"/>
          <w:sz w:val="28"/>
          <w:szCs w:val="28"/>
        </w:rPr>
        <w:t xml:space="preserve">En el caso en estudio, conforme la documental que reposa en el expediente, es un hecho indiscutido que el demandante </w:t>
      </w:r>
      <w:r w:rsidR="004F6118" w:rsidRPr="00291C1A">
        <w:rPr>
          <w:rFonts w:ascii="Arial Narrow" w:hAnsi="Arial Narrow"/>
          <w:sz w:val="28"/>
          <w:szCs w:val="28"/>
        </w:rPr>
        <w:t xml:space="preserve">ostenta la calidad de pensionado y </w:t>
      </w:r>
      <w:r w:rsidRPr="00291C1A">
        <w:rPr>
          <w:rFonts w:ascii="Arial Narrow" w:hAnsi="Arial Narrow"/>
          <w:sz w:val="28"/>
          <w:szCs w:val="28"/>
        </w:rPr>
        <w:t>es beneficiario del régimen de transición y que a partir de la entrada en vigencia del sistema general de pensiones -1º de abril de 1994- le hacían falta más de 10 años para consolidar su derecho, toda vez que cumplió la edad de 60 años el 15 de marzo de 2011 –ver fl.59-.</w:t>
      </w:r>
    </w:p>
    <w:p w:rsidR="001C527A" w:rsidRPr="00715831" w:rsidRDefault="001C527A" w:rsidP="00715831">
      <w:pPr>
        <w:pStyle w:val="Sinespaciado"/>
      </w:pPr>
    </w:p>
    <w:p w:rsidR="00E4081B" w:rsidRPr="00291C1A" w:rsidRDefault="001C527A" w:rsidP="001C527A">
      <w:pPr>
        <w:spacing w:line="360" w:lineRule="auto"/>
        <w:ind w:firstLine="708"/>
        <w:jc w:val="both"/>
        <w:rPr>
          <w:rFonts w:ascii="Arial Narrow" w:hAnsi="Arial Narrow"/>
          <w:sz w:val="28"/>
          <w:szCs w:val="28"/>
        </w:rPr>
      </w:pPr>
      <w:r w:rsidRPr="00291C1A">
        <w:rPr>
          <w:rFonts w:ascii="Arial Narrow" w:hAnsi="Arial Narrow"/>
          <w:sz w:val="28"/>
          <w:szCs w:val="28"/>
        </w:rPr>
        <w:t xml:space="preserve">Por manera que, el periodo que debió tener en cuenta el </w:t>
      </w:r>
      <w:r w:rsidR="004F6118" w:rsidRPr="00291C1A">
        <w:rPr>
          <w:rFonts w:ascii="Arial Narrow" w:hAnsi="Arial Narrow"/>
          <w:sz w:val="28"/>
          <w:szCs w:val="28"/>
        </w:rPr>
        <w:t xml:space="preserve">antiguo ISS </w:t>
      </w:r>
      <w:r w:rsidRPr="00291C1A">
        <w:rPr>
          <w:rFonts w:ascii="Arial Narrow" w:hAnsi="Arial Narrow"/>
          <w:sz w:val="28"/>
          <w:szCs w:val="28"/>
        </w:rPr>
        <w:t xml:space="preserve">a efectos de liquidar </w:t>
      </w:r>
      <w:r w:rsidR="004F6118" w:rsidRPr="00291C1A">
        <w:rPr>
          <w:rFonts w:ascii="Arial Narrow" w:hAnsi="Arial Narrow"/>
          <w:sz w:val="28"/>
          <w:szCs w:val="28"/>
        </w:rPr>
        <w:t>la pensión de vejez</w:t>
      </w:r>
      <w:r w:rsidRPr="00291C1A">
        <w:rPr>
          <w:rFonts w:ascii="Arial Narrow" w:hAnsi="Arial Narrow"/>
          <w:sz w:val="28"/>
          <w:szCs w:val="28"/>
        </w:rPr>
        <w:t>, era el previsto en el artículo 21 de la Ley 100 de 1993, esto es, los diez (10) años anteriores al reconocimiento de la pensión o toda la vida laboral, por contar con más de 1.250</w:t>
      </w:r>
      <w:r w:rsidR="004F6118" w:rsidRPr="00291C1A">
        <w:rPr>
          <w:rFonts w:ascii="Arial Narrow" w:hAnsi="Arial Narrow"/>
          <w:sz w:val="28"/>
          <w:szCs w:val="28"/>
        </w:rPr>
        <w:t xml:space="preserve"> semanas de aportes al sistema, tal cual lo concluyó la sentenciadora de primer grado.</w:t>
      </w:r>
    </w:p>
    <w:p w:rsidR="00FE1AE3" w:rsidRPr="00715831" w:rsidRDefault="00FE1AE3" w:rsidP="00715831">
      <w:pPr>
        <w:pStyle w:val="Sinespaciado"/>
      </w:pPr>
    </w:p>
    <w:p w:rsidR="003C530E" w:rsidRPr="00291C1A" w:rsidRDefault="003C530E" w:rsidP="003C530E">
      <w:pPr>
        <w:pStyle w:val="bodytext21"/>
        <w:shd w:val="clear" w:color="auto" w:fill="FFFFFF"/>
        <w:spacing w:before="0" w:beforeAutospacing="0" w:after="0" w:afterAutospacing="0" w:line="360" w:lineRule="auto"/>
        <w:ind w:right="51" w:firstLine="708"/>
        <w:jc w:val="both"/>
        <w:textAlignment w:val="baseline"/>
        <w:rPr>
          <w:rFonts w:ascii="Arial Narrow" w:hAnsi="Arial Narrow"/>
          <w:sz w:val="28"/>
          <w:szCs w:val="28"/>
          <w:shd w:val="clear" w:color="auto" w:fill="FFFFFF"/>
        </w:rPr>
      </w:pPr>
      <w:r w:rsidRPr="00291C1A">
        <w:rPr>
          <w:rFonts w:ascii="Arial Narrow" w:hAnsi="Arial Narrow"/>
          <w:sz w:val="28"/>
          <w:szCs w:val="28"/>
        </w:rPr>
        <w:t xml:space="preserve">Ahora bien, </w:t>
      </w:r>
      <w:r w:rsidR="00DE2E48" w:rsidRPr="00291C1A">
        <w:rPr>
          <w:rFonts w:ascii="Arial Narrow" w:hAnsi="Arial Narrow"/>
          <w:sz w:val="28"/>
          <w:szCs w:val="28"/>
        </w:rPr>
        <w:t>frente a la liquidación efectuada por la a-quo, alega el recurrente que la misma presen</w:t>
      </w:r>
      <w:r w:rsidR="00FE1AE3" w:rsidRPr="00291C1A">
        <w:rPr>
          <w:rFonts w:ascii="Arial Narrow" w:hAnsi="Arial Narrow"/>
          <w:sz w:val="28"/>
          <w:szCs w:val="28"/>
        </w:rPr>
        <w:t>ta diferencias con</w:t>
      </w:r>
      <w:r w:rsidRPr="00291C1A">
        <w:rPr>
          <w:rFonts w:ascii="Arial Narrow" w:hAnsi="Arial Narrow"/>
          <w:sz w:val="28"/>
          <w:szCs w:val="28"/>
        </w:rPr>
        <w:t xml:space="preserve"> respecto a </w:t>
      </w:r>
      <w:r w:rsidR="00FE1AE3" w:rsidRPr="00291C1A">
        <w:rPr>
          <w:rFonts w:ascii="Arial Narrow" w:hAnsi="Arial Narrow"/>
          <w:sz w:val="28"/>
          <w:szCs w:val="28"/>
        </w:rPr>
        <w:t xml:space="preserve">la que fue </w:t>
      </w:r>
      <w:r w:rsidR="00DE2E48" w:rsidRPr="00291C1A">
        <w:rPr>
          <w:rFonts w:ascii="Arial Narrow" w:hAnsi="Arial Narrow"/>
          <w:sz w:val="28"/>
          <w:szCs w:val="28"/>
        </w:rPr>
        <w:t xml:space="preserve">exhibida </w:t>
      </w:r>
      <w:r w:rsidR="00FE1AE3" w:rsidRPr="00291C1A">
        <w:rPr>
          <w:rFonts w:ascii="Arial Narrow" w:hAnsi="Arial Narrow"/>
          <w:sz w:val="28"/>
          <w:szCs w:val="28"/>
        </w:rPr>
        <w:t xml:space="preserve">en </w:t>
      </w:r>
      <w:r w:rsidR="005A5E37" w:rsidRPr="00291C1A">
        <w:rPr>
          <w:rFonts w:ascii="Arial Narrow" w:hAnsi="Arial Narrow"/>
          <w:sz w:val="28"/>
          <w:szCs w:val="28"/>
        </w:rPr>
        <w:t xml:space="preserve">el libelo introductor, </w:t>
      </w:r>
      <w:r w:rsidR="00FE1AE3" w:rsidRPr="00291C1A">
        <w:rPr>
          <w:rFonts w:ascii="Arial Narrow" w:hAnsi="Arial Narrow"/>
          <w:sz w:val="28"/>
          <w:szCs w:val="28"/>
        </w:rPr>
        <w:t xml:space="preserve">básicamente en el número de días </w:t>
      </w:r>
      <w:r w:rsidR="00962C58" w:rsidRPr="00291C1A">
        <w:rPr>
          <w:rFonts w:ascii="Arial Narrow" w:hAnsi="Arial Narrow"/>
          <w:sz w:val="28"/>
          <w:szCs w:val="28"/>
        </w:rPr>
        <w:t xml:space="preserve">tenidos en cuenta y en </w:t>
      </w:r>
      <w:r w:rsidRPr="00291C1A">
        <w:rPr>
          <w:rFonts w:ascii="Arial Narrow" w:hAnsi="Arial Narrow"/>
          <w:sz w:val="28"/>
          <w:szCs w:val="28"/>
        </w:rPr>
        <w:t xml:space="preserve">el IBC </w:t>
      </w:r>
      <w:r w:rsidR="005A5E37" w:rsidRPr="00291C1A">
        <w:rPr>
          <w:rFonts w:ascii="Arial Narrow" w:hAnsi="Arial Narrow"/>
          <w:sz w:val="28"/>
          <w:szCs w:val="28"/>
        </w:rPr>
        <w:t xml:space="preserve">de algunos ciclos, </w:t>
      </w:r>
      <w:r w:rsidRPr="00291C1A">
        <w:rPr>
          <w:rFonts w:ascii="Arial Narrow" w:hAnsi="Arial Narrow"/>
          <w:sz w:val="28"/>
          <w:szCs w:val="28"/>
        </w:rPr>
        <w:t xml:space="preserve">los cuales fueron cotizados atendiendo </w:t>
      </w:r>
      <w:r w:rsidR="005A5E37" w:rsidRPr="00291C1A">
        <w:rPr>
          <w:rFonts w:ascii="Arial Narrow" w:hAnsi="Arial Narrow"/>
          <w:sz w:val="28"/>
          <w:szCs w:val="28"/>
        </w:rPr>
        <w:t>la tabla de categorías y aportes</w:t>
      </w:r>
      <w:r w:rsidR="005120D2" w:rsidRPr="00291C1A">
        <w:rPr>
          <w:rFonts w:ascii="Arial Narrow" w:hAnsi="Arial Narrow"/>
          <w:sz w:val="28"/>
          <w:szCs w:val="28"/>
        </w:rPr>
        <w:t xml:space="preserve"> </w:t>
      </w:r>
      <w:r w:rsidRPr="00291C1A">
        <w:rPr>
          <w:rFonts w:ascii="Arial Narrow" w:hAnsi="Arial Narrow"/>
          <w:sz w:val="28"/>
          <w:szCs w:val="28"/>
          <w:bdr w:val="none" w:sz="0" w:space="0" w:color="auto" w:frame="1"/>
        </w:rPr>
        <w:t xml:space="preserve">del Seguro Social establecida en los Decretos </w:t>
      </w:r>
      <w:r w:rsidRPr="00291C1A">
        <w:rPr>
          <w:rFonts w:ascii="Arial Narrow" w:hAnsi="Arial Narrow"/>
          <w:sz w:val="28"/>
          <w:szCs w:val="28"/>
          <w:shd w:val="clear" w:color="auto" w:fill="FFFFFF"/>
        </w:rPr>
        <w:t>1825 de 1965, 1036 de 1972, 2680 de 1974, 3090 de 19</w:t>
      </w:r>
      <w:r w:rsidR="00DE2E48" w:rsidRPr="00291C1A">
        <w:rPr>
          <w:rFonts w:ascii="Arial Narrow" w:hAnsi="Arial Narrow"/>
          <w:sz w:val="28"/>
          <w:szCs w:val="28"/>
          <w:shd w:val="clear" w:color="auto" w:fill="FFFFFF"/>
        </w:rPr>
        <w:t>79, 2630 de 1983, 2879 de 1985,</w:t>
      </w:r>
      <w:r w:rsidRPr="00291C1A">
        <w:rPr>
          <w:rFonts w:ascii="Arial Narrow" w:hAnsi="Arial Narrow"/>
          <w:sz w:val="28"/>
          <w:szCs w:val="28"/>
          <w:shd w:val="clear" w:color="auto" w:fill="FFFFFF"/>
        </w:rPr>
        <w:t xml:space="preserve"> 2610 de 1989</w:t>
      </w:r>
      <w:r w:rsidR="00962C58" w:rsidRPr="00291C1A">
        <w:rPr>
          <w:rFonts w:ascii="Arial Narrow" w:hAnsi="Arial Narrow"/>
          <w:sz w:val="28"/>
          <w:szCs w:val="28"/>
          <w:shd w:val="clear" w:color="auto" w:fill="FFFFFF"/>
        </w:rPr>
        <w:t xml:space="preserve"> y 1476 de 1992, razón por la que solicita su revisión. </w:t>
      </w:r>
    </w:p>
    <w:p w:rsidR="00962C58" w:rsidRPr="00715831" w:rsidRDefault="00962C58" w:rsidP="00715831">
      <w:pPr>
        <w:pStyle w:val="Sinespaciado"/>
      </w:pPr>
    </w:p>
    <w:p w:rsidR="00C72634" w:rsidRPr="00291C1A" w:rsidRDefault="00337CF9" w:rsidP="00962C58">
      <w:pPr>
        <w:pStyle w:val="bodytext21"/>
        <w:shd w:val="clear" w:color="auto" w:fill="FFFFFF"/>
        <w:spacing w:before="0" w:beforeAutospacing="0" w:after="0" w:afterAutospacing="0" w:line="360" w:lineRule="auto"/>
        <w:ind w:right="51" w:firstLine="708"/>
        <w:jc w:val="both"/>
        <w:textAlignment w:val="baseline"/>
        <w:rPr>
          <w:rFonts w:ascii="Arial Narrow" w:hAnsi="Arial Narrow"/>
          <w:sz w:val="28"/>
          <w:szCs w:val="28"/>
          <w:shd w:val="clear" w:color="auto" w:fill="FFFFFF"/>
        </w:rPr>
      </w:pPr>
      <w:r>
        <w:rPr>
          <w:rFonts w:ascii="Arial Narrow" w:hAnsi="Arial Narrow"/>
          <w:sz w:val="28"/>
          <w:szCs w:val="28"/>
          <w:shd w:val="clear" w:color="auto" w:fill="FFFFFF"/>
        </w:rPr>
        <w:t>Al respecto</w:t>
      </w:r>
      <w:r w:rsidR="00962C58" w:rsidRPr="00291C1A">
        <w:rPr>
          <w:rFonts w:ascii="Arial Narrow" w:hAnsi="Arial Narrow"/>
          <w:sz w:val="28"/>
          <w:szCs w:val="28"/>
          <w:shd w:val="clear" w:color="auto" w:fill="FFFFFF"/>
        </w:rPr>
        <w:t>, la jurisprudencia constitucional se ha encargado de señalar que la liquidación de las pensiones debe hacerse con base en la asignación realmente devengada por el trabajador, pues hacerlo a partir de una asignación distinta implicaría un trato discriminatorio</w:t>
      </w:r>
      <w:r w:rsidR="008A3487" w:rsidRPr="00291C1A">
        <w:rPr>
          <w:rFonts w:ascii="Arial Narrow" w:hAnsi="Arial Narrow"/>
          <w:sz w:val="28"/>
          <w:szCs w:val="28"/>
          <w:shd w:val="clear" w:color="auto" w:fill="FFFFFF"/>
        </w:rPr>
        <w:t xml:space="preserve"> y un desconocimiento </w:t>
      </w:r>
      <w:r w:rsidR="00E5261F" w:rsidRPr="00291C1A">
        <w:rPr>
          <w:rFonts w:ascii="Arial Narrow" w:hAnsi="Arial Narrow"/>
          <w:sz w:val="28"/>
          <w:szCs w:val="28"/>
          <w:shd w:val="clear" w:color="auto" w:fill="FFFFFF"/>
        </w:rPr>
        <w:t>a</w:t>
      </w:r>
      <w:r w:rsidR="008A3487" w:rsidRPr="00291C1A">
        <w:rPr>
          <w:rFonts w:ascii="Arial Narrow" w:hAnsi="Arial Narrow"/>
          <w:sz w:val="28"/>
          <w:szCs w:val="28"/>
          <w:shd w:val="clear" w:color="auto" w:fill="FFFFFF"/>
        </w:rPr>
        <w:t xml:space="preserve">l principio de primacía de la realidad en las relaciones laborales, </w:t>
      </w:r>
      <w:r w:rsidR="00962C58" w:rsidRPr="00291C1A">
        <w:rPr>
          <w:rFonts w:ascii="Arial Narrow" w:hAnsi="Arial Narrow"/>
          <w:sz w:val="28"/>
          <w:szCs w:val="28"/>
          <w:shd w:val="clear" w:color="auto" w:fill="FFFFFF"/>
        </w:rPr>
        <w:t xml:space="preserve">toda vez que el legislador </w:t>
      </w:r>
      <w:r w:rsidR="0019467F" w:rsidRPr="00291C1A">
        <w:rPr>
          <w:rFonts w:ascii="Arial Narrow" w:hAnsi="Arial Narrow"/>
          <w:sz w:val="28"/>
          <w:szCs w:val="28"/>
          <w:shd w:val="clear" w:color="auto" w:fill="FFFFFF"/>
        </w:rPr>
        <w:t xml:space="preserve">pese a </w:t>
      </w:r>
      <w:r w:rsidR="00962C58" w:rsidRPr="00291C1A">
        <w:rPr>
          <w:rFonts w:ascii="Arial Narrow" w:hAnsi="Arial Narrow"/>
          <w:sz w:val="28"/>
          <w:szCs w:val="28"/>
          <w:shd w:val="clear" w:color="auto" w:fill="FFFFFF"/>
        </w:rPr>
        <w:t>su amplia facultad de configuración en materia de seguridad social, no est</w:t>
      </w:r>
      <w:r w:rsidR="00C72634" w:rsidRPr="00291C1A">
        <w:rPr>
          <w:rFonts w:ascii="Arial Narrow" w:hAnsi="Arial Narrow"/>
          <w:sz w:val="28"/>
          <w:szCs w:val="28"/>
          <w:shd w:val="clear" w:color="auto" w:fill="FFFFFF"/>
        </w:rPr>
        <w:t xml:space="preserve">á facultado para excluir </w:t>
      </w:r>
      <w:r w:rsidR="00962C58" w:rsidRPr="00291C1A">
        <w:rPr>
          <w:rFonts w:ascii="Arial Narrow" w:hAnsi="Arial Narrow"/>
          <w:sz w:val="28"/>
          <w:szCs w:val="28"/>
          <w:shd w:val="clear" w:color="auto" w:fill="FFFFFF"/>
        </w:rPr>
        <w:t xml:space="preserve">el salario del trabajador como elemento </w:t>
      </w:r>
      <w:r w:rsidR="0019467F" w:rsidRPr="00291C1A">
        <w:rPr>
          <w:rFonts w:ascii="Arial Narrow" w:hAnsi="Arial Narrow"/>
          <w:sz w:val="28"/>
          <w:szCs w:val="28"/>
          <w:shd w:val="clear" w:color="auto" w:fill="FFFFFF"/>
        </w:rPr>
        <w:t xml:space="preserve">determinante </w:t>
      </w:r>
      <w:r w:rsidR="00962C58" w:rsidRPr="00291C1A">
        <w:rPr>
          <w:rFonts w:ascii="Arial Narrow" w:hAnsi="Arial Narrow"/>
          <w:sz w:val="28"/>
          <w:szCs w:val="28"/>
          <w:shd w:val="clear" w:color="auto" w:fill="FFFFFF"/>
        </w:rPr>
        <w:t xml:space="preserve">del monto </w:t>
      </w:r>
      <w:r w:rsidR="00E5261F" w:rsidRPr="00291C1A">
        <w:rPr>
          <w:rFonts w:ascii="Arial Narrow" w:hAnsi="Arial Narrow"/>
          <w:sz w:val="28"/>
          <w:szCs w:val="28"/>
          <w:shd w:val="clear" w:color="auto" w:fill="FFFFFF"/>
        </w:rPr>
        <w:t>de su pensión</w:t>
      </w:r>
      <w:r w:rsidR="00962C58" w:rsidRPr="00291C1A">
        <w:rPr>
          <w:rFonts w:ascii="Arial Narrow" w:hAnsi="Arial Narrow"/>
          <w:sz w:val="28"/>
          <w:szCs w:val="28"/>
          <w:shd w:val="clear" w:color="auto" w:fill="FFFFFF"/>
        </w:rPr>
        <w:t xml:space="preserve">. </w:t>
      </w:r>
    </w:p>
    <w:p w:rsidR="00353EDF" w:rsidRDefault="00353EDF" w:rsidP="00715831">
      <w:pPr>
        <w:pStyle w:val="Sinespaciado"/>
        <w:rPr>
          <w:shd w:val="clear" w:color="auto" w:fill="FFFFFF"/>
        </w:rPr>
      </w:pPr>
    </w:p>
    <w:p w:rsidR="00A746B9" w:rsidRPr="00291C1A" w:rsidRDefault="0019467F" w:rsidP="006B2D0C">
      <w:pPr>
        <w:pStyle w:val="bodytext21"/>
        <w:shd w:val="clear" w:color="auto" w:fill="FFFFFF"/>
        <w:spacing w:before="0" w:beforeAutospacing="0" w:after="0" w:afterAutospacing="0" w:line="360" w:lineRule="auto"/>
        <w:ind w:right="51" w:firstLine="708"/>
        <w:jc w:val="both"/>
        <w:textAlignment w:val="baseline"/>
        <w:rPr>
          <w:rFonts w:ascii="Arial Narrow" w:hAnsi="Arial Narrow"/>
          <w:sz w:val="28"/>
          <w:szCs w:val="28"/>
          <w:shd w:val="clear" w:color="auto" w:fill="FFFFFF"/>
        </w:rPr>
      </w:pPr>
      <w:r w:rsidRPr="00291C1A">
        <w:rPr>
          <w:rFonts w:ascii="Arial Narrow" w:hAnsi="Arial Narrow"/>
          <w:sz w:val="28"/>
          <w:szCs w:val="28"/>
          <w:shd w:val="clear" w:color="auto" w:fill="FFFFFF"/>
        </w:rPr>
        <w:t xml:space="preserve">No </w:t>
      </w:r>
      <w:r w:rsidR="00A746B9" w:rsidRPr="00291C1A">
        <w:rPr>
          <w:rFonts w:ascii="Arial Narrow" w:hAnsi="Arial Narrow"/>
          <w:sz w:val="28"/>
          <w:szCs w:val="28"/>
          <w:shd w:val="clear" w:color="auto" w:fill="FFFFFF"/>
        </w:rPr>
        <w:t>obstante</w:t>
      </w:r>
      <w:r w:rsidRPr="00291C1A">
        <w:rPr>
          <w:rFonts w:ascii="Arial Narrow" w:hAnsi="Arial Narrow"/>
          <w:sz w:val="28"/>
          <w:szCs w:val="28"/>
          <w:shd w:val="clear" w:color="auto" w:fill="FFFFFF"/>
        </w:rPr>
        <w:t xml:space="preserve"> lo anterior, dicha C</w:t>
      </w:r>
      <w:r w:rsidR="00C72634" w:rsidRPr="00291C1A">
        <w:rPr>
          <w:rFonts w:ascii="Arial Narrow" w:hAnsi="Arial Narrow"/>
          <w:sz w:val="28"/>
          <w:szCs w:val="28"/>
          <w:shd w:val="clear" w:color="auto" w:fill="FFFFFF"/>
        </w:rPr>
        <w:t xml:space="preserve">orporación </w:t>
      </w:r>
      <w:r w:rsidRPr="00291C1A">
        <w:rPr>
          <w:rFonts w:ascii="Arial Narrow" w:hAnsi="Arial Narrow"/>
          <w:sz w:val="28"/>
          <w:szCs w:val="28"/>
          <w:shd w:val="clear" w:color="auto" w:fill="FFFFFF"/>
        </w:rPr>
        <w:t xml:space="preserve">también </w:t>
      </w:r>
      <w:r w:rsidR="001A79E9" w:rsidRPr="00291C1A">
        <w:rPr>
          <w:rFonts w:ascii="Arial Narrow" w:hAnsi="Arial Narrow"/>
          <w:sz w:val="28"/>
          <w:szCs w:val="28"/>
          <w:shd w:val="clear" w:color="auto" w:fill="FFFFFF"/>
        </w:rPr>
        <w:t xml:space="preserve">hizo hincapié en la importancia de </w:t>
      </w:r>
      <w:r w:rsidR="00C72634" w:rsidRPr="00291C1A">
        <w:rPr>
          <w:rFonts w:ascii="Arial Narrow" w:hAnsi="Arial Narrow"/>
          <w:sz w:val="28"/>
          <w:szCs w:val="28"/>
          <w:shd w:val="clear" w:color="auto" w:fill="FFFFFF"/>
        </w:rPr>
        <w:t xml:space="preserve">respetar los límites máximos que establece la ley para preservar el equilibrio financiero </w:t>
      </w:r>
      <w:r w:rsidRPr="00291C1A">
        <w:rPr>
          <w:rFonts w:ascii="Arial Narrow" w:hAnsi="Arial Narrow"/>
          <w:sz w:val="28"/>
          <w:szCs w:val="28"/>
          <w:shd w:val="clear" w:color="auto" w:fill="FFFFFF"/>
        </w:rPr>
        <w:t>del Sistema de Seguridad Social en pensiones</w:t>
      </w:r>
      <w:r w:rsidR="00C72634" w:rsidRPr="00291C1A">
        <w:rPr>
          <w:rFonts w:ascii="Arial Narrow" w:hAnsi="Arial Narrow"/>
          <w:sz w:val="28"/>
          <w:szCs w:val="28"/>
          <w:shd w:val="clear" w:color="auto" w:fill="FFFFFF"/>
        </w:rPr>
        <w:t xml:space="preserve">, que tiene como </w:t>
      </w:r>
      <w:r w:rsidR="00C72634" w:rsidRPr="00291C1A">
        <w:rPr>
          <w:rFonts w:ascii="Arial Narrow" w:hAnsi="Arial Narrow"/>
          <w:sz w:val="28"/>
          <w:szCs w:val="28"/>
          <w:shd w:val="clear" w:color="auto" w:fill="FFFFFF"/>
        </w:rPr>
        <w:lastRenderedPageBreak/>
        <w:t>fundamento el artículo 48 de</w:t>
      </w:r>
      <w:r w:rsidR="00F76080" w:rsidRPr="00291C1A">
        <w:rPr>
          <w:rFonts w:ascii="Arial Narrow" w:hAnsi="Arial Narrow"/>
          <w:sz w:val="28"/>
          <w:szCs w:val="28"/>
          <w:shd w:val="clear" w:color="auto" w:fill="FFFFFF"/>
        </w:rPr>
        <w:t xml:space="preserve"> la C.N, por lo que </w:t>
      </w:r>
      <w:r w:rsidR="006B2D0C" w:rsidRPr="00291C1A">
        <w:rPr>
          <w:rFonts w:ascii="Arial Narrow" w:hAnsi="Arial Narrow"/>
          <w:sz w:val="28"/>
          <w:szCs w:val="28"/>
          <w:shd w:val="clear" w:color="auto" w:fill="FFFFFF"/>
        </w:rPr>
        <w:t xml:space="preserve">en sentencia T- 1036 de 2005, determinó que la omisión de reportar el salario realmente devengado cede ante los límites máximos del salario asegurable impuestos por la ley, amén de que </w:t>
      </w:r>
      <w:r w:rsidR="009B5921" w:rsidRPr="00291C1A">
        <w:rPr>
          <w:rFonts w:ascii="Arial Narrow" w:hAnsi="Arial Narrow"/>
          <w:sz w:val="28"/>
          <w:szCs w:val="28"/>
          <w:shd w:val="clear" w:color="auto" w:fill="FFFFFF"/>
        </w:rPr>
        <w:t xml:space="preserve">el salario a tener en cuenta </w:t>
      </w:r>
      <w:r w:rsidR="006B2D0C" w:rsidRPr="00291C1A">
        <w:rPr>
          <w:rFonts w:ascii="Arial Narrow" w:hAnsi="Arial Narrow"/>
          <w:sz w:val="28"/>
          <w:szCs w:val="28"/>
          <w:shd w:val="clear" w:color="auto" w:fill="FFFFFF"/>
        </w:rPr>
        <w:t xml:space="preserve">en la liquidación de la pensión y de las demás prestaciones sociales es el cotizado a la entidad de seguridad social. </w:t>
      </w:r>
    </w:p>
    <w:p w:rsidR="00DD585C" w:rsidRPr="00715831" w:rsidRDefault="00DD585C" w:rsidP="00715831">
      <w:pPr>
        <w:pStyle w:val="Sinespaciado"/>
      </w:pPr>
    </w:p>
    <w:p w:rsidR="00C0721C" w:rsidRPr="00291C1A" w:rsidRDefault="00EC59BA" w:rsidP="00DD585C">
      <w:pPr>
        <w:pStyle w:val="bodytext21"/>
        <w:shd w:val="clear" w:color="auto" w:fill="FFFFFF"/>
        <w:spacing w:before="0" w:beforeAutospacing="0" w:after="0" w:afterAutospacing="0" w:line="360" w:lineRule="auto"/>
        <w:ind w:right="51" w:firstLine="708"/>
        <w:jc w:val="both"/>
        <w:textAlignment w:val="baseline"/>
        <w:rPr>
          <w:rFonts w:ascii="Arial Narrow" w:hAnsi="Arial Narrow"/>
          <w:sz w:val="28"/>
          <w:szCs w:val="28"/>
          <w:shd w:val="clear" w:color="auto" w:fill="FFFFFF"/>
        </w:rPr>
      </w:pPr>
      <w:r w:rsidRPr="00291C1A">
        <w:rPr>
          <w:rFonts w:ascii="Arial Narrow" w:hAnsi="Arial Narrow"/>
          <w:sz w:val="28"/>
          <w:szCs w:val="28"/>
          <w:shd w:val="clear" w:color="auto" w:fill="FFFFFF"/>
        </w:rPr>
        <w:t xml:space="preserve">En ese sentido, </w:t>
      </w:r>
      <w:r w:rsidR="00EB4EA5" w:rsidRPr="00291C1A">
        <w:rPr>
          <w:rFonts w:ascii="Arial Narrow" w:hAnsi="Arial Narrow"/>
          <w:sz w:val="28"/>
          <w:szCs w:val="28"/>
          <w:shd w:val="clear" w:color="auto" w:fill="FFFFFF"/>
        </w:rPr>
        <w:t xml:space="preserve">considera la Sala que </w:t>
      </w:r>
      <w:r w:rsidR="00DD585C" w:rsidRPr="00291C1A">
        <w:rPr>
          <w:rFonts w:ascii="Arial Narrow" w:hAnsi="Arial Narrow"/>
          <w:sz w:val="28"/>
          <w:szCs w:val="28"/>
          <w:shd w:val="clear" w:color="auto" w:fill="FFFFFF"/>
        </w:rPr>
        <w:t>si bien en el caso de autos el ex</w:t>
      </w:r>
      <w:r w:rsidR="00B951B4" w:rsidRPr="00291C1A">
        <w:rPr>
          <w:rFonts w:ascii="Arial Narrow" w:hAnsi="Arial Narrow"/>
          <w:sz w:val="28"/>
          <w:szCs w:val="28"/>
          <w:shd w:val="clear" w:color="auto" w:fill="FFFFFF"/>
        </w:rPr>
        <w:t xml:space="preserve"> </w:t>
      </w:r>
      <w:r w:rsidR="00DD585C" w:rsidRPr="00291C1A">
        <w:rPr>
          <w:rFonts w:ascii="Arial Narrow" w:hAnsi="Arial Narrow"/>
          <w:sz w:val="28"/>
          <w:szCs w:val="28"/>
          <w:shd w:val="clear" w:color="auto" w:fill="FFFFFF"/>
        </w:rPr>
        <w:t xml:space="preserve">empleador Federación Nacional de Cafeteros, por mandato legal, cotizó sobre una base inferior a la realmente devengada por el demandante, en virtud a que antes de la entrada en vigencia de la Ley 100 de 1993, existían categorías predeterminadas de cotización en el Seguro Social, no es procedente </w:t>
      </w:r>
      <w:r w:rsidR="00EB4EA5" w:rsidRPr="00291C1A">
        <w:rPr>
          <w:rFonts w:ascii="Arial Narrow" w:hAnsi="Arial Narrow"/>
          <w:sz w:val="28"/>
          <w:szCs w:val="28"/>
          <w:shd w:val="clear" w:color="auto" w:fill="FFFFFF"/>
        </w:rPr>
        <w:t xml:space="preserve">efectuar la liquidación del IBL con base en los salarios </w:t>
      </w:r>
      <w:r w:rsidR="005120D2" w:rsidRPr="00291C1A">
        <w:rPr>
          <w:rFonts w:ascii="Arial Narrow" w:hAnsi="Arial Narrow"/>
          <w:sz w:val="28"/>
          <w:szCs w:val="28"/>
          <w:shd w:val="clear" w:color="auto" w:fill="FFFFFF"/>
        </w:rPr>
        <w:t>que se aluden en el libelo de</w:t>
      </w:r>
      <w:r w:rsidR="00EB4EA5" w:rsidRPr="00291C1A">
        <w:rPr>
          <w:rFonts w:ascii="Arial Narrow" w:hAnsi="Arial Narrow"/>
          <w:sz w:val="28"/>
          <w:szCs w:val="28"/>
          <w:shd w:val="clear" w:color="auto" w:fill="FFFFFF"/>
        </w:rPr>
        <w:t xml:space="preserve"> demanda, habida cuenta </w:t>
      </w:r>
      <w:r w:rsidR="00767409" w:rsidRPr="00291C1A">
        <w:rPr>
          <w:rFonts w:ascii="Arial Narrow" w:hAnsi="Arial Narrow"/>
          <w:sz w:val="28"/>
          <w:szCs w:val="28"/>
          <w:shd w:val="clear" w:color="auto" w:fill="FFFFFF"/>
        </w:rPr>
        <w:t>que</w:t>
      </w:r>
      <w:r w:rsidR="00481840" w:rsidRPr="00291C1A">
        <w:rPr>
          <w:rFonts w:ascii="Arial Narrow" w:hAnsi="Arial Narrow"/>
          <w:sz w:val="28"/>
          <w:szCs w:val="28"/>
          <w:shd w:val="clear" w:color="auto" w:fill="FFFFFF"/>
        </w:rPr>
        <w:t>:</w:t>
      </w:r>
    </w:p>
    <w:p w:rsidR="00C0721C" w:rsidRPr="00715831" w:rsidRDefault="00C0721C" w:rsidP="00715831">
      <w:pPr>
        <w:pStyle w:val="Sinespaciado"/>
      </w:pPr>
    </w:p>
    <w:p w:rsidR="00C526C4" w:rsidRPr="00291C1A" w:rsidRDefault="00C0721C" w:rsidP="00116E97">
      <w:pPr>
        <w:pStyle w:val="bodytext21"/>
        <w:numPr>
          <w:ilvl w:val="0"/>
          <w:numId w:val="2"/>
        </w:numPr>
        <w:shd w:val="clear" w:color="auto" w:fill="FFFFFF"/>
        <w:spacing w:before="0" w:beforeAutospacing="0" w:after="0" w:afterAutospacing="0" w:line="360" w:lineRule="auto"/>
        <w:ind w:left="0" w:right="51" w:firstLine="709"/>
        <w:jc w:val="both"/>
        <w:textAlignment w:val="baseline"/>
        <w:rPr>
          <w:rFonts w:ascii="Arial Narrow" w:hAnsi="Arial Narrow"/>
          <w:sz w:val="28"/>
          <w:szCs w:val="28"/>
          <w:shd w:val="clear" w:color="auto" w:fill="FFFFFF"/>
        </w:rPr>
      </w:pPr>
      <w:r w:rsidRPr="00291C1A">
        <w:rPr>
          <w:rFonts w:ascii="Arial Narrow" w:hAnsi="Arial Narrow"/>
          <w:sz w:val="28"/>
          <w:szCs w:val="28"/>
          <w:shd w:val="clear" w:color="auto" w:fill="FFFFFF"/>
        </w:rPr>
        <w:t>N</w:t>
      </w:r>
      <w:r w:rsidR="005A5C81" w:rsidRPr="00291C1A">
        <w:rPr>
          <w:rFonts w:ascii="Arial Narrow" w:hAnsi="Arial Narrow"/>
          <w:sz w:val="28"/>
          <w:szCs w:val="28"/>
          <w:shd w:val="clear" w:color="auto" w:fill="FFFFFF"/>
        </w:rPr>
        <w:t xml:space="preserve">o </w:t>
      </w:r>
      <w:r w:rsidR="00107781" w:rsidRPr="00291C1A">
        <w:rPr>
          <w:rFonts w:ascii="Arial Narrow" w:hAnsi="Arial Narrow"/>
          <w:sz w:val="28"/>
          <w:szCs w:val="28"/>
          <w:shd w:val="clear" w:color="auto" w:fill="FFFFFF"/>
        </w:rPr>
        <w:t>se acredit</w:t>
      </w:r>
      <w:r w:rsidR="0098496A" w:rsidRPr="00291C1A">
        <w:rPr>
          <w:rFonts w:ascii="Arial Narrow" w:hAnsi="Arial Narrow"/>
          <w:sz w:val="28"/>
          <w:szCs w:val="28"/>
          <w:shd w:val="clear" w:color="auto" w:fill="FFFFFF"/>
        </w:rPr>
        <w:t xml:space="preserve">ó que </w:t>
      </w:r>
      <w:r w:rsidR="00E8417D" w:rsidRPr="00291C1A">
        <w:rPr>
          <w:rFonts w:ascii="Arial Narrow" w:hAnsi="Arial Narrow"/>
          <w:sz w:val="28"/>
          <w:szCs w:val="28"/>
          <w:shd w:val="clear" w:color="auto" w:fill="FFFFFF"/>
        </w:rPr>
        <w:t xml:space="preserve">tales salarios fueran los que realmente devengó </w:t>
      </w:r>
      <w:r w:rsidR="00481840" w:rsidRPr="00291C1A">
        <w:rPr>
          <w:rFonts w:ascii="Arial Narrow" w:hAnsi="Arial Narrow"/>
          <w:sz w:val="28"/>
          <w:szCs w:val="28"/>
          <w:shd w:val="clear" w:color="auto" w:fill="FFFFFF"/>
        </w:rPr>
        <w:t xml:space="preserve">el </w:t>
      </w:r>
      <w:r w:rsidR="003772FA" w:rsidRPr="00291C1A">
        <w:rPr>
          <w:rFonts w:ascii="Arial Narrow" w:hAnsi="Arial Narrow"/>
          <w:sz w:val="28"/>
          <w:szCs w:val="28"/>
          <w:shd w:val="clear" w:color="auto" w:fill="FFFFFF"/>
        </w:rPr>
        <w:t xml:space="preserve">actor </w:t>
      </w:r>
      <w:r w:rsidR="00E8417D" w:rsidRPr="00291C1A">
        <w:rPr>
          <w:rFonts w:ascii="Arial Narrow" w:hAnsi="Arial Narrow"/>
          <w:sz w:val="28"/>
          <w:szCs w:val="28"/>
          <w:shd w:val="clear" w:color="auto" w:fill="FFFFFF"/>
        </w:rPr>
        <w:t>par</w:t>
      </w:r>
      <w:r w:rsidR="00767409" w:rsidRPr="00291C1A">
        <w:rPr>
          <w:rFonts w:ascii="Arial Narrow" w:hAnsi="Arial Narrow"/>
          <w:sz w:val="28"/>
          <w:szCs w:val="28"/>
          <w:shd w:val="clear" w:color="auto" w:fill="FFFFFF"/>
        </w:rPr>
        <w:t>a los ciclos de octubre</w:t>
      </w:r>
      <w:r w:rsidR="00481840" w:rsidRPr="00291C1A">
        <w:rPr>
          <w:rFonts w:ascii="Arial Narrow" w:hAnsi="Arial Narrow"/>
          <w:sz w:val="28"/>
          <w:szCs w:val="28"/>
          <w:shd w:val="clear" w:color="auto" w:fill="FFFFFF"/>
        </w:rPr>
        <w:t xml:space="preserve"> de 1991 a</w:t>
      </w:r>
      <w:r w:rsidR="00767409" w:rsidRPr="00291C1A">
        <w:rPr>
          <w:rFonts w:ascii="Arial Narrow" w:hAnsi="Arial Narrow"/>
          <w:sz w:val="28"/>
          <w:szCs w:val="28"/>
          <w:shd w:val="clear" w:color="auto" w:fill="FFFFFF"/>
        </w:rPr>
        <w:t xml:space="preserve"> diciembre</w:t>
      </w:r>
      <w:r w:rsidR="0055420C" w:rsidRPr="00291C1A">
        <w:rPr>
          <w:rFonts w:ascii="Arial Narrow" w:hAnsi="Arial Narrow"/>
          <w:sz w:val="28"/>
          <w:szCs w:val="28"/>
          <w:shd w:val="clear" w:color="auto" w:fill="FFFFFF"/>
        </w:rPr>
        <w:t xml:space="preserve"> de 199</w:t>
      </w:r>
      <w:r w:rsidR="00481840" w:rsidRPr="00291C1A">
        <w:rPr>
          <w:rFonts w:ascii="Arial Narrow" w:hAnsi="Arial Narrow"/>
          <w:sz w:val="28"/>
          <w:szCs w:val="28"/>
          <w:shd w:val="clear" w:color="auto" w:fill="FFFFFF"/>
        </w:rPr>
        <w:t>3</w:t>
      </w:r>
      <w:r w:rsidR="003772FA" w:rsidRPr="00291C1A">
        <w:rPr>
          <w:rFonts w:ascii="Arial Narrow" w:hAnsi="Arial Narrow"/>
          <w:sz w:val="28"/>
          <w:szCs w:val="28"/>
          <w:shd w:val="clear" w:color="auto" w:fill="FFFFFF"/>
        </w:rPr>
        <w:t>, pues ninguna prueba se allegó en tal sentido.</w:t>
      </w:r>
    </w:p>
    <w:p w:rsidR="00B57490" w:rsidRPr="008B5088" w:rsidRDefault="00B57490" w:rsidP="008B5088">
      <w:pPr>
        <w:pStyle w:val="Sinespaciado"/>
      </w:pPr>
    </w:p>
    <w:p w:rsidR="009B5921" w:rsidRPr="00291C1A" w:rsidRDefault="00952757" w:rsidP="00116E97">
      <w:pPr>
        <w:pStyle w:val="bodytext21"/>
        <w:numPr>
          <w:ilvl w:val="0"/>
          <w:numId w:val="2"/>
        </w:numPr>
        <w:shd w:val="clear" w:color="auto" w:fill="FFFFFF"/>
        <w:spacing w:before="0" w:beforeAutospacing="0" w:after="0" w:afterAutospacing="0" w:line="360" w:lineRule="auto"/>
        <w:ind w:left="0" w:right="51" w:firstLine="709"/>
        <w:jc w:val="both"/>
        <w:textAlignment w:val="baseline"/>
        <w:rPr>
          <w:rFonts w:ascii="Arial Narrow" w:hAnsi="Arial Narrow"/>
          <w:sz w:val="28"/>
          <w:szCs w:val="28"/>
          <w:shd w:val="clear" w:color="auto" w:fill="FFFFFF"/>
        </w:rPr>
      </w:pPr>
      <w:r w:rsidRPr="00291C1A">
        <w:rPr>
          <w:rFonts w:ascii="Arial Narrow" w:hAnsi="Arial Narrow"/>
          <w:sz w:val="28"/>
          <w:szCs w:val="28"/>
          <w:shd w:val="clear" w:color="auto" w:fill="FFFFFF"/>
        </w:rPr>
        <w:t xml:space="preserve">Tampoco se convocó a juicio a dicho empleador a efectos de que cancelara </w:t>
      </w:r>
      <w:r w:rsidR="009B5921" w:rsidRPr="00291C1A">
        <w:rPr>
          <w:rFonts w:ascii="Arial Narrow" w:hAnsi="Arial Narrow"/>
          <w:sz w:val="28"/>
          <w:szCs w:val="28"/>
          <w:shd w:val="clear" w:color="auto" w:fill="FFFFFF"/>
        </w:rPr>
        <w:t xml:space="preserve">las sumas correspondientes a los aportes o cotizaciones que no fueron pagados en debida forma, en razón a que fueron liquidados teniendo en cuenta un salario inferior al realmente devengado por el actor, </w:t>
      </w:r>
      <w:r w:rsidR="00B57490" w:rsidRPr="00291C1A">
        <w:rPr>
          <w:rFonts w:ascii="Arial Narrow" w:hAnsi="Arial Narrow"/>
          <w:sz w:val="28"/>
          <w:szCs w:val="28"/>
          <w:shd w:val="clear" w:color="auto" w:fill="FFFFFF"/>
        </w:rPr>
        <w:t xml:space="preserve">por lo que mal haría este cuerpo colegiado en emitir condena en su contra, sin darle </w:t>
      </w:r>
      <w:r w:rsidR="00B31F46" w:rsidRPr="00291C1A">
        <w:rPr>
          <w:rFonts w:ascii="Arial Narrow" w:hAnsi="Arial Narrow"/>
          <w:sz w:val="28"/>
          <w:szCs w:val="28"/>
          <w:shd w:val="clear" w:color="auto" w:fill="FFFFFF"/>
        </w:rPr>
        <w:t xml:space="preserve">siquiera </w:t>
      </w:r>
      <w:r w:rsidR="00B57490" w:rsidRPr="00291C1A">
        <w:rPr>
          <w:rFonts w:ascii="Arial Narrow" w:hAnsi="Arial Narrow"/>
          <w:sz w:val="28"/>
          <w:szCs w:val="28"/>
          <w:shd w:val="clear" w:color="auto" w:fill="FFFFFF"/>
        </w:rPr>
        <w:t xml:space="preserve">la oportunidad de ejercer el derecho de contradicción y de defensa. </w:t>
      </w:r>
    </w:p>
    <w:p w:rsidR="00507CF6" w:rsidRPr="00715831" w:rsidRDefault="00507CF6" w:rsidP="00715831">
      <w:pPr>
        <w:pStyle w:val="Sinespaciado"/>
      </w:pPr>
    </w:p>
    <w:p w:rsidR="00C526C4" w:rsidRPr="00291C1A" w:rsidRDefault="00507CF6" w:rsidP="007326B1">
      <w:pPr>
        <w:pStyle w:val="bodytext21"/>
        <w:numPr>
          <w:ilvl w:val="0"/>
          <w:numId w:val="2"/>
        </w:numPr>
        <w:shd w:val="clear" w:color="auto" w:fill="FFFFFF"/>
        <w:spacing w:before="0" w:beforeAutospacing="0" w:after="0" w:afterAutospacing="0" w:line="360" w:lineRule="auto"/>
        <w:ind w:left="0" w:right="51" w:firstLine="708"/>
        <w:jc w:val="both"/>
        <w:textAlignment w:val="baseline"/>
        <w:rPr>
          <w:rFonts w:ascii="Arial Narrow" w:hAnsi="Arial Narrow"/>
          <w:sz w:val="28"/>
          <w:szCs w:val="28"/>
          <w:shd w:val="clear" w:color="auto" w:fill="FFFFFF"/>
        </w:rPr>
      </w:pPr>
      <w:r w:rsidRPr="00291C1A">
        <w:rPr>
          <w:rFonts w:ascii="Arial Narrow" w:hAnsi="Arial Narrow"/>
          <w:sz w:val="28"/>
          <w:szCs w:val="28"/>
          <w:shd w:val="clear" w:color="auto" w:fill="FFFFFF"/>
        </w:rPr>
        <w:t xml:space="preserve">La Constitución Política, la jurisprudencia atrás citada y </w:t>
      </w:r>
      <w:r w:rsidR="00AD77B1" w:rsidRPr="00291C1A">
        <w:rPr>
          <w:rFonts w:ascii="Arial Narrow" w:hAnsi="Arial Narrow"/>
          <w:sz w:val="28"/>
          <w:szCs w:val="28"/>
          <w:shd w:val="clear" w:color="auto" w:fill="FFFFFF"/>
        </w:rPr>
        <w:t xml:space="preserve">el artículo 1º del Acto Legislativo 01 de 2005, </w:t>
      </w:r>
      <w:r w:rsidR="007326B1" w:rsidRPr="00291C1A">
        <w:rPr>
          <w:rFonts w:ascii="Arial Narrow" w:hAnsi="Arial Narrow"/>
          <w:sz w:val="28"/>
          <w:szCs w:val="28"/>
          <w:shd w:val="clear" w:color="auto" w:fill="FFFFFF"/>
        </w:rPr>
        <w:t xml:space="preserve">establecen que para la liquidación de la pensión </w:t>
      </w:r>
      <w:r w:rsidR="00F32519" w:rsidRPr="00291C1A">
        <w:rPr>
          <w:rFonts w:ascii="Arial Narrow" w:hAnsi="Arial Narrow"/>
          <w:sz w:val="28"/>
          <w:szCs w:val="28"/>
          <w:shd w:val="clear" w:color="auto" w:fill="FFFFFF"/>
        </w:rPr>
        <w:t xml:space="preserve">deberán tenerse en </w:t>
      </w:r>
      <w:r w:rsidR="007326B1" w:rsidRPr="00291C1A">
        <w:rPr>
          <w:rFonts w:ascii="Arial Narrow" w:hAnsi="Arial Narrow"/>
          <w:sz w:val="28"/>
          <w:szCs w:val="28"/>
          <w:shd w:val="clear" w:color="auto" w:fill="FFFFFF"/>
        </w:rPr>
        <w:t xml:space="preserve">cuenta los salarios sobre los cuales el afiliado hubiere efectuado las cotizaciones. </w:t>
      </w:r>
      <w:r w:rsidRPr="00291C1A">
        <w:rPr>
          <w:rFonts w:ascii="Arial Narrow" w:hAnsi="Arial Narrow"/>
          <w:sz w:val="28"/>
          <w:szCs w:val="28"/>
          <w:shd w:val="clear" w:color="auto" w:fill="FFFFFF"/>
        </w:rPr>
        <w:t xml:space="preserve"> </w:t>
      </w:r>
    </w:p>
    <w:p w:rsidR="00C526C4" w:rsidRPr="00715831" w:rsidRDefault="00C526C4" w:rsidP="00715831">
      <w:pPr>
        <w:pStyle w:val="Sinespaciado"/>
      </w:pPr>
    </w:p>
    <w:p w:rsidR="00E30F18" w:rsidRDefault="00F32519" w:rsidP="00477433">
      <w:pPr>
        <w:spacing w:line="360" w:lineRule="auto"/>
        <w:ind w:firstLine="708"/>
        <w:jc w:val="both"/>
        <w:rPr>
          <w:rFonts w:ascii="Arial Narrow" w:hAnsi="Arial Narrow" w:cs="Arial"/>
          <w:iCs/>
          <w:sz w:val="28"/>
          <w:szCs w:val="28"/>
          <w:lang w:val="es-ES"/>
        </w:rPr>
      </w:pPr>
      <w:r w:rsidRPr="00291C1A">
        <w:rPr>
          <w:rFonts w:ascii="Arial Narrow" w:hAnsi="Arial Narrow" w:cs="Arial"/>
          <w:iCs/>
          <w:sz w:val="28"/>
          <w:szCs w:val="28"/>
          <w:lang w:val="es-ES"/>
        </w:rPr>
        <w:t xml:space="preserve">Por lo expuesto, no prospera </w:t>
      </w:r>
      <w:r w:rsidR="00477433" w:rsidRPr="00291C1A">
        <w:rPr>
          <w:rFonts w:ascii="Arial Narrow" w:hAnsi="Arial Narrow" w:cs="Arial"/>
          <w:iCs/>
          <w:sz w:val="28"/>
          <w:szCs w:val="28"/>
          <w:lang w:val="es-ES"/>
        </w:rPr>
        <w:t xml:space="preserve">este segmento del </w:t>
      </w:r>
      <w:r w:rsidR="00E30F18" w:rsidRPr="00291C1A">
        <w:rPr>
          <w:rFonts w:ascii="Arial Narrow" w:hAnsi="Arial Narrow" w:cs="Arial"/>
          <w:iCs/>
          <w:sz w:val="28"/>
          <w:szCs w:val="28"/>
          <w:lang w:val="es-ES"/>
        </w:rPr>
        <w:t xml:space="preserve">recurso de </w:t>
      </w:r>
      <w:r w:rsidRPr="00291C1A">
        <w:rPr>
          <w:rFonts w:ascii="Arial Narrow" w:hAnsi="Arial Narrow" w:cs="Arial"/>
          <w:iCs/>
          <w:sz w:val="28"/>
          <w:szCs w:val="28"/>
          <w:lang w:val="es-ES"/>
        </w:rPr>
        <w:t>alzada interpuesto por el demandante.</w:t>
      </w:r>
    </w:p>
    <w:p w:rsidR="00715831" w:rsidRPr="00291C1A" w:rsidRDefault="00715831" w:rsidP="00715831">
      <w:pPr>
        <w:pStyle w:val="Sinespaciado"/>
        <w:rPr>
          <w:lang w:val="es-ES"/>
        </w:rPr>
      </w:pPr>
    </w:p>
    <w:p w:rsidR="00F32519" w:rsidRPr="00291C1A" w:rsidRDefault="00477433" w:rsidP="00F32519">
      <w:pPr>
        <w:spacing w:line="360" w:lineRule="auto"/>
        <w:ind w:firstLine="708"/>
        <w:jc w:val="both"/>
        <w:rPr>
          <w:rFonts w:ascii="Arial Narrow" w:hAnsi="Arial Narrow" w:cs="Arial"/>
          <w:iCs/>
          <w:sz w:val="28"/>
          <w:szCs w:val="28"/>
          <w:lang w:val="es-ES"/>
        </w:rPr>
      </w:pPr>
      <w:r w:rsidRPr="00291C1A">
        <w:rPr>
          <w:rFonts w:ascii="Arial Narrow" w:hAnsi="Arial Narrow" w:cs="Arial"/>
          <w:iCs/>
          <w:sz w:val="28"/>
          <w:szCs w:val="28"/>
          <w:lang w:val="es-ES"/>
        </w:rPr>
        <w:t xml:space="preserve">En torno </w:t>
      </w:r>
      <w:r w:rsidR="005A746D" w:rsidRPr="00291C1A">
        <w:rPr>
          <w:rFonts w:ascii="Arial Narrow" w:hAnsi="Arial Narrow" w:cs="Arial"/>
          <w:iCs/>
          <w:sz w:val="28"/>
          <w:szCs w:val="28"/>
          <w:lang w:val="es-ES"/>
        </w:rPr>
        <w:t xml:space="preserve">al ataque consistente en </w:t>
      </w:r>
      <w:r w:rsidR="0031674F" w:rsidRPr="00291C1A">
        <w:rPr>
          <w:rFonts w:ascii="Arial Narrow" w:hAnsi="Arial Narrow" w:cs="Arial"/>
          <w:iCs/>
          <w:sz w:val="28"/>
          <w:szCs w:val="28"/>
          <w:lang w:val="es-ES"/>
        </w:rPr>
        <w:t xml:space="preserve">que el cálculo </w:t>
      </w:r>
      <w:r w:rsidR="00F32519" w:rsidRPr="00291C1A">
        <w:rPr>
          <w:rFonts w:ascii="Arial Narrow" w:hAnsi="Arial Narrow" w:cs="Arial"/>
          <w:iCs/>
          <w:sz w:val="28"/>
          <w:szCs w:val="28"/>
          <w:lang w:val="es-ES"/>
        </w:rPr>
        <w:t xml:space="preserve">del IBL </w:t>
      </w:r>
      <w:r w:rsidR="0031674F" w:rsidRPr="00291C1A">
        <w:rPr>
          <w:rFonts w:ascii="Arial Narrow" w:hAnsi="Arial Narrow" w:cs="Arial"/>
          <w:iCs/>
          <w:sz w:val="28"/>
          <w:szCs w:val="28"/>
          <w:lang w:val="es-ES"/>
        </w:rPr>
        <w:t xml:space="preserve">realizado por la a-quo existe una inconsistencia en </w:t>
      </w:r>
      <w:r w:rsidR="005A746D" w:rsidRPr="00291C1A">
        <w:rPr>
          <w:rFonts w:ascii="Arial Narrow" w:hAnsi="Arial Narrow" w:cs="Arial"/>
          <w:iCs/>
          <w:sz w:val="28"/>
          <w:szCs w:val="28"/>
          <w:lang w:val="es-ES"/>
        </w:rPr>
        <w:t>e</w:t>
      </w:r>
      <w:r w:rsidRPr="00291C1A">
        <w:rPr>
          <w:rFonts w:ascii="Arial Narrow" w:hAnsi="Arial Narrow" w:cs="Arial"/>
          <w:iCs/>
          <w:sz w:val="28"/>
          <w:szCs w:val="28"/>
          <w:lang w:val="es-ES"/>
        </w:rPr>
        <w:t>l número de días</w:t>
      </w:r>
      <w:r w:rsidR="00B33471" w:rsidRPr="00291C1A">
        <w:rPr>
          <w:rFonts w:ascii="Arial Narrow" w:hAnsi="Arial Narrow" w:cs="Arial"/>
          <w:iCs/>
          <w:sz w:val="28"/>
          <w:szCs w:val="28"/>
          <w:lang w:val="es-ES"/>
        </w:rPr>
        <w:t xml:space="preserve"> </w:t>
      </w:r>
      <w:r w:rsidR="0031674F" w:rsidRPr="00291C1A">
        <w:rPr>
          <w:rFonts w:ascii="Arial Narrow" w:hAnsi="Arial Narrow" w:cs="Arial"/>
          <w:iCs/>
          <w:sz w:val="28"/>
          <w:szCs w:val="28"/>
          <w:lang w:val="es-ES"/>
        </w:rPr>
        <w:t xml:space="preserve">tenidos </w:t>
      </w:r>
      <w:r w:rsidR="00F32519" w:rsidRPr="00291C1A">
        <w:rPr>
          <w:rFonts w:ascii="Arial Narrow" w:hAnsi="Arial Narrow" w:cs="Arial"/>
          <w:iCs/>
          <w:sz w:val="28"/>
          <w:szCs w:val="28"/>
          <w:lang w:val="es-ES"/>
        </w:rPr>
        <w:t xml:space="preserve">en cuenta, por cuanto incluye un total de 3.650 días, cuando lo correcto era </w:t>
      </w:r>
      <w:r w:rsidR="004C6933" w:rsidRPr="00291C1A">
        <w:rPr>
          <w:rFonts w:ascii="Arial Narrow" w:hAnsi="Arial Narrow" w:cs="Arial"/>
          <w:iCs/>
          <w:sz w:val="28"/>
          <w:szCs w:val="28"/>
          <w:lang w:val="es-ES"/>
        </w:rPr>
        <w:t xml:space="preserve">fijar </w:t>
      </w:r>
      <w:r w:rsidR="00F32519" w:rsidRPr="00291C1A">
        <w:rPr>
          <w:rFonts w:ascii="Arial Narrow" w:hAnsi="Arial Narrow" w:cs="Arial"/>
          <w:iCs/>
          <w:sz w:val="28"/>
          <w:szCs w:val="28"/>
          <w:lang w:val="es-ES"/>
        </w:rPr>
        <w:t>3.600, e</w:t>
      </w:r>
      <w:r w:rsidR="008B5088">
        <w:rPr>
          <w:rFonts w:ascii="Arial Narrow" w:hAnsi="Arial Narrow" w:cs="Arial"/>
          <w:iCs/>
          <w:sz w:val="28"/>
          <w:szCs w:val="28"/>
          <w:lang w:val="es-ES"/>
        </w:rPr>
        <w:t xml:space="preserve">stima </w:t>
      </w:r>
      <w:r w:rsidR="00F32519" w:rsidRPr="00291C1A">
        <w:rPr>
          <w:rFonts w:ascii="Arial Narrow" w:hAnsi="Arial Narrow" w:cs="Arial"/>
          <w:iCs/>
          <w:sz w:val="28"/>
          <w:szCs w:val="28"/>
          <w:lang w:val="es-ES"/>
        </w:rPr>
        <w:t xml:space="preserve">la Sala que </w:t>
      </w:r>
      <w:r w:rsidR="004C6933" w:rsidRPr="00291C1A">
        <w:rPr>
          <w:rFonts w:ascii="Arial Narrow" w:hAnsi="Arial Narrow" w:cs="Arial"/>
          <w:iCs/>
          <w:sz w:val="28"/>
          <w:szCs w:val="28"/>
          <w:lang w:val="es-ES"/>
        </w:rPr>
        <w:t xml:space="preserve">razón le </w:t>
      </w:r>
      <w:r w:rsidR="004C6933" w:rsidRPr="00291C1A">
        <w:rPr>
          <w:rFonts w:ascii="Arial Narrow" w:hAnsi="Arial Narrow" w:cs="Arial"/>
          <w:iCs/>
          <w:sz w:val="28"/>
          <w:szCs w:val="28"/>
          <w:lang w:val="es-ES"/>
        </w:rPr>
        <w:lastRenderedPageBreak/>
        <w:t xml:space="preserve">asiste al recurrente, pues es conocida la posición </w:t>
      </w:r>
      <w:r w:rsidR="008B5088">
        <w:rPr>
          <w:rFonts w:ascii="Arial Narrow" w:hAnsi="Arial Narrow" w:cs="Arial"/>
          <w:iCs/>
          <w:sz w:val="28"/>
          <w:szCs w:val="28"/>
          <w:lang w:val="es-ES"/>
        </w:rPr>
        <w:t xml:space="preserve">de </w:t>
      </w:r>
      <w:r w:rsidR="000F5D44" w:rsidRPr="00291C1A">
        <w:rPr>
          <w:rFonts w:ascii="Arial Narrow" w:hAnsi="Arial Narrow" w:cs="Arial"/>
          <w:iCs/>
          <w:sz w:val="28"/>
          <w:szCs w:val="28"/>
          <w:lang w:val="es-ES"/>
        </w:rPr>
        <w:t>que el equivalente a 10 años efectivamente cotizados, representan 3.600 días.</w:t>
      </w:r>
      <w:r w:rsidR="007627D3" w:rsidRPr="00291C1A">
        <w:rPr>
          <w:rFonts w:ascii="Arial Narrow" w:hAnsi="Arial Narrow" w:cs="Arial"/>
          <w:iCs/>
          <w:sz w:val="28"/>
          <w:szCs w:val="28"/>
          <w:lang w:val="es-ES"/>
        </w:rPr>
        <w:t xml:space="preserve"> Prospera, por ende, este punto de la apelación.</w:t>
      </w:r>
    </w:p>
    <w:p w:rsidR="00E30F18" w:rsidRPr="008B5088" w:rsidRDefault="00E30F18" w:rsidP="008B5088">
      <w:pPr>
        <w:pStyle w:val="Sinespaciado"/>
      </w:pPr>
    </w:p>
    <w:p w:rsidR="00477433" w:rsidRPr="00291C1A" w:rsidRDefault="008B5088" w:rsidP="00477433">
      <w:pPr>
        <w:pStyle w:val="Prrafodelista2"/>
        <w:spacing w:after="0" w:line="360" w:lineRule="auto"/>
        <w:ind w:left="0" w:firstLine="709"/>
        <w:jc w:val="both"/>
        <w:rPr>
          <w:rFonts w:ascii="Arial Narrow" w:hAnsi="Arial Narrow" w:cs="Arial"/>
          <w:sz w:val="28"/>
          <w:szCs w:val="28"/>
        </w:rPr>
      </w:pPr>
      <w:r>
        <w:rPr>
          <w:rFonts w:ascii="Arial Narrow" w:hAnsi="Arial Narrow" w:cs="Arial"/>
          <w:sz w:val="28"/>
          <w:szCs w:val="28"/>
        </w:rPr>
        <w:t>E</w:t>
      </w:r>
      <w:r w:rsidR="00477433" w:rsidRPr="00291C1A">
        <w:rPr>
          <w:rFonts w:ascii="Arial Narrow" w:hAnsi="Arial Narrow" w:cs="Arial"/>
          <w:sz w:val="28"/>
          <w:szCs w:val="28"/>
        </w:rPr>
        <w:t>fectuado el cálculo correspondiente con el promedio de los salarios devengados en los últimos diez años</w:t>
      </w:r>
      <w:r w:rsidR="000F5D44" w:rsidRPr="00291C1A">
        <w:rPr>
          <w:rFonts w:ascii="Arial Narrow" w:hAnsi="Arial Narrow" w:cs="Arial"/>
          <w:sz w:val="28"/>
          <w:szCs w:val="28"/>
        </w:rPr>
        <w:t xml:space="preserve">, que para el presente caso se enmarcan en el lapso comprendido en el </w:t>
      </w:r>
      <w:r w:rsidR="007627D3" w:rsidRPr="00291C1A">
        <w:rPr>
          <w:rFonts w:ascii="Arial Narrow" w:hAnsi="Arial Narrow" w:cs="Arial"/>
          <w:sz w:val="28"/>
          <w:szCs w:val="28"/>
        </w:rPr>
        <w:t xml:space="preserve">15 de febrero de 1992 y el </w:t>
      </w:r>
      <w:r w:rsidR="0002706C" w:rsidRPr="00291C1A">
        <w:rPr>
          <w:rFonts w:ascii="Arial Narrow" w:hAnsi="Arial Narrow" w:cs="Arial"/>
          <w:sz w:val="28"/>
          <w:szCs w:val="28"/>
        </w:rPr>
        <w:t xml:space="preserve">30 de noviembre de 2001, </w:t>
      </w:r>
      <w:r w:rsidR="00477433" w:rsidRPr="00291C1A">
        <w:rPr>
          <w:rFonts w:ascii="Arial Narrow" w:hAnsi="Arial Narrow" w:cs="Arial"/>
          <w:sz w:val="28"/>
          <w:szCs w:val="28"/>
        </w:rPr>
        <w:t>se obtiene un IBL de $</w:t>
      </w:r>
      <w:r w:rsidR="0002706C" w:rsidRPr="00291C1A">
        <w:rPr>
          <w:rFonts w:ascii="Arial Narrow" w:hAnsi="Arial Narrow" w:cs="Arial"/>
          <w:sz w:val="28"/>
          <w:szCs w:val="28"/>
        </w:rPr>
        <w:t xml:space="preserve">5`250.135 </w:t>
      </w:r>
      <w:r w:rsidR="00477433" w:rsidRPr="00291C1A">
        <w:rPr>
          <w:rFonts w:ascii="Arial Narrow" w:hAnsi="Arial Narrow" w:cs="Arial"/>
          <w:sz w:val="28"/>
          <w:szCs w:val="28"/>
        </w:rPr>
        <w:t xml:space="preserve">que al aplicarle una tasa de remplazo del </w:t>
      </w:r>
      <w:r w:rsidR="00831D51" w:rsidRPr="00291C1A">
        <w:rPr>
          <w:rFonts w:ascii="Arial Narrow" w:hAnsi="Arial Narrow" w:cs="Arial"/>
          <w:sz w:val="28"/>
          <w:szCs w:val="28"/>
        </w:rPr>
        <w:t xml:space="preserve">90 %, arroja </w:t>
      </w:r>
      <w:r w:rsidR="00477433" w:rsidRPr="00291C1A">
        <w:rPr>
          <w:rFonts w:ascii="Arial Narrow" w:hAnsi="Arial Narrow" w:cs="Arial"/>
          <w:sz w:val="28"/>
          <w:szCs w:val="28"/>
        </w:rPr>
        <w:t>una mesada</w:t>
      </w:r>
      <w:r w:rsidR="00831D51" w:rsidRPr="00291C1A">
        <w:rPr>
          <w:rFonts w:ascii="Arial Narrow" w:hAnsi="Arial Narrow" w:cs="Arial"/>
          <w:sz w:val="28"/>
          <w:szCs w:val="28"/>
        </w:rPr>
        <w:t xml:space="preserve"> inicial de </w:t>
      </w:r>
      <w:r w:rsidR="00477433" w:rsidRPr="00291C1A">
        <w:rPr>
          <w:rFonts w:ascii="Arial Narrow" w:hAnsi="Arial Narrow" w:cs="Arial"/>
          <w:sz w:val="28"/>
          <w:szCs w:val="28"/>
        </w:rPr>
        <w:t>$</w:t>
      </w:r>
      <w:r w:rsidR="00831D51" w:rsidRPr="00291C1A">
        <w:rPr>
          <w:rFonts w:ascii="Arial Narrow" w:hAnsi="Arial Narrow" w:cs="Arial"/>
          <w:sz w:val="28"/>
          <w:szCs w:val="28"/>
        </w:rPr>
        <w:t>4`725.122, es decir, inferior al quantum reconocido por la a-quo</w:t>
      </w:r>
      <w:r w:rsidR="00291C1A" w:rsidRPr="00291C1A">
        <w:rPr>
          <w:rFonts w:ascii="Arial Narrow" w:hAnsi="Arial Narrow" w:cs="Arial"/>
          <w:sz w:val="28"/>
          <w:szCs w:val="28"/>
        </w:rPr>
        <w:t xml:space="preserve"> en cuantía de </w:t>
      </w:r>
      <w:r w:rsidR="00291C1A" w:rsidRPr="00291C1A">
        <w:rPr>
          <w:rFonts w:ascii="Arial Narrow" w:hAnsi="Arial Narrow" w:cs="Tahoma"/>
          <w:color w:val="000000"/>
          <w:sz w:val="28"/>
          <w:szCs w:val="28"/>
          <w:lang w:eastAsia="es-CO"/>
        </w:rPr>
        <w:t xml:space="preserve">$4`734.692,93, </w:t>
      </w:r>
      <w:r w:rsidR="00831D51" w:rsidRPr="00291C1A">
        <w:rPr>
          <w:rFonts w:ascii="Arial Narrow" w:hAnsi="Arial Narrow" w:cs="Arial"/>
          <w:sz w:val="28"/>
          <w:szCs w:val="28"/>
        </w:rPr>
        <w:t>tal como se ilustra en la tabla que se pone de presente a los asistentes y hará parte integrante del acta que se suscriba con ocasión de esta diligencia.</w:t>
      </w:r>
    </w:p>
    <w:p w:rsidR="00291C1A" w:rsidRPr="002E6E04" w:rsidRDefault="00291C1A" w:rsidP="002E6E04">
      <w:pPr>
        <w:pStyle w:val="Sinespaciado"/>
      </w:pPr>
    </w:p>
    <w:p w:rsidR="00291C1A" w:rsidRPr="00F7359E" w:rsidRDefault="008D4203" w:rsidP="00291C1A">
      <w:pPr>
        <w:spacing w:line="360" w:lineRule="auto"/>
        <w:ind w:firstLine="858"/>
        <w:jc w:val="both"/>
        <w:rPr>
          <w:rFonts w:ascii="Bookman Old Style" w:hAnsi="Bookman Old Style" w:cs="Estrangelo Edessa"/>
          <w:color w:val="FF0000"/>
          <w:sz w:val="28"/>
          <w:szCs w:val="28"/>
        </w:rPr>
      </w:pPr>
      <w:r>
        <w:rPr>
          <w:rFonts w:ascii="Arial Narrow" w:hAnsi="Arial Narrow" w:cs="Arial"/>
          <w:iCs/>
          <w:sz w:val="28"/>
          <w:szCs w:val="28"/>
          <w:lang w:val="es-ES"/>
        </w:rPr>
        <w:t>Así las cosas, en</w:t>
      </w:r>
      <w:r w:rsidR="008B5088">
        <w:rPr>
          <w:rFonts w:ascii="Arial Narrow" w:hAnsi="Arial Narrow" w:cs="Arial"/>
          <w:iCs/>
          <w:sz w:val="28"/>
          <w:szCs w:val="28"/>
          <w:lang w:val="es-ES"/>
        </w:rPr>
        <w:t xml:space="preserve"> </w:t>
      </w:r>
      <w:r>
        <w:rPr>
          <w:rFonts w:ascii="Arial Narrow" w:hAnsi="Arial Narrow" w:cs="Arial"/>
          <w:iCs/>
          <w:sz w:val="28"/>
          <w:szCs w:val="28"/>
          <w:lang w:val="es-ES"/>
        </w:rPr>
        <w:t xml:space="preserve">virtud del grado jurisdiccional de consulta que opera en favor la entidad accionada, se dispondrá la modificación del valor de la </w:t>
      </w:r>
      <w:r w:rsidR="00E053EF">
        <w:rPr>
          <w:rFonts w:ascii="Arial Narrow" w:hAnsi="Arial Narrow" w:cs="Arial"/>
          <w:iCs/>
          <w:sz w:val="28"/>
          <w:szCs w:val="28"/>
          <w:lang w:val="es-ES"/>
        </w:rPr>
        <w:t xml:space="preserve">primera mesada pensional, en la cuantía </w:t>
      </w:r>
      <w:r w:rsidR="002E6E04">
        <w:rPr>
          <w:rFonts w:ascii="Arial Narrow" w:hAnsi="Arial Narrow" w:cs="Arial"/>
          <w:iCs/>
          <w:sz w:val="28"/>
          <w:szCs w:val="28"/>
          <w:lang w:val="es-ES"/>
        </w:rPr>
        <w:t>antes indicad</w:t>
      </w:r>
      <w:r w:rsidR="00E053EF">
        <w:rPr>
          <w:rFonts w:ascii="Arial Narrow" w:hAnsi="Arial Narrow" w:cs="Arial"/>
          <w:iCs/>
          <w:sz w:val="28"/>
          <w:szCs w:val="28"/>
          <w:lang w:val="es-ES"/>
        </w:rPr>
        <w:t>a</w:t>
      </w:r>
      <w:bookmarkStart w:id="0" w:name="_GoBack"/>
      <w:bookmarkEnd w:id="0"/>
      <w:r>
        <w:rPr>
          <w:rFonts w:ascii="Arial Narrow" w:hAnsi="Arial Narrow" w:cs="Arial"/>
          <w:iCs/>
          <w:sz w:val="28"/>
          <w:szCs w:val="28"/>
          <w:lang w:val="es-ES"/>
        </w:rPr>
        <w:t xml:space="preserve">. </w:t>
      </w:r>
    </w:p>
    <w:p w:rsidR="00291C1A" w:rsidRPr="00291C1A" w:rsidRDefault="00291C1A" w:rsidP="008B5088">
      <w:pPr>
        <w:pStyle w:val="Sinespaciado"/>
      </w:pPr>
    </w:p>
    <w:p w:rsidR="008B5088" w:rsidRPr="00303308" w:rsidRDefault="00303308" w:rsidP="008B5088">
      <w:pPr>
        <w:pStyle w:val="Textoindependiente34"/>
        <w:ind w:right="191" w:firstLine="708"/>
        <w:rPr>
          <w:rFonts w:ascii="Arial Narrow" w:hAnsi="Arial Narrow" w:cs="Arial Narrow"/>
          <w:sz w:val="28"/>
          <w:szCs w:val="28"/>
        </w:rPr>
      </w:pPr>
      <w:r w:rsidRPr="00303308">
        <w:rPr>
          <w:rFonts w:ascii="Arial Narrow" w:hAnsi="Arial Narrow" w:cs="Arial Narrow"/>
          <w:sz w:val="28"/>
          <w:szCs w:val="28"/>
        </w:rPr>
        <w:t xml:space="preserve">Respecto </w:t>
      </w:r>
      <w:r w:rsidR="008B5088" w:rsidRPr="00303308">
        <w:rPr>
          <w:rFonts w:ascii="Arial Narrow" w:hAnsi="Arial Narrow" w:cs="Arial Narrow"/>
          <w:sz w:val="28"/>
          <w:szCs w:val="28"/>
        </w:rPr>
        <w:t xml:space="preserve">a la excepción de prescripción, la misma no opera frente al derecho en sí a la reliquidación de la prestación, por tratarse de la definición de la regla jurídica para calcular el IBL de la pensión de vejez. Tampoco </w:t>
      </w:r>
      <w:r w:rsidRPr="00303308">
        <w:rPr>
          <w:rFonts w:ascii="Arial Narrow" w:hAnsi="Arial Narrow" w:cs="Arial Narrow"/>
          <w:sz w:val="28"/>
          <w:szCs w:val="28"/>
        </w:rPr>
        <w:t xml:space="preserve">recae sobre </w:t>
      </w:r>
      <w:r w:rsidR="008B5088" w:rsidRPr="00303308">
        <w:rPr>
          <w:rFonts w:ascii="Arial Narrow" w:hAnsi="Arial Narrow" w:cs="Arial Narrow"/>
          <w:sz w:val="28"/>
          <w:szCs w:val="28"/>
        </w:rPr>
        <w:t xml:space="preserve">las diferencias </w:t>
      </w:r>
      <w:r w:rsidRPr="00303308">
        <w:rPr>
          <w:rFonts w:ascii="Arial Narrow" w:hAnsi="Arial Narrow" w:cs="Arial Narrow"/>
          <w:sz w:val="28"/>
          <w:szCs w:val="28"/>
        </w:rPr>
        <w:t>pensionales</w:t>
      </w:r>
      <w:r w:rsidR="008B5088" w:rsidRPr="00303308">
        <w:rPr>
          <w:rFonts w:ascii="Arial Narrow" w:hAnsi="Arial Narrow" w:cs="Arial Narrow"/>
          <w:sz w:val="28"/>
          <w:szCs w:val="28"/>
        </w:rPr>
        <w:t xml:space="preserve">, pues la interrupción de la prescripción se dio con la reclamación administrativa del </w:t>
      </w:r>
      <w:r w:rsidRPr="00303308">
        <w:rPr>
          <w:rFonts w:ascii="Arial Narrow" w:hAnsi="Arial Narrow" w:cs="Arial Narrow"/>
          <w:sz w:val="28"/>
          <w:szCs w:val="28"/>
        </w:rPr>
        <w:t>28 de noviembre de 2012</w:t>
      </w:r>
      <w:r w:rsidR="008B5088" w:rsidRPr="00303308">
        <w:rPr>
          <w:rFonts w:ascii="Arial Narrow" w:hAnsi="Arial Narrow" w:cs="Arial Narrow"/>
          <w:sz w:val="28"/>
          <w:szCs w:val="28"/>
        </w:rPr>
        <w:t xml:space="preserve"> (fl.</w:t>
      </w:r>
      <w:r w:rsidRPr="00303308">
        <w:rPr>
          <w:rFonts w:ascii="Arial Narrow" w:hAnsi="Arial Narrow" w:cs="Arial Narrow"/>
          <w:sz w:val="28"/>
          <w:szCs w:val="28"/>
        </w:rPr>
        <w:t>20</w:t>
      </w:r>
      <w:r w:rsidR="008B5088" w:rsidRPr="00303308">
        <w:rPr>
          <w:rFonts w:ascii="Arial Narrow" w:hAnsi="Arial Narrow" w:cs="Arial Narrow"/>
          <w:sz w:val="28"/>
          <w:szCs w:val="28"/>
        </w:rPr>
        <w:t>), tal cual lo dispuso la a-quo.</w:t>
      </w:r>
    </w:p>
    <w:p w:rsidR="008B5088" w:rsidRPr="00303308" w:rsidRDefault="008B5088" w:rsidP="00303308">
      <w:pPr>
        <w:pStyle w:val="Sinespaciado"/>
      </w:pPr>
    </w:p>
    <w:p w:rsidR="00CA08F7" w:rsidRDefault="008B5088" w:rsidP="0069767D">
      <w:pPr>
        <w:pStyle w:val="Textoindependiente34"/>
        <w:ind w:right="191" w:firstLine="708"/>
        <w:rPr>
          <w:rFonts w:ascii="Arial Narrow" w:hAnsi="Arial Narrow"/>
          <w:sz w:val="28"/>
          <w:szCs w:val="28"/>
        </w:rPr>
      </w:pPr>
      <w:r w:rsidRPr="0069767D">
        <w:rPr>
          <w:rFonts w:ascii="Arial Narrow" w:hAnsi="Arial Narrow" w:cs="Arial Narrow"/>
          <w:sz w:val="28"/>
          <w:szCs w:val="28"/>
        </w:rPr>
        <w:t>E</w:t>
      </w:r>
      <w:r w:rsidR="004C680B" w:rsidRPr="0069767D">
        <w:rPr>
          <w:rFonts w:ascii="Arial Narrow" w:hAnsi="Arial Narrow" w:cs="Arial Narrow"/>
          <w:sz w:val="28"/>
          <w:szCs w:val="28"/>
        </w:rPr>
        <w:t>n cuanto a la condena por con</w:t>
      </w:r>
      <w:r w:rsidRPr="0069767D">
        <w:rPr>
          <w:rFonts w:ascii="Arial Narrow" w:hAnsi="Arial Narrow" w:cs="Arial Narrow"/>
          <w:sz w:val="28"/>
          <w:szCs w:val="28"/>
        </w:rPr>
        <w:t xml:space="preserve">cepto de </w:t>
      </w:r>
      <w:r w:rsidR="00FF5421" w:rsidRPr="0069767D">
        <w:rPr>
          <w:rFonts w:ascii="Arial Narrow" w:hAnsi="Arial Narrow" w:cs="Arial Narrow"/>
          <w:sz w:val="28"/>
          <w:szCs w:val="28"/>
        </w:rPr>
        <w:t>reajuste pensional en</w:t>
      </w:r>
      <w:r w:rsidRPr="0069767D">
        <w:rPr>
          <w:rFonts w:ascii="Arial Narrow" w:hAnsi="Arial Narrow" w:cs="Arial Narrow"/>
          <w:sz w:val="28"/>
          <w:szCs w:val="28"/>
        </w:rPr>
        <w:t>tre el 15 de marzo de 2011 y el 31 de mayo de 2016, es decir incluyendo el valor de la</w:t>
      </w:r>
      <w:r w:rsidR="00FF5421" w:rsidRPr="0069767D">
        <w:rPr>
          <w:rFonts w:ascii="Arial Narrow" w:hAnsi="Arial Narrow" w:cs="Arial Narrow"/>
          <w:sz w:val="28"/>
          <w:szCs w:val="28"/>
        </w:rPr>
        <w:t xml:space="preserve">s diferencias causadas </w:t>
      </w:r>
      <w:r w:rsidRPr="0069767D">
        <w:rPr>
          <w:rFonts w:ascii="Arial Narrow" w:hAnsi="Arial Narrow" w:cs="Arial Narrow"/>
          <w:sz w:val="28"/>
          <w:szCs w:val="28"/>
        </w:rPr>
        <w:t xml:space="preserve">hasta la emisión de esta providencia, </w:t>
      </w:r>
      <w:r w:rsidR="0069767D" w:rsidRPr="0069767D">
        <w:rPr>
          <w:rFonts w:ascii="Arial Narrow" w:hAnsi="Arial Narrow" w:cs="Arial Narrow"/>
          <w:sz w:val="28"/>
          <w:szCs w:val="28"/>
        </w:rPr>
        <w:t xml:space="preserve">se obtiene un monto equivalente a </w:t>
      </w:r>
      <w:r w:rsidRPr="0069767D">
        <w:rPr>
          <w:rFonts w:ascii="Arial Narrow" w:hAnsi="Arial Narrow" w:cs="Arial Narrow"/>
          <w:sz w:val="28"/>
          <w:szCs w:val="28"/>
        </w:rPr>
        <w:t>$</w:t>
      </w:r>
      <w:r w:rsidR="00251A2A">
        <w:rPr>
          <w:rFonts w:ascii="Arial Narrow" w:hAnsi="Arial Narrow" w:cs="Arial Narrow"/>
          <w:sz w:val="28"/>
          <w:szCs w:val="28"/>
        </w:rPr>
        <w:t>495.741</w:t>
      </w:r>
      <w:r w:rsidRPr="0069767D">
        <w:rPr>
          <w:rFonts w:ascii="Arial Narrow" w:hAnsi="Arial Narrow" w:cs="Arial Narrow"/>
          <w:sz w:val="28"/>
          <w:szCs w:val="28"/>
        </w:rPr>
        <w:t xml:space="preserve">, </w:t>
      </w:r>
      <w:r w:rsidR="002B2E25">
        <w:rPr>
          <w:rFonts w:ascii="Arial Narrow" w:hAnsi="Arial Narrow" w:cs="Arial Narrow"/>
          <w:sz w:val="28"/>
          <w:szCs w:val="28"/>
        </w:rPr>
        <w:t xml:space="preserve">el cual ha sido debidamente indexado a la fecha, </w:t>
      </w:r>
      <w:r w:rsidR="0069767D" w:rsidRPr="0069767D">
        <w:rPr>
          <w:rFonts w:ascii="Arial Narrow" w:hAnsi="Arial Narrow" w:cs="Arial Narrow"/>
          <w:sz w:val="28"/>
          <w:szCs w:val="28"/>
        </w:rPr>
        <w:t xml:space="preserve">tal cual se ilustra en el siguiente cuadro </w:t>
      </w:r>
      <w:r w:rsidR="0069767D">
        <w:rPr>
          <w:rFonts w:ascii="Arial Narrow" w:hAnsi="Arial Narrow" w:cs="Arial Narrow"/>
          <w:sz w:val="28"/>
          <w:szCs w:val="28"/>
        </w:rPr>
        <w:t xml:space="preserve">que </w:t>
      </w:r>
      <w:r w:rsidR="0069767D">
        <w:rPr>
          <w:rFonts w:ascii="Arial Narrow" w:hAnsi="Arial Narrow"/>
          <w:sz w:val="28"/>
          <w:szCs w:val="28"/>
        </w:rPr>
        <w:t xml:space="preserve">también se pone a disposición de las partes y hará parte del acta que se suscriba al final de la diligencia. </w:t>
      </w:r>
    </w:p>
    <w:p w:rsidR="00CA08F7" w:rsidRDefault="00CA08F7" w:rsidP="00715831">
      <w:pPr>
        <w:pStyle w:val="Sinespaciado"/>
      </w:pPr>
    </w:p>
    <w:p w:rsidR="0069767D" w:rsidRDefault="00CA08F7" w:rsidP="00694B15">
      <w:pPr>
        <w:spacing w:line="360" w:lineRule="auto"/>
        <w:ind w:firstLine="708"/>
        <w:jc w:val="both"/>
        <w:rPr>
          <w:rFonts w:ascii="Arial Narrow" w:hAnsi="Arial Narrow"/>
          <w:sz w:val="28"/>
          <w:szCs w:val="28"/>
        </w:rPr>
      </w:pPr>
      <w:r w:rsidRPr="00CA08F7">
        <w:rPr>
          <w:rFonts w:ascii="Arial Narrow" w:hAnsi="Arial Narrow"/>
          <w:sz w:val="28"/>
          <w:szCs w:val="28"/>
        </w:rPr>
        <w:t>El monto de la mesada pensional para el año 2016 asciende a la suma de $</w:t>
      </w:r>
      <w:r w:rsidRPr="00CA08F7">
        <w:rPr>
          <w:rFonts w:ascii="Arial Narrow" w:hAnsi="Arial Narrow"/>
          <w:sz w:val="28"/>
          <w:szCs w:val="28"/>
          <w:lang w:val="es-CO" w:eastAsia="es-CO"/>
        </w:rPr>
        <w:t>5.6</w:t>
      </w:r>
      <w:r w:rsidR="00251A2A">
        <w:rPr>
          <w:rFonts w:ascii="Arial Narrow" w:hAnsi="Arial Narrow"/>
          <w:sz w:val="28"/>
          <w:szCs w:val="28"/>
          <w:lang w:val="es-CO" w:eastAsia="es-CO"/>
        </w:rPr>
        <w:t>64.897</w:t>
      </w:r>
      <w:r w:rsidR="00262E92">
        <w:rPr>
          <w:rFonts w:ascii="Arial Narrow" w:hAnsi="Arial Narrow"/>
          <w:sz w:val="28"/>
          <w:szCs w:val="28"/>
          <w:lang w:val="es-CO" w:eastAsia="es-CO"/>
        </w:rPr>
        <w:t xml:space="preserve">, por lo que habrá que modificar el ordinal 3º de la sentencia, en el sentido de ordenar a </w:t>
      </w:r>
      <w:proofErr w:type="spellStart"/>
      <w:r w:rsidR="00262E92">
        <w:rPr>
          <w:rFonts w:ascii="Arial Narrow" w:hAnsi="Arial Narrow"/>
          <w:sz w:val="28"/>
          <w:szCs w:val="28"/>
          <w:lang w:val="es-CO" w:eastAsia="es-CO"/>
        </w:rPr>
        <w:t>Colpensiones</w:t>
      </w:r>
      <w:proofErr w:type="spellEnd"/>
      <w:r w:rsidR="00262E92">
        <w:rPr>
          <w:rFonts w:ascii="Arial Narrow" w:hAnsi="Arial Narrow"/>
          <w:sz w:val="28"/>
          <w:szCs w:val="28"/>
          <w:lang w:val="es-CO" w:eastAsia="es-CO"/>
        </w:rPr>
        <w:t xml:space="preserve"> que proceda a incluir en nómina de pensionados </w:t>
      </w:r>
      <w:r w:rsidR="00C64770">
        <w:rPr>
          <w:rFonts w:ascii="Arial Narrow" w:hAnsi="Arial Narrow"/>
          <w:sz w:val="28"/>
          <w:szCs w:val="28"/>
          <w:lang w:val="es-CO" w:eastAsia="es-CO"/>
        </w:rPr>
        <w:t xml:space="preserve">el valor de la mesada reconocida a partir del mes de junio de 2016. </w:t>
      </w:r>
    </w:p>
    <w:p w:rsidR="00962C58" w:rsidRPr="00BC7E5C" w:rsidRDefault="00E30F18" w:rsidP="002B2E25">
      <w:pPr>
        <w:spacing w:line="360" w:lineRule="auto"/>
        <w:jc w:val="both"/>
        <w:rPr>
          <w:rFonts w:ascii="Arial Narrow" w:hAnsi="Arial Narrow"/>
          <w:sz w:val="28"/>
          <w:szCs w:val="28"/>
          <w:shd w:val="clear" w:color="auto" w:fill="FFFFFF"/>
          <w:lang w:val="es-ES"/>
        </w:rPr>
      </w:pPr>
      <w:r>
        <w:rPr>
          <w:rFonts w:ascii="Arial Narrow" w:hAnsi="Arial Narrow" w:cs="Arial"/>
          <w:iCs/>
          <w:sz w:val="29"/>
          <w:szCs w:val="29"/>
          <w:lang w:val="es-ES"/>
        </w:rPr>
        <w:lastRenderedPageBreak/>
        <w:t xml:space="preserve"> </w:t>
      </w:r>
      <w:r w:rsidR="002B2E25">
        <w:rPr>
          <w:rFonts w:ascii="Arial Narrow" w:hAnsi="Arial Narrow" w:cs="Arial"/>
          <w:iCs/>
          <w:sz w:val="29"/>
          <w:szCs w:val="29"/>
          <w:lang w:val="es-ES"/>
        </w:rPr>
        <w:tab/>
      </w:r>
      <w:r w:rsidR="00BC7E5C">
        <w:rPr>
          <w:rFonts w:ascii="Arial Narrow" w:hAnsi="Arial Narrow" w:cs="Arial"/>
          <w:iCs/>
          <w:sz w:val="28"/>
          <w:szCs w:val="28"/>
          <w:lang w:val="es-ES"/>
        </w:rPr>
        <w:t>Sin costas en esta instancia.</w:t>
      </w:r>
    </w:p>
    <w:p w:rsidR="00E4081B" w:rsidRPr="002B2E25" w:rsidRDefault="00E4081B" w:rsidP="002B2E25">
      <w:pPr>
        <w:pStyle w:val="Sinespaciado"/>
      </w:pPr>
    </w:p>
    <w:p w:rsidR="00E4081B" w:rsidRPr="00E96259" w:rsidRDefault="00E4081B" w:rsidP="00E4081B">
      <w:pPr>
        <w:pStyle w:val="Prrafodelista1"/>
        <w:spacing w:after="0" w:line="360" w:lineRule="auto"/>
        <w:ind w:left="0" w:firstLine="900"/>
        <w:jc w:val="both"/>
        <w:rPr>
          <w:rFonts w:ascii="Arial Narrow" w:hAnsi="Arial Narrow"/>
          <w:sz w:val="28"/>
          <w:szCs w:val="28"/>
        </w:rPr>
      </w:pPr>
      <w:r w:rsidRPr="00E96259">
        <w:rPr>
          <w:rFonts w:ascii="Arial Narrow" w:hAnsi="Arial Narrow"/>
          <w:sz w:val="28"/>
          <w:szCs w:val="28"/>
        </w:rPr>
        <w:t xml:space="preserve">En mérito de lo expuesto, </w:t>
      </w:r>
      <w:r w:rsidRPr="00E96259">
        <w:rPr>
          <w:rFonts w:ascii="Arial Narrow" w:hAnsi="Arial Narrow"/>
          <w:b/>
          <w:sz w:val="28"/>
          <w:szCs w:val="28"/>
        </w:rPr>
        <w:t>el H. Tribunal Superior del Distrito Judicial de Pereira - Risaralda, Sala Laboral,</w:t>
      </w:r>
      <w:r w:rsidRPr="00E96259">
        <w:rPr>
          <w:rFonts w:ascii="Arial Narrow" w:hAnsi="Arial Narrow"/>
          <w:sz w:val="28"/>
          <w:szCs w:val="28"/>
        </w:rPr>
        <w:t xml:space="preserve"> administrando justicia en nombre de la República y por autoridad de la ley,</w:t>
      </w:r>
    </w:p>
    <w:p w:rsidR="00E4081B" w:rsidRDefault="00E4081B" w:rsidP="00E4081B">
      <w:pPr>
        <w:spacing w:line="360" w:lineRule="auto"/>
        <w:jc w:val="center"/>
        <w:rPr>
          <w:rFonts w:ascii="Arial Narrow" w:hAnsi="Arial Narrow" w:cs="Arial"/>
          <w:b/>
          <w:i/>
          <w:sz w:val="29"/>
          <w:szCs w:val="29"/>
        </w:rPr>
      </w:pPr>
      <w:r w:rsidRPr="0013664A">
        <w:rPr>
          <w:rFonts w:ascii="Arial Narrow" w:hAnsi="Arial Narrow" w:cs="Arial"/>
          <w:b/>
          <w:i/>
          <w:sz w:val="29"/>
          <w:szCs w:val="29"/>
        </w:rPr>
        <w:t>FALLA</w:t>
      </w:r>
    </w:p>
    <w:p w:rsidR="002B2E25" w:rsidRPr="0013664A" w:rsidRDefault="002B2E25" w:rsidP="002B2E25">
      <w:pPr>
        <w:pStyle w:val="Sinespaciado"/>
      </w:pPr>
    </w:p>
    <w:p w:rsidR="00251A2A" w:rsidRPr="00F950CC" w:rsidRDefault="00E4081B" w:rsidP="00123537">
      <w:pPr>
        <w:numPr>
          <w:ilvl w:val="0"/>
          <w:numId w:val="1"/>
        </w:numPr>
        <w:autoSpaceDE w:val="0"/>
        <w:autoSpaceDN w:val="0"/>
        <w:adjustRightInd w:val="0"/>
        <w:spacing w:line="360" w:lineRule="auto"/>
        <w:ind w:left="0" w:right="191" w:firstLine="851"/>
        <w:jc w:val="both"/>
        <w:rPr>
          <w:rFonts w:ascii="Arial Narrow" w:hAnsi="Arial Narrow" w:cs="Arial Narrow"/>
          <w:sz w:val="28"/>
          <w:szCs w:val="28"/>
        </w:rPr>
      </w:pPr>
      <w:r w:rsidRPr="000A3292">
        <w:rPr>
          <w:rFonts w:ascii="Arial Narrow" w:hAnsi="Arial Narrow" w:cs="Arial"/>
          <w:i/>
          <w:spacing w:val="-2"/>
          <w:sz w:val="28"/>
          <w:szCs w:val="28"/>
        </w:rPr>
        <w:t xml:space="preserve">Modifica </w:t>
      </w:r>
      <w:r w:rsidRPr="000A3292">
        <w:rPr>
          <w:rFonts w:ascii="Arial Narrow" w:hAnsi="Arial Narrow" w:cs="Arial"/>
          <w:spacing w:val="-2"/>
          <w:sz w:val="28"/>
          <w:szCs w:val="28"/>
        </w:rPr>
        <w:t>e</w:t>
      </w:r>
      <w:r w:rsidRPr="00694B15">
        <w:rPr>
          <w:rFonts w:ascii="Arial Narrow" w:hAnsi="Arial Narrow" w:cs="Arial"/>
          <w:spacing w:val="-2"/>
          <w:sz w:val="28"/>
          <w:szCs w:val="28"/>
        </w:rPr>
        <w:t xml:space="preserve">l ordinal </w:t>
      </w:r>
      <w:r w:rsidR="00251A2A">
        <w:rPr>
          <w:rFonts w:ascii="Arial Narrow" w:hAnsi="Arial Narrow" w:cs="Arial"/>
          <w:spacing w:val="-2"/>
          <w:sz w:val="28"/>
          <w:szCs w:val="28"/>
        </w:rPr>
        <w:t>2º</w:t>
      </w:r>
      <w:r w:rsidRPr="00694B15">
        <w:rPr>
          <w:rFonts w:ascii="Arial Narrow" w:hAnsi="Arial Narrow" w:cs="Arial"/>
          <w:spacing w:val="-2"/>
          <w:sz w:val="28"/>
          <w:szCs w:val="28"/>
        </w:rPr>
        <w:t xml:space="preserve"> de </w:t>
      </w:r>
      <w:r w:rsidRPr="00694B15">
        <w:rPr>
          <w:rFonts w:ascii="Arial Narrow" w:hAnsi="Arial Narrow" w:cs="Arial"/>
          <w:sz w:val="28"/>
          <w:szCs w:val="28"/>
        </w:rPr>
        <w:t xml:space="preserve">la sentencia proferida el </w:t>
      </w:r>
      <w:r w:rsidR="002B2E25" w:rsidRPr="00694B15">
        <w:rPr>
          <w:rFonts w:ascii="Arial Narrow" w:hAnsi="Arial Narrow" w:cs="Arial"/>
          <w:sz w:val="28"/>
          <w:szCs w:val="28"/>
        </w:rPr>
        <w:t>9 de abril d</w:t>
      </w:r>
      <w:r w:rsidRPr="00694B15">
        <w:rPr>
          <w:rFonts w:ascii="Arial Narrow" w:hAnsi="Arial Narrow" w:cs="Arial"/>
          <w:sz w:val="28"/>
          <w:szCs w:val="28"/>
        </w:rPr>
        <w:t>e 2015 por el Juzgado</w:t>
      </w:r>
      <w:r w:rsidR="00CA08F7" w:rsidRPr="00694B15">
        <w:rPr>
          <w:rFonts w:ascii="Arial Narrow" w:hAnsi="Arial Narrow" w:cs="Arial"/>
          <w:sz w:val="28"/>
          <w:szCs w:val="28"/>
        </w:rPr>
        <w:t xml:space="preserve"> Cuarto</w:t>
      </w:r>
      <w:r w:rsidRPr="00694B15">
        <w:rPr>
          <w:rFonts w:ascii="Arial Narrow" w:hAnsi="Arial Narrow" w:cs="Arial"/>
          <w:sz w:val="28"/>
          <w:szCs w:val="28"/>
        </w:rPr>
        <w:t xml:space="preserve"> Laboral del Circuito de Pereira, dentro del proceso de la referencia</w:t>
      </w:r>
      <w:r w:rsidRPr="00694B15">
        <w:rPr>
          <w:rFonts w:ascii="Arial Narrow" w:hAnsi="Arial Narrow" w:cs="Arial"/>
          <w:b/>
          <w:i/>
          <w:sz w:val="28"/>
          <w:szCs w:val="28"/>
          <w:lang w:val="es-ES"/>
        </w:rPr>
        <w:t xml:space="preserve">, </w:t>
      </w:r>
      <w:r w:rsidRPr="00694B15">
        <w:rPr>
          <w:rFonts w:ascii="Arial Narrow" w:hAnsi="Arial Narrow" w:cs="Arial"/>
          <w:sz w:val="28"/>
          <w:szCs w:val="28"/>
          <w:lang w:val="es-ES"/>
        </w:rPr>
        <w:t xml:space="preserve">en el sentido de indicar que </w:t>
      </w:r>
      <w:r w:rsidR="00251A2A">
        <w:rPr>
          <w:rFonts w:ascii="Arial Narrow" w:hAnsi="Arial Narrow" w:cs="Arial"/>
          <w:sz w:val="28"/>
          <w:szCs w:val="28"/>
          <w:lang w:val="es-ES"/>
        </w:rPr>
        <w:t xml:space="preserve">el valor de la mesada pensional para el 2011 es de $4`725.122. </w:t>
      </w:r>
    </w:p>
    <w:p w:rsidR="00F950CC" w:rsidRPr="00251A2A" w:rsidRDefault="00F950CC" w:rsidP="00F950CC">
      <w:pPr>
        <w:pStyle w:val="Sinespaciado"/>
      </w:pPr>
    </w:p>
    <w:p w:rsidR="00E4081B" w:rsidRPr="00251A2A" w:rsidRDefault="00251A2A" w:rsidP="006863F3">
      <w:pPr>
        <w:numPr>
          <w:ilvl w:val="0"/>
          <w:numId w:val="1"/>
        </w:numPr>
        <w:autoSpaceDE w:val="0"/>
        <w:autoSpaceDN w:val="0"/>
        <w:adjustRightInd w:val="0"/>
        <w:spacing w:line="360" w:lineRule="auto"/>
        <w:ind w:left="0" w:right="191" w:firstLine="851"/>
        <w:jc w:val="both"/>
        <w:rPr>
          <w:rFonts w:ascii="Arial Narrow" w:hAnsi="Arial Narrow" w:cs="Arial Narrow"/>
          <w:sz w:val="28"/>
          <w:szCs w:val="28"/>
        </w:rPr>
      </w:pPr>
      <w:r w:rsidRPr="000A3292">
        <w:rPr>
          <w:rFonts w:ascii="Arial Narrow" w:hAnsi="Arial Narrow" w:cs="Arial Narrow"/>
          <w:i/>
          <w:sz w:val="28"/>
          <w:szCs w:val="28"/>
        </w:rPr>
        <w:t>Modifica</w:t>
      </w:r>
      <w:r w:rsidRPr="00251A2A">
        <w:rPr>
          <w:rFonts w:ascii="Arial Narrow" w:hAnsi="Arial Narrow" w:cs="Arial Narrow"/>
          <w:sz w:val="28"/>
          <w:szCs w:val="28"/>
        </w:rPr>
        <w:t xml:space="preserve"> el ordinal 3º de la providencia, para indicar que </w:t>
      </w:r>
      <w:r>
        <w:rPr>
          <w:rFonts w:ascii="Arial Narrow" w:hAnsi="Arial Narrow" w:cs="Arial Narrow"/>
          <w:sz w:val="28"/>
          <w:szCs w:val="28"/>
        </w:rPr>
        <w:t>e</w:t>
      </w:r>
      <w:r w:rsidR="00E4081B" w:rsidRPr="00251A2A">
        <w:rPr>
          <w:rFonts w:ascii="Arial Narrow" w:hAnsi="Arial Narrow" w:cs="Arial"/>
          <w:sz w:val="28"/>
          <w:szCs w:val="28"/>
          <w:lang w:val="es-ES"/>
        </w:rPr>
        <w:t xml:space="preserve">l valor de la diferencia por reajuste pensional </w:t>
      </w:r>
      <w:r w:rsidR="00E4081B" w:rsidRPr="00251A2A">
        <w:rPr>
          <w:rFonts w:ascii="Arial Narrow" w:hAnsi="Arial Narrow"/>
          <w:sz w:val="28"/>
          <w:szCs w:val="28"/>
        </w:rPr>
        <w:t>causada entre el</w:t>
      </w:r>
      <w:r w:rsidR="00694B15" w:rsidRPr="00251A2A">
        <w:rPr>
          <w:rFonts w:ascii="Arial Narrow" w:hAnsi="Arial Narrow"/>
          <w:sz w:val="28"/>
          <w:szCs w:val="28"/>
        </w:rPr>
        <w:t xml:space="preserve"> 15 de marzo de 2011 y el 31 de mayo de 2016, </w:t>
      </w:r>
      <w:r w:rsidR="00E4081B" w:rsidRPr="00251A2A">
        <w:rPr>
          <w:rFonts w:ascii="Arial Narrow" w:hAnsi="Arial Narrow"/>
          <w:sz w:val="28"/>
          <w:szCs w:val="28"/>
        </w:rPr>
        <w:t>es decir, incluyendo el valor de las diferencias generadas a la emisión de</w:t>
      </w:r>
      <w:r w:rsidR="00694B15" w:rsidRPr="00251A2A">
        <w:rPr>
          <w:rFonts w:ascii="Arial Narrow" w:hAnsi="Arial Narrow"/>
          <w:sz w:val="28"/>
          <w:szCs w:val="28"/>
        </w:rPr>
        <w:t xml:space="preserve"> esta providencia asciende a </w:t>
      </w:r>
      <w:r w:rsidRPr="0069767D">
        <w:rPr>
          <w:rFonts w:ascii="Arial Narrow" w:hAnsi="Arial Narrow" w:cs="Arial Narrow"/>
          <w:sz w:val="28"/>
          <w:szCs w:val="28"/>
        </w:rPr>
        <w:t>$</w:t>
      </w:r>
      <w:r>
        <w:rPr>
          <w:rFonts w:ascii="Arial Narrow" w:hAnsi="Arial Narrow" w:cs="Arial Narrow"/>
          <w:sz w:val="28"/>
          <w:szCs w:val="28"/>
        </w:rPr>
        <w:t>495.741</w:t>
      </w:r>
      <w:r w:rsidR="00E4081B" w:rsidRPr="00251A2A">
        <w:rPr>
          <w:rFonts w:ascii="Arial Narrow" w:hAnsi="Arial Narrow"/>
          <w:sz w:val="28"/>
          <w:szCs w:val="28"/>
        </w:rPr>
        <w:t xml:space="preserve">, </w:t>
      </w:r>
      <w:r w:rsidR="00694B15" w:rsidRPr="00251A2A">
        <w:rPr>
          <w:rFonts w:ascii="Arial Narrow" w:hAnsi="Arial Narrow"/>
          <w:sz w:val="28"/>
          <w:szCs w:val="28"/>
        </w:rPr>
        <w:t xml:space="preserve">monto que se encuentra debidamente indexado a la fecha, </w:t>
      </w:r>
      <w:r w:rsidR="00E4081B" w:rsidRPr="00251A2A">
        <w:rPr>
          <w:rFonts w:ascii="Arial Narrow" w:hAnsi="Arial Narrow"/>
          <w:sz w:val="28"/>
          <w:szCs w:val="28"/>
        </w:rPr>
        <w:t xml:space="preserve">sin perjuicio de que se siga generando hasta su solución.  </w:t>
      </w:r>
      <w:r w:rsidR="00694B15" w:rsidRPr="00251A2A">
        <w:rPr>
          <w:rFonts w:ascii="Arial Narrow" w:hAnsi="Arial Narrow"/>
          <w:sz w:val="28"/>
          <w:szCs w:val="28"/>
        </w:rPr>
        <w:t xml:space="preserve">Así mismo ordenar a </w:t>
      </w:r>
      <w:proofErr w:type="spellStart"/>
      <w:r w:rsidR="00694B15" w:rsidRPr="00251A2A">
        <w:rPr>
          <w:rFonts w:ascii="Arial Narrow" w:hAnsi="Arial Narrow"/>
          <w:sz w:val="28"/>
          <w:szCs w:val="28"/>
        </w:rPr>
        <w:t>Colpensiones</w:t>
      </w:r>
      <w:proofErr w:type="spellEnd"/>
      <w:r w:rsidR="00694B15" w:rsidRPr="00251A2A">
        <w:rPr>
          <w:rFonts w:ascii="Arial Narrow" w:hAnsi="Arial Narrow"/>
          <w:sz w:val="28"/>
          <w:szCs w:val="28"/>
        </w:rPr>
        <w:t xml:space="preserve"> que proceda a incluir en nómina de pensionados el valor de </w:t>
      </w:r>
      <w:r w:rsidR="00B8765A" w:rsidRPr="00251A2A">
        <w:rPr>
          <w:rFonts w:ascii="Arial Narrow" w:hAnsi="Arial Narrow"/>
          <w:sz w:val="28"/>
          <w:szCs w:val="28"/>
        </w:rPr>
        <w:t xml:space="preserve">la mesada pensional reconocida para el año 2016, en cuantía de </w:t>
      </w:r>
      <w:r w:rsidRPr="00CA08F7">
        <w:rPr>
          <w:rFonts w:ascii="Arial Narrow" w:hAnsi="Arial Narrow"/>
          <w:sz w:val="28"/>
          <w:szCs w:val="28"/>
        </w:rPr>
        <w:t>$</w:t>
      </w:r>
      <w:r w:rsidRPr="00CA08F7">
        <w:rPr>
          <w:rFonts w:ascii="Arial Narrow" w:hAnsi="Arial Narrow"/>
          <w:sz w:val="28"/>
          <w:szCs w:val="28"/>
          <w:lang w:val="es-CO" w:eastAsia="es-CO"/>
        </w:rPr>
        <w:t>5.6</w:t>
      </w:r>
      <w:r>
        <w:rPr>
          <w:rFonts w:ascii="Arial Narrow" w:hAnsi="Arial Narrow"/>
          <w:sz w:val="28"/>
          <w:szCs w:val="28"/>
          <w:lang w:val="es-CO" w:eastAsia="es-CO"/>
        </w:rPr>
        <w:t>64.897</w:t>
      </w:r>
      <w:r w:rsidR="00B8765A" w:rsidRPr="00251A2A">
        <w:rPr>
          <w:rFonts w:ascii="Arial Narrow" w:hAnsi="Arial Narrow"/>
          <w:sz w:val="28"/>
          <w:szCs w:val="28"/>
          <w:lang w:val="es-CO" w:eastAsia="es-CO"/>
        </w:rPr>
        <w:t>.</w:t>
      </w:r>
    </w:p>
    <w:p w:rsidR="00E4081B" w:rsidRPr="00251A2A" w:rsidRDefault="00E4081B" w:rsidP="00251A2A">
      <w:pPr>
        <w:pStyle w:val="Sinespaciado"/>
      </w:pPr>
    </w:p>
    <w:p w:rsidR="00E4081B" w:rsidRPr="00A778C9" w:rsidRDefault="00E4081B" w:rsidP="00E4081B">
      <w:pPr>
        <w:numPr>
          <w:ilvl w:val="0"/>
          <w:numId w:val="1"/>
        </w:numPr>
        <w:autoSpaceDE w:val="0"/>
        <w:autoSpaceDN w:val="0"/>
        <w:adjustRightInd w:val="0"/>
        <w:spacing w:line="360" w:lineRule="auto"/>
        <w:ind w:left="0" w:right="191" w:firstLine="851"/>
        <w:jc w:val="both"/>
        <w:rPr>
          <w:rFonts w:ascii="Arial Narrow" w:hAnsi="Arial Narrow" w:cs="Arial Narrow"/>
          <w:sz w:val="28"/>
          <w:szCs w:val="28"/>
        </w:rPr>
      </w:pPr>
      <w:r w:rsidRPr="00A778C9">
        <w:rPr>
          <w:rFonts w:ascii="Arial Narrow" w:hAnsi="Arial Narrow" w:cs="Arial Narrow"/>
          <w:b/>
          <w:sz w:val="28"/>
          <w:szCs w:val="28"/>
        </w:rPr>
        <w:t>Confirma</w:t>
      </w:r>
      <w:r>
        <w:rPr>
          <w:rFonts w:ascii="Arial Narrow" w:hAnsi="Arial Narrow" w:cs="Arial Narrow"/>
          <w:sz w:val="28"/>
          <w:szCs w:val="28"/>
        </w:rPr>
        <w:t xml:space="preserve"> en todo lo demás.</w:t>
      </w:r>
    </w:p>
    <w:p w:rsidR="00E4081B" w:rsidRPr="00A73F67" w:rsidRDefault="00E4081B" w:rsidP="00A73F67">
      <w:pPr>
        <w:pStyle w:val="Sinespaciado"/>
      </w:pPr>
    </w:p>
    <w:p w:rsidR="00E4081B" w:rsidRPr="00C644E5" w:rsidRDefault="00E4081B" w:rsidP="00E4081B">
      <w:pPr>
        <w:numPr>
          <w:ilvl w:val="0"/>
          <w:numId w:val="1"/>
        </w:numPr>
        <w:autoSpaceDE w:val="0"/>
        <w:autoSpaceDN w:val="0"/>
        <w:adjustRightInd w:val="0"/>
        <w:spacing w:line="360" w:lineRule="auto"/>
        <w:ind w:left="0" w:firstLine="900"/>
        <w:jc w:val="both"/>
        <w:rPr>
          <w:rFonts w:ascii="Arial Narrow" w:hAnsi="Arial Narrow" w:cs="Arial"/>
          <w:b/>
          <w:sz w:val="28"/>
          <w:szCs w:val="28"/>
          <w:lang w:val="es-ES"/>
        </w:rPr>
      </w:pPr>
      <w:r w:rsidRPr="00C644E5">
        <w:rPr>
          <w:rFonts w:ascii="Arial Narrow" w:hAnsi="Arial Narrow" w:cs="Arial"/>
          <w:sz w:val="28"/>
          <w:szCs w:val="28"/>
          <w:lang w:val="es-ES"/>
        </w:rPr>
        <w:t>Sin costas en esta instancia</w:t>
      </w:r>
      <w:r w:rsidRPr="00C644E5">
        <w:rPr>
          <w:rFonts w:ascii="Arial Narrow" w:hAnsi="Arial Narrow" w:cs="Arial"/>
          <w:b/>
          <w:sz w:val="28"/>
          <w:szCs w:val="28"/>
          <w:lang w:val="es-ES"/>
        </w:rPr>
        <w:t>.</w:t>
      </w:r>
    </w:p>
    <w:p w:rsidR="00E4081B" w:rsidRPr="00E96259" w:rsidRDefault="00E4081B" w:rsidP="00E4081B">
      <w:pPr>
        <w:pStyle w:val="Sinespaciado"/>
      </w:pPr>
      <w:r w:rsidRPr="00E96259">
        <w:rPr>
          <w:lang w:val="es-ES"/>
        </w:rPr>
        <w:tab/>
      </w:r>
    </w:p>
    <w:p w:rsidR="00E4081B" w:rsidRPr="00E96259" w:rsidRDefault="00E4081B" w:rsidP="00E4081B">
      <w:pPr>
        <w:spacing w:line="360" w:lineRule="auto"/>
        <w:jc w:val="both"/>
        <w:rPr>
          <w:rFonts w:ascii="Arial Narrow" w:hAnsi="Arial Narrow" w:cs="Microsoft Sans Serif"/>
          <w:b/>
          <w:bCs/>
          <w:i/>
          <w:iCs/>
          <w:sz w:val="28"/>
          <w:szCs w:val="28"/>
          <w:lang w:val="es-ES"/>
        </w:rPr>
      </w:pPr>
      <w:r w:rsidRPr="00E96259">
        <w:rPr>
          <w:rFonts w:ascii="Arial Narrow" w:hAnsi="Arial Narrow" w:cs="Microsoft Sans Serif"/>
          <w:b/>
          <w:bCs/>
          <w:i/>
          <w:iCs/>
          <w:sz w:val="28"/>
          <w:szCs w:val="28"/>
          <w:lang w:val="es-ES"/>
        </w:rPr>
        <w:t>NOTIFÍQUESE, CÚMPLASE Y DEVUÉLVASE.</w:t>
      </w:r>
    </w:p>
    <w:p w:rsidR="00E4081B" w:rsidRPr="00A8291E" w:rsidRDefault="00E4081B" w:rsidP="00E4081B">
      <w:pPr>
        <w:pStyle w:val="Sinespaciado"/>
      </w:pPr>
    </w:p>
    <w:p w:rsidR="00E4081B" w:rsidRDefault="00E4081B" w:rsidP="00E4081B">
      <w:pPr>
        <w:pStyle w:val="Sinespaciado"/>
      </w:pPr>
    </w:p>
    <w:p w:rsidR="00E4081B" w:rsidRPr="00A8291E" w:rsidRDefault="00E4081B" w:rsidP="00E4081B">
      <w:pPr>
        <w:pStyle w:val="Sinespaciado"/>
      </w:pPr>
    </w:p>
    <w:p w:rsidR="00E4081B" w:rsidRPr="00E96259" w:rsidRDefault="00E4081B" w:rsidP="00E4081B">
      <w:pPr>
        <w:pStyle w:val="Sinespaciado"/>
        <w:rPr>
          <w:lang w:val="es-ES"/>
        </w:rPr>
      </w:pPr>
    </w:p>
    <w:p w:rsidR="00E4081B" w:rsidRPr="00E96259" w:rsidRDefault="00E4081B" w:rsidP="00E4081B">
      <w:pPr>
        <w:ind w:firstLine="900"/>
        <w:jc w:val="both"/>
        <w:rPr>
          <w:rFonts w:ascii="Arial Narrow" w:hAnsi="Arial Narrow" w:cs="Microsoft Sans Serif"/>
          <w:bCs/>
          <w:iCs/>
          <w:sz w:val="28"/>
          <w:szCs w:val="28"/>
          <w:lang w:val="es-ES"/>
        </w:rPr>
      </w:pPr>
    </w:p>
    <w:p w:rsidR="00E4081B" w:rsidRDefault="00E4081B" w:rsidP="00E4081B">
      <w:pPr>
        <w:ind w:firstLine="900"/>
        <w:jc w:val="center"/>
        <w:rPr>
          <w:rFonts w:ascii="Arial Narrow" w:hAnsi="Arial Narrow" w:cs="Microsoft Sans Serif"/>
          <w:b/>
          <w:bCs/>
          <w:iCs/>
          <w:sz w:val="28"/>
          <w:szCs w:val="28"/>
          <w:lang w:val="es-ES"/>
        </w:rPr>
      </w:pPr>
      <w:r w:rsidRPr="00E96259">
        <w:rPr>
          <w:rFonts w:ascii="Arial Narrow" w:hAnsi="Arial Narrow" w:cs="Microsoft Sans Serif"/>
          <w:b/>
          <w:bCs/>
          <w:iCs/>
          <w:sz w:val="28"/>
          <w:szCs w:val="28"/>
          <w:lang w:val="es-ES"/>
        </w:rPr>
        <w:t>FRANCISCO JAVIER TAMAYO TABARES</w:t>
      </w:r>
    </w:p>
    <w:p w:rsidR="00E4081B" w:rsidRPr="00753C14" w:rsidRDefault="00E4081B" w:rsidP="00E4081B">
      <w:pPr>
        <w:ind w:firstLine="900"/>
        <w:jc w:val="center"/>
        <w:rPr>
          <w:rFonts w:ascii="Arial Narrow" w:hAnsi="Arial Narrow" w:cs="Microsoft Sans Serif"/>
          <w:bCs/>
          <w:iCs/>
          <w:sz w:val="28"/>
          <w:szCs w:val="28"/>
          <w:lang w:val="es-ES"/>
        </w:rPr>
      </w:pPr>
      <w:r w:rsidRPr="00753C14">
        <w:rPr>
          <w:rFonts w:ascii="Arial Narrow" w:hAnsi="Arial Narrow" w:cs="Microsoft Sans Serif"/>
          <w:bCs/>
          <w:iCs/>
          <w:sz w:val="28"/>
          <w:szCs w:val="28"/>
          <w:lang w:val="es-ES"/>
        </w:rPr>
        <w:t xml:space="preserve">Magistrado Ponente </w:t>
      </w:r>
    </w:p>
    <w:p w:rsidR="00E4081B" w:rsidRPr="00E96259" w:rsidRDefault="00E4081B" w:rsidP="00E4081B">
      <w:pPr>
        <w:ind w:firstLine="900"/>
        <w:jc w:val="both"/>
        <w:rPr>
          <w:rFonts w:ascii="Arial Narrow" w:hAnsi="Arial Narrow" w:cs="Microsoft Sans Serif"/>
          <w:b/>
          <w:sz w:val="28"/>
          <w:szCs w:val="28"/>
          <w:lang w:val="es-ES"/>
        </w:rPr>
      </w:pPr>
    </w:p>
    <w:p w:rsidR="00E4081B" w:rsidRDefault="00E4081B" w:rsidP="00E4081B">
      <w:pPr>
        <w:pStyle w:val="Sinespaciado"/>
        <w:rPr>
          <w:lang w:val="es-ES"/>
        </w:rPr>
      </w:pPr>
    </w:p>
    <w:p w:rsidR="00E4081B" w:rsidRDefault="00E4081B" w:rsidP="00E4081B">
      <w:pPr>
        <w:pStyle w:val="Sinespaciado"/>
        <w:rPr>
          <w:lang w:val="es-ES"/>
        </w:rPr>
      </w:pPr>
    </w:p>
    <w:p w:rsidR="00E4081B" w:rsidRPr="00E96259" w:rsidRDefault="00E4081B" w:rsidP="00E4081B">
      <w:pPr>
        <w:pStyle w:val="Sinespaciado"/>
        <w:rPr>
          <w:lang w:val="es-ES"/>
        </w:rPr>
      </w:pPr>
    </w:p>
    <w:p w:rsidR="00E4081B" w:rsidRPr="00E96259" w:rsidRDefault="00E4081B" w:rsidP="00E4081B">
      <w:pPr>
        <w:jc w:val="both"/>
        <w:rPr>
          <w:rFonts w:ascii="Arial Narrow" w:hAnsi="Arial Narrow" w:cs="Microsoft Sans Serif"/>
          <w:b/>
          <w:bCs/>
          <w:iCs/>
          <w:sz w:val="28"/>
          <w:szCs w:val="28"/>
          <w:lang w:val="es-ES"/>
        </w:rPr>
      </w:pPr>
    </w:p>
    <w:p w:rsidR="00E4081B" w:rsidRDefault="00E4081B" w:rsidP="00E4081B">
      <w:pPr>
        <w:ind w:left="993" w:hanging="1135"/>
        <w:jc w:val="both"/>
        <w:rPr>
          <w:rFonts w:ascii="Arial Narrow" w:hAnsi="Arial Narrow" w:cs="Microsoft Sans Serif"/>
          <w:b/>
          <w:bCs/>
          <w:iCs/>
          <w:sz w:val="28"/>
          <w:szCs w:val="28"/>
          <w:lang w:val="es-ES"/>
        </w:rPr>
      </w:pPr>
      <w:r w:rsidRPr="00E96259">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OLGA LUCIA HOYOS SEPÚLVEDA</w:t>
      </w:r>
    </w:p>
    <w:p w:rsidR="00E4081B" w:rsidRPr="009C4988" w:rsidRDefault="00E4081B" w:rsidP="00E4081B">
      <w:pPr>
        <w:ind w:left="993" w:hanging="1135"/>
        <w:jc w:val="both"/>
        <w:rPr>
          <w:rFonts w:ascii="Arial Narrow" w:hAnsi="Arial Narrow" w:cs="Microsoft Sans Serif"/>
          <w:bCs/>
          <w:iCs/>
          <w:sz w:val="28"/>
          <w:szCs w:val="28"/>
          <w:lang w:val="it-IT"/>
        </w:rPr>
      </w:pPr>
      <w:r>
        <w:rPr>
          <w:rFonts w:ascii="Arial Narrow" w:hAnsi="Arial Narrow" w:cs="Microsoft Sans Serif"/>
          <w:b/>
          <w:bCs/>
          <w:iCs/>
          <w:sz w:val="28"/>
          <w:szCs w:val="28"/>
          <w:lang w:val="es-ES"/>
        </w:rPr>
        <w:t xml:space="preserve">                  </w:t>
      </w:r>
      <w:r w:rsidRPr="009C4988">
        <w:rPr>
          <w:rFonts w:ascii="Arial Narrow" w:hAnsi="Arial Narrow" w:cs="Microsoft Sans Serif"/>
          <w:bCs/>
          <w:iCs/>
          <w:sz w:val="28"/>
          <w:szCs w:val="28"/>
          <w:lang w:val="it-IT"/>
        </w:rPr>
        <w:t xml:space="preserve">Magistrada </w:t>
      </w:r>
      <w:r w:rsidRPr="009C4988">
        <w:rPr>
          <w:rFonts w:ascii="Arial Narrow" w:hAnsi="Arial Narrow" w:cs="Microsoft Sans Serif"/>
          <w:bCs/>
          <w:iCs/>
          <w:sz w:val="28"/>
          <w:szCs w:val="28"/>
          <w:lang w:val="it-IT"/>
        </w:rPr>
        <w:tab/>
      </w:r>
      <w:r w:rsidRPr="009C4988">
        <w:rPr>
          <w:rFonts w:ascii="Arial Narrow" w:hAnsi="Arial Narrow" w:cs="Microsoft Sans Serif"/>
          <w:bCs/>
          <w:iCs/>
          <w:sz w:val="28"/>
          <w:szCs w:val="28"/>
          <w:lang w:val="it-IT"/>
        </w:rPr>
        <w:tab/>
      </w:r>
      <w:r w:rsidRPr="009C4988">
        <w:rPr>
          <w:rFonts w:ascii="Arial Narrow" w:hAnsi="Arial Narrow" w:cs="Microsoft Sans Serif"/>
          <w:bCs/>
          <w:iCs/>
          <w:sz w:val="28"/>
          <w:szCs w:val="28"/>
          <w:lang w:val="it-IT"/>
        </w:rPr>
        <w:tab/>
      </w:r>
      <w:r w:rsidRPr="009C4988">
        <w:rPr>
          <w:rFonts w:ascii="Arial Narrow" w:hAnsi="Arial Narrow" w:cs="Microsoft Sans Serif"/>
          <w:bCs/>
          <w:iCs/>
          <w:sz w:val="28"/>
          <w:szCs w:val="28"/>
          <w:lang w:val="it-IT"/>
        </w:rPr>
        <w:tab/>
        <w:t xml:space="preserve">                     Magistrada</w:t>
      </w:r>
    </w:p>
    <w:p w:rsidR="00E4081B" w:rsidRPr="009C4988" w:rsidRDefault="00E4081B" w:rsidP="00E4081B">
      <w:pPr>
        <w:ind w:left="-1276"/>
        <w:jc w:val="both"/>
        <w:rPr>
          <w:lang w:val="it-IT"/>
        </w:rPr>
      </w:pPr>
      <w:r w:rsidRPr="009C4988">
        <w:rPr>
          <w:rFonts w:ascii="Arial Narrow" w:hAnsi="Arial Narrow" w:cs="Microsoft Sans Serif"/>
          <w:bCs/>
          <w:iCs/>
          <w:sz w:val="28"/>
          <w:szCs w:val="28"/>
          <w:lang w:val="it-IT"/>
        </w:rPr>
        <w:t xml:space="preserve">           </w:t>
      </w:r>
      <w:r w:rsidRPr="009C4988">
        <w:rPr>
          <w:lang w:val="it-IT"/>
        </w:rPr>
        <w:tab/>
      </w:r>
    </w:p>
    <w:p w:rsidR="00E4081B" w:rsidRPr="009C4988" w:rsidRDefault="00E4081B" w:rsidP="00E4081B">
      <w:pPr>
        <w:ind w:left="-1276"/>
        <w:jc w:val="both"/>
        <w:rPr>
          <w:lang w:val="it-IT"/>
        </w:rPr>
      </w:pPr>
    </w:p>
    <w:p w:rsidR="00E4081B" w:rsidRPr="009C4988" w:rsidRDefault="00E4081B" w:rsidP="00E4081B">
      <w:pPr>
        <w:pStyle w:val="Sinespaciado"/>
        <w:jc w:val="center"/>
        <w:rPr>
          <w:rFonts w:ascii="Arial Narrow" w:hAnsi="Arial Narrow"/>
          <w:b/>
          <w:sz w:val="28"/>
          <w:szCs w:val="28"/>
          <w:lang w:val="it-IT"/>
        </w:rPr>
      </w:pPr>
      <w:r w:rsidRPr="009C4988">
        <w:rPr>
          <w:rFonts w:ascii="Arial Narrow" w:hAnsi="Arial Narrow"/>
          <w:b/>
          <w:sz w:val="28"/>
          <w:szCs w:val="28"/>
          <w:lang w:val="it-IT"/>
        </w:rPr>
        <w:lastRenderedPageBreak/>
        <w:t xml:space="preserve">ANEXO </w:t>
      </w:r>
      <w:bookmarkStart w:id="1" w:name="RANGE!A1:J341"/>
      <w:bookmarkStart w:id="2" w:name="RANGE!A1:J64"/>
      <w:bookmarkEnd w:id="1"/>
      <w:bookmarkEnd w:id="2"/>
      <w:r w:rsidRPr="009C4988">
        <w:rPr>
          <w:rFonts w:ascii="Arial Narrow" w:hAnsi="Arial Narrow"/>
          <w:b/>
          <w:sz w:val="28"/>
          <w:szCs w:val="28"/>
          <w:lang w:val="it-IT"/>
        </w:rPr>
        <w:t>I</w:t>
      </w:r>
    </w:p>
    <w:p w:rsidR="00E4081B" w:rsidRDefault="003001DA" w:rsidP="00E4081B">
      <w:pPr>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 xml:space="preserve">IBL ULTIMOS 10 AÑOS </w:t>
      </w:r>
    </w:p>
    <w:p w:rsidR="00E4081B" w:rsidRDefault="00E4081B" w:rsidP="00E4081B">
      <w:pPr>
        <w:jc w:val="center"/>
      </w:pPr>
    </w:p>
    <w:tbl>
      <w:tblPr>
        <w:tblW w:w="8855" w:type="dxa"/>
        <w:tblInd w:w="-30" w:type="dxa"/>
        <w:tblLayout w:type="fixed"/>
        <w:tblCellMar>
          <w:left w:w="70" w:type="dxa"/>
          <w:right w:w="70" w:type="dxa"/>
        </w:tblCellMar>
        <w:tblLook w:val="04A0" w:firstRow="1" w:lastRow="0" w:firstColumn="1" w:lastColumn="0" w:noHBand="0" w:noVBand="1"/>
      </w:tblPr>
      <w:tblGrid>
        <w:gridCol w:w="809"/>
        <w:gridCol w:w="737"/>
        <w:gridCol w:w="742"/>
        <w:gridCol w:w="533"/>
        <w:gridCol w:w="1169"/>
        <w:gridCol w:w="265"/>
        <w:gridCol w:w="1641"/>
        <w:gridCol w:w="777"/>
        <w:gridCol w:w="777"/>
        <w:gridCol w:w="1405"/>
      </w:tblGrid>
      <w:tr w:rsidR="003001DA" w:rsidRPr="003001DA" w:rsidTr="003001DA">
        <w:trPr>
          <w:trHeight w:val="225"/>
        </w:trPr>
        <w:tc>
          <w:tcPr>
            <w:tcW w:w="2821" w:type="dxa"/>
            <w:gridSpan w:val="4"/>
            <w:tcBorders>
              <w:top w:val="single" w:sz="8" w:space="0" w:color="auto"/>
              <w:left w:val="single" w:sz="8" w:space="0" w:color="auto"/>
              <w:bottom w:val="single" w:sz="4" w:space="0" w:color="auto"/>
              <w:right w:val="nil"/>
            </w:tcBorders>
            <w:shd w:val="clear" w:color="000000" w:fill="FFFF99"/>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Fecha de nacimiento:</w:t>
            </w:r>
          </w:p>
        </w:tc>
        <w:tc>
          <w:tcPr>
            <w:tcW w:w="1169" w:type="dxa"/>
            <w:tcBorders>
              <w:top w:val="single" w:sz="8" w:space="0" w:color="auto"/>
              <w:left w:val="nil"/>
              <w:bottom w:val="single" w:sz="4" w:space="0" w:color="auto"/>
              <w:right w:val="single" w:sz="8" w:space="0" w:color="auto"/>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15-mar-51</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jc w:val="center"/>
              <w:rPr>
                <w:rFonts w:ascii="Arial Narrow" w:hAnsi="Arial Narrow"/>
                <w:i/>
                <w:iCs/>
                <w:color w:val="000000"/>
                <w:sz w:val="16"/>
                <w:szCs w:val="16"/>
                <w:lang w:val="es-CO" w:eastAsia="es-CO"/>
              </w:rPr>
            </w:pPr>
          </w:p>
        </w:tc>
        <w:tc>
          <w:tcPr>
            <w:tcW w:w="1641"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777"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777"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1405"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r>
      <w:tr w:rsidR="003001DA" w:rsidRPr="003001DA" w:rsidTr="003001DA">
        <w:trPr>
          <w:trHeight w:val="225"/>
        </w:trPr>
        <w:tc>
          <w:tcPr>
            <w:tcW w:w="2821" w:type="dxa"/>
            <w:gridSpan w:val="4"/>
            <w:tcBorders>
              <w:top w:val="single" w:sz="4" w:space="0" w:color="auto"/>
              <w:left w:val="single" w:sz="8" w:space="0" w:color="auto"/>
              <w:bottom w:val="single" w:sz="4" w:space="0" w:color="auto"/>
              <w:right w:val="nil"/>
            </w:tcBorders>
            <w:shd w:val="clear" w:color="000000" w:fill="FFFF99"/>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Fecha reconocimiento pensión:</w:t>
            </w:r>
          </w:p>
        </w:tc>
        <w:tc>
          <w:tcPr>
            <w:tcW w:w="1169" w:type="dxa"/>
            <w:tcBorders>
              <w:top w:val="nil"/>
              <w:left w:val="nil"/>
              <w:bottom w:val="single" w:sz="4" w:space="0" w:color="auto"/>
              <w:right w:val="single" w:sz="8" w:space="0" w:color="auto"/>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15/03/2011</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jc w:val="center"/>
              <w:rPr>
                <w:rFonts w:ascii="Arial Narrow" w:hAnsi="Arial Narrow"/>
                <w:i/>
                <w:iCs/>
                <w:color w:val="000000"/>
                <w:sz w:val="16"/>
                <w:szCs w:val="16"/>
                <w:lang w:val="es-CO" w:eastAsia="es-CO"/>
              </w:rPr>
            </w:pPr>
          </w:p>
        </w:tc>
        <w:tc>
          <w:tcPr>
            <w:tcW w:w="1641" w:type="dxa"/>
            <w:tcBorders>
              <w:top w:val="nil"/>
              <w:left w:val="nil"/>
              <w:bottom w:val="nil"/>
              <w:right w:val="nil"/>
            </w:tcBorders>
            <w:shd w:val="clear" w:color="auto" w:fill="auto"/>
            <w:noWrap/>
            <w:vAlign w:val="bottom"/>
            <w:hideMark/>
          </w:tcPr>
          <w:p w:rsidR="003001DA" w:rsidRPr="003001DA" w:rsidRDefault="003001DA" w:rsidP="003001DA">
            <w:pPr>
              <w:jc w:val="center"/>
              <w:rPr>
                <w:sz w:val="20"/>
                <w:lang w:val="es-CO" w:eastAsia="es-CO"/>
              </w:rPr>
            </w:pPr>
          </w:p>
        </w:tc>
        <w:tc>
          <w:tcPr>
            <w:tcW w:w="777"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777"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1405"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r>
      <w:tr w:rsidR="003001DA" w:rsidRPr="003001DA" w:rsidTr="003001DA">
        <w:trPr>
          <w:trHeight w:val="225"/>
        </w:trPr>
        <w:tc>
          <w:tcPr>
            <w:tcW w:w="2821" w:type="dxa"/>
            <w:gridSpan w:val="4"/>
            <w:tcBorders>
              <w:top w:val="single" w:sz="4" w:space="0" w:color="auto"/>
              <w:left w:val="single" w:sz="8" w:space="0" w:color="auto"/>
              <w:bottom w:val="single" w:sz="8" w:space="0" w:color="auto"/>
              <w:right w:val="nil"/>
            </w:tcBorders>
            <w:shd w:val="clear" w:color="000000" w:fill="FFFF99"/>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Total semanas cotizadas:</w:t>
            </w:r>
          </w:p>
        </w:tc>
        <w:tc>
          <w:tcPr>
            <w:tcW w:w="1169" w:type="dxa"/>
            <w:tcBorders>
              <w:top w:val="nil"/>
              <w:left w:val="nil"/>
              <w:bottom w:val="single" w:sz="8" w:space="0" w:color="auto"/>
              <w:right w:val="single" w:sz="8" w:space="0" w:color="auto"/>
            </w:tcBorders>
            <w:shd w:val="clear" w:color="auto" w:fill="auto"/>
            <w:noWrap/>
            <w:vAlign w:val="center"/>
            <w:hideMark/>
          </w:tcPr>
          <w:p w:rsidR="003001DA" w:rsidRPr="003001DA" w:rsidRDefault="003001DA" w:rsidP="003001DA">
            <w:pPr>
              <w:jc w:val="center"/>
              <w:rPr>
                <w:rFonts w:ascii="Arial Narrow" w:hAnsi="Arial Narrow"/>
                <w:color w:val="000000"/>
                <w:sz w:val="16"/>
                <w:szCs w:val="16"/>
                <w:lang w:val="es-CO" w:eastAsia="es-CO"/>
              </w:rPr>
            </w:pPr>
            <w:r w:rsidRPr="003001DA">
              <w:rPr>
                <w:rFonts w:ascii="Arial Narrow" w:hAnsi="Arial Narrow"/>
                <w:color w:val="000000"/>
                <w:sz w:val="16"/>
                <w:szCs w:val="16"/>
                <w:lang w:val="es-CO" w:eastAsia="es-CO"/>
              </w:rPr>
              <w:t>514,29</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jc w:val="center"/>
              <w:rPr>
                <w:rFonts w:ascii="Arial Narrow" w:hAnsi="Arial Narrow"/>
                <w:color w:val="000000"/>
                <w:sz w:val="16"/>
                <w:szCs w:val="16"/>
                <w:lang w:val="es-CO" w:eastAsia="es-CO"/>
              </w:rPr>
            </w:pPr>
          </w:p>
        </w:tc>
        <w:tc>
          <w:tcPr>
            <w:tcW w:w="1641" w:type="dxa"/>
            <w:tcBorders>
              <w:top w:val="single" w:sz="4" w:space="0" w:color="auto"/>
              <w:left w:val="single" w:sz="4" w:space="0" w:color="auto"/>
              <w:bottom w:val="single" w:sz="4" w:space="0" w:color="auto"/>
              <w:right w:val="nil"/>
            </w:tcBorders>
            <w:shd w:val="clear" w:color="000000" w:fill="FFFF99"/>
            <w:noWrap/>
            <w:vAlign w:val="center"/>
            <w:hideMark/>
          </w:tcPr>
          <w:p w:rsidR="003001DA" w:rsidRPr="003001DA" w:rsidRDefault="003001DA" w:rsidP="003001DA">
            <w:pPr>
              <w:jc w:val="right"/>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Tasa Ley 100/93: </w:t>
            </w:r>
          </w:p>
        </w:tc>
        <w:tc>
          <w:tcPr>
            <w:tcW w:w="777" w:type="dxa"/>
            <w:tcBorders>
              <w:top w:val="single" w:sz="4" w:space="0" w:color="auto"/>
              <w:left w:val="nil"/>
              <w:bottom w:val="single" w:sz="4" w:space="0" w:color="auto"/>
              <w:right w:val="nil"/>
            </w:tcBorders>
            <w:shd w:val="clear" w:color="auto" w:fill="auto"/>
            <w:noWrap/>
            <w:vAlign w:val="center"/>
            <w:hideMark/>
          </w:tcPr>
          <w:p w:rsidR="003001DA" w:rsidRPr="003001DA" w:rsidRDefault="003001DA" w:rsidP="003001DA">
            <w:pPr>
              <w:jc w:val="center"/>
              <w:rPr>
                <w:rFonts w:ascii="Arial Narrow" w:hAnsi="Arial Narrow"/>
                <w:b/>
                <w:bCs/>
                <w:color w:val="000000"/>
                <w:sz w:val="16"/>
                <w:szCs w:val="16"/>
                <w:lang w:val="es-CO" w:eastAsia="es-CO"/>
              </w:rPr>
            </w:pPr>
            <w:r w:rsidRPr="003001DA">
              <w:rPr>
                <w:rFonts w:ascii="Arial Narrow" w:hAnsi="Arial Narrow"/>
                <w:b/>
                <w:bCs/>
                <w:color w:val="000000"/>
                <w:sz w:val="16"/>
                <w:szCs w:val="16"/>
                <w:lang w:val="es-CO" w:eastAsia="es-CO"/>
              </w:rPr>
              <w:t>NO</w:t>
            </w:r>
          </w:p>
        </w:tc>
        <w:tc>
          <w:tcPr>
            <w:tcW w:w="777" w:type="dxa"/>
            <w:tcBorders>
              <w:top w:val="single" w:sz="4" w:space="0" w:color="auto"/>
              <w:left w:val="single" w:sz="4" w:space="0" w:color="808000"/>
              <w:bottom w:val="single" w:sz="4" w:space="0" w:color="auto"/>
              <w:right w:val="nil"/>
            </w:tcBorders>
            <w:shd w:val="clear" w:color="000000" w:fill="FFFF99"/>
            <w:noWrap/>
            <w:vAlign w:val="center"/>
            <w:hideMark/>
          </w:tcPr>
          <w:p w:rsidR="003001DA" w:rsidRPr="003001DA" w:rsidRDefault="003001DA" w:rsidP="003001DA">
            <w:pPr>
              <w:jc w:val="cente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90,00%</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bookmarkStart w:id="3" w:name="RANGE!J5"/>
            <w:r w:rsidRPr="003001DA">
              <w:rPr>
                <w:rFonts w:ascii="Arial Narrow" w:hAnsi="Arial Narrow"/>
                <w:i/>
                <w:iCs/>
                <w:color w:val="000000"/>
                <w:sz w:val="16"/>
                <w:szCs w:val="16"/>
                <w:lang w:val="es-CO" w:eastAsia="es-CO"/>
              </w:rPr>
              <w:t> </w:t>
            </w:r>
            <w:bookmarkEnd w:id="3"/>
          </w:p>
        </w:tc>
      </w:tr>
      <w:tr w:rsidR="003001DA" w:rsidRPr="003001DA" w:rsidTr="003001DA">
        <w:trPr>
          <w:trHeight w:val="45"/>
        </w:trPr>
        <w:tc>
          <w:tcPr>
            <w:tcW w:w="809"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737"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742"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533"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1169"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1641" w:type="dxa"/>
            <w:tcBorders>
              <w:top w:val="nil"/>
              <w:left w:val="single" w:sz="4" w:space="0" w:color="auto"/>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77"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777"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1405" w:type="dxa"/>
            <w:tcBorders>
              <w:top w:val="nil"/>
              <w:left w:val="nil"/>
              <w:bottom w:val="nil"/>
              <w:right w:val="single" w:sz="4" w:space="0" w:color="auto"/>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r>
      <w:tr w:rsidR="003001DA" w:rsidRPr="003001DA" w:rsidTr="003001DA">
        <w:trPr>
          <w:trHeight w:val="435"/>
        </w:trPr>
        <w:tc>
          <w:tcPr>
            <w:tcW w:w="3990" w:type="dxa"/>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rsidR="003001DA" w:rsidRPr="003001DA" w:rsidRDefault="003001DA" w:rsidP="003001DA">
            <w:pPr>
              <w:jc w:val="cente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HISTORIA LABORAL DEL AFILIADO</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jc w:val="center"/>
              <w:rPr>
                <w:rFonts w:ascii="Arial Narrow" w:hAnsi="Arial Narrow"/>
                <w:b/>
                <w:bCs/>
                <w:i/>
                <w:iCs/>
                <w:color w:val="000000"/>
                <w:sz w:val="16"/>
                <w:szCs w:val="16"/>
                <w:lang w:val="es-CO" w:eastAsia="es-CO"/>
              </w:rPr>
            </w:pPr>
          </w:p>
        </w:tc>
        <w:tc>
          <w:tcPr>
            <w:tcW w:w="1641" w:type="dxa"/>
            <w:vMerge w:val="restart"/>
            <w:tcBorders>
              <w:top w:val="single" w:sz="4" w:space="0" w:color="auto"/>
              <w:left w:val="single" w:sz="4" w:space="0" w:color="auto"/>
              <w:bottom w:val="single" w:sz="8" w:space="0" w:color="000000"/>
              <w:right w:val="single" w:sz="4" w:space="0" w:color="808000"/>
            </w:tcBorders>
            <w:shd w:val="clear" w:color="000000" w:fill="FFFFCC"/>
            <w:vAlign w:val="center"/>
            <w:hideMark/>
          </w:tcPr>
          <w:p w:rsidR="003001DA" w:rsidRPr="003001DA" w:rsidRDefault="003001DA" w:rsidP="003001DA">
            <w:pPr>
              <w:jc w:val="cente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Ingreso Base de cotización actualizado</w:t>
            </w:r>
          </w:p>
        </w:tc>
        <w:tc>
          <w:tcPr>
            <w:tcW w:w="1554" w:type="dxa"/>
            <w:gridSpan w:val="2"/>
            <w:tcBorders>
              <w:top w:val="single" w:sz="4" w:space="0" w:color="auto"/>
              <w:left w:val="nil"/>
              <w:bottom w:val="single" w:sz="4" w:space="0" w:color="808000"/>
              <w:right w:val="nil"/>
            </w:tcBorders>
            <w:shd w:val="clear" w:color="000000" w:fill="FFFF99"/>
            <w:vAlign w:val="center"/>
            <w:hideMark/>
          </w:tcPr>
          <w:p w:rsidR="003001DA" w:rsidRPr="003001DA" w:rsidRDefault="003001DA" w:rsidP="003001DA">
            <w:pPr>
              <w:jc w:val="cente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IPC </w:t>
            </w:r>
            <w:proofErr w:type="spellStart"/>
            <w:r w:rsidRPr="003001DA">
              <w:rPr>
                <w:rFonts w:ascii="Arial Narrow" w:hAnsi="Arial Narrow"/>
                <w:b/>
                <w:bCs/>
                <w:i/>
                <w:iCs/>
                <w:color w:val="000000"/>
                <w:sz w:val="16"/>
                <w:szCs w:val="16"/>
                <w:lang w:val="es-CO" w:eastAsia="es-CO"/>
              </w:rPr>
              <w:t>Dane</w:t>
            </w:r>
            <w:proofErr w:type="spellEnd"/>
            <w:r w:rsidRPr="003001DA">
              <w:rPr>
                <w:rFonts w:ascii="Arial Narrow" w:hAnsi="Arial Narrow"/>
                <w:b/>
                <w:bCs/>
                <w:i/>
                <w:iCs/>
                <w:color w:val="000000"/>
                <w:sz w:val="16"/>
                <w:szCs w:val="16"/>
                <w:lang w:val="es-CO" w:eastAsia="es-CO"/>
              </w:rPr>
              <w:t xml:space="preserve">                                    (serie de empalme)</w:t>
            </w:r>
          </w:p>
        </w:tc>
        <w:tc>
          <w:tcPr>
            <w:tcW w:w="1405" w:type="dxa"/>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rsidR="003001DA" w:rsidRPr="003001DA" w:rsidRDefault="003001DA" w:rsidP="003001DA">
            <w:pPr>
              <w:jc w:val="cente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Promedio Salarial        (</w:t>
            </w:r>
            <w:proofErr w:type="spellStart"/>
            <w:r w:rsidRPr="003001DA">
              <w:rPr>
                <w:rFonts w:ascii="Arial Narrow" w:hAnsi="Arial Narrow"/>
                <w:b/>
                <w:bCs/>
                <w:i/>
                <w:iCs/>
                <w:color w:val="000000"/>
                <w:sz w:val="16"/>
                <w:szCs w:val="16"/>
                <w:lang w:val="es-CO" w:eastAsia="es-CO"/>
              </w:rPr>
              <w:t>Dias</w:t>
            </w:r>
            <w:proofErr w:type="spellEnd"/>
            <w:r w:rsidRPr="003001DA">
              <w:rPr>
                <w:rFonts w:ascii="Arial Narrow" w:hAnsi="Arial Narrow"/>
                <w:b/>
                <w:bCs/>
                <w:i/>
                <w:iCs/>
                <w:color w:val="000000"/>
                <w:sz w:val="16"/>
                <w:szCs w:val="16"/>
                <w:lang w:val="es-CO" w:eastAsia="es-CO"/>
              </w:rPr>
              <w:t xml:space="preserve"> x IBC actualizado/total </w:t>
            </w:r>
            <w:proofErr w:type="spellStart"/>
            <w:r w:rsidRPr="003001DA">
              <w:rPr>
                <w:rFonts w:ascii="Arial Narrow" w:hAnsi="Arial Narrow"/>
                <w:b/>
                <w:bCs/>
                <w:i/>
                <w:iCs/>
                <w:color w:val="000000"/>
                <w:sz w:val="16"/>
                <w:szCs w:val="16"/>
                <w:lang w:val="es-CO" w:eastAsia="es-CO"/>
              </w:rPr>
              <w:t>dias</w:t>
            </w:r>
            <w:proofErr w:type="spellEnd"/>
            <w:r w:rsidRPr="003001DA">
              <w:rPr>
                <w:rFonts w:ascii="Arial Narrow" w:hAnsi="Arial Narrow"/>
                <w:b/>
                <w:bCs/>
                <w:i/>
                <w:iCs/>
                <w:color w:val="000000"/>
                <w:sz w:val="16"/>
                <w:szCs w:val="16"/>
                <w:lang w:val="es-CO" w:eastAsia="es-CO"/>
              </w:rPr>
              <w:t>)</w:t>
            </w:r>
          </w:p>
        </w:tc>
      </w:tr>
      <w:tr w:rsidR="003001DA" w:rsidRPr="003001DA" w:rsidTr="003001DA">
        <w:trPr>
          <w:trHeight w:val="315"/>
        </w:trPr>
        <w:tc>
          <w:tcPr>
            <w:tcW w:w="2288" w:type="dxa"/>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3001DA" w:rsidRPr="003001DA" w:rsidRDefault="003001DA" w:rsidP="003001DA">
            <w:pPr>
              <w:jc w:val="cente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Fechas de aporte</w:t>
            </w:r>
          </w:p>
        </w:tc>
        <w:tc>
          <w:tcPr>
            <w:tcW w:w="533"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3001DA" w:rsidRPr="003001DA" w:rsidRDefault="003001DA" w:rsidP="003001DA">
            <w:pPr>
              <w:jc w:val="cente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Número de días</w:t>
            </w:r>
          </w:p>
        </w:tc>
        <w:tc>
          <w:tcPr>
            <w:tcW w:w="1169"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3001DA" w:rsidRPr="003001DA" w:rsidRDefault="003001DA" w:rsidP="003001DA">
            <w:pPr>
              <w:jc w:val="cente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Ingreso Base de Cotización</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jc w:val="center"/>
              <w:rPr>
                <w:rFonts w:ascii="Arial Narrow" w:hAnsi="Arial Narrow"/>
                <w:b/>
                <w:bCs/>
                <w:i/>
                <w:iCs/>
                <w:color w:val="000000"/>
                <w:sz w:val="16"/>
                <w:szCs w:val="16"/>
                <w:lang w:val="es-CO" w:eastAsia="es-CO"/>
              </w:rPr>
            </w:pPr>
          </w:p>
        </w:tc>
        <w:tc>
          <w:tcPr>
            <w:tcW w:w="1641" w:type="dxa"/>
            <w:vMerge/>
            <w:tcBorders>
              <w:top w:val="single" w:sz="4" w:space="0" w:color="auto"/>
              <w:left w:val="single" w:sz="4" w:space="0" w:color="auto"/>
              <w:bottom w:val="single" w:sz="8" w:space="0" w:color="000000"/>
              <w:right w:val="single" w:sz="4" w:space="0" w:color="808000"/>
            </w:tcBorders>
            <w:vAlign w:val="center"/>
            <w:hideMark/>
          </w:tcPr>
          <w:p w:rsidR="003001DA" w:rsidRPr="003001DA" w:rsidRDefault="003001DA" w:rsidP="003001DA">
            <w:pPr>
              <w:rPr>
                <w:rFonts w:ascii="Arial Narrow" w:hAnsi="Arial Narrow"/>
                <w:b/>
                <w:bCs/>
                <w:i/>
                <w:iCs/>
                <w:color w:val="000000"/>
                <w:sz w:val="16"/>
                <w:szCs w:val="16"/>
                <w:lang w:val="es-CO" w:eastAsia="es-CO"/>
              </w:rPr>
            </w:pPr>
          </w:p>
        </w:tc>
        <w:tc>
          <w:tcPr>
            <w:tcW w:w="777"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3001DA" w:rsidRPr="003001DA" w:rsidRDefault="003001DA" w:rsidP="003001DA">
            <w:pPr>
              <w:jc w:val="cente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IPC Final</w:t>
            </w:r>
          </w:p>
        </w:tc>
        <w:tc>
          <w:tcPr>
            <w:tcW w:w="777"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3001DA" w:rsidRPr="003001DA" w:rsidRDefault="003001DA" w:rsidP="003001DA">
            <w:pPr>
              <w:jc w:val="cente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IPC Inicial</w:t>
            </w:r>
          </w:p>
        </w:tc>
        <w:tc>
          <w:tcPr>
            <w:tcW w:w="1405" w:type="dxa"/>
            <w:vMerge/>
            <w:tcBorders>
              <w:top w:val="single" w:sz="4" w:space="0" w:color="auto"/>
              <w:left w:val="single" w:sz="4" w:space="0" w:color="808000"/>
              <w:bottom w:val="single" w:sz="8" w:space="0" w:color="000000"/>
              <w:right w:val="single" w:sz="4" w:space="0" w:color="auto"/>
            </w:tcBorders>
            <w:vAlign w:val="center"/>
            <w:hideMark/>
          </w:tcPr>
          <w:p w:rsidR="003001DA" w:rsidRPr="003001DA" w:rsidRDefault="003001DA" w:rsidP="003001DA">
            <w:pPr>
              <w:rPr>
                <w:rFonts w:ascii="Arial Narrow" w:hAnsi="Arial Narrow"/>
                <w:b/>
                <w:bCs/>
                <w:i/>
                <w:iCs/>
                <w:color w:val="000000"/>
                <w:sz w:val="16"/>
                <w:szCs w:val="16"/>
                <w:lang w:val="es-CO" w:eastAsia="es-CO"/>
              </w:rPr>
            </w:pPr>
          </w:p>
        </w:tc>
      </w:tr>
      <w:tr w:rsidR="003001DA" w:rsidRPr="003001DA" w:rsidTr="003001DA">
        <w:trPr>
          <w:trHeight w:val="495"/>
        </w:trPr>
        <w:tc>
          <w:tcPr>
            <w:tcW w:w="809" w:type="dxa"/>
            <w:tcBorders>
              <w:top w:val="nil"/>
              <w:left w:val="single" w:sz="8" w:space="0" w:color="auto"/>
              <w:bottom w:val="single" w:sz="8" w:space="0" w:color="auto"/>
              <w:right w:val="single" w:sz="4" w:space="0" w:color="808000"/>
            </w:tcBorders>
            <w:shd w:val="clear" w:color="000000" w:fill="FFFF99"/>
            <w:noWrap/>
            <w:vAlign w:val="center"/>
            <w:hideMark/>
          </w:tcPr>
          <w:p w:rsidR="003001DA" w:rsidRPr="003001DA" w:rsidRDefault="003001DA" w:rsidP="003001DA">
            <w:pPr>
              <w:jc w:val="cente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Empleador</w:t>
            </w:r>
          </w:p>
        </w:tc>
        <w:tc>
          <w:tcPr>
            <w:tcW w:w="737" w:type="dxa"/>
            <w:tcBorders>
              <w:top w:val="nil"/>
              <w:left w:val="nil"/>
              <w:bottom w:val="single" w:sz="8" w:space="0" w:color="auto"/>
              <w:right w:val="single" w:sz="4" w:space="0" w:color="808000"/>
            </w:tcBorders>
            <w:shd w:val="clear" w:color="000000" w:fill="FFFF99"/>
            <w:noWrap/>
            <w:vAlign w:val="center"/>
            <w:hideMark/>
          </w:tcPr>
          <w:p w:rsidR="003001DA" w:rsidRPr="003001DA" w:rsidRDefault="003001DA" w:rsidP="003001DA">
            <w:pPr>
              <w:jc w:val="cente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Desde</w:t>
            </w:r>
          </w:p>
        </w:tc>
        <w:tc>
          <w:tcPr>
            <w:tcW w:w="742" w:type="dxa"/>
            <w:tcBorders>
              <w:top w:val="nil"/>
              <w:left w:val="nil"/>
              <w:bottom w:val="single" w:sz="8" w:space="0" w:color="auto"/>
              <w:right w:val="single" w:sz="4" w:space="0" w:color="808000"/>
            </w:tcBorders>
            <w:shd w:val="clear" w:color="000000" w:fill="FFFF99"/>
            <w:noWrap/>
            <w:vAlign w:val="center"/>
            <w:hideMark/>
          </w:tcPr>
          <w:p w:rsidR="003001DA" w:rsidRPr="003001DA" w:rsidRDefault="003001DA" w:rsidP="003001DA">
            <w:pPr>
              <w:jc w:val="cente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Hasta</w:t>
            </w:r>
          </w:p>
        </w:tc>
        <w:tc>
          <w:tcPr>
            <w:tcW w:w="533" w:type="dxa"/>
            <w:vMerge/>
            <w:tcBorders>
              <w:top w:val="nil"/>
              <w:left w:val="single" w:sz="4" w:space="0" w:color="808000"/>
              <w:bottom w:val="single" w:sz="8" w:space="0" w:color="000000"/>
              <w:right w:val="single" w:sz="4" w:space="0" w:color="808000"/>
            </w:tcBorders>
            <w:vAlign w:val="center"/>
            <w:hideMark/>
          </w:tcPr>
          <w:p w:rsidR="003001DA" w:rsidRPr="003001DA" w:rsidRDefault="003001DA" w:rsidP="003001DA">
            <w:pPr>
              <w:rPr>
                <w:rFonts w:ascii="Arial Narrow" w:hAnsi="Arial Narrow"/>
                <w:b/>
                <w:bCs/>
                <w:i/>
                <w:iCs/>
                <w:color w:val="000000"/>
                <w:sz w:val="16"/>
                <w:szCs w:val="16"/>
                <w:lang w:val="es-CO" w:eastAsia="es-CO"/>
              </w:rPr>
            </w:pPr>
          </w:p>
        </w:tc>
        <w:tc>
          <w:tcPr>
            <w:tcW w:w="1169" w:type="dxa"/>
            <w:vMerge/>
            <w:tcBorders>
              <w:top w:val="nil"/>
              <w:left w:val="single" w:sz="4" w:space="0" w:color="808000"/>
              <w:bottom w:val="single" w:sz="8" w:space="0" w:color="000000"/>
              <w:right w:val="single" w:sz="8" w:space="0" w:color="auto"/>
            </w:tcBorders>
            <w:vAlign w:val="center"/>
            <w:hideMark/>
          </w:tcPr>
          <w:p w:rsidR="003001DA" w:rsidRPr="003001DA" w:rsidRDefault="003001DA" w:rsidP="003001DA">
            <w:pPr>
              <w:rPr>
                <w:rFonts w:ascii="Arial Narrow" w:hAnsi="Arial Narrow"/>
                <w:b/>
                <w:bCs/>
                <w:i/>
                <w:iCs/>
                <w:color w:val="000000"/>
                <w:sz w:val="16"/>
                <w:szCs w:val="16"/>
                <w:lang w:val="es-CO" w:eastAsia="es-CO"/>
              </w:rPr>
            </w:pPr>
          </w:p>
        </w:tc>
        <w:tc>
          <w:tcPr>
            <w:tcW w:w="265" w:type="dxa"/>
            <w:tcBorders>
              <w:top w:val="nil"/>
              <w:left w:val="nil"/>
              <w:bottom w:val="nil"/>
              <w:right w:val="nil"/>
            </w:tcBorders>
            <w:shd w:val="clear" w:color="auto" w:fill="auto"/>
            <w:noWrap/>
            <w:vAlign w:val="bottom"/>
            <w:hideMark/>
          </w:tcPr>
          <w:p w:rsidR="003001DA" w:rsidRPr="003001DA" w:rsidRDefault="003001DA" w:rsidP="003001DA">
            <w:pPr>
              <w:jc w:val="center"/>
              <w:rPr>
                <w:rFonts w:ascii="Arial Narrow" w:hAnsi="Arial Narrow"/>
                <w:b/>
                <w:bCs/>
                <w:i/>
                <w:iCs/>
                <w:color w:val="000000"/>
                <w:sz w:val="16"/>
                <w:szCs w:val="16"/>
                <w:lang w:val="es-CO" w:eastAsia="es-CO"/>
              </w:rPr>
            </w:pPr>
          </w:p>
        </w:tc>
        <w:tc>
          <w:tcPr>
            <w:tcW w:w="1641" w:type="dxa"/>
            <w:vMerge/>
            <w:tcBorders>
              <w:top w:val="single" w:sz="4" w:space="0" w:color="auto"/>
              <w:left w:val="single" w:sz="4" w:space="0" w:color="auto"/>
              <w:bottom w:val="single" w:sz="8" w:space="0" w:color="000000"/>
              <w:right w:val="single" w:sz="4" w:space="0" w:color="808000"/>
            </w:tcBorders>
            <w:vAlign w:val="center"/>
            <w:hideMark/>
          </w:tcPr>
          <w:p w:rsidR="003001DA" w:rsidRPr="003001DA" w:rsidRDefault="003001DA" w:rsidP="003001DA">
            <w:pPr>
              <w:rPr>
                <w:rFonts w:ascii="Arial Narrow" w:hAnsi="Arial Narrow"/>
                <w:b/>
                <w:bCs/>
                <w:i/>
                <w:iCs/>
                <w:color w:val="000000"/>
                <w:sz w:val="16"/>
                <w:szCs w:val="16"/>
                <w:lang w:val="es-CO" w:eastAsia="es-CO"/>
              </w:rPr>
            </w:pPr>
          </w:p>
        </w:tc>
        <w:tc>
          <w:tcPr>
            <w:tcW w:w="777" w:type="dxa"/>
            <w:vMerge/>
            <w:tcBorders>
              <w:top w:val="nil"/>
              <w:left w:val="single" w:sz="4" w:space="0" w:color="808000"/>
              <w:bottom w:val="single" w:sz="8" w:space="0" w:color="000000"/>
              <w:right w:val="single" w:sz="4" w:space="0" w:color="808000"/>
            </w:tcBorders>
            <w:vAlign w:val="center"/>
            <w:hideMark/>
          </w:tcPr>
          <w:p w:rsidR="003001DA" w:rsidRPr="003001DA" w:rsidRDefault="003001DA" w:rsidP="003001DA">
            <w:pPr>
              <w:rPr>
                <w:rFonts w:ascii="Arial Narrow" w:hAnsi="Arial Narrow"/>
                <w:b/>
                <w:bCs/>
                <w:i/>
                <w:iCs/>
                <w:color w:val="000000"/>
                <w:sz w:val="16"/>
                <w:szCs w:val="16"/>
                <w:lang w:val="es-CO" w:eastAsia="es-CO"/>
              </w:rPr>
            </w:pPr>
          </w:p>
        </w:tc>
        <w:tc>
          <w:tcPr>
            <w:tcW w:w="777" w:type="dxa"/>
            <w:vMerge/>
            <w:tcBorders>
              <w:top w:val="nil"/>
              <w:left w:val="single" w:sz="4" w:space="0" w:color="808000"/>
              <w:bottom w:val="single" w:sz="8" w:space="0" w:color="000000"/>
              <w:right w:val="single" w:sz="4" w:space="0" w:color="808000"/>
            </w:tcBorders>
            <w:vAlign w:val="center"/>
            <w:hideMark/>
          </w:tcPr>
          <w:p w:rsidR="003001DA" w:rsidRPr="003001DA" w:rsidRDefault="003001DA" w:rsidP="003001DA">
            <w:pPr>
              <w:rPr>
                <w:rFonts w:ascii="Arial Narrow" w:hAnsi="Arial Narrow"/>
                <w:b/>
                <w:bCs/>
                <w:i/>
                <w:iCs/>
                <w:color w:val="000000"/>
                <w:sz w:val="16"/>
                <w:szCs w:val="16"/>
                <w:lang w:val="es-CO" w:eastAsia="es-CO"/>
              </w:rPr>
            </w:pPr>
          </w:p>
        </w:tc>
        <w:tc>
          <w:tcPr>
            <w:tcW w:w="1405" w:type="dxa"/>
            <w:vMerge/>
            <w:tcBorders>
              <w:top w:val="single" w:sz="4" w:space="0" w:color="auto"/>
              <w:left w:val="single" w:sz="4" w:space="0" w:color="808000"/>
              <w:bottom w:val="single" w:sz="8" w:space="0" w:color="000000"/>
              <w:right w:val="single" w:sz="4" w:space="0" w:color="auto"/>
            </w:tcBorders>
            <w:vAlign w:val="center"/>
            <w:hideMark/>
          </w:tcPr>
          <w:p w:rsidR="003001DA" w:rsidRPr="003001DA" w:rsidRDefault="003001DA" w:rsidP="003001DA">
            <w:pPr>
              <w:rPr>
                <w:rFonts w:ascii="Arial Narrow" w:hAnsi="Arial Narrow"/>
                <w:b/>
                <w:bCs/>
                <w:i/>
                <w:iCs/>
                <w:color w:val="000000"/>
                <w:sz w:val="16"/>
                <w:szCs w:val="16"/>
                <w:lang w:val="es-CO" w:eastAsia="es-CO"/>
              </w:rPr>
            </w:pPr>
          </w:p>
        </w:tc>
      </w:tr>
      <w:tr w:rsidR="003001DA" w:rsidRPr="003001DA" w:rsidTr="003001DA">
        <w:trPr>
          <w:trHeight w:val="315"/>
        </w:trPr>
        <w:tc>
          <w:tcPr>
            <w:tcW w:w="809" w:type="dxa"/>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37"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15.02.92</w:t>
            </w:r>
          </w:p>
        </w:tc>
        <w:tc>
          <w:tcPr>
            <w:tcW w:w="742"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001DA" w:rsidRPr="003001DA" w:rsidRDefault="003001DA" w:rsidP="003001DA">
            <w:pPr>
              <w:jc w:val="right"/>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29.02.92</w:t>
            </w:r>
          </w:p>
        </w:tc>
        <w:tc>
          <w:tcPr>
            <w:tcW w:w="533"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15</w:t>
            </w:r>
          </w:p>
        </w:tc>
        <w:tc>
          <w:tcPr>
            <w:tcW w:w="1169" w:type="dxa"/>
            <w:tcBorders>
              <w:top w:val="single" w:sz="4" w:space="0" w:color="808000"/>
              <w:left w:val="single" w:sz="4" w:space="0" w:color="808000"/>
              <w:bottom w:val="single" w:sz="4" w:space="0" w:color="808000"/>
              <w:right w:val="single" w:sz="8"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665.070,00 </w:t>
            </w:r>
          </w:p>
        </w:tc>
        <w:tc>
          <w:tcPr>
            <w:tcW w:w="265" w:type="dxa"/>
            <w:tcBorders>
              <w:top w:val="single" w:sz="4" w:space="0" w:color="808000"/>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1641" w:type="dxa"/>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               5.034.800,09 </w:t>
            </w:r>
          </w:p>
        </w:tc>
        <w:tc>
          <w:tcPr>
            <w:tcW w:w="777"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105,24 </w:t>
            </w:r>
          </w:p>
        </w:tc>
        <w:tc>
          <w:tcPr>
            <w:tcW w:w="777"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13,90 </w:t>
            </w:r>
          </w:p>
        </w:tc>
        <w:tc>
          <w:tcPr>
            <w:tcW w:w="1405" w:type="dxa"/>
            <w:tcBorders>
              <w:top w:val="single" w:sz="4" w:space="0" w:color="808000"/>
              <w:left w:val="single" w:sz="4" w:space="0" w:color="808000"/>
              <w:bottom w:val="single" w:sz="4" w:space="0" w:color="808000"/>
              <w:right w:val="single" w:sz="4"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20.978 </w:t>
            </w:r>
          </w:p>
        </w:tc>
      </w:tr>
      <w:tr w:rsidR="003001DA" w:rsidRPr="003001DA" w:rsidTr="003001DA">
        <w:trPr>
          <w:trHeight w:val="315"/>
        </w:trPr>
        <w:tc>
          <w:tcPr>
            <w:tcW w:w="809" w:type="dxa"/>
            <w:tcBorders>
              <w:top w:val="nil"/>
              <w:left w:val="single" w:sz="8" w:space="0" w:color="auto"/>
              <w:bottom w:val="single" w:sz="4" w:space="0" w:color="808000"/>
              <w:right w:val="single" w:sz="4" w:space="0" w:color="808000"/>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3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01.03.92</w:t>
            </w:r>
          </w:p>
        </w:tc>
        <w:tc>
          <w:tcPr>
            <w:tcW w:w="742"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right"/>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31.10.92</w:t>
            </w:r>
          </w:p>
        </w:tc>
        <w:tc>
          <w:tcPr>
            <w:tcW w:w="533"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245</w:t>
            </w:r>
          </w:p>
        </w:tc>
        <w:tc>
          <w:tcPr>
            <w:tcW w:w="1169" w:type="dxa"/>
            <w:tcBorders>
              <w:top w:val="nil"/>
              <w:left w:val="nil"/>
              <w:bottom w:val="single" w:sz="4" w:space="0" w:color="808000"/>
              <w:right w:val="single" w:sz="8"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710.499,00 </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1641" w:type="dxa"/>
            <w:tcBorders>
              <w:top w:val="nil"/>
              <w:left w:val="single" w:sz="4" w:space="0" w:color="auto"/>
              <w:bottom w:val="single" w:sz="4" w:space="0" w:color="808000"/>
              <w:right w:val="single" w:sz="4" w:space="0" w:color="808000"/>
            </w:tcBorders>
            <w:shd w:val="clear" w:color="000000" w:fill="FFFF99"/>
            <w:noWrap/>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               5.378.712,66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105,24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13,90 </w:t>
            </w:r>
          </w:p>
        </w:tc>
        <w:tc>
          <w:tcPr>
            <w:tcW w:w="1405" w:type="dxa"/>
            <w:tcBorders>
              <w:top w:val="nil"/>
              <w:left w:val="nil"/>
              <w:bottom w:val="single" w:sz="4" w:space="0" w:color="808000"/>
              <w:right w:val="single" w:sz="4"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366.051 </w:t>
            </w:r>
          </w:p>
        </w:tc>
      </w:tr>
      <w:tr w:rsidR="003001DA" w:rsidRPr="003001DA" w:rsidTr="003001DA">
        <w:trPr>
          <w:trHeight w:val="315"/>
        </w:trPr>
        <w:tc>
          <w:tcPr>
            <w:tcW w:w="809" w:type="dxa"/>
            <w:tcBorders>
              <w:top w:val="nil"/>
              <w:left w:val="single" w:sz="8" w:space="0" w:color="auto"/>
              <w:bottom w:val="single" w:sz="4" w:space="0" w:color="808000"/>
              <w:right w:val="single" w:sz="4" w:space="0" w:color="808000"/>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3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01.11.92</w:t>
            </w:r>
          </w:p>
        </w:tc>
        <w:tc>
          <w:tcPr>
            <w:tcW w:w="742"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right"/>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31.12.92</w:t>
            </w:r>
          </w:p>
        </w:tc>
        <w:tc>
          <w:tcPr>
            <w:tcW w:w="533"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61</w:t>
            </w:r>
          </w:p>
        </w:tc>
        <w:tc>
          <w:tcPr>
            <w:tcW w:w="1169" w:type="dxa"/>
            <w:tcBorders>
              <w:top w:val="nil"/>
              <w:left w:val="nil"/>
              <w:bottom w:val="single" w:sz="4" w:space="0" w:color="808000"/>
              <w:right w:val="single" w:sz="8"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710.499,00 </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1641" w:type="dxa"/>
            <w:tcBorders>
              <w:top w:val="nil"/>
              <w:left w:val="single" w:sz="4" w:space="0" w:color="auto"/>
              <w:bottom w:val="single" w:sz="4" w:space="0" w:color="808000"/>
              <w:right w:val="single" w:sz="4" w:space="0" w:color="808000"/>
            </w:tcBorders>
            <w:shd w:val="clear" w:color="000000" w:fill="FFFF99"/>
            <w:noWrap/>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               5.378.712,66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105,24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13,90 </w:t>
            </w:r>
          </w:p>
        </w:tc>
        <w:tc>
          <w:tcPr>
            <w:tcW w:w="1405" w:type="dxa"/>
            <w:tcBorders>
              <w:top w:val="nil"/>
              <w:left w:val="nil"/>
              <w:bottom w:val="single" w:sz="4" w:space="0" w:color="808000"/>
              <w:right w:val="single" w:sz="4"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91.139 </w:t>
            </w:r>
          </w:p>
        </w:tc>
      </w:tr>
      <w:tr w:rsidR="003001DA" w:rsidRPr="003001DA" w:rsidTr="003001DA">
        <w:trPr>
          <w:trHeight w:val="315"/>
        </w:trPr>
        <w:tc>
          <w:tcPr>
            <w:tcW w:w="809" w:type="dxa"/>
            <w:tcBorders>
              <w:top w:val="nil"/>
              <w:left w:val="single" w:sz="8" w:space="0" w:color="auto"/>
              <w:bottom w:val="single" w:sz="4" w:space="0" w:color="808000"/>
              <w:right w:val="single" w:sz="4" w:space="0" w:color="808000"/>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3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01.11.92</w:t>
            </w:r>
          </w:p>
        </w:tc>
        <w:tc>
          <w:tcPr>
            <w:tcW w:w="742"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right"/>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31.12.92</w:t>
            </w:r>
          </w:p>
        </w:tc>
        <w:tc>
          <w:tcPr>
            <w:tcW w:w="533"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61</w:t>
            </w:r>
          </w:p>
        </w:tc>
        <w:tc>
          <w:tcPr>
            <w:tcW w:w="1169" w:type="dxa"/>
            <w:tcBorders>
              <w:top w:val="nil"/>
              <w:left w:val="nil"/>
              <w:bottom w:val="single" w:sz="4" w:space="0" w:color="808000"/>
              <w:right w:val="single" w:sz="8"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559.774,00 </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1641" w:type="dxa"/>
            <w:tcBorders>
              <w:top w:val="nil"/>
              <w:left w:val="single" w:sz="4" w:space="0" w:color="auto"/>
              <w:bottom w:val="single" w:sz="4" w:space="0" w:color="808000"/>
              <w:right w:val="single" w:sz="4" w:space="0" w:color="808000"/>
            </w:tcBorders>
            <w:shd w:val="clear" w:color="000000" w:fill="FFFF99"/>
            <w:noWrap/>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               4.237.674,51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105,24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13,90 </w:t>
            </w:r>
          </w:p>
        </w:tc>
        <w:tc>
          <w:tcPr>
            <w:tcW w:w="1405" w:type="dxa"/>
            <w:tcBorders>
              <w:top w:val="nil"/>
              <w:left w:val="nil"/>
              <w:bottom w:val="single" w:sz="4" w:space="0" w:color="808000"/>
              <w:right w:val="single" w:sz="4"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71.805 </w:t>
            </w:r>
          </w:p>
        </w:tc>
      </w:tr>
      <w:tr w:rsidR="003001DA" w:rsidRPr="003001DA" w:rsidTr="003001DA">
        <w:trPr>
          <w:trHeight w:val="315"/>
        </w:trPr>
        <w:tc>
          <w:tcPr>
            <w:tcW w:w="809" w:type="dxa"/>
            <w:tcBorders>
              <w:top w:val="nil"/>
              <w:left w:val="single" w:sz="8" w:space="0" w:color="auto"/>
              <w:bottom w:val="single" w:sz="4" w:space="0" w:color="808000"/>
              <w:right w:val="single" w:sz="4" w:space="0" w:color="808000"/>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3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01.01.93</w:t>
            </w:r>
          </w:p>
        </w:tc>
        <w:tc>
          <w:tcPr>
            <w:tcW w:w="742"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right"/>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31.07.93</w:t>
            </w:r>
          </w:p>
        </w:tc>
        <w:tc>
          <w:tcPr>
            <w:tcW w:w="533"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212</w:t>
            </w:r>
          </w:p>
        </w:tc>
        <w:tc>
          <w:tcPr>
            <w:tcW w:w="1169" w:type="dxa"/>
            <w:tcBorders>
              <w:top w:val="nil"/>
              <w:left w:val="nil"/>
              <w:bottom w:val="single" w:sz="4" w:space="0" w:color="808000"/>
              <w:right w:val="single" w:sz="8"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665.070,00 </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1641" w:type="dxa"/>
            <w:tcBorders>
              <w:top w:val="nil"/>
              <w:left w:val="single" w:sz="4" w:space="0" w:color="auto"/>
              <w:bottom w:val="single" w:sz="4" w:space="0" w:color="808000"/>
              <w:right w:val="single" w:sz="4" w:space="0" w:color="808000"/>
            </w:tcBorders>
            <w:shd w:val="clear" w:color="000000" w:fill="FFFF99"/>
            <w:noWrap/>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               4.023.533,20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105,24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17,40 </w:t>
            </w:r>
          </w:p>
        </w:tc>
        <w:tc>
          <w:tcPr>
            <w:tcW w:w="1405" w:type="dxa"/>
            <w:tcBorders>
              <w:top w:val="nil"/>
              <w:left w:val="nil"/>
              <w:bottom w:val="single" w:sz="4" w:space="0" w:color="808000"/>
              <w:right w:val="single" w:sz="4"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236.941 </w:t>
            </w:r>
          </w:p>
        </w:tc>
      </w:tr>
      <w:tr w:rsidR="003001DA" w:rsidRPr="003001DA" w:rsidTr="003001DA">
        <w:trPr>
          <w:trHeight w:val="315"/>
        </w:trPr>
        <w:tc>
          <w:tcPr>
            <w:tcW w:w="809" w:type="dxa"/>
            <w:tcBorders>
              <w:top w:val="nil"/>
              <w:left w:val="single" w:sz="8" w:space="0" w:color="auto"/>
              <w:bottom w:val="single" w:sz="4" w:space="0" w:color="808000"/>
              <w:right w:val="single" w:sz="4" w:space="0" w:color="808000"/>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3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01.08.93</w:t>
            </w:r>
          </w:p>
        </w:tc>
        <w:tc>
          <w:tcPr>
            <w:tcW w:w="742"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right"/>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31.12.93</w:t>
            </w:r>
          </w:p>
        </w:tc>
        <w:tc>
          <w:tcPr>
            <w:tcW w:w="533"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153</w:t>
            </w:r>
          </w:p>
        </w:tc>
        <w:tc>
          <w:tcPr>
            <w:tcW w:w="1169" w:type="dxa"/>
            <w:tcBorders>
              <w:top w:val="nil"/>
              <w:left w:val="nil"/>
              <w:bottom w:val="single" w:sz="4" w:space="0" w:color="808000"/>
              <w:right w:val="single" w:sz="8"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895.695,00 </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1641" w:type="dxa"/>
            <w:tcBorders>
              <w:top w:val="nil"/>
              <w:left w:val="single" w:sz="4" w:space="0" w:color="auto"/>
              <w:bottom w:val="single" w:sz="4" w:space="0" w:color="808000"/>
              <w:right w:val="single" w:sz="4" w:space="0" w:color="808000"/>
            </w:tcBorders>
            <w:shd w:val="clear" w:color="000000" w:fill="FFFF99"/>
            <w:noWrap/>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               5.418.765,80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105,24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17,40 </w:t>
            </w:r>
          </w:p>
        </w:tc>
        <w:tc>
          <w:tcPr>
            <w:tcW w:w="1405" w:type="dxa"/>
            <w:tcBorders>
              <w:top w:val="nil"/>
              <w:left w:val="nil"/>
              <w:bottom w:val="single" w:sz="4" w:space="0" w:color="808000"/>
              <w:right w:val="single" w:sz="4"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230.298 </w:t>
            </w:r>
          </w:p>
        </w:tc>
      </w:tr>
      <w:tr w:rsidR="003001DA" w:rsidRPr="003001DA" w:rsidTr="003001DA">
        <w:trPr>
          <w:trHeight w:val="315"/>
        </w:trPr>
        <w:tc>
          <w:tcPr>
            <w:tcW w:w="809" w:type="dxa"/>
            <w:tcBorders>
              <w:top w:val="nil"/>
              <w:left w:val="single" w:sz="8" w:space="0" w:color="auto"/>
              <w:bottom w:val="single" w:sz="4" w:space="0" w:color="808000"/>
              <w:right w:val="single" w:sz="4" w:space="0" w:color="808000"/>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3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01.01.94</w:t>
            </w:r>
          </w:p>
        </w:tc>
        <w:tc>
          <w:tcPr>
            <w:tcW w:w="742"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right"/>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31.12.94</w:t>
            </w:r>
          </w:p>
        </w:tc>
        <w:tc>
          <w:tcPr>
            <w:tcW w:w="533"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365</w:t>
            </w:r>
          </w:p>
        </w:tc>
        <w:tc>
          <w:tcPr>
            <w:tcW w:w="1169" w:type="dxa"/>
            <w:tcBorders>
              <w:top w:val="nil"/>
              <w:left w:val="nil"/>
              <w:bottom w:val="single" w:sz="4" w:space="0" w:color="808000"/>
              <w:right w:val="single" w:sz="8"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1.092.741,00 </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1641" w:type="dxa"/>
            <w:tcBorders>
              <w:top w:val="nil"/>
              <w:left w:val="single" w:sz="4" w:space="0" w:color="auto"/>
              <w:bottom w:val="single" w:sz="4" w:space="0" w:color="808000"/>
              <w:right w:val="single" w:sz="4" w:space="0" w:color="808000"/>
            </w:tcBorders>
            <w:shd w:val="clear" w:color="000000" w:fill="FFFF99"/>
            <w:noWrap/>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               5.391.863,29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105,24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21,33 </w:t>
            </w:r>
          </w:p>
        </w:tc>
        <w:tc>
          <w:tcPr>
            <w:tcW w:w="1405" w:type="dxa"/>
            <w:tcBorders>
              <w:top w:val="nil"/>
              <w:left w:val="nil"/>
              <w:bottom w:val="single" w:sz="4" w:space="0" w:color="808000"/>
              <w:right w:val="single" w:sz="4"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546.675 </w:t>
            </w:r>
          </w:p>
        </w:tc>
      </w:tr>
      <w:tr w:rsidR="003001DA" w:rsidRPr="003001DA" w:rsidTr="003001DA">
        <w:trPr>
          <w:trHeight w:val="315"/>
        </w:trPr>
        <w:tc>
          <w:tcPr>
            <w:tcW w:w="809" w:type="dxa"/>
            <w:tcBorders>
              <w:top w:val="nil"/>
              <w:left w:val="single" w:sz="8" w:space="0" w:color="auto"/>
              <w:bottom w:val="single" w:sz="4" w:space="0" w:color="808000"/>
              <w:right w:val="single" w:sz="4" w:space="0" w:color="808000"/>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3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01.01.95</w:t>
            </w:r>
          </w:p>
        </w:tc>
        <w:tc>
          <w:tcPr>
            <w:tcW w:w="742"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right"/>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30.04.95</w:t>
            </w:r>
          </w:p>
        </w:tc>
        <w:tc>
          <w:tcPr>
            <w:tcW w:w="533"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120</w:t>
            </w:r>
          </w:p>
        </w:tc>
        <w:tc>
          <w:tcPr>
            <w:tcW w:w="1169" w:type="dxa"/>
            <w:tcBorders>
              <w:top w:val="nil"/>
              <w:left w:val="nil"/>
              <w:bottom w:val="single" w:sz="4" w:space="0" w:color="808000"/>
              <w:right w:val="single" w:sz="8"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1.317.000,00 </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1641" w:type="dxa"/>
            <w:tcBorders>
              <w:top w:val="nil"/>
              <w:left w:val="single" w:sz="4" w:space="0" w:color="auto"/>
              <w:bottom w:val="single" w:sz="4" w:space="0" w:color="808000"/>
              <w:right w:val="single" w:sz="4" w:space="0" w:color="808000"/>
            </w:tcBorders>
            <w:shd w:val="clear" w:color="000000" w:fill="FFFF99"/>
            <w:noWrap/>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               5.300.680,92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105,24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26,15 </w:t>
            </w:r>
          </w:p>
        </w:tc>
        <w:tc>
          <w:tcPr>
            <w:tcW w:w="1405" w:type="dxa"/>
            <w:tcBorders>
              <w:top w:val="nil"/>
              <w:left w:val="nil"/>
              <w:bottom w:val="single" w:sz="4" w:space="0" w:color="808000"/>
              <w:right w:val="single" w:sz="4"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176.689 </w:t>
            </w:r>
          </w:p>
        </w:tc>
      </w:tr>
      <w:tr w:rsidR="003001DA" w:rsidRPr="003001DA" w:rsidTr="003001DA">
        <w:trPr>
          <w:trHeight w:val="315"/>
        </w:trPr>
        <w:tc>
          <w:tcPr>
            <w:tcW w:w="809" w:type="dxa"/>
            <w:tcBorders>
              <w:top w:val="nil"/>
              <w:left w:val="single" w:sz="8" w:space="0" w:color="auto"/>
              <w:bottom w:val="single" w:sz="4" w:space="0" w:color="808000"/>
              <w:right w:val="single" w:sz="4" w:space="0" w:color="808000"/>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3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01.05.95</w:t>
            </w:r>
          </w:p>
        </w:tc>
        <w:tc>
          <w:tcPr>
            <w:tcW w:w="742"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right"/>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31.05.95</w:t>
            </w:r>
          </w:p>
        </w:tc>
        <w:tc>
          <w:tcPr>
            <w:tcW w:w="533"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30</w:t>
            </w:r>
          </w:p>
        </w:tc>
        <w:tc>
          <w:tcPr>
            <w:tcW w:w="1169" w:type="dxa"/>
            <w:tcBorders>
              <w:top w:val="nil"/>
              <w:left w:val="nil"/>
              <w:bottom w:val="single" w:sz="4" w:space="0" w:color="808000"/>
              <w:right w:val="single" w:sz="8"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1.620.000,00 </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1641" w:type="dxa"/>
            <w:tcBorders>
              <w:top w:val="nil"/>
              <w:left w:val="single" w:sz="4" w:space="0" w:color="auto"/>
              <w:bottom w:val="single" w:sz="4" w:space="0" w:color="808000"/>
              <w:right w:val="single" w:sz="4" w:space="0" w:color="808000"/>
            </w:tcBorders>
            <w:shd w:val="clear" w:color="000000" w:fill="FFFF99"/>
            <w:noWrap/>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               6.520.199,77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105,24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26,15 </w:t>
            </w:r>
          </w:p>
        </w:tc>
        <w:tc>
          <w:tcPr>
            <w:tcW w:w="1405" w:type="dxa"/>
            <w:tcBorders>
              <w:top w:val="nil"/>
              <w:left w:val="nil"/>
              <w:bottom w:val="single" w:sz="4" w:space="0" w:color="808000"/>
              <w:right w:val="single" w:sz="4"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54.335 </w:t>
            </w:r>
          </w:p>
        </w:tc>
      </w:tr>
      <w:tr w:rsidR="003001DA" w:rsidRPr="003001DA" w:rsidTr="003001DA">
        <w:trPr>
          <w:trHeight w:val="315"/>
        </w:trPr>
        <w:tc>
          <w:tcPr>
            <w:tcW w:w="809" w:type="dxa"/>
            <w:tcBorders>
              <w:top w:val="single" w:sz="4" w:space="0" w:color="000000"/>
              <w:left w:val="single" w:sz="8" w:space="0" w:color="auto"/>
              <w:bottom w:val="single" w:sz="4" w:space="0" w:color="000000"/>
              <w:right w:val="single" w:sz="4" w:space="0" w:color="808000"/>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3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01.06.95</w:t>
            </w:r>
          </w:p>
        </w:tc>
        <w:tc>
          <w:tcPr>
            <w:tcW w:w="742"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right"/>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31.12.95</w:t>
            </w:r>
          </w:p>
        </w:tc>
        <w:tc>
          <w:tcPr>
            <w:tcW w:w="533"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210</w:t>
            </w:r>
          </w:p>
        </w:tc>
        <w:tc>
          <w:tcPr>
            <w:tcW w:w="1169" w:type="dxa"/>
            <w:tcBorders>
              <w:top w:val="nil"/>
              <w:left w:val="nil"/>
              <w:bottom w:val="single" w:sz="4" w:space="0" w:color="808000"/>
              <w:right w:val="single" w:sz="8"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1.433.000,00 </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1641" w:type="dxa"/>
            <w:tcBorders>
              <w:top w:val="nil"/>
              <w:left w:val="single" w:sz="4" w:space="0" w:color="auto"/>
              <w:bottom w:val="single" w:sz="4" w:space="0" w:color="808000"/>
              <w:right w:val="single" w:sz="4" w:space="0" w:color="808000"/>
            </w:tcBorders>
            <w:shd w:val="clear" w:color="000000" w:fill="FFFF99"/>
            <w:noWrap/>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               5.767.559,42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105,24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26,15 </w:t>
            </w:r>
          </w:p>
        </w:tc>
        <w:tc>
          <w:tcPr>
            <w:tcW w:w="1405" w:type="dxa"/>
            <w:tcBorders>
              <w:top w:val="nil"/>
              <w:left w:val="nil"/>
              <w:bottom w:val="single" w:sz="4" w:space="0" w:color="808000"/>
              <w:right w:val="single" w:sz="4"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336.441 </w:t>
            </w:r>
          </w:p>
        </w:tc>
      </w:tr>
      <w:tr w:rsidR="003001DA" w:rsidRPr="003001DA" w:rsidTr="003001DA">
        <w:trPr>
          <w:trHeight w:val="315"/>
        </w:trPr>
        <w:tc>
          <w:tcPr>
            <w:tcW w:w="809" w:type="dxa"/>
            <w:tcBorders>
              <w:top w:val="nil"/>
              <w:left w:val="single" w:sz="8" w:space="0" w:color="auto"/>
              <w:bottom w:val="single" w:sz="4" w:space="0" w:color="000000"/>
              <w:right w:val="single" w:sz="4" w:space="0" w:color="808000"/>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37" w:type="dxa"/>
            <w:tcBorders>
              <w:top w:val="single" w:sz="4" w:space="0" w:color="000000"/>
              <w:left w:val="nil"/>
              <w:bottom w:val="single" w:sz="4" w:space="0" w:color="000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01.01.96</w:t>
            </w:r>
          </w:p>
        </w:tc>
        <w:tc>
          <w:tcPr>
            <w:tcW w:w="742" w:type="dxa"/>
            <w:tcBorders>
              <w:top w:val="single" w:sz="4" w:space="0" w:color="000000"/>
              <w:left w:val="nil"/>
              <w:bottom w:val="single" w:sz="4" w:space="0" w:color="000000"/>
              <w:right w:val="single" w:sz="4" w:space="0" w:color="808000"/>
            </w:tcBorders>
            <w:shd w:val="clear" w:color="auto" w:fill="auto"/>
            <w:noWrap/>
            <w:vAlign w:val="center"/>
            <w:hideMark/>
          </w:tcPr>
          <w:p w:rsidR="003001DA" w:rsidRPr="003001DA" w:rsidRDefault="003001DA" w:rsidP="003001DA">
            <w:pPr>
              <w:jc w:val="right"/>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31.12.96</w:t>
            </w:r>
          </w:p>
        </w:tc>
        <w:tc>
          <w:tcPr>
            <w:tcW w:w="533"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360</w:t>
            </w:r>
          </w:p>
        </w:tc>
        <w:tc>
          <w:tcPr>
            <w:tcW w:w="1169" w:type="dxa"/>
            <w:tcBorders>
              <w:top w:val="nil"/>
              <w:left w:val="nil"/>
              <w:bottom w:val="single" w:sz="4" w:space="0" w:color="808000"/>
              <w:right w:val="single" w:sz="8"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1.713.000,00 </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1641" w:type="dxa"/>
            <w:tcBorders>
              <w:top w:val="nil"/>
              <w:left w:val="single" w:sz="4" w:space="0" w:color="auto"/>
              <w:bottom w:val="nil"/>
              <w:right w:val="single" w:sz="4" w:space="0" w:color="000000"/>
            </w:tcBorders>
            <w:shd w:val="clear" w:color="000000" w:fill="FFFF99"/>
            <w:noWrap/>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               5.771.028,38 </w:t>
            </w:r>
          </w:p>
        </w:tc>
        <w:tc>
          <w:tcPr>
            <w:tcW w:w="777" w:type="dxa"/>
            <w:tcBorders>
              <w:top w:val="nil"/>
              <w:left w:val="nil"/>
              <w:bottom w:val="nil"/>
              <w:right w:val="single" w:sz="4" w:space="0" w:color="000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105,24 </w:t>
            </w:r>
          </w:p>
        </w:tc>
        <w:tc>
          <w:tcPr>
            <w:tcW w:w="777" w:type="dxa"/>
            <w:tcBorders>
              <w:top w:val="nil"/>
              <w:left w:val="nil"/>
              <w:bottom w:val="nil"/>
              <w:right w:val="single" w:sz="4" w:space="0" w:color="000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31,24 </w:t>
            </w:r>
          </w:p>
        </w:tc>
        <w:tc>
          <w:tcPr>
            <w:tcW w:w="1405" w:type="dxa"/>
            <w:tcBorders>
              <w:top w:val="nil"/>
              <w:left w:val="nil"/>
              <w:bottom w:val="nil"/>
              <w:right w:val="single" w:sz="4"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577.103 </w:t>
            </w:r>
          </w:p>
        </w:tc>
      </w:tr>
      <w:tr w:rsidR="003001DA" w:rsidRPr="003001DA" w:rsidTr="003001DA">
        <w:trPr>
          <w:trHeight w:val="315"/>
        </w:trPr>
        <w:tc>
          <w:tcPr>
            <w:tcW w:w="809" w:type="dxa"/>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37" w:type="dxa"/>
            <w:tcBorders>
              <w:top w:val="single" w:sz="4" w:space="0" w:color="808000"/>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01.01.97</w:t>
            </w:r>
          </w:p>
        </w:tc>
        <w:tc>
          <w:tcPr>
            <w:tcW w:w="742" w:type="dxa"/>
            <w:tcBorders>
              <w:top w:val="single" w:sz="4" w:space="0" w:color="808000"/>
              <w:left w:val="nil"/>
              <w:bottom w:val="single" w:sz="4" w:space="0" w:color="808000"/>
              <w:right w:val="single" w:sz="4" w:space="0" w:color="808000"/>
            </w:tcBorders>
            <w:shd w:val="clear" w:color="auto" w:fill="auto"/>
            <w:noWrap/>
            <w:vAlign w:val="center"/>
            <w:hideMark/>
          </w:tcPr>
          <w:p w:rsidR="003001DA" w:rsidRPr="003001DA" w:rsidRDefault="003001DA" w:rsidP="003001DA">
            <w:pPr>
              <w:jc w:val="right"/>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30.06.97</w:t>
            </w:r>
          </w:p>
        </w:tc>
        <w:tc>
          <w:tcPr>
            <w:tcW w:w="533"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180</w:t>
            </w:r>
          </w:p>
        </w:tc>
        <w:tc>
          <w:tcPr>
            <w:tcW w:w="1169" w:type="dxa"/>
            <w:tcBorders>
              <w:top w:val="nil"/>
              <w:left w:val="nil"/>
              <w:bottom w:val="single" w:sz="4" w:space="0" w:color="808000"/>
              <w:right w:val="single" w:sz="8"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2.083.000,00 </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1641" w:type="dxa"/>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               5.769.152,40 </w:t>
            </w:r>
          </w:p>
        </w:tc>
        <w:tc>
          <w:tcPr>
            <w:tcW w:w="777" w:type="dxa"/>
            <w:tcBorders>
              <w:top w:val="single" w:sz="4" w:space="0" w:color="808000"/>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105,24 </w:t>
            </w:r>
          </w:p>
        </w:tc>
        <w:tc>
          <w:tcPr>
            <w:tcW w:w="777" w:type="dxa"/>
            <w:tcBorders>
              <w:top w:val="single" w:sz="4" w:space="0" w:color="808000"/>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38,00 </w:t>
            </w:r>
          </w:p>
        </w:tc>
        <w:tc>
          <w:tcPr>
            <w:tcW w:w="1405" w:type="dxa"/>
            <w:tcBorders>
              <w:top w:val="single" w:sz="4" w:space="0" w:color="808000"/>
              <w:left w:val="nil"/>
              <w:bottom w:val="single" w:sz="4" w:space="0" w:color="808000"/>
              <w:right w:val="single" w:sz="4"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288.458 </w:t>
            </w:r>
          </w:p>
        </w:tc>
      </w:tr>
      <w:tr w:rsidR="003001DA" w:rsidRPr="003001DA" w:rsidTr="003001DA">
        <w:trPr>
          <w:trHeight w:val="315"/>
        </w:trPr>
        <w:tc>
          <w:tcPr>
            <w:tcW w:w="809" w:type="dxa"/>
            <w:tcBorders>
              <w:top w:val="nil"/>
              <w:left w:val="single" w:sz="8" w:space="0" w:color="auto"/>
              <w:bottom w:val="single" w:sz="4" w:space="0" w:color="808000"/>
              <w:right w:val="single" w:sz="4" w:space="0" w:color="808000"/>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3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01.07.97</w:t>
            </w:r>
          </w:p>
        </w:tc>
        <w:tc>
          <w:tcPr>
            <w:tcW w:w="742"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right"/>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31.12.97</w:t>
            </w:r>
          </w:p>
        </w:tc>
        <w:tc>
          <w:tcPr>
            <w:tcW w:w="533"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180</w:t>
            </w:r>
          </w:p>
        </w:tc>
        <w:tc>
          <w:tcPr>
            <w:tcW w:w="1169" w:type="dxa"/>
            <w:tcBorders>
              <w:top w:val="nil"/>
              <w:left w:val="nil"/>
              <w:bottom w:val="single" w:sz="4" w:space="0" w:color="808000"/>
              <w:right w:val="single" w:sz="8"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1.713.000,00 </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1641" w:type="dxa"/>
            <w:tcBorders>
              <w:top w:val="nil"/>
              <w:left w:val="single" w:sz="4" w:space="0" w:color="auto"/>
              <w:bottom w:val="single" w:sz="4" w:space="0" w:color="808000"/>
              <w:right w:val="single" w:sz="4" w:space="0" w:color="808000"/>
            </w:tcBorders>
            <w:shd w:val="clear" w:color="000000" w:fill="FFFF99"/>
            <w:noWrap/>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               4.744.386,97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105,24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38,00 </w:t>
            </w:r>
          </w:p>
        </w:tc>
        <w:tc>
          <w:tcPr>
            <w:tcW w:w="1405" w:type="dxa"/>
            <w:tcBorders>
              <w:top w:val="nil"/>
              <w:left w:val="nil"/>
              <w:bottom w:val="single" w:sz="4" w:space="0" w:color="808000"/>
              <w:right w:val="single" w:sz="4"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237.219 </w:t>
            </w:r>
          </w:p>
        </w:tc>
      </w:tr>
      <w:tr w:rsidR="003001DA" w:rsidRPr="003001DA" w:rsidTr="003001DA">
        <w:trPr>
          <w:trHeight w:val="315"/>
        </w:trPr>
        <w:tc>
          <w:tcPr>
            <w:tcW w:w="809" w:type="dxa"/>
            <w:tcBorders>
              <w:top w:val="nil"/>
              <w:left w:val="single" w:sz="8" w:space="0" w:color="auto"/>
              <w:bottom w:val="single" w:sz="4" w:space="0" w:color="808000"/>
              <w:right w:val="single" w:sz="4" w:space="0" w:color="808000"/>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3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01.01.98</w:t>
            </w:r>
          </w:p>
        </w:tc>
        <w:tc>
          <w:tcPr>
            <w:tcW w:w="742"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right"/>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31.12.98</w:t>
            </w:r>
          </w:p>
        </w:tc>
        <w:tc>
          <w:tcPr>
            <w:tcW w:w="533"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360</w:t>
            </w:r>
          </w:p>
        </w:tc>
        <w:tc>
          <w:tcPr>
            <w:tcW w:w="1169" w:type="dxa"/>
            <w:tcBorders>
              <w:top w:val="nil"/>
              <w:left w:val="nil"/>
              <w:bottom w:val="single" w:sz="4" w:space="0" w:color="808000"/>
              <w:right w:val="single" w:sz="8"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2.021.000,00 </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1641" w:type="dxa"/>
            <w:tcBorders>
              <w:top w:val="nil"/>
              <w:left w:val="single" w:sz="4" w:space="0" w:color="auto"/>
              <w:bottom w:val="single" w:sz="4" w:space="0" w:color="808000"/>
              <w:right w:val="single" w:sz="4" w:space="0" w:color="808000"/>
            </w:tcBorders>
            <w:shd w:val="clear" w:color="000000" w:fill="FFFF99"/>
            <w:noWrap/>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               4.756.317,92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105,24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44,72 </w:t>
            </w:r>
          </w:p>
        </w:tc>
        <w:tc>
          <w:tcPr>
            <w:tcW w:w="1405" w:type="dxa"/>
            <w:tcBorders>
              <w:top w:val="nil"/>
              <w:left w:val="nil"/>
              <w:bottom w:val="single" w:sz="4" w:space="0" w:color="808000"/>
              <w:right w:val="single" w:sz="4"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475.632 </w:t>
            </w:r>
          </w:p>
        </w:tc>
      </w:tr>
      <w:tr w:rsidR="003001DA" w:rsidRPr="003001DA" w:rsidTr="003001DA">
        <w:trPr>
          <w:trHeight w:val="315"/>
        </w:trPr>
        <w:tc>
          <w:tcPr>
            <w:tcW w:w="809" w:type="dxa"/>
            <w:tcBorders>
              <w:top w:val="nil"/>
              <w:left w:val="single" w:sz="8" w:space="0" w:color="auto"/>
              <w:bottom w:val="single" w:sz="4" w:space="0" w:color="808000"/>
              <w:right w:val="single" w:sz="4" w:space="0" w:color="808000"/>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3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01.01.99</w:t>
            </w:r>
          </w:p>
        </w:tc>
        <w:tc>
          <w:tcPr>
            <w:tcW w:w="742"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right"/>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31.12.99</w:t>
            </w:r>
          </w:p>
        </w:tc>
        <w:tc>
          <w:tcPr>
            <w:tcW w:w="533"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360</w:t>
            </w:r>
          </w:p>
        </w:tc>
        <w:tc>
          <w:tcPr>
            <w:tcW w:w="1169" w:type="dxa"/>
            <w:tcBorders>
              <w:top w:val="nil"/>
              <w:left w:val="nil"/>
              <w:bottom w:val="single" w:sz="4" w:space="0" w:color="808000"/>
              <w:right w:val="single" w:sz="8"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2.365.000,00 </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1641" w:type="dxa"/>
            <w:tcBorders>
              <w:top w:val="nil"/>
              <w:left w:val="single" w:sz="4" w:space="0" w:color="auto"/>
              <w:bottom w:val="single" w:sz="4" w:space="0" w:color="808000"/>
              <w:right w:val="single" w:sz="4" w:space="0" w:color="808000"/>
            </w:tcBorders>
            <w:shd w:val="clear" w:color="000000" w:fill="FFFF99"/>
            <w:noWrap/>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               4.769.286,95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105,24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52,18 </w:t>
            </w:r>
          </w:p>
        </w:tc>
        <w:tc>
          <w:tcPr>
            <w:tcW w:w="1405" w:type="dxa"/>
            <w:tcBorders>
              <w:top w:val="nil"/>
              <w:left w:val="nil"/>
              <w:bottom w:val="single" w:sz="4" w:space="0" w:color="808000"/>
              <w:right w:val="single" w:sz="4"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476.929 </w:t>
            </w:r>
          </w:p>
        </w:tc>
      </w:tr>
      <w:tr w:rsidR="003001DA" w:rsidRPr="003001DA" w:rsidTr="003001DA">
        <w:trPr>
          <w:trHeight w:val="315"/>
        </w:trPr>
        <w:tc>
          <w:tcPr>
            <w:tcW w:w="809" w:type="dxa"/>
            <w:tcBorders>
              <w:top w:val="nil"/>
              <w:left w:val="single" w:sz="8" w:space="0" w:color="auto"/>
              <w:bottom w:val="single" w:sz="4" w:space="0" w:color="808000"/>
              <w:right w:val="single" w:sz="4" w:space="0" w:color="808000"/>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3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01.01.00</w:t>
            </w:r>
          </w:p>
        </w:tc>
        <w:tc>
          <w:tcPr>
            <w:tcW w:w="742"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right"/>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31.01.00</w:t>
            </w:r>
          </w:p>
        </w:tc>
        <w:tc>
          <w:tcPr>
            <w:tcW w:w="533"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30</w:t>
            </w:r>
          </w:p>
        </w:tc>
        <w:tc>
          <w:tcPr>
            <w:tcW w:w="1169" w:type="dxa"/>
            <w:tcBorders>
              <w:top w:val="nil"/>
              <w:left w:val="nil"/>
              <w:bottom w:val="single" w:sz="4" w:space="0" w:color="808000"/>
              <w:right w:val="single" w:sz="8"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2.483.000,00 </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1641" w:type="dxa"/>
            <w:tcBorders>
              <w:top w:val="nil"/>
              <w:left w:val="single" w:sz="4" w:space="0" w:color="auto"/>
              <w:bottom w:val="single" w:sz="4" w:space="0" w:color="808000"/>
              <w:right w:val="single" w:sz="4" w:space="0" w:color="808000"/>
            </w:tcBorders>
            <w:shd w:val="clear" w:color="000000" w:fill="FFFF99"/>
            <w:noWrap/>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               4.584.060,56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105,24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57,00 </w:t>
            </w:r>
          </w:p>
        </w:tc>
        <w:tc>
          <w:tcPr>
            <w:tcW w:w="1405" w:type="dxa"/>
            <w:tcBorders>
              <w:top w:val="nil"/>
              <w:left w:val="nil"/>
              <w:bottom w:val="single" w:sz="4" w:space="0" w:color="808000"/>
              <w:right w:val="single" w:sz="4"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38.201 </w:t>
            </w:r>
          </w:p>
        </w:tc>
      </w:tr>
      <w:tr w:rsidR="003001DA" w:rsidRPr="003001DA" w:rsidTr="003001DA">
        <w:trPr>
          <w:trHeight w:val="315"/>
        </w:trPr>
        <w:tc>
          <w:tcPr>
            <w:tcW w:w="809" w:type="dxa"/>
            <w:tcBorders>
              <w:top w:val="nil"/>
              <w:left w:val="single" w:sz="8" w:space="0" w:color="auto"/>
              <w:bottom w:val="single" w:sz="4" w:space="0" w:color="808000"/>
              <w:right w:val="single" w:sz="4" w:space="0" w:color="808000"/>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3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01.02.00</w:t>
            </w:r>
          </w:p>
        </w:tc>
        <w:tc>
          <w:tcPr>
            <w:tcW w:w="742"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right"/>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31.12.00</w:t>
            </w:r>
          </w:p>
        </w:tc>
        <w:tc>
          <w:tcPr>
            <w:tcW w:w="533"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330</w:t>
            </w:r>
          </w:p>
        </w:tc>
        <w:tc>
          <w:tcPr>
            <w:tcW w:w="1169" w:type="dxa"/>
            <w:tcBorders>
              <w:top w:val="nil"/>
              <w:left w:val="nil"/>
              <w:bottom w:val="single" w:sz="4" w:space="0" w:color="808000"/>
              <w:right w:val="single" w:sz="8"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3.021.000,00 </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1641" w:type="dxa"/>
            <w:tcBorders>
              <w:top w:val="nil"/>
              <w:left w:val="single" w:sz="4" w:space="0" w:color="auto"/>
              <w:bottom w:val="single" w:sz="4" w:space="0" w:color="808000"/>
              <w:right w:val="single" w:sz="4" w:space="0" w:color="808000"/>
            </w:tcBorders>
            <w:shd w:val="clear" w:color="000000" w:fill="FFFF99"/>
            <w:noWrap/>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               5.577.304,45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105,24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57,00 </w:t>
            </w:r>
          </w:p>
        </w:tc>
        <w:tc>
          <w:tcPr>
            <w:tcW w:w="1405" w:type="dxa"/>
            <w:tcBorders>
              <w:top w:val="nil"/>
              <w:left w:val="nil"/>
              <w:bottom w:val="single" w:sz="4" w:space="0" w:color="808000"/>
              <w:right w:val="single" w:sz="4"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511.253 </w:t>
            </w:r>
          </w:p>
        </w:tc>
      </w:tr>
      <w:tr w:rsidR="003001DA" w:rsidRPr="003001DA" w:rsidTr="003001DA">
        <w:trPr>
          <w:trHeight w:val="315"/>
        </w:trPr>
        <w:tc>
          <w:tcPr>
            <w:tcW w:w="809" w:type="dxa"/>
            <w:tcBorders>
              <w:top w:val="nil"/>
              <w:left w:val="single" w:sz="8" w:space="0" w:color="auto"/>
              <w:bottom w:val="single" w:sz="4" w:space="0" w:color="808000"/>
              <w:right w:val="single" w:sz="4" w:space="0" w:color="808000"/>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3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01.01.01</w:t>
            </w:r>
          </w:p>
        </w:tc>
        <w:tc>
          <w:tcPr>
            <w:tcW w:w="742"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right"/>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30.11.01</w:t>
            </w:r>
          </w:p>
        </w:tc>
        <w:tc>
          <w:tcPr>
            <w:tcW w:w="533"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328</w:t>
            </w:r>
          </w:p>
        </w:tc>
        <w:tc>
          <w:tcPr>
            <w:tcW w:w="1169" w:type="dxa"/>
            <w:tcBorders>
              <w:top w:val="nil"/>
              <w:left w:val="nil"/>
              <w:bottom w:val="single" w:sz="4" w:space="0" w:color="808000"/>
              <w:right w:val="single" w:sz="8"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3.323.000,00 </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1641" w:type="dxa"/>
            <w:tcBorders>
              <w:top w:val="nil"/>
              <w:left w:val="single" w:sz="4" w:space="0" w:color="auto"/>
              <w:bottom w:val="single" w:sz="4" w:space="0" w:color="808000"/>
              <w:right w:val="single" w:sz="4" w:space="0" w:color="808000"/>
            </w:tcBorders>
            <w:shd w:val="clear" w:color="000000" w:fill="FFFF99"/>
            <w:noWrap/>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               5.641.335,97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105,24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61,99 </w:t>
            </w:r>
          </w:p>
        </w:tc>
        <w:tc>
          <w:tcPr>
            <w:tcW w:w="1405" w:type="dxa"/>
            <w:tcBorders>
              <w:top w:val="nil"/>
              <w:left w:val="nil"/>
              <w:bottom w:val="single" w:sz="4" w:space="0" w:color="808000"/>
              <w:right w:val="single" w:sz="4"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xml:space="preserve">                 513.988 </w:t>
            </w:r>
          </w:p>
        </w:tc>
      </w:tr>
      <w:tr w:rsidR="003001DA" w:rsidRPr="003001DA" w:rsidTr="003001DA">
        <w:trPr>
          <w:trHeight w:val="315"/>
        </w:trPr>
        <w:tc>
          <w:tcPr>
            <w:tcW w:w="809" w:type="dxa"/>
            <w:tcBorders>
              <w:top w:val="nil"/>
              <w:left w:val="single" w:sz="8" w:space="0" w:color="auto"/>
              <w:bottom w:val="single" w:sz="4" w:space="0" w:color="808000"/>
              <w:right w:val="single" w:sz="4" w:space="0" w:color="808000"/>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w:t>
            </w:r>
          </w:p>
        </w:tc>
        <w:tc>
          <w:tcPr>
            <w:tcW w:w="73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42"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533"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1169" w:type="dxa"/>
            <w:tcBorders>
              <w:top w:val="nil"/>
              <w:left w:val="nil"/>
              <w:bottom w:val="single" w:sz="4" w:space="0" w:color="808000"/>
              <w:right w:val="single" w:sz="8"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1641" w:type="dxa"/>
            <w:tcBorders>
              <w:top w:val="nil"/>
              <w:left w:val="single" w:sz="4" w:space="0" w:color="auto"/>
              <w:bottom w:val="single" w:sz="4" w:space="0" w:color="808000"/>
              <w:right w:val="single" w:sz="4" w:space="0" w:color="808000"/>
            </w:tcBorders>
            <w:shd w:val="clear" w:color="000000" w:fill="FFFF99"/>
            <w:noWrap/>
            <w:vAlign w:val="center"/>
            <w:hideMark/>
          </w:tcPr>
          <w:p w:rsidR="003001DA" w:rsidRPr="003001DA" w:rsidRDefault="003001DA" w:rsidP="003001DA">
            <w:pP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777" w:type="dxa"/>
            <w:tcBorders>
              <w:top w:val="nil"/>
              <w:left w:val="nil"/>
              <w:bottom w:val="single" w:sz="4" w:space="0" w:color="808000"/>
              <w:right w:val="single" w:sz="4" w:space="0" w:color="808000"/>
            </w:tcBorders>
            <w:shd w:val="clear" w:color="auto" w:fill="auto"/>
            <w:noWrap/>
            <w:vAlign w:val="center"/>
            <w:hideMark/>
          </w:tcPr>
          <w:p w:rsidR="003001DA" w:rsidRPr="003001DA" w:rsidRDefault="003001DA" w:rsidP="003001DA">
            <w:pPr>
              <w:jc w:val="cente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c>
          <w:tcPr>
            <w:tcW w:w="1405" w:type="dxa"/>
            <w:tcBorders>
              <w:top w:val="nil"/>
              <w:left w:val="nil"/>
              <w:bottom w:val="single" w:sz="4" w:space="0" w:color="808000"/>
              <w:right w:val="single" w:sz="4" w:space="0" w:color="auto"/>
            </w:tcBorders>
            <w:shd w:val="clear" w:color="auto" w:fill="auto"/>
            <w:noWrap/>
            <w:vAlign w:val="center"/>
            <w:hideMark/>
          </w:tcPr>
          <w:p w:rsidR="003001DA" w:rsidRPr="003001DA" w:rsidRDefault="003001DA" w:rsidP="003001DA">
            <w:pPr>
              <w:rPr>
                <w:rFonts w:ascii="Arial Narrow" w:hAnsi="Arial Narrow"/>
                <w:i/>
                <w:iCs/>
                <w:color w:val="000000"/>
                <w:sz w:val="16"/>
                <w:szCs w:val="16"/>
                <w:lang w:val="es-CO" w:eastAsia="es-CO"/>
              </w:rPr>
            </w:pPr>
            <w:r w:rsidRPr="003001DA">
              <w:rPr>
                <w:rFonts w:ascii="Arial Narrow" w:hAnsi="Arial Narrow"/>
                <w:i/>
                <w:iCs/>
                <w:color w:val="000000"/>
                <w:sz w:val="16"/>
                <w:szCs w:val="16"/>
                <w:lang w:val="es-CO" w:eastAsia="es-CO"/>
              </w:rPr>
              <w:t> </w:t>
            </w:r>
          </w:p>
        </w:tc>
      </w:tr>
      <w:tr w:rsidR="003001DA" w:rsidRPr="003001DA" w:rsidTr="003001DA">
        <w:trPr>
          <w:trHeight w:val="315"/>
        </w:trPr>
        <w:tc>
          <w:tcPr>
            <w:tcW w:w="809" w:type="dxa"/>
            <w:tcBorders>
              <w:top w:val="nil"/>
              <w:left w:val="nil"/>
              <w:bottom w:val="nil"/>
              <w:right w:val="nil"/>
            </w:tcBorders>
            <w:shd w:val="clear" w:color="auto" w:fill="auto"/>
            <w:noWrap/>
            <w:vAlign w:val="bottom"/>
            <w:hideMark/>
          </w:tcPr>
          <w:p w:rsidR="003001DA" w:rsidRPr="003001DA" w:rsidRDefault="003001DA" w:rsidP="003001DA">
            <w:pPr>
              <w:rPr>
                <w:rFonts w:ascii="Arial Narrow" w:hAnsi="Arial Narrow"/>
                <w:i/>
                <w:iCs/>
                <w:color w:val="000000"/>
                <w:sz w:val="16"/>
                <w:szCs w:val="16"/>
                <w:lang w:val="es-CO" w:eastAsia="es-CO"/>
              </w:rPr>
            </w:pPr>
          </w:p>
        </w:tc>
        <w:tc>
          <w:tcPr>
            <w:tcW w:w="737"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742"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533"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1169"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1641"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777"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777"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1405"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r>
      <w:tr w:rsidR="003001DA" w:rsidRPr="003001DA" w:rsidTr="003001DA">
        <w:trPr>
          <w:trHeight w:val="315"/>
        </w:trPr>
        <w:tc>
          <w:tcPr>
            <w:tcW w:w="2288" w:type="dxa"/>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3001DA" w:rsidRPr="003001DA" w:rsidRDefault="003001DA" w:rsidP="003001DA">
            <w:pPr>
              <w:jc w:val="cente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TOTAL DIAS</w:t>
            </w:r>
          </w:p>
        </w:tc>
        <w:tc>
          <w:tcPr>
            <w:tcW w:w="533" w:type="dxa"/>
            <w:tcBorders>
              <w:top w:val="single" w:sz="4" w:space="0" w:color="333300"/>
              <w:left w:val="nil"/>
              <w:bottom w:val="single" w:sz="4" w:space="0" w:color="333300"/>
              <w:right w:val="single" w:sz="4" w:space="0" w:color="333300"/>
            </w:tcBorders>
            <w:shd w:val="clear" w:color="000000" w:fill="FFFF99"/>
            <w:noWrap/>
            <w:vAlign w:val="center"/>
            <w:hideMark/>
          </w:tcPr>
          <w:p w:rsidR="003001DA" w:rsidRPr="003001DA" w:rsidRDefault="003001DA" w:rsidP="003001DA">
            <w:pPr>
              <w:jc w:val="cente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3.600</w:t>
            </w:r>
          </w:p>
        </w:tc>
        <w:tc>
          <w:tcPr>
            <w:tcW w:w="1169" w:type="dxa"/>
            <w:tcBorders>
              <w:top w:val="nil"/>
              <w:left w:val="nil"/>
              <w:bottom w:val="nil"/>
              <w:right w:val="nil"/>
            </w:tcBorders>
            <w:shd w:val="clear" w:color="auto" w:fill="auto"/>
            <w:noWrap/>
            <w:vAlign w:val="bottom"/>
            <w:hideMark/>
          </w:tcPr>
          <w:p w:rsidR="003001DA" w:rsidRPr="003001DA" w:rsidRDefault="003001DA" w:rsidP="003001DA">
            <w:pPr>
              <w:jc w:val="center"/>
              <w:rPr>
                <w:rFonts w:ascii="Arial Narrow" w:hAnsi="Arial Narrow"/>
                <w:b/>
                <w:bCs/>
                <w:i/>
                <w:iCs/>
                <w:color w:val="000000"/>
                <w:sz w:val="16"/>
                <w:szCs w:val="16"/>
                <w:lang w:val="es-CO" w:eastAsia="es-CO"/>
              </w:rPr>
            </w:pP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1641"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1554"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3001DA" w:rsidRPr="003001DA" w:rsidRDefault="003001DA" w:rsidP="003001DA">
            <w:pPr>
              <w:jc w:val="cente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IBL</w:t>
            </w:r>
          </w:p>
        </w:tc>
        <w:tc>
          <w:tcPr>
            <w:tcW w:w="1405" w:type="dxa"/>
            <w:tcBorders>
              <w:top w:val="single" w:sz="4" w:space="0" w:color="333300"/>
              <w:left w:val="nil"/>
              <w:bottom w:val="single" w:sz="4" w:space="0" w:color="333300"/>
              <w:right w:val="single" w:sz="4" w:space="0" w:color="333300"/>
            </w:tcBorders>
            <w:shd w:val="clear" w:color="000000" w:fill="FFFF99"/>
            <w:noWrap/>
            <w:vAlign w:val="center"/>
            <w:hideMark/>
          </w:tcPr>
          <w:p w:rsidR="003001DA" w:rsidRPr="003001DA" w:rsidRDefault="003001DA" w:rsidP="003001DA">
            <w:pPr>
              <w:jc w:val="center"/>
              <w:rPr>
                <w:rFonts w:ascii="Arial Narrow" w:hAnsi="Arial Narrow"/>
                <w:color w:val="000000"/>
                <w:sz w:val="16"/>
                <w:szCs w:val="16"/>
                <w:lang w:val="es-CO" w:eastAsia="es-CO"/>
              </w:rPr>
            </w:pPr>
            <w:r w:rsidRPr="003001DA">
              <w:rPr>
                <w:rFonts w:ascii="Arial Narrow" w:hAnsi="Arial Narrow"/>
                <w:color w:val="000000"/>
                <w:sz w:val="16"/>
                <w:szCs w:val="16"/>
                <w:lang w:val="es-CO" w:eastAsia="es-CO"/>
              </w:rPr>
              <w:t xml:space="preserve">               5.250.135 </w:t>
            </w:r>
          </w:p>
        </w:tc>
      </w:tr>
      <w:tr w:rsidR="003001DA" w:rsidRPr="003001DA" w:rsidTr="003001DA">
        <w:trPr>
          <w:trHeight w:val="315"/>
        </w:trPr>
        <w:tc>
          <w:tcPr>
            <w:tcW w:w="809" w:type="dxa"/>
            <w:tcBorders>
              <w:top w:val="nil"/>
              <w:left w:val="nil"/>
              <w:bottom w:val="nil"/>
              <w:right w:val="nil"/>
            </w:tcBorders>
            <w:shd w:val="clear" w:color="auto" w:fill="auto"/>
            <w:noWrap/>
            <w:vAlign w:val="bottom"/>
            <w:hideMark/>
          </w:tcPr>
          <w:p w:rsidR="003001DA" w:rsidRPr="003001DA" w:rsidRDefault="003001DA" w:rsidP="003001DA">
            <w:pPr>
              <w:jc w:val="center"/>
              <w:rPr>
                <w:rFonts w:ascii="Arial Narrow" w:hAnsi="Arial Narrow"/>
                <w:color w:val="000000"/>
                <w:sz w:val="16"/>
                <w:szCs w:val="16"/>
                <w:lang w:val="es-CO" w:eastAsia="es-CO"/>
              </w:rPr>
            </w:pPr>
          </w:p>
        </w:tc>
        <w:tc>
          <w:tcPr>
            <w:tcW w:w="737"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742"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533"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1169"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1641"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777"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777"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1405"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r>
      <w:tr w:rsidR="003001DA" w:rsidRPr="003001DA" w:rsidTr="003001DA">
        <w:trPr>
          <w:trHeight w:val="315"/>
        </w:trPr>
        <w:tc>
          <w:tcPr>
            <w:tcW w:w="809"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737"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742"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533"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1169"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265"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1641" w:type="dxa"/>
            <w:tcBorders>
              <w:top w:val="nil"/>
              <w:left w:val="nil"/>
              <w:bottom w:val="nil"/>
              <w:right w:val="nil"/>
            </w:tcBorders>
            <w:shd w:val="clear" w:color="auto" w:fill="auto"/>
            <w:noWrap/>
            <w:vAlign w:val="bottom"/>
            <w:hideMark/>
          </w:tcPr>
          <w:p w:rsidR="003001DA" w:rsidRPr="003001DA" w:rsidRDefault="003001DA" w:rsidP="003001DA">
            <w:pPr>
              <w:rPr>
                <w:sz w:val="20"/>
                <w:lang w:val="es-CO" w:eastAsia="es-CO"/>
              </w:rPr>
            </w:pPr>
          </w:p>
        </w:tc>
        <w:tc>
          <w:tcPr>
            <w:tcW w:w="1554"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3001DA" w:rsidRPr="003001DA" w:rsidRDefault="003001DA" w:rsidP="003001DA">
            <w:pPr>
              <w:jc w:val="cente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Mesada</w:t>
            </w:r>
          </w:p>
        </w:tc>
        <w:tc>
          <w:tcPr>
            <w:tcW w:w="1405" w:type="dxa"/>
            <w:tcBorders>
              <w:top w:val="single" w:sz="4" w:space="0" w:color="333300"/>
              <w:left w:val="nil"/>
              <w:bottom w:val="single" w:sz="4" w:space="0" w:color="333300"/>
              <w:right w:val="single" w:sz="4" w:space="0" w:color="333300"/>
            </w:tcBorders>
            <w:shd w:val="clear" w:color="000000" w:fill="FFFF99"/>
            <w:noWrap/>
            <w:vAlign w:val="center"/>
            <w:hideMark/>
          </w:tcPr>
          <w:p w:rsidR="003001DA" w:rsidRPr="003001DA" w:rsidRDefault="003001DA" w:rsidP="003001DA">
            <w:pPr>
              <w:jc w:val="center"/>
              <w:rPr>
                <w:rFonts w:ascii="Arial Narrow" w:hAnsi="Arial Narrow"/>
                <w:b/>
                <w:bCs/>
                <w:i/>
                <w:iCs/>
                <w:color w:val="000000"/>
                <w:sz w:val="16"/>
                <w:szCs w:val="16"/>
                <w:lang w:val="es-CO" w:eastAsia="es-CO"/>
              </w:rPr>
            </w:pPr>
            <w:r w:rsidRPr="003001DA">
              <w:rPr>
                <w:rFonts w:ascii="Arial Narrow" w:hAnsi="Arial Narrow"/>
                <w:b/>
                <w:bCs/>
                <w:i/>
                <w:iCs/>
                <w:color w:val="000000"/>
                <w:sz w:val="16"/>
                <w:szCs w:val="16"/>
                <w:lang w:val="es-CO" w:eastAsia="es-CO"/>
              </w:rPr>
              <w:t xml:space="preserve">              4.725.122 </w:t>
            </w:r>
          </w:p>
        </w:tc>
      </w:tr>
    </w:tbl>
    <w:p w:rsidR="003001DA" w:rsidRDefault="003001DA" w:rsidP="00E4081B">
      <w:pPr>
        <w:jc w:val="center"/>
      </w:pPr>
    </w:p>
    <w:p w:rsidR="00D84850" w:rsidRPr="003001DA" w:rsidRDefault="003001DA" w:rsidP="003001DA">
      <w:pPr>
        <w:jc w:val="center"/>
        <w:rPr>
          <w:rFonts w:ascii="Arial Narrow" w:hAnsi="Arial Narrow"/>
          <w:b/>
        </w:rPr>
      </w:pPr>
      <w:r w:rsidRPr="003001DA">
        <w:rPr>
          <w:rFonts w:ascii="Arial Narrow" w:hAnsi="Arial Narrow"/>
          <w:b/>
        </w:rPr>
        <w:t>ANEXO II</w:t>
      </w:r>
    </w:p>
    <w:p w:rsidR="003001DA" w:rsidRDefault="003001DA" w:rsidP="003001DA">
      <w:pPr>
        <w:jc w:val="center"/>
        <w:rPr>
          <w:rFonts w:ascii="Arial Narrow" w:hAnsi="Arial Narrow"/>
          <w:b/>
        </w:rPr>
      </w:pPr>
      <w:r w:rsidRPr="003001DA">
        <w:rPr>
          <w:rFonts w:ascii="Arial Narrow" w:hAnsi="Arial Narrow"/>
          <w:b/>
        </w:rPr>
        <w:t>REAJUSTE PENSIONAL</w:t>
      </w:r>
    </w:p>
    <w:p w:rsidR="003001DA" w:rsidRDefault="003001DA" w:rsidP="003001DA">
      <w:pPr>
        <w:jc w:val="center"/>
        <w:rPr>
          <w:rFonts w:ascii="Arial Narrow" w:hAnsi="Arial Narrow"/>
          <w:b/>
        </w:rPr>
      </w:pPr>
    </w:p>
    <w:tbl>
      <w:tblPr>
        <w:tblW w:w="5169" w:type="pct"/>
        <w:tblInd w:w="-60" w:type="dxa"/>
        <w:tblLayout w:type="fixed"/>
        <w:tblCellMar>
          <w:left w:w="70" w:type="dxa"/>
          <w:right w:w="70" w:type="dxa"/>
        </w:tblCellMar>
        <w:tblLook w:val="04A0" w:firstRow="1" w:lastRow="0" w:firstColumn="1" w:lastColumn="0" w:noHBand="0" w:noVBand="1"/>
      </w:tblPr>
      <w:tblGrid>
        <w:gridCol w:w="578"/>
        <w:gridCol w:w="1005"/>
        <w:gridCol w:w="881"/>
        <w:gridCol w:w="835"/>
        <w:gridCol w:w="999"/>
        <w:gridCol w:w="1089"/>
        <w:gridCol w:w="906"/>
        <w:gridCol w:w="855"/>
        <w:gridCol w:w="994"/>
        <w:gridCol w:w="992"/>
      </w:tblGrid>
      <w:tr w:rsidR="00251A2A" w:rsidRPr="00251A2A" w:rsidTr="00251A2A">
        <w:trPr>
          <w:trHeight w:val="465"/>
        </w:trPr>
        <w:tc>
          <w:tcPr>
            <w:tcW w:w="317"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251A2A" w:rsidRPr="00251A2A" w:rsidRDefault="00251A2A" w:rsidP="00251A2A">
            <w:pPr>
              <w:jc w:val="center"/>
              <w:rPr>
                <w:rFonts w:ascii="Arial Narrow" w:hAnsi="Arial Narrow"/>
                <w:b/>
                <w:bCs/>
                <w:color w:val="000000"/>
                <w:sz w:val="16"/>
                <w:szCs w:val="16"/>
                <w:lang w:val="es-CO" w:eastAsia="es-CO"/>
              </w:rPr>
            </w:pPr>
            <w:r w:rsidRPr="00251A2A">
              <w:rPr>
                <w:rFonts w:ascii="Arial Narrow" w:hAnsi="Arial Narrow"/>
                <w:b/>
                <w:bCs/>
                <w:color w:val="000000"/>
                <w:sz w:val="16"/>
                <w:szCs w:val="16"/>
                <w:lang w:val="es-CO" w:eastAsia="es-CO"/>
              </w:rPr>
              <w:t>Año</w:t>
            </w:r>
          </w:p>
        </w:tc>
        <w:tc>
          <w:tcPr>
            <w:tcW w:w="550" w:type="pct"/>
            <w:tcBorders>
              <w:top w:val="single" w:sz="4" w:space="0" w:color="auto"/>
              <w:left w:val="nil"/>
              <w:bottom w:val="single" w:sz="4" w:space="0" w:color="auto"/>
              <w:right w:val="single" w:sz="4" w:space="0" w:color="auto"/>
            </w:tcBorders>
            <w:shd w:val="clear" w:color="000000" w:fill="FFFF99"/>
            <w:vAlign w:val="center"/>
            <w:hideMark/>
          </w:tcPr>
          <w:p w:rsidR="00251A2A" w:rsidRPr="00251A2A" w:rsidRDefault="00251A2A" w:rsidP="00251A2A">
            <w:pPr>
              <w:jc w:val="center"/>
              <w:rPr>
                <w:rFonts w:ascii="Arial Narrow" w:hAnsi="Arial Narrow"/>
                <w:b/>
                <w:bCs/>
                <w:color w:val="000000"/>
                <w:sz w:val="16"/>
                <w:szCs w:val="16"/>
                <w:lang w:val="es-CO" w:eastAsia="es-CO"/>
              </w:rPr>
            </w:pPr>
            <w:r w:rsidRPr="00251A2A">
              <w:rPr>
                <w:rFonts w:ascii="Arial Narrow" w:hAnsi="Arial Narrow"/>
                <w:b/>
                <w:bCs/>
                <w:color w:val="000000"/>
                <w:sz w:val="16"/>
                <w:szCs w:val="16"/>
                <w:lang w:val="es-CO" w:eastAsia="es-CO"/>
              </w:rPr>
              <w:t>IPC</w:t>
            </w:r>
            <w:r w:rsidRPr="00251A2A">
              <w:rPr>
                <w:rFonts w:ascii="Arial Narrow" w:hAnsi="Arial Narrow"/>
                <w:b/>
                <w:bCs/>
                <w:sz w:val="16"/>
                <w:szCs w:val="16"/>
                <w:lang w:val="es-CO" w:eastAsia="es-CO"/>
              </w:rPr>
              <w:t xml:space="preserve">   (Var. Año anterior)</w:t>
            </w:r>
          </w:p>
        </w:tc>
        <w:tc>
          <w:tcPr>
            <w:tcW w:w="482" w:type="pct"/>
            <w:tcBorders>
              <w:top w:val="single" w:sz="4" w:space="0" w:color="auto"/>
              <w:left w:val="nil"/>
              <w:bottom w:val="single" w:sz="4" w:space="0" w:color="auto"/>
              <w:right w:val="single" w:sz="4" w:space="0" w:color="auto"/>
            </w:tcBorders>
            <w:shd w:val="clear" w:color="000000" w:fill="FFFF99"/>
            <w:vAlign w:val="center"/>
            <w:hideMark/>
          </w:tcPr>
          <w:p w:rsidR="00251A2A" w:rsidRPr="00251A2A" w:rsidRDefault="00251A2A" w:rsidP="00251A2A">
            <w:pPr>
              <w:jc w:val="center"/>
              <w:rPr>
                <w:rFonts w:ascii="Arial Narrow" w:hAnsi="Arial Narrow"/>
                <w:b/>
                <w:bCs/>
                <w:color w:val="000000"/>
                <w:sz w:val="16"/>
                <w:szCs w:val="16"/>
                <w:lang w:val="es-CO" w:eastAsia="es-CO"/>
              </w:rPr>
            </w:pPr>
            <w:r w:rsidRPr="00251A2A">
              <w:rPr>
                <w:rFonts w:ascii="Arial Narrow" w:hAnsi="Arial Narrow"/>
                <w:b/>
                <w:bCs/>
                <w:color w:val="000000"/>
                <w:sz w:val="16"/>
                <w:szCs w:val="16"/>
                <w:lang w:val="es-CO" w:eastAsia="es-CO"/>
              </w:rPr>
              <w:t>Desde</w:t>
            </w:r>
          </w:p>
        </w:tc>
        <w:tc>
          <w:tcPr>
            <w:tcW w:w="457" w:type="pct"/>
            <w:tcBorders>
              <w:top w:val="single" w:sz="4" w:space="0" w:color="auto"/>
              <w:left w:val="nil"/>
              <w:bottom w:val="single" w:sz="4" w:space="0" w:color="auto"/>
              <w:right w:val="single" w:sz="4" w:space="0" w:color="auto"/>
            </w:tcBorders>
            <w:shd w:val="clear" w:color="000000" w:fill="FFFF99"/>
            <w:vAlign w:val="center"/>
            <w:hideMark/>
          </w:tcPr>
          <w:p w:rsidR="00251A2A" w:rsidRPr="00251A2A" w:rsidRDefault="00251A2A" w:rsidP="00251A2A">
            <w:pPr>
              <w:jc w:val="center"/>
              <w:rPr>
                <w:rFonts w:ascii="Arial Narrow" w:hAnsi="Arial Narrow"/>
                <w:b/>
                <w:bCs/>
                <w:color w:val="000000"/>
                <w:sz w:val="16"/>
                <w:szCs w:val="16"/>
                <w:lang w:val="es-CO" w:eastAsia="es-CO"/>
              </w:rPr>
            </w:pPr>
            <w:r w:rsidRPr="00251A2A">
              <w:rPr>
                <w:rFonts w:ascii="Arial Narrow" w:hAnsi="Arial Narrow"/>
                <w:b/>
                <w:bCs/>
                <w:color w:val="000000"/>
                <w:sz w:val="16"/>
                <w:szCs w:val="16"/>
                <w:lang w:val="es-CO" w:eastAsia="es-CO"/>
              </w:rPr>
              <w:t>Hasta</w:t>
            </w:r>
          </w:p>
        </w:tc>
        <w:tc>
          <w:tcPr>
            <w:tcW w:w="547" w:type="pct"/>
            <w:tcBorders>
              <w:top w:val="single" w:sz="4" w:space="0" w:color="auto"/>
              <w:left w:val="nil"/>
              <w:bottom w:val="single" w:sz="4" w:space="0" w:color="auto"/>
              <w:right w:val="single" w:sz="4" w:space="0" w:color="auto"/>
            </w:tcBorders>
            <w:shd w:val="clear" w:color="000000" w:fill="FFFF99"/>
            <w:vAlign w:val="center"/>
            <w:hideMark/>
          </w:tcPr>
          <w:p w:rsidR="00251A2A" w:rsidRPr="00251A2A" w:rsidRDefault="00251A2A" w:rsidP="00251A2A">
            <w:pPr>
              <w:jc w:val="center"/>
              <w:rPr>
                <w:rFonts w:ascii="Arial Narrow" w:hAnsi="Arial Narrow"/>
                <w:b/>
                <w:bCs/>
                <w:color w:val="000000"/>
                <w:sz w:val="16"/>
                <w:szCs w:val="16"/>
                <w:lang w:val="es-CO" w:eastAsia="es-CO"/>
              </w:rPr>
            </w:pPr>
            <w:r w:rsidRPr="00251A2A">
              <w:rPr>
                <w:rFonts w:ascii="Arial Narrow" w:hAnsi="Arial Narrow"/>
                <w:b/>
                <w:bCs/>
                <w:color w:val="000000"/>
                <w:sz w:val="16"/>
                <w:szCs w:val="16"/>
                <w:lang w:val="es-CO" w:eastAsia="es-CO"/>
              </w:rPr>
              <w:t>Causadas</w:t>
            </w:r>
          </w:p>
        </w:tc>
        <w:tc>
          <w:tcPr>
            <w:tcW w:w="596" w:type="pct"/>
            <w:tcBorders>
              <w:top w:val="single" w:sz="4" w:space="0" w:color="auto"/>
              <w:left w:val="nil"/>
              <w:bottom w:val="single" w:sz="4" w:space="0" w:color="auto"/>
              <w:right w:val="single" w:sz="4" w:space="0" w:color="auto"/>
            </w:tcBorders>
            <w:shd w:val="clear" w:color="000000" w:fill="FFFF99"/>
            <w:vAlign w:val="center"/>
            <w:hideMark/>
          </w:tcPr>
          <w:p w:rsidR="00251A2A" w:rsidRPr="00251A2A" w:rsidRDefault="00251A2A" w:rsidP="00251A2A">
            <w:pPr>
              <w:jc w:val="center"/>
              <w:rPr>
                <w:rFonts w:ascii="Arial Narrow" w:hAnsi="Arial Narrow"/>
                <w:b/>
                <w:bCs/>
                <w:color w:val="000000"/>
                <w:sz w:val="16"/>
                <w:szCs w:val="16"/>
                <w:lang w:val="es-CO" w:eastAsia="es-CO"/>
              </w:rPr>
            </w:pPr>
            <w:r w:rsidRPr="00251A2A">
              <w:rPr>
                <w:rFonts w:ascii="Arial Narrow" w:hAnsi="Arial Narrow"/>
                <w:b/>
                <w:bCs/>
                <w:color w:val="000000"/>
                <w:sz w:val="16"/>
                <w:szCs w:val="16"/>
                <w:lang w:val="es-CO" w:eastAsia="es-CO"/>
              </w:rPr>
              <w:t xml:space="preserve">Mesada </w:t>
            </w:r>
            <w:proofErr w:type="spellStart"/>
            <w:r w:rsidRPr="00251A2A">
              <w:rPr>
                <w:rFonts w:ascii="Arial Narrow" w:hAnsi="Arial Narrow"/>
                <w:b/>
                <w:bCs/>
                <w:color w:val="000000"/>
                <w:sz w:val="16"/>
                <w:szCs w:val="16"/>
                <w:lang w:val="es-CO" w:eastAsia="es-CO"/>
              </w:rPr>
              <w:t>reliquidada</w:t>
            </w:r>
            <w:proofErr w:type="spellEnd"/>
          </w:p>
        </w:tc>
        <w:tc>
          <w:tcPr>
            <w:tcW w:w="496" w:type="pct"/>
            <w:tcBorders>
              <w:top w:val="single" w:sz="4" w:space="0" w:color="auto"/>
              <w:left w:val="nil"/>
              <w:bottom w:val="single" w:sz="4" w:space="0" w:color="auto"/>
              <w:right w:val="single" w:sz="4" w:space="0" w:color="auto"/>
            </w:tcBorders>
            <w:shd w:val="clear" w:color="000000" w:fill="FFFF99"/>
            <w:vAlign w:val="center"/>
            <w:hideMark/>
          </w:tcPr>
          <w:p w:rsidR="00251A2A" w:rsidRPr="00251A2A" w:rsidRDefault="00251A2A" w:rsidP="00251A2A">
            <w:pPr>
              <w:jc w:val="center"/>
              <w:rPr>
                <w:rFonts w:ascii="Arial Narrow" w:hAnsi="Arial Narrow"/>
                <w:b/>
                <w:bCs/>
                <w:color w:val="000000"/>
                <w:sz w:val="16"/>
                <w:szCs w:val="16"/>
                <w:lang w:val="es-CO" w:eastAsia="es-CO"/>
              </w:rPr>
            </w:pPr>
            <w:r w:rsidRPr="00251A2A">
              <w:rPr>
                <w:rFonts w:ascii="Arial Narrow" w:hAnsi="Arial Narrow"/>
                <w:b/>
                <w:bCs/>
                <w:color w:val="000000"/>
                <w:sz w:val="16"/>
                <w:szCs w:val="16"/>
                <w:lang w:val="es-CO" w:eastAsia="es-CO"/>
              </w:rPr>
              <w:t>Mesada anterior</w:t>
            </w:r>
          </w:p>
        </w:tc>
        <w:tc>
          <w:tcPr>
            <w:tcW w:w="468" w:type="pct"/>
            <w:tcBorders>
              <w:top w:val="single" w:sz="4" w:space="0" w:color="auto"/>
              <w:left w:val="nil"/>
              <w:bottom w:val="single" w:sz="4" w:space="0" w:color="auto"/>
              <w:right w:val="single" w:sz="4" w:space="0" w:color="auto"/>
            </w:tcBorders>
            <w:shd w:val="clear" w:color="000000" w:fill="FFFF99"/>
            <w:vAlign w:val="center"/>
            <w:hideMark/>
          </w:tcPr>
          <w:p w:rsidR="00251A2A" w:rsidRPr="00251A2A" w:rsidRDefault="00251A2A" w:rsidP="00251A2A">
            <w:pPr>
              <w:jc w:val="center"/>
              <w:rPr>
                <w:rFonts w:ascii="Arial Narrow" w:hAnsi="Arial Narrow"/>
                <w:b/>
                <w:bCs/>
                <w:color w:val="000000"/>
                <w:sz w:val="16"/>
                <w:szCs w:val="16"/>
                <w:lang w:val="es-CO" w:eastAsia="es-CO"/>
              </w:rPr>
            </w:pPr>
            <w:r w:rsidRPr="00251A2A">
              <w:rPr>
                <w:rFonts w:ascii="Arial Narrow" w:hAnsi="Arial Narrow"/>
                <w:b/>
                <w:bCs/>
                <w:color w:val="000000"/>
                <w:sz w:val="16"/>
                <w:szCs w:val="16"/>
                <w:lang w:val="es-CO" w:eastAsia="es-CO"/>
              </w:rPr>
              <w:t>Diferencias a cancelar</w:t>
            </w:r>
          </w:p>
        </w:tc>
        <w:tc>
          <w:tcPr>
            <w:tcW w:w="544" w:type="pct"/>
            <w:tcBorders>
              <w:top w:val="single" w:sz="4" w:space="0" w:color="auto"/>
              <w:left w:val="nil"/>
              <w:bottom w:val="single" w:sz="4" w:space="0" w:color="auto"/>
              <w:right w:val="single" w:sz="4" w:space="0" w:color="auto"/>
            </w:tcBorders>
            <w:shd w:val="clear" w:color="000000" w:fill="FFFF99"/>
            <w:vAlign w:val="center"/>
            <w:hideMark/>
          </w:tcPr>
          <w:p w:rsidR="00251A2A" w:rsidRPr="00251A2A" w:rsidRDefault="00251A2A" w:rsidP="00251A2A">
            <w:pPr>
              <w:jc w:val="center"/>
              <w:rPr>
                <w:rFonts w:ascii="Arial Narrow" w:hAnsi="Arial Narrow"/>
                <w:b/>
                <w:bCs/>
                <w:color w:val="000000"/>
                <w:sz w:val="16"/>
                <w:szCs w:val="16"/>
                <w:lang w:val="es-CO" w:eastAsia="es-CO"/>
              </w:rPr>
            </w:pPr>
            <w:r w:rsidRPr="00251A2A">
              <w:rPr>
                <w:rFonts w:ascii="Arial Narrow" w:hAnsi="Arial Narrow"/>
                <w:b/>
                <w:bCs/>
                <w:color w:val="000000"/>
                <w:sz w:val="16"/>
                <w:szCs w:val="16"/>
                <w:lang w:val="es-CO" w:eastAsia="es-CO"/>
              </w:rPr>
              <w:t xml:space="preserve">IPC </w:t>
            </w:r>
            <w:proofErr w:type="spellStart"/>
            <w:r w:rsidRPr="00251A2A">
              <w:rPr>
                <w:rFonts w:ascii="Arial Narrow" w:hAnsi="Arial Narrow"/>
                <w:b/>
                <w:bCs/>
                <w:color w:val="000000"/>
                <w:sz w:val="16"/>
                <w:szCs w:val="16"/>
                <w:lang w:val="es-CO" w:eastAsia="es-CO"/>
              </w:rPr>
              <w:t>Vo</w:t>
            </w:r>
            <w:proofErr w:type="spellEnd"/>
          </w:p>
        </w:tc>
        <w:tc>
          <w:tcPr>
            <w:tcW w:w="543" w:type="pct"/>
            <w:tcBorders>
              <w:top w:val="single" w:sz="4" w:space="0" w:color="auto"/>
              <w:left w:val="nil"/>
              <w:bottom w:val="single" w:sz="4" w:space="0" w:color="auto"/>
              <w:right w:val="single" w:sz="4" w:space="0" w:color="auto"/>
            </w:tcBorders>
            <w:shd w:val="clear" w:color="000000" w:fill="FFFF99"/>
            <w:vAlign w:val="center"/>
            <w:hideMark/>
          </w:tcPr>
          <w:p w:rsidR="00251A2A" w:rsidRPr="00251A2A" w:rsidRDefault="00251A2A" w:rsidP="00251A2A">
            <w:pPr>
              <w:jc w:val="center"/>
              <w:rPr>
                <w:rFonts w:ascii="Arial Narrow" w:hAnsi="Arial Narrow"/>
                <w:b/>
                <w:bCs/>
                <w:color w:val="000000"/>
                <w:sz w:val="16"/>
                <w:szCs w:val="16"/>
                <w:lang w:val="es-CO" w:eastAsia="es-CO"/>
              </w:rPr>
            </w:pPr>
            <w:r w:rsidRPr="00251A2A">
              <w:rPr>
                <w:rFonts w:ascii="Arial Narrow" w:hAnsi="Arial Narrow"/>
                <w:b/>
                <w:bCs/>
                <w:color w:val="000000"/>
                <w:sz w:val="16"/>
                <w:szCs w:val="16"/>
                <w:lang w:val="es-CO" w:eastAsia="es-CO"/>
              </w:rPr>
              <w:t>Diferencia indexada</w:t>
            </w:r>
          </w:p>
        </w:tc>
      </w:tr>
      <w:tr w:rsidR="00251A2A" w:rsidRPr="00251A2A" w:rsidTr="00251A2A">
        <w:trPr>
          <w:trHeight w:val="465"/>
        </w:trPr>
        <w:tc>
          <w:tcPr>
            <w:tcW w:w="317" w:type="pct"/>
            <w:tcBorders>
              <w:top w:val="nil"/>
              <w:left w:val="single" w:sz="4" w:space="0" w:color="auto"/>
              <w:bottom w:val="single" w:sz="4" w:space="0" w:color="auto"/>
              <w:right w:val="single" w:sz="4" w:space="0" w:color="auto"/>
            </w:tcBorders>
            <w:shd w:val="clear" w:color="000000" w:fill="FFFFCC"/>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2011</w:t>
            </w:r>
          </w:p>
        </w:tc>
        <w:tc>
          <w:tcPr>
            <w:tcW w:w="550" w:type="pct"/>
            <w:tcBorders>
              <w:top w:val="nil"/>
              <w:left w:val="nil"/>
              <w:bottom w:val="single" w:sz="4" w:space="0" w:color="auto"/>
              <w:right w:val="single" w:sz="4" w:space="0" w:color="auto"/>
            </w:tcBorders>
            <w:shd w:val="clear" w:color="000000" w:fill="FFFFCC"/>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3,73</w:t>
            </w:r>
          </w:p>
        </w:tc>
        <w:tc>
          <w:tcPr>
            <w:tcW w:w="482" w:type="pct"/>
            <w:tcBorders>
              <w:top w:val="nil"/>
              <w:left w:val="nil"/>
              <w:bottom w:val="single" w:sz="4" w:space="0" w:color="auto"/>
              <w:right w:val="single" w:sz="4" w:space="0" w:color="auto"/>
            </w:tcBorders>
            <w:shd w:val="clear" w:color="000000" w:fill="FFFFCC"/>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15/03/2011</w:t>
            </w:r>
          </w:p>
        </w:tc>
        <w:tc>
          <w:tcPr>
            <w:tcW w:w="457" w:type="pct"/>
            <w:tcBorders>
              <w:top w:val="nil"/>
              <w:left w:val="nil"/>
              <w:bottom w:val="single" w:sz="4" w:space="0" w:color="auto"/>
              <w:right w:val="single" w:sz="4" w:space="0" w:color="auto"/>
            </w:tcBorders>
            <w:shd w:val="clear" w:color="000000" w:fill="FFFFCC"/>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31/12/2011</w:t>
            </w:r>
          </w:p>
        </w:tc>
        <w:tc>
          <w:tcPr>
            <w:tcW w:w="547" w:type="pct"/>
            <w:tcBorders>
              <w:top w:val="nil"/>
              <w:left w:val="nil"/>
              <w:bottom w:val="single" w:sz="4" w:space="0" w:color="auto"/>
              <w:right w:val="single" w:sz="4" w:space="0" w:color="auto"/>
            </w:tcBorders>
            <w:shd w:val="clear" w:color="000000" w:fill="FFFFCC"/>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10,5</w:t>
            </w:r>
          </w:p>
        </w:tc>
        <w:tc>
          <w:tcPr>
            <w:tcW w:w="596" w:type="pct"/>
            <w:tcBorders>
              <w:top w:val="nil"/>
              <w:left w:val="nil"/>
              <w:bottom w:val="single" w:sz="4" w:space="0" w:color="auto"/>
              <w:right w:val="single" w:sz="4" w:space="0" w:color="auto"/>
            </w:tcBorders>
            <w:shd w:val="clear" w:color="000000" w:fill="FFFFCC"/>
            <w:vAlign w:val="center"/>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4.725.122</w:t>
            </w:r>
          </w:p>
        </w:tc>
        <w:tc>
          <w:tcPr>
            <w:tcW w:w="496" w:type="pct"/>
            <w:tcBorders>
              <w:top w:val="nil"/>
              <w:left w:val="nil"/>
              <w:bottom w:val="single" w:sz="4" w:space="0" w:color="auto"/>
              <w:right w:val="single" w:sz="4" w:space="0" w:color="auto"/>
            </w:tcBorders>
            <w:shd w:val="clear" w:color="000000" w:fill="FFFFCC"/>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4.719.265</w:t>
            </w:r>
          </w:p>
        </w:tc>
        <w:tc>
          <w:tcPr>
            <w:tcW w:w="468" w:type="pct"/>
            <w:tcBorders>
              <w:top w:val="nil"/>
              <w:left w:val="nil"/>
              <w:bottom w:val="single" w:sz="4" w:space="0" w:color="auto"/>
              <w:right w:val="single" w:sz="4" w:space="0" w:color="auto"/>
            </w:tcBorders>
            <w:shd w:val="clear" w:color="000000" w:fill="FFFFCC"/>
            <w:noWrap/>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61.499</w:t>
            </w:r>
          </w:p>
        </w:tc>
        <w:tc>
          <w:tcPr>
            <w:tcW w:w="544" w:type="pct"/>
            <w:tcBorders>
              <w:top w:val="nil"/>
              <w:left w:val="nil"/>
              <w:bottom w:val="single" w:sz="4" w:space="0" w:color="auto"/>
              <w:right w:val="single" w:sz="4" w:space="0" w:color="auto"/>
            </w:tcBorders>
            <w:shd w:val="clear" w:color="000000" w:fill="33CCCC"/>
            <w:vAlign w:val="center"/>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105,24</w:t>
            </w:r>
          </w:p>
        </w:tc>
        <w:tc>
          <w:tcPr>
            <w:tcW w:w="543" w:type="pct"/>
            <w:tcBorders>
              <w:top w:val="nil"/>
              <w:left w:val="nil"/>
              <w:bottom w:val="single" w:sz="4" w:space="0" w:color="auto"/>
              <w:right w:val="single" w:sz="4" w:space="0" w:color="auto"/>
            </w:tcBorders>
            <w:shd w:val="clear" w:color="000000" w:fill="FFFFCC"/>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15.611</w:t>
            </w:r>
          </w:p>
        </w:tc>
      </w:tr>
      <w:tr w:rsidR="00251A2A" w:rsidRPr="00251A2A" w:rsidTr="00251A2A">
        <w:trPr>
          <w:trHeight w:val="375"/>
        </w:trPr>
        <w:tc>
          <w:tcPr>
            <w:tcW w:w="317" w:type="pct"/>
            <w:tcBorders>
              <w:top w:val="nil"/>
              <w:left w:val="single" w:sz="4" w:space="0" w:color="auto"/>
              <w:bottom w:val="single" w:sz="4" w:space="0" w:color="auto"/>
              <w:right w:val="single" w:sz="4" w:space="0" w:color="auto"/>
            </w:tcBorders>
            <w:shd w:val="clear" w:color="000000" w:fill="FFFFCC"/>
            <w:noWrap/>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2012</w:t>
            </w:r>
          </w:p>
        </w:tc>
        <w:tc>
          <w:tcPr>
            <w:tcW w:w="550" w:type="pct"/>
            <w:tcBorders>
              <w:top w:val="nil"/>
              <w:left w:val="nil"/>
              <w:bottom w:val="single" w:sz="4" w:space="0" w:color="auto"/>
              <w:right w:val="single" w:sz="4" w:space="0" w:color="auto"/>
            </w:tcBorders>
            <w:shd w:val="clear" w:color="000000" w:fill="FFFFCC"/>
            <w:noWrap/>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2,44</w:t>
            </w:r>
          </w:p>
        </w:tc>
        <w:tc>
          <w:tcPr>
            <w:tcW w:w="482" w:type="pct"/>
            <w:tcBorders>
              <w:top w:val="nil"/>
              <w:left w:val="nil"/>
              <w:bottom w:val="single" w:sz="4" w:space="0" w:color="auto"/>
              <w:right w:val="single" w:sz="4" w:space="0" w:color="auto"/>
            </w:tcBorders>
            <w:shd w:val="clear" w:color="000000" w:fill="FFFFCC"/>
            <w:noWrap/>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01/01/2012</w:t>
            </w:r>
          </w:p>
        </w:tc>
        <w:tc>
          <w:tcPr>
            <w:tcW w:w="457" w:type="pct"/>
            <w:tcBorders>
              <w:top w:val="nil"/>
              <w:left w:val="nil"/>
              <w:bottom w:val="single" w:sz="4" w:space="0" w:color="auto"/>
              <w:right w:val="single" w:sz="4" w:space="0" w:color="auto"/>
            </w:tcBorders>
            <w:shd w:val="clear" w:color="000000" w:fill="FFFFCC"/>
            <w:noWrap/>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31/12/2012</w:t>
            </w:r>
          </w:p>
        </w:tc>
        <w:tc>
          <w:tcPr>
            <w:tcW w:w="547" w:type="pct"/>
            <w:tcBorders>
              <w:top w:val="nil"/>
              <w:left w:val="nil"/>
              <w:bottom w:val="single" w:sz="4" w:space="0" w:color="auto"/>
              <w:right w:val="single" w:sz="4" w:space="0" w:color="auto"/>
            </w:tcBorders>
            <w:shd w:val="clear" w:color="000000" w:fill="FFFFCC"/>
            <w:noWrap/>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13</w:t>
            </w:r>
          </w:p>
        </w:tc>
        <w:tc>
          <w:tcPr>
            <w:tcW w:w="596" w:type="pct"/>
            <w:tcBorders>
              <w:top w:val="nil"/>
              <w:left w:val="nil"/>
              <w:bottom w:val="single" w:sz="4" w:space="0" w:color="auto"/>
              <w:right w:val="single" w:sz="4" w:space="0" w:color="auto"/>
            </w:tcBorders>
            <w:shd w:val="clear" w:color="000000" w:fill="FFFFCC"/>
            <w:vAlign w:val="center"/>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4.901.369</w:t>
            </w:r>
          </w:p>
        </w:tc>
        <w:tc>
          <w:tcPr>
            <w:tcW w:w="496" w:type="pct"/>
            <w:tcBorders>
              <w:top w:val="nil"/>
              <w:left w:val="nil"/>
              <w:bottom w:val="single" w:sz="4" w:space="0" w:color="auto"/>
              <w:right w:val="single" w:sz="4" w:space="0" w:color="auto"/>
            </w:tcBorders>
            <w:shd w:val="clear" w:color="000000" w:fill="FFFFCC"/>
            <w:vAlign w:val="center"/>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4.895.294</w:t>
            </w:r>
          </w:p>
        </w:tc>
        <w:tc>
          <w:tcPr>
            <w:tcW w:w="468" w:type="pct"/>
            <w:tcBorders>
              <w:top w:val="nil"/>
              <w:left w:val="nil"/>
              <w:bottom w:val="single" w:sz="4" w:space="0" w:color="auto"/>
              <w:right w:val="single" w:sz="4" w:space="0" w:color="auto"/>
            </w:tcBorders>
            <w:shd w:val="clear" w:color="000000" w:fill="FFFFCC"/>
            <w:noWrap/>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78.981</w:t>
            </w:r>
          </w:p>
        </w:tc>
        <w:tc>
          <w:tcPr>
            <w:tcW w:w="544" w:type="pct"/>
            <w:tcBorders>
              <w:top w:val="nil"/>
              <w:left w:val="nil"/>
              <w:bottom w:val="single" w:sz="4" w:space="0" w:color="auto"/>
              <w:right w:val="single" w:sz="4" w:space="0" w:color="auto"/>
            </w:tcBorders>
            <w:shd w:val="clear" w:color="000000" w:fill="33CCCC"/>
            <w:vAlign w:val="center"/>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109,16</w:t>
            </w:r>
          </w:p>
        </w:tc>
        <w:tc>
          <w:tcPr>
            <w:tcW w:w="543" w:type="pct"/>
            <w:tcBorders>
              <w:top w:val="nil"/>
              <w:left w:val="nil"/>
              <w:bottom w:val="single" w:sz="4" w:space="0" w:color="auto"/>
              <w:right w:val="single" w:sz="4" w:space="0" w:color="auto"/>
            </w:tcBorders>
            <w:shd w:val="clear" w:color="000000" w:fill="FFFFCC"/>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16.489</w:t>
            </w:r>
          </w:p>
        </w:tc>
      </w:tr>
      <w:tr w:rsidR="00251A2A" w:rsidRPr="00251A2A" w:rsidTr="00251A2A">
        <w:trPr>
          <w:trHeight w:val="255"/>
        </w:trPr>
        <w:tc>
          <w:tcPr>
            <w:tcW w:w="317" w:type="pct"/>
            <w:tcBorders>
              <w:top w:val="nil"/>
              <w:left w:val="single" w:sz="4" w:space="0" w:color="auto"/>
              <w:bottom w:val="single" w:sz="4" w:space="0" w:color="auto"/>
              <w:right w:val="single" w:sz="4" w:space="0" w:color="auto"/>
            </w:tcBorders>
            <w:shd w:val="clear" w:color="000000" w:fill="FFFFCC"/>
            <w:noWrap/>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2013</w:t>
            </w:r>
          </w:p>
        </w:tc>
        <w:tc>
          <w:tcPr>
            <w:tcW w:w="550" w:type="pct"/>
            <w:tcBorders>
              <w:top w:val="nil"/>
              <w:left w:val="nil"/>
              <w:bottom w:val="single" w:sz="4" w:space="0" w:color="auto"/>
              <w:right w:val="single" w:sz="4" w:space="0" w:color="auto"/>
            </w:tcBorders>
            <w:shd w:val="clear" w:color="000000" w:fill="FFFFCC"/>
            <w:noWrap/>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1,94</w:t>
            </w:r>
          </w:p>
        </w:tc>
        <w:tc>
          <w:tcPr>
            <w:tcW w:w="482" w:type="pct"/>
            <w:tcBorders>
              <w:top w:val="nil"/>
              <w:left w:val="nil"/>
              <w:bottom w:val="single" w:sz="4" w:space="0" w:color="auto"/>
              <w:right w:val="single" w:sz="4" w:space="0" w:color="auto"/>
            </w:tcBorders>
            <w:shd w:val="clear" w:color="000000" w:fill="FFFFCC"/>
            <w:noWrap/>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01/01/2013</w:t>
            </w:r>
          </w:p>
        </w:tc>
        <w:tc>
          <w:tcPr>
            <w:tcW w:w="457" w:type="pct"/>
            <w:tcBorders>
              <w:top w:val="nil"/>
              <w:left w:val="nil"/>
              <w:bottom w:val="single" w:sz="4" w:space="0" w:color="auto"/>
              <w:right w:val="single" w:sz="4" w:space="0" w:color="auto"/>
            </w:tcBorders>
            <w:shd w:val="clear" w:color="000000" w:fill="FFFFCC"/>
            <w:noWrap/>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31/12/2013</w:t>
            </w:r>
          </w:p>
        </w:tc>
        <w:tc>
          <w:tcPr>
            <w:tcW w:w="547" w:type="pct"/>
            <w:tcBorders>
              <w:top w:val="nil"/>
              <w:left w:val="nil"/>
              <w:bottom w:val="single" w:sz="4" w:space="0" w:color="auto"/>
              <w:right w:val="single" w:sz="4" w:space="0" w:color="auto"/>
            </w:tcBorders>
            <w:shd w:val="clear" w:color="000000" w:fill="FFFFCC"/>
            <w:noWrap/>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13</w:t>
            </w:r>
          </w:p>
        </w:tc>
        <w:tc>
          <w:tcPr>
            <w:tcW w:w="596" w:type="pct"/>
            <w:tcBorders>
              <w:top w:val="nil"/>
              <w:left w:val="nil"/>
              <w:bottom w:val="single" w:sz="4" w:space="0" w:color="auto"/>
              <w:right w:val="single" w:sz="4" w:space="0" w:color="auto"/>
            </w:tcBorders>
            <w:shd w:val="clear" w:color="000000" w:fill="FFFFCC"/>
            <w:vAlign w:val="center"/>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5.020.962</w:t>
            </w:r>
          </w:p>
        </w:tc>
        <w:tc>
          <w:tcPr>
            <w:tcW w:w="496" w:type="pct"/>
            <w:tcBorders>
              <w:top w:val="nil"/>
              <w:left w:val="nil"/>
              <w:bottom w:val="single" w:sz="4" w:space="0" w:color="auto"/>
              <w:right w:val="single" w:sz="4" w:space="0" w:color="auto"/>
            </w:tcBorders>
            <w:shd w:val="clear" w:color="000000" w:fill="FFFFCC"/>
            <w:vAlign w:val="center"/>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5.014.739</w:t>
            </w:r>
          </w:p>
        </w:tc>
        <w:tc>
          <w:tcPr>
            <w:tcW w:w="468" w:type="pct"/>
            <w:tcBorders>
              <w:top w:val="nil"/>
              <w:left w:val="nil"/>
              <w:bottom w:val="single" w:sz="4" w:space="0" w:color="auto"/>
              <w:right w:val="single" w:sz="4" w:space="0" w:color="auto"/>
            </w:tcBorders>
            <w:shd w:val="clear" w:color="000000" w:fill="FFFFCC"/>
            <w:noWrap/>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80.908</w:t>
            </w:r>
          </w:p>
        </w:tc>
        <w:tc>
          <w:tcPr>
            <w:tcW w:w="544" w:type="pct"/>
            <w:tcBorders>
              <w:top w:val="nil"/>
              <w:left w:val="nil"/>
              <w:bottom w:val="single" w:sz="4" w:space="0" w:color="auto"/>
              <w:right w:val="single" w:sz="4" w:space="0" w:color="auto"/>
            </w:tcBorders>
            <w:shd w:val="clear" w:color="000000" w:fill="33CCCC"/>
            <w:vAlign w:val="center"/>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111,82</w:t>
            </w:r>
          </w:p>
        </w:tc>
        <w:tc>
          <w:tcPr>
            <w:tcW w:w="543" w:type="pct"/>
            <w:tcBorders>
              <w:top w:val="nil"/>
              <w:left w:val="nil"/>
              <w:bottom w:val="single" w:sz="4" w:space="0" w:color="auto"/>
              <w:right w:val="single" w:sz="4" w:space="0" w:color="auto"/>
            </w:tcBorders>
            <w:shd w:val="clear" w:color="000000" w:fill="FFFFCC"/>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14.565</w:t>
            </w:r>
          </w:p>
        </w:tc>
      </w:tr>
      <w:tr w:rsidR="00251A2A" w:rsidRPr="00251A2A" w:rsidTr="00251A2A">
        <w:trPr>
          <w:trHeight w:val="255"/>
        </w:trPr>
        <w:tc>
          <w:tcPr>
            <w:tcW w:w="317" w:type="pct"/>
            <w:tcBorders>
              <w:top w:val="nil"/>
              <w:left w:val="single" w:sz="4" w:space="0" w:color="auto"/>
              <w:bottom w:val="single" w:sz="4" w:space="0" w:color="auto"/>
              <w:right w:val="single" w:sz="4" w:space="0" w:color="auto"/>
            </w:tcBorders>
            <w:shd w:val="clear" w:color="000000" w:fill="FFFFCC"/>
            <w:noWrap/>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2014</w:t>
            </w:r>
          </w:p>
        </w:tc>
        <w:tc>
          <w:tcPr>
            <w:tcW w:w="550" w:type="pct"/>
            <w:tcBorders>
              <w:top w:val="nil"/>
              <w:left w:val="nil"/>
              <w:bottom w:val="single" w:sz="4" w:space="0" w:color="auto"/>
              <w:right w:val="single" w:sz="4" w:space="0" w:color="auto"/>
            </w:tcBorders>
            <w:shd w:val="clear" w:color="000000" w:fill="FFFFCC"/>
            <w:noWrap/>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3,66</w:t>
            </w:r>
          </w:p>
        </w:tc>
        <w:tc>
          <w:tcPr>
            <w:tcW w:w="482" w:type="pct"/>
            <w:tcBorders>
              <w:top w:val="nil"/>
              <w:left w:val="nil"/>
              <w:bottom w:val="single" w:sz="4" w:space="0" w:color="auto"/>
              <w:right w:val="single" w:sz="4" w:space="0" w:color="auto"/>
            </w:tcBorders>
            <w:shd w:val="clear" w:color="000000" w:fill="FFFFCC"/>
            <w:noWrap/>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01/12/2014</w:t>
            </w:r>
          </w:p>
        </w:tc>
        <w:tc>
          <w:tcPr>
            <w:tcW w:w="457" w:type="pct"/>
            <w:tcBorders>
              <w:top w:val="nil"/>
              <w:left w:val="nil"/>
              <w:bottom w:val="single" w:sz="4" w:space="0" w:color="auto"/>
              <w:right w:val="single" w:sz="4" w:space="0" w:color="auto"/>
            </w:tcBorders>
            <w:shd w:val="clear" w:color="000000" w:fill="FFFFCC"/>
            <w:noWrap/>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31/12/2014</w:t>
            </w:r>
          </w:p>
        </w:tc>
        <w:tc>
          <w:tcPr>
            <w:tcW w:w="547" w:type="pct"/>
            <w:tcBorders>
              <w:top w:val="nil"/>
              <w:left w:val="nil"/>
              <w:bottom w:val="single" w:sz="4" w:space="0" w:color="auto"/>
              <w:right w:val="single" w:sz="4" w:space="0" w:color="auto"/>
            </w:tcBorders>
            <w:shd w:val="clear" w:color="000000" w:fill="FFFFCC"/>
            <w:noWrap/>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13</w:t>
            </w:r>
          </w:p>
        </w:tc>
        <w:tc>
          <w:tcPr>
            <w:tcW w:w="596" w:type="pct"/>
            <w:tcBorders>
              <w:top w:val="nil"/>
              <w:left w:val="nil"/>
              <w:bottom w:val="single" w:sz="4" w:space="0" w:color="auto"/>
              <w:right w:val="single" w:sz="4" w:space="0" w:color="auto"/>
            </w:tcBorders>
            <w:shd w:val="clear" w:color="000000" w:fill="FFFFCC"/>
            <w:vAlign w:val="center"/>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5.118.369</w:t>
            </w:r>
          </w:p>
        </w:tc>
        <w:tc>
          <w:tcPr>
            <w:tcW w:w="496" w:type="pct"/>
            <w:tcBorders>
              <w:top w:val="nil"/>
              <w:left w:val="nil"/>
              <w:bottom w:val="single" w:sz="4" w:space="0" w:color="auto"/>
              <w:right w:val="single" w:sz="4" w:space="0" w:color="auto"/>
            </w:tcBorders>
            <w:shd w:val="clear" w:color="000000" w:fill="FFFFCC"/>
            <w:vAlign w:val="center"/>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5.112.025</w:t>
            </w:r>
          </w:p>
        </w:tc>
        <w:tc>
          <w:tcPr>
            <w:tcW w:w="468" w:type="pct"/>
            <w:tcBorders>
              <w:top w:val="nil"/>
              <w:left w:val="nil"/>
              <w:bottom w:val="single" w:sz="4" w:space="0" w:color="auto"/>
              <w:right w:val="single" w:sz="4" w:space="0" w:color="auto"/>
            </w:tcBorders>
            <w:shd w:val="clear" w:color="000000" w:fill="FFFFCC"/>
            <w:noWrap/>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82.478</w:t>
            </w:r>
          </w:p>
        </w:tc>
        <w:tc>
          <w:tcPr>
            <w:tcW w:w="544" w:type="pct"/>
            <w:tcBorders>
              <w:top w:val="nil"/>
              <w:left w:val="nil"/>
              <w:bottom w:val="single" w:sz="4" w:space="0" w:color="auto"/>
              <w:right w:val="single" w:sz="4" w:space="0" w:color="auto"/>
            </w:tcBorders>
            <w:shd w:val="clear" w:color="000000" w:fill="33CCCC"/>
            <w:vAlign w:val="center"/>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113,98</w:t>
            </w:r>
          </w:p>
        </w:tc>
        <w:tc>
          <w:tcPr>
            <w:tcW w:w="543" w:type="pct"/>
            <w:tcBorders>
              <w:top w:val="nil"/>
              <w:left w:val="nil"/>
              <w:bottom w:val="single" w:sz="4" w:space="0" w:color="auto"/>
              <w:right w:val="single" w:sz="4" w:space="0" w:color="auto"/>
            </w:tcBorders>
            <w:shd w:val="clear" w:color="000000" w:fill="FFFFCC"/>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13.003</w:t>
            </w:r>
          </w:p>
        </w:tc>
      </w:tr>
      <w:tr w:rsidR="00251A2A" w:rsidRPr="00251A2A" w:rsidTr="00251A2A">
        <w:trPr>
          <w:trHeight w:val="255"/>
        </w:trPr>
        <w:tc>
          <w:tcPr>
            <w:tcW w:w="317" w:type="pct"/>
            <w:tcBorders>
              <w:top w:val="nil"/>
              <w:left w:val="single" w:sz="4" w:space="0" w:color="auto"/>
              <w:bottom w:val="single" w:sz="4" w:space="0" w:color="auto"/>
              <w:right w:val="single" w:sz="4" w:space="0" w:color="auto"/>
            </w:tcBorders>
            <w:shd w:val="clear" w:color="000000" w:fill="FFFFCC"/>
            <w:noWrap/>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2015</w:t>
            </w:r>
          </w:p>
        </w:tc>
        <w:tc>
          <w:tcPr>
            <w:tcW w:w="550" w:type="pct"/>
            <w:tcBorders>
              <w:top w:val="nil"/>
              <w:left w:val="nil"/>
              <w:bottom w:val="single" w:sz="4" w:space="0" w:color="auto"/>
              <w:right w:val="single" w:sz="4" w:space="0" w:color="auto"/>
            </w:tcBorders>
            <w:shd w:val="clear" w:color="000000" w:fill="FFFFCC"/>
            <w:noWrap/>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6,77</w:t>
            </w:r>
          </w:p>
        </w:tc>
        <w:tc>
          <w:tcPr>
            <w:tcW w:w="482" w:type="pct"/>
            <w:tcBorders>
              <w:top w:val="nil"/>
              <w:left w:val="nil"/>
              <w:bottom w:val="single" w:sz="4" w:space="0" w:color="auto"/>
              <w:right w:val="single" w:sz="4" w:space="0" w:color="auto"/>
            </w:tcBorders>
            <w:shd w:val="clear" w:color="000000" w:fill="FFFFCC"/>
            <w:noWrap/>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01/01/2015</w:t>
            </w:r>
          </w:p>
        </w:tc>
        <w:tc>
          <w:tcPr>
            <w:tcW w:w="457" w:type="pct"/>
            <w:tcBorders>
              <w:top w:val="nil"/>
              <w:left w:val="nil"/>
              <w:bottom w:val="single" w:sz="4" w:space="0" w:color="auto"/>
              <w:right w:val="single" w:sz="4" w:space="0" w:color="auto"/>
            </w:tcBorders>
            <w:shd w:val="clear" w:color="000000" w:fill="FFFFCC"/>
            <w:noWrap/>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31/12/2015</w:t>
            </w:r>
          </w:p>
        </w:tc>
        <w:tc>
          <w:tcPr>
            <w:tcW w:w="547" w:type="pct"/>
            <w:tcBorders>
              <w:top w:val="nil"/>
              <w:left w:val="nil"/>
              <w:bottom w:val="single" w:sz="4" w:space="0" w:color="auto"/>
              <w:right w:val="single" w:sz="4" w:space="0" w:color="auto"/>
            </w:tcBorders>
            <w:shd w:val="clear" w:color="000000" w:fill="FFFFCC"/>
            <w:noWrap/>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13</w:t>
            </w:r>
          </w:p>
        </w:tc>
        <w:tc>
          <w:tcPr>
            <w:tcW w:w="596" w:type="pct"/>
            <w:tcBorders>
              <w:top w:val="nil"/>
              <w:left w:val="nil"/>
              <w:bottom w:val="single" w:sz="4" w:space="0" w:color="auto"/>
              <w:right w:val="single" w:sz="4" w:space="0" w:color="auto"/>
            </w:tcBorders>
            <w:shd w:val="clear" w:color="000000" w:fill="FFFFCC"/>
            <w:vAlign w:val="center"/>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5.305.701</w:t>
            </w:r>
          </w:p>
        </w:tc>
        <w:tc>
          <w:tcPr>
            <w:tcW w:w="496" w:type="pct"/>
            <w:tcBorders>
              <w:top w:val="nil"/>
              <w:left w:val="nil"/>
              <w:bottom w:val="single" w:sz="4" w:space="0" w:color="auto"/>
              <w:right w:val="single" w:sz="4" w:space="0" w:color="auto"/>
            </w:tcBorders>
            <w:shd w:val="clear" w:color="000000" w:fill="FFFFCC"/>
            <w:vAlign w:val="center"/>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5.299.125</w:t>
            </w:r>
          </w:p>
        </w:tc>
        <w:tc>
          <w:tcPr>
            <w:tcW w:w="468" w:type="pct"/>
            <w:tcBorders>
              <w:top w:val="nil"/>
              <w:left w:val="nil"/>
              <w:bottom w:val="single" w:sz="4" w:space="0" w:color="auto"/>
              <w:right w:val="single" w:sz="4" w:space="0" w:color="auto"/>
            </w:tcBorders>
            <w:shd w:val="clear" w:color="000000" w:fill="FFFFCC"/>
            <w:noWrap/>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85.497</w:t>
            </w:r>
          </w:p>
        </w:tc>
        <w:tc>
          <w:tcPr>
            <w:tcW w:w="544" w:type="pct"/>
            <w:tcBorders>
              <w:top w:val="nil"/>
              <w:left w:val="nil"/>
              <w:bottom w:val="single" w:sz="4" w:space="0" w:color="auto"/>
              <w:right w:val="single" w:sz="4" w:space="0" w:color="auto"/>
            </w:tcBorders>
            <w:shd w:val="clear" w:color="000000" w:fill="33CCCC"/>
            <w:vAlign w:val="center"/>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118,15</w:t>
            </w:r>
          </w:p>
        </w:tc>
        <w:tc>
          <w:tcPr>
            <w:tcW w:w="543" w:type="pct"/>
            <w:tcBorders>
              <w:top w:val="nil"/>
              <w:left w:val="nil"/>
              <w:bottom w:val="single" w:sz="4" w:space="0" w:color="auto"/>
              <w:right w:val="single" w:sz="4" w:space="0" w:color="auto"/>
            </w:tcBorders>
            <w:shd w:val="clear" w:color="000000" w:fill="FFFFCC"/>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9.986</w:t>
            </w:r>
          </w:p>
        </w:tc>
      </w:tr>
      <w:tr w:rsidR="00251A2A" w:rsidRPr="00251A2A" w:rsidTr="00251A2A">
        <w:trPr>
          <w:trHeight w:val="255"/>
        </w:trPr>
        <w:tc>
          <w:tcPr>
            <w:tcW w:w="317" w:type="pct"/>
            <w:tcBorders>
              <w:top w:val="nil"/>
              <w:left w:val="single" w:sz="4" w:space="0" w:color="auto"/>
              <w:bottom w:val="single" w:sz="4" w:space="0" w:color="auto"/>
              <w:right w:val="single" w:sz="4" w:space="0" w:color="auto"/>
            </w:tcBorders>
            <w:shd w:val="clear" w:color="000000" w:fill="FFFFCC"/>
            <w:noWrap/>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2016</w:t>
            </w:r>
          </w:p>
        </w:tc>
        <w:tc>
          <w:tcPr>
            <w:tcW w:w="550" w:type="pct"/>
            <w:tcBorders>
              <w:top w:val="nil"/>
              <w:left w:val="nil"/>
              <w:bottom w:val="single" w:sz="4" w:space="0" w:color="auto"/>
              <w:right w:val="single" w:sz="4" w:space="0" w:color="auto"/>
            </w:tcBorders>
            <w:shd w:val="clear" w:color="000000" w:fill="FFFFCC"/>
            <w:noWrap/>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0,00</w:t>
            </w:r>
          </w:p>
        </w:tc>
        <w:tc>
          <w:tcPr>
            <w:tcW w:w="482" w:type="pct"/>
            <w:tcBorders>
              <w:top w:val="nil"/>
              <w:left w:val="nil"/>
              <w:bottom w:val="single" w:sz="4" w:space="0" w:color="auto"/>
              <w:right w:val="single" w:sz="4" w:space="0" w:color="auto"/>
            </w:tcBorders>
            <w:shd w:val="clear" w:color="000000" w:fill="FFFFCC"/>
            <w:noWrap/>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01/01/2016</w:t>
            </w:r>
          </w:p>
        </w:tc>
        <w:tc>
          <w:tcPr>
            <w:tcW w:w="457" w:type="pct"/>
            <w:tcBorders>
              <w:top w:val="nil"/>
              <w:left w:val="nil"/>
              <w:bottom w:val="single" w:sz="4" w:space="0" w:color="auto"/>
              <w:right w:val="single" w:sz="4" w:space="0" w:color="auto"/>
            </w:tcBorders>
            <w:shd w:val="clear" w:color="000000" w:fill="FFFFCC"/>
            <w:noWrap/>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31/05/2016</w:t>
            </w:r>
          </w:p>
        </w:tc>
        <w:tc>
          <w:tcPr>
            <w:tcW w:w="547" w:type="pct"/>
            <w:tcBorders>
              <w:top w:val="nil"/>
              <w:left w:val="nil"/>
              <w:bottom w:val="single" w:sz="4" w:space="0" w:color="auto"/>
              <w:right w:val="single" w:sz="4" w:space="0" w:color="auto"/>
            </w:tcBorders>
            <w:shd w:val="clear" w:color="000000" w:fill="FFFFCC"/>
            <w:noWrap/>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5,00</w:t>
            </w:r>
          </w:p>
        </w:tc>
        <w:tc>
          <w:tcPr>
            <w:tcW w:w="596" w:type="pct"/>
            <w:tcBorders>
              <w:top w:val="nil"/>
              <w:left w:val="nil"/>
              <w:bottom w:val="single" w:sz="4" w:space="0" w:color="auto"/>
              <w:right w:val="single" w:sz="4" w:space="0" w:color="auto"/>
            </w:tcBorders>
            <w:shd w:val="clear" w:color="000000" w:fill="FFFFCC"/>
            <w:vAlign w:val="center"/>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5.664.897</w:t>
            </w:r>
          </w:p>
        </w:tc>
        <w:tc>
          <w:tcPr>
            <w:tcW w:w="496" w:type="pct"/>
            <w:tcBorders>
              <w:top w:val="nil"/>
              <w:left w:val="nil"/>
              <w:bottom w:val="single" w:sz="4" w:space="0" w:color="auto"/>
              <w:right w:val="single" w:sz="4" w:space="0" w:color="auto"/>
            </w:tcBorders>
            <w:shd w:val="clear" w:color="000000" w:fill="FFFFCC"/>
            <w:vAlign w:val="center"/>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5.657.876</w:t>
            </w:r>
          </w:p>
        </w:tc>
        <w:tc>
          <w:tcPr>
            <w:tcW w:w="468" w:type="pct"/>
            <w:tcBorders>
              <w:top w:val="nil"/>
              <w:left w:val="nil"/>
              <w:bottom w:val="single" w:sz="4" w:space="0" w:color="auto"/>
              <w:right w:val="single" w:sz="4" w:space="0" w:color="auto"/>
            </w:tcBorders>
            <w:shd w:val="clear" w:color="000000" w:fill="FFFFCC"/>
            <w:noWrap/>
            <w:vAlign w:val="center"/>
            <w:hideMark/>
          </w:tcPr>
          <w:p w:rsidR="00251A2A" w:rsidRPr="00251A2A" w:rsidRDefault="00251A2A" w:rsidP="00251A2A">
            <w:pPr>
              <w:jc w:val="center"/>
              <w:rPr>
                <w:rFonts w:ascii="Arial Narrow" w:hAnsi="Arial Narrow"/>
                <w:color w:val="000000"/>
                <w:sz w:val="16"/>
                <w:szCs w:val="16"/>
                <w:lang w:val="es-CO" w:eastAsia="es-CO"/>
              </w:rPr>
            </w:pPr>
            <w:r w:rsidRPr="00251A2A">
              <w:rPr>
                <w:rFonts w:ascii="Arial Narrow" w:hAnsi="Arial Narrow"/>
                <w:color w:val="000000"/>
                <w:sz w:val="16"/>
                <w:szCs w:val="16"/>
                <w:lang w:val="es-CO" w:eastAsia="es-CO"/>
              </w:rPr>
              <w:t>35.109</w:t>
            </w:r>
          </w:p>
        </w:tc>
        <w:tc>
          <w:tcPr>
            <w:tcW w:w="544" w:type="pct"/>
            <w:tcBorders>
              <w:top w:val="nil"/>
              <w:left w:val="nil"/>
              <w:bottom w:val="single" w:sz="4" w:space="0" w:color="auto"/>
              <w:right w:val="single" w:sz="4" w:space="0" w:color="auto"/>
            </w:tcBorders>
            <w:shd w:val="clear" w:color="000000" w:fill="33CCCC"/>
            <w:vAlign w:val="center"/>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126,15</w:t>
            </w:r>
          </w:p>
        </w:tc>
        <w:tc>
          <w:tcPr>
            <w:tcW w:w="543" w:type="pct"/>
            <w:tcBorders>
              <w:top w:val="nil"/>
              <w:left w:val="nil"/>
              <w:bottom w:val="single" w:sz="4" w:space="0" w:color="auto"/>
              <w:right w:val="single" w:sz="4" w:space="0" w:color="auto"/>
            </w:tcBorders>
            <w:shd w:val="clear" w:color="000000" w:fill="FFFFCC"/>
            <w:vAlign w:val="bottom"/>
            <w:hideMark/>
          </w:tcPr>
          <w:p w:rsidR="00251A2A" w:rsidRPr="00251A2A" w:rsidRDefault="00251A2A" w:rsidP="00251A2A">
            <w:pPr>
              <w:jc w:val="center"/>
              <w:rPr>
                <w:rFonts w:ascii="Arial Narrow" w:hAnsi="Arial Narrow"/>
                <w:sz w:val="16"/>
                <w:szCs w:val="16"/>
                <w:lang w:val="es-CO" w:eastAsia="es-CO"/>
              </w:rPr>
            </w:pPr>
            <w:r w:rsidRPr="00251A2A">
              <w:rPr>
                <w:rFonts w:ascii="Arial Narrow" w:hAnsi="Arial Narrow"/>
                <w:sz w:val="16"/>
                <w:szCs w:val="16"/>
                <w:lang w:val="es-CO" w:eastAsia="es-CO"/>
              </w:rPr>
              <w:t>1.614</w:t>
            </w:r>
          </w:p>
        </w:tc>
      </w:tr>
      <w:tr w:rsidR="00251A2A" w:rsidRPr="00251A2A" w:rsidTr="00251A2A">
        <w:trPr>
          <w:trHeight w:val="255"/>
        </w:trPr>
        <w:tc>
          <w:tcPr>
            <w:tcW w:w="317" w:type="pct"/>
            <w:tcBorders>
              <w:top w:val="nil"/>
              <w:left w:val="nil"/>
              <w:bottom w:val="nil"/>
              <w:right w:val="nil"/>
            </w:tcBorders>
            <w:shd w:val="clear" w:color="auto" w:fill="auto"/>
            <w:noWrap/>
            <w:vAlign w:val="bottom"/>
            <w:hideMark/>
          </w:tcPr>
          <w:p w:rsidR="00251A2A" w:rsidRPr="00251A2A" w:rsidRDefault="00251A2A" w:rsidP="00251A2A">
            <w:pPr>
              <w:jc w:val="center"/>
              <w:rPr>
                <w:rFonts w:ascii="Arial Narrow" w:hAnsi="Arial Narrow"/>
                <w:sz w:val="16"/>
                <w:szCs w:val="16"/>
                <w:lang w:val="es-CO" w:eastAsia="es-CO"/>
              </w:rPr>
            </w:pPr>
          </w:p>
        </w:tc>
        <w:tc>
          <w:tcPr>
            <w:tcW w:w="550" w:type="pct"/>
            <w:tcBorders>
              <w:top w:val="nil"/>
              <w:left w:val="nil"/>
              <w:bottom w:val="nil"/>
              <w:right w:val="nil"/>
            </w:tcBorders>
            <w:shd w:val="clear" w:color="auto" w:fill="auto"/>
            <w:noWrap/>
            <w:vAlign w:val="bottom"/>
            <w:hideMark/>
          </w:tcPr>
          <w:p w:rsidR="00251A2A" w:rsidRPr="00251A2A" w:rsidRDefault="00251A2A" w:rsidP="00251A2A">
            <w:pPr>
              <w:jc w:val="center"/>
              <w:rPr>
                <w:rFonts w:ascii="Arial Narrow" w:hAnsi="Arial Narrow"/>
                <w:sz w:val="16"/>
                <w:szCs w:val="16"/>
                <w:lang w:val="es-CO" w:eastAsia="es-CO"/>
              </w:rPr>
            </w:pPr>
          </w:p>
        </w:tc>
        <w:tc>
          <w:tcPr>
            <w:tcW w:w="482" w:type="pct"/>
            <w:tcBorders>
              <w:top w:val="nil"/>
              <w:left w:val="nil"/>
              <w:bottom w:val="nil"/>
              <w:right w:val="nil"/>
            </w:tcBorders>
            <w:shd w:val="clear" w:color="auto" w:fill="auto"/>
            <w:noWrap/>
            <w:vAlign w:val="bottom"/>
            <w:hideMark/>
          </w:tcPr>
          <w:p w:rsidR="00251A2A" w:rsidRPr="00251A2A" w:rsidRDefault="00251A2A" w:rsidP="00251A2A">
            <w:pPr>
              <w:jc w:val="center"/>
              <w:rPr>
                <w:rFonts w:ascii="Arial Narrow" w:hAnsi="Arial Narrow"/>
                <w:sz w:val="16"/>
                <w:szCs w:val="16"/>
                <w:lang w:val="es-CO" w:eastAsia="es-CO"/>
              </w:rPr>
            </w:pPr>
          </w:p>
        </w:tc>
        <w:tc>
          <w:tcPr>
            <w:tcW w:w="457" w:type="pct"/>
            <w:tcBorders>
              <w:top w:val="nil"/>
              <w:left w:val="nil"/>
              <w:bottom w:val="nil"/>
              <w:right w:val="nil"/>
            </w:tcBorders>
            <w:shd w:val="clear" w:color="auto" w:fill="auto"/>
            <w:noWrap/>
            <w:vAlign w:val="bottom"/>
            <w:hideMark/>
          </w:tcPr>
          <w:p w:rsidR="00251A2A" w:rsidRPr="00251A2A" w:rsidRDefault="00251A2A" w:rsidP="00251A2A">
            <w:pPr>
              <w:jc w:val="center"/>
              <w:rPr>
                <w:rFonts w:ascii="Arial Narrow" w:hAnsi="Arial Narrow"/>
                <w:sz w:val="16"/>
                <w:szCs w:val="16"/>
                <w:lang w:val="es-CO" w:eastAsia="es-CO"/>
              </w:rPr>
            </w:pPr>
          </w:p>
        </w:tc>
        <w:tc>
          <w:tcPr>
            <w:tcW w:w="547" w:type="pct"/>
            <w:tcBorders>
              <w:top w:val="nil"/>
              <w:left w:val="nil"/>
              <w:bottom w:val="nil"/>
              <w:right w:val="nil"/>
            </w:tcBorders>
            <w:shd w:val="clear" w:color="auto" w:fill="auto"/>
            <w:noWrap/>
            <w:vAlign w:val="bottom"/>
            <w:hideMark/>
          </w:tcPr>
          <w:p w:rsidR="00251A2A" w:rsidRPr="00251A2A" w:rsidRDefault="00251A2A" w:rsidP="00251A2A">
            <w:pPr>
              <w:jc w:val="center"/>
              <w:rPr>
                <w:rFonts w:ascii="Arial Narrow" w:hAnsi="Arial Narrow"/>
                <w:sz w:val="16"/>
                <w:szCs w:val="16"/>
                <w:lang w:val="es-CO" w:eastAsia="es-CO"/>
              </w:rPr>
            </w:pPr>
          </w:p>
        </w:tc>
        <w:tc>
          <w:tcPr>
            <w:tcW w:w="1092" w:type="pct"/>
            <w:gridSpan w:val="2"/>
            <w:tcBorders>
              <w:top w:val="nil"/>
              <w:left w:val="single" w:sz="4" w:space="0" w:color="003366"/>
              <w:bottom w:val="single" w:sz="4" w:space="0" w:color="003366"/>
              <w:right w:val="single" w:sz="4" w:space="0" w:color="003366"/>
            </w:tcBorders>
            <w:shd w:val="clear" w:color="000000" w:fill="FFFF99"/>
            <w:noWrap/>
            <w:vAlign w:val="center"/>
            <w:hideMark/>
          </w:tcPr>
          <w:p w:rsidR="00251A2A" w:rsidRPr="00251A2A" w:rsidRDefault="00251A2A" w:rsidP="00251A2A">
            <w:pPr>
              <w:jc w:val="center"/>
              <w:rPr>
                <w:rFonts w:ascii="Arial Narrow" w:hAnsi="Arial Narrow"/>
                <w:b/>
                <w:bCs/>
                <w:sz w:val="16"/>
                <w:szCs w:val="16"/>
                <w:lang w:val="es-CO" w:eastAsia="es-CO"/>
              </w:rPr>
            </w:pPr>
            <w:r w:rsidRPr="00251A2A">
              <w:rPr>
                <w:rFonts w:ascii="Arial Narrow" w:hAnsi="Arial Narrow"/>
                <w:b/>
                <w:bCs/>
                <w:sz w:val="16"/>
                <w:szCs w:val="16"/>
                <w:lang w:val="es-CO" w:eastAsia="es-CO"/>
              </w:rPr>
              <w:t>Valores a cancelar ===&gt;</w:t>
            </w:r>
          </w:p>
        </w:tc>
        <w:tc>
          <w:tcPr>
            <w:tcW w:w="468" w:type="pct"/>
            <w:tcBorders>
              <w:top w:val="nil"/>
              <w:left w:val="single" w:sz="4" w:space="0" w:color="808000"/>
              <w:bottom w:val="single" w:sz="4" w:space="0" w:color="808000"/>
              <w:right w:val="single" w:sz="4" w:space="0" w:color="808000"/>
            </w:tcBorders>
            <w:shd w:val="clear" w:color="000000" w:fill="FFFF99"/>
            <w:noWrap/>
            <w:vAlign w:val="center"/>
            <w:hideMark/>
          </w:tcPr>
          <w:p w:rsidR="00251A2A" w:rsidRPr="00251A2A" w:rsidRDefault="00251A2A" w:rsidP="00251A2A">
            <w:pPr>
              <w:jc w:val="center"/>
              <w:rPr>
                <w:rFonts w:ascii="Arial Narrow" w:hAnsi="Arial Narrow"/>
                <w:b/>
                <w:bCs/>
                <w:color w:val="000000"/>
                <w:sz w:val="16"/>
                <w:szCs w:val="16"/>
                <w:lang w:val="es-CO" w:eastAsia="es-CO"/>
              </w:rPr>
            </w:pPr>
            <w:r w:rsidRPr="00251A2A">
              <w:rPr>
                <w:rFonts w:ascii="Arial Narrow" w:hAnsi="Arial Narrow"/>
                <w:b/>
                <w:bCs/>
                <w:color w:val="000000"/>
                <w:sz w:val="16"/>
                <w:szCs w:val="16"/>
                <w:lang w:val="es-CO" w:eastAsia="es-CO"/>
              </w:rPr>
              <w:t>424.472</w:t>
            </w:r>
          </w:p>
        </w:tc>
        <w:tc>
          <w:tcPr>
            <w:tcW w:w="544" w:type="pct"/>
            <w:tcBorders>
              <w:top w:val="nil"/>
              <w:left w:val="single" w:sz="4" w:space="0" w:color="003366"/>
              <w:bottom w:val="single" w:sz="4" w:space="0" w:color="003366"/>
              <w:right w:val="single" w:sz="4" w:space="0" w:color="003366"/>
            </w:tcBorders>
            <w:shd w:val="clear" w:color="000000" w:fill="FFFF99"/>
            <w:noWrap/>
            <w:vAlign w:val="center"/>
            <w:hideMark/>
          </w:tcPr>
          <w:p w:rsidR="00251A2A" w:rsidRPr="00251A2A" w:rsidRDefault="00251A2A" w:rsidP="00251A2A">
            <w:pPr>
              <w:jc w:val="center"/>
              <w:rPr>
                <w:rFonts w:ascii="Arial Narrow" w:hAnsi="Arial Narrow"/>
                <w:b/>
                <w:bCs/>
                <w:sz w:val="16"/>
                <w:szCs w:val="16"/>
                <w:lang w:val="es-CO" w:eastAsia="es-CO"/>
              </w:rPr>
            </w:pPr>
            <w:r w:rsidRPr="00251A2A">
              <w:rPr>
                <w:rFonts w:ascii="Arial Narrow" w:hAnsi="Arial Narrow"/>
                <w:b/>
                <w:bCs/>
                <w:sz w:val="16"/>
                <w:szCs w:val="16"/>
                <w:lang w:val="es-CO" w:eastAsia="es-CO"/>
              </w:rPr>
              <w:t>Indexado=&gt;</w:t>
            </w:r>
          </w:p>
        </w:tc>
        <w:tc>
          <w:tcPr>
            <w:tcW w:w="543" w:type="pct"/>
            <w:tcBorders>
              <w:top w:val="nil"/>
              <w:left w:val="single" w:sz="4" w:space="0" w:color="808000"/>
              <w:bottom w:val="single" w:sz="4" w:space="0" w:color="808000"/>
              <w:right w:val="single" w:sz="4" w:space="0" w:color="808000"/>
            </w:tcBorders>
            <w:shd w:val="clear" w:color="000000" w:fill="FFFF99"/>
            <w:noWrap/>
            <w:vAlign w:val="center"/>
            <w:hideMark/>
          </w:tcPr>
          <w:p w:rsidR="00251A2A" w:rsidRPr="00251A2A" w:rsidRDefault="00251A2A" w:rsidP="00251A2A">
            <w:pPr>
              <w:jc w:val="center"/>
              <w:rPr>
                <w:rFonts w:ascii="Arial Narrow" w:hAnsi="Arial Narrow"/>
                <w:b/>
                <w:bCs/>
                <w:color w:val="000000"/>
                <w:sz w:val="16"/>
                <w:szCs w:val="16"/>
                <w:lang w:val="es-CO" w:eastAsia="es-CO"/>
              </w:rPr>
            </w:pPr>
            <w:r w:rsidRPr="00251A2A">
              <w:rPr>
                <w:rFonts w:ascii="Arial Narrow" w:hAnsi="Arial Narrow"/>
                <w:b/>
                <w:bCs/>
                <w:color w:val="000000"/>
                <w:sz w:val="16"/>
                <w:szCs w:val="16"/>
                <w:lang w:val="es-CO" w:eastAsia="es-CO"/>
              </w:rPr>
              <w:t>71.269</w:t>
            </w:r>
          </w:p>
        </w:tc>
      </w:tr>
    </w:tbl>
    <w:p w:rsidR="003001DA" w:rsidRPr="003001DA" w:rsidRDefault="003001DA" w:rsidP="003001DA">
      <w:pPr>
        <w:rPr>
          <w:rFonts w:ascii="Arial Narrow" w:hAnsi="Arial Narrow"/>
          <w:b/>
        </w:rPr>
      </w:pPr>
    </w:p>
    <w:sectPr w:rsidR="003001DA" w:rsidRPr="003001DA" w:rsidSect="00F93E63">
      <w:headerReference w:type="default" r:id="rId7"/>
      <w:footerReference w:type="even" r:id="rId8"/>
      <w:footerReference w:type="default" r:id="rId9"/>
      <w:pgSz w:w="12242" w:h="18722" w:code="14"/>
      <w:pgMar w:top="1418" w:right="1701" w:bottom="1702"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88B" w:rsidRDefault="0081688B" w:rsidP="00E4081B">
      <w:r>
        <w:separator/>
      </w:r>
    </w:p>
  </w:endnote>
  <w:endnote w:type="continuationSeparator" w:id="0">
    <w:p w:rsidR="0081688B" w:rsidRDefault="0081688B" w:rsidP="00E4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11" w:rsidRDefault="00897E5B" w:rsidP="00E370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4C11" w:rsidRDefault="0081688B" w:rsidP="00E3707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83177"/>
      <w:docPartObj>
        <w:docPartGallery w:val="Page Numbers (Bottom of Page)"/>
        <w:docPartUnique/>
      </w:docPartObj>
    </w:sdtPr>
    <w:sdtEndPr/>
    <w:sdtContent>
      <w:p w:rsidR="00D44C11" w:rsidRDefault="00897E5B">
        <w:pPr>
          <w:pStyle w:val="Piedepgina"/>
          <w:jc w:val="right"/>
        </w:pPr>
        <w:r>
          <w:fldChar w:fldCharType="begin"/>
        </w:r>
        <w:r>
          <w:instrText>PAGE   \* MERGEFORMAT</w:instrText>
        </w:r>
        <w:r>
          <w:fldChar w:fldCharType="separate"/>
        </w:r>
        <w:r w:rsidR="00E053EF" w:rsidRPr="00E053EF">
          <w:rPr>
            <w:noProof/>
            <w:lang w:val="es-ES"/>
          </w:rPr>
          <w:t>8</w:t>
        </w:r>
        <w:r>
          <w:rPr>
            <w:noProof/>
            <w:lang w:val="es-ES"/>
          </w:rPr>
          <w:fldChar w:fldCharType="end"/>
        </w:r>
      </w:p>
    </w:sdtContent>
  </w:sdt>
  <w:p w:rsidR="00D44C11" w:rsidRPr="004E61E4" w:rsidRDefault="0081688B" w:rsidP="00E3707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88B" w:rsidRDefault="0081688B" w:rsidP="00E4081B">
      <w:r>
        <w:separator/>
      </w:r>
    </w:p>
  </w:footnote>
  <w:footnote w:type="continuationSeparator" w:id="0">
    <w:p w:rsidR="0081688B" w:rsidRDefault="0081688B" w:rsidP="00E40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11" w:rsidRPr="00106FD0" w:rsidRDefault="00897E5B" w:rsidP="00E3707A">
    <w:pPr>
      <w:jc w:val="both"/>
      <w:rPr>
        <w:rFonts w:ascii="Arial Narrow" w:hAnsi="Arial Narrow" w:cs="Arial"/>
        <w:bCs/>
        <w:sz w:val="18"/>
        <w:szCs w:val="18"/>
      </w:rPr>
    </w:pPr>
    <w:r w:rsidRPr="00106FD0">
      <w:rPr>
        <w:rFonts w:ascii="Arial Narrow" w:hAnsi="Arial Narrow" w:cs="Arial"/>
        <w:bCs/>
        <w:sz w:val="18"/>
        <w:szCs w:val="18"/>
      </w:rPr>
      <w:t xml:space="preserve">Radicación No: </w:t>
    </w:r>
    <w:r w:rsidR="00E4081B">
      <w:rPr>
        <w:rFonts w:ascii="Arial Narrow" w:hAnsi="Arial Narrow" w:cs="Arial"/>
        <w:bCs/>
        <w:sz w:val="18"/>
        <w:szCs w:val="18"/>
      </w:rPr>
      <w:t>66001-31-05-004</w:t>
    </w:r>
    <w:r>
      <w:rPr>
        <w:rFonts w:ascii="Arial Narrow" w:hAnsi="Arial Narrow" w:cs="Arial"/>
        <w:bCs/>
        <w:sz w:val="18"/>
        <w:szCs w:val="18"/>
      </w:rPr>
      <w:t>-2014-00</w:t>
    </w:r>
    <w:r w:rsidR="00E4081B">
      <w:rPr>
        <w:rFonts w:ascii="Arial Narrow" w:hAnsi="Arial Narrow" w:cs="Arial"/>
        <w:bCs/>
        <w:sz w:val="18"/>
        <w:szCs w:val="18"/>
      </w:rPr>
      <w:t>543</w:t>
    </w:r>
    <w:r>
      <w:rPr>
        <w:rFonts w:ascii="Arial Narrow" w:hAnsi="Arial Narrow" w:cs="Arial"/>
        <w:bCs/>
        <w:sz w:val="18"/>
        <w:szCs w:val="18"/>
      </w:rPr>
      <w:t>-01</w:t>
    </w:r>
  </w:p>
  <w:p w:rsidR="00D44C11" w:rsidRPr="00106FD0" w:rsidRDefault="00E4081B" w:rsidP="00E3707A">
    <w:pPr>
      <w:jc w:val="both"/>
      <w:rPr>
        <w:rFonts w:ascii="Arial Narrow" w:hAnsi="Arial Narrow" w:cs="Arial"/>
        <w:bCs/>
        <w:iCs/>
        <w:sz w:val="18"/>
        <w:szCs w:val="18"/>
      </w:rPr>
    </w:pPr>
    <w:r>
      <w:rPr>
        <w:rFonts w:ascii="Arial Narrow" w:hAnsi="Arial Narrow" w:cs="Arial"/>
        <w:bCs/>
        <w:sz w:val="18"/>
        <w:szCs w:val="18"/>
      </w:rPr>
      <w:t xml:space="preserve">Alonso García Gallego </w:t>
    </w:r>
    <w:r w:rsidR="00897E5B" w:rsidRPr="00106FD0">
      <w:rPr>
        <w:rFonts w:ascii="Arial Narrow" w:hAnsi="Arial Narrow" w:cs="Arial"/>
        <w:bCs/>
        <w:sz w:val="18"/>
        <w:szCs w:val="18"/>
      </w:rPr>
      <w:t xml:space="preserve">vs </w:t>
    </w:r>
    <w:proofErr w:type="spellStart"/>
    <w:r w:rsidR="00897E5B" w:rsidRPr="00106FD0">
      <w:rPr>
        <w:rFonts w:ascii="Arial Narrow" w:hAnsi="Arial Narrow" w:cs="Arial"/>
        <w:bCs/>
        <w:sz w:val="18"/>
        <w:szCs w:val="18"/>
      </w:rPr>
      <w:t>Colpensiones</w:t>
    </w:r>
    <w:proofErr w:type="spellEnd"/>
  </w:p>
  <w:p w:rsidR="00D44C11" w:rsidRDefault="008168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2345" w:hanging="360"/>
      </w:pPr>
      <w:rPr>
        <w:rFonts w:hint="default"/>
        <w:b/>
        <w:i/>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abstractNum w:abstractNumId="1">
    <w:nsid w:val="7A8818CA"/>
    <w:multiLevelType w:val="hybridMultilevel"/>
    <w:tmpl w:val="53E863AE"/>
    <w:lvl w:ilvl="0" w:tplc="4CF0E41A">
      <w:start w:val="1"/>
      <w:numFmt w:val="lowerRoman"/>
      <w:lvlText w:val="(%1)"/>
      <w:lvlJc w:val="left"/>
      <w:pPr>
        <w:ind w:left="1488" w:hanging="720"/>
      </w:pPr>
      <w:rPr>
        <w:rFonts w:hint="default"/>
      </w:rPr>
    </w:lvl>
    <w:lvl w:ilvl="1" w:tplc="240A0019" w:tentative="1">
      <w:start w:val="1"/>
      <w:numFmt w:val="lowerLetter"/>
      <w:lvlText w:val="%2."/>
      <w:lvlJc w:val="left"/>
      <w:pPr>
        <w:ind w:left="1848" w:hanging="360"/>
      </w:pPr>
    </w:lvl>
    <w:lvl w:ilvl="2" w:tplc="240A001B" w:tentative="1">
      <w:start w:val="1"/>
      <w:numFmt w:val="lowerRoman"/>
      <w:lvlText w:val="%3."/>
      <w:lvlJc w:val="right"/>
      <w:pPr>
        <w:ind w:left="2568" w:hanging="180"/>
      </w:pPr>
    </w:lvl>
    <w:lvl w:ilvl="3" w:tplc="240A000F" w:tentative="1">
      <w:start w:val="1"/>
      <w:numFmt w:val="decimal"/>
      <w:lvlText w:val="%4."/>
      <w:lvlJc w:val="left"/>
      <w:pPr>
        <w:ind w:left="3288" w:hanging="360"/>
      </w:pPr>
    </w:lvl>
    <w:lvl w:ilvl="4" w:tplc="240A0019" w:tentative="1">
      <w:start w:val="1"/>
      <w:numFmt w:val="lowerLetter"/>
      <w:lvlText w:val="%5."/>
      <w:lvlJc w:val="left"/>
      <w:pPr>
        <w:ind w:left="4008" w:hanging="360"/>
      </w:pPr>
    </w:lvl>
    <w:lvl w:ilvl="5" w:tplc="240A001B" w:tentative="1">
      <w:start w:val="1"/>
      <w:numFmt w:val="lowerRoman"/>
      <w:lvlText w:val="%6."/>
      <w:lvlJc w:val="right"/>
      <w:pPr>
        <w:ind w:left="4728" w:hanging="180"/>
      </w:pPr>
    </w:lvl>
    <w:lvl w:ilvl="6" w:tplc="240A000F" w:tentative="1">
      <w:start w:val="1"/>
      <w:numFmt w:val="decimal"/>
      <w:lvlText w:val="%7."/>
      <w:lvlJc w:val="left"/>
      <w:pPr>
        <w:ind w:left="5448" w:hanging="360"/>
      </w:pPr>
    </w:lvl>
    <w:lvl w:ilvl="7" w:tplc="240A0019" w:tentative="1">
      <w:start w:val="1"/>
      <w:numFmt w:val="lowerLetter"/>
      <w:lvlText w:val="%8."/>
      <w:lvlJc w:val="left"/>
      <w:pPr>
        <w:ind w:left="6168" w:hanging="360"/>
      </w:pPr>
    </w:lvl>
    <w:lvl w:ilvl="8" w:tplc="240A001B" w:tentative="1">
      <w:start w:val="1"/>
      <w:numFmt w:val="lowerRoman"/>
      <w:lvlText w:val="%9."/>
      <w:lvlJc w:val="right"/>
      <w:pPr>
        <w:ind w:left="68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1B"/>
    <w:rsid w:val="0002706C"/>
    <w:rsid w:val="000535F6"/>
    <w:rsid w:val="000A3292"/>
    <w:rsid w:val="000A3332"/>
    <w:rsid w:val="000B78C2"/>
    <w:rsid w:val="000E7F42"/>
    <w:rsid w:val="000F1662"/>
    <w:rsid w:val="000F5D44"/>
    <w:rsid w:val="00107781"/>
    <w:rsid w:val="00116E97"/>
    <w:rsid w:val="00154301"/>
    <w:rsid w:val="00172834"/>
    <w:rsid w:val="0019467F"/>
    <w:rsid w:val="0019696E"/>
    <w:rsid w:val="001A012C"/>
    <w:rsid w:val="001A79E9"/>
    <w:rsid w:val="001C527A"/>
    <w:rsid w:val="00242152"/>
    <w:rsid w:val="00251A2A"/>
    <w:rsid w:val="002573C2"/>
    <w:rsid w:val="00262E92"/>
    <w:rsid w:val="00277DB9"/>
    <w:rsid w:val="00291115"/>
    <w:rsid w:val="00291C1A"/>
    <w:rsid w:val="002B2E25"/>
    <w:rsid w:val="002C2B74"/>
    <w:rsid w:val="002E6E04"/>
    <w:rsid w:val="003001DA"/>
    <w:rsid w:val="00303308"/>
    <w:rsid w:val="0031674F"/>
    <w:rsid w:val="00322E31"/>
    <w:rsid w:val="00337CF9"/>
    <w:rsid w:val="00353EDF"/>
    <w:rsid w:val="003623A0"/>
    <w:rsid w:val="003772FA"/>
    <w:rsid w:val="003777B8"/>
    <w:rsid w:val="003A2E75"/>
    <w:rsid w:val="003C530E"/>
    <w:rsid w:val="003E00E3"/>
    <w:rsid w:val="00477433"/>
    <w:rsid w:val="00481840"/>
    <w:rsid w:val="004C680B"/>
    <w:rsid w:val="004C6933"/>
    <w:rsid w:val="004D01C5"/>
    <w:rsid w:val="004D652F"/>
    <w:rsid w:val="004E626A"/>
    <w:rsid w:val="004F6118"/>
    <w:rsid w:val="0050705A"/>
    <w:rsid w:val="00507CF6"/>
    <w:rsid w:val="005120D2"/>
    <w:rsid w:val="00515BDC"/>
    <w:rsid w:val="00537709"/>
    <w:rsid w:val="0055420C"/>
    <w:rsid w:val="00563496"/>
    <w:rsid w:val="005A5C81"/>
    <w:rsid w:val="005A5E37"/>
    <w:rsid w:val="005A746D"/>
    <w:rsid w:val="005F5E82"/>
    <w:rsid w:val="006135E9"/>
    <w:rsid w:val="0064098E"/>
    <w:rsid w:val="00664091"/>
    <w:rsid w:val="00694B15"/>
    <w:rsid w:val="0069767D"/>
    <w:rsid w:val="006B2D0C"/>
    <w:rsid w:val="006F2FF3"/>
    <w:rsid w:val="006F7076"/>
    <w:rsid w:val="00715831"/>
    <w:rsid w:val="00732037"/>
    <w:rsid w:val="007326B1"/>
    <w:rsid w:val="007409FC"/>
    <w:rsid w:val="007627D3"/>
    <w:rsid w:val="00767409"/>
    <w:rsid w:val="007B5499"/>
    <w:rsid w:val="007C0698"/>
    <w:rsid w:val="007C0B77"/>
    <w:rsid w:val="007E1FFD"/>
    <w:rsid w:val="00810853"/>
    <w:rsid w:val="0081688B"/>
    <w:rsid w:val="00831D51"/>
    <w:rsid w:val="0085524D"/>
    <w:rsid w:val="00860BF6"/>
    <w:rsid w:val="0089351B"/>
    <w:rsid w:val="008935B0"/>
    <w:rsid w:val="00897BAB"/>
    <w:rsid w:val="00897E5B"/>
    <w:rsid w:val="008A3487"/>
    <w:rsid w:val="008B5088"/>
    <w:rsid w:val="008D4203"/>
    <w:rsid w:val="008E2D1B"/>
    <w:rsid w:val="008F003B"/>
    <w:rsid w:val="00907A5F"/>
    <w:rsid w:val="00913495"/>
    <w:rsid w:val="009242C9"/>
    <w:rsid w:val="00952757"/>
    <w:rsid w:val="00962C58"/>
    <w:rsid w:val="00962F2E"/>
    <w:rsid w:val="009679CF"/>
    <w:rsid w:val="0098496A"/>
    <w:rsid w:val="009849CB"/>
    <w:rsid w:val="009A6C45"/>
    <w:rsid w:val="009B5921"/>
    <w:rsid w:val="009C4988"/>
    <w:rsid w:val="00A2399C"/>
    <w:rsid w:val="00A23CFA"/>
    <w:rsid w:val="00A73F67"/>
    <w:rsid w:val="00A746B9"/>
    <w:rsid w:val="00A82AC2"/>
    <w:rsid w:val="00A928D2"/>
    <w:rsid w:val="00AD5324"/>
    <w:rsid w:val="00AD77B1"/>
    <w:rsid w:val="00AE40F1"/>
    <w:rsid w:val="00AF56C9"/>
    <w:rsid w:val="00B132F3"/>
    <w:rsid w:val="00B31F46"/>
    <w:rsid w:val="00B33471"/>
    <w:rsid w:val="00B56E76"/>
    <w:rsid w:val="00B57490"/>
    <w:rsid w:val="00B6653F"/>
    <w:rsid w:val="00B86E31"/>
    <w:rsid w:val="00B8765A"/>
    <w:rsid w:val="00B951B4"/>
    <w:rsid w:val="00BA0C20"/>
    <w:rsid w:val="00BA64F9"/>
    <w:rsid w:val="00BB2D23"/>
    <w:rsid w:val="00BB42E4"/>
    <w:rsid w:val="00BC7E5C"/>
    <w:rsid w:val="00BE7A9A"/>
    <w:rsid w:val="00C0721C"/>
    <w:rsid w:val="00C3752D"/>
    <w:rsid w:val="00C526C4"/>
    <w:rsid w:val="00C64770"/>
    <w:rsid w:val="00C72634"/>
    <w:rsid w:val="00C741EA"/>
    <w:rsid w:val="00C84767"/>
    <w:rsid w:val="00CA08F7"/>
    <w:rsid w:val="00CF576A"/>
    <w:rsid w:val="00D55F07"/>
    <w:rsid w:val="00D6289D"/>
    <w:rsid w:val="00D82425"/>
    <w:rsid w:val="00D976BD"/>
    <w:rsid w:val="00DA2326"/>
    <w:rsid w:val="00DD585C"/>
    <w:rsid w:val="00DE2E48"/>
    <w:rsid w:val="00DF30A5"/>
    <w:rsid w:val="00DF6D84"/>
    <w:rsid w:val="00E053EF"/>
    <w:rsid w:val="00E105C9"/>
    <w:rsid w:val="00E11A71"/>
    <w:rsid w:val="00E27B52"/>
    <w:rsid w:val="00E30F18"/>
    <w:rsid w:val="00E4081B"/>
    <w:rsid w:val="00E5261F"/>
    <w:rsid w:val="00E57DEB"/>
    <w:rsid w:val="00E8417D"/>
    <w:rsid w:val="00E87C4A"/>
    <w:rsid w:val="00EA1139"/>
    <w:rsid w:val="00EB4EA5"/>
    <w:rsid w:val="00EC39B0"/>
    <w:rsid w:val="00EC59BA"/>
    <w:rsid w:val="00F32519"/>
    <w:rsid w:val="00F40B4E"/>
    <w:rsid w:val="00F65645"/>
    <w:rsid w:val="00F7359E"/>
    <w:rsid w:val="00F76080"/>
    <w:rsid w:val="00F770A4"/>
    <w:rsid w:val="00F950CC"/>
    <w:rsid w:val="00FE1AE3"/>
    <w:rsid w:val="00FF049F"/>
    <w:rsid w:val="00FF3180"/>
    <w:rsid w:val="00FF54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D192F-95E0-440C-BBE7-3162789C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81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E4081B"/>
    <w:rPr>
      <w:rFonts w:ascii="Arial" w:hAnsi="Arial" w:cs="Arial"/>
      <w:sz w:val="24"/>
      <w:lang w:val="es-ES_tradnl" w:eastAsia="es-ES"/>
    </w:rPr>
  </w:style>
  <w:style w:type="paragraph" w:styleId="Textoindependiente">
    <w:name w:val="Body Text"/>
    <w:basedOn w:val="Normal"/>
    <w:link w:val="TextoindependienteCar"/>
    <w:rsid w:val="00E4081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E4081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E4081B"/>
    <w:pPr>
      <w:tabs>
        <w:tab w:val="center" w:pos="4252"/>
        <w:tab w:val="right" w:pos="8504"/>
      </w:tabs>
    </w:pPr>
  </w:style>
  <w:style w:type="character" w:customStyle="1" w:styleId="PiedepginaCar">
    <w:name w:val="Pie de página Car"/>
    <w:basedOn w:val="Fuentedeprrafopredeter"/>
    <w:link w:val="Piedepgina"/>
    <w:uiPriority w:val="99"/>
    <w:rsid w:val="00E4081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4081B"/>
  </w:style>
  <w:style w:type="paragraph" w:styleId="Encabezado">
    <w:name w:val="header"/>
    <w:basedOn w:val="Normal"/>
    <w:link w:val="EncabezadoCar"/>
    <w:rsid w:val="00E4081B"/>
    <w:pPr>
      <w:tabs>
        <w:tab w:val="center" w:pos="4252"/>
        <w:tab w:val="right" w:pos="8504"/>
      </w:tabs>
    </w:pPr>
  </w:style>
  <w:style w:type="character" w:customStyle="1" w:styleId="EncabezadoCar">
    <w:name w:val="Encabezado Car"/>
    <w:basedOn w:val="Fuentedeprrafopredeter"/>
    <w:link w:val="Encabezado"/>
    <w:rsid w:val="00E4081B"/>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4081B"/>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E4081B"/>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4081B"/>
    <w:pPr>
      <w:ind w:left="720"/>
      <w:contextualSpacing/>
    </w:pPr>
  </w:style>
  <w:style w:type="paragraph" w:customStyle="1" w:styleId="bodytext21">
    <w:name w:val="bodytext21"/>
    <w:basedOn w:val="Normal"/>
    <w:rsid w:val="003C530E"/>
    <w:pPr>
      <w:spacing w:before="100" w:beforeAutospacing="1" w:after="100" w:afterAutospacing="1"/>
    </w:pPr>
    <w:rPr>
      <w:szCs w:val="24"/>
      <w:lang w:val="es-CO" w:eastAsia="es-CO"/>
    </w:rPr>
  </w:style>
  <w:style w:type="character" w:styleId="Refdenotaalpie">
    <w:name w:val="footnote reference"/>
    <w:basedOn w:val="Fuentedeprrafopredeter"/>
    <w:uiPriority w:val="99"/>
    <w:semiHidden/>
    <w:unhideWhenUsed/>
    <w:rsid w:val="00481840"/>
  </w:style>
  <w:style w:type="character" w:customStyle="1" w:styleId="apple-converted-space">
    <w:name w:val="apple-converted-space"/>
    <w:basedOn w:val="Fuentedeprrafopredeter"/>
    <w:rsid w:val="00A746B9"/>
  </w:style>
  <w:style w:type="paragraph" w:customStyle="1" w:styleId="Prrafodelista2">
    <w:name w:val="Párrafo de lista2"/>
    <w:basedOn w:val="Normal"/>
    <w:rsid w:val="00477433"/>
    <w:pPr>
      <w:spacing w:after="200" w:line="276" w:lineRule="auto"/>
      <w:ind w:left="720"/>
      <w:contextualSpacing/>
    </w:pPr>
    <w:rPr>
      <w:rFonts w:ascii="Calibri" w:hAnsi="Calibri"/>
      <w:sz w:val="22"/>
      <w:szCs w:val="22"/>
      <w:lang w:val="es-CO" w:eastAsia="en-US"/>
    </w:rPr>
  </w:style>
  <w:style w:type="paragraph" w:customStyle="1" w:styleId="Textoindependiente34">
    <w:name w:val="Texto independiente 34"/>
    <w:basedOn w:val="Normal"/>
    <w:rsid w:val="008B5088"/>
    <w:pPr>
      <w:widowControl w:val="0"/>
      <w:suppressAutoHyphens/>
      <w:spacing w:line="360" w:lineRule="auto"/>
      <w:jc w:val="both"/>
    </w:pPr>
    <w:rPr>
      <w:rFonts w:ascii="Arial" w:eastAsia="SimSun" w:hAnsi="Arial" w:cs="Arial"/>
      <w:kern w:val="2"/>
      <w:szCs w:val="24"/>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2070">
      <w:bodyDiv w:val="1"/>
      <w:marLeft w:val="0"/>
      <w:marRight w:val="0"/>
      <w:marTop w:val="0"/>
      <w:marBottom w:val="0"/>
      <w:divBdr>
        <w:top w:val="none" w:sz="0" w:space="0" w:color="auto"/>
        <w:left w:val="none" w:sz="0" w:space="0" w:color="auto"/>
        <w:bottom w:val="none" w:sz="0" w:space="0" w:color="auto"/>
        <w:right w:val="none" w:sz="0" w:space="0" w:color="auto"/>
      </w:divBdr>
    </w:div>
    <w:div w:id="189419377">
      <w:bodyDiv w:val="1"/>
      <w:marLeft w:val="0"/>
      <w:marRight w:val="0"/>
      <w:marTop w:val="0"/>
      <w:marBottom w:val="0"/>
      <w:divBdr>
        <w:top w:val="none" w:sz="0" w:space="0" w:color="auto"/>
        <w:left w:val="none" w:sz="0" w:space="0" w:color="auto"/>
        <w:bottom w:val="none" w:sz="0" w:space="0" w:color="auto"/>
        <w:right w:val="none" w:sz="0" w:space="0" w:color="auto"/>
      </w:divBdr>
    </w:div>
    <w:div w:id="262224174">
      <w:bodyDiv w:val="1"/>
      <w:marLeft w:val="0"/>
      <w:marRight w:val="0"/>
      <w:marTop w:val="0"/>
      <w:marBottom w:val="0"/>
      <w:divBdr>
        <w:top w:val="none" w:sz="0" w:space="0" w:color="auto"/>
        <w:left w:val="none" w:sz="0" w:space="0" w:color="auto"/>
        <w:bottom w:val="none" w:sz="0" w:space="0" w:color="auto"/>
        <w:right w:val="none" w:sz="0" w:space="0" w:color="auto"/>
      </w:divBdr>
    </w:div>
    <w:div w:id="442965094">
      <w:bodyDiv w:val="1"/>
      <w:marLeft w:val="0"/>
      <w:marRight w:val="0"/>
      <w:marTop w:val="0"/>
      <w:marBottom w:val="0"/>
      <w:divBdr>
        <w:top w:val="none" w:sz="0" w:space="0" w:color="auto"/>
        <w:left w:val="none" w:sz="0" w:space="0" w:color="auto"/>
        <w:bottom w:val="none" w:sz="0" w:space="0" w:color="auto"/>
        <w:right w:val="none" w:sz="0" w:space="0" w:color="auto"/>
      </w:divBdr>
    </w:div>
    <w:div w:id="501891573">
      <w:bodyDiv w:val="1"/>
      <w:marLeft w:val="0"/>
      <w:marRight w:val="0"/>
      <w:marTop w:val="0"/>
      <w:marBottom w:val="0"/>
      <w:divBdr>
        <w:top w:val="none" w:sz="0" w:space="0" w:color="auto"/>
        <w:left w:val="none" w:sz="0" w:space="0" w:color="auto"/>
        <w:bottom w:val="none" w:sz="0" w:space="0" w:color="auto"/>
        <w:right w:val="none" w:sz="0" w:space="0" w:color="auto"/>
      </w:divBdr>
    </w:div>
    <w:div w:id="524831266">
      <w:bodyDiv w:val="1"/>
      <w:marLeft w:val="0"/>
      <w:marRight w:val="0"/>
      <w:marTop w:val="0"/>
      <w:marBottom w:val="0"/>
      <w:divBdr>
        <w:top w:val="none" w:sz="0" w:space="0" w:color="auto"/>
        <w:left w:val="none" w:sz="0" w:space="0" w:color="auto"/>
        <w:bottom w:val="none" w:sz="0" w:space="0" w:color="auto"/>
        <w:right w:val="none" w:sz="0" w:space="0" w:color="auto"/>
      </w:divBdr>
    </w:div>
    <w:div w:id="822621207">
      <w:bodyDiv w:val="1"/>
      <w:marLeft w:val="0"/>
      <w:marRight w:val="0"/>
      <w:marTop w:val="0"/>
      <w:marBottom w:val="0"/>
      <w:divBdr>
        <w:top w:val="none" w:sz="0" w:space="0" w:color="auto"/>
        <w:left w:val="none" w:sz="0" w:space="0" w:color="auto"/>
        <w:bottom w:val="none" w:sz="0" w:space="0" w:color="auto"/>
        <w:right w:val="none" w:sz="0" w:space="0" w:color="auto"/>
      </w:divBdr>
    </w:div>
    <w:div w:id="828520358">
      <w:bodyDiv w:val="1"/>
      <w:marLeft w:val="0"/>
      <w:marRight w:val="0"/>
      <w:marTop w:val="0"/>
      <w:marBottom w:val="0"/>
      <w:divBdr>
        <w:top w:val="none" w:sz="0" w:space="0" w:color="auto"/>
        <w:left w:val="none" w:sz="0" w:space="0" w:color="auto"/>
        <w:bottom w:val="none" w:sz="0" w:space="0" w:color="auto"/>
        <w:right w:val="none" w:sz="0" w:space="0" w:color="auto"/>
      </w:divBdr>
    </w:div>
    <w:div w:id="957569905">
      <w:bodyDiv w:val="1"/>
      <w:marLeft w:val="0"/>
      <w:marRight w:val="0"/>
      <w:marTop w:val="0"/>
      <w:marBottom w:val="0"/>
      <w:divBdr>
        <w:top w:val="none" w:sz="0" w:space="0" w:color="auto"/>
        <w:left w:val="none" w:sz="0" w:space="0" w:color="auto"/>
        <w:bottom w:val="none" w:sz="0" w:space="0" w:color="auto"/>
        <w:right w:val="none" w:sz="0" w:space="0" w:color="auto"/>
      </w:divBdr>
    </w:div>
    <w:div w:id="1139031322">
      <w:bodyDiv w:val="1"/>
      <w:marLeft w:val="0"/>
      <w:marRight w:val="0"/>
      <w:marTop w:val="0"/>
      <w:marBottom w:val="0"/>
      <w:divBdr>
        <w:top w:val="none" w:sz="0" w:space="0" w:color="auto"/>
        <w:left w:val="none" w:sz="0" w:space="0" w:color="auto"/>
        <w:bottom w:val="none" w:sz="0" w:space="0" w:color="auto"/>
        <w:right w:val="none" w:sz="0" w:space="0" w:color="auto"/>
      </w:divBdr>
    </w:div>
    <w:div w:id="1387947314">
      <w:bodyDiv w:val="1"/>
      <w:marLeft w:val="0"/>
      <w:marRight w:val="0"/>
      <w:marTop w:val="0"/>
      <w:marBottom w:val="0"/>
      <w:divBdr>
        <w:top w:val="none" w:sz="0" w:space="0" w:color="auto"/>
        <w:left w:val="none" w:sz="0" w:space="0" w:color="auto"/>
        <w:bottom w:val="none" w:sz="0" w:space="0" w:color="auto"/>
        <w:right w:val="none" w:sz="0" w:space="0" w:color="auto"/>
      </w:divBdr>
    </w:div>
    <w:div w:id="1568957564">
      <w:bodyDiv w:val="1"/>
      <w:marLeft w:val="0"/>
      <w:marRight w:val="0"/>
      <w:marTop w:val="0"/>
      <w:marBottom w:val="0"/>
      <w:divBdr>
        <w:top w:val="none" w:sz="0" w:space="0" w:color="auto"/>
        <w:left w:val="none" w:sz="0" w:space="0" w:color="auto"/>
        <w:bottom w:val="none" w:sz="0" w:space="0" w:color="auto"/>
        <w:right w:val="none" w:sz="0" w:space="0" w:color="auto"/>
      </w:divBdr>
    </w:div>
    <w:div w:id="1686325909">
      <w:bodyDiv w:val="1"/>
      <w:marLeft w:val="0"/>
      <w:marRight w:val="0"/>
      <w:marTop w:val="0"/>
      <w:marBottom w:val="0"/>
      <w:divBdr>
        <w:top w:val="none" w:sz="0" w:space="0" w:color="auto"/>
        <w:left w:val="none" w:sz="0" w:space="0" w:color="auto"/>
        <w:bottom w:val="none" w:sz="0" w:space="0" w:color="auto"/>
        <w:right w:val="none" w:sz="0" w:space="0" w:color="auto"/>
      </w:divBdr>
    </w:div>
    <w:div w:id="1773546856">
      <w:bodyDiv w:val="1"/>
      <w:marLeft w:val="0"/>
      <w:marRight w:val="0"/>
      <w:marTop w:val="0"/>
      <w:marBottom w:val="0"/>
      <w:divBdr>
        <w:top w:val="none" w:sz="0" w:space="0" w:color="auto"/>
        <w:left w:val="none" w:sz="0" w:space="0" w:color="auto"/>
        <w:bottom w:val="none" w:sz="0" w:space="0" w:color="auto"/>
        <w:right w:val="none" w:sz="0" w:space="0" w:color="auto"/>
      </w:divBdr>
    </w:div>
    <w:div w:id="20097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2906</Words>
  <Characters>15989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7</cp:revision>
  <dcterms:created xsi:type="dcterms:W3CDTF">2016-06-22T21:44:00Z</dcterms:created>
  <dcterms:modified xsi:type="dcterms:W3CDTF">2016-06-23T12:10:00Z</dcterms:modified>
</cp:coreProperties>
</file>