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8F" w:rsidRPr="00EC1D8F" w:rsidRDefault="00EC1D8F" w:rsidP="00EC1D8F">
      <w:pPr>
        <w:spacing w:line="360" w:lineRule="auto"/>
        <w:jc w:val="both"/>
        <w:rPr>
          <w:rFonts w:ascii="Arial Narrow" w:hAnsi="Arial Narrow" w:cs="Arial"/>
          <w:bCs/>
          <w:i/>
          <w:iCs/>
          <w:sz w:val="36"/>
          <w:szCs w:val="36"/>
          <w:u w:val="single"/>
        </w:rPr>
      </w:pPr>
      <w:r w:rsidRPr="00EC1D8F">
        <w:rPr>
          <w:rFonts w:ascii="Arial Narrow" w:hAnsi="Arial Narrow" w:cs="Arial"/>
          <w:bCs/>
          <w:i/>
          <w:iCs/>
          <w:sz w:val="36"/>
          <w:szCs w:val="36"/>
          <w:u w:val="single"/>
        </w:rPr>
        <w:t>ORALIDAD</w:t>
      </w:r>
    </w:p>
    <w:p w:rsidR="00EC1D8F" w:rsidRPr="00EC1D8F" w:rsidRDefault="00EC1D8F" w:rsidP="003C6EB1">
      <w:pPr>
        <w:pStyle w:val="Sinespaciado"/>
      </w:pPr>
    </w:p>
    <w:p w:rsidR="00EC1D8F" w:rsidRPr="001E679A" w:rsidRDefault="00EC1D8F" w:rsidP="00EC1D8F">
      <w:pPr>
        <w:jc w:val="both"/>
        <w:rPr>
          <w:rFonts w:ascii="Arial Narrow" w:hAnsi="Arial Narrow" w:cs="Arial"/>
          <w:sz w:val="18"/>
          <w:szCs w:val="18"/>
        </w:rPr>
      </w:pPr>
      <w:r w:rsidRPr="001E679A">
        <w:rPr>
          <w:rFonts w:ascii="Arial Narrow" w:hAnsi="Arial Narrow" w:cs="Arial"/>
          <w:sz w:val="18"/>
          <w:szCs w:val="18"/>
        </w:rPr>
        <w:t xml:space="preserve">Providencia: </w:t>
      </w:r>
      <w:r w:rsidRPr="001E679A">
        <w:rPr>
          <w:rFonts w:ascii="Arial Narrow" w:hAnsi="Arial Narrow" w:cs="Arial"/>
          <w:sz w:val="18"/>
          <w:szCs w:val="18"/>
        </w:rPr>
        <w:tab/>
      </w:r>
      <w:r w:rsidRPr="001E679A">
        <w:rPr>
          <w:rFonts w:ascii="Arial Narrow" w:hAnsi="Arial Narrow" w:cs="Arial"/>
          <w:sz w:val="18"/>
          <w:szCs w:val="18"/>
        </w:rPr>
        <w:tab/>
        <w:t>Sentencia de Segunda Instancia, jueves 18 de agosto de 2016</w:t>
      </w:r>
    </w:p>
    <w:p w:rsidR="00EC1D8F" w:rsidRPr="001E679A" w:rsidRDefault="00EC1D8F" w:rsidP="00EC1D8F">
      <w:pPr>
        <w:jc w:val="both"/>
        <w:rPr>
          <w:rFonts w:ascii="Arial Narrow" w:hAnsi="Arial Narrow" w:cs="Arial"/>
          <w:bCs/>
          <w:iCs/>
          <w:sz w:val="18"/>
          <w:szCs w:val="18"/>
        </w:rPr>
      </w:pPr>
      <w:r w:rsidRPr="001E679A">
        <w:rPr>
          <w:rFonts w:ascii="Arial Narrow" w:hAnsi="Arial Narrow" w:cs="Arial"/>
          <w:bCs/>
          <w:sz w:val="18"/>
          <w:szCs w:val="18"/>
        </w:rPr>
        <w:t xml:space="preserve">Radicación No: </w:t>
      </w:r>
      <w:r w:rsidRPr="001E679A">
        <w:rPr>
          <w:rFonts w:ascii="Arial Narrow" w:hAnsi="Arial Narrow" w:cs="Arial"/>
          <w:bCs/>
          <w:sz w:val="18"/>
          <w:szCs w:val="18"/>
        </w:rPr>
        <w:tab/>
        <w:t xml:space="preserve">      </w:t>
      </w:r>
      <w:r w:rsidRPr="001E679A">
        <w:rPr>
          <w:rFonts w:ascii="Arial Narrow" w:hAnsi="Arial Narrow" w:cs="Arial"/>
          <w:bCs/>
          <w:sz w:val="18"/>
          <w:szCs w:val="18"/>
        </w:rPr>
        <w:tab/>
        <w:t>66001-31-05-00</w:t>
      </w:r>
      <w:r w:rsidR="003C6EB1" w:rsidRPr="001E679A">
        <w:rPr>
          <w:rFonts w:ascii="Arial Narrow" w:hAnsi="Arial Narrow" w:cs="Arial"/>
          <w:bCs/>
          <w:sz w:val="18"/>
          <w:szCs w:val="18"/>
        </w:rPr>
        <w:t>3</w:t>
      </w:r>
      <w:r w:rsidRPr="001E679A">
        <w:rPr>
          <w:rFonts w:ascii="Arial Narrow" w:hAnsi="Arial Narrow" w:cs="Arial"/>
          <w:bCs/>
          <w:sz w:val="18"/>
          <w:szCs w:val="18"/>
        </w:rPr>
        <w:t>-2014-00598-01</w:t>
      </w:r>
    </w:p>
    <w:p w:rsidR="00EC1D8F" w:rsidRPr="001E679A" w:rsidRDefault="00EC1D8F" w:rsidP="00EC1D8F">
      <w:pPr>
        <w:jc w:val="both"/>
        <w:rPr>
          <w:rFonts w:ascii="Arial Narrow" w:hAnsi="Arial Narrow" w:cs="Arial"/>
          <w:iCs/>
          <w:sz w:val="18"/>
          <w:szCs w:val="18"/>
        </w:rPr>
      </w:pPr>
      <w:r w:rsidRPr="001E679A">
        <w:rPr>
          <w:rFonts w:ascii="Arial Narrow" w:hAnsi="Arial Narrow" w:cs="Arial"/>
          <w:bCs/>
          <w:iCs/>
          <w:sz w:val="18"/>
          <w:szCs w:val="18"/>
        </w:rPr>
        <w:t>Proceso:</w:t>
      </w:r>
      <w:r w:rsidRPr="001E679A">
        <w:rPr>
          <w:rFonts w:ascii="Arial Narrow" w:hAnsi="Arial Narrow" w:cs="Arial"/>
          <w:iCs/>
          <w:sz w:val="18"/>
          <w:szCs w:val="18"/>
        </w:rPr>
        <w:t xml:space="preserve"> </w:t>
      </w:r>
      <w:r w:rsidRPr="001E679A">
        <w:rPr>
          <w:rFonts w:ascii="Arial Narrow" w:hAnsi="Arial Narrow" w:cs="Arial"/>
          <w:iCs/>
          <w:sz w:val="18"/>
          <w:szCs w:val="18"/>
        </w:rPr>
        <w:tab/>
      </w:r>
      <w:r w:rsidRPr="001E679A">
        <w:rPr>
          <w:rFonts w:ascii="Arial Narrow" w:hAnsi="Arial Narrow" w:cs="Arial"/>
          <w:iCs/>
          <w:sz w:val="18"/>
          <w:szCs w:val="18"/>
        </w:rPr>
        <w:tab/>
      </w:r>
      <w:r w:rsidRPr="001E679A">
        <w:rPr>
          <w:rFonts w:ascii="Arial Narrow" w:hAnsi="Arial Narrow" w:cs="Arial"/>
          <w:iCs/>
          <w:sz w:val="18"/>
          <w:szCs w:val="18"/>
        </w:rPr>
        <w:tab/>
        <w:t>Ordinario Laboral.</w:t>
      </w:r>
    </w:p>
    <w:p w:rsidR="00EC1D8F" w:rsidRPr="001E679A" w:rsidRDefault="00EC1D8F" w:rsidP="00EC1D8F">
      <w:pPr>
        <w:ind w:firstLine="6"/>
        <w:jc w:val="both"/>
        <w:rPr>
          <w:rFonts w:ascii="Arial Narrow" w:hAnsi="Arial Narrow" w:cs="Arial"/>
          <w:bCs/>
          <w:sz w:val="18"/>
          <w:szCs w:val="18"/>
        </w:rPr>
      </w:pPr>
      <w:r w:rsidRPr="001E679A">
        <w:rPr>
          <w:rFonts w:ascii="Arial Narrow" w:hAnsi="Arial Narrow" w:cs="Arial"/>
          <w:iCs/>
          <w:sz w:val="18"/>
          <w:szCs w:val="18"/>
        </w:rPr>
        <w:t xml:space="preserve">Demandante:     </w:t>
      </w:r>
      <w:r w:rsidRPr="001E679A">
        <w:rPr>
          <w:rFonts w:ascii="Arial Narrow" w:hAnsi="Arial Narrow" w:cs="Arial"/>
          <w:iCs/>
          <w:sz w:val="18"/>
          <w:szCs w:val="18"/>
        </w:rPr>
        <w:tab/>
      </w:r>
      <w:r w:rsidRPr="001E679A">
        <w:rPr>
          <w:rFonts w:ascii="Arial Narrow" w:hAnsi="Arial Narrow" w:cs="Arial"/>
          <w:iCs/>
          <w:sz w:val="18"/>
          <w:szCs w:val="18"/>
        </w:rPr>
        <w:tab/>
        <w:t>Gilberto Ossa Lemus</w:t>
      </w:r>
    </w:p>
    <w:p w:rsidR="00EC1D8F" w:rsidRPr="001E679A" w:rsidRDefault="00EC1D8F" w:rsidP="00EC1D8F">
      <w:pPr>
        <w:ind w:firstLine="6"/>
        <w:jc w:val="both"/>
        <w:rPr>
          <w:rFonts w:ascii="Arial Narrow" w:hAnsi="Arial Narrow" w:cs="Arial"/>
          <w:bCs/>
          <w:sz w:val="18"/>
          <w:szCs w:val="18"/>
        </w:rPr>
      </w:pPr>
      <w:r w:rsidRPr="001E679A">
        <w:rPr>
          <w:rFonts w:ascii="Arial Narrow" w:hAnsi="Arial Narrow" w:cs="Arial"/>
          <w:bCs/>
          <w:sz w:val="18"/>
          <w:szCs w:val="18"/>
        </w:rPr>
        <w:t xml:space="preserve">Demandado:            </w:t>
      </w:r>
      <w:r w:rsidRPr="001E679A">
        <w:rPr>
          <w:rFonts w:ascii="Arial Narrow" w:hAnsi="Arial Narrow" w:cs="Arial"/>
          <w:bCs/>
          <w:sz w:val="18"/>
          <w:szCs w:val="18"/>
        </w:rPr>
        <w:tab/>
      </w:r>
      <w:r w:rsidR="001E679A" w:rsidRPr="001E679A">
        <w:rPr>
          <w:rFonts w:ascii="Arial Narrow" w:hAnsi="Arial Narrow" w:cs="Arial"/>
          <w:bCs/>
          <w:sz w:val="18"/>
          <w:szCs w:val="18"/>
        </w:rPr>
        <w:tab/>
      </w:r>
      <w:r w:rsidRPr="001E679A">
        <w:rPr>
          <w:rFonts w:ascii="Arial Narrow" w:hAnsi="Arial Narrow" w:cs="Arial"/>
          <w:bCs/>
          <w:sz w:val="18"/>
          <w:szCs w:val="18"/>
        </w:rPr>
        <w:t>Colpensiones</w:t>
      </w:r>
    </w:p>
    <w:p w:rsidR="00EC1D8F" w:rsidRPr="001E679A" w:rsidRDefault="00EC1D8F" w:rsidP="00EC1D8F">
      <w:pPr>
        <w:jc w:val="both"/>
        <w:rPr>
          <w:rFonts w:ascii="Arial Narrow" w:hAnsi="Arial Narrow" w:cs="Arial"/>
          <w:sz w:val="18"/>
          <w:szCs w:val="18"/>
        </w:rPr>
      </w:pPr>
      <w:r w:rsidRPr="001E679A">
        <w:rPr>
          <w:rFonts w:ascii="Arial Narrow" w:hAnsi="Arial Narrow" w:cs="Arial"/>
          <w:sz w:val="18"/>
          <w:szCs w:val="18"/>
        </w:rPr>
        <w:t xml:space="preserve">Juzgado de origen:     </w:t>
      </w:r>
      <w:r w:rsidRPr="001E679A">
        <w:rPr>
          <w:rFonts w:ascii="Arial Narrow" w:hAnsi="Arial Narrow" w:cs="Arial"/>
          <w:sz w:val="18"/>
          <w:szCs w:val="18"/>
        </w:rPr>
        <w:tab/>
      </w:r>
      <w:r w:rsidR="003C6EB1" w:rsidRPr="001E679A">
        <w:rPr>
          <w:rFonts w:ascii="Arial Narrow" w:hAnsi="Arial Narrow" w:cs="Arial"/>
          <w:sz w:val="18"/>
          <w:szCs w:val="18"/>
        </w:rPr>
        <w:t xml:space="preserve">Tercero </w:t>
      </w:r>
      <w:r w:rsidRPr="001E679A">
        <w:rPr>
          <w:rFonts w:ascii="Arial Narrow" w:hAnsi="Arial Narrow" w:cs="Arial"/>
          <w:sz w:val="18"/>
          <w:szCs w:val="18"/>
        </w:rPr>
        <w:t>Laboral del Circuito de Pereira.</w:t>
      </w:r>
    </w:p>
    <w:p w:rsidR="00EC1D8F" w:rsidRPr="001E679A" w:rsidRDefault="00EC1D8F" w:rsidP="00EC1D8F">
      <w:pPr>
        <w:jc w:val="both"/>
        <w:rPr>
          <w:rFonts w:ascii="Arial Narrow" w:hAnsi="Arial Narrow" w:cs="Arial"/>
          <w:iCs/>
          <w:sz w:val="18"/>
          <w:szCs w:val="18"/>
        </w:rPr>
      </w:pPr>
      <w:r w:rsidRPr="001E679A">
        <w:rPr>
          <w:rFonts w:ascii="Arial Narrow" w:hAnsi="Arial Narrow" w:cs="Arial"/>
          <w:iCs/>
          <w:sz w:val="18"/>
          <w:szCs w:val="18"/>
        </w:rPr>
        <w:t xml:space="preserve">Magistrado Ponente:     </w:t>
      </w:r>
      <w:r w:rsidRPr="001E679A">
        <w:rPr>
          <w:rFonts w:ascii="Arial Narrow" w:hAnsi="Arial Narrow" w:cs="Arial"/>
          <w:iCs/>
          <w:sz w:val="18"/>
          <w:szCs w:val="18"/>
        </w:rPr>
        <w:tab/>
        <w:t>Francisco Javier Tamayo Tabares.</w:t>
      </w:r>
    </w:p>
    <w:p w:rsidR="001E679A" w:rsidRPr="001E679A" w:rsidRDefault="00EC1D8F" w:rsidP="001E679A">
      <w:pPr>
        <w:ind w:left="2127" w:hanging="2127"/>
        <w:jc w:val="both"/>
        <w:rPr>
          <w:rFonts w:ascii="Arial Narrow" w:hAnsi="Arial Narrow" w:cs="Arial Narrow"/>
          <w:b/>
          <w:bCs/>
          <w:sz w:val="18"/>
          <w:szCs w:val="18"/>
        </w:rPr>
      </w:pPr>
      <w:r w:rsidRPr="001E679A">
        <w:rPr>
          <w:rFonts w:ascii="Arial Narrow" w:hAnsi="Arial Narrow" w:cs="Arial"/>
          <w:bCs/>
          <w:sz w:val="18"/>
          <w:szCs w:val="18"/>
        </w:rPr>
        <w:t xml:space="preserve">Tema a tratar: </w:t>
      </w:r>
      <w:r w:rsidRPr="001E679A">
        <w:rPr>
          <w:rFonts w:ascii="Arial Narrow" w:hAnsi="Arial Narrow" w:cs="Arial"/>
          <w:bCs/>
          <w:sz w:val="18"/>
          <w:szCs w:val="18"/>
        </w:rPr>
        <w:tab/>
      </w:r>
      <w:r w:rsidR="001E679A" w:rsidRPr="001E679A">
        <w:rPr>
          <w:rFonts w:ascii="Arial Narrow" w:hAnsi="Arial Narrow" w:cs="Arial Narrow"/>
          <w:bCs/>
          <w:sz w:val="18"/>
          <w:szCs w:val="18"/>
          <w:lang w:val="es-ES"/>
        </w:rPr>
        <w:t xml:space="preserve">Pensión de jubilación por aportes. </w:t>
      </w:r>
      <w:r w:rsidR="001E679A" w:rsidRPr="001E679A">
        <w:rPr>
          <w:rFonts w:ascii="Arial Narrow" w:hAnsi="Arial Narrow" w:cs="Arial Narrow"/>
          <w:b/>
          <w:bCs/>
          <w:sz w:val="18"/>
          <w:szCs w:val="18"/>
          <w:lang w:val="es-ES"/>
        </w:rPr>
        <w:t xml:space="preserve"> </w:t>
      </w:r>
      <w:r w:rsidR="001E679A" w:rsidRPr="001E679A">
        <w:rPr>
          <w:rFonts w:ascii="Arial Narrow" w:hAnsi="Arial Narrow" w:cs="Arial Narrow"/>
          <w:bCs/>
          <w:sz w:val="18"/>
          <w:szCs w:val="18"/>
          <w:lang w:val="es-ES"/>
        </w:rPr>
        <w:t xml:space="preserve">El artículo 7º de la Ley 71 de 1988, prevé la posibilidad de acumular tiempo de servicio del sector público y del privado, y exige que la persona acredite 20 años de aportes para acceder a la prestación. </w:t>
      </w:r>
    </w:p>
    <w:p w:rsidR="001E679A" w:rsidRPr="001E679A" w:rsidRDefault="001E679A" w:rsidP="001E679A">
      <w:pPr>
        <w:pStyle w:val="Sinespaciado"/>
      </w:pPr>
    </w:p>
    <w:p w:rsidR="00EC1D8F" w:rsidRPr="003C6EB1" w:rsidRDefault="00EC1D8F" w:rsidP="001E679A">
      <w:pPr>
        <w:pStyle w:val="Sinespaciado"/>
      </w:pPr>
    </w:p>
    <w:p w:rsidR="00EC1D8F" w:rsidRPr="00EC1D8F" w:rsidRDefault="00EC1D8F" w:rsidP="00EC1D8F">
      <w:pPr>
        <w:spacing w:line="360" w:lineRule="auto"/>
        <w:ind w:firstLine="840"/>
        <w:rPr>
          <w:rFonts w:ascii="Arial Narrow" w:hAnsi="Arial Narrow" w:cs="Arial"/>
          <w:sz w:val="28"/>
          <w:szCs w:val="28"/>
        </w:rPr>
      </w:pPr>
      <w:r w:rsidRPr="00EC1D8F">
        <w:rPr>
          <w:rFonts w:ascii="Arial Narrow" w:hAnsi="Arial Narrow" w:cs="Arial"/>
          <w:sz w:val="28"/>
          <w:szCs w:val="28"/>
          <w:u w:val="single"/>
        </w:rPr>
        <w:t>AUDIENCIA PÚBLICA</w:t>
      </w:r>
      <w:r w:rsidRPr="00EC1D8F">
        <w:rPr>
          <w:rFonts w:ascii="Arial Narrow" w:hAnsi="Arial Narrow" w:cs="Arial"/>
          <w:sz w:val="28"/>
          <w:szCs w:val="28"/>
        </w:rPr>
        <w:t>:</w:t>
      </w:r>
    </w:p>
    <w:p w:rsidR="00EC1D8F" w:rsidRPr="003C6EB1" w:rsidRDefault="00EC1D8F" w:rsidP="003C6EB1">
      <w:pPr>
        <w:pStyle w:val="Sinespaciado"/>
      </w:pPr>
    </w:p>
    <w:p w:rsidR="00EC1D8F" w:rsidRPr="00EC1D8F" w:rsidRDefault="00EC1D8F" w:rsidP="00EC1D8F">
      <w:pPr>
        <w:spacing w:line="360" w:lineRule="auto"/>
        <w:ind w:firstLine="851"/>
        <w:jc w:val="both"/>
        <w:rPr>
          <w:rFonts w:ascii="Arial Narrow" w:hAnsi="Arial Narrow" w:cs="Arial"/>
          <w:i/>
          <w:iCs/>
          <w:sz w:val="28"/>
          <w:szCs w:val="28"/>
        </w:rPr>
      </w:pPr>
      <w:r w:rsidRPr="00D07EA4">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dieciocho </w:t>
      </w:r>
      <w:r w:rsidRPr="00D07EA4">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18</w:t>
      </w:r>
      <w:r w:rsidRPr="00D07EA4">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 xml:space="preserve">agosto </w:t>
      </w:r>
      <w:r w:rsidRPr="00D07EA4">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07EA4">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07EA4">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siete y treinta minutos de la mañana </w:t>
      </w:r>
      <w:r w:rsidRPr="00D07E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7:30</w:t>
      </w:r>
      <w:r w:rsidRPr="00D07E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Pr="00D07EA4">
        <w:rPr>
          <w:rFonts w:ascii="Arial Narrow" w:eastAsia="Calibri" w:hAnsi="Arial Narrow" w:cs="Arial"/>
          <w:sz w:val="28"/>
          <w:szCs w:val="28"/>
          <w:lang w:val="es-CO" w:eastAsia="en-US"/>
        </w:rPr>
        <w:t xml:space="preserve">.m.), </w:t>
      </w:r>
      <w:r w:rsidRPr="00D07EA4">
        <w:rPr>
          <w:rFonts w:ascii="Arial Narrow" w:hAnsi="Arial Narrow" w:cs="Tahoma"/>
          <w:bCs/>
          <w:color w:val="000000"/>
          <w:sz w:val="28"/>
          <w:szCs w:val="28"/>
          <w:lang w:eastAsia="es-CO"/>
        </w:rPr>
        <w:t>reunidos en la Sala de Audiencia los suscritos magistrados de la Sala</w:t>
      </w:r>
      <w:r>
        <w:rPr>
          <w:rFonts w:ascii="Arial Narrow" w:hAnsi="Arial Narrow" w:cs="Tahoma"/>
          <w:bCs/>
          <w:color w:val="000000"/>
          <w:sz w:val="28"/>
          <w:szCs w:val="28"/>
          <w:lang w:eastAsia="es-CO"/>
        </w:rPr>
        <w:t xml:space="preserve"> de Decisión </w:t>
      </w:r>
      <w:r w:rsidRPr="00D07EA4">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07EA4">
        <w:rPr>
          <w:rFonts w:ascii="Arial Narrow" w:hAnsi="Arial Narrow" w:cs="Tahoma"/>
          <w:bCs/>
          <w:color w:val="000000"/>
          <w:sz w:val="28"/>
          <w:szCs w:val="28"/>
          <w:lang w:eastAsia="es-CO"/>
        </w:rPr>
        <w:t>del Tribunal Superior de Pereira, el ponente declara abierto el acto, que</w:t>
      </w:r>
      <w:r>
        <w:rPr>
          <w:rFonts w:ascii="Arial Narrow" w:hAnsi="Arial Narrow" w:cs="Tahoma"/>
          <w:bCs/>
          <w:color w:val="000000"/>
          <w:sz w:val="28"/>
          <w:szCs w:val="28"/>
          <w:lang w:eastAsia="es-CO"/>
        </w:rPr>
        <w:t xml:space="preserve"> tiene por objeto resolver el grado jurisdiccional de consulta frente a la sentencia </w:t>
      </w:r>
      <w:r w:rsidRPr="00D07EA4">
        <w:rPr>
          <w:rFonts w:ascii="Arial Narrow" w:hAnsi="Arial Narrow" w:cs="Arial"/>
          <w:sz w:val="28"/>
          <w:szCs w:val="28"/>
        </w:rPr>
        <w:t xml:space="preserve">proferida el </w:t>
      </w:r>
      <w:r>
        <w:rPr>
          <w:rFonts w:ascii="Arial Narrow" w:hAnsi="Arial Narrow" w:cs="Arial"/>
          <w:sz w:val="28"/>
          <w:szCs w:val="28"/>
        </w:rPr>
        <w:t xml:space="preserve">14 de mayo de </w:t>
      </w:r>
      <w:r w:rsidRPr="00D07EA4">
        <w:rPr>
          <w:rFonts w:ascii="Arial Narrow" w:hAnsi="Arial Narrow" w:cs="Arial"/>
          <w:sz w:val="28"/>
          <w:szCs w:val="28"/>
        </w:rPr>
        <w:t>201</w:t>
      </w:r>
      <w:r>
        <w:rPr>
          <w:rFonts w:ascii="Arial Narrow" w:hAnsi="Arial Narrow" w:cs="Arial"/>
          <w:sz w:val="28"/>
          <w:szCs w:val="28"/>
        </w:rPr>
        <w:t>5</w:t>
      </w:r>
      <w:r w:rsidRPr="00D07EA4">
        <w:rPr>
          <w:rFonts w:ascii="Arial Narrow" w:hAnsi="Arial Narrow" w:cs="Arial"/>
          <w:sz w:val="28"/>
          <w:szCs w:val="28"/>
        </w:rPr>
        <w:t xml:space="preserve"> por el Juzgado </w:t>
      </w:r>
      <w:r>
        <w:rPr>
          <w:rFonts w:ascii="Arial Narrow" w:hAnsi="Arial Narrow" w:cs="Arial"/>
          <w:sz w:val="28"/>
          <w:szCs w:val="28"/>
        </w:rPr>
        <w:t xml:space="preserve">Segundo </w:t>
      </w:r>
      <w:r w:rsidRPr="00D07EA4">
        <w:rPr>
          <w:rFonts w:ascii="Arial Narrow" w:hAnsi="Arial Narrow" w:cs="Arial"/>
          <w:sz w:val="28"/>
          <w:szCs w:val="28"/>
        </w:rPr>
        <w:t xml:space="preserve">Laboral del Circuito de Pereira, dentro del proceso ordinario laboral promovido por </w:t>
      </w:r>
      <w:r w:rsidRPr="00EC1D8F">
        <w:rPr>
          <w:rFonts w:ascii="Arial Narrow" w:hAnsi="Arial Narrow" w:cs="Arial"/>
          <w:i/>
          <w:iCs/>
          <w:sz w:val="28"/>
          <w:szCs w:val="28"/>
        </w:rPr>
        <w:t xml:space="preserve">Gilberto Ossa Lemus </w:t>
      </w:r>
      <w:r w:rsidRPr="00EC1D8F">
        <w:rPr>
          <w:rFonts w:ascii="Arial Narrow" w:hAnsi="Arial Narrow" w:cs="Arial"/>
          <w:i/>
          <w:sz w:val="28"/>
          <w:szCs w:val="28"/>
        </w:rPr>
        <w:t>contra la Administradora Colombiana de Pensiones Colpensiones.</w:t>
      </w:r>
    </w:p>
    <w:p w:rsidR="00EC1D8F" w:rsidRPr="00EC1D8F" w:rsidRDefault="00EC1D8F" w:rsidP="00EC1D8F">
      <w:pPr>
        <w:pStyle w:val="Sinespaciado"/>
      </w:pPr>
    </w:p>
    <w:p w:rsidR="00EC1D8F" w:rsidRPr="001E679A" w:rsidRDefault="00EC1D8F" w:rsidP="00EC1D8F">
      <w:pPr>
        <w:shd w:val="clear" w:color="auto" w:fill="FFFFFF"/>
        <w:spacing w:line="360" w:lineRule="atLeast"/>
        <w:ind w:firstLine="708"/>
        <w:jc w:val="both"/>
        <w:rPr>
          <w:rFonts w:ascii="Arial Narrow" w:hAnsi="Arial Narrow" w:cs="Tahoma"/>
          <w:bCs/>
          <w:color w:val="000000"/>
          <w:sz w:val="28"/>
          <w:szCs w:val="28"/>
          <w:lang w:eastAsia="es-CO"/>
        </w:rPr>
      </w:pPr>
      <w:r w:rsidRPr="001E679A">
        <w:rPr>
          <w:rFonts w:ascii="Arial Narrow" w:hAnsi="Arial Narrow" w:cs="Tahoma"/>
          <w:bCs/>
          <w:color w:val="000000"/>
          <w:sz w:val="28"/>
          <w:szCs w:val="28"/>
          <w:lang w:eastAsia="es-CO"/>
        </w:rPr>
        <w:t>IDENTIFICACIÓN DE LOS PRESENTES:</w:t>
      </w:r>
    </w:p>
    <w:p w:rsidR="00EC1D8F" w:rsidRPr="001E679A" w:rsidRDefault="00EC1D8F" w:rsidP="00EC1D8F">
      <w:pPr>
        <w:shd w:val="clear" w:color="auto" w:fill="FFFFFF"/>
        <w:spacing w:line="360" w:lineRule="atLeast"/>
        <w:jc w:val="both"/>
        <w:rPr>
          <w:rFonts w:ascii="Arial Narrow" w:hAnsi="Arial Narrow" w:cs="Tahoma"/>
          <w:bCs/>
          <w:color w:val="000000"/>
          <w:sz w:val="28"/>
          <w:szCs w:val="28"/>
          <w:lang w:eastAsia="es-CO"/>
        </w:rPr>
      </w:pPr>
    </w:p>
    <w:p w:rsidR="00EC1D8F" w:rsidRPr="001E679A" w:rsidRDefault="00EC1D8F" w:rsidP="00EC1D8F">
      <w:pPr>
        <w:spacing w:line="360" w:lineRule="auto"/>
        <w:ind w:firstLine="851"/>
        <w:rPr>
          <w:rFonts w:ascii="Arial Narrow" w:hAnsi="Arial Narrow" w:cs="Tahoma"/>
          <w:sz w:val="28"/>
          <w:szCs w:val="28"/>
        </w:rPr>
      </w:pPr>
      <w:r w:rsidRPr="001E679A">
        <w:rPr>
          <w:rFonts w:ascii="Arial Narrow" w:hAnsi="Arial Narrow" w:cs="Tahoma"/>
          <w:i/>
          <w:sz w:val="28"/>
          <w:szCs w:val="28"/>
        </w:rPr>
        <w:t>INTRODUCCIÓN</w:t>
      </w:r>
    </w:p>
    <w:p w:rsidR="00EC1D8F" w:rsidRPr="003C6EB1" w:rsidRDefault="00EC1D8F" w:rsidP="003C6EB1">
      <w:pPr>
        <w:pStyle w:val="Sinespaciado"/>
      </w:pPr>
    </w:p>
    <w:p w:rsidR="00EC1D8F" w:rsidRDefault="00EC1D8F" w:rsidP="00EC1D8F">
      <w:pPr>
        <w:spacing w:line="360" w:lineRule="auto"/>
        <w:ind w:firstLine="900"/>
        <w:jc w:val="both"/>
        <w:rPr>
          <w:rFonts w:ascii="Arial Narrow" w:hAnsi="Arial Narrow" w:cs="Tahoma"/>
          <w:sz w:val="28"/>
          <w:szCs w:val="28"/>
        </w:rPr>
      </w:pPr>
      <w:r w:rsidRPr="00D07EA4">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dígase que el actor persigue que se le declare como beneficiario del régimen de transición y que en virtud del mismo se le aplique la Ley 71 de 1988 y, en consecuencia, se reconozca y pague la pensión de jubilación por aportes a partir del 9 de octubre de 2013, con el correspondiente retroactivo, los réditos moratorios y las costas del proceso.</w:t>
      </w:r>
    </w:p>
    <w:p w:rsidR="00EC1D8F" w:rsidRPr="003C6EB1" w:rsidRDefault="00EC1D8F" w:rsidP="003C6EB1">
      <w:pPr>
        <w:pStyle w:val="Sinespaciado"/>
      </w:pPr>
      <w:r>
        <w:t xml:space="preserve"> </w:t>
      </w:r>
    </w:p>
    <w:p w:rsidR="00290986" w:rsidRDefault="00EC1D8F" w:rsidP="00EC1D8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Como sustento de sus pedidos, s</w:t>
      </w:r>
      <w:r w:rsidR="00290986">
        <w:rPr>
          <w:rFonts w:ascii="Arial Narrow" w:hAnsi="Arial Narrow" w:cs="Tahoma"/>
          <w:color w:val="000000"/>
          <w:sz w:val="28"/>
          <w:szCs w:val="28"/>
          <w:lang w:eastAsia="es-CO"/>
        </w:rPr>
        <w:t>e relata que el actor nació el 09 de octubre de 1953</w:t>
      </w:r>
      <w:r>
        <w:rPr>
          <w:rFonts w:ascii="Arial Narrow" w:hAnsi="Arial Narrow" w:cs="Tahoma"/>
          <w:color w:val="000000"/>
          <w:sz w:val="28"/>
          <w:szCs w:val="28"/>
          <w:lang w:eastAsia="es-CO"/>
        </w:rPr>
        <w:t xml:space="preserve">, que reclamó la pensión </w:t>
      </w:r>
      <w:r w:rsidR="00290986">
        <w:rPr>
          <w:rFonts w:ascii="Arial Narrow" w:hAnsi="Arial Narrow" w:cs="Tahoma"/>
          <w:color w:val="000000"/>
          <w:sz w:val="28"/>
          <w:szCs w:val="28"/>
          <w:lang w:eastAsia="es-CO"/>
        </w:rPr>
        <w:t xml:space="preserve">de jubilación por aportes y </w:t>
      </w:r>
      <w:r>
        <w:rPr>
          <w:rFonts w:ascii="Arial Narrow" w:hAnsi="Arial Narrow" w:cs="Tahoma"/>
          <w:color w:val="000000"/>
          <w:sz w:val="28"/>
          <w:szCs w:val="28"/>
          <w:lang w:eastAsia="es-CO"/>
        </w:rPr>
        <w:t xml:space="preserve">que mediante Resolución GNR </w:t>
      </w:r>
      <w:r w:rsidR="00290986">
        <w:rPr>
          <w:rFonts w:ascii="Arial Narrow" w:hAnsi="Arial Narrow" w:cs="Tahoma"/>
          <w:color w:val="000000"/>
          <w:sz w:val="28"/>
          <w:szCs w:val="28"/>
          <w:lang w:eastAsia="es-CO"/>
        </w:rPr>
        <w:t>213406 de 2014 C</w:t>
      </w:r>
      <w:r>
        <w:rPr>
          <w:rFonts w:ascii="Arial Narrow" w:hAnsi="Arial Narrow" w:cs="Tahoma"/>
          <w:color w:val="000000"/>
          <w:sz w:val="28"/>
          <w:szCs w:val="28"/>
          <w:lang w:eastAsia="es-CO"/>
        </w:rPr>
        <w:t xml:space="preserve">olpensiones niega la prestación, argumentando que no cumple los 20 años exigidos en la norma, </w:t>
      </w:r>
      <w:r w:rsidR="00290986">
        <w:rPr>
          <w:rFonts w:ascii="Arial Narrow" w:hAnsi="Arial Narrow" w:cs="Tahoma"/>
          <w:color w:val="000000"/>
          <w:sz w:val="28"/>
          <w:szCs w:val="28"/>
          <w:lang w:eastAsia="es-CO"/>
        </w:rPr>
        <w:t xml:space="preserve">pues sufragó 1.020 semanas de aportes al </w:t>
      </w:r>
      <w:r w:rsidR="00290986">
        <w:rPr>
          <w:rFonts w:ascii="Arial Narrow" w:hAnsi="Arial Narrow" w:cs="Tahoma"/>
          <w:color w:val="000000"/>
          <w:sz w:val="28"/>
          <w:szCs w:val="28"/>
          <w:lang w:eastAsia="es-CO"/>
        </w:rPr>
        <w:lastRenderedPageBreak/>
        <w:t xml:space="preserve">sistema; que la entidad de seguridad social no tuvo en cuenta 37 semanas que cotizó con el Municipio de Pueblo Rico, Risaralda, y como independiente. Y finalmente se aduce que el demandante cotizó 42.57 semanas como independiente y 956 en tiempos públicos comprendidos en Telecom del 16 de julio de 1976 al 20 de febrero de 1995.  </w:t>
      </w:r>
    </w:p>
    <w:p w:rsidR="00290986" w:rsidRDefault="00290986" w:rsidP="00290986">
      <w:pPr>
        <w:pStyle w:val="Sinespaciado"/>
        <w:rPr>
          <w:lang w:eastAsia="es-CO"/>
        </w:rPr>
      </w:pPr>
    </w:p>
    <w:p w:rsidR="00EC1D8F" w:rsidRDefault="00EC1D8F" w:rsidP="00290986">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Admitida la demanda, se trabó la litis con la entidad demandada, </w:t>
      </w:r>
      <w:r w:rsidR="00290986">
        <w:rPr>
          <w:rFonts w:ascii="Arial Narrow" w:hAnsi="Arial Narrow" w:cs="Tahoma"/>
          <w:color w:val="000000"/>
          <w:sz w:val="28"/>
          <w:szCs w:val="28"/>
          <w:lang w:eastAsia="es-CO"/>
        </w:rPr>
        <w:t>quien se opuso a</w:t>
      </w:r>
      <w:r>
        <w:rPr>
          <w:rFonts w:ascii="Arial Narrow" w:hAnsi="Arial Narrow" w:cs="Tahoma"/>
          <w:color w:val="000000"/>
          <w:sz w:val="28"/>
          <w:szCs w:val="28"/>
          <w:lang w:eastAsia="es-CO"/>
        </w:rPr>
        <w:t xml:space="preserve"> las p</w:t>
      </w:r>
      <w:r w:rsidR="00290986">
        <w:rPr>
          <w:rFonts w:ascii="Arial Narrow" w:hAnsi="Arial Narrow" w:cs="Tahoma"/>
          <w:color w:val="000000"/>
          <w:sz w:val="28"/>
          <w:szCs w:val="28"/>
          <w:lang w:eastAsia="es-CO"/>
        </w:rPr>
        <w:t>retensiones demandadas, bajo el argumento que el actor no cumple con los 20 años de servicios exigidos por la Ley 71 de 1988. Formuló</w:t>
      </w:r>
      <w:r>
        <w:rPr>
          <w:rFonts w:ascii="Arial Narrow" w:hAnsi="Arial Narrow" w:cs="Tahoma"/>
          <w:color w:val="000000"/>
          <w:sz w:val="28"/>
          <w:szCs w:val="28"/>
          <w:lang w:eastAsia="es-CO"/>
        </w:rPr>
        <w:t xml:space="preserve"> como medios exceptivos de fondo los que denominó “I</w:t>
      </w:r>
      <w:r w:rsidR="00290986">
        <w:rPr>
          <w:rFonts w:ascii="Arial Narrow" w:hAnsi="Arial Narrow" w:cs="Tahoma"/>
          <w:color w:val="000000"/>
          <w:sz w:val="28"/>
          <w:szCs w:val="28"/>
          <w:lang w:eastAsia="es-CO"/>
        </w:rPr>
        <w:t xml:space="preserve">mprocedencia de los intereses moratorios” </w:t>
      </w:r>
      <w:r>
        <w:rPr>
          <w:rFonts w:ascii="Arial Narrow" w:hAnsi="Arial Narrow" w:cs="Tahoma"/>
          <w:color w:val="000000"/>
          <w:sz w:val="28"/>
          <w:szCs w:val="28"/>
          <w:lang w:eastAsia="es-CO"/>
        </w:rPr>
        <w:t>y “Prescripción”.</w:t>
      </w:r>
    </w:p>
    <w:p w:rsidR="00EC1D8F" w:rsidRPr="00D07EA4" w:rsidRDefault="00EC1D8F" w:rsidP="003C6EB1">
      <w:pPr>
        <w:pStyle w:val="Sinespaciado"/>
        <w:rPr>
          <w:lang w:eastAsia="es-CO"/>
        </w:rPr>
      </w:pPr>
    </w:p>
    <w:p w:rsidR="00EC1D8F" w:rsidRPr="003C6EB1" w:rsidRDefault="00EC1D8F" w:rsidP="00EC1D8F">
      <w:pPr>
        <w:shd w:val="clear" w:color="auto" w:fill="FFFFFF"/>
        <w:spacing w:line="360" w:lineRule="auto"/>
        <w:ind w:firstLine="851"/>
        <w:jc w:val="both"/>
        <w:rPr>
          <w:rFonts w:ascii="Arial Narrow" w:hAnsi="Arial Narrow" w:cs="Tahoma"/>
          <w:b/>
          <w:i/>
          <w:sz w:val="28"/>
          <w:szCs w:val="28"/>
          <w:lang w:eastAsia="es-CO"/>
        </w:rPr>
      </w:pPr>
      <w:r w:rsidRPr="003C6EB1">
        <w:rPr>
          <w:rFonts w:ascii="Arial Narrow" w:hAnsi="Arial Narrow" w:cs="Tahoma"/>
          <w:b/>
          <w:i/>
          <w:sz w:val="28"/>
          <w:szCs w:val="28"/>
          <w:lang w:eastAsia="es-CO"/>
        </w:rPr>
        <w:t xml:space="preserve">SENTENCIA </w:t>
      </w:r>
    </w:p>
    <w:p w:rsidR="003C6EB1" w:rsidRPr="003C6EB1" w:rsidRDefault="003C6EB1" w:rsidP="003C6EB1">
      <w:pPr>
        <w:pStyle w:val="Sinespaciado"/>
      </w:pPr>
    </w:p>
    <w:p w:rsidR="00BF5EEE" w:rsidRPr="00BF5EEE" w:rsidRDefault="00EC1D8F" w:rsidP="00BF5EEE">
      <w:pPr>
        <w:tabs>
          <w:tab w:val="left" w:pos="0"/>
          <w:tab w:val="left" w:pos="8647"/>
        </w:tabs>
        <w:suppressAutoHyphens/>
        <w:spacing w:line="360" w:lineRule="auto"/>
        <w:ind w:firstLine="900"/>
        <w:jc w:val="both"/>
        <w:rPr>
          <w:rFonts w:ascii="Arial Narrow" w:hAnsi="Arial Narrow" w:cs="Arial"/>
          <w:sz w:val="28"/>
          <w:szCs w:val="28"/>
        </w:rPr>
      </w:pPr>
      <w:r w:rsidRPr="00C4470F">
        <w:rPr>
          <w:rFonts w:ascii="Arial Narrow" w:hAnsi="Arial Narrow" w:cs="Arial"/>
          <w:sz w:val="28"/>
          <w:szCs w:val="28"/>
        </w:rPr>
        <w:t xml:space="preserve">La </w:t>
      </w:r>
      <w:r w:rsidR="003C6EB1" w:rsidRPr="00C4470F">
        <w:rPr>
          <w:rFonts w:ascii="Arial Narrow" w:hAnsi="Arial Narrow" w:cs="Arial"/>
          <w:sz w:val="28"/>
          <w:szCs w:val="28"/>
        </w:rPr>
        <w:t xml:space="preserve">Jueza </w:t>
      </w:r>
      <w:r w:rsidRPr="00C4470F">
        <w:rPr>
          <w:rFonts w:ascii="Arial Narrow" w:hAnsi="Arial Narrow" w:cs="Arial"/>
          <w:sz w:val="28"/>
          <w:szCs w:val="28"/>
        </w:rPr>
        <w:t xml:space="preserve">a-quo encontró que efectivamente el demandante es beneficiario de transición, y que en virtud de ello le resulta aplicable la Ley 71 de1988. </w:t>
      </w:r>
      <w:r w:rsidR="003C6EB1" w:rsidRPr="00C4470F">
        <w:rPr>
          <w:rFonts w:ascii="Arial Narrow" w:hAnsi="Arial Narrow" w:cs="Arial"/>
          <w:sz w:val="28"/>
          <w:szCs w:val="28"/>
        </w:rPr>
        <w:t xml:space="preserve">Estimó que el afiliado </w:t>
      </w:r>
      <w:r w:rsidR="00C4470F">
        <w:rPr>
          <w:rFonts w:ascii="Arial Narrow" w:hAnsi="Arial Narrow" w:cs="Arial"/>
          <w:sz w:val="28"/>
          <w:szCs w:val="28"/>
        </w:rPr>
        <w:t xml:space="preserve">consolidó </w:t>
      </w:r>
      <w:r w:rsidR="003C6EB1" w:rsidRPr="00C4470F">
        <w:rPr>
          <w:rFonts w:ascii="Arial Narrow" w:hAnsi="Arial Narrow" w:cs="Arial"/>
          <w:sz w:val="28"/>
          <w:szCs w:val="28"/>
        </w:rPr>
        <w:t xml:space="preserve">el derecho pensional dado que </w:t>
      </w:r>
      <w:r w:rsidR="00C4470F" w:rsidRPr="00C4470F">
        <w:rPr>
          <w:rFonts w:ascii="Arial Narrow" w:hAnsi="Arial Narrow" w:cs="Arial"/>
          <w:sz w:val="28"/>
          <w:szCs w:val="28"/>
        </w:rPr>
        <w:t>cumpl</w:t>
      </w:r>
      <w:r w:rsidR="00C4470F">
        <w:rPr>
          <w:rFonts w:ascii="Arial Narrow" w:hAnsi="Arial Narrow" w:cs="Arial"/>
          <w:sz w:val="28"/>
          <w:szCs w:val="28"/>
        </w:rPr>
        <w:t>ió</w:t>
      </w:r>
      <w:r w:rsidR="003C6EB1" w:rsidRPr="00C4470F">
        <w:rPr>
          <w:rFonts w:ascii="Arial Narrow" w:hAnsi="Arial Narrow" w:cs="Arial"/>
          <w:sz w:val="28"/>
          <w:szCs w:val="28"/>
        </w:rPr>
        <w:t xml:space="preserve"> con más de 20 años de servicios conjugados en el sector público y el privado, </w:t>
      </w:r>
      <w:r w:rsidR="00C4470F">
        <w:rPr>
          <w:rFonts w:ascii="Arial Narrow" w:hAnsi="Arial Narrow" w:cs="Arial"/>
          <w:sz w:val="28"/>
          <w:szCs w:val="28"/>
        </w:rPr>
        <w:t xml:space="preserve">pues </w:t>
      </w:r>
      <w:r w:rsidR="003C6EB1" w:rsidRPr="00C4470F">
        <w:rPr>
          <w:rFonts w:ascii="Arial Narrow" w:hAnsi="Arial Narrow" w:cs="Arial"/>
          <w:sz w:val="28"/>
          <w:szCs w:val="28"/>
        </w:rPr>
        <w:t xml:space="preserve">cotizó un total de </w:t>
      </w:r>
      <w:r w:rsidR="00C4470F">
        <w:rPr>
          <w:rFonts w:ascii="Arial Narrow" w:hAnsi="Arial Narrow" w:cs="Arial"/>
          <w:sz w:val="28"/>
          <w:szCs w:val="28"/>
        </w:rPr>
        <w:t xml:space="preserve">1.033 semanas y arribó a la edad mínima el 9 de octubre de 2013. </w:t>
      </w:r>
      <w:r w:rsidR="00C4470F" w:rsidRPr="004C58D7">
        <w:rPr>
          <w:rFonts w:ascii="Arial Narrow" w:hAnsi="Arial Narrow" w:cs="Arial"/>
          <w:sz w:val="28"/>
          <w:szCs w:val="28"/>
        </w:rPr>
        <w:t xml:space="preserve">Calculó </w:t>
      </w:r>
      <w:r w:rsidR="00822798" w:rsidRPr="004C58D7">
        <w:rPr>
          <w:rFonts w:ascii="Arial Narrow" w:hAnsi="Arial Narrow" w:cs="Arial"/>
          <w:sz w:val="28"/>
          <w:szCs w:val="28"/>
        </w:rPr>
        <w:t>un IBL de 1`949.569 al que aplicó una tasa de remplazo del 75 %,</w:t>
      </w:r>
      <w:r w:rsidR="004C58D7">
        <w:rPr>
          <w:rFonts w:ascii="Arial Narrow" w:hAnsi="Arial Narrow" w:cs="Arial"/>
          <w:sz w:val="28"/>
          <w:szCs w:val="28"/>
        </w:rPr>
        <w:t xml:space="preserve"> lo que arrojó una </w:t>
      </w:r>
      <w:r w:rsidR="004C58D7" w:rsidRPr="004C58D7">
        <w:rPr>
          <w:rFonts w:ascii="Arial Narrow" w:hAnsi="Arial Narrow"/>
          <w:sz w:val="28"/>
          <w:szCs w:val="28"/>
        </w:rPr>
        <w:t>primera mesada pensional de $1</w:t>
      </w:r>
      <w:r w:rsidR="004C58D7">
        <w:rPr>
          <w:rFonts w:ascii="Arial Narrow" w:hAnsi="Arial Narrow"/>
          <w:sz w:val="28"/>
          <w:szCs w:val="28"/>
        </w:rPr>
        <w:t>`462.177. C</w:t>
      </w:r>
      <w:r w:rsidR="00822798" w:rsidRPr="004C58D7">
        <w:rPr>
          <w:rFonts w:ascii="Arial Narrow" w:hAnsi="Arial Narrow" w:cs="Arial"/>
          <w:sz w:val="28"/>
          <w:szCs w:val="28"/>
        </w:rPr>
        <w:t>ondenó a la entidad al pago</w:t>
      </w:r>
      <w:r w:rsidR="00822798">
        <w:rPr>
          <w:rFonts w:ascii="Arial Narrow" w:hAnsi="Arial Narrow" w:cs="Arial"/>
          <w:sz w:val="28"/>
          <w:szCs w:val="28"/>
        </w:rPr>
        <w:t xml:space="preserve"> de $ 31`055.214 por concepto de retroac</w:t>
      </w:r>
      <w:r w:rsidR="001E679A">
        <w:rPr>
          <w:rFonts w:ascii="Arial Narrow" w:hAnsi="Arial Narrow" w:cs="Arial"/>
          <w:sz w:val="28"/>
          <w:szCs w:val="28"/>
        </w:rPr>
        <w:t>tivo pensional y a los intereses moratorios a partir de la ejecutoria de la sentencia.</w:t>
      </w:r>
    </w:p>
    <w:p w:rsidR="003C6EB1" w:rsidRDefault="003C6EB1" w:rsidP="003C6EB1">
      <w:pPr>
        <w:pStyle w:val="Sinespaciado"/>
      </w:pPr>
    </w:p>
    <w:p w:rsidR="00CC7C15" w:rsidRPr="00B6481E" w:rsidRDefault="00CC7C15" w:rsidP="00CC7C15">
      <w:pPr>
        <w:tabs>
          <w:tab w:val="left" w:pos="0"/>
          <w:tab w:val="left" w:pos="8647"/>
        </w:tabs>
        <w:suppressAutoHyphens/>
        <w:spacing w:line="360" w:lineRule="auto"/>
        <w:ind w:firstLine="900"/>
        <w:jc w:val="both"/>
        <w:rPr>
          <w:rFonts w:ascii="Arial Narrow" w:hAnsi="Arial Narrow" w:cs="Tahoma"/>
          <w:sz w:val="28"/>
          <w:szCs w:val="28"/>
        </w:rPr>
      </w:pPr>
      <w:r w:rsidRPr="00B6481E">
        <w:rPr>
          <w:rFonts w:ascii="Arial Narrow" w:hAnsi="Arial Narrow" w:cs="Tahoma"/>
          <w:sz w:val="28"/>
          <w:szCs w:val="28"/>
        </w:rPr>
        <w:t>Respecto del citado proveído se dispuso el grado jurisdiccional de consulta por afectarse a Colpensiones, en los términos del artículo 69 del CPTSS.</w:t>
      </w:r>
    </w:p>
    <w:p w:rsidR="00EC1D8F" w:rsidRPr="00D07EA4" w:rsidRDefault="00EC1D8F" w:rsidP="00CC7C15">
      <w:pPr>
        <w:pStyle w:val="Sinespaciado"/>
      </w:pPr>
    </w:p>
    <w:p w:rsidR="00EC1D8F" w:rsidRPr="00D07EA4" w:rsidRDefault="00EC1D8F" w:rsidP="00EC1D8F">
      <w:pPr>
        <w:pStyle w:val="Sangradetextonormal"/>
        <w:ind w:left="0" w:firstLine="851"/>
        <w:rPr>
          <w:rFonts w:ascii="Arial Narrow" w:hAnsi="Arial Narrow" w:cs="Tahoma"/>
          <w:b/>
          <w:i/>
          <w:sz w:val="28"/>
          <w:szCs w:val="28"/>
        </w:rPr>
      </w:pPr>
      <w:r w:rsidRPr="00D07EA4">
        <w:rPr>
          <w:rFonts w:ascii="Arial Narrow" w:hAnsi="Arial Narrow" w:cs="Tahoma"/>
          <w:b/>
          <w:i/>
          <w:sz w:val="28"/>
          <w:szCs w:val="28"/>
        </w:rPr>
        <w:t>Problema jurídico.</w:t>
      </w:r>
    </w:p>
    <w:p w:rsidR="00EC1D8F" w:rsidRPr="00753AE0" w:rsidRDefault="00CC7C15" w:rsidP="00753AE0">
      <w:pPr>
        <w:pStyle w:val="Sinespaciado"/>
      </w:pPr>
      <w:r>
        <w:tab/>
      </w:r>
    </w:p>
    <w:p w:rsidR="00EC1D8F" w:rsidRPr="00CC7C15" w:rsidRDefault="00EC1D8F" w:rsidP="00EC1D8F">
      <w:pPr>
        <w:pStyle w:val="Textoindependiente33"/>
        <w:ind w:firstLine="851"/>
        <w:rPr>
          <w:rFonts w:ascii="Arial Narrow" w:hAnsi="Arial Narrow" w:cs="Tahoma"/>
          <w:bCs/>
          <w:i/>
          <w:iCs/>
          <w:szCs w:val="24"/>
        </w:rPr>
      </w:pPr>
      <w:r w:rsidRPr="00CC7C15">
        <w:rPr>
          <w:rFonts w:ascii="Arial Narrow" w:hAnsi="Arial Narrow" w:cs="Tahoma"/>
          <w:bCs/>
          <w:i/>
          <w:iCs/>
          <w:szCs w:val="24"/>
        </w:rPr>
        <w:t>¿El actor tiene derecho a la pensión por acumulación de aportes que reclama?</w:t>
      </w:r>
    </w:p>
    <w:p w:rsidR="00EC1D8F" w:rsidRPr="00CC7C15" w:rsidRDefault="00EC1D8F" w:rsidP="00753AE0">
      <w:pPr>
        <w:pStyle w:val="Sinespaciado"/>
      </w:pPr>
    </w:p>
    <w:p w:rsidR="00EC1D8F" w:rsidRPr="00D07EA4" w:rsidRDefault="00EC1D8F" w:rsidP="00EC1D8F">
      <w:pPr>
        <w:tabs>
          <w:tab w:val="left" w:pos="0"/>
          <w:tab w:val="left" w:pos="8647"/>
        </w:tabs>
        <w:suppressAutoHyphens/>
        <w:spacing w:line="360" w:lineRule="auto"/>
        <w:ind w:firstLine="900"/>
        <w:jc w:val="both"/>
        <w:rPr>
          <w:rFonts w:ascii="Arial Narrow" w:hAnsi="Arial Narrow" w:cs="Tahoma"/>
          <w:sz w:val="28"/>
          <w:szCs w:val="28"/>
        </w:rPr>
      </w:pPr>
      <w:r w:rsidRPr="00D07EA4">
        <w:rPr>
          <w:rFonts w:ascii="Arial Narrow" w:hAnsi="Arial Narrow" w:cs="Tahoma"/>
          <w:b/>
          <w:i/>
          <w:sz w:val="28"/>
          <w:szCs w:val="28"/>
        </w:rPr>
        <w:t>Alegatos en esta instancia</w:t>
      </w:r>
      <w:r w:rsidRPr="00D07EA4">
        <w:rPr>
          <w:rFonts w:ascii="Arial Narrow" w:hAnsi="Arial Narrow" w:cs="Tahoma"/>
          <w:sz w:val="28"/>
          <w:szCs w:val="28"/>
        </w:rPr>
        <w:t>:</w:t>
      </w:r>
    </w:p>
    <w:p w:rsidR="00EC1D8F" w:rsidRPr="00753AE0" w:rsidRDefault="00EC1D8F" w:rsidP="00753AE0">
      <w:pPr>
        <w:pStyle w:val="Sinespaciado"/>
      </w:pPr>
    </w:p>
    <w:p w:rsidR="00EC1D8F" w:rsidRPr="00D07EA4" w:rsidRDefault="00EC1D8F" w:rsidP="00CC7C15">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la Colegiatura, de respuesta al problema jurídico planteado, con el propósito de desatar </w:t>
      </w:r>
      <w:r w:rsidR="00CC7C15">
        <w:rPr>
          <w:rFonts w:ascii="Arial Narrow" w:hAnsi="Arial Narrow" w:cs="Tahoma"/>
          <w:sz w:val="28"/>
          <w:szCs w:val="28"/>
        </w:rPr>
        <w:t>la consulta</w:t>
      </w:r>
      <w:r w:rsidRPr="00D07EA4">
        <w:rPr>
          <w:rFonts w:ascii="Arial Narrow" w:hAnsi="Arial Narrow" w:cs="Tahoma"/>
          <w:sz w:val="28"/>
          <w:szCs w:val="28"/>
        </w:rPr>
        <w:t xml:space="preserve">, se corre traslado por el término de 8 minutos para alegar, a cada uno de los voceros judiciales de las </w:t>
      </w:r>
      <w:r w:rsidRPr="00D07EA4">
        <w:rPr>
          <w:rFonts w:ascii="Arial Narrow" w:hAnsi="Arial Narrow" w:cs="Tahoma"/>
          <w:sz w:val="28"/>
          <w:szCs w:val="28"/>
        </w:rPr>
        <w:lastRenderedPageBreak/>
        <w:t xml:space="preserve">partes asistentes a </w:t>
      </w:r>
      <w:r w:rsidR="00CC7C15">
        <w:rPr>
          <w:rFonts w:ascii="Arial Narrow" w:hAnsi="Arial Narrow" w:cs="Tahoma"/>
          <w:sz w:val="28"/>
          <w:szCs w:val="28"/>
        </w:rPr>
        <w:t xml:space="preserve">la audiencia, empezando por la demandante. </w:t>
      </w:r>
      <w:r w:rsidRPr="00D07EA4">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EC1D8F" w:rsidRPr="00D07EA4" w:rsidRDefault="00EC1D8F" w:rsidP="00EC1D8F">
      <w:pPr>
        <w:pStyle w:val="Textoindependiente33"/>
        <w:ind w:firstLine="851"/>
        <w:rPr>
          <w:rFonts w:ascii="Arial Narrow" w:hAnsi="Arial Narrow" w:cs="Tahoma"/>
          <w:bCs/>
          <w:i/>
          <w:iCs/>
          <w:sz w:val="28"/>
          <w:szCs w:val="28"/>
        </w:rPr>
      </w:pPr>
    </w:p>
    <w:p w:rsidR="00EC1D8F" w:rsidRPr="00D07EA4" w:rsidRDefault="00EC1D8F" w:rsidP="00EC1D8F">
      <w:pPr>
        <w:pStyle w:val="Textoindependiente33"/>
        <w:ind w:firstLine="851"/>
        <w:rPr>
          <w:rFonts w:ascii="Arial Narrow" w:hAnsi="Arial Narrow" w:cs="Tahoma"/>
          <w:b/>
          <w:bCs/>
          <w:i/>
          <w:iCs/>
          <w:sz w:val="28"/>
          <w:szCs w:val="28"/>
        </w:rPr>
      </w:pPr>
      <w:r w:rsidRPr="00D07EA4">
        <w:rPr>
          <w:rFonts w:ascii="Arial Narrow" w:hAnsi="Arial Narrow" w:cs="Tahoma"/>
          <w:b/>
          <w:bCs/>
          <w:i/>
          <w:iCs/>
          <w:sz w:val="28"/>
          <w:szCs w:val="28"/>
        </w:rPr>
        <w:t>CONSIDERACIONES</w:t>
      </w:r>
    </w:p>
    <w:p w:rsidR="00EC1D8F" w:rsidRPr="00753AE0" w:rsidRDefault="00EC1D8F" w:rsidP="00753AE0">
      <w:pPr>
        <w:pStyle w:val="Sinespaciado"/>
      </w:pPr>
    </w:p>
    <w:p w:rsidR="00EC1D8F" w:rsidRDefault="00EC1D8F" w:rsidP="00EC1D8F">
      <w:pPr>
        <w:autoSpaceDE w:val="0"/>
        <w:autoSpaceDN w:val="0"/>
        <w:adjustRightInd w:val="0"/>
        <w:spacing w:line="360" w:lineRule="auto"/>
        <w:ind w:firstLine="708"/>
        <w:jc w:val="both"/>
        <w:rPr>
          <w:rFonts w:ascii="Arial Narrow" w:hAnsi="Arial Narrow" w:cs="Arial"/>
          <w:b/>
          <w:i/>
          <w:sz w:val="28"/>
          <w:szCs w:val="28"/>
        </w:rPr>
      </w:pPr>
      <w:r w:rsidRPr="00C2732A">
        <w:rPr>
          <w:rFonts w:ascii="Arial Narrow" w:hAnsi="Arial Narrow" w:cs="Arial"/>
          <w:b/>
          <w:i/>
          <w:sz w:val="28"/>
          <w:szCs w:val="28"/>
        </w:rPr>
        <w:t>Desarroll</w:t>
      </w:r>
      <w:r>
        <w:rPr>
          <w:rFonts w:ascii="Arial Narrow" w:hAnsi="Arial Narrow" w:cs="Arial"/>
          <w:b/>
          <w:i/>
          <w:sz w:val="28"/>
          <w:szCs w:val="28"/>
        </w:rPr>
        <w:t>o de la problemática planteada.</w:t>
      </w:r>
    </w:p>
    <w:p w:rsidR="00EC1D8F" w:rsidRPr="00753AE0" w:rsidRDefault="00EC1D8F" w:rsidP="00753AE0">
      <w:pPr>
        <w:pStyle w:val="Sinespaciado"/>
      </w:pPr>
    </w:p>
    <w:p w:rsidR="00EC1D8F" w:rsidRPr="000200D8" w:rsidRDefault="00EC1D8F" w:rsidP="00EC1D8F">
      <w:pPr>
        <w:autoSpaceDE w:val="0"/>
        <w:autoSpaceDN w:val="0"/>
        <w:adjustRightInd w:val="0"/>
        <w:spacing w:line="360" w:lineRule="auto"/>
        <w:ind w:firstLine="708"/>
        <w:jc w:val="both"/>
        <w:rPr>
          <w:rFonts w:ascii="Arial Narrow" w:hAnsi="Arial Narrow" w:cs="Arial"/>
          <w:sz w:val="28"/>
          <w:szCs w:val="28"/>
        </w:rPr>
      </w:pPr>
      <w:r w:rsidRPr="000200D8">
        <w:rPr>
          <w:rFonts w:ascii="Arial Narrow" w:hAnsi="Arial Narrow" w:cs="Arial"/>
          <w:sz w:val="28"/>
          <w:szCs w:val="28"/>
        </w:rPr>
        <w:t>La pensión de jubilación por aportes se encuentra reglada por el artículo 7º de la Ley 71 de 1988, la cual fue reglamentada por el Decreto 2709 de 1994, que en su artículo 1º, reza:</w:t>
      </w:r>
    </w:p>
    <w:p w:rsidR="00EC1D8F" w:rsidRPr="000200D8" w:rsidRDefault="00EC1D8F" w:rsidP="00EC1D8F">
      <w:pPr>
        <w:shd w:val="clear" w:color="auto" w:fill="FFFFFF"/>
        <w:spacing w:before="100" w:beforeAutospacing="1" w:after="100" w:afterAutospacing="1"/>
        <w:jc w:val="both"/>
        <w:rPr>
          <w:rFonts w:ascii="Arial Narrow" w:hAnsi="Arial Narrow" w:cs="Arial"/>
          <w:i/>
          <w:sz w:val="28"/>
          <w:szCs w:val="28"/>
          <w:lang w:val="es-ES"/>
        </w:rPr>
      </w:pPr>
      <w:r w:rsidRPr="000200D8">
        <w:rPr>
          <w:rFonts w:ascii="Arial Narrow" w:hAnsi="Arial Narrow" w:cs="Arial"/>
          <w:b/>
          <w:bCs/>
          <w:i/>
          <w:sz w:val="28"/>
          <w:szCs w:val="28"/>
          <w:lang w:val="es-ES"/>
        </w:rPr>
        <w:tab/>
      </w:r>
      <w:r w:rsidRPr="000200D8">
        <w:rPr>
          <w:rFonts w:ascii="Arial Narrow" w:hAnsi="Arial Narrow" w:cs="Arial"/>
          <w:b/>
          <w:bCs/>
          <w:i/>
          <w:szCs w:val="24"/>
          <w:lang w:val="es-ES"/>
        </w:rPr>
        <w:t>“</w:t>
      </w:r>
      <w:r w:rsidRPr="000200D8">
        <w:rPr>
          <w:rFonts w:ascii="Arial Narrow" w:hAnsi="Arial Narrow" w:cs="Arial"/>
          <w:b/>
          <w:bCs/>
          <w:i/>
          <w:sz w:val="28"/>
          <w:szCs w:val="28"/>
          <w:lang w:val="es-ES"/>
        </w:rPr>
        <w:t>Artículo 1°. </w:t>
      </w:r>
      <w:r w:rsidRPr="000200D8">
        <w:rPr>
          <w:rFonts w:ascii="Arial Narrow" w:hAnsi="Arial Narrow" w:cs="Arial"/>
          <w:i/>
          <w:sz w:val="28"/>
          <w:szCs w:val="28"/>
          <w:lang w:val="es-ES"/>
        </w:rPr>
        <w:t>Pensión de jubilación por aportes. La pensión a que se refiere el artículo 7º de la Ley 71 de 1988, se denomina pensión de jubilación por aportes.</w:t>
      </w:r>
    </w:p>
    <w:p w:rsidR="000200D8" w:rsidRDefault="00EC1D8F" w:rsidP="000200D8">
      <w:pPr>
        <w:shd w:val="clear" w:color="auto" w:fill="FFFFFF"/>
        <w:spacing w:before="100" w:beforeAutospacing="1" w:after="100" w:afterAutospacing="1"/>
        <w:jc w:val="both"/>
        <w:rPr>
          <w:rFonts w:ascii="Arial Narrow" w:hAnsi="Arial Narrow" w:cs="Arial"/>
          <w:i/>
          <w:szCs w:val="24"/>
          <w:lang w:val="es-ES"/>
        </w:rPr>
      </w:pPr>
      <w:r w:rsidRPr="000200D8">
        <w:rPr>
          <w:rFonts w:ascii="Arial Narrow" w:hAnsi="Arial Narrow" w:cs="Arial"/>
          <w:i/>
          <w:sz w:val="28"/>
          <w:szCs w:val="28"/>
          <w:lang w:val="es-ES"/>
        </w:rPr>
        <w:tab/>
        <w:t xml:space="preserve">Tendrán derecho a la pensión de jubilación por aportes quienes al cumplir 60 años o más de </w:t>
      </w:r>
      <w:r w:rsidR="000200D8">
        <w:rPr>
          <w:rFonts w:ascii="Arial Narrow" w:hAnsi="Arial Narrow" w:cs="Arial"/>
          <w:i/>
          <w:sz w:val="28"/>
          <w:szCs w:val="28"/>
          <w:lang w:val="es-ES"/>
        </w:rPr>
        <w:t xml:space="preserve">60 </w:t>
      </w:r>
      <w:r w:rsidRPr="000200D8">
        <w:rPr>
          <w:rFonts w:ascii="Arial Narrow" w:hAnsi="Arial Narrow" w:cs="Arial"/>
          <w:i/>
          <w:sz w:val="28"/>
          <w:szCs w:val="28"/>
          <w:lang w:val="es-ES"/>
        </w:rPr>
        <w:t>edad si es varón, o 55 años o más si se es mujer, acrediten en cualquier tiempo, 20 años o más de cotizaciones o aportes continuos o discontinuos en el Instituto de Seguros Sociales y en una o varias de las entidades de previsión social del sector público”.</w:t>
      </w:r>
    </w:p>
    <w:p w:rsidR="000200D8" w:rsidRPr="004C58D7" w:rsidRDefault="000200D8" w:rsidP="004C58D7">
      <w:pPr>
        <w:pStyle w:val="Sinespaciado"/>
      </w:pPr>
    </w:p>
    <w:p w:rsidR="00CC7C15" w:rsidRDefault="000200D8" w:rsidP="00CC7C15">
      <w:pPr>
        <w:pStyle w:val="Textoindependiente"/>
        <w:spacing w:line="360" w:lineRule="auto"/>
        <w:ind w:firstLine="858"/>
        <w:jc w:val="both"/>
        <w:rPr>
          <w:rFonts w:ascii="Arial Narrow" w:hAnsi="Arial Narrow" w:cs="Arial"/>
          <w:spacing w:val="-3"/>
          <w:sz w:val="28"/>
          <w:szCs w:val="28"/>
        </w:rPr>
      </w:pPr>
      <w:r>
        <w:rPr>
          <w:rFonts w:ascii="Arial Narrow" w:hAnsi="Arial Narrow" w:cs="Arial Narrow"/>
          <w:sz w:val="28"/>
          <w:szCs w:val="28"/>
          <w:lang w:eastAsia="en-US"/>
        </w:rPr>
        <w:t>En el caso puntual, no</w:t>
      </w:r>
      <w:r w:rsidR="00CC7C15">
        <w:rPr>
          <w:rFonts w:ascii="Arial Narrow" w:hAnsi="Arial Narrow" w:cs="Arial Narrow"/>
          <w:sz w:val="28"/>
          <w:szCs w:val="28"/>
          <w:lang w:eastAsia="en-US"/>
        </w:rPr>
        <w:t xml:space="preserve"> se discute que el demandante es beneficiario del régimen de transición, por cuanto </w:t>
      </w:r>
      <w:r w:rsidR="00D02FD4">
        <w:rPr>
          <w:rFonts w:ascii="Arial Narrow" w:hAnsi="Arial Narrow" w:cs="Arial Narrow"/>
          <w:sz w:val="28"/>
          <w:szCs w:val="28"/>
          <w:lang w:eastAsia="en-US"/>
        </w:rPr>
        <w:t xml:space="preserve">a la entronización del </w:t>
      </w:r>
      <w:r w:rsidR="00CC7C15">
        <w:rPr>
          <w:rFonts w:ascii="Arial Narrow" w:hAnsi="Arial Narrow" w:cs="Arial Narrow"/>
          <w:sz w:val="28"/>
          <w:szCs w:val="28"/>
          <w:lang w:eastAsia="en-US"/>
        </w:rPr>
        <w:t>sistema general de pensiones</w:t>
      </w:r>
      <w:r w:rsidR="009A7994">
        <w:rPr>
          <w:rFonts w:ascii="Arial Narrow" w:hAnsi="Arial Narrow" w:cs="Arial Narrow"/>
          <w:sz w:val="28"/>
          <w:szCs w:val="28"/>
          <w:lang w:eastAsia="en-US"/>
        </w:rPr>
        <w:t xml:space="preserve"> -1º de abril de 1994-</w:t>
      </w:r>
      <w:r w:rsidR="00CC7C15">
        <w:rPr>
          <w:rFonts w:ascii="Arial Narrow" w:hAnsi="Arial Narrow" w:cs="Arial Narrow"/>
          <w:sz w:val="28"/>
          <w:szCs w:val="28"/>
          <w:lang w:eastAsia="en-US"/>
        </w:rPr>
        <w:t xml:space="preserve"> </w:t>
      </w:r>
      <w:r w:rsidR="00D02FD4">
        <w:rPr>
          <w:rFonts w:ascii="Arial Narrow" w:hAnsi="Arial Narrow" w:cs="Arial Narrow"/>
          <w:sz w:val="28"/>
          <w:szCs w:val="28"/>
          <w:lang w:eastAsia="en-US"/>
        </w:rPr>
        <w:t>contaba con 40</w:t>
      </w:r>
      <w:r w:rsidR="00CC7C15">
        <w:rPr>
          <w:rFonts w:ascii="Arial Narrow" w:hAnsi="Arial Narrow" w:cs="Arial Narrow"/>
          <w:sz w:val="28"/>
          <w:szCs w:val="28"/>
          <w:lang w:eastAsia="en-US"/>
        </w:rPr>
        <w:t xml:space="preserve"> años de edad, como quiera </w:t>
      </w:r>
      <w:r w:rsidR="00D02FD4">
        <w:rPr>
          <w:rFonts w:ascii="Arial Narrow" w:hAnsi="Arial Narrow" w:cs="Arial Narrow"/>
          <w:sz w:val="28"/>
          <w:szCs w:val="28"/>
          <w:lang w:eastAsia="en-US"/>
        </w:rPr>
        <w:t xml:space="preserve">que su natalicio se produjo el 9 de octubre de 1953 (ver fl.14). </w:t>
      </w:r>
      <w:r w:rsidR="00CC7C15">
        <w:rPr>
          <w:rFonts w:ascii="Arial Narrow" w:hAnsi="Arial Narrow" w:cs="Arial Narrow"/>
          <w:sz w:val="28"/>
          <w:szCs w:val="28"/>
          <w:lang w:eastAsia="en-US"/>
        </w:rPr>
        <w:t xml:space="preserve">Además, </w:t>
      </w:r>
      <w:r w:rsidR="009A7994">
        <w:rPr>
          <w:rFonts w:ascii="Arial Narrow" w:hAnsi="Arial Narrow" w:cs="Arial Narrow"/>
          <w:sz w:val="28"/>
          <w:szCs w:val="28"/>
          <w:lang w:eastAsia="en-US"/>
        </w:rPr>
        <w:t xml:space="preserve">porque </w:t>
      </w:r>
      <w:r w:rsidR="00CC7C15">
        <w:rPr>
          <w:rFonts w:ascii="Arial Narrow" w:hAnsi="Arial Narrow" w:cs="Arial Narrow"/>
          <w:sz w:val="28"/>
          <w:szCs w:val="28"/>
          <w:lang w:eastAsia="en-US"/>
        </w:rPr>
        <w:t xml:space="preserve">a la entrada en vigencia del Acto Legislativo 01 de 2005, contaba con </w:t>
      </w:r>
      <w:r w:rsidR="00BB325A">
        <w:rPr>
          <w:rFonts w:ascii="Arial Narrow" w:hAnsi="Arial Narrow" w:cs="Arial Narrow"/>
          <w:sz w:val="28"/>
          <w:szCs w:val="28"/>
          <w:lang w:eastAsia="en-US"/>
        </w:rPr>
        <w:t xml:space="preserve">más </w:t>
      </w:r>
      <w:r w:rsidR="00BB325A" w:rsidRPr="009A7994">
        <w:rPr>
          <w:rFonts w:ascii="Arial Narrow" w:hAnsi="Arial Narrow" w:cs="Arial Narrow"/>
          <w:sz w:val="28"/>
          <w:szCs w:val="28"/>
          <w:lang w:eastAsia="en-US"/>
        </w:rPr>
        <w:t xml:space="preserve">de 750 </w:t>
      </w:r>
      <w:r w:rsidR="00CC7C15">
        <w:rPr>
          <w:rFonts w:ascii="Arial Narrow" w:hAnsi="Arial Narrow" w:cs="Arial Narrow"/>
          <w:sz w:val="28"/>
          <w:szCs w:val="28"/>
          <w:lang w:eastAsia="en-US"/>
        </w:rPr>
        <w:t>semanas</w:t>
      </w:r>
      <w:r w:rsidR="00BB325A">
        <w:rPr>
          <w:rFonts w:ascii="Arial Narrow" w:hAnsi="Arial Narrow" w:cs="Arial Narrow"/>
          <w:sz w:val="28"/>
          <w:szCs w:val="28"/>
          <w:lang w:eastAsia="en-US"/>
        </w:rPr>
        <w:t xml:space="preserve"> de aportes, tal cual se</w:t>
      </w:r>
      <w:r w:rsidR="00CC7C15">
        <w:rPr>
          <w:rFonts w:ascii="Arial Narrow" w:hAnsi="Arial Narrow" w:cs="Arial Narrow"/>
          <w:sz w:val="28"/>
          <w:szCs w:val="28"/>
          <w:lang w:eastAsia="en-US"/>
        </w:rPr>
        <w:t xml:space="preserve"> colige del reporte de semanas cotizadas </w:t>
      </w:r>
      <w:r w:rsidR="00D02FD4">
        <w:rPr>
          <w:rFonts w:ascii="Arial Narrow" w:hAnsi="Arial Narrow" w:cs="Arial Narrow"/>
          <w:sz w:val="28"/>
          <w:szCs w:val="28"/>
          <w:lang w:eastAsia="en-US"/>
        </w:rPr>
        <w:t xml:space="preserve">allegado por la entidad obrante a folio 71, y </w:t>
      </w:r>
      <w:r w:rsidR="00CC7C15">
        <w:rPr>
          <w:rFonts w:ascii="Arial Narrow" w:hAnsi="Arial Narrow" w:cs="Arial Narrow"/>
          <w:sz w:val="28"/>
          <w:szCs w:val="28"/>
          <w:lang w:eastAsia="en-US"/>
        </w:rPr>
        <w:t xml:space="preserve">de los </w:t>
      </w:r>
      <w:r w:rsidR="00CC7C15">
        <w:rPr>
          <w:rFonts w:ascii="Arial Narrow" w:hAnsi="Arial Narrow" w:cs="Arial"/>
          <w:spacing w:val="-3"/>
          <w:sz w:val="28"/>
          <w:szCs w:val="28"/>
        </w:rPr>
        <w:t xml:space="preserve">Certificados de información laboral, salario base e ingresos mes a mes, contenidos en los formatos No. 1, 2 y 3, respectivamente, expedidos por </w:t>
      </w:r>
      <w:r w:rsidR="00D02FD4">
        <w:rPr>
          <w:rFonts w:ascii="Arial Narrow" w:hAnsi="Arial Narrow" w:cs="Arial"/>
          <w:spacing w:val="-3"/>
          <w:sz w:val="28"/>
          <w:szCs w:val="28"/>
        </w:rPr>
        <w:t>el Patrimonio Autónomo de Remanentes de Telecom,</w:t>
      </w:r>
      <w:r w:rsidR="009A7994">
        <w:rPr>
          <w:rFonts w:ascii="Arial Narrow" w:hAnsi="Arial Narrow" w:cs="Arial"/>
          <w:spacing w:val="-3"/>
          <w:sz w:val="28"/>
          <w:szCs w:val="28"/>
        </w:rPr>
        <w:t xml:space="preserve"> visible a folios 21 y ss.</w:t>
      </w:r>
    </w:p>
    <w:p w:rsidR="009A7994" w:rsidRPr="004C58D7" w:rsidRDefault="009A7994" w:rsidP="004C58D7">
      <w:pPr>
        <w:pStyle w:val="Sinespaciado"/>
      </w:pPr>
    </w:p>
    <w:p w:rsidR="00BB325A" w:rsidRDefault="00BB325A" w:rsidP="00BB325A">
      <w:pPr>
        <w:pStyle w:val="Textoindependiente"/>
        <w:spacing w:line="360" w:lineRule="auto"/>
        <w:ind w:firstLine="708"/>
        <w:jc w:val="both"/>
        <w:rPr>
          <w:rFonts w:ascii="Arial Narrow" w:hAnsi="Arial Narrow" w:cs="Arial Narrow"/>
          <w:sz w:val="28"/>
          <w:szCs w:val="28"/>
          <w:lang w:eastAsia="en-US"/>
        </w:rPr>
      </w:pPr>
      <w:r>
        <w:rPr>
          <w:rFonts w:ascii="Arial Narrow" w:hAnsi="Arial Narrow" w:cs="Arial Narrow"/>
          <w:sz w:val="28"/>
          <w:szCs w:val="28"/>
          <w:lang w:eastAsia="en-US"/>
        </w:rPr>
        <w:t xml:space="preserve">Así las cosas, cumple a la Sala determinar si el actor sufragó la densidad de semanas exigidas en la Ley 71 de 1988, para hacerse acreedor de la pensión de jubilación por aportes. </w:t>
      </w:r>
    </w:p>
    <w:p w:rsidR="00BB325A" w:rsidRPr="004C58D7" w:rsidRDefault="00BB325A" w:rsidP="004C58D7">
      <w:pPr>
        <w:pStyle w:val="Sinespaciado"/>
      </w:pPr>
    </w:p>
    <w:p w:rsidR="00BB325A" w:rsidRDefault="00BB325A" w:rsidP="00C4470F">
      <w:pPr>
        <w:spacing w:line="360" w:lineRule="auto"/>
        <w:ind w:right="51" w:firstLine="708"/>
        <w:jc w:val="both"/>
        <w:rPr>
          <w:rFonts w:ascii="Arial Narrow" w:hAnsi="Arial Narrow" w:cs="Arial"/>
          <w:spacing w:val="-3"/>
          <w:sz w:val="28"/>
          <w:szCs w:val="28"/>
        </w:rPr>
      </w:pPr>
      <w:r>
        <w:rPr>
          <w:rFonts w:ascii="Arial Narrow" w:hAnsi="Arial Narrow" w:cs="Arial"/>
          <w:spacing w:val="-3"/>
          <w:sz w:val="28"/>
          <w:szCs w:val="28"/>
        </w:rPr>
        <w:t xml:space="preserve">Con tal propósito, atendiendo la documental antes referida, se tiene que laboró: (i) en el sector público </w:t>
      </w:r>
      <w:r w:rsidR="00F548AB">
        <w:rPr>
          <w:rFonts w:ascii="Arial Narrow" w:hAnsi="Arial Narrow" w:cs="Arial"/>
          <w:spacing w:val="-3"/>
          <w:sz w:val="28"/>
          <w:szCs w:val="28"/>
        </w:rPr>
        <w:t xml:space="preserve">976 semanas, de las cuales 963.13 fueron cotizadas a la Caja de </w:t>
      </w:r>
      <w:r w:rsidR="00F548AB">
        <w:rPr>
          <w:rFonts w:ascii="Arial Narrow" w:hAnsi="Arial Narrow" w:cs="Arial"/>
          <w:spacing w:val="-3"/>
          <w:sz w:val="28"/>
          <w:szCs w:val="28"/>
        </w:rPr>
        <w:lastRenderedPageBreak/>
        <w:t xml:space="preserve">Previsión de Comunicaciones -Caprecom- </w:t>
      </w:r>
      <w:r>
        <w:rPr>
          <w:rFonts w:ascii="Arial Narrow" w:hAnsi="Arial Narrow" w:cs="Arial"/>
          <w:spacing w:val="-3"/>
          <w:sz w:val="28"/>
          <w:szCs w:val="28"/>
        </w:rPr>
        <w:t xml:space="preserve">y, </w:t>
      </w:r>
      <w:r w:rsidR="00F548AB">
        <w:rPr>
          <w:rFonts w:ascii="Arial Narrow" w:hAnsi="Arial Narrow" w:cs="Arial"/>
          <w:spacing w:val="-3"/>
          <w:sz w:val="28"/>
          <w:szCs w:val="28"/>
        </w:rPr>
        <w:t>12.87 semanas</w:t>
      </w:r>
      <w:r>
        <w:rPr>
          <w:rFonts w:ascii="Arial Narrow" w:hAnsi="Arial Narrow" w:cs="Arial"/>
          <w:spacing w:val="-3"/>
          <w:sz w:val="28"/>
          <w:szCs w:val="28"/>
        </w:rPr>
        <w:t xml:space="preserve"> al Instituto de Seguros Sociales hoy en liquidación, (</w:t>
      </w:r>
      <w:r w:rsidR="00F548AB">
        <w:rPr>
          <w:rFonts w:ascii="Arial Narrow" w:hAnsi="Arial Narrow" w:cs="Arial"/>
          <w:spacing w:val="-3"/>
          <w:sz w:val="28"/>
          <w:szCs w:val="28"/>
        </w:rPr>
        <w:t xml:space="preserve">ii) en el sector privado </w:t>
      </w:r>
      <w:r w:rsidR="00C4470F">
        <w:rPr>
          <w:rFonts w:ascii="Arial Narrow" w:hAnsi="Arial Narrow" w:cs="Arial"/>
          <w:spacing w:val="-3"/>
          <w:sz w:val="28"/>
          <w:szCs w:val="28"/>
        </w:rPr>
        <w:t xml:space="preserve">cotizó </w:t>
      </w:r>
      <w:r w:rsidR="00F548AB">
        <w:rPr>
          <w:rFonts w:ascii="Arial Narrow" w:hAnsi="Arial Narrow" w:cs="Arial"/>
          <w:spacing w:val="-3"/>
          <w:sz w:val="28"/>
          <w:szCs w:val="28"/>
        </w:rPr>
        <w:t xml:space="preserve">68.14 semanas. Al computarse ambos tiempos arrojan </w:t>
      </w:r>
      <w:r>
        <w:rPr>
          <w:rFonts w:ascii="Arial Narrow" w:hAnsi="Arial Narrow" w:cs="Arial"/>
          <w:spacing w:val="-3"/>
          <w:sz w:val="28"/>
          <w:szCs w:val="28"/>
        </w:rPr>
        <w:t>un total de 1.</w:t>
      </w:r>
      <w:r w:rsidR="00C4470F">
        <w:rPr>
          <w:rFonts w:ascii="Arial Narrow" w:hAnsi="Arial Narrow" w:cs="Arial"/>
          <w:spacing w:val="-3"/>
          <w:sz w:val="28"/>
          <w:szCs w:val="28"/>
        </w:rPr>
        <w:t>044.29 semanas, es decir,</w:t>
      </w:r>
      <w:r>
        <w:rPr>
          <w:rFonts w:ascii="Arial Narrow" w:hAnsi="Arial Narrow" w:cs="Arial"/>
          <w:spacing w:val="-3"/>
          <w:sz w:val="28"/>
          <w:szCs w:val="28"/>
        </w:rPr>
        <w:t xml:space="preserve"> más de los 20 años exigidos por el artículo 1º del Decreto 2709 de 1994 que reglamentó el 7º de la Ley 71 de 1988. </w:t>
      </w:r>
    </w:p>
    <w:p w:rsidR="00BB325A" w:rsidRDefault="00BB325A" w:rsidP="00C4470F">
      <w:pPr>
        <w:pStyle w:val="Sinespaciado"/>
        <w:rPr>
          <w:lang w:eastAsia="en-US"/>
        </w:rPr>
      </w:pPr>
    </w:p>
    <w:p w:rsidR="00C4470F" w:rsidRDefault="00C4470F" w:rsidP="00C4470F">
      <w:pPr>
        <w:spacing w:line="360" w:lineRule="auto"/>
        <w:ind w:right="51" w:firstLine="708"/>
        <w:jc w:val="both"/>
        <w:rPr>
          <w:rFonts w:ascii="Arial Narrow" w:hAnsi="Arial Narrow"/>
          <w:sz w:val="28"/>
          <w:szCs w:val="28"/>
        </w:rPr>
      </w:pPr>
      <w:r w:rsidRPr="00957F27">
        <w:rPr>
          <w:rFonts w:ascii="Arial Narrow" w:hAnsi="Arial Narrow"/>
          <w:sz w:val="28"/>
          <w:szCs w:val="28"/>
        </w:rPr>
        <w:t xml:space="preserve">Ahora, como quiera que </w:t>
      </w:r>
      <w:r>
        <w:rPr>
          <w:rFonts w:ascii="Arial Narrow" w:hAnsi="Arial Narrow"/>
          <w:sz w:val="28"/>
          <w:szCs w:val="28"/>
        </w:rPr>
        <w:t xml:space="preserve">el </w:t>
      </w:r>
      <w:r w:rsidRPr="00957F27">
        <w:rPr>
          <w:rFonts w:ascii="Arial Narrow" w:hAnsi="Arial Narrow"/>
          <w:sz w:val="28"/>
          <w:szCs w:val="28"/>
        </w:rPr>
        <w:t xml:space="preserve">demandante cumplió los </w:t>
      </w:r>
      <w:r>
        <w:rPr>
          <w:rFonts w:ascii="Arial Narrow" w:hAnsi="Arial Narrow"/>
          <w:sz w:val="28"/>
          <w:szCs w:val="28"/>
        </w:rPr>
        <w:t>60 años de edad el 9 de octubre de 2013</w:t>
      </w:r>
      <w:r>
        <w:rPr>
          <w:rFonts w:ascii="Arial Narrow" w:hAnsi="Arial Narrow"/>
          <w:sz w:val="28"/>
          <w:szCs w:val="28"/>
        </w:rPr>
        <w:t xml:space="preserve">, es viable el reconocimiento </w:t>
      </w:r>
      <w:r>
        <w:rPr>
          <w:rFonts w:ascii="Arial Narrow" w:hAnsi="Arial Narrow"/>
          <w:sz w:val="28"/>
          <w:szCs w:val="28"/>
        </w:rPr>
        <w:t xml:space="preserve">de la pensión que reclama. </w:t>
      </w:r>
    </w:p>
    <w:p w:rsidR="00EC1D8F" w:rsidRPr="0065756A" w:rsidRDefault="00EC1D8F" w:rsidP="0065756A">
      <w:pPr>
        <w:pStyle w:val="Sinespaciado"/>
      </w:pPr>
    </w:p>
    <w:p w:rsidR="0065756A" w:rsidRDefault="00EC1D8F" w:rsidP="0065756A">
      <w:pPr>
        <w:pStyle w:val="Textoindependiente32"/>
        <w:ind w:right="51" w:firstLine="851"/>
        <w:rPr>
          <w:rFonts w:ascii="Arial Narrow" w:hAnsi="Arial Narrow"/>
          <w:sz w:val="28"/>
          <w:szCs w:val="28"/>
          <w:lang w:val="es-ES"/>
        </w:rPr>
      </w:pPr>
      <w:r>
        <w:rPr>
          <w:rFonts w:ascii="Arial Narrow" w:hAnsi="Arial Narrow" w:cs="Tahoma"/>
          <w:sz w:val="28"/>
          <w:szCs w:val="28"/>
        </w:rPr>
        <w:t xml:space="preserve">Tal prestación debe reconocerse desde el </w:t>
      </w:r>
      <w:r w:rsidR="00753AE0">
        <w:rPr>
          <w:rFonts w:ascii="Arial Narrow" w:hAnsi="Arial Narrow" w:cs="Tahoma"/>
          <w:sz w:val="28"/>
          <w:szCs w:val="28"/>
        </w:rPr>
        <w:t>10 de octubre de 2013, atendiendo la fecha de cumplimiento de la edad mínima, amén de que la solicitud pensional fue radicada ante la entidad de seguridad social el 21 de enero de 2014</w:t>
      </w:r>
      <w:r w:rsidR="00A9108E">
        <w:rPr>
          <w:rFonts w:ascii="Arial Narrow" w:hAnsi="Arial Narrow" w:cs="Tahoma"/>
          <w:sz w:val="28"/>
          <w:szCs w:val="28"/>
        </w:rPr>
        <w:t xml:space="preserve">, conforme se </w:t>
      </w:r>
      <w:r w:rsidR="00A9108E" w:rsidRPr="0065756A">
        <w:rPr>
          <w:rFonts w:ascii="Arial Narrow" w:hAnsi="Arial Narrow" w:cs="Tahoma"/>
          <w:sz w:val="28"/>
          <w:szCs w:val="28"/>
        </w:rPr>
        <w:t xml:space="preserve">avizora en </w:t>
      </w:r>
      <w:r w:rsidR="00753AE0" w:rsidRPr="0065756A">
        <w:rPr>
          <w:rFonts w:ascii="Arial Narrow" w:hAnsi="Arial Narrow" w:cs="Tahoma"/>
          <w:sz w:val="28"/>
          <w:szCs w:val="28"/>
        </w:rPr>
        <w:t xml:space="preserve">la </w:t>
      </w:r>
      <w:r w:rsidR="00A9108E" w:rsidRPr="0065756A">
        <w:rPr>
          <w:rFonts w:ascii="Arial Narrow" w:hAnsi="Arial Narrow" w:cs="Tahoma"/>
          <w:sz w:val="28"/>
          <w:szCs w:val="28"/>
        </w:rPr>
        <w:t>Resolución GNR 213406 de 2014 que negó el derecho.</w:t>
      </w:r>
      <w:r w:rsidR="00F95C29" w:rsidRPr="0065756A">
        <w:rPr>
          <w:rFonts w:ascii="Arial Narrow" w:hAnsi="Arial Narrow" w:cs="Tahoma"/>
          <w:sz w:val="28"/>
          <w:szCs w:val="28"/>
        </w:rPr>
        <w:t xml:space="preserve"> Se reconocerán 13 mesadas, </w:t>
      </w:r>
      <w:r w:rsidR="0065756A" w:rsidRPr="0065756A">
        <w:rPr>
          <w:rFonts w:ascii="Arial Narrow" w:hAnsi="Arial Narrow" w:cs="Tahoma"/>
          <w:sz w:val="28"/>
          <w:szCs w:val="28"/>
        </w:rPr>
        <w:t xml:space="preserve">de conformidad con </w:t>
      </w:r>
      <w:r w:rsidR="0065756A" w:rsidRPr="00C16021">
        <w:rPr>
          <w:rFonts w:ascii="Arial Narrow" w:hAnsi="Arial Narrow"/>
          <w:sz w:val="28"/>
          <w:szCs w:val="28"/>
        </w:rPr>
        <w:t xml:space="preserve">el Acto Legislativo 001 de 2005, </w:t>
      </w:r>
      <w:r w:rsidR="0065756A">
        <w:rPr>
          <w:rFonts w:ascii="Arial Narrow" w:hAnsi="Arial Narrow"/>
          <w:sz w:val="28"/>
          <w:szCs w:val="28"/>
        </w:rPr>
        <w:t xml:space="preserve">toda vez que </w:t>
      </w:r>
      <w:r w:rsidR="0065756A" w:rsidRPr="00C16021">
        <w:rPr>
          <w:rFonts w:ascii="Arial Narrow" w:hAnsi="Arial Narrow"/>
          <w:sz w:val="28"/>
          <w:szCs w:val="28"/>
          <w:lang w:val="es-ES"/>
        </w:rPr>
        <w:t xml:space="preserve">el derecho </w:t>
      </w:r>
      <w:r w:rsidR="0065756A">
        <w:rPr>
          <w:rFonts w:ascii="Arial Narrow" w:hAnsi="Arial Narrow"/>
          <w:sz w:val="28"/>
          <w:szCs w:val="28"/>
          <w:lang w:val="es-ES"/>
        </w:rPr>
        <w:t xml:space="preserve">pensional </w:t>
      </w:r>
      <w:r w:rsidR="0065756A">
        <w:rPr>
          <w:rFonts w:ascii="Arial Narrow" w:hAnsi="Arial Narrow"/>
          <w:sz w:val="28"/>
          <w:szCs w:val="28"/>
          <w:lang w:val="es-ES"/>
        </w:rPr>
        <w:t xml:space="preserve">se causó </w:t>
      </w:r>
      <w:r w:rsidR="0065756A" w:rsidRPr="00C16021">
        <w:rPr>
          <w:rFonts w:ascii="Arial Narrow" w:hAnsi="Arial Narrow"/>
          <w:sz w:val="28"/>
          <w:szCs w:val="28"/>
          <w:lang w:val="es-ES"/>
        </w:rPr>
        <w:t xml:space="preserve">con </w:t>
      </w:r>
      <w:r w:rsidR="0065756A">
        <w:rPr>
          <w:rFonts w:ascii="Arial Narrow" w:hAnsi="Arial Narrow"/>
          <w:sz w:val="28"/>
          <w:szCs w:val="28"/>
          <w:lang w:val="es-ES"/>
        </w:rPr>
        <w:t>posterioridad al</w:t>
      </w:r>
      <w:r w:rsidR="0065756A">
        <w:rPr>
          <w:rFonts w:ascii="Arial Narrow" w:hAnsi="Arial Narrow"/>
          <w:sz w:val="28"/>
          <w:szCs w:val="28"/>
          <w:lang w:val="es-ES"/>
        </w:rPr>
        <w:t xml:space="preserve"> 31 de julio de 2011</w:t>
      </w:r>
      <w:r w:rsidR="0065756A">
        <w:rPr>
          <w:rFonts w:ascii="Arial Narrow" w:hAnsi="Arial Narrow"/>
          <w:sz w:val="28"/>
          <w:szCs w:val="28"/>
          <w:lang w:val="es-ES"/>
        </w:rPr>
        <w:t>, tal como lo concluyó la a-quo.</w:t>
      </w:r>
      <w:r w:rsidR="0065756A">
        <w:rPr>
          <w:rFonts w:ascii="Arial Narrow" w:hAnsi="Arial Narrow"/>
          <w:sz w:val="28"/>
          <w:szCs w:val="28"/>
          <w:lang w:val="es-ES"/>
        </w:rPr>
        <w:t xml:space="preserve"> </w:t>
      </w:r>
    </w:p>
    <w:p w:rsidR="00A9108E" w:rsidRDefault="00A9108E" w:rsidP="00A9108E">
      <w:pPr>
        <w:pStyle w:val="Sinespaciado"/>
      </w:pPr>
    </w:p>
    <w:p w:rsidR="00EC1D8F" w:rsidRDefault="00EC1D8F" w:rsidP="00EC1D8F">
      <w:pPr>
        <w:pStyle w:val="Textoindependiente32"/>
        <w:ind w:right="51" w:firstLine="851"/>
        <w:rPr>
          <w:rFonts w:ascii="Arial Narrow" w:hAnsi="Arial Narrow" w:cs="Tahoma"/>
          <w:sz w:val="28"/>
          <w:szCs w:val="28"/>
        </w:rPr>
      </w:pPr>
      <w:r>
        <w:rPr>
          <w:rFonts w:ascii="Arial Narrow" w:hAnsi="Arial Narrow" w:cs="Tahoma"/>
          <w:sz w:val="28"/>
          <w:szCs w:val="28"/>
        </w:rPr>
        <w:t>El valor de la mesada pensional, deberá establecer</w:t>
      </w:r>
      <w:r w:rsidR="00A9108E">
        <w:rPr>
          <w:rFonts w:ascii="Arial Narrow" w:hAnsi="Arial Narrow" w:cs="Tahoma"/>
          <w:sz w:val="28"/>
          <w:szCs w:val="28"/>
        </w:rPr>
        <w:t>se</w:t>
      </w:r>
      <w:r>
        <w:rPr>
          <w:rFonts w:ascii="Arial Narrow" w:hAnsi="Arial Narrow" w:cs="Tahoma"/>
          <w:sz w:val="28"/>
          <w:szCs w:val="28"/>
        </w:rPr>
        <w:t xml:space="preserve"> con el IBL de los 10 últimos años, siguiendo las voces del artículo 21 de la Ley 100 de 1993, suma a la que se le aplicará una tasa de reemplazo del 75%.</w:t>
      </w:r>
    </w:p>
    <w:p w:rsidR="00EC1D8F" w:rsidRDefault="00EC1D8F" w:rsidP="00A9108E">
      <w:pPr>
        <w:pStyle w:val="Sinespaciado"/>
      </w:pPr>
    </w:p>
    <w:p w:rsidR="00F95C29" w:rsidRDefault="00EC1D8F" w:rsidP="000D4CB0">
      <w:pPr>
        <w:pStyle w:val="Textoindependiente32"/>
        <w:ind w:right="51" w:firstLine="851"/>
        <w:rPr>
          <w:rFonts w:ascii="Arial Narrow" w:hAnsi="Arial Narrow" w:cs="Tahoma"/>
          <w:sz w:val="28"/>
          <w:szCs w:val="28"/>
        </w:rPr>
      </w:pPr>
      <w:r>
        <w:rPr>
          <w:rFonts w:ascii="Arial Narrow" w:hAnsi="Arial Narrow" w:cs="Tahoma"/>
          <w:sz w:val="28"/>
          <w:szCs w:val="28"/>
        </w:rPr>
        <w:t>Se e</w:t>
      </w:r>
      <w:r w:rsidR="001A4556">
        <w:rPr>
          <w:rFonts w:ascii="Arial Narrow" w:hAnsi="Arial Narrow" w:cs="Tahoma"/>
          <w:sz w:val="28"/>
          <w:szCs w:val="28"/>
        </w:rPr>
        <w:t>stablece</w:t>
      </w:r>
      <w:r w:rsidR="0065756A">
        <w:rPr>
          <w:rFonts w:ascii="Arial Narrow" w:hAnsi="Arial Narrow" w:cs="Tahoma"/>
          <w:sz w:val="28"/>
          <w:szCs w:val="28"/>
        </w:rPr>
        <w:t xml:space="preserve"> entonces</w:t>
      </w:r>
      <w:r w:rsidR="001A4556">
        <w:rPr>
          <w:rFonts w:ascii="Arial Narrow" w:hAnsi="Arial Narrow" w:cs="Tahoma"/>
          <w:sz w:val="28"/>
          <w:szCs w:val="28"/>
        </w:rPr>
        <w:t xml:space="preserve"> el valor de la pensión</w:t>
      </w:r>
      <w:r>
        <w:rPr>
          <w:rFonts w:ascii="Arial Narrow" w:hAnsi="Arial Narrow" w:cs="Tahoma"/>
          <w:sz w:val="28"/>
          <w:szCs w:val="28"/>
        </w:rPr>
        <w:t xml:space="preserve"> </w:t>
      </w:r>
      <w:r w:rsidR="00F95C29">
        <w:rPr>
          <w:rFonts w:ascii="Arial Narrow" w:hAnsi="Arial Narrow" w:cs="Tahoma"/>
          <w:sz w:val="28"/>
          <w:szCs w:val="28"/>
        </w:rPr>
        <w:t xml:space="preserve">en </w:t>
      </w:r>
      <w:r w:rsidR="00136349">
        <w:rPr>
          <w:rFonts w:ascii="Arial Narrow" w:hAnsi="Arial Narrow" w:cs="Tahoma"/>
          <w:sz w:val="28"/>
          <w:szCs w:val="28"/>
        </w:rPr>
        <w:t>$</w:t>
      </w:r>
      <w:r w:rsidR="00BC24D5">
        <w:rPr>
          <w:rFonts w:ascii="Arial Narrow" w:hAnsi="Arial Narrow" w:cs="Tahoma"/>
          <w:sz w:val="28"/>
          <w:szCs w:val="28"/>
        </w:rPr>
        <w:t xml:space="preserve">1`293.780, </w:t>
      </w:r>
      <w:r w:rsidR="0065756A">
        <w:rPr>
          <w:rFonts w:ascii="Arial Narrow" w:hAnsi="Arial Narrow" w:cs="Tahoma"/>
          <w:sz w:val="28"/>
          <w:szCs w:val="28"/>
        </w:rPr>
        <w:t xml:space="preserve">tras obtener </w:t>
      </w:r>
      <w:r w:rsidR="00136349">
        <w:rPr>
          <w:rFonts w:ascii="Arial Narrow" w:hAnsi="Arial Narrow" w:cs="Tahoma"/>
          <w:sz w:val="28"/>
          <w:szCs w:val="28"/>
        </w:rPr>
        <w:t>u</w:t>
      </w:r>
      <w:r w:rsidR="00BC24D5">
        <w:rPr>
          <w:rFonts w:ascii="Arial Narrow" w:hAnsi="Arial Narrow" w:cs="Tahoma"/>
          <w:sz w:val="28"/>
          <w:szCs w:val="28"/>
        </w:rPr>
        <w:t>n IBL de $1`725.</w:t>
      </w:r>
      <w:r w:rsidR="001A4556">
        <w:rPr>
          <w:rFonts w:ascii="Arial Narrow" w:hAnsi="Arial Narrow" w:cs="Tahoma"/>
          <w:sz w:val="28"/>
          <w:szCs w:val="28"/>
        </w:rPr>
        <w:t xml:space="preserve">040 al </w:t>
      </w:r>
      <w:r w:rsidR="00F95C29">
        <w:rPr>
          <w:rFonts w:ascii="Arial Narrow" w:hAnsi="Arial Narrow" w:cs="Tahoma"/>
          <w:sz w:val="28"/>
          <w:szCs w:val="28"/>
        </w:rPr>
        <w:t xml:space="preserve">que </w:t>
      </w:r>
      <w:r w:rsidR="001A4556">
        <w:rPr>
          <w:rFonts w:ascii="Arial Narrow" w:hAnsi="Arial Narrow" w:cs="Tahoma"/>
          <w:sz w:val="28"/>
          <w:szCs w:val="28"/>
        </w:rPr>
        <w:t>se le aplicó el 75 %</w:t>
      </w:r>
      <w:r w:rsidR="00BC24D5">
        <w:rPr>
          <w:rFonts w:ascii="Arial Narrow" w:hAnsi="Arial Narrow" w:cs="Tahoma"/>
          <w:sz w:val="28"/>
          <w:szCs w:val="28"/>
        </w:rPr>
        <w:t xml:space="preserve">, </w:t>
      </w:r>
      <w:r w:rsidR="0065756A">
        <w:rPr>
          <w:rFonts w:ascii="Arial Narrow" w:hAnsi="Arial Narrow" w:cs="Tahoma"/>
          <w:sz w:val="28"/>
          <w:szCs w:val="28"/>
        </w:rPr>
        <w:t>de conformidad con</w:t>
      </w:r>
      <w:r w:rsidR="00BC24D5">
        <w:rPr>
          <w:rFonts w:ascii="Arial Narrow" w:hAnsi="Arial Narrow" w:cs="Tahoma"/>
          <w:sz w:val="28"/>
          <w:szCs w:val="28"/>
        </w:rPr>
        <w:t xml:space="preserve"> en el cuadro que se pone de presente a los asistentes y hará parte integrante del acta final que se suscriba con ocasi</w:t>
      </w:r>
      <w:r w:rsidR="00136349">
        <w:rPr>
          <w:rFonts w:ascii="Arial Narrow" w:hAnsi="Arial Narrow" w:cs="Tahoma"/>
          <w:sz w:val="28"/>
          <w:szCs w:val="28"/>
        </w:rPr>
        <w:t xml:space="preserve">ón de esta diligencia. Por ende, en </w:t>
      </w:r>
      <w:r w:rsidR="00136349">
        <w:rPr>
          <w:rFonts w:ascii="Arial Narrow" w:hAnsi="Arial Narrow" w:cs="Arial"/>
          <w:sz w:val="28"/>
          <w:szCs w:val="28"/>
          <w:lang w:val="es-ES"/>
        </w:rPr>
        <w:t xml:space="preserve">virtud del grado jurisdiccional de consulta que opera en favor de la entidad de seguridad social se modificará </w:t>
      </w:r>
      <w:r w:rsidR="000D4CB0">
        <w:rPr>
          <w:rFonts w:ascii="Arial Narrow" w:hAnsi="Arial Narrow" w:cs="Tahoma"/>
          <w:sz w:val="28"/>
          <w:szCs w:val="28"/>
        </w:rPr>
        <w:t xml:space="preserve">el ordinal 3º de la sentencia que dispuso </w:t>
      </w:r>
      <w:r w:rsidR="00136349">
        <w:rPr>
          <w:rFonts w:ascii="Arial Narrow" w:hAnsi="Arial Narrow" w:cs="Tahoma"/>
          <w:sz w:val="28"/>
          <w:szCs w:val="28"/>
        </w:rPr>
        <w:t xml:space="preserve">el valor de la mesada para el 2013 </w:t>
      </w:r>
      <w:r w:rsidR="001A4556">
        <w:rPr>
          <w:rFonts w:ascii="Arial Narrow" w:hAnsi="Arial Narrow" w:cs="Tahoma"/>
          <w:sz w:val="28"/>
          <w:szCs w:val="28"/>
        </w:rPr>
        <w:t xml:space="preserve">en cuantía de </w:t>
      </w:r>
      <w:r w:rsidR="000D4CB0">
        <w:rPr>
          <w:rFonts w:ascii="Arial Narrow" w:hAnsi="Arial Narrow" w:cs="Tahoma"/>
          <w:sz w:val="28"/>
          <w:szCs w:val="28"/>
        </w:rPr>
        <w:t>$1</w:t>
      </w:r>
      <w:r w:rsidR="001A4556">
        <w:rPr>
          <w:rFonts w:ascii="Arial Narrow" w:hAnsi="Arial Narrow" w:cs="Tahoma"/>
          <w:sz w:val="28"/>
          <w:szCs w:val="28"/>
        </w:rPr>
        <w:t>`462.177.</w:t>
      </w:r>
    </w:p>
    <w:p w:rsidR="00BC24D5" w:rsidRPr="000D4CB0" w:rsidRDefault="000D4CB0" w:rsidP="00F95C29">
      <w:pPr>
        <w:pStyle w:val="Sinespaciado"/>
      </w:pPr>
      <w:r>
        <w:t xml:space="preserve"> </w:t>
      </w:r>
    </w:p>
    <w:p w:rsidR="00F94FB7" w:rsidRDefault="00F94FB7" w:rsidP="00F94FB7">
      <w:pPr>
        <w:spacing w:line="360" w:lineRule="auto"/>
        <w:ind w:firstLine="851"/>
        <w:jc w:val="both"/>
        <w:rPr>
          <w:rFonts w:ascii="Arial Narrow" w:hAnsi="Arial Narrow" w:cs="Arial"/>
          <w:sz w:val="28"/>
          <w:szCs w:val="28"/>
          <w:lang w:val="es-ES"/>
        </w:rPr>
      </w:pPr>
      <w:r>
        <w:rPr>
          <w:rFonts w:ascii="Arial Narrow" w:hAnsi="Arial Narrow"/>
          <w:sz w:val="28"/>
          <w:szCs w:val="28"/>
          <w:lang w:val="es-CO"/>
        </w:rPr>
        <w:t xml:space="preserve">En vista de la modificación anterior </w:t>
      </w:r>
      <w:r>
        <w:rPr>
          <w:rFonts w:ascii="Arial Narrow" w:hAnsi="Arial Narrow"/>
          <w:sz w:val="28"/>
          <w:szCs w:val="28"/>
          <w:lang w:val="es-CO"/>
        </w:rPr>
        <w:t xml:space="preserve">habrá que reajustar el valor del retroactivo pensional, el </w:t>
      </w:r>
      <w:r w:rsidR="00F95C29">
        <w:rPr>
          <w:rFonts w:ascii="Arial Narrow" w:hAnsi="Arial Narrow"/>
          <w:sz w:val="28"/>
          <w:szCs w:val="28"/>
          <w:lang w:val="es-CO"/>
        </w:rPr>
        <w:t xml:space="preserve">cual </w:t>
      </w:r>
      <w:r>
        <w:rPr>
          <w:rFonts w:ascii="Arial Narrow" w:hAnsi="Arial Narrow"/>
          <w:sz w:val="28"/>
          <w:szCs w:val="28"/>
          <w:lang w:val="es-CO"/>
        </w:rPr>
        <w:t xml:space="preserve">quedará en la suma de $ </w:t>
      </w:r>
      <w:r w:rsidR="00F95C29">
        <w:rPr>
          <w:rFonts w:ascii="Arial Narrow" w:hAnsi="Arial Narrow"/>
          <w:sz w:val="28"/>
          <w:szCs w:val="28"/>
          <w:lang w:val="es-CO"/>
        </w:rPr>
        <w:t>49`871.565</w:t>
      </w:r>
      <w:r>
        <w:rPr>
          <w:rFonts w:ascii="Arial Narrow" w:hAnsi="Arial Narrow"/>
          <w:sz w:val="28"/>
          <w:szCs w:val="28"/>
          <w:lang w:val="es-CO"/>
        </w:rPr>
        <w:t xml:space="preserve"> por las mesadas causadas </w:t>
      </w:r>
      <w:r w:rsidR="00F95C29">
        <w:rPr>
          <w:rFonts w:ascii="Arial Narrow" w:hAnsi="Arial Narrow" w:cs="Arial"/>
          <w:sz w:val="28"/>
          <w:szCs w:val="28"/>
          <w:lang w:val="es-ES"/>
        </w:rPr>
        <w:t xml:space="preserve">entre </w:t>
      </w:r>
      <w:r>
        <w:rPr>
          <w:rFonts w:ascii="Arial Narrow" w:hAnsi="Arial Narrow" w:cs="Arial"/>
          <w:sz w:val="28"/>
          <w:szCs w:val="28"/>
          <w:lang w:val="es-ES"/>
        </w:rPr>
        <w:t xml:space="preserve">el </w:t>
      </w:r>
      <w:r>
        <w:rPr>
          <w:rFonts w:ascii="Arial Narrow" w:hAnsi="Arial Narrow" w:cs="Arial"/>
          <w:sz w:val="28"/>
          <w:szCs w:val="28"/>
          <w:lang w:val="es-ES"/>
        </w:rPr>
        <w:t xml:space="preserve">10 de octubre de 2013 y el 31 de julio de 2016, </w:t>
      </w:r>
      <w:r>
        <w:rPr>
          <w:rFonts w:ascii="Arial Narrow" w:hAnsi="Arial Narrow" w:cs="Arial"/>
          <w:sz w:val="28"/>
          <w:szCs w:val="28"/>
          <w:lang w:val="es-ES"/>
        </w:rPr>
        <w:t xml:space="preserve">es decir, incluyendo </w:t>
      </w:r>
      <w:r>
        <w:rPr>
          <w:rFonts w:ascii="Arial Narrow" w:hAnsi="Arial Narrow" w:cs="Arial"/>
          <w:sz w:val="28"/>
          <w:szCs w:val="28"/>
          <w:lang w:val="es-ES"/>
        </w:rPr>
        <w:t xml:space="preserve">las </w:t>
      </w:r>
      <w:r w:rsidR="00F95C29">
        <w:rPr>
          <w:rFonts w:ascii="Arial Narrow" w:hAnsi="Arial Narrow" w:cs="Arial"/>
          <w:sz w:val="28"/>
          <w:szCs w:val="28"/>
          <w:lang w:val="es-ES"/>
        </w:rPr>
        <w:t xml:space="preserve">mesadas </w:t>
      </w:r>
      <w:r>
        <w:rPr>
          <w:rFonts w:ascii="Arial Narrow" w:hAnsi="Arial Narrow" w:cs="Arial"/>
          <w:sz w:val="28"/>
          <w:szCs w:val="28"/>
          <w:lang w:val="es-ES"/>
        </w:rPr>
        <w:t>generadas</w:t>
      </w:r>
      <w:r w:rsidR="00F95C29">
        <w:rPr>
          <w:rFonts w:ascii="Arial Narrow" w:hAnsi="Arial Narrow" w:cs="Arial"/>
          <w:sz w:val="28"/>
          <w:szCs w:val="28"/>
          <w:lang w:val="es-ES"/>
        </w:rPr>
        <w:t xml:space="preserve"> hasta </w:t>
      </w:r>
      <w:r>
        <w:rPr>
          <w:rFonts w:ascii="Arial Narrow" w:hAnsi="Arial Narrow" w:cs="Arial"/>
          <w:sz w:val="28"/>
          <w:szCs w:val="28"/>
          <w:lang w:val="es-ES"/>
        </w:rPr>
        <w:t>la emisión de esta providencia, sin perjuicio de que se sig</w:t>
      </w:r>
      <w:r>
        <w:rPr>
          <w:rFonts w:ascii="Arial Narrow" w:hAnsi="Arial Narrow" w:cs="Arial"/>
          <w:sz w:val="28"/>
          <w:szCs w:val="28"/>
          <w:lang w:val="es-ES"/>
        </w:rPr>
        <w:t xml:space="preserve">an generando hasta su solución. </w:t>
      </w:r>
      <w:r>
        <w:rPr>
          <w:rFonts w:ascii="Arial Narrow" w:hAnsi="Arial Narrow" w:cs="Arial"/>
          <w:sz w:val="28"/>
          <w:szCs w:val="28"/>
          <w:lang w:val="es-ES"/>
        </w:rPr>
        <w:t xml:space="preserve">Se modificará </w:t>
      </w:r>
      <w:r w:rsidR="0065756A">
        <w:rPr>
          <w:rFonts w:ascii="Arial Narrow" w:hAnsi="Arial Narrow" w:cs="Arial"/>
          <w:sz w:val="28"/>
          <w:szCs w:val="28"/>
          <w:lang w:val="es-ES"/>
        </w:rPr>
        <w:t>el ordinal 5</w:t>
      </w:r>
      <w:r>
        <w:rPr>
          <w:rFonts w:ascii="Arial Narrow" w:hAnsi="Arial Narrow" w:cs="Arial"/>
          <w:sz w:val="28"/>
          <w:szCs w:val="28"/>
          <w:lang w:val="es-ES"/>
        </w:rPr>
        <w:t>º de la sentencia consultada.</w:t>
      </w:r>
    </w:p>
    <w:p w:rsidR="00EC1D8F" w:rsidRDefault="00EC1D8F" w:rsidP="00F95C29">
      <w:pPr>
        <w:pStyle w:val="Sinespaciado"/>
      </w:pPr>
    </w:p>
    <w:p w:rsidR="00F95C29" w:rsidRDefault="00F95C29" w:rsidP="00F95C29">
      <w:pPr>
        <w:pStyle w:val="Textoindependiente32"/>
        <w:ind w:right="51" w:firstLine="851"/>
        <w:rPr>
          <w:rFonts w:ascii="Arial Narrow" w:hAnsi="Arial Narrow" w:cs="Tahoma"/>
          <w:sz w:val="28"/>
          <w:szCs w:val="28"/>
        </w:rPr>
      </w:pPr>
      <w:r>
        <w:rPr>
          <w:rFonts w:ascii="Arial Narrow" w:hAnsi="Arial Narrow" w:cs="Tahoma"/>
          <w:sz w:val="28"/>
          <w:szCs w:val="28"/>
        </w:rPr>
        <w:t xml:space="preserve">Frente a las excepciones propuestas, dígase que las mismas deben declararse no probadas, amén que se verifica la existencia del derecho y no ha pasado el tiempo exigido en la legislación procesal laboral y de la seguridad social (art. 151), para que se extingan las mesadas </w:t>
      </w:r>
      <w:r>
        <w:rPr>
          <w:rFonts w:ascii="Arial Narrow" w:hAnsi="Arial Narrow" w:cs="Tahoma"/>
          <w:sz w:val="28"/>
          <w:szCs w:val="28"/>
        </w:rPr>
        <w:t>pensionales.</w:t>
      </w:r>
    </w:p>
    <w:p w:rsidR="00F95C29" w:rsidRPr="00AA6BC4" w:rsidRDefault="00F95C29" w:rsidP="00AA6BC4">
      <w:pPr>
        <w:pStyle w:val="Sinespaciado"/>
      </w:pPr>
    </w:p>
    <w:p w:rsidR="00741113" w:rsidRDefault="00EC1D8F" w:rsidP="00416539">
      <w:pPr>
        <w:spacing w:line="360" w:lineRule="auto"/>
        <w:ind w:firstLine="708"/>
        <w:jc w:val="both"/>
        <w:rPr>
          <w:rFonts w:ascii="Arial Narrow" w:hAnsi="Arial Narrow"/>
          <w:sz w:val="28"/>
          <w:szCs w:val="28"/>
        </w:rPr>
      </w:pPr>
      <w:r w:rsidRPr="00AA6BC4">
        <w:rPr>
          <w:rFonts w:ascii="Arial Narrow" w:hAnsi="Arial Narrow" w:cs="Tahoma"/>
          <w:sz w:val="28"/>
          <w:szCs w:val="28"/>
        </w:rPr>
        <w:t xml:space="preserve">Frente al tema de los réditos moratorios, </w:t>
      </w:r>
      <w:r w:rsidR="0068186D" w:rsidRPr="00AA6BC4">
        <w:rPr>
          <w:rFonts w:ascii="Arial Narrow" w:hAnsi="Arial Narrow" w:cs="Tahoma"/>
          <w:sz w:val="28"/>
          <w:szCs w:val="28"/>
        </w:rPr>
        <w:t xml:space="preserve">ha precisado el órgano de cierre de esta especialidad, </w:t>
      </w:r>
      <w:r w:rsidR="0068186D" w:rsidRPr="00AA6BC4">
        <w:rPr>
          <w:rFonts w:ascii="Arial Narrow" w:hAnsi="Arial Narrow"/>
          <w:sz w:val="28"/>
          <w:szCs w:val="28"/>
        </w:rPr>
        <w:t xml:space="preserve">que los mismos </w:t>
      </w:r>
      <w:r w:rsidR="00416539">
        <w:rPr>
          <w:rFonts w:ascii="Arial Narrow" w:hAnsi="Arial Narrow"/>
          <w:sz w:val="28"/>
          <w:szCs w:val="28"/>
        </w:rPr>
        <w:t>son improcedentes en los eventos de pensiones que no se conceden con sujeción a la Ley 100 de 1993, tal como ocurre en el presente caso, pues se reconoce l</w:t>
      </w:r>
      <w:r w:rsidR="0068186D" w:rsidRPr="00AA6BC4">
        <w:rPr>
          <w:rFonts w:ascii="Arial Narrow" w:hAnsi="Arial Narrow"/>
          <w:sz w:val="28"/>
          <w:szCs w:val="28"/>
        </w:rPr>
        <w:t xml:space="preserve">a pensión </w:t>
      </w:r>
      <w:r w:rsidR="00416539">
        <w:rPr>
          <w:rFonts w:ascii="Arial Narrow" w:hAnsi="Arial Narrow"/>
          <w:sz w:val="28"/>
          <w:szCs w:val="28"/>
        </w:rPr>
        <w:t xml:space="preserve">con fundamente en la Ley 71 de 1988. </w:t>
      </w:r>
      <w:r w:rsidR="00AA6BC4">
        <w:rPr>
          <w:rFonts w:ascii="Arial Narrow" w:hAnsi="Arial Narrow"/>
          <w:sz w:val="28"/>
          <w:szCs w:val="28"/>
        </w:rPr>
        <w:t xml:space="preserve">(Ver </w:t>
      </w:r>
      <w:r w:rsidR="00AA6BC4" w:rsidRPr="00AA6BC4">
        <w:rPr>
          <w:rFonts w:ascii="Arial Narrow" w:hAnsi="Arial Narrow"/>
          <w:sz w:val="28"/>
          <w:szCs w:val="28"/>
        </w:rPr>
        <w:t xml:space="preserve">sentencias del </w:t>
      </w:r>
      <w:r w:rsidR="0068186D" w:rsidRPr="00AA6BC4">
        <w:rPr>
          <w:rFonts w:ascii="Arial Narrow" w:hAnsi="Arial Narrow"/>
          <w:sz w:val="28"/>
          <w:szCs w:val="28"/>
        </w:rPr>
        <w:t>12 de noviembre de 2009 radicación Nº 35.228 y más recientemente la SL-466 de 17 de juli</w:t>
      </w:r>
      <w:r w:rsidR="00AA6BC4" w:rsidRPr="00AA6BC4">
        <w:rPr>
          <w:rFonts w:ascii="Arial Narrow" w:hAnsi="Arial Narrow"/>
          <w:sz w:val="28"/>
          <w:szCs w:val="28"/>
        </w:rPr>
        <w:t xml:space="preserve">o de 2013 radicación Nº 44.363). </w:t>
      </w:r>
    </w:p>
    <w:p w:rsidR="00741113" w:rsidRDefault="00741113" w:rsidP="00741113">
      <w:pPr>
        <w:pStyle w:val="Sinespaciado"/>
      </w:pPr>
    </w:p>
    <w:p w:rsidR="0068186D" w:rsidRDefault="001B66C5" w:rsidP="00741113">
      <w:pPr>
        <w:spacing w:line="360" w:lineRule="auto"/>
        <w:ind w:firstLine="567"/>
        <w:jc w:val="both"/>
        <w:rPr>
          <w:rFonts w:ascii="Arial Narrow" w:hAnsi="Arial Narrow"/>
          <w:sz w:val="28"/>
          <w:szCs w:val="28"/>
        </w:rPr>
      </w:pPr>
      <w:r>
        <w:rPr>
          <w:rFonts w:ascii="Arial Narrow" w:hAnsi="Arial Narrow"/>
          <w:sz w:val="28"/>
          <w:szCs w:val="28"/>
        </w:rPr>
        <w:t xml:space="preserve">Luego entonces, la </w:t>
      </w:r>
      <w:r w:rsidR="00741113">
        <w:rPr>
          <w:rFonts w:ascii="Arial Narrow" w:hAnsi="Arial Narrow"/>
          <w:sz w:val="28"/>
          <w:szCs w:val="28"/>
        </w:rPr>
        <w:t>sentenciadora de primer grado</w:t>
      </w:r>
      <w:r>
        <w:rPr>
          <w:rFonts w:ascii="Arial Narrow" w:hAnsi="Arial Narrow"/>
          <w:sz w:val="28"/>
          <w:szCs w:val="28"/>
        </w:rPr>
        <w:t xml:space="preserve"> se equivocó </w:t>
      </w:r>
      <w:r w:rsidR="00741113">
        <w:rPr>
          <w:rFonts w:ascii="Arial Narrow" w:hAnsi="Arial Narrow"/>
          <w:sz w:val="28"/>
          <w:szCs w:val="28"/>
        </w:rPr>
        <w:t>al imponer</w:t>
      </w:r>
      <w:r>
        <w:rPr>
          <w:rFonts w:ascii="Arial Narrow" w:hAnsi="Arial Narrow"/>
          <w:sz w:val="28"/>
          <w:szCs w:val="28"/>
        </w:rPr>
        <w:t>los a partir de la ejecutoria de la sentencia</w:t>
      </w:r>
      <w:r w:rsidR="00741113">
        <w:rPr>
          <w:rFonts w:ascii="Arial Narrow" w:hAnsi="Arial Narrow"/>
          <w:sz w:val="28"/>
          <w:szCs w:val="28"/>
        </w:rPr>
        <w:t>, por lo</w:t>
      </w:r>
      <w:r>
        <w:rPr>
          <w:rFonts w:ascii="Arial Narrow" w:hAnsi="Arial Narrow"/>
          <w:sz w:val="28"/>
          <w:szCs w:val="28"/>
        </w:rPr>
        <w:t xml:space="preserve"> que </w:t>
      </w:r>
      <w:r w:rsidR="00741113">
        <w:rPr>
          <w:rFonts w:ascii="Arial Narrow" w:hAnsi="Arial Narrow"/>
          <w:sz w:val="28"/>
          <w:szCs w:val="28"/>
        </w:rPr>
        <w:t xml:space="preserve">en virtud de la consulta </w:t>
      </w:r>
      <w:r>
        <w:rPr>
          <w:rFonts w:ascii="Arial Narrow" w:hAnsi="Arial Narrow"/>
          <w:sz w:val="28"/>
          <w:szCs w:val="28"/>
        </w:rPr>
        <w:t>que opera en favor de Colpensiones, se revocará el ordinal 7º de la sentencia.</w:t>
      </w:r>
    </w:p>
    <w:p w:rsidR="00C416A9" w:rsidRDefault="00C416A9" w:rsidP="00C416A9">
      <w:pPr>
        <w:pStyle w:val="Sinespaciado"/>
      </w:pPr>
    </w:p>
    <w:p w:rsidR="00C416A9" w:rsidRPr="00AA6BC4" w:rsidRDefault="00C416A9" w:rsidP="00AA6BC4">
      <w:pPr>
        <w:spacing w:line="360" w:lineRule="auto"/>
        <w:ind w:firstLine="708"/>
        <w:jc w:val="both"/>
        <w:rPr>
          <w:rFonts w:ascii="Arial Narrow" w:hAnsi="Arial Narrow"/>
          <w:sz w:val="28"/>
          <w:szCs w:val="28"/>
        </w:rPr>
      </w:pPr>
      <w:r>
        <w:rPr>
          <w:rFonts w:ascii="Arial Narrow" w:hAnsi="Arial Narrow"/>
          <w:sz w:val="28"/>
          <w:szCs w:val="28"/>
        </w:rPr>
        <w:t xml:space="preserve">Sin costas en este grado. </w:t>
      </w:r>
    </w:p>
    <w:p w:rsidR="0068186D" w:rsidRDefault="0068186D" w:rsidP="0068186D">
      <w:pPr>
        <w:pStyle w:val="Sinespaciado"/>
      </w:pPr>
    </w:p>
    <w:p w:rsidR="00EC1D8F" w:rsidRPr="005176B2" w:rsidRDefault="00EC1D8F" w:rsidP="00EC1D8F">
      <w:pPr>
        <w:pStyle w:val="Prrafodelista1"/>
        <w:spacing w:after="0" w:line="360" w:lineRule="auto"/>
        <w:ind w:left="0" w:firstLine="900"/>
        <w:jc w:val="both"/>
        <w:rPr>
          <w:rFonts w:ascii="Arial Narrow" w:hAnsi="Arial Narrow"/>
          <w:sz w:val="28"/>
          <w:szCs w:val="28"/>
        </w:rPr>
      </w:pPr>
      <w:r w:rsidRPr="005176B2">
        <w:rPr>
          <w:rFonts w:ascii="Arial Narrow" w:hAnsi="Arial Narrow"/>
          <w:sz w:val="28"/>
          <w:szCs w:val="28"/>
        </w:rPr>
        <w:t xml:space="preserve">En mérito de lo expuesto, el </w:t>
      </w:r>
      <w:r w:rsidRPr="005176B2">
        <w:rPr>
          <w:rFonts w:ascii="Arial Narrow" w:hAnsi="Arial Narrow"/>
          <w:b/>
          <w:i/>
          <w:sz w:val="28"/>
          <w:szCs w:val="28"/>
        </w:rPr>
        <w:t>H. Tribunal Superior del Distrito Judicial de Pereira - Risaralda, Sala Laboral</w:t>
      </w:r>
      <w:r w:rsidRPr="005176B2">
        <w:rPr>
          <w:rFonts w:ascii="Arial Narrow" w:hAnsi="Arial Narrow"/>
          <w:sz w:val="28"/>
          <w:szCs w:val="28"/>
        </w:rPr>
        <w:t>, administrando justicia en nombre de la República y por autoridad de la ley,</w:t>
      </w:r>
    </w:p>
    <w:p w:rsidR="00EC1D8F" w:rsidRPr="005176B2" w:rsidRDefault="00EC1D8F" w:rsidP="00EC1D8F">
      <w:pPr>
        <w:pStyle w:val="Prrafodelista1"/>
        <w:spacing w:after="0" w:line="240" w:lineRule="auto"/>
        <w:ind w:left="0" w:firstLine="900"/>
        <w:jc w:val="both"/>
        <w:rPr>
          <w:rFonts w:ascii="Arial Narrow" w:hAnsi="Arial Narrow" w:cs="Arial"/>
          <w:b/>
          <w:i/>
          <w:sz w:val="28"/>
          <w:szCs w:val="28"/>
        </w:rPr>
      </w:pPr>
    </w:p>
    <w:p w:rsidR="00EC1D8F" w:rsidRPr="00BA4F35" w:rsidRDefault="00EC1D8F" w:rsidP="00EC1D8F">
      <w:pPr>
        <w:spacing w:line="360" w:lineRule="auto"/>
        <w:jc w:val="center"/>
        <w:rPr>
          <w:rFonts w:ascii="Arial Narrow" w:hAnsi="Arial Narrow" w:cs="Arial"/>
          <w:b/>
          <w:i/>
          <w:sz w:val="28"/>
          <w:szCs w:val="28"/>
        </w:rPr>
      </w:pPr>
      <w:r w:rsidRPr="00BA4F35">
        <w:rPr>
          <w:rFonts w:ascii="Arial Narrow" w:hAnsi="Arial Narrow" w:cs="Arial"/>
          <w:b/>
          <w:i/>
          <w:sz w:val="28"/>
          <w:szCs w:val="28"/>
        </w:rPr>
        <w:t>FALLA</w:t>
      </w:r>
    </w:p>
    <w:p w:rsidR="00EC1D8F" w:rsidRPr="00BA4F35" w:rsidRDefault="00EC1D8F" w:rsidP="0068186D">
      <w:pPr>
        <w:pStyle w:val="Sinespaciado"/>
      </w:pPr>
    </w:p>
    <w:p w:rsidR="00EC1D8F" w:rsidRPr="0034064D" w:rsidRDefault="0034064D" w:rsidP="00C3342F">
      <w:pPr>
        <w:numPr>
          <w:ilvl w:val="0"/>
          <w:numId w:val="1"/>
        </w:numPr>
        <w:tabs>
          <w:tab w:val="left" w:pos="851"/>
        </w:tabs>
        <w:spacing w:line="360" w:lineRule="auto"/>
        <w:ind w:left="0" w:firstLine="567"/>
        <w:jc w:val="both"/>
        <w:rPr>
          <w:rFonts w:ascii="Arial Narrow" w:hAnsi="Arial Narrow" w:cs="Arial"/>
          <w:bCs/>
          <w:iCs/>
          <w:sz w:val="28"/>
          <w:szCs w:val="28"/>
        </w:rPr>
      </w:pPr>
      <w:r w:rsidRPr="0057400E">
        <w:rPr>
          <w:rFonts w:ascii="Arial Narrow" w:hAnsi="Arial Narrow" w:cs="Arial"/>
          <w:i/>
          <w:spacing w:val="-2"/>
          <w:sz w:val="28"/>
          <w:szCs w:val="28"/>
        </w:rPr>
        <w:t>Modifica</w:t>
      </w:r>
      <w:r>
        <w:rPr>
          <w:rFonts w:ascii="Arial Narrow" w:hAnsi="Arial Narrow" w:cs="Arial"/>
          <w:b/>
          <w:i/>
          <w:spacing w:val="-2"/>
          <w:sz w:val="28"/>
          <w:szCs w:val="28"/>
        </w:rPr>
        <w:t xml:space="preserve"> </w:t>
      </w:r>
      <w:r>
        <w:rPr>
          <w:rFonts w:ascii="Arial Narrow" w:hAnsi="Arial Narrow" w:cs="Arial"/>
          <w:spacing w:val="-2"/>
          <w:sz w:val="28"/>
          <w:szCs w:val="28"/>
        </w:rPr>
        <w:t>el ordinal 3º de l</w:t>
      </w:r>
      <w:r w:rsidR="00EC1D8F" w:rsidRPr="00BA4F35">
        <w:rPr>
          <w:rFonts w:ascii="Arial Narrow" w:hAnsi="Arial Narrow" w:cs="Arial"/>
          <w:sz w:val="28"/>
          <w:szCs w:val="28"/>
        </w:rPr>
        <w:t>a sentencia proferida el</w:t>
      </w:r>
      <w:r>
        <w:rPr>
          <w:rFonts w:ascii="Arial Narrow" w:hAnsi="Arial Narrow" w:cs="Arial"/>
          <w:sz w:val="28"/>
          <w:szCs w:val="28"/>
        </w:rPr>
        <w:t xml:space="preserve"> 14 de mayo de 2015</w:t>
      </w:r>
      <w:r w:rsidR="00EC1D8F" w:rsidRPr="00BA4F35">
        <w:rPr>
          <w:rFonts w:ascii="Arial Narrow" w:hAnsi="Arial Narrow" w:cs="Arial"/>
          <w:sz w:val="28"/>
          <w:szCs w:val="28"/>
        </w:rPr>
        <w:t>, por el Juzgado</w:t>
      </w:r>
      <w:r w:rsidR="00EC1D8F">
        <w:rPr>
          <w:rFonts w:ascii="Arial Narrow" w:hAnsi="Arial Narrow" w:cs="Arial"/>
          <w:sz w:val="28"/>
          <w:szCs w:val="28"/>
        </w:rPr>
        <w:t xml:space="preserve"> Tercero </w:t>
      </w:r>
      <w:r w:rsidR="00EC1D8F" w:rsidRPr="00BA4F35">
        <w:rPr>
          <w:rFonts w:ascii="Arial Narrow" w:hAnsi="Arial Narrow" w:cs="Arial"/>
          <w:sz w:val="28"/>
          <w:szCs w:val="28"/>
        </w:rPr>
        <w:t>Laboral del Circuito de Pereira, dentro del proceso ordinario laboral</w:t>
      </w:r>
      <w:r w:rsidR="00EC1D8F">
        <w:rPr>
          <w:rFonts w:ascii="Arial Narrow" w:hAnsi="Arial Narrow" w:cs="Arial"/>
          <w:sz w:val="28"/>
          <w:szCs w:val="28"/>
        </w:rPr>
        <w:t xml:space="preserve"> </w:t>
      </w:r>
      <w:r>
        <w:rPr>
          <w:rFonts w:ascii="Arial Narrow" w:hAnsi="Arial Narrow" w:cs="Arial"/>
          <w:sz w:val="28"/>
          <w:szCs w:val="28"/>
        </w:rPr>
        <w:t>de la referencia, en el sentido de que el valor de la primera mesada pensional es de $</w:t>
      </w:r>
      <w:r>
        <w:rPr>
          <w:rFonts w:ascii="Arial Narrow" w:hAnsi="Arial Narrow" w:cs="Tahoma"/>
          <w:sz w:val="28"/>
          <w:szCs w:val="28"/>
        </w:rPr>
        <w:t>1`293.780</w:t>
      </w:r>
      <w:r>
        <w:rPr>
          <w:rFonts w:ascii="Arial Narrow" w:hAnsi="Arial Narrow" w:cs="Tahoma"/>
          <w:sz w:val="28"/>
          <w:szCs w:val="28"/>
        </w:rPr>
        <w:t xml:space="preserve">, que se obtiene de calcular un IBL de $ </w:t>
      </w:r>
      <w:r>
        <w:rPr>
          <w:rFonts w:ascii="Arial Narrow" w:hAnsi="Arial Narrow" w:cs="Tahoma"/>
          <w:sz w:val="28"/>
          <w:szCs w:val="28"/>
        </w:rPr>
        <w:t xml:space="preserve">1`725.040 </w:t>
      </w:r>
      <w:r>
        <w:rPr>
          <w:rFonts w:ascii="Arial Narrow" w:hAnsi="Arial Narrow" w:cs="Tahoma"/>
          <w:sz w:val="28"/>
          <w:szCs w:val="28"/>
        </w:rPr>
        <w:t xml:space="preserve">y aplicar una tasa de remplazo del </w:t>
      </w:r>
      <w:r>
        <w:rPr>
          <w:rFonts w:ascii="Arial Narrow" w:hAnsi="Arial Narrow" w:cs="Tahoma"/>
          <w:sz w:val="28"/>
          <w:szCs w:val="28"/>
        </w:rPr>
        <w:t>75 %</w:t>
      </w:r>
      <w:r>
        <w:rPr>
          <w:rFonts w:ascii="Arial Narrow" w:hAnsi="Arial Narrow" w:cs="Tahoma"/>
          <w:sz w:val="28"/>
          <w:szCs w:val="28"/>
        </w:rPr>
        <w:t>.</w:t>
      </w:r>
    </w:p>
    <w:p w:rsidR="0034064D" w:rsidRDefault="0034064D" w:rsidP="00C3342F">
      <w:pPr>
        <w:pStyle w:val="Sinespaciado"/>
        <w:jc w:val="both"/>
      </w:pPr>
    </w:p>
    <w:p w:rsidR="00EC1D8F" w:rsidRPr="00C3342F" w:rsidRDefault="0034064D" w:rsidP="00EC1D8F">
      <w:pPr>
        <w:pStyle w:val="Prrafodelista"/>
        <w:numPr>
          <w:ilvl w:val="0"/>
          <w:numId w:val="1"/>
        </w:numPr>
        <w:tabs>
          <w:tab w:val="left" w:pos="851"/>
        </w:tabs>
        <w:spacing w:line="360" w:lineRule="auto"/>
        <w:ind w:left="0" w:firstLine="567"/>
        <w:jc w:val="both"/>
        <w:rPr>
          <w:rFonts w:ascii="Arial Narrow" w:hAnsi="Arial Narrow" w:cs="Arial"/>
          <w:bCs/>
          <w:iCs/>
          <w:sz w:val="28"/>
          <w:szCs w:val="28"/>
        </w:rPr>
      </w:pPr>
      <w:r w:rsidRPr="0034064D">
        <w:rPr>
          <w:rFonts w:ascii="Arial Narrow" w:hAnsi="Arial Narrow" w:cs="Arial"/>
          <w:bCs/>
          <w:i/>
          <w:iCs/>
          <w:sz w:val="28"/>
          <w:szCs w:val="28"/>
        </w:rPr>
        <w:t>Modifica</w:t>
      </w:r>
      <w:r>
        <w:rPr>
          <w:rFonts w:ascii="Arial Narrow" w:hAnsi="Arial Narrow" w:cs="Arial"/>
          <w:bCs/>
          <w:iCs/>
          <w:sz w:val="28"/>
          <w:szCs w:val="28"/>
        </w:rPr>
        <w:t xml:space="preserve"> el ordinal 5º de la sentencia, para declarar que el valor del retroactivo pensional causado entre el 10 de octubre de 2013 y el 31</w:t>
      </w:r>
      <w:r w:rsidR="00C3342F">
        <w:rPr>
          <w:rFonts w:ascii="Arial Narrow" w:hAnsi="Arial Narrow" w:cs="Arial"/>
          <w:bCs/>
          <w:iCs/>
          <w:sz w:val="28"/>
          <w:szCs w:val="28"/>
        </w:rPr>
        <w:t xml:space="preserve"> de julio de 2016, e</w:t>
      </w:r>
      <w:r>
        <w:rPr>
          <w:rFonts w:ascii="Arial Narrow" w:hAnsi="Arial Narrow" w:cs="Arial"/>
          <w:bCs/>
          <w:iCs/>
          <w:sz w:val="28"/>
          <w:szCs w:val="28"/>
        </w:rPr>
        <w:t xml:space="preserve">s decir, incluyendo las mesadas generadas hasta la fecha de emisión de esta sentencia, </w:t>
      </w:r>
      <w:r w:rsidR="00C3342F">
        <w:rPr>
          <w:rFonts w:ascii="Arial Narrow" w:hAnsi="Arial Narrow" w:cs="Arial"/>
          <w:bCs/>
          <w:iCs/>
          <w:sz w:val="28"/>
          <w:szCs w:val="28"/>
        </w:rPr>
        <w:t xml:space="preserve">equivale a </w:t>
      </w:r>
      <w:r>
        <w:rPr>
          <w:rFonts w:ascii="Arial Narrow" w:hAnsi="Arial Narrow" w:cs="Arial"/>
          <w:bCs/>
          <w:iCs/>
          <w:sz w:val="28"/>
          <w:szCs w:val="28"/>
        </w:rPr>
        <w:t xml:space="preserve">$ </w:t>
      </w:r>
      <w:r>
        <w:rPr>
          <w:rFonts w:ascii="Arial Narrow" w:hAnsi="Arial Narrow"/>
          <w:sz w:val="28"/>
          <w:szCs w:val="28"/>
          <w:lang w:val="es-CO"/>
        </w:rPr>
        <w:t>49`871.565</w:t>
      </w:r>
      <w:r>
        <w:rPr>
          <w:rFonts w:ascii="Arial Narrow" w:hAnsi="Arial Narrow"/>
          <w:sz w:val="28"/>
          <w:szCs w:val="28"/>
          <w:lang w:val="es-CO"/>
        </w:rPr>
        <w:t xml:space="preserve">, sin perjuicio de que se siga generando hacia futuro. </w:t>
      </w:r>
    </w:p>
    <w:p w:rsidR="00C3342F" w:rsidRPr="00C3342F" w:rsidRDefault="00C3342F" w:rsidP="001A09BE">
      <w:pPr>
        <w:pStyle w:val="Sinespaciado"/>
      </w:pPr>
    </w:p>
    <w:p w:rsidR="00C3342F" w:rsidRDefault="00C3342F" w:rsidP="00EC1D8F">
      <w:pPr>
        <w:pStyle w:val="Prrafodelista"/>
        <w:numPr>
          <w:ilvl w:val="0"/>
          <w:numId w:val="1"/>
        </w:numPr>
        <w:tabs>
          <w:tab w:val="left" w:pos="851"/>
        </w:tabs>
        <w:spacing w:line="360" w:lineRule="auto"/>
        <w:ind w:left="0" w:firstLine="567"/>
        <w:jc w:val="both"/>
        <w:rPr>
          <w:rFonts w:ascii="Arial Narrow" w:hAnsi="Arial Narrow" w:cs="Arial"/>
          <w:bCs/>
          <w:iCs/>
          <w:sz w:val="28"/>
          <w:szCs w:val="28"/>
        </w:rPr>
      </w:pPr>
      <w:r>
        <w:rPr>
          <w:rFonts w:ascii="Arial Narrow" w:hAnsi="Arial Narrow" w:cs="Arial"/>
          <w:bCs/>
          <w:i/>
          <w:iCs/>
          <w:sz w:val="28"/>
          <w:szCs w:val="28"/>
        </w:rPr>
        <w:lastRenderedPageBreak/>
        <w:t xml:space="preserve">Revoca </w:t>
      </w:r>
      <w:r w:rsidRPr="001A09BE">
        <w:rPr>
          <w:rFonts w:ascii="Arial Narrow" w:hAnsi="Arial Narrow" w:cs="Arial"/>
          <w:bCs/>
          <w:iCs/>
          <w:sz w:val="28"/>
          <w:szCs w:val="28"/>
        </w:rPr>
        <w:t xml:space="preserve">el ordinal 7º para en su lugar exonerar a la Administradora Colombiana de Pensiones del pago de los intereses de mora </w:t>
      </w:r>
      <w:r w:rsidR="001A09BE">
        <w:rPr>
          <w:rFonts w:ascii="Arial Narrow" w:hAnsi="Arial Narrow" w:cs="Arial"/>
          <w:bCs/>
          <w:iCs/>
          <w:sz w:val="28"/>
          <w:szCs w:val="28"/>
        </w:rPr>
        <w:t xml:space="preserve">de que trata el artículo 141 de la Ley 100 de 1993. </w:t>
      </w:r>
    </w:p>
    <w:p w:rsidR="00F72F4E" w:rsidRPr="00F72F4E" w:rsidRDefault="00F72F4E" w:rsidP="00F72F4E">
      <w:pPr>
        <w:pStyle w:val="Prrafodelista"/>
        <w:rPr>
          <w:rFonts w:ascii="Arial Narrow" w:hAnsi="Arial Narrow" w:cs="Arial"/>
          <w:bCs/>
          <w:iCs/>
          <w:sz w:val="28"/>
          <w:szCs w:val="28"/>
        </w:rPr>
      </w:pPr>
    </w:p>
    <w:p w:rsidR="00F72F4E" w:rsidRDefault="00F72F4E" w:rsidP="00EC1D8F">
      <w:pPr>
        <w:pStyle w:val="Prrafodelista"/>
        <w:numPr>
          <w:ilvl w:val="0"/>
          <w:numId w:val="1"/>
        </w:numPr>
        <w:tabs>
          <w:tab w:val="left" w:pos="851"/>
        </w:tabs>
        <w:spacing w:line="360" w:lineRule="auto"/>
        <w:ind w:left="0" w:firstLine="567"/>
        <w:jc w:val="both"/>
        <w:rPr>
          <w:rFonts w:ascii="Arial Narrow" w:hAnsi="Arial Narrow" w:cs="Arial"/>
          <w:bCs/>
          <w:iCs/>
          <w:sz w:val="28"/>
          <w:szCs w:val="28"/>
        </w:rPr>
      </w:pPr>
      <w:r w:rsidRPr="00F72F4E">
        <w:rPr>
          <w:rFonts w:ascii="Arial Narrow" w:hAnsi="Arial Narrow" w:cs="Arial"/>
          <w:bCs/>
          <w:i/>
          <w:iCs/>
          <w:sz w:val="28"/>
          <w:szCs w:val="28"/>
        </w:rPr>
        <w:t>Confirma</w:t>
      </w:r>
      <w:r>
        <w:rPr>
          <w:rFonts w:ascii="Arial Narrow" w:hAnsi="Arial Narrow" w:cs="Arial"/>
          <w:bCs/>
          <w:iCs/>
          <w:sz w:val="28"/>
          <w:szCs w:val="28"/>
        </w:rPr>
        <w:t xml:space="preserve"> en todo lo demás. </w:t>
      </w:r>
    </w:p>
    <w:p w:rsidR="00F72F4E" w:rsidRPr="00F72F4E" w:rsidRDefault="00F72F4E" w:rsidP="00F72F4E">
      <w:pPr>
        <w:pStyle w:val="Prrafodelista"/>
        <w:rPr>
          <w:rFonts w:ascii="Arial Narrow" w:hAnsi="Arial Narrow" w:cs="Arial"/>
          <w:bCs/>
          <w:iCs/>
          <w:sz w:val="28"/>
          <w:szCs w:val="28"/>
        </w:rPr>
      </w:pPr>
    </w:p>
    <w:p w:rsidR="00F72F4E" w:rsidRPr="001A09BE" w:rsidRDefault="00F72F4E" w:rsidP="00EC1D8F">
      <w:pPr>
        <w:pStyle w:val="Prrafodelista"/>
        <w:numPr>
          <w:ilvl w:val="0"/>
          <w:numId w:val="1"/>
        </w:numPr>
        <w:tabs>
          <w:tab w:val="left" w:pos="851"/>
        </w:tabs>
        <w:spacing w:line="360" w:lineRule="auto"/>
        <w:ind w:left="0" w:firstLine="567"/>
        <w:jc w:val="both"/>
        <w:rPr>
          <w:rFonts w:ascii="Arial Narrow" w:hAnsi="Arial Narrow" w:cs="Arial"/>
          <w:bCs/>
          <w:iCs/>
          <w:sz w:val="28"/>
          <w:szCs w:val="28"/>
        </w:rPr>
      </w:pPr>
      <w:r>
        <w:rPr>
          <w:rFonts w:ascii="Arial Narrow" w:hAnsi="Arial Narrow" w:cs="Arial"/>
          <w:bCs/>
          <w:iCs/>
          <w:sz w:val="28"/>
          <w:szCs w:val="28"/>
        </w:rPr>
        <w:t xml:space="preserve">Sin costas en esta instancia. </w:t>
      </w:r>
    </w:p>
    <w:p w:rsidR="00EC1D8F" w:rsidRDefault="00EC1D8F" w:rsidP="00F72F4E">
      <w:pPr>
        <w:spacing w:line="360" w:lineRule="auto"/>
        <w:jc w:val="both"/>
        <w:rPr>
          <w:rFonts w:ascii="Arial Narrow" w:hAnsi="Arial Narrow" w:cs="Microsoft Sans Serif"/>
          <w:b/>
          <w:bCs/>
          <w:i/>
          <w:iCs/>
          <w:sz w:val="28"/>
          <w:szCs w:val="28"/>
          <w:lang w:val="es-ES"/>
        </w:rPr>
      </w:pPr>
    </w:p>
    <w:p w:rsidR="00F72F4E" w:rsidRPr="00134C86" w:rsidRDefault="00F72F4E" w:rsidP="00F72F4E">
      <w:pPr>
        <w:spacing w:line="360" w:lineRule="auto"/>
        <w:ind w:firstLine="900"/>
        <w:jc w:val="both"/>
        <w:rPr>
          <w:rFonts w:ascii="Arial Narrow" w:hAnsi="Arial Narrow" w:cs="Microsoft Sans Serif"/>
          <w:b/>
          <w:bCs/>
          <w:i/>
          <w:iCs/>
          <w:sz w:val="28"/>
          <w:szCs w:val="28"/>
          <w:lang w:val="es-ES"/>
        </w:rPr>
      </w:pPr>
      <w:r w:rsidRPr="00134C86">
        <w:rPr>
          <w:rFonts w:ascii="Arial Narrow" w:hAnsi="Arial Narrow" w:cs="Microsoft Sans Serif"/>
          <w:b/>
          <w:bCs/>
          <w:i/>
          <w:iCs/>
          <w:sz w:val="28"/>
          <w:szCs w:val="28"/>
          <w:lang w:val="es-ES"/>
        </w:rPr>
        <w:t>NOTIFÍQUESE, CÚMPLASE Y DEVUÉLVASE.</w:t>
      </w:r>
    </w:p>
    <w:p w:rsidR="00F72F4E" w:rsidRPr="00134C86" w:rsidRDefault="00F72F4E" w:rsidP="00F72F4E">
      <w:pPr>
        <w:pStyle w:val="Sinespaciado"/>
        <w:rPr>
          <w:sz w:val="28"/>
          <w:szCs w:val="28"/>
          <w:lang w:val="es-ES"/>
        </w:rPr>
      </w:pPr>
    </w:p>
    <w:p w:rsidR="00F72F4E" w:rsidRPr="00134C86" w:rsidRDefault="00F72F4E" w:rsidP="00F72F4E">
      <w:pPr>
        <w:spacing w:line="360" w:lineRule="auto"/>
        <w:ind w:firstLine="900"/>
        <w:jc w:val="both"/>
        <w:rPr>
          <w:rFonts w:ascii="Arial Narrow" w:hAnsi="Arial Narrow" w:cs="Microsoft Sans Serif"/>
          <w:bCs/>
          <w:iCs/>
          <w:sz w:val="28"/>
          <w:szCs w:val="28"/>
          <w:lang w:val="es-ES"/>
        </w:rPr>
      </w:pPr>
      <w:r w:rsidRPr="00134C86">
        <w:rPr>
          <w:rFonts w:ascii="Arial Narrow" w:hAnsi="Arial Narrow" w:cs="Microsoft Sans Serif"/>
          <w:bCs/>
          <w:iCs/>
          <w:sz w:val="28"/>
          <w:szCs w:val="28"/>
          <w:lang w:val="es-ES"/>
        </w:rPr>
        <w:t>La anterior decisión queda notificada en estrados.</w:t>
      </w:r>
    </w:p>
    <w:p w:rsidR="00F72F4E" w:rsidRPr="00134C86" w:rsidRDefault="00F72F4E" w:rsidP="00F72F4E">
      <w:pPr>
        <w:pStyle w:val="Sinespaciado"/>
        <w:rPr>
          <w:sz w:val="28"/>
          <w:szCs w:val="28"/>
          <w:lang w:val="es-ES"/>
        </w:rPr>
      </w:pPr>
    </w:p>
    <w:p w:rsidR="00F72F4E" w:rsidRPr="00134C86" w:rsidRDefault="00F72F4E" w:rsidP="00F72F4E">
      <w:pPr>
        <w:pStyle w:val="Sinespaciado"/>
        <w:rPr>
          <w:sz w:val="28"/>
          <w:szCs w:val="28"/>
        </w:rPr>
      </w:pPr>
    </w:p>
    <w:p w:rsidR="00F72F4E" w:rsidRPr="00134C86" w:rsidRDefault="00F72F4E" w:rsidP="00F72F4E">
      <w:pPr>
        <w:pStyle w:val="Sinespaciado"/>
        <w:rPr>
          <w:sz w:val="28"/>
          <w:szCs w:val="28"/>
        </w:rPr>
      </w:pPr>
    </w:p>
    <w:p w:rsidR="00F72F4E" w:rsidRPr="00134C86" w:rsidRDefault="00F72F4E" w:rsidP="00F72F4E">
      <w:pPr>
        <w:pStyle w:val="Sinespaciado"/>
        <w:spacing w:line="360" w:lineRule="auto"/>
        <w:jc w:val="center"/>
        <w:rPr>
          <w:rFonts w:ascii="Arial Narrow" w:hAnsi="Arial Narrow"/>
          <w:sz w:val="28"/>
          <w:szCs w:val="28"/>
          <w:lang w:val="es-ES"/>
        </w:rPr>
      </w:pPr>
    </w:p>
    <w:p w:rsidR="00F72F4E" w:rsidRPr="00134C86" w:rsidRDefault="00F72F4E" w:rsidP="00F72F4E">
      <w:pPr>
        <w:pStyle w:val="Sinespaciado"/>
        <w:jc w:val="center"/>
        <w:rPr>
          <w:rFonts w:ascii="Arial Narrow" w:hAnsi="Arial Narrow"/>
          <w:b/>
          <w:sz w:val="28"/>
          <w:szCs w:val="28"/>
          <w:lang w:val="es-ES"/>
        </w:rPr>
      </w:pPr>
      <w:r w:rsidRPr="00134C86">
        <w:rPr>
          <w:rFonts w:ascii="Arial Narrow" w:hAnsi="Arial Narrow"/>
          <w:b/>
          <w:sz w:val="28"/>
          <w:szCs w:val="28"/>
          <w:lang w:val="es-ES"/>
        </w:rPr>
        <w:t>FRANCISCO JAVIER TAMAYO TABARES</w:t>
      </w:r>
    </w:p>
    <w:p w:rsidR="00F72F4E" w:rsidRPr="00134C86" w:rsidRDefault="00F72F4E" w:rsidP="00F72F4E">
      <w:pPr>
        <w:pStyle w:val="Sinespaciado"/>
        <w:jc w:val="center"/>
        <w:rPr>
          <w:rFonts w:ascii="Arial Narrow" w:hAnsi="Arial Narrow"/>
          <w:sz w:val="28"/>
          <w:szCs w:val="28"/>
          <w:lang w:val="es-ES"/>
        </w:rPr>
      </w:pPr>
      <w:r w:rsidRPr="00134C86">
        <w:rPr>
          <w:rFonts w:ascii="Arial Narrow" w:hAnsi="Arial Narrow"/>
          <w:sz w:val="28"/>
          <w:szCs w:val="28"/>
          <w:lang w:val="es-ES"/>
        </w:rPr>
        <w:t>Magistrado Ponente</w:t>
      </w:r>
    </w:p>
    <w:p w:rsidR="00F72F4E" w:rsidRPr="00134C86" w:rsidRDefault="00F72F4E" w:rsidP="00F72F4E">
      <w:pPr>
        <w:spacing w:line="360" w:lineRule="auto"/>
        <w:ind w:firstLine="900"/>
        <w:jc w:val="center"/>
        <w:rPr>
          <w:rFonts w:ascii="Arial Narrow" w:hAnsi="Arial Narrow" w:cs="Microsoft Sans Serif"/>
          <w:b/>
          <w:sz w:val="28"/>
          <w:szCs w:val="28"/>
          <w:lang w:val="es-ES"/>
        </w:rPr>
      </w:pPr>
    </w:p>
    <w:p w:rsidR="00F72F4E" w:rsidRPr="00134C86" w:rsidRDefault="00F72F4E" w:rsidP="00F72F4E">
      <w:pPr>
        <w:pStyle w:val="Sinespaciado"/>
        <w:spacing w:line="360" w:lineRule="auto"/>
        <w:rPr>
          <w:sz w:val="28"/>
          <w:szCs w:val="28"/>
          <w:lang w:val="es-ES"/>
        </w:rPr>
      </w:pPr>
    </w:p>
    <w:p w:rsidR="00F72F4E" w:rsidRPr="00134C86" w:rsidRDefault="00F72F4E" w:rsidP="00F72F4E">
      <w:pPr>
        <w:spacing w:line="360" w:lineRule="auto"/>
        <w:jc w:val="both"/>
        <w:rPr>
          <w:rFonts w:ascii="Arial Narrow" w:hAnsi="Arial Narrow" w:cs="Microsoft Sans Serif"/>
          <w:b/>
          <w:bCs/>
          <w:iCs/>
          <w:sz w:val="28"/>
          <w:szCs w:val="28"/>
          <w:lang w:val="es-ES"/>
        </w:rPr>
      </w:pPr>
    </w:p>
    <w:p w:rsidR="00F72F4E" w:rsidRPr="00134C86" w:rsidRDefault="00F72F4E" w:rsidP="00F72F4E">
      <w:pPr>
        <w:jc w:val="both"/>
        <w:rPr>
          <w:rFonts w:ascii="Arial Narrow" w:hAnsi="Arial Narrow" w:cs="Microsoft Sans Serif"/>
          <w:sz w:val="28"/>
          <w:szCs w:val="28"/>
          <w:lang w:val="es-ES"/>
        </w:rPr>
      </w:pPr>
      <w:r w:rsidRPr="00134C86">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134C86">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OLGA LUCIA HOYOS SEPULVEDA</w:t>
      </w:r>
    </w:p>
    <w:p w:rsidR="00F72F4E" w:rsidRPr="00134C86" w:rsidRDefault="00F72F4E" w:rsidP="00F72F4E">
      <w:pPr>
        <w:jc w:val="both"/>
        <w:rPr>
          <w:rFonts w:ascii="Arial Narrow" w:hAnsi="Arial Narrow" w:cs="Microsoft Sans Serif"/>
          <w:sz w:val="28"/>
          <w:szCs w:val="28"/>
          <w:lang w:val="es-ES"/>
        </w:rPr>
      </w:pPr>
      <w:r w:rsidRPr="00134C86">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 xml:space="preserve">   </w:t>
      </w:r>
      <w:r w:rsidRPr="00134C86">
        <w:rPr>
          <w:rFonts w:ascii="Arial Narrow" w:hAnsi="Arial Narrow" w:cs="Microsoft Sans Serif"/>
          <w:sz w:val="28"/>
          <w:szCs w:val="28"/>
          <w:lang w:val="es-ES"/>
        </w:rPr>
        <w:t xml:space="preserve">   Magistrad</w:t>
      </w:r>
      <w:r>
        <w:rPr>
          <w:rFonts w:ascii="Arial Narrow" w:hAnsi="Arial Narrow" w:cs="Microsoft Sans Serif"/>
          <w:sz w:val="28"/>
          <w:szCs w:val="28"/>
          <w:lang w:val="es-ES"/>
        </w:rPr>
        <w:t>a</w:t>
      </w:r>
      <w:r w:rsidRPr="00134C86">
        <w:rPr>
          <w:rFonts w:ascii="Arial Narrow" w:hAnsi="Arial Narrow" w:cs="Microsoft Sans Serif"/>
          <w:sz w:val="28"/>
          <w:szCs w:val="28"/>
          <w:lang w:val="es-ES"/>
        </w:rPr>
        <w:t xml:space="preserve"> </w:t>
      </w:r>
    </w:p>
    <w:p w:rsidR="00F72F4E" w:rsidRPr="00134C86" w:rsidRDefault="00F72F4E" w:rsidP="00F72F4E">
      <w:pPr>
        <w:jc w:val="both"/>
        <w:rPr>
          <w:rFonts w:ascii="Arial Narrow" w:hAnsi="Arial Narrow" w:cs="Microsoft Sans Serif"/>
          <w:sz w:val="28"/>
          <w:szCs w:val="28"/>
          <w:lang w:val="es-ES"/>
        </w:rPr>
      </w:pPr>
      <w:r w:rsidRPr="00134C86">
        <w:rPr>
          <w:rFonts w:ascii="Arial Narrow" w:hAnsi="Arial Narrow" w:cs="Microsoft Sans Serif"/>
          <w:sz w:val="28"/>
          <w:szCs w:val="28"/>
          <w:lang w:val="es-ES"/>
        </w:rPr>
        <w:t xml:space="preserve"> </w:t>
      </w:r>
      <w:r w:rsidRPr="00134C86">
        <w:rPr>
          <w:rFonts w:ascii="Arial Narrow" w:hAnsi="Arial Narrow" w:cs="Microsoft Sans Serif"/>
          <w:bCs/>
          <w:iCs/>
          <w:sz w:val="28"/>
          <w:szCs w:val="28"/>
          <w:lang w:val="es-ES"/>
        </w:rPr>
        <w:t xml:space="preserve">  </w:t>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p>
    <w:p w:rsidR="00F72F4E" w:rsidRPr="00134C86" w:rsidRDefault="00F72F4E" w:rsidP="00F72F4E">
      <w:pPr>
        <w:spacing w:line="360" w:lineRule="auto"/>
        <w:ind w:firstLine="900"/>
        <w:jc w:val="both"/>
        <w:rPr>
          <w:rFonts w:ascii="Arial Narrow" w:hAnsi="Arial Narrow" w:cs="Microsoft Sans Serif"/>
          <w:bCs/>
          <w:iCs/>
          <w:sz w:val="28"/>
          <w:szCs w:val="28"/>
          <w:lang w:val="es-ES"/>
        </w:rPr>
      </w:pPr>
    </w:p>
    <w:p w:rsidR="00EC1D8F" w:rsidRDefault="00EC1D8F" w:rsidP="00EC1D8F">
      <w:pPr>
        <w:jc w:val="center"/>
        <w:rPr>
          <w:rFonts w:ascii="Arial Narrow" w:hAnsi="Arial Narrow" w:cs="Microsoft Sans Serif"/>
          <w:bCs/>
          <w:iCs/>
          <w:sz w:val="28"/>
          <w:szCs w:val="28"/>
          <w:lang w:val="es-ES"/>
        </w:rPr>
      </w:pPr>
      <w:r>
        <w:rPr>
          <w:rFonts w:ascii="Arial Narrow" w:hAnsi="Arial Narrow" w:cs="Microsoft Sans Serif"/>
          <w:b/>
          <w:bCs/>
          <w:iCs/>
          <w:sz w:val="28"/>
          <w:szCs w:val="28"/>
          <w:lang w:val="es-ES"/>
        </w:rPr>
        <w:t>Alonso Gaviria Ocampo</w:t>
      </w:r>
    </w:p>
    <w:p w:rsidR="00EC1D8F" w:rsidRDefault="00EC1D8F" w:rsidP="00EC1D8F">
      <w:pPr>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EC1D8F" w:rsidRDefault="00EC1D8F" w:rsidP="00EC1D8F">
      <w:pPr>
        <w:spacing w:after="160" w:line="259" w:lineRule="auto"/>
        <w:rPr>
          <w:rFonts w:ascii="Arial Narrow" w:hAnsi="Arial Narrow" w:cs="Microsoft Sans Serif"/>
          <w:iCs/>
          <w:sz w:val="28"/>
          <w:szCs w:val="28"/>
          <w:lang w:val="es-ES"/>
        </w:rPr>
      </w:pPr>
      <w:r>
        <w:rPr>
          <w:rFonts w:ascii="Arial Narrow" w:hAnsi="Arial Narrow" w:cs="Microsoft Sans Serif"/>
          <w:iCs/>
          <w:sz w:val="28"/>
          <w:szCs w:val="28"/>
          <w:lang w:val="es-ES"/>
        </w:rPr>
        <w:br w:type="page"/>
      </w:r>
    </w:p>
    <w:p w:rsidR="00EC1D8F" w:rsidRPr="00B42CC8" w:rsidRDefault="00EC1D8F" w:rsidP="00EC1D8F">
      <w:pPr>
        <w:jc w:val="center"/>
        <w:rPr>
          <w:rFonts w:ascii="Arial Narrow" w:hAnsi="Arial Narrow" w:cs="Microsoft Sans Serif"/>
          <w:b/>
          <w:bCs/>
          <w:iCs/>
          <w:sz w:val="28"/>
          <w:szCs w:val="28"/>
          <w:lang w:val="es-ES"/>
        </w:rPr>
      </w:pPr>
      <w:r w:rsidRPr="00B42CC8">
        <w:rPr>
          <w:rFonts w:ascii="Arial Narrow" w:hAnsi="Arial Narrow" w:cs="Microsoft Sans Serif"/>
          <w:b/>
          <w:bCs/>
          <w:iCs/>
          <w:sz w:val="28"/>
          <w:szCs w:val="28"/>
          <w:lang w:val="es-ES"/>
        </w:rPr>
        <w:lastRenderedPageBreak/>
        <w:t>ANEXO No. 1</w:t>
      </w:r>
    </w:p>
    <w:p w:rsidR="00EC1D8F" w:rsidRDefault="00EC1D8F" w:rsidP="00EC1D8F">
      <w:pPr>
        <w:jc w:val="center"/>
        <w:rPr>
          <w:rFonts w:ascii="Arial Narrow" w:hAnsi="Arial Narrow" w:cs="Microsoft Sans Serif"/>
          <w:b/>
          <w:bCs/>
          <w:iCs/>
          <w:sz w:val="28"/>
          <w:szCs w:val="28"/>
          <w:lang w:val="es-ES"/>
        </w:rPr>
      </w:pPr>
      <w:r w:rsidRPr="00B42CC8">
        <w:rPr>
          <w:rFonts w:ascii="Arial Narrow" w:hAnsi="Arial Narrow" w:cs="Microsoft Sans Serif"/>
          <w:b/>
          <w:bCs/>
          <w:iCs/>
          <w:sz w:val="28"/>
          <w:szCs w:val="28"/>
          <w:lang w:val="es-ES"/>
        </w:rPr>
        <w:t>INGRESO BASE DE LIQUIDACIÓN</w:t>
      </w:r>
    </w:p>
    <w:p w:rsidR="00EC1D8F" w:rsidRDefault="00EC1D8F" w:rsidP="00EC1D8F">
      <w:pPr>
        <w:jc w:val="center"/>
        <w:rPr>
          <w:rFonts w:ascii="Arial Narrow" w:hAnsi="Arial Narrow" w:cs="Microsoft Sans Serif"/>
          <w:b/>
          <w:bCs/>
          <w:iCs/>
          <w:sz w:val="28"/>
          <w:szCs w:val="28"/>
          <w:lang w:val="es-ES"/>
        </w:rPr>
      </w:pPr>
    </w:p>
    <w:tbl>
      <w:tblPr>
        <w:tblW w:w="8905" w:type="dxa"/>
        <w:tblLayout w:type="fixed"/>
        <w:tblCellMar>
          <w:left w:w="70" w:type="dxa"/>
          <w:right w:w="70" w:type="dxa"/>
        </w:tblCellMar>
        <w:tblLook w:val="04A0" w:firstRow="1" w:lastRow="0" w:firstColumn="1" w:lastColumn="0" w:noHBand="0" w:noVBand="1"/>
      </w:tblPr>
      <w:tblGrid>
        <w:gridCol w:w="795"/>
        <w:gridCol w:w="920"/>
        <w:gridCol w:w="832"/>
        <w:gridCol w:w="567"/>
        <w:gridCol w:w="1028"/>
        <w:gridCol w:w="260"/>
        <w:gridCol w:w="1581"/>
        <w:gridCol w:w="751"/>
        <w:gridCol w:w="751"/>
        <w:gridCol w:w="1420"/>
      </w:tblGrid>
      <w:tr w:rsidR="00F20F4D" w:rsidRPr="00F20F4D" w:rsidTr="00F20F4D">
        <w:trPr>
          <w:trHeight w:val="225"/>
        </w:trPr>
        <w:tc>
          <w:tcPr>
            <w:tcW w:w="3114" w:type="dxa"/>
            <w:gridSpan w:val="4"/>
            <w:tcBorders>
              <w:top w:val="single" w:sz="8" w:space="0" w:color="auto"/>
              <w:left w:val="single" w:sz="8" w:space="0" w:color="auto"/>
              <w:bottom w:val="single" w:sz="4" w:space="0" w:color="auto"/>
              <w:right w:val="nil"/>
            </w:tcBorders>
            <w:shd w:val="clear" w:color="000000" w:fill="FFFF99"/>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Fecha de nacimiento:</w:t>
            </w:r>
          </w:p>
        </w:tc>
        <w:tc>
          <w:tcPr>
            <w:tcW w:w="1028" w:type="dxa"/>
            <w:tcBorders>
              <w:top w:val="single" w:sz="8" w:space="0" w:color="auto"/>
              <w:left w:val="nil"/>
              <w:bottom w:val="single" w:sz="4" w:space="0" w:color="auto"/>
              <w:right w:val="single" w:sz="8" w:space="0" w:color="auto"/>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09-oct-53</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i/>
                <w:iCs/>
                <w:color w:val="000000"/>
                <w:sz w:val="16"/>
                <w:szCs w:val="16"/>
                <w:lang w:val="es-ES"/>
              </w:rPr>
            </w:pPr>
          </w:p>
        </w:tc>
        <w:tc>
          <w:tcPr>
            <w:tcW w:w="158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42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r>
      <w:tr w:rsidR="00F20F4D" w:rsidRPr="00F20F4D" w:rsidTr="00F20F4D">
        <w:trPr>
          <w:trHeight w:val="225"/>
        </w:trPr>
        <w:tc>
          <w:tcPr>
            <w:tcW w:w="3114" w:type="dxa"/>
            <w:gridSpan w:val="4"/>
            <w:tcBorders>
              <w:top w:val="single" w:sz="4" w:space="0" w:color="auto"/>
              <w:left w:val="single" w:sz="8" w:space="0" w:color="auto"/>
              <w:bottom w:val="single" w:sz="4" w:space="0" w:color="auto"/>
              <w:right w:val="nil"/>
            </w:tcBorders>
            <w:shd w:val="clear" w:color="000000" w:fill="FFFF99"/>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Fecha reconocimiento pensión:</w:t>
            </w:r>
          </w:p>
        </w:tc>
        <w:tc>
          <w:tcPr>
            <w:tcW w:w="1028" w:type="dxa"/>
            <w:tcBorders>
              <w:top w:val="nil"/>
              <w:left w:val="nil"/>
              <w:bottom w:val="single" w:sz="4" w:space="0" w:color="auto"/>
              <w:right w:val="single" w:sz="8" w:space="0" w:color="auto"/>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10/10/2013</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i/>
                <w:iCs/>
                <w:color w:val="000000"/>
                <w:sz w:val="16"/>
                <w:szCs w:val="16"/>
                <w:lang w:val="es-ES"/>
              </w:rPr>
            </w:pPr>
          </w:p>
        </w:tc>
        <w:tc>
          <w:tcPr>
            <w:tcW w:w="1581"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sz w:val="20"/>
                <w:lang w:val="es-ES"/>
              </w:rPr>
            </w:pP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42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r>
      <w:tr w:rsidR="00F20F4D" w:rsidRPr="00F20F4D" w:rsidTr="00F20F4D">
        <w:trPr>
          <w:trHeight w:val="225"/>
        </w:trPr>
        <w:tc>
          <w:tcPr>
            <w:tcW w:w="3114" w:type="dxa"/>
            <w:gridSpan w:val="4"/>
            <w:tcBorders>
              <w:top w:val="single" w:sz="4" w:space="0" w:color="auto"/>
              <w:left w:val="single" w:sz="8" w:space="0" w:color="auto"/>
              <w:bottom w:val="single" w:sz="8" w:space="0" w:color="auto"/>
              <w:right w:val="nil"/>
            </w:tcBorders>
            <w:shd w:val="clear" w:color="000000" w:fill="FFFF99"/>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Total semanas cotizadas:</w:t>
            </w:r>
          </w:p>
        </w:tc>
        <w:tc>
          <w:tcPr>
            <w:tcW w:w="1028" w:type="dxa"/>
            <w:tcBorders>
              <w:top w:val="nil"/>
              <w:left w:val="nil"/>
              <w:bottom w:val="single" w:sz="8" w:space="0" w:color="auto"/>
              <w:right w:val="single" w:sz="8" w:space="0" w:color="auto"/>
            </w:tcBorders>
            <w:shd w:val="clear" w:color="auto" w:fill="auto"/>
            <w:noWrap/>
            <w:vAlign w:val="center"/>
            <w:hideMark/>
          </w:tcPr>
          <w:p w:rsidR="00F20F4D" w:rsidRPr="00F20F4D" w:rsidRDefault="00F20F4D" w:rsidP="00F20F4D">
            <w:pPr>
              <w:jc w:val="center"/>
              <w:rPr>
                <w:rFonts w:ascii="Arial Narrow" w:hAnsi="Arial Narrow"/>
                <w:color w:val="000000"/>
                <w:szCs w:val="24"/>
                <w:lang w:val="es-ES"/>
              </w:rPr>
            </w:pPr>
            <w:r w:rsidRPr="00F20F4D">
              <w:rPr>
                <w:rFonts w:ascii="Arial Narrow" w:hAnsi="Arial Narrow"/>
                <w:color w:val="000000"/>
                <w:szCs w:val="24"/>
                <w:lang w:val="es-ES"/>
              </w:rPr>
              <w:t>514,29</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color w:val="000000"/>
                <w:szCs w:val="24"/>
                <w:lang w:val="es-ES"/>
              </w:rPr>
            </w:pPr>
          </w:p>
        </w:tc>
        <w:tc>
          <w:tcPr>
            <w:tcW w:w="1581" w:type="dxa"/>
            <w:tcBorders>
              <w:top w:val="single" w:sz="4" w:space="0" w:color="auto"/>
              <w:left w:val="single" w:sz="4" w:space="0" w:color="auto"/>
              <w:bottom w:val="single" w:sz="4" w:space="0" w:color="auto"/>
              <w:right w:val="nil"/>
            </w:tcBorders>
            <w:shd w:val="clear" w:color="000000" w:fill="FFFF99"/>
            <w:noWrap/>
            <w:vAlign w:val="center"/>
            <w:hideMark/>
          </w:tcPr>
          <w:p w:rsidR="00F20F4D" w:rsidRPr="00F20F4D" w:rsidRDefault="00F20F4D" w:rsidP="00F20F4D">
            <w:pPr>
              <w:jc w:val="right"/>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Tasa Ley 100/93: </w:t>
            </w:r>
          </w:p>
        </w:tc>
        <w:tc>
          <w:tcPr>
            <w:tcW w:w="751" w:type="dxa"/>
            <w:tcBorders>
              <w:top w:val="single" w:sz="4" w:space="0" w:color="auto"/>
              <w:left w:val="nil"/>
              <w:bottom w:val="single" w:sz="4" w:space="0" w:color="auto"/>
              <w:right w:val="nil"/>
            </w:tcBorders>
            <w:shd w:val="clear" w:color="auto" w:fill="auto"/>
            <w:noWrap/>
            <w:vAlign w:val="center"/>
            <w:hideMark/>
          </w:tcPr>
          <w:p w:rsidR="00F20F4D" w:rsidRPr="00F20F4D" w:rsidRDefault="00F20F4D" w:rsidP="00F20F4D">
            <w:pPr>
              <w:jc w:val="center"/>
              <w:rPr>
                <w:rFonts w:ascii="Arial Narrow" w:hAnsi="Arial Narrow"/>
                <w:b/>
                <w:bCs/>
                <w:color w:val="000000"/>
                <w:sz w:val="16"/>
                <w:szCs w:val="16"/>
                <w:lang w:val="es-ES"/>
              </w:rPr>
            </w:pPr>
            <w:r w:rsidRPr="00F20F4D">
              <w:rPr>
                <w:rFonts w:ascii="Arial Narrow" w:hAnsi="Arial Narrow"/>
                <w:b/>
                <w:bCs/>
                <w:color w:val="000000"/>
                <w:sz w:val="16"/>
                <w:szCs w:val="16"/>
                <w:lang w:val="es-ES"/>
              </w:rPr>
              <w:t>NO</w:t>
            </w:r>
          </w:p>
        </w:tc>
        <w:tc>
          <w:tcPr>
            <w:tcW w:w="751" w:type="dxa"/>
            <w:tcBorders>
              <w:top w:val="single" w:sz="4" w:space="0" w:color="auto"/>
              <w:left w:val="single" w:sz="4" w:space="0" w:color="808000"/>
              <w:bottom w:val="single" w:sz="4" w:space="0" w:color="auto"/>
              <w:right w:val="nil"/>
            </w:tcBorders>
            <w:shd w:val="clear" w:color="000000" w:fill="FFFF99"/>
            <w:noWrap/>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75,00%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20F4D" w:rsidRPr="00F20F4D" w:rsidRDefault="00F20F4D" w:rsidP="00F20F4D">
            <w:pPr>
              <w:rPr>
                <w:rFonts w:ascii="Arial Narrow" w:hAnsi="Arial Narrow"/>
                <w:i/>
                <w:iCs/>
                <w:color w:val="000000"/>
                <w:szCs w:val="24"/>
                <w:lang w:val="es-ES"/>
              </w:rPr>
            </w:pPr>
            <w:bookmarkStart w:id="0" w:name="RANGE!J5"/>
            <w:r w:rsidRPr="00F20F4D">
              <w:rPr>
                <w:rFonts w:ascii="Arial Narrow" w:hAnsi="Arial Narrow"/>
                <w:i/>
                <w:iCs/>
                <w:color w:val="000000"/>
                <w:szCs w:val="24"/>
                <w:lang w:val="es-ES"/>
              </w:rPr>
              <w:t> </w:t>
            </w:r>
            <w:bookmarkEnd w:id="0"/>
          </w:p>
        </w:tc>
      </w:tr>
      <w:tr w:rsidR="00F20F4D" w:rsidRPr="00F20F4D" w:rsidTr="00F20F4D">
        <w:trPr>
          <w:trHeight w:val="45"/>
        </w:trPr>
        <w:tc>
          <w:tcPr>
            <w:tcW w:w="795"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Cs w:val="24"/>
                <w:lang w:val="es-ES"/>
              </w:rPr>
            </w:pPr>
          </w:p>
        </w:tc>
        <w:tc>
          <w:tcPr>
            <w:tcW w:w="92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832"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567"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028"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581" w:type="dxa"/>
            <w:tcBorders>
              <w:top w:val="nil"/>
              <w:left w:val="single" w:sz="4" w:space="0" w:color="auto"/>
              <w:bottom w:val="nil"/>
              <w:right w:val="nil"/>
            </w:tcBorders>
            <w:shd w:val="clear" w:color="auto" w:fill="auto"/>
            <w:noWrap/>
            <w:vAlign w:val="bottom"/>
            <w:hideMark/>
          </w:tcPr>
          <w:p w:rsidR="00F20F4D" w:rsidRPr="00F20F4D" w:rsidRDefault="00F20F4D" w:rsidP="00F20F4D">
            <w:pPr>
              <w:rPr>
                <w:rFonts w:ascii="Arial Narrow" w:hAnsi="Arial Narrow"/>
                <w:i/>
                <w:iCs/>
                <w:color w:val="000000"/>
                <w:szCs w:val="24"/>
                <w:lang w:val="es-ES"/>
              </w:rPr>
            </w:pPr>
            <w:r w:rsidRPr="00F20F4D">
              <w:rPr>
                <w:rFonts w:ascii="Arial Narrow" w:hAnsi="Arial Narrow"/>
                <w:i/>
                <w:iCs/>
                <w:color w:val="000000"/>
                <w:szCs w:val="24"/>
                <w:lang w:val="es-ES"/>
              </w:rPr>
              <w:t> </w:t>
            </w: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Cs w:val="24"/>
                <w:lang w:val="es-ES"/>
              </w:rPr>
            </w:pP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420" w:type="dxa"/>
            <w:tcBorders>
              <w:top w:val="nil"/>
              <w:left w:val="nil"/>
              <w:bottom w:val="nil"/>
              <w:right w:val="single" w:sz="4" w:space="0" w:color="auto"/>
            </w:tcBorders>
            <w:shd w:val="clear" w:color="auto" w:fill="auto"/>
            <w:noWrap/>
            <w:vAlign w:val="bottom"/>
            <w:hideMark/>
          </w:tcPr>
          <w:p w:rsidR="00F20F4D" w:rsidRPr="00F20F4D" w:rsidRDefault="00F20F4D" w:rsidP="00F20F4D">
            <w:pPr>
              <w:rPr>
                <w:rFonts w:ascii="Arial Narrow" w:hAnsi="Arial Narrow"/>
                <w:i/>
                <w:iCs/>
                <w:color w:val="000000"/>
                <w:szCs w:val="24"/>
                <w:lang w:val="es-ES"/>
              </w:rPr>
            </w:pPr>
            <w:r w:rsidRPr="00F20F4D">
              <w:rPr>
                <w:rFonts w:ascii="Arial Narrow" w:hAnsi="Arial Narrow"/>
                <w:i/>
                <w:iCs/>
                <w:color w:val="000000"/>
                <w:szCs w:val="24"/>
                <w:lang w:val="es-ES"/>
              </w:rPr>
              <w:t> </w:t>
            </w:r>
          </w:p>
        </w:tc>
      </w:tr>
      <w:tr w:rsidR="00F20F4D" w:rsidRPr="00F20F4D" w:rsidTr="00F20F4D">
        <w:trPr>
          <w:trHeight w:val="435"/>
        </w:trPr>
        <w:tc>
          <w:tcPr>
            <w:tcW w:w="4142"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HISTORIA LABORAL DEL AFILIADO</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b/>
                <w:bCs/>
                <w:i/>
                <w:iCs/>
                <w:color w:val="000000"/>
                <w:sz w:val="16"/>
                <w:szCs w:val="16"/>
                <w:lang w:val="es-ES"/>
              </w:rPr>
            </w:pPr>
          </w:p>
        </w:tc>
        <w:tc>
          <w:tcPr>
            <w:tcW w:w="1581"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Ingreso Base de cotización actualizado</w:t>
            </w:r>
          </w:p>
        </w:tc>
        <w:tc>
          <w:tcPr>
            <w:tcW w:w="1502" w:type="dxa"/>
            <w:gridSpan w:val="2"/>
            <w:tcBorders>
              <w:top w:val="single" w:sz="4" w:space="0" w:color="auto"/>
              <w:left w:val="nil"/>
              <w:bottom w:val="single" w:sz="4" w:space="0" w:color="808000"/>
              <w:right w:val="nil"/>
            </w:tcBorders>
            <w:shd w:val="clear" w:color="000000" w:fill="FFFF99"/>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IPC Dane                                    (serie de empalme)</w:t>
            </w:r>
          </w:p>
        </w:tc>
        <w:tc>
          <w:tcPr>
            <w:tcW w:w="1420"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F20F4D" w:rsidRPr="00F20F4D" w:rsidRDefault="00F20F4D" w:rsidP="00F20F4D">
            <w:pPr>
              <w:jc w:val="center"/>
              <w:rPr>
                <w:rFonts w:ascii="Arial Narrow" w:hAnsi="Arial Narrow"/>
                <w:b/>
                <w:bCs/>
                <w:i/>
                <w:iCs/>
                <w:color w:val="000000"/>
                <w:sz w:val="20"/>
                <w:lang w:val="es-ES"/>
              </w:rPr>
            </w:pPr>
            <w:r w:rsidRPr="00F20F4D">
              <w:rPr>
                <w:rFonts w:ascii="Arial Narrow" w:hAnsi="Arial Narrow"/>
                <w:b/>
                <w:bCs/>
                <w:i/>
                <w:iCs/>
                <w:color w:val="000000"/>
                <w:sz w:val="20"/>
                <w:lang w:val="es-ES"/>
              </w:rPr>
              <w:t>Promedio Salarial        (Dias x IBC actualizado/total dias)</w:t>
            </w:r>
          </w:p>
        </w:tc>
      </w:tr>
      <w:tr w:rsidR="00F20F4D" w:rsidRPr="00F20F4D" w:rsidTr="00F20F4D">
        <w:trPr>
          <w:trHeight w:val="315"/>
        </w:trPr>
        <w:tc>
          <w:tcPr>
            <w:tcW w:w="2547"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Fechas de aporte</w:t>
            </w:r>
          </w:p>
        </w:tc>
        <w:tc>
          <w:tcPr>
            <w:tcW w:w="567"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Número de días</w:t>
            </w:r>
          </w:p>
        </w:tc>
        <w:tc>
          <w:tcPr>
            <w:tcW w:w="1028"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Ingreso Base de Cotización</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b/>
                <w:bCs/>
                <w:i/>
                <w:iCs/>
                <w:color w:val="000000"/>
                <w:sz w:val="16"/>
                <w:szCs w:val="16"/>
                <w:lang w:val="es-ES"/>
              </w:rPr>
            </w:pPr>
          </w:p>
        </w:tc>
        <w:tc>
          <w:tcPr>
            <w:tcW w:w="1581" w:type="dxa"/>
            <w:vMerge/>
            <w:tcBorders>
              <w:top w:val="single" w:sz="4" w:space="0" w:color="auto"/>
              <w:left w:val="single" w:sz="4" w:space="0" w:color="auto"/>
              <w:bottom w:val="single" w:sz="8" w:space="0" w:color="000000"/>
              <w:right w:val="single" w:sz="4" w:space="0" w:color="808000"/>
            </w:tcBorders>
            <w:vAlign w:val="center"/>
            <w:hideMark/>
          </w:tcPr>
          <w:p w:rsidR="00F20F4D" w:rsidRPr="00F20F4D" w:rsidRDefault="00F20F4D" w:rsidP="00F20F4D">
            <w:pPr>
              <w:rPr>
                <w:rFonts w:ascii="Arial Narrow" w:hAnsi="Arial Narrow"/>
                <w:b/>
                <w:bCs/>
                <w:i/>
                <w:iCs/>
                <w:color w:val="000000"/>
                <w:sz w:val="16"/>
                <w:szCs w:val="16"/>
                <w:lang w:val="es-ES"/>
              </w:rPr>
            </w:pPr>
          </w:p>
        </w:tc>
        <w:tc>
          <w:tcPr>
            <w:tcW w:w="751"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IPC Final</w:t>
            </w:r>
          </w:p>
        </w:tc>
        <w:tc>
          <w:tcPr>
            <w:tcW w:w="751"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IPC Inicial</w:t>
            </w:r>
          </w:p>
        </w:tc>
        <w:tc>
          <w:tcPr>
            <w:tcW w:w="1420" w:type="dxa"/>
            <w:vMerge/>
            <w:tcBorders>
              <w:top w:val="single" w:sz="4" w:space="0" w:color="auto"/>
              <w:left w:val="single" w:sz="4" w:space="0" w:color="808000"/>
              <w:bottom w:val="single" w:sz="8" w:space="0" w:color="000000"/>
              <w:right w:val="single" w:sz="4" w:space="0" w:color="auto"/>
            </w:tcBorders>
            <w:vAlign w:val="center"/>
            <w:hideMark/>
          </w:tcPr>
          <w:p w:rsidR="00F20F4D" w:rsidRPr="00F20F4D" w:rsidRDefault="00F20F4D" w:rsidP="00F20F4D">
            <w:pPr>
              <w:rPr>
                <w:rFonts w:ascii="Arial Narrow" w:hAnsi="Arial Narrow"/>
                <w:b/>
                <w:bCs/>
                <w:i/>
                <w:iCs/>
                <w:color w:val="000000"/>
                <w:sz w:val="20"/>
                <w:lang w:val="es-ES"/>
              </w:rPr>
            </w:pPr>
          </w:p>
        </w:tc>
      </w:tr>
      <w:tr w:rsidR="00F20F4D" w:rsidRPr="00F20F4D" w:rsidTr="00F20F4D">
        <w:trPr>
          <w:trHeight w:val="495"/>
        </w:trPr>
        <w:tc>
          <w:tcPr>
            <w:tcW w:w="795" w:type="dxa"/>
            <w:tcBorders>
              <w:top w:val="nil"/>
              <w:left w:val="single" w:sz="8" w:space="0" w:color="auto"/>
              <w:bottom w:val="single" w:sz="8" w:space="0" w:color="auto"/>
              <w:right w:val="single" w:sz="4" w:space="0" w:color="808000"/>
            </w:tcBorders>
            <w:shd w:val="clear" w:color="000000" w:fill="FFFF99"/>
            <w:noWrap/>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Empleador</w:t>
            </w:r>
          </w:p>
        </w:tc>
        <w:tc>
          <w:tcPr>
            <w:tcW w:w="920" w:type="dxa"/>
            <w:tcBorders>
              <w:top w:val="nil"/>
              <w:left w:val="nil"/>
              <w:bottom w:val="single" w:sz="8" w:space="0" w:color="auto"/>
              <w:right w:val="single" w:sz="4" w:space="0" w:color="808000"/>
            </w:tcBorders>
            <w:shd w:val="clear" w:color="000000" w:fill="FFFF99"/>
            <w:noWrap/>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Desde</w:t>
            </w:r>
          </w:p>
        </w:tc>
        <w:tc>
          <w:tcPr>
            <w:tcW w:w="832" w:type="dxa"/>
            <w:tcBorders>
              <w:top w:val="nil"/>
              <w:left w:val="nil"/>
              <w:bottom w:val="single" w:sz="8" w:space="0" w:color="auto"/>
              <w:right w:val="single" w:sz="4" w:space="0" w:color="808000"/>
            </w:tcBorders>
            <w:shd w:val="clear" w:color="000000" w:fill="FFFF99"/>
            <w:noWrap/>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Hasta</w:t>
            </w:r>
          </w:p>
        </w:tc>
        <w:tc>
          <w:tcPr>
            <w:tcW w:w="567" w:type="dxa"/>
            <w:vMerge/>
            <w:tcBorders>
              <w:top w:val="nil"/>
              <w:left w:val="single" w:sz="4" w:space="0" w:color="808000"/>
              <w:bottom w:val="single" w:sz="8" w:space="0" w:color="000000"/>
              <w:right w:val="single" w:sz="4" w:space="0" w:color="808000"/>
            </w:tcBorders>
            <w:vAlign w:val="center"/>
            <w:hideMark/>
          </w:tcPr>
          <w:p w:rsidR="00F20F4D" w:rsidRPr="00F20F4D" w:rsidRDefault="00F20F4D" w:rsidP="00F20F4D">
            <w:pPr>
              <w:rPr>
                <w:rFonts w:ascii="Arial Narrow" w:hAnsi="Arial Narrow"/>
                <w:b/>
                <w:bCs/>
                <w:i/>
                <w:iCs/>
                <w:color w:val="000000"/>
                <w:sz w:val="16"/>
                <w:szCs w:val="16"/>
                <w:lang w:val="es-ES"/>
              </w:rPr>
            </w:pPr>
          </w:p>
        </w:tc>
        <w:tc>
          <w:tcPr>
            <w:tcW w:w="1028" w:type="dxa"/>
            <w:vMerge/>
            <w:tcBorders>
              <w:top w:val="nil"/>
              <w:left w:val="single" w:sz="4" w:space="0" w:color="808000"/>
              <w:bottom w:val="single" w:sz="8" w:space="0" w:color="000000"/>
              <w:right w:val="single" w:sz="8" w:space="0" w:color="auto"/>
            </w:tcBorders>
            <w:vAlign w:val="center"/>
            <w:hideMark/>
          </w:tcPr>
          <w:p w:rsidR="00F20F4D" w:rsidRPr="00F20F4D" w:rsidRDefault="00F20F4D" w:rsidP="00F20F4D">
            <w:pPr>
              <w:rPr>
                <w:rFonts w:ascii="Arial Narrow" w:hAnsi="Arial Narrow"/>
                <w:b/>
                <w:bCs/>
                <w:i/>
                <w:iCs/>
                <w:color w:val="000000"/>
                <w:sz w:val="16"/>
                <w:szCs w:val="16"/>
                <w:lang w:val="es-ES"/>
              </w:rPr>
            </w:pPr>
          </w:p>
        </w:tc>
        <w:tc>
          <w:tcPr>
            <w:tcW w:w="260"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b/>
                <w:bCs/>
                <w:i/>
                <w:iCs/>
                <w:color w:val="000000"/>
                <w:sz w:val="16"/>
                <w:szCs w:val="16"/>
                <w:lang w:val="es-ES"/>
              </w:rPr>
            </w:pPr>
          </w:p>
        </w:tc>
        <w:tc>
          <w:tcPr>
            <w:tcW w:w="1581" w:type="dxa"/>
            <w:vMerge/>
            <w:tcBorders>
              <w:top w:val="single" w:sz="4" w:space="0" w:color="auto"/>
              <w:left w:val="single" w:sz="4" w:space="0" w:color="auto"/>
              <w:bottom w:val="single" w:sz="8" w:space="0" w:color="000000"/>
              <w:right w:val="single" w:sz="4" w:space="0" w:color="808000"/>
            </w:tcBorders>
            <w:vAlign w:val="center"/>
            <w:hideMark/>
          </w:tcPr>
          <w:p w:rsidR="00F20F4D" w:rsidRPr="00F20F4D" w:rsidRDefault="00F20F4D" w:rsidP="00F20F4D">
            <w:pPr>
              <w:rPr>
                <w:rFonts w:ascii="Arial Narrow" w:hAnsi="Arial Narrow"/>
                <w:b/>
                <w:bCs/>
                <w:i/>
                <w:iCs/>
                <w:color w:val="000000"/>
                <w:sz w:val="16"/>
                <w:szCs w:val="16"/>
                <w:lang w:val="es-ES"/>
              </w:rPr>
            </w:pPr>
          </w:p>
        </w:tc>
        <w:tc>
          <w:tcPr>
            <w:tcW w:w="751" w:type="dxa"/>
            <w:vMerge/>
            <w:tcBorders>
              <w:top w:val="nil"/>
              <w:left w:val="single" w:sz="4" w:space="0" w:color="808000"/>
              <w:bottom w:val="single" w:sz="8" w:space="0" w:color="000000"/>
              <w:right w:val="single" w:sz="4" w:space="0" w:color="808000"/>
            </w:tcBorders>
            <w:vAlign w:val="center"/>
            <w:hideMark/>
          </w:tcPr>
          <w:p w:rsidR="00F20F4D" w:rsidRPr="00F20F4D" w:rsidRDefault="00F20F4D" w:rsidP="00F20F4D">
            <w:pPr>
              <w:rPr>
                <w:rFonts w:ascii="Arial Narrow" w:hAnsi="Arial Narrow"/>
                <w:b/>
                <w:bCs/>
                <w:i/>
                <w:iCs/>
                <w:color w:val="000000"/>
                <w:sz w:val="16"/>
                <w:szCs w:val="16"/>
                <w:lang w:val="es-ES"/>
              </w:rPr>
            </w:pPr>
          </w:p>
        </w:tc>
        <w:tc>
          <w:tcPr>
            <w:tcW w:w="751" w:type="dxa"/>
            <w:vMerge/>
            <w:tcBorders>
              <w:top w:val="nil"/>
              <w:left w:val="single" w:sz="4" w:space="0" w:color="808000"/>
              <w:bottom w:val="single" w:sz="8" w:space="0" w:color="000000"/>
              <w:right w:val="single" w:sz="4" w:space="0" w:color="808000"/>
            </w:tcBorders>
            <w:vAlign w:val="center"/>
            <w:hideMark/>
          </w:tcPr>
          <w:p w:rsidR="00F20F4D" w:rsidRPr="00F20F4D" w:rsidRDefault="00F20F4D" w:rsidP="00F20F4D">
            <w:pPr>
              <w:rPr>
                <w:rFonts w:ascii="Arial Narrow" w:hAnsi="Arial Narrow"/>
                <w:b/>
                <w:bCs/>
                <w:i/>
                <w:iCs/>
                <w:color w:val="000000"/>
                <w:sz w:val="16"/>
                <w:szCs w:val="16"/>
                <w:lang w:val="es-ES"/>
              </w:rPr>
            </w:pPr>
          </w:p>
        </w:tc>
        <w:tc>
          <w:tcPr>
            <w:tcW w:w="1420" w:type="dxa"/>
            <w:vMerge/>
            <w:tcBorders>
              <w:top w:val="single" w:sz="4" w:space="0" w:color="auto"/>
              <w:left w:val="single" w:sz="4" w:space="0" w:color="808000"/>
              <w:bottom w:val="single" w:sz="8" w:space="0" w:color="000000"/>
              <w:right w:val="single" w:sz="4" w:space="0" w:color="auto"/>
            </w:tcBorders>
            <w:vAlign w:val="center"/>
            <w:hideMark/>
          </w:tcPr>
          <w:p w:rsidR="00F20F4D" w:rsidRPr="00F20F4D" w:rsidRDefault="00F20F4D" w:rsidP="00F20F4D">
            <w:pPr>
              <w:rPr>
                <w:rFonts w:ascii="Arial Narrow" w:hAnsi="Arial Narrow"/>
                <w:b/>
                <w:bCs/>
                <w:i/>
                <w:iCs/>
                <w:color w:val="000000"/>
                <w:sz w:val="20"/>
                <w:lang w:val="es-ES"/>
              </w:rPr>
            </w:pPr>
          </w:p>
        </w:tc>
      </w:tr>
      <w:tr w:rsidR="00F20F4D" w:rsidRPr="00F20F4D" w:rsidTr="00F20F4D">
        <w:trPr>
          <w:trHeight w:val="315"/>
        </w:trPr>
        <w:tc>
          <w:tcPr>
            <w:tcW w:w="795"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01-ene-98</w:t>
            </w:r>
          </w:p>
        </w:tc>
        <w:tc>
          <w:tcPr>
            <w:tcW w:w="832"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28-feb-98</w:t>
            </w:r>
          </w:p>
        </w:tc>
        <w:tc>
          <w:tcPr>
            <w:tcW w:w="56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59</w:t>
            </w:r>
          </w:p>
        </w:tc>
        <w:tc>
          <w:tcPr>
            <w:tcW w:w="1028"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480.000,00 </w:t>
            </w:r>
          </w:p>
        </w:tc>
        <w:tc>
          <w:tcPr>
            <w:tcW w:w="260" w:type="dxa"/>
            <w:tcBorders>
              <w:top w:val="single" w:sz="4" w:space="0" w:color="808000"/>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1.200.324,97 </w:t>
            </w:r>
          </w:p>
        </w:tc>
        <w:tc>
          <w:tcPr>
            <w:tcW w:w="751"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44,72 </w:t>
            </w:r>
          </w:p>
        </w:tc>
        <w:tc>
          <w:tcPr>
            <w:tcW w:w="1420"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19.672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01-nov-97</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31-dic-97</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59</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400.000,00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1.177.160,76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38,00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19.292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01-jun-97</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30-sep-97</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120</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400.000,00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1.177.160,76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38,00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39.239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01-may-97</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31-may-97</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30</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401.000,00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1.180.103,66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38,00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9.834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01-ene-97</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31-ene-97</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30</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400.000,00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1.177.160,76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38,00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9.810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01-jul-97</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31-dic-97</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180</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400.000,00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1.177.160,76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38,00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58.858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01-mar-95</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31-mar-95</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30</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203.000,00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868.150,40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26,15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7.235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01-feb-95</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28-feb-95</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30</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559.000,00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2.390.621,04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26,15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19.922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01-ene-95</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31-ene-95</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30</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356.000,00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1.522.470,65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26,15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12.687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01-ene-94</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31-dic-94</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365</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328.930,00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1.724.559,42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21,33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174.851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01-ene-93</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31-dic-93</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365</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267.422,00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1.719.057,51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17,40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174.293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01-ene-92</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31-dic-92</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366</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213.936,00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1.720.884,75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13,90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174.957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01-ene-91</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31-dic-91</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365</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168.720,00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1.721.215,04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10,96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174.512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01-ene-90</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31-dic-90</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365</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138.295,00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1.867.484,87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8,28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189.342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01-ene-89</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31-dic-89</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365</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112.848,00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1.921.933,92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6,57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194.863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01-ene-88</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31-dic-88</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366</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90.278,00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1.969.964,48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5,12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200.280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01-ene-87</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30-ago-87</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242</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69.222,00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1.873.346,41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4,13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125.931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01-sep-87</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31-dic-87</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122</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71.610,00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1.937.972,56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4,13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65.676 </w:t>
            </w:r>
          </w:p>
        </w:tc>
      </w:tr>
      <w:tr w:rsidR="00F20F4D" w:rsidRPr="00F20F4D" w:rsidTr="00F20F4D">
        <w:trPr>
          <w:trHeight w:val="315"/>
        </w:trPr>
        <w:tc>
          <w:tcPr>
            <w:tcW w:w="795" w:type="dxa"/>
            <w:tcBorders>
              <w:top w:val="nil"/>
              <w:left w:val="single" w:sz="8" w:space="0" w:color="auto"/>
              <w:bottom w:val="single" w:sz="4" w:space="0" w:color="808000"/>
              <w:right w:val="single" w:sz="4" w:space="0" w:color="808000"/>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w:t>
            </w:r>
          </w:p>
        </w:tc>
        <w:tc>
          <w:tcPr>
            <w:tcW w:w="920"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13-may-86</w:t>
            </w:r>
          </w:p>
        </w:tc>
        <w:tc>
          <w:tcPr>
            <w:tcW w:w="832"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Arial Narrow" w:hAnsi="Arial Narrow"/>
                <w:i/>
                <w:iCs/>
                <w:color w:val="000000"/>
                <w:sz w:val="16"/>
                <w:szCs w:val="16"/>
                <w:lang w:val="es-ES"/>
              </w:rPr>
            </w:pPr>
            <w:r w:rsidRPr="00F20F4D">
              <w:rPr>
                <w:rFonts w:ascii="Arial Narrow" w:hAnsi="Arial Narrow"/>
                <w:i/>
                <w:iCs/>
                <w:color w:val="000000"/>
                <w:sz w:val="16"/>
                <w:szCs w:val="16"/>
                <w:lang w:val="es-ES"/>
              </w:rPr>
              <w:t>31-ago-86</w:t>
            </w:r>
          </w:p>
        </w:tc>
        <w:tc>
          <w:tcPr>
            <w:tcW w:w="567"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111</w:t>
            </w:r>
          </w:p>
        </w:tc>
        <w:tc>
          <w:tcPr>
            <w:tcW w:w="1028" w:type="dxa"/>
            <w:tcBorders>
              <w:top w:val="nil"/>
              <w:left w:val="nil"/>
              <w:bottom w:val="single" w:sz="4" w:space="0" w:color="808000"/>
              <w:right w:val="single" w:sz="8"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53.296,00 </w:t>
            </w: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1581" w:type="dxa"/>
            <w:tcBorders>
              <w:top w:val="nil"/>
              <w:left w:val="single" w:sz="4" w:space="0" w:color="auto"/>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 xml:space="preserve">                   1.744.465,50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111,82 </w:t>
            </w:r>
          </w:p>
        </w:tc>
        <w:tc>
          <w:tcPr>
            <w:tcW w:w="751"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cente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3,42 </w:t>
            </w:r>
          </w:p>
        </w:tc>
        <w:tc>
          <w:tcPr>
            <w:tcW w:w="1420" w:type="dxa"/>
            <w:tcBorders>
              <w:top w:val="nil"/>
              <w:left w:val="nil"/>
              <w:bottom w:val="single" w:sz="4" w:space="0" w:color="808000"/>
              <w:right w:val="single" w:sz="4" w:space="0" w:color="auto"/>
            </w:tcBorders>
            <w:shd w:val="clear" w:color="auto" w:fill="auto"/>
            <w:noWrap/>
            <w:vAlign w:val="center"/>
            <w:hideMark/>
          </w:tcPr>
          <w:p w:rsidR="00F20F4D" w:rsidRPr="00F20F4D" w:rsidRDefault="00F20F4D" w:rsidP="00F20F4D">
            <w:pPr>
              <w:rPr>
                <w:rFonts w:ascii="Arial Narrow" w:hAnsi="Arial Narrow"/>
                <w:i/>
                <w:iCs/>
                <w:color w:val="000000"/>
                <w:sz w:val="16"/>
                <w:szCs w:val="16"/>
                <w:lang w:val="es-ES"/>
              </w:rPr>
            </w:pPr>
            <w:r w:rsidRPr="00F20F4D">
              <w:rPr>
                <w:rFonts w:ascii="Arial Narrow" w:hAnsi="Arial Narrow"/>
                <w:i/>
                <w:iCs/>
                <w:color w:val="000000"/>
                <w:sz w:val="16"/>
                <w:szCs w:val="16"/>
                <w:lang w:val="es-ES"/>
              </w:rPr>
              <w:t xml:space="preserve">                            53.788 </w:t>
            </w:r>
          </w:p>
        </w:tc>
      </w:tr>
      <w:tr w:rsidR="00F20F4D" w:rsidRPr="00F20F4D" w:rsidTr="00F20F4D">
        <w:trPr>
          <w:trHeight w:val="315"/>
        </w:trPr>
        <w:tc>
          <w:tcPr>
            <w:tcW w:w="795"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i/>
                <w:iCs/>
                <w:color w:val="000000"/>
                <w:sz w:val="16"/>
                <w:szCs w:val="16"/>
                <w:lang w:val="es-ES"/>
              </w:rPr>
            </w:pPr>
          </w:p>
        </w:tc>
        <w:tc>
          <w:tcPr>
            <w:tcW w:w="92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832"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567"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028"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58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75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42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r>
      <w:tr w:rsidR="00F20F4D" w:rsidRPr="00F20F4D" w:rsidTr="00F20F4D">
        <w:trPr>
          <w:trHeight w:val="315"/>
        </w:trPr>
        <w:tc>
          <w:tcPr>
            <w:tcW w:w="2547"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TOTAL DIAS</w:t>
            </w:r>
          </w:p>
        </w:tc>
        <w:tc>
          <w:tcPr>
            <w:tcW w:w="567" w:type="dxa"/>
            <w:tcBorders>
              <w:top w:val="single" w:sz="4" w:space="0" w:color="333300"/>
              <w:left w:val="nil"/>
              <w:bottom w:val="single" w:sz="4" w:space="0" w:color="333300"/>
              <w:right w:val="single" w:sz="4" w:space="0" w:color="333300"/>
            </w:tcBorders>
            <w:shd w:val="clear" w:color="000000" w:fill="FFFF99"/>
            <w:noWrap/>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3.600</w:t>
            </w:r>
          </w:p>
        </w:tc>
        <w:tc>
          <w:tcPr>
            <w:tcW w:w="1028" w:type="dxa"/>
            <w:tcBorders>
              <w:top w:val="nil"/>
              <w:left w:val="nil"/>
              <w:bottom w:val="nil"/>
              <w:right w:val="nil"/>
            </w:tcBorders>
            <w:shd w:val="clear" w:color="auto" w:fill="auto"/>
            <w:noWrap/>
            <w:vAlign w:val="bottom"/>
            <w:hideMark/>
          </w:tcPr>
          <w:p w:rsidR="00F20F4D" w:rsidRPr="00F20F4D" w:rsidRDefault="00F20F4D" w:rsidP="00F20F4D">
            <w:pPr>
              <w:jc w:val="center"/>
              <w:rPr>
                <w:rFonts w:ascii="Arial Narrow" w:hAnsi="Arial Narrow"/>
                <w:b/>
                <w:bCs/>
                <w:i/>
                <w:iCs/>
                <w:color w:val="000000"/>
                <w:sz w:val="16"/>
                <w:szCs w:val="16"/>
                <w:lang w:val="es-ES"/>
              </w:rPr>
            </w:pPr>
          </w:p>
        </w:tc>
        <w:tc>
          <w:tcPr>
            <w:tcW w:w="260"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581" w:type="dxa"/>
            <w:tcBorders>
              <w:top w:val="nil"/>
              <w:left w:val="nil"/>
              <w:bottom w:val="nil"/>
              <w:right w:val="nil"/>
            </w:tcBorders>
            <w:shd w:val="clear" w:color="auto" w:fill="auto"/>
            <w:noWrap/>
            <w:vAlign w:val="bottom"/>
            <w:hideMark/>
          </w:tcPr>
          <w:p w:rsidR="00F20F4D" w:rsidRPr="00F20F4D" w:rsidRDefault="00F20F4D" w:rsidP="00F20F4D">
            <w:pPr>
              <w:rPr>
                <w:rFonts w:ascii="Arial Narrow" w:hAnsi="Arial Narrow"/>
                <w:sz w:val="20"/>
                <w:lang w:val="es-ES"/>
              </w:rPr>
            </w:pPr>
          </w:p>
        </w:tc>
        <w:tc>
          <w:tcPr>
            <w:tcW w:w="1502"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F20F4D" w:rsidRPr="00F20F4D" w:rsidRDefault="00F20F4D" w:rsidP="00F20F4D">
            <w:pPr>
              <w:jc w:val="center"/>
              <w:rPr>
                <w:rFonts w:ascii="Arial Narrow" w:hAnsi="Arial Narrow"/>
                <w:b/>
                <w:bCs/>
                <w:i/>
                <w:iCs/>
                <w:color w:val="000000"/>
                <w:sz w:val="16"/>
                <w:szCs w:val="16"/>
                <w:lang w:val="es-ES"/>
              </w:rPr>
            </w:pPr>
            <w:r w:rsidRPr="00F20F4D">
              <w:rPr>
                <w:rFonts w:ascii="Arial Narrow" w:hAnsi="Arial Narrow"/>
                <w:b/>
                <w:bCs/>
                <w:i/>
                <w:iCs/>
                <w:color w:val="000000"/>
                <w:sz w:val="16"/>
                <w:szCs w:val="16"/>
                <w:lang w:val="es-ES"/>
              </w:rPr>
              <w:t>IBL</w:t>
            </w:r>
          </w:p>
        </w:tc>
        <w:tc>
          <w:tcPr>
            <w:tcW w:w="1420" w:type="dxa"/>
            <w:tcBorders>
              <w:top w:val="single" w:sz="4" w:space="0" w:color="333300"/>
              <w:left w:val="nil"/>
              <w:bottom w:val="single" w:sz="4" w:space="0" w:color="333300"/>
              <w:right w:val="single" w:sz="4" w:space="0" w:color="333300"/>
            </w:tcBorders>
            <w:shd w:val="clear" w:color="000000" w:fill="FFFF99"/>
            <w:noWrap/>
            <w:vAlign w:val="center"/>
            <w:hideMark/>
          </w:tcPr>
          <w:p w:rsidR="00F20F4D" w:rsidRPr="00F20F4D" w:rsidRDefault="00F20F4D" w:rsidP="00F20F4D">
            <w:pPr>
              <w:jc w:val="center"/>
              <w:rPr>
                <w:rFonts w:ascii="Arial Narrow" w:hAnsi="Arial Narrow"/>
                <w:color w:val="000000"/>
                <w:szCs w:val="24"/>
                <w:lang w:val="es-ES"/>
              </w:rPr>
            </w:pPr>
            <w:r w:rsidRPr="00F20F4D">
              <w:rPr>
                <w:rFonts w:ascii="Arial Narrow" w:hAnsi="Arial Narrow"/>
                <w:color w:val="000000"/>
                <w:szCs w:val="24"/>
                <w:lang w:val="es-ES"/>
              </w:rPr>
              <w:t xml:space="preserve">      1.725.040 </w:t>
            </w:r>
          </w:p>
        </w:tc>
      </w:tr>
    </w:tbl>
    <w:p w:rsidR="00EC1D8F" w:rsidRDefault="00EC1D8F" w:rsidP="00EC1D8F">
      <w:pPr>
        <w:jc w:val="center"/>
        <w:rPr>
          <w:rFonts w:ascii="Arial Narrow" w:hAnsi="Arial Narrow" w:cs="Microsoft Sans Serif"/>
          <w:b/>
          <w:bCs/>
          <w:iCs/>
          <w:sz w:val="28"/>
          <w:szCs w:val="28"/>
          <w:lang w:val="es-ES"/>
        </w:rPr>
      </w:pPr>
    </w:p>
    <w:p w:rsidR="00EC1D8F" w:rsidRDefault="00EC1D8F" w:rsidP="00EC1D8F">
      <w:pPr>
        <w:jc w:val="center"/>
        <w:rPr>
          <w:rFonts w:ascii="Arial Narrow" w:hAnsi="Arial Narrow" w:cs="Microsoft Sans Serif"/>
          <w:b/>
          <w:bCs/>
          <w:iCs/>
          <w:sz w:val="28"/>
          <w:szCs w:val="28"/>
          <w:lang w:val="es-ES"/>
        </w:rPr>
      </w:pPr>
    </w:p>
    <w:p w:rsidR="00EC1D8F" w:rsidRDefault="00EC1D8F" w:rsidP="00EC1D8F">
      <w:pPr>
        <w:jc w:val="center"/>
        <w:rPr>
          <w:rFonts w:ascii="Arial Narrow" w:hAnsi="Arial Narrow" w:cs="Microsoft Sans Serif"/>
          <w:b/>
          <w:bCs/>
          <w:iCs/>
          <w:sz w:val="28"/>
          <w:szCs w:val="28"/>
          <w:lang w:val="es-ES"/>
        </w:rPr>
      </w:pPr>
    </w:p>
    <w:p w:rsidR="00EC1D8F" w:rsidRDefault="00EC1D8F" w:rsidP="00EC1D8F">
      <w:pPr>
        <w:spacing w:line="360" w:lineRule="auto"/>
        <w:ind w:firstLine="900"/>
        <w:jc w:val="center"/>
        <w:rPr>
          <w:rFonts w:ascii="Arial Narrow" w:hAnsi="Arial Narrow"/>
          <w:b/>
          <w:sz w:val="28"/>
          <w:szCs w:val="28"/>
        </w:rPr>
      </w:pPr>
      <w:r>
        <w:rPr>
          <w:rFonts w:ascii="Arial Narrow" w:hAnsi="Arial Narrow"/>
          <w:b/>
          <w:sz w:val="28"/>
          <w:szCs w:val="28"/>
        </w:rPr>
        <w:t>ANEXO No. 2</w:t>
      </w:r>
    </w:p>
    <w:p w:rsidR="00EC1D8F" w:rsidRPr="00B42CC8" w:rsidRDefault="00EC1D8F" w:rsidP="00EC1D8F">
      <w:pPr>
        <w:spacing w:line="360" w:lineRule="auto"/>
        <w:ind w:firstLine="900"/>
        <w:jc w:val="center"/>
        <w:rPr>
          <w:rFonts w:ascii="Arial Narrow" w:hAnsi="Arial Narrow"/>
          <w:b/>
          <w:sz w:val="28"/>
          <w:szCs w:val="28"/>
        </w:rPr>
      </w:pPr>
      <w:r w:rsidRPr="00B42CC8">
        <w:rPr>
          <w:rFonts w:ascii="Arial Narrow" w:hAnsi="Arial Narrow"/>
          <w:b/>
          <w:sz w:val="28"/>
          <w:szCs w:val="28"/>
        </w:rPr>
        <w:t>CÁLCULO DE LAS MESADAS PENSIONALES</w:t>
      </w:r>
    </w:p>
    <w:p w:rsidR="00EC1D8F" w:rsidRDefault="00EC1D8F" w:rsidP="00EC1D8F">
      <w:pPr>
        <w:spacing w:line="360" w:lineRule="auto"/>
        <w:ind w:firstLine="900"/>
        <w:jc w:val="center"/>
        <w:rPr>
          <w:rFonts w:ascii="Arial Narrow" w:hAnsi="Arial Narrow"/>
          <w:b/>
          <w:sz w:val="28"/>
          <w:szCs w:val="28"/>
        </w:rPr>
      </w:pPr>
    </w:p>
    <w:tbl>
      <w:tblPr>
        <w:tblW w:w="8880" w:type="dxa"/>
        <w:tblInd w:w="70" w:type="dxa"/>
        <w:tblCellMar>
          <w:left w:w="70" w:type="dxa"/>
          <w:right w:w="70" w:type="dxa"/>
        </w:tblCellMar>
        <w:tblLook w:val="04A0" w:firstRow="1" w:lastRow="0" w:firstColumn="1" w:lastColumn="0" w:noHBand="0" w:noVBand="1"/>
      </w:tblPr>
      <w:tblGrid>
        <w:gridCol w:w="1165"/>
        <w:gridCol w:w="1090"/>
        <w:gridCol w:w="997"/>
        <w:gridCol w:w="1134"/>
        <w:gridCol w:w="934"/>
        <w:gridCol w:w="1962"/>
        <w:gridCol w:w="1598"/>
      </w:tblGrid>
      <w:tr w:rsidR="00F20F4D" w:rsidRPr="00F20F4D" w:rsidTr="00F20F4D">
        <w:trPr>
          <w:trHeight w:val="465"/>
        </w:trPr>
        <w:tc>
          <w:tcPr>
            <w:tcW w:w="1165" w:type="dxa"/>
            <w:tcBorders>
              <w:top w:val="single" w:sz="4" w:space="0" w:color="808000"/>
              <w:left w:val="single" w:sz="4" w:space="0" w:color="808000"/>
              <w:bottom w:val="nil"/>
              <w:right w:val="single" w:sz="4" w:space="0" w:color="808000"/>
            </w:tcBorders>
            <w:shd w:val="clear" w:color="000000" w:fill="FFFF99"/>
            <w:vAlign w:val="center"/>
            <w:hideMark/>
          </w:tcPr>
          <w:p w:rsidR="00F20F4D" w:rsidRPr="00F20F4D" w:rsidRDefault="00F20F4D" w:rsidP="00F20F4D">
            <w:pPr>
              <w:jc w:val="center"/>
              <w:rPr>
                <w:rFonts w:ascii="Calibri" w:hAnsi="Calibri"/>
                <w:b/>
                <w:bCs/>
                <w:color w:val="000000"/>
                <w:sz w:val="16"/>
                <w:szCs w:val="16"/>
                <w:lang w:val="es-ES"/>
              </w:rPr>
            </w:pPr>
            <w:r w:rsidRPr="00F20F4D">
              <w:rPr>
                <w:rFonts w:ascii="Calibri" w:hAnsi="Calibri"/>
                <w:b/>
                <w:bCs/>
                <w:color w:val="000000"/>
                <w:sz w:val="16"/>
                <w:szCs w:val="16"/>
                <w:lang w:val="es-ES"/>
              </w:rPr>
              <w:t>Año</w:t>
            </w:r>
          </w:p>
        </w:tc>
        <w:tc>
          <w:tcPr>
            <w:tcW w:w="1090" w:type="dxa"/>
            <w:tcBorders>
              <w:top w:val="single" w:sz="4" w:space="0" w:color="808000"/>
              <w:left w:val="nil"/>
              <w:bottom w:val="nil"/>
              <w:right w:val="single" w:sz="4" w:space="0" w:color="808000"/>
            </w:tcBorders>
            <w:shd w:val="clear" w:color="000000" w:fill="FFFF99"/>
            <w:vAlign w:val="center"/>
            <w:hideMark/>
          </w:tcPr>
          <w:p w:rsidR="00F20F4D" w:rsidRPr="00F20F4D" w:rsidRDefault="00F20F4D" w:rsidP="00F20F4D">
            <w:pPr>
              <w:jc w:val="center"/>
              <w:rPr>
                <w:rFonts w:ascii="Calibri" w:hAnsi="Calibri"/>
                <w:b/>
                <w:bCs/>
                <w:color w:val="000000"/>
                <w:sz w:val="16"/>
                <w:szCs w:val="16"/>
                <w:lang w:val="es-ES"/>
              </w:rPr>
            </w:pPr>
            <w:r w:rsidRPr="00F20F4D">
              <w:rPr>
                <w:rFonts w:ascii="Calibri" w:hAnsi="Calibri"/>
                <w:b/>
                <w:bCs/>
                <w:color w:val="000000"/>
                <w:sz w:val="16"/>
                <w:szCs w:val="16"/>
                <w:lang w:val="es-ES"/>
              </w:rPr>
              <w:t>IPC</w:t>
            </w:r>
            <w:r w:rsidRPr="00F20F4D">
              <w:rPr>
                <w:rFonts w:ascii="Calibri" w:hAnsi="Calibri"/>
                <w:b/>
                <w:bCs/>
                <w:sz w:val="16"/>
                <w:szCs w:val="16"/>
                <w:lang w:val="es-ES"/>
              </w:rPr>
              <w:t xml:space="preserve">   (Var. Año anterior)</w:t>
            </w:r>
          </w:p>
        </w:tc>
        <w:tc>
          <w:tcPr>
            <w:tcW w:w="997" w:type="dxa"/>
            <w:tcBorders>
              <w:top w:val="single" w:sz="4" w:space="0" w:color="808000"/>
              <w:left w:val="nil"/>
              <w:bottom w:val="nil"/>
              <w:right w:val="single" w:sz="4" w:space="0" w:color="808000"/>
            </w:tcBorders>
            <w:shd w:val="clear" w:color="000000" w:fill="FFFF99"/>
            <w:vAlign w:val="center"/>
            <w:hideMark/>
          </w:tcPr>
          <w:p w:rsidR="00F20F4D" w:rsidRPr="00F20F4D" w:rsidRDefault="00F20F4D" w:rsidP="00F20F4D">
            <w:pPr>
              <w:jc w:val="center"/>
              <w:rPr>
                <w:rFonts w:ascii="Calibri" w:hAnsi="Calibri"/>
                <w:b/>
                <w:bCs/>
                <w:color w:val="000000"/>
                <w:sz w:val="16"/>
                <w:szCs w:val="16"/>
                <w:lang w:val="es-ES"/>
              </w:rPr>
            </w:pPr>
            <w:r w:rsidRPr="00F20F4D">
              <w:rPr>
                <w:rFonts w:ascii="Calibri" w:hAnsi="Calibri"/>
                <w:b/>
                <w:bCs/>
                <w:color w:val="000000"/>
                <w:sz w:val="16"/>
                <w:szCs w:val="16"/>
                <w:lang w:val="es-ES"/>
              </w:rPr>
              <w:t>Desde</w:t>
            </w:r>
          </w:p>
        </w:tc>
        <w:tc>
          <w:tcPr>
            <w:tcW w:w="1134" w:type="dxa"/>
            <w:tcBorders>
              <w:top w:val="single" w:sz="4" w:space="0" w:color="808000"/>
              <w:left w:val="nil"/>
              <w:bottom w:val="nil"/>
              <w:right w:val="single" w:sz="4" w:space="0" w:color="808000"/>
            </w:tcBorders>
            <w:shd w:val="clear" w:color="000000" w:fill="FFFF99"/>
            <w:vAlign w:val="center"/>
            <w:hideMark/>
          </w:tcPr>
          <w:p w:rsidR="00F20F4D" w:rsidRPr="00F20F4D" w:rsidRDefault="00F20F4D" w:rsidP="00F20F4D">
            <w:pPr>
              <w:jc w:val="center"/>
              <w:rPr>
                <w:rFonts w:ascii="Calibri" w:hAnsi="Calibri"/>
                <w:b/>
                <w:bCs/>
                <w:color w:val="000000"/>
                <w:sz w:val="16"/>
                <w:szCs w:val="16"/>
                <w:lang w:val="es-ES"/>
              </w:rPr>
            </w:pPr>
            <w:r w:rsidRPr="00F20F4D">
              <w:rPr>
                <w:rFonts w:ascii="Calibri" w:hAnsi="Calibri"/>
                <w:b/>
                <w:bCs/>
                <w:color w:val="000000"/>
                <w:sz w:val="16"/>
                <w:szCs w:val="16"/>
                <w:lang w:val="es-ES"/>
              </w:rPr>
              <w:t>Hasta</w:t>
            </w:r>
          </w:p>
        </w:tc>
        <w:tc>
          <w:tcPr>
            <w:tcW w:w="934" w:type="dxa"/>
            <w:tcBorders>
              <w:top w:val="single" w:sz="4" w:space="0" w:color="808000"/>
              <w:left w:val="nil"/>
              <w:bottom w:val="nil"/>
              <w:right w:val="single" w:sz="4" w:space="0" w:color="808000"/>
            </w:tcBorders>
            <w:shd w:val="clear" w:color="000000" w:fill="FFFF99"/>
            <w:vAlign w:val="center"/>
            <w:hideMark/>
          </w:tcPr>
          <w:p w:rsidR="00F20F4D" w:rsidRPr="00F20F4D" w:rsidRDefault="00F20F4D" w:rsidP="00F20F4D">
            <w:pPr>
              <w:jc w:val="center"/>
              <w:rPr>
                <w:rFonts w:ascii="Calibri" w:hAnsi="Calibri"/>
                <w:b/>
                <w:bCs/>
                <w:color w:val="000000"/>
                <w:sz w:val="16"/>
                <w:szCs w:val="16"/>
                <w:lang w:val="es-ES"/>
              </w:rPr>
            </w:pPr>
            <w:r w:rsidRPr="00F20F4D">
              <w:rPr>
                <w:rFonts w:ascii="Calibri" w:hAnsi="Calibri"/>
                <w:b/>
                <w:bCs/>
                <w:color w:val="000000"/>
                <w:sz w:val="16"/>
                <w:szCs w:val="16"/>
                <w:lang w:val="es-ES"/>
              </w:rPr>
              <w:t>Causadas</w:t>
            </w:r>
          </w:p>
        </w:tc>
        <w:tc>
          <w:tcPr>
            <w:tcW w:w="1962" w:type="dxa"/>
            <w:tcBorders>
              <w:top w:val="single" w:sz="4" w:space="0" w:color="808000"/>
              <w:left w:val="nil"/>
              <w:bottom w:val="nil"/>
              <w:right w:val="single" w:sz="4" w:space="0" w:color="808000"/>
            </w:tcBorders>
            <w:shd w:val="clear" w:color="000000" w:fill="FFFF99"/>
            <w:vAlign w:val="center"/>
            <w:hideMark/>
          </w:tcPr>
          <w:p w:rsidR="00F20F4D" w:rsidRPr="00F20F4D" w:rsidRDefault="00F20F4D" w:rsidP="00F20F4D">
            <w:pPr>
              <w:jc w:val="center"/>
              <w:rPr>
                <w:rFonts w:ascii="Calibri" w:hAnsi="Calibri"/>
                <w:b/>
                <w:bCs/>
                <w:color w:val="000000"/>
                <w:sz w:val="16"/>
                <w:szCs w:val="16"/>
                <w:lang w:val="es-ES"/>
              </w:rPr>
            </w:pPr>
            <w:r w:rsidRPr="00F20F4D">
              <w:rPr>
                <w:rFonts w:ascii="Calibri" w:hAnsi="Calibri"/>
                <w:b/>
                <w:bCs/>
                <w:color w:val="000000"/>
                <w:sz w:val="16"/>
                <w:szCs w:val="16"/>
                <w:lang w:val="es-ES"/>
              </w:rPr>
              <w:t>Mesada reliquidada</w:t>
            </w:r>
          </w:p>
        </w:tc>
        <w:tc>
          <w:tcPr>
            <w:tcW w:w="1598" w:type="dxa"/>
            <w:tcBorders>
              <w:top w:val="single" w:sz="4" w:space="0" w:color="808000"/>
              <w:left w:val="nil"/>
              <w:bottom w:val="nil"/>
              <w:right w:val="single" w:sz="4" w:space="0" w:color="808000"/>
            </w:tcBorders>
            <w:shd w:val="clear" w:color="000000" w:fill="FFFF99"/>
            <w:vAlign w:val="center"/>
            <w:hideMark/>
          </w:tcPr>
          <w:p w:rsidR="00F20F4D" w:rsidRPr="00F20F4D" w:rsidRDefault="00F20F4D" w:rsidP="00F20F4D">
            <w:pPr>
              <w:jc w:val="center"/>
              <w:rPr>
                <w:rFonts w:ascii="Calibri" w:hAnsi="Calibri"/>
                <w:b/>
                <w:bCs/>
                <w:color w:val="000000"/>
                <w:sz w:val="16"/>
                <w:szCs w:val="16"/>
                <w:lang w:val="es-ES"/>
              </w:rPr>
            </w:pPr>
            <w:r w:rsidRPr="00F20F4D">
              <w:rPr>
                <w:rFonts w:ascii="Calibri" w:hAnsi="Calibri"/>
                <w:b/>
                <w:bCs/>
                <w:color w:val="000000"/>
                <w:sz w:val="16"/>
                <w:szCs w:val="16"/>
                <w:lang w:val="es-ES"/>
              </w:rPr>
              <w:t xml:space="preserve"> Diferencias a cancelar </w:t>
            </w:r>
          </w:p>
        </w:tc>
      </w:tr>
      <w:tr w:rsidR="00F20F4D" w:rsidRPr="00F20F4D" w:rsidTr="00F20F4D">
        <w:trPr>
          <w:trHeight w:val="255"/>
        </w:trPr>
        <w:tc>
          <w:tcPr>
            <w:tcW w:w="1165"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2013</w:t>
            </w:r>
          </w:p>
        </w:tc>
        <w:tc>
          <w:tcPr>
            <w:tcW w:w="1090" w:type="dxa"/>
            <w:tcBorders>
              <w:top w:val="single" w:sz="4" w:space="0" w:color="003366"/>
              <w:left w:val="nil"/>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1,94</w:t>
            </w:r>
          </w:p>
        </w:tc>
        <w:tc>
          <w:tcPr>
            <w:tcW w:w="99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10-oct-13</w:t>
            </w:r>
          </w:p>
        </w:tc>
        <w:tc>
          <w:tcPr>
            <w:tcW w:w="1134" w:type="dxa"/>
            <w:tcBorders>
              <w:top w:val="single" w:sz="4" w:space="0" w:color="808000"/>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31-dic-13</w:t>
            </w:r>
          </w:p>
        </w:tc>
        <w:tc>
          <w:tcPr>
            <w:tcW w:w="934"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3,66</w:t>
            </w:r>
          </w:p>
        </w:tc>
        <w:tc>
          <w:tcPr>
            <w:tcW w:w="1962" w:type="dxa"/>
            <w:tcBorders>
              <w:top w:val="single" w:sz="4" w:space="0" w:color="003366"/>
              <w:left w:val="nil"/>
              <w:bottom w:val="single" w:sz="4" w:space="0" w:color="003366"/>
              <w:right w:val="single" w:sz="4" w:space="0" w:color="003366"/>
            </w:tcBorders>
            <w:shd w:val="clear" w:color="000000" w:fill="FFFFCC"/>
            <w:vAlign w:val="bottom"/>
            <w:hideMark/>
          </w:tcPr>
          <w:p w:rsidR="00F20F4D" w:rsidRPr="00F20F4D" w:rsidRDefault="00F20F4D" w:rsidP="00F20F4D">
            <w:pPr>
              <w:rPr>
                <w:rFonts w:ascii="Calibri" w:hAnsi="Calibri"/>
                <w:sz w:val="20"/>
                <w:lang w:val="es-ES"/>
              </w:rPr>
            </w:pPr>
            <w:r w:rsidRPr="00F20F4D">
              <w:rPr>
                <w:rFonts w:ascii="Calibri" w:hAnsi="Calibri"/>
                <w:sz w:val="20"/>
                <w:lang w:val="es-ES"/>
              </w:rPr>
              <w:t xml:space="preserve">                1.293.780,00 </w:t>
            </w:r>
          </w:p>
        </w:tc>
        <w:tc>
          <w:tcPr>
            <w:tcW w:w="1598"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F20F4D" w:rsidRPr="00F20F4D" w:rsidRDefault="00F20F4D" w:rsidP="00F20F4D">
            <w:pPr>
              <w:rPr>
                <w:rFonts w:ascii="Calibri" w:hAnsi="Calibri"/>
                <w:color w:val="000000"/>
                <w:sz w:val="20"/>
                <w:lang w:val="es-ES"/>
              </w:rPr>
            </w:pPr>
            <w:r w:rsidRPr="00F20F4D">
              <w:rPr>
                <w:rFonts w:ascii="Calibri" w:hAnsi="Calibri"/>
                <w:color w:val="000000"/>
                <w:sz w:val="20"/>
                <w:lang w:val="es-ES"/>
              </w:rPr>
              <w:t xml:space="preserve">              4.735.235 </w:t>
            </w:r>
          </w:p>
        </w:tc>
      </w:tr>
      <w:tr w:rsidR="00F20F4D" w:rsidRPr="00F20F4D" w:rsidTr="00F20F4D">
        <w:trPr>
          <w:trHeight w:val="255"/>
        </w:trPr>
        <w:tc>
          <w:tcPr>
            <w:tcW w:w="1165" w:type="dxa"/>
            <w:tcBorders>
              <w:top w:val="nil"/>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2014</w:t>
            </w:r>
          </w:p>
        </w:tc>
        <w:tc>
          <w:tcPr>
            <w:tcW w:w="1090" w:type="dxa"/>
            <w:tcBorders>
              <w:top w:val="nil"/>
              <w:left w:val="nil"/>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3,66</w:t>
            </w:r>
          </w:p>
        </w:tc>
        <w:tc>
          <w:tcPr>
            <w:tcW w:w="997" w:type="dxa"/>
            <w:tcBorders>
              <w:top w:val="nil"/>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01-dic-14</w:t>
            </w:r>
          </w:p>
        </w:tc>
        <w:tc>
          <w:tcPr>
            <w:tcW w:w="1134"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31-dic-14</w:t>
            </w:r>
          </w:p>
        </w:tc>
        <w:tc>
          <w:tcPr>
            <w:tcW w:w="934" w:type="dxa"/>
            <w:tcBorders>
              <w:top w:val="nil"/>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13</w:t>
            </w:r>
          </w:p>
        </w:tc>
        <w:tc>
          <w:tcPr>
            <w:tcW w:w="1962" w:type="dxa"/>
            <w:tcBorders>
              <w:top w:val="nil"/>
              <w:left w:val="nil"/>
              <w:bottom w:val="single" w:sz="4" w:space="0" w:color="003366"/>
              <w:right w:val="single" w:sz="4" w:space="0" w:color="003366"/>
            </w:tcBorders>
            <w:shd w:val="clear" w:color="000000" w:fill="FFFFCC"/>
            <w:vAlign w:val="bottom"/>
            <w:hideMark/>
          </w:tcPr>
          <w:p w:rsidR="00F20F4D" w:rsidRPr="00F20F4D" w:rsidRDefault="00F20F4D" w:rsidP="00F20F4D">
            <w:pPr>
              <w:rPr>
                <w:rFonts w:ascii="Calibri" w:hAnsi="Calibri"/>
                <w:sz w:val="20"/>
                <w:lang w:val="es-ES"/>
              </w:rPr>
            </w:pPr>
            <w:r w:rsidRPr="00F20F4D">
              <w:rPr>
                <w:rFonts w:ascii="Calibri" w:hAnsi="Calibri"/>
                <w:sz w:val="20"/>
                <w:lang w:val="es-ES"/>
              </w:rPr>
              <w:t xml:space="preserve">                1.318.879,33 </w:t>
            </w:r>
          </w:p>
        </w:tc>
        <w:tc>
          <w:tcPr>
            <w:tcW w:w="1598" w:type="dxa"/>
            <w:tcBorders>
              <w:top w:val="nil"/>
              <w:left w:val="single" w:sz="4" w:space="0" w:color="808000"/>
              <w:bottom w:val="single" w:sz="4" w:space="0" w:color="808000"/>
              <w:right w:val="single" w:sz="4" w:space="0" w:color="808000"/>
            </w:tcBorders>
            <w:shd w:val="clear" w:color="000000" w:fill="FFFFCC"/>
            <w:noWrap/>
            <w:vAlign w:val="center"/>
            <w:hideMark/>
          </w:tcPr>
          <w:p w:rsidR="00F20F4D" w:rsidRPr="00F20F4D" w:rsidRDefault="00F20F4D" w:rsidP="00F20F4D">
            <w:pPr>
              <w:rPr>
                <w:rFonts w:ascii="Calibri" w:hAnsi="Calibri"/>
                <w:color w:val="000000"/>
                <w:sz w:val="20"/>
                <w:lang w:val="es-ES"/>
              </w:rPr>
            </w:pPr>
            <w:r w:rsidRPr="00F20F4D">
              <w:rPr>
                <w:rFonts w:ascii="Calibri" w:hAnsi="Calibri"/>
                <w:color w:val="000000"/>
                <w:sz w:val="20"/>
                <w:lang w:val="es-ES"/>
              </w:rPr>
              <w:t xml:space="preserve">            17.145.431 </w:t>
            </w:r>
          </w:p>
        </w:tc>
      </w:tr>
      <w:tr w:rsidR="00F20F4D" w:rsidRPr="00F20F4D" w:rsidTr="00F20F4D">
        <w:trPr>
          <w:trHeight w:val="255"/>
        </w:trPr>
        <w:tc>
          <w:tcPr>
            <w:tcW w:w="1165" w:type="dxa"/>
            <w:tcBorders>
              <w:top w:val="nil"/>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2015</w:t>
            </w:r>
          </w:p>
        </w:tc>
        <w:tc>
          <w:tcPr>
            <w:tcW w:w="1090" w:type="dxa"/>
            <w:tcBorders>
              <w:top w:val="nil"/>
              <w:left w:val="nil"/>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6,77</w:t>
            </w:r>
          </w:p>
        </w:tc>
        <w:tc>
          <w:tcPr>
            <w:tcW w:w="997" w:type="dxa"/>
            <w:tcBorders>
              <w:top w:val="nil"/>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01-ene-15</w:t>
            </w:r>
          </w:p>
        </w:tc>
        <w:tc>
          <w:tcPr>
            <w:tcW w:w="1134"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31-dic-15</w:t>
            </w:r>
          </w:p>
        </w:tc>
        <w:tc>
          <w:tcPr>
            <w:tcW w:w="934" w:type="dxa"/>
            <w:tcBorders>
              <w:top w:val="nil"/>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13</w:t>
            </w:r>
          </w:p>
        </w:tc>
        <w:tc>
          <w:tcPr>
            <w:tcW w:w="1962" w:type="dxa"/>
            <w:tcBorders>
              <w:top w:val="nil"/>
              <w:left w:val="nil"/>
              <w:bottom w:val="single" w:sz="4" w:space="0" w:color="003366"/>
              <w:right w:val="single" w:sz="4" w:space="0" w:color="003366"/>
            </w:tcBorders>
            <w:shd w:val="clear" w:color="000000" w:fill="FFFFCC"/>
            <w:vAlign w:val="bottom"/>
            <w:hideMark/>
          </w:tcPr>
          <w:p w:rsidR="00F20F4D" w:rsidRPr="00F20F4D" w:rsidRDefault="00F20F4D" w:rsidP="00F20F4D">
            <w:pPr>
              <w:rPr>
                <w:rFonts w:ascii="Calibri" w:hAnsi="Calibri"/>
                <w:sz w:val="20"/>
                <w:lang w:val="es-ES"/>
              </w:rPr>
            </w:pPr>
            <w:r w:rsidRPr="00F20F4D">
              <w:rPr>
                <w:rFonts w:ascii="Calibri" w:hAnsi="Calibri"/>
                <w:sz w:val="20"/>
                <w:lang w:val="es-ES"/>
              </w:rPr>
              <w:t xml:space="preserve">                1.367.150,32 </w:t>
            </w:r>
          </w:p>
        </w:tc>
        <w:tc>
          <w:tcPr>
            <w:tcW w:w="1598" w:type="dxa"/>
            <w:tcBorders>
              <w:top w:val="nil"/>
              <w:left w:val="single" w:sz="4" w:space="0" w:color="808000"/>
              <w:bottom w:val="single" w:sz="4" w:space="0" w:color="808000"/>
              <w:right w:val="single" w:sz="4" w:space="0" w:color="808000"/>
            </w:tcBorders>
            <w:shd w:val="clear" w:color="000000" w:fill="FFFFCC"/>
            <w:noWrap/>
            <w:vAlign w:val="center"/>
            <w:hideMark/>
          </w:tcPr>
          <w:p w:rsidR="00F20F4D" w:rsidRPr="00F20F4D" w:rsidRDefault="00F20F4D" w:rsidP="00F20F4D">
            <w:pPr>
              <w:rPr>
                <w:rFonts w:ascii="Calibri" w:hAnsi="Calibri"/>
                <w:color w:val="000000"/>
                <w:sz w:val="20"/>
                <w:lang w:val="es-ES"/>
              </w:rPr>
            </w:pPr>
            <w:r w:rsidRPr="00F20F4D">
              <w:rPr>
                <w:rFonts w:ascii="Calibri" w:hAnsi="Calibri"/>
                <w:color w:val="000000"/>
                <w:sz w:val="20"/>
                <w:lang w:val="es-ES"/>
              </w:rPr>
              <w:t xml:space="preserve">            17.772.954 </w:t>
            </w:r>
          </w:p>
        </w:tc>
      </w:tr>
      <w:tr w:rsidR="00F20F4D" w:rsidRPr="00F20F4D" w:rsidTr="00F20F4D">
        <w:trPr>
          <w:trHeight w:val="255"/>
        </w:trPr>
        <w:tc>
          <w:tcPr>
            <w:tcW w:w="1165" w:type="dxa"/>
            <w:tcBorders>
              <w:top w:val="nil"/>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2016</w:t>
            </w:r>
          </w:p>
        </w:tc>
        <w:tc>
          <w:tcPr>
            <w:tcW w:w="1090" w:type="dxa"/>
            <w:tcBorders>
              <w:top w:val="nil"/>
              <w:left w:val="nil"/>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0,00</w:t>
            </w:r>
          </w:p>
        </w:tc>
        <w:tc>
          <w:tcPr>
            <w:tcW w:w="997" w:type="dxa"/>
            <w:tcBorders>
              <w:top w:val="nil"/>
              <w:left w:val="single" w:sz="4" w:space="0" w:color="808000"/>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01-ene-16</w:t>
            </w:r>
          </w:p>
        </w:tc>
        <w:tc>
          <w:tcPr>
            <w:tcW w:w="1134" w:type="dxa"/>
            <w:tcBorders>
              <w:top w:val="nil"/>
              <w:left w:val="nil"/>
              <w:bottom w:val="single" w:sz="4" w:space="0" w:color="808000"/>
              <w:right w:val="single" w:sz="4" w:space="0" w:color="808000"/>
            </w:tcBorders>
            <w:shd w:val="clear" w:color="auto" w:fill="auto"/>
            <w:noWrap/>
            <w:vAlign w:val="center"/>
            <w:hideMark/>
          </w:tcPr>
          <w:p w:rsidR="00F20F4D" w:rsidRPr="00F20F4D" w:rsidRDefault="00F20F4D" w:rsidP="00F20F4D">
            <w:pPr>
              <w:jc w:val="right"/>
              <w:rPr>
                <w:rFonts w:ascii="Calibri" w:hAnsi="Calibri"/>
                <w:color w:val="000000"/>
                <w:sz w:val="20"/>
                <w:lang w:val="es-ES"/>
              </w:rPr>
            </w:pPr>
            <w:r w:rsidRPr="00F20F4D">
              <w:rPr>
                <w:rFonts w:ascii="Calibri" w:hAnsi="Calibri"/>
                <w:color w:val="000000"/>
                <w:sz w:val="20"/>
                <w:lang w:val="es-ES"/>
              </w:rPr>
              <w:t>30-abr-16</w:t>
            </w:r>
          </w:p>
        </w:tc>
        <w:tc>
          <w:tcPr>
            <w:tcW w:w="934" w:type="dxa"/>
            <w:tcBorders>
              <w:top w:val="nil"/>
              <w:left w:val="single" w:sz="4" w:space="0" w:color="003366"/>
              <w:bottom w:val="single" w:sz="4" w:space="0" w:color="003366"/>
              <w:right w:val="single" w:sz="4" w:space="0" w:color="003366"/>
            </w:tcBorders>
            <w:shd w:val="clear" w:color="000000" w:fill="FFFFCC"/>
            <w:noWrap/>
            <w:vAlign w:val="bottom"/>
            <w:hideMark/>
          </w:tcPr>
          <w:p w:rsidR="00F20F4D" w:rsidRPr="00F20F4D" w:rsidRDefault="00F20F4D" w:rsidP="00F20F4D">
            <w:pPr>
              <w:jc w:val="center"/>
              <w:rPr>
                <w:rFonts w:ascii="Calibri" w:hAnsi="Calibri"/>
                <w:sz w:val="20"/>
                <w:lang w:val="es-ES"/>
              </w:rPr>
            </w:pPr>
            <w:r w:rsidRPr="00F20F4D">
              <w:rPr>
                <w:rFonts w:ascii="Calibri" w:hAnsi="Calibri"/>
                <w:sz w:val="20"/>
                <w:lang w:val="es-ES"/>
              </w:rPr>
              <w:t>7,00</w:t>
            </w:r>
          </w:p>
        </w:tc>
        <w:tc>
          <w:tcPr>
            <w:tcW w:w="1962" w:type="dxa"/>
            <w:tcBorders>
              <w:top w:val="nil"/>
              <w:left w:val="nil"/>
              <w:bottom w:val="single" w:sz="4" w:space="0" w:color="003366"/>
              <w:right w:val="single" w:sz="4" w:space="0" w:color="003366"/>
            </w:tcBorders>
            <w:shd w:val="clear" w:color="000000" w:fill="FFFFCC"/>
            <w:vAlign w:val="bottom"/>
            <w:hideMark/>
          </w:tcPr>
          <w:p w:rsidR="00F20F4D" w:rsidRPr="00F20F4D" w:rsidRDefault="00F20F4D" w:rsidP="00F20F4D">
            <w:pPr>
              <w:rPr>
                <w:rFonts w:ascii="Calibri" w:hAnsi="Calibri"/>
                <w:sz w:val="20"/>
                <w:lang w:val="es-ES"/>
              </w:rPr>
            </w:pPr>
            <w:r w:rsidRPr="00F20F4D">
              <w:rPr>
                <w:rFonts w:ascii="Calibri" w:hAnsi="Calibri"/>
                <w:sz w:val="20"/>
                <w:lang w:val="es-ES"/>
              </w:rPr>
              <w:t xml:space="preserve">                1.459.706,39 </w:t>
            </w:r>
          </w:p>
        </w:tc>
        <w:tc>
          <w:tcPr>
            <w:tcW w:w="1598" w:type="dxa"/>
            <w:tcBorders>
              <w:top w:val="nil"/>
              <w:left w:val="single" w:sz="4" w:space="0" w:color="808000"/>
              <w:bottom w:val="single" w:sz="4" w:space="0" w:color="808000"/>
              <w:right w:val="single" w:sz="4" w:space="0" w:color="808000"/>
            </w:tcBorders>
            <w:shd w:val="clear" w:color="000000" w:fill="FFFFCC"/>
            <w:noWrap/>
            <w:vAlign w:val="center"/>
            <w:hideMark/>
          </w:tcPr>
          <w:p w:rsidR="00F20F4D" w:rsidRPr="00F20F4D" w:rsidRDefault="00F20F4D" w:rsidP="00F20F4D">
            <w:pPr>
              <w:rPr>
                <w:rFonts w:ascii="Calibri" w:hAnsi="Calibri"/>
                <w:color w:val="000000"/>
                <w:sz w:val="20"/>
                <w:lang w:val="es-ES"/>
              </w:rPr>
            </w:pPr>
            <w:r w:rsidRPr="00F20F4D">
              <w:rPr>
                <w:rFonts w:ascii="Calibri" w:hAnsi="Calibri"/>
                <w:color w:val="000000"/>
                <w:sz w:val="20"/>
                <w:lang w:val="es-ES"/>
              </w:rPr>
              <w:t xml:space="preserve">            10.217.945 </w:t>
            </w:r>
          </w:p>
        </w:tc>
      </w:tr>
      <w:tr w:rsidR="00F20F4D" w:rsidRPr="00F20F4D" w:rsidTr="00F20F4D">
        <w:trPr>
          <w:trHeight w:val="255"/>
        </w:trPr>
        <w:tc>
          <w:tcPr>
            <w:tcW w:w="1165" w:type="dxa"/>
            <w:tcBorders>
              <w:top w:val="nil"/>
              <w:left w:val="nil"/>
              <w:bottom w:val="nil"/>
              <w:right w:val="nil"/>
            </w:tcBorders>
            <w:shd w:val="clear" w:color="auto" w:fill="auto"/>
            <w:noWrap/>
            <w:vAlign w:val="bottom"/>
            <w:hideMark/>
          </w:tcPr>
          <w:p w:rsidR="00F20F4D" w:rsidRPr="00F20F4D" w:rsidRDefault="00F20F4D" w:rsidP="00F20F4D">
            <w:pPr>
              <w:rPr>
                <w:rFonts w:ascii="Calibri" w:hAnsi="Calibri"/>
                <w:color w:val="000000"/>
                <w:sz w:val="20"/>
                <w:lang w:val="es-ES"/>
              </w:rPr>
            </w:pPr>
          </w:p>
        </w:tc>
        <w:tc>
          <w:tcPr>
            <w:tcW w:w="1090" w:type="dxa"/>
            <w:tcBorders>
              <w:top w:val="nil"/>
              <w:left w:val="nil"/>
              <w:bottom w:val="nil"/>
              <w:right w:val="nil"/>
            </w:tcBorders>
            <w:shd w:val="clear" w:color="auto" w:fill="auto"/>
            <w:noWrap/>
            <w:vAlign w:val="bottom"/>
            <w:hideMark/>
          </w:tcPr>
          <w:p w:rsidR="00F20F4D" w:rsidRPr="00F20F4D" w:rsidRDefault="00F20F4D" w:rsidP="00F20F4D">
            <w:pPr>
              <w:rPr>
                <w:sz w:val="20"/>
                <w:lang w:val="es-ES"/>
              </w:rPr>
            </w:pPr>
          </w:p>
        </w:tc>
        <w:tc>
          <w:tcPr>
            <w:tcW w:w="997" w:type="dxa"/>
            <w:tcBorders>
              <w:top w:val="nil"/>
              <w:left w:val="nil"/>
              <w:bottom w:val="nil"/>
              <w:right w:val="nil"/>
            </w:tcBorders>
            <w:shd w:val="clear" w:color="auto" w:fill="auto"/>
            <w:noWrap/>
            <w:vAlign w:val="bottom"/>
            <w:hideMark/>
          </w:tcPr>
          <w:p w:rsidR="00F20F4D" w:rsidRPr="00F20F4D" w:rsidRDefault="00F20F4D" w:rsidP="00F20F4D">
            <w:pPr>
              <w:rPr>
                <w:sz w:val="20"/>
                <w:lang w:val="es-ES"/>
              </w:rPr>
            </w:pPr>
          </w:p>
        </w:tc>
        <w:tc>
          <w:tcPr>
            <w:tcW w:w="1134" w:type="dxa"/>
            <w:tcBorders>
              <w:top w:val="nil"/>
              <w:left w:val="nil"/>
              <w:bottom w:val="nil"/>
              <w:right w:val="nil"/>
            </w:tcBorders>
            <w:shd w:val="clear" w:color="auto" w:fill="auto"/>
            <w:noWrap/>
            <w:vAlign w:val="bottom"/>
            <w:hideMark/>
          </w:tcPr>
          <w:p w:rsidR="00F20F4D" w:rsidRPr="00F20F4D" w:rsidRDefault="00F20F4D" w:rsidP="00F20F4D">
            <w:pPr>
              <w:rPr>
                <w:sz w:val="20"/>
                <w:lang w:val="es-ES"/>
              </w:rPr>
            </w:pPr>
          </w:p>
        </w:tc>
        <w:tc>
          <w:tcPr>
            <w:tcW w:w="934" w:type="dxa"/>
            <w:tcBorders>
              <w:top w:val="nil"/>
              <w:left w:val="nil"/>
              <w:bottom w:val="nil"/>
              <w:right w:val="nil"/>
            </w:tcBorders>
            <w:shd w:val="clear" w:color="auto" w:fill="auto"/>
            <w:noWrap/>
            <w:vAlign w:val="bottom"/>
            <w:hideMark/>
          </w:tcPr>
          <w:p w:rsidR="00F20F4D" w:rsidRPr="00F20F4D" w:rsidRDefault="00F20F4D" w:rsidP="00F20F4D">
            <w:pPr>
              <w:rPr>
                <w:sz w:val="20"/>
                <w:lang w:val="es-ES"/>
              </w:rPr>
            </w:pPr>
          </w:p>
        </w:tc>
        <w:tc>
          <w:tcPr>
            <w:tcW w:w="1962" w:type="dxa"/>
            <w:tcBorders>
              <w:top w:val="nil"/>
              <w:left w:val="single" w:sz="4" w:space="0" w:color="003366"/>
              <w:bottom w:val="single" w:sz="4" w:space="0" w:color="003366"/>
              <w:right w:val="single" w:sz="4" w:space="0" w:color="003366"/>
            </w:tcBorders>
            <w:shd w:val="clear" w:color="000000" w:fill="FFFF99"/>
            <w:noWrap/>
            <w:vAlign w:val="center"/>
            <w:hideMark/>
          </w:tcPr>
          <w:p w:rsidR="00F20F4D" w:rsidRPr="00F20F4D" w:rsidRDefault="00F20F4D" w:rsidP="00F20F4D">
            <w:pPr>
              <w:jc w:val="center"/>
              <w:rPr>
                <w:rFonts w:ascii="Calibri" w:hAnsi="Calibri"/>
                <w:b/>
                <w:bCs/>
                <w:sz w:val="20"/>
                <w:lang w:val="es-ES"/>
              </w:rPr>
            </w:pPr>
            <w:r w:rsidRPr="00F20F4D">
              <w:rPr>
                <w:rFonts w:ascii="Calibri" w:hAnsi="Calibri"/>
                <w:b/>
                <w:bCs/>
                <w:sz w:val="20"/>
                <w:lang w:val="es-ES"/>
              </w:rPr>
              <w:t>Valores a cancelar ===&gt;</w:t>
            </w:r>
          </w:p>
        </w:tc>
        <w:tc>
          <w:tcPr>
            <w:tcW w:w="1598" w:type="dxa"/>
            <w:tcBorders>
              <w:top w:val="nil"/>
              <w:left w:val="single" w:sz="4" w:space="0" w:color="808000"/>
              <w:bottom w:val="single" w:sz="4" w:space="0" w:color="808000"/>
              <w:right w:val="single" w:sz="4" w:space="0" w:color="808000"/>
            </w:tcBorders>
            <w:shd w:val="clear" w:color="000000" w:fill="FFFF99"/>
            <w:noWrap/>
            <w:vAlign w:val="center"/>
            <w:hideMark/>
          </w:tcPr>
          <w:p w:rsidR="00F20F4D" w:rsidRPr="00F20F4D" w:rsidRDefault="00F20F4D" w:rsidP="00F20F4D">
            <w:pPr>
              <w:rPr>
                <w:rFonts w:ascii="Calibri" w:hAnsi="Calibri"/>
                <w:b/>
                <w:bCs/>
                <w:color w:val="000000"/>
                <w:sz w:val="20"/>
                <w:lang w:val="es-ES"/>
              </w:rPr>
            </w:pPr>
            <w:r w:rsidRPr="00F20F4D">
              <w:rPr>
                <w:rFonts w:ascii="Calibri" w:hAnsi="Calibri"/>
                <w:b/>
                <w:bCs/>
                <w:color w:val="000000"/>
                <w:sz w:val="20"/>
                <w:lang w:val="es-ES"/>
              </w:rPr>
              <w:t xml:space="preserve">            49.871.565 </w:t>
            </w:r>
          </w:p>
        </w:tc>
      </w:tr>
    </w:tbl>
    <w:p w:rsidR="00EC1D8F" w:rsidRPr="00B42CC8" w:rsidRDefault="00EC1D8F" w:rsidP="00EC1D8F">
      <w:pPr>
        <w:spacing w:line="360" w:lineRule="auto"/>
        <w:ind w:firstLine="900"/>
        <w:jc w:val="center"/>
        <w:rPr>
          <w:rFonts w:ascii="Arial Narrow" w:hAnsi="Arial Narrow"/>
          <w:b/>
          <w:sz w:val="28"/>
          <w:szCs w:val="28"/>
        </w:rPr>
      </w:pPr>
    </w:p>
    <w:p w:rsidR="00EC1D8F" w:rsidRDefault="00EC1D8F" w:rsidP="00EC1D8F">
      <w:pPr>
        <w:jc w:val="both"/>
        <w:rPr>
          <w:rFonts w:ascii="Arial Narrow" w:hAnsi="Arial Narrow" w:cs="Microsoft Sans Serif"/>
          <w:bCs/>
          <w:iCs/>
          <w:sz w:val="28"/>
          <w:szCs w:val="28"/>
          <w:lang w:val="es-ES"/>
        </w:rPr>
      </w:pPr>
      <w:bookmarkStart w:id="1" w:name="_GoBack"/>
      <w:bookmarkEnd w:id="1"/>
    </w:p>
    <w:sectPr w:rsidR="00EC1D8F" w:rsidSect="00EC1D8F">
      <w:headerReference w:type="default" r:id="rId7"/>
      <w:footerReference w:type="even" r:id="rId8"/>
      <w:footerReference w:type="default" r:id="rId9"/>
      <w:pgSz w:w="12242" w:h="18722" w:code="121"/>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C5" w:rsidRDefault="004B62C5" w:rsidP="00EC1D8F">
      <w:r>
        <w:separator/>
      </w:r>
    </w:p>
  </w:endnote>
  <w:endnote w:type="continuationSeparator" w:id="0">
    <w:p w:rsidR="004B62C5" w:rsidRDefault="004B62C5" w:rsidP="00EC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B1" w:rsidRDefault="003C6EB1" w:rsidP="00EC1D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6EB1" w:rsidRDefault="003C6EB1" w:rsidP="00EC1D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B1" w:rsidRDefault="003C6EB1" w:rsidP="00EC1D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4901">
      <w:rPr>
        <w:rStyle w:val="Nmerodepgina"/>
        <w:noProof/>
      </w:rPr>
      <w:t>8</w:t>
    </w:r>
    <w:r>
      <w:rPr>
        <w:rStyle w:val="Nmerodepgina"/>
      </w:rPr>
      <w:fldChar w:fldCharType="end"/>
    </w:r>
  </w:p>
  <w:p w:rsidR="003C6EB1" w:rsidRDefault="003C6EB1" w:rsidP="00EC1D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C5" w:rsidRDefault="004B62C5" w:rsidP="00EC1D8F">
      <w:r>
        <w:separator/>
      </w:r>
    </w:p>
  </w:footnote>
  <w:footnote w:type="continuationSeparator" w:id="0">
    <w:p w:rsidR="004B62C5" w:rsidRDefault="004B62C5" w:rsidP="00EC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B1" w:rsidRPr="00BD0CC8" w:rsidRDefault="003C6EB1" w:rsidP="00EC1D8F">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003-2014-00598-01</w:t>
    </w:r>
  </w:p>
  <w:p w:rsidR="003C6EB1" w:rsidRPr="00EE4B22" w:rsidRDefault="003C6EB1" w:rsidP="00EC1D8F">
    <w:pPr>
      <w:jc w:val="both"/>
      <w:rPr>
        <w:lang w:val="es-ES"/>
      </w:rPr>
    </w:pPr>
    <w:r>
      <w:rPr>
        <w:rFonts w:ascii="Arial" w:hAnsi="Arial" w:cs="Arial"/>
        <w:bCs/>
        <w:i/>
        <w:sz w:val="16"/>
        <w:szCs w:val="16"/>
        <w:lang w:val="es-ES"/>
      </w:rPr>
      <w:t xml:space="preserve">Gilberto Ossa Lemus </w:t>
    </w:r>
    <w:r w:rsidRPr="00EE4B22">
      <w:rPr>
        <w:rFonts w:ascii="Arial" w:hAnsi="Arial" w:cs="Arial"/>
        <w:bCs/>
        <w:i/>
        <w:sz w:val="16"/>
        <w:szCs w:val="16"/>
        <w:lang w:val="es-ES"/>
      </w:rPr>
      <w:t xml:space="preserve">vs </w:t>
    </w:r>
    <w:r>
      <w:rPr>
        <w:rFonts w:ascii="Arial" w:hAnsi="Arial" w:cs="Arial"/>
        <w:bCs/>
        <w:i/>
        <w:sz w:val="16"/>
        <w:szCs w:val="16"/>
        <w:lang w:val="es-ES"/>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3C783E0C"/>
    <w:lvl w:ilvl="0" w:tplc="ADF2B29C">
      <w:start w:val="1"/>
      <w:numFmt w:val="decimal"/>
      <w:lvlText w:val="%1."/>
      <w:lvlJc w:val="left"/>
      <w:pPr>
        <w:ind w:left="1637" w:hanging="360"/>
      </w:pPr>
      <w:rPr>
        <w:rFonts w:hint="default"/>
        <w:b w:val="0"/>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8F"/>
    <w:rsid w:val="000200D8"/>
    <w:rsid w:val="000D4CB0"/>
    <w:rsid w:val="00136349"/>
    <w:rsid w:val="001A09BE"/>
    <w:rsid w:val="001A4556"/>
    <w:rsid w:val="001B66C5"/>
    <w:rsid w:val="001E679A"/>
    <w:rsid w:val="00290986"/>
    <w:rsid w:val="002C4901"/>
    <w:rsid w:val="0034064D"/>
    <w:rsid w:val="003C6EB1"/>
    <w:rsid w:val="00416539"/>
    <w:rsid w:val="004B62C5"/>
    <w:rsid w:val="004C58D7"/>
    <w:rsid w:val="0050179B"/>
    <w:rsid w:val="0057400E"/>
    <w:rsid w:val="0065756A"/>
    <w:rsid w:val="0068186D"/>
    <w:rsid w:val="00741113"/>
    <w:rsid w:val="00753AE0"/>
    <w:rsid w:val="00822798"/>
    <w:rsid w:val="009A7994"/>
    <w:rsid w:val="009F2C7B"/>
    <w:rsid w:val="00A9108E"/>
    <w:rsid w:val="00AA6BC4"/>
    <w:rsid w:val="00BB325A"/>
    <w:rsid w:val="00BC24D5"/>
    <w:rsid w:val="00BF5EEE"/>
    <w:rsid w:val="00C3342F"/>
    <w:rsid w:val="00C416A9"/>
    <w:rsid w:val="00C4470F"/>
    <w:rsid w:val="00C80853"/>
    <w:rsid w:val="00CC7C15"/>
    <w:rsid w:val="00D02FD4"/>
    <w:rsid w:val="00EC1D8F"/>
    <w:rsid w:val="00F20F4D"/>
    <w:rsid w:val="00F548AB"/>
    <w:rsid w:val="00F72F4E"/>
    <w:rsid w:val="00F94FB7"/>
    <w:rsid w:val="00F95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30E2D-AAC7-4394-BF15-B6FC372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8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C1D8F"/>
    <w:pPr>
      <w:tabs>
        <w:tab w:val="center" w:pos="4252"/>
        <w:tab w:val="right" w:pos="8504"/>
      </w:tabs>
    </w:pPr>
  </w:style>
  <w:style w:type="character" w:customStyle="1" w:styleId="PiedepginaCar">
    <w:name w:val="Pie de página Car"/>
    <w:basedOn w:val="Fuentedeprrafopredeter"/>
    <w:link w:val="Piedepgina"/>
    <w:rsid w:val="00EC1D8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C1D8F"/>
  </w:style>
  <w:style w:type="paragraph" w:customStyle="1" w:styleId="Textoindependiente31">
    <w:name w:val="Texto independiente 31"/>
    <w:basedOn w:val="Normal"/>
    <w:rsid w:val="00EC1D8F"/>
    <w:pPr>
      <w:spacing w:line="360" w:lineRule="auto"/>
      <w:jc w:val="both"/>
    </w:pPr>
    <w:rPr>
      <w:rFonts w:ascii="Arial" w:hAnsi="Arial"/>
      <w:sz w:val="28"/>
    </w:rPr>
  </w:style>
  <w:style w:type="paragraph" w:customStyle="1" w:styleId="Prrafodelista1">
    <w:name w:val="Párrafo de lista1"/>
    <w:basedOn w:val="Normal"/>
    <w:rsid w:val="00EC1D8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EC1D8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EC1D8F"/>
    <w:pPr>
      <w:spacing w:after="120"/>
      <w:ind w:left="283"/>
    </w:pPr>
  </w:style>
  <w:style w:type="character" w:customStyle="1" w:styleId="SangradetextonormalCar">
    <w:name w:val="Sangría de texto normal Car"/>
    <w:basedOn w:val="Fuentedeprrafopredeter"/>
    <w:link w:val="Sangradetextonormal"/>
    <w:uiPriority w:val="99"/>
    <w:rsid w:val="00EC1D8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EC1D8F"/>
    <w:pPr>
      <w:spacing w:line="360" w:lineRule="auto"/>
      <w:jc w:val="both"/>
    </w:pPr>
    <w:rPr>
      <w:rFonts w:ascii="Arial" w:hAnsi="Arial"/>
    </w:rPr>
  </w:style>
  <w:style w:type="paragraph" w:styleId="Textoindependiente">
    <w:name w:val="Body Text"/>
    <w:basedOn w:val="Normal"/>
    <w:link w:val="TextoindependienteCar"/>
    <w:uiPriority w:val="99"/>
    <w:unhideWhenUsed/>
    <w:rsid w:val="00EC1D8F"/>
    <w:pPr>
      <w:spacing w:after="120"/>
    </w:pPr>
  </w:style>
  <w:style w:type="character" w:customStyle="1" w:styleId="TextoindependienteCar">
    <w:name w:val="Texto independiente Car"/>
    <w:basedOn w:val="Fuentedeprrafopredeter"/>
    <w:link w:val="Textoindependiente"/>
    <w:uiPriority w:val="99"/>
    <w:rsid w:val="00EC1D8F"/>
    <w:rPr>
      <w:rFonts w:ascii="Times New Roman" w:eastAsia="Times New Roman" w:hAnsi="Times New Roman" w:cs="Times New Roman"/>
      <w:sz w:val="24"/>
      <w:szCs w:val="20"/>
      <w:lang w:val="es-ES_tradnl" w:eastAsia="es-ES"/>
    </w:rPr>
  </w:style>
  <w:style w:type="paragraph" w:styleId="Sinespaciado">
    <w:name w:val="No Spacing"/>
    <w:uiPriority w:val="1"/>
    <w:qFormat/>
    <w:rsid w:val="00EC1D8F"/>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EC1D8F"/>
    <w:pPr>
      <w:tabs>
        <w:tab w:val="center" w:pos="4419"/>
        <w:tab w:val="right" w:pos="8838"/>
      </w:tabs>
    </w:pPr>
  </w:style>
  <w:style w:type="character" w:customStyle="1" w:styleId="EncabezadoCar">
    <w:name w:val="Encabezado Car"/>
    <w:basedOn w:val="Fuentedeprrafopredeter"/>
    <w:link w:val="Encabezado"/>
    <w:uiPriority w:val="99"/>
    <w:rsid w:val="00EC1D8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C1D8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D8F"/>
    <w:rPr>
      <w:rFonts w:ascii="Tahoma" w:eastAsia="Times New Roman" w:hAnsi="Tahoma" w:cs="Tahoma"/>
      <w:sz w:val="16"/>
      <w:szCs w:val="16"/>
      <w:lang w:val="es-ES_tradnl" w:eastAsia="es-ES"/>
    </w:rPr>
  </w:style>
  <w:style w:type="paragraph" w:styleId="Prrafodelista">
    <w:name w:val="List Paragraph"/>
    <w:basedOn w:val="Normal"/>
    <w:uiPriority w:val="34"/>
    <w:qFormat/>
    <w:rsid w:val="0034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4126">
      <w:bodyDiv w:val="1"/>
      <w:marLeft w:val="0"/>
      <w:marRight w:val="0"/>
      <w:marTop w:val="0"/>
      <w:marBottom w:val="0"/>
      <w:divBdr>
        <w:top w:val="none" w:sz="0" w:space="0" w:color="auto"/>
        <w:left w:val="none" w:sz="0" w:space="0" w:color="auto"/>
        <w:bottom w:val="none" w:sz="0" w:space="0" w:color="auto"/>
        <w:right w:val="none" w:sz="0" w:space="0" w:color="auto"/>
      </w:divBdr>
    </w:div>
    <w:div w:id="976107428">
      <w:bodyDiv w:val="1"/>
      <w:marLeft w:val="0"/>
      <w:marRight w:val="0"/>
      <w:marTop w:val="0"/>
      <w:marBottom w:val="0"/>
      <w:divBdr>
        <w:top w:val="none" w:sz="0" w:space="0" w:color="auto"/>
        <w:left w:val="none" w:sz="0" w:space="0" w:color="auto"/>
        <w:bottom w:val="none" w:sz="0" w:space="0" w:color="auto"/>
        <w:right w:val="none" w:sz="0" w:space="0" w:color="auto"/>
      </w:divBdr>
    </w:div>
    <w:div w:id="1090585391">
      <w:bodyDiv w:val="1"/>
      <w:marLeft w:val="0"/>
      <w:marRight w:val="0"/>
      <w:marTop w:val="0"/>
      <w:marBottom w:val="0"/>
      <w:divBdr>
        <w:top w:val="none" w:sz="0" w:space="0" w:color="auto"/>
        <w:left w:val="none" w:sz="0" w:space="0" w:color="auto"/>
        <w:bottom w:val="none" w:sz="0" w:space="0" w:color="auto"/>
        <w:right w:val="none" w:sz="0" w:space="0" w:color="auto"/>
      </w:divBdr>
    </w:div>
    <w:div w:id="1321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Julia Andrea Benavides Tovar</cp:lastModifiedBy>
  <cp:revision>2</cp:revision>
  <dcterms:created xsi:type="dcterms:W3CDTF">2016-07-27T16:46:00Z</dcterms:created>
  <dcterms:modified xsi:type="dcterms:W3CDTF">2016-07-27T16:46:00Z</dcterms:modified>
</cp:coreProperties>
</file>