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81" w:rsidRPr="002A5781" w:rsidRDefault="002A5781" w:rsidP="002A5781">
      <w:pPr>
        <w:spacing w:line="360" w:lineRule="auto"/>
        <w:jc w:val="both"/>
        <w:rPr>
          <w:rFonts w:ascii="Arial Narrow" w:hAnsi="Arial Narrow" w:cs="Arial"/>
          <w:bCs/>
          <w:i/>
          <w:iCs/>
          <w:sz w:val="36"/>
          <w:szCs w:val="36"/>
          <w:u w:val="single"/>
        </w:rPr>
      </w:pPr>
      <w:r w:rsidRPr="002A5781">
        <w:rPr>
          <w:rFonts w:ascii="Arial Narrow" w:hAnsi="Arial Narrow" w:cs="Arial"/>
          <w:bCs/>
          <w:i/>
          <w:iCs/>
          <w:sz w:val="36"/>
          <w:szCs w:val="36"/>
          <w:u w:val="single"/>
        </w:rPr>
        <w:t>ORALIDAD</w:t>
      </w:r>
    </w:p>
    <w:p w:rsidR="002A5781" w:rsidRPr="002A5781" w:rsidRDefault="002A5781" w:rsidP="0058320B">
      <w:pPr>
        <w:pStyle w:val="Sinespaciado"/>
      </w:pPr>
    </w:p>
    <w:p w:rsidR="002A5781" w:rsidRPr="003438F2" w:rsidRDefault="002A5781" w:rsidP="002A5781">
      <w:pPr>
        <w:jc w:val="both"/>
        <w:rPr>
          <w:rFonts w:ascii="Arial Narrow" w:hAnsi="Arial Narrow" w:cs="Arial"/>
          <w:sz w:val="20"/>
        </w:rPr>
      </w:pPr>
      <w:r w:rsidRPr="003438F2">
        <w:rPr>
          <w:rFonts w:ascii="Arial Narrow" w:hAnsi="Arial Narrow" w:cs="Arial"/>
          <w:sz w:val="20"/>
        </w:rPr>
        <w:t xml:space="preserve">Providencia: </w:t>
      </w:r>
      <w:r w:rsidRPr="003438F2">
        <w:rPr>
          <w:rFonts w:ascii="Arial Narrow" w:hAnsi="Arial Narrow" w:cs="Arial"/>
          <w:sz w:val="20"/>
        </w:rPr>
        <w:tab/>
      </w:r>
      <w:r w:rsidRPr="003438F2">
        <w:rPr>
          <w:rFonts w:ascii="Arial Narrow" w:hAnsi="Arial Narrow" w:cs="Arial"/>
          <w:sz w:val="20"/>
        </w:rPr>
        <w:tab/>
        <w:t>Sentencia de Segunda Instancia, jueves 29 de septiembre de 2016</w:t>
      </w:r>
    </w:p>
    <w:p w:rsidR="002A5781" w:rsidRPr="003438F2" w:rsidRDefault="002A5781" w:rsidP="002A5781">
      <w:pPr>
        <w:jc w:val="both"/>
        <w:rPr>
          <w:rFonts w:ascii="Arial Narrow" w:hAnsi="Arial Narrow" w:cs="Arial"/>
          <w:bCs/>
          <w:sz w:val="20"/>
        </w:rPr>
      </w:pPr>
      <w:r w:rsidRPr="003438F2">
        <w:rPr>
          <w:rFonts w:ascii="Arial Narrow" w:hAnsi="Arial Narrow" w:cs="Arial"/>
          <w:bCs/>
          <w:sz w:val="20"/>
        </w:rPr>
        <w:t xml:space="preserve">Radicación No: </w:t>
      </w:r>
      <w:r w:rsidRPr="003438F2">
        <w:rPr>
          <w:rFonts w:ascii="Arial Narrow" w:hAnsi="Arial Narrow" w:cs="Arial"/>
          <w:bCs/>
          <w:sz w:val="20"/>
        </w:rPr>
        <w:tab/>
      </w:r>
      <w:r w:rsidRPr="003438F2">
        <w:rPr>
          <w:rFonts w:ascii="Arial Narrow" w:hAnsi="Arial Narrow" w:cs="Arial"/>
          <w:bCs/>
          <w:sz w:val="20"/>
        </w:rPr>
        <w:tab/>
        <w:t>66001-31-05-004-2014-00382-01</w:t>
      </w:r>
    </w:p>
    <w:p w:rsidR="002A5781" w:rsidRPr="003438F2" w:rsidRDefault="002A5781" w:rsidP="002A5781">
      <w:pPr>
        <w:jc w:val="both"/>
        <w:rPr>
          <w:rFonts w:ascii="Arial Narrow" w:hAnsi="Arial Narrow" w:cs="Arial"/>
          <w:iCs/>
          <w:sz w:val="20"/>
        </w:rPr>
      </w:pPr>
      <w:r w:rsidRPr="003438F2">
        <w:rPr>
          <w:rFonts w:ascii="Arial Narrow" w:hAnsi="Arial Narrow" w:cs="Arial"/>
          <w:bCs/>
          <w:iCs/>
          <w:sz w:val="20"/>
        </w:rPr>
        <w:t>Proceso:</w:t>
      </w:r>
      <w:r w:rsidRPr="003438F2">
        <w:rPr>
          <w:rFonts w:ascii="Arial Narrow" w:hAnsi="Arial Narrow" w:cs="Arial"/>
          <w:iCs/>
          <w:sz w:val="20"/>
        </w:rPr>
        <w:tab/>
      </w:r>
      <w:r w:rsidRPr="003438F2">
        <w:rPr>
          <w:rFonts w:ascii="Arial Narrow" w:hAnsi="Arial Narrow" w:cs="Arial"/>
          <w:iCs/>
          <w:sz w:val="20"/>
        </w:rPr>
        <w:tab/>
      </w:r>
      <w:r w:rsidRPr="003438F2">
        <w:rPr>
          <w:rFonts w:ascii="Arial Narrow" w:hAnsi="Arial Narrow" w:cs="Arial"/>
          <w:iCs/>
          <w:sz w:val="20"/>
        </w:rPr>
        <w:tab/>
        <w:t>Ordinario Laboral</w:t>
      </w:r>
    </w:p>
    <w:p w:rsidR="002A5781" w:rsidRPr="003438F2" w:rsidRDefault="002A5781" w:rsidP="002A5781">
      <w:pPr>
        <w:ind w:firstLine="6"/>
        <w:jc w:val="both"/>
        <w:rPr>
          <w:rFonts w:ascii="Arial Narrow" w:hAnsi="Arial Narrow" w:cs="Arial"/>
          <w:iCs/>
          <w:sz w:val="20"/>
        </w:rPr>
      </w:pPr>
      <w:r w:rsidRPr="003438F2">
        <w:rPr>
          <w:rFonts w:ascii="Arial Narrow" w:hAnsi="Arial Narrow" w:cs="Arial"/>
          <w:iCs/>
          <w:sz w:val="20"/>
        </w:rPr>
        <w:t xml:space="preserve">Demandante:     </w:t>
      </w:r>
      <w:r w:rsidRPr="003438F2">
        <w:rPr>
          <w:rFonts w:ascii="Arial Narrow" w:hAnsi="Arial Narrow" w:cs="Arial"/>
          <w:iCs/>
          <w:sz w:val="20"/>
        </w:rPr>
        <w:tab/>
      </w:r>
      <w:r w:rsidRPr="003438F2">
        <w:rPr>
          <w:rFonts w:ascii="Arial Narrow" w:hAnsi="Arial Narrow" w:cs="Arial"/>
          <w:iCs/>
          <w:sz w:val="20"/>
        </w:rPr>
        <w:tab/>
        <w:t xml:space="preserve">Luz Stella Ocampo de Henao </w:t>
      </w:r>
    </w:p>
    <w:p w:rsidR="002A5781" w:rsidRPr="003438F2" w:rsidRDefault="002A5781" w:rsidP="002A5781">
      <w:pPr>
        <w:ind w:firstLine="6"/>
        <w:jc w:val="both"/>
        <w:rPr>
          <w:rFonts w:ascii="Arial Narrow" w:hAnsi="Arial Narrow" w:cs="Arial"/>
          <w:bCs/>
          <w:sz w:val="20"/>
        </w:rPr>
      </w:pPr>
      <w:r w:rsidRPr="003438F2">
        <w:rPr>
          <w:rFonts w:ascii="Arial Narrow" w:hAnsi="Arial Narrow" w:cs="Arial"/>
          <w:bCs/>
          <w:sz w:val="20"/>
        </w:rPr>
        <w:t xml:space="preserve">Demandado:            </w:t>
      </w:r>
      <w:r w:rsidRPr="003438F2">
        <w:rPr>
          <w:rFonts w:ascii="Arial Narrow" w:hAnsi="Arial Narrow" w:cs="Arial"/>
          <w:bCs/>
          <w:sz w:val="20"/>
        </w:rPr>
        <w:tab/>
      </w:r>
      <w:proofErr w:type="spellStart"/>
      <w:r w:rsidRPr="003438F2">
        <w:rPr>
          <w:rFonts w:ascii="Arial Narrow" w:hAnsi="Arial Narrow" w:cs="Arial"/>
          <w:bCs/>
          <w:sz w:val="20"/>
        </w:rPr>
        <w:t>Colpensiones</w:t>
      </w:r>
      <w:proofErr w:type="spellEnd"/>
    </w:p>
    <w:p w:rsidR="002A5781" w:rsidRPr="003438F2" w:rsidRDefault="002A5781" w:rsidP="002A5781">
      <w:pPr>
        <w:jc w:val="both"/>
        <w:rPr>
          <w:rFonts w:ascii="Arial Narrow" w:hAnsi="Arial Narrow" w:cs="Arial"/>
          <w:sz w:val="20"/>
        </w:rPr>
      </w:pPr>
      <w:r w:rsidRPr="003438F2">
        <w:rPr>
          <w:rFonts w:ascii="Arial Narrow" w:hAnsi="Arial Narrow" w:cs="Arial"/>
          <w:sz w:val="20"/>
        </w:rPr>
        <w:t xml:space="preserve">Juzgado de origen:     </w:t>
      </w:r>
      <w:r w:rsidRPr="003438F2">
        <w:rPr>
          <w:rFonts w:ascii="Arial Narrow" w:hAnsi="Arial Narrow" w:cs="Arial"/>
          <w:sz w:val="20"/>
        </w:rPr>
        <w:tab/>
        <w:t>Cuarto Laboral del Circuito de Pereira.</w:t>
      </w:r>
    </w:p>
    <w:p w:rsidR="002A5781" w:rsidRPr="003438F2" w:rsidRDefault="002A5781" w:rsidP="002A5781">
      <w:pPr>
        <w:jc w:val="both"/>
        <w:rPr>
          <w:rFonts w:ascii="Arial Narrow" w:hAnsi="Arial Narrow" w:cs="Arial"/>
          <w:iCs/>
          <w:sz w:val="20"/>
        </w:rPr>
      </w:pPr>
      <w:r w:rsidRPr="003438F2">
        <w:rPr>
          <w:rFonts w:ascii="Arial Narrow" w:hAnsi="Arial Narrow" w:cs="Arial"/>
          <w:iCs/>
          <w:sz w:val="20"/>
        </w:rPr>
        <w:t xml:space="preserve">Magistrado Ponente:     </w:t>
      </w:r>
      <w:r w:rsidRPr="003438F2">
        <w:rPr>
          <w:rFonts w:ascii="Arial Narrow" w:hAnsi="Arial Narrow" w:cs="Arial"/>
          <w:iCs/>
          <w:sz w:val="20"/>
        </w:rPr>
        <w:tab/>
        <w:t>Francisco Javier Tamayo Tabares.</w:t>
      </w:r>
    </w:p>
    <w:p w:rsidR="002A5781" w:rsidRDefault="002A5781" w:rsidP="002A5781">
      <w:pPr>
        <w:autoSpaceDE w:val="0"/>
        <w:autoSpaceDN w:val="0"/>
        <w:adjustRightInd w:val="0"/>
        <w:ind w:left="2127" w:hanging="2127"/>
        <w:jc w:val="both"/>
        <w:rPr>
          <w:rFonts w:ascii="Arial Narrow" w:hAnsi="Arial Narrow" w:cs="Tahoma"/>
          <w:bCs/>
          <w:sz w:val="20"/>
          <w:szCs w:val="18"/>
        </w:rPr>
      </w:pPr>
      <w:r w:rsidRPr="003438F2">
        <w:rPr>
          <w:rFonts w:ascii="Arial Narrow" w:hAnsi="Arial Narrow" w:cs="Arial"/>
          <w:bCs/>
          <w:sz w:val="20"/>
        </w:rPr>
        <w:t xml:space="preserve">Tema a tratar: </w:t>
      </w:r>
      <w:r w:rsidRPr="003438F2">
        <w:rPr>
          <w:rFonts w:ascii="Arial Narrow" w:hAnsi="Arial Narrow" w:cs="Arial"/>
          <w:bCs/>
          <w:sz w:val="20"/>
        </w:rPr>
        <w:tab/>
      </w:r>
      <w:r w:rsidRPr="003438F2">
        <w:rPr>
          <w:rFonts w:ascii="Arial Narrow" w:hAnsi="Arial Narrow" w:cs="Tahoma"/>
          <w:b/>
          <w:bCs/>
          <w:sz w:val="20"/>
          <w:szCs w:val="18"/>
        </w:rPr>
        <w:t xml:space="preserve">Convivencia. Concepto: </w:t>
      </w:r>
      <w:r w:rsidRPr="003438F2">
        <w:rPr>
          <w:rFonts w:ascii="Arial Narrow" w:hAnsi="Arial Narrow" w:cs="Tahoma"/>
          <w:bCs/>
          <w:sz w:val="20"/>
          <w:szCs w:val="18"/>
        </w:rPr>
        <w:t xml:space="preserve">En cuanto a la convivencia, dígase que esta debe entenderse como el ánimo que debe asistir a la pareja de ayudarse, de darse amor, de respetarse, de apoyarse material y moralmente y, en fin, de conformar una familia y darlo </w:t>
      </w:r>
      <w:r w:rsidR="00323DE7">
        <w:rPr>
          <w:rFonts w:ascii="Arial Narrow" w:hAnsi="Arial Narrow" w:cs="Tahoma"/>
          <w:bCs/>
          <w:sz w:val="20"/>
          <w:szCs w:val="18"/>
        </w:rPr>
        <w:t>a conocer así ante la sociedad.</w:t>
      </w:r>
    </w:p>
    <w:p w:rsidR="00323DE7" w:rsidRDefault="00323DE7" w:rsidP="002A5781">
      <w:pPr>
        <w:autoSpaceDE w:val="0"/>
        <w:autoSpaceDN w:val="0"/>
        <w:adjustRightInd w:val="0"/>
        <w:ind w:left="2127" w:hanging="2127"/>
        <w:jc w:val="both"/>
        <w:rPr>
          <w:rFonts w:ascii="Arial Narrow" w:hAnsi="Arial Narrow" w:cs="Tahoma"/>
          <w:bCs/>
          <w:sz w:val="20"/>
          <w:szCs w:val="18"/>
        </w:rPr>
      </w:pPr>
    </w:p>
    <w:p w:rsidR="00323DE7" w:rsidRPr="00323DE7" w:rsidRDefault="00323DE7" w:rsidP="00323DE7">
      <w:pPr>
        <w:pStyle w:val="Sinespaciado"/>
        <w:jc w:val="both"/>
        <w:rPr>
          <w:rFonts w:ascii="Arial Narrow" w:hAnsi="Arial Narrow" w:cs="Tahoma"/>
          <w:bCs/>
          <w:sz w:val="20"/>
          <w:szCs w:val="18"/>
        </w:rPr>
      </w:pPr>
      <w:r w:rsidRPr="00323DE7">
        <w:rPr>
          <w:rFonts w:ascii="Arial Narrow" w:hAnsi="Arial Narrow" w:cs="Tahoma"/>
          <w:b/>
          <w:bCs/>
          <w:sz w:val="20"/>
          <w:szCs w:val="18"/>
        </w:rPr>
        <w:t>Citación jurisprudencial:</w:t>
      </w:r>
      <w:r w:rsidRPr="00323DE7">
        <w:rPr>
          <w:rFonts w:ascii="Arial Narrow" w:hAnsi="Arial Narrow" w:cs="Tahoma"/>
          <w:bCs/>
          <w:sz w:val="20"/>
          <w:szCs w:val="18"/>
        </w:rPr>
        <w:t xml:space="preserve"> Sala de Casación Laboral de la Corte Suprema de Justicia, entre otras en sentencia con radicación No. 45038 del 2012.</w:t>
      </w:r>
    </w:p>
    <w:p w:rsidR="003438F2" w:rsidRDefault="003438F2" w:rsidP="002A5781">
      <w:pPr>
        <w:pStyle w:val="Sinespaciado"/>
      </w:pPr>
    </w:p>
    <w:p w:rsidR="002A5781" w:rsidRPr="002A5781" w:rsidRDefault="002A5781" w:rsidP="003438F2">
      <w:pPr>
        <w:spacing w:line="360" w:lineRule="auto"/>
        <w:rPr>
          <w:rFonts w:ascii="Arial Narrow" w:hAnsi="Arial Narrow" w:cs="Arial"/>
          <w:sz w:val="28"/>
          <w:szCs w:val="28"/>
        </w:rPr>
      </w:pPr>
      <w:bookmarkStart w:id="0" w:name="_GoBack"/>
      <w:bookmarkEnd w:id="0"/>
      <w:r w:rsidRPr="002A5781">
        <w:rPr>
          <w:rFonts w:ascii="Arial Narrow" w:hAnsi="Arial Narrow" w:cs="Arial"/>
          <w:sz w:val="28"/>
          <w:szCs w:val="28"/>
          <w:u w:val="single"/>
        </w:rPr>
        <w:t>AUDIENCIA PÚBLICA</w:t>
      </w:r>
      <w:r w:rsidRPr="002A5781">
        <w:rPr>
          <w:rFonts w:ascii="Arial Narrow" w:hAnsi="Arial Narrow" w:cs="Arial"/>
          <w:sz w:val="28"/>
          <w:szCs w:val="28"/>
        </w:rPr>
        <w:t>:</w:t>
      </w:r>
    </w:p>
    <w:p w:rsidR="002A5781" w:rsidRPr="002A5781" w:rsidRDefault="002A5781" w:rsidP="002A5781">
      <w:pPr>
        <w:pStyle w:val="Sinespaciado"/>
      </w:pPr>
    </w:p>
    <w:p w:rsidR="002A5781" w:rsidRPr="002A5781" w:rsidRDefault="002A5781" w:rsidP="002A5781">
      <w:pPr>
        <w:spacing w:line="360" w:lineRule="auto"/>
        <w:ind w:firstLine="851"/>
        <w:jc w:val="both"/>
        <w:rPr>
          <w:rFonts w:ascii="Arial Narrow" w:hAnsi="Arial Narrow" w:cs="Arial"/>
          <w:bCs/>
          <w:i/>
          <w:iCs/>
          <w:sz w:val="28"/>
          <w:szCs w:val="28"/>
        </w:rPr>
      </w:pPr>
      <w:r>
        <w:rPr>
          <w:rFonts w:ascii="Arial Narrow" w:eastAsia="Calibri" w:hAnsi="Arial Narrow" w:cs="Arial"/>
          <w:sz w:val="28"/>
          <w:szCs w:val="28"/>
          <w:lang w:val="es-CO" w:eastAsia="en-US"/>
        </w:rPr>
        <w:t xml:space="preserve">En Pereira, a los veintinueve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29</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septiembre de dos </w:t>
      </w:r>
      <w:r w:rsidRPr="00D30FA7">
        <w:rPr>
          <w:rFonts w:ascii="Arial Narrow" w:eastAsia="Calibri" w:hAnsi="Arial Narrow" w:cs="Arial"/>
          <w:sz w:val="28"/>
          <w:szCs w:val="28"/>
          <w:lang w:val="es-CO" w:eastAsia="en-US"/>
        </w:rPr>
        <w:t xml:space="preserve">mil </w:t>
      </w:r>
      <w:r>
        <w:rPr>
          <w:rFonts w:ascii="Arial Narrow" w:eastAsia="Calibri" w:hAnsi="Arial Narrow" w:cs="Arial"/>
          <w:sz w:val="28"/>
          <w:szCs w:val="28"/>
          <w:lang w:val="es-CO" w:eastAsia="en-US"/>
        </w:rPr>
        <w:t>dieciséis</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7:30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w:t>
      </w:r>
      <w:r>
        <w:rPr>
          <w:rFonts w:ascii="Arial Narrow" w:hAnsi="Arial Narrow" w:cs="Tahoma"/>
          <w:bCs/>
          <w:color w:val="000000"/>
          <w:sz w:val="28"/>
          <w:szCs w:val="28"/>
          <w:lang w:eastAsia="es-CO"/>
        </w:rPr>
        <w:t>s</w:t>
      </w:r>
      <w:r w:rsidRPr="00D30FA7">
        <w:rPr>
          <w:rFonts w:ascii="Arial Narrow" w:hAnsi="Arial Narrow" w:cs="Tahoma"/>
          <w:bCs/>
          <w:color w:val="000000"/>
          <w:sz w:val="28"/>
          <w:szCs w:val="28"/>
          <w:lang w:eastAsia="es-CO"/>
        </w:rPr>
        <w:t xml:space="preserve"> los magistrados 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interpuesto por la demandante contra de la sentencia proferida 17 de junio de 2015 </w:t>
      </w:r>
      <w:r w:rsidRPr="00D30FA7">
        <w:rPr>
          <w:rFonts w:ascii="Arial Narrow" w:hAnsi="Arial Narrow" w:cs="Arial"/>
          <w:sz w:val="28"/>
          <w:szCs w:val="28"/>
        </w:rPr>
        <w:t>por el Juzgado</w:t>
      </w:r>
      <w:r>
        <w:rPr>
          <w:rFonts w:ascii="Arial Narrow" w:hAnsi="Arial Narrow" w:cs="Arial"/>
          <w:sz w:val="28"/>
          <w:szCs w:val="28"/>
        </w:rPr>
        <w:t xml:space="preserve"> Cuarto </w:t>
      </w:r>
      <w:r w:rsidRPr="00D30FA7">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la </w:t>
      </w:r>
      <w:r w:rsidRPr="002A5781">
        <w:rPr>
          <w:rFonts w:ascii="Arial Narrow" w:hAnsi="Arial Narrow" w:cs="Arial"/>
          <w:sz w:val="28"/>
          <w:szCs w:val="28"/>
        </w:rPr>
        <w:t>señora</w:t>
      </w:r>
      <w:r w:rsidRPr="002A5781">
        <w:rPr>
          <w:rFonts w:ascii="Arial Narrow" w:hAnsi="Arial Narrow" w:cs="Arial"/>
          <w:i/>
          <w:sz w:val="28"/>
          <w:szCs w:val="28"/>
        </w:rPr>
        <w:t xml:space="preserve"> Luz Stella Ocampo de Henao contra la Administradora Colombiana de Pensiones </w:t>
      </w:r>
      <w:proofErr w:type="spellStart"/>
      <w:r w:rsidRPr="002A5781">
        <w:rPr>
          <w:rFonts w:ascii="Arial Narrow" w:hAnsi="Arial Narrow" w:cs="Arial"/>
          <w:bCs/>
          <w:i/>
          <w:sz w:val="28"/>
          <w:szCs w:val="28"/>
        </w:rPr>
        <w:t>Colpensiones</w:t>
      </w:r>
      <w:proofErr w:type="spellEnd"/>
      <w:r w:rsidRPr="002A5781">
        <w:rPr>
          <w:rFonts w:ascii="Arial Narrow" w:hAnsi="Arial Narrow" w:cs="Arial"/>
          <w:bCs/>
          <w:i/>
          <w:sz w:val="28"/>
          <w:szCs w:val="28"/>
        </w:rPr>
        <w:t>.</w:t>
      </w:r>
    </w:p>
    <w:p w:rsidR="002A5781" w:rsidRPr="00D30FA7" w:rsidRDefault="002A5781" w:rsidP="002A5781">
      <w:pPr>
        <w:pStyle w:val="Sinespaciado"/>
      </w:pPr>
    </w:p>
    <w:p w:rsidR="002A5781" w:rsidRPr="00CB1D5B" w:rsidRDefault="002A5781" w:rsidP="002A5781">
      <w:pPr>
        <w:shd w:val="clear" w:color="auto" w:fill="FFFFFF"/>
        <w:spacing w:line="360" w:lineRule="atLeast"/>
        <w:ind w:firstLine="708"/>
        <w:jc w:val="both"/>
        <w:rPr>
          <w:rFonts w:ascii="Arial Narrow" w:hAnsi="Arial Narrow" w:cs="Tahoma"/>
          <w:bCs/>
          <w:color w:val="000000"/>
          <w:sz w:val="28"/>
          <w:szCs w:val="28"/>
          <w:lang w:eastAsia="es-CO"/>
        </w:rPr>
      </w:pPr>
      <w:r w:rsidRPr="00CB1D5B">
        <w:rPr>
          <w:rFonts w:ascii="Arial Narrow" w:hAnsi="Arial Narrow" w:cs="Tahoma"/>
          <w:bCs/>
          <w:color w:val="000000"/>
          <w:sz w:val="28"/>
          <w:szCs w:val="28"/>
          <w:lang w:eastAsia="es-CO"/>
        </w:rPr>
        <w:t>IDENTIFICACIÓN DE LOS PRESENTES:</w:t>
      </w:r>
    </w:p>
    <w:p w:rsidR="002A5781" w:rsidRDefault="002A5781" w:rsidP="002A5781">
      <w:pPr>
        <w:pStyle w:val="Sinespaciado"/>
        <w:rPr>
          <w:lang w:eastAsia="es-CO"/>
        </w:rPr>
      </w:pPr>
    </w:p>
    <w:p w:rsidR="003438F2" w:rsidRPr="00CB1D5B" w:rsidRDefault="003438F2" w:rsidP="002A5781">
      <w:pPr>
        <w:pStyle w:val="Sinespaciado"/>
        <w:rPr>
          <w:lang w:eastAsia="es-CO"/>
        </w:rPr>
      </w:pPr>
    </w:p>
    <w:p w:rsidR="002A5781" w:rsidRPr="00CB1D5B" w:rsidRDefault="002A5781" w:rsidP="002A5781">
      <w:pPr>
        <w:spacing w:line="360" w:lineRule="auto"/>
        <w:ind w:firstLine="851"/>
        <w:rPr>
          <w:rFonts w:ascii="Arial Narrow" w:hAnsi="Arial Narrow" w:cs="Tahoma"/>
          <w:i/>
          <w:sz w:val="28"/>
          <w:szCs w:val="28"/>
        </w:rPr>
      </w:pPr>
      <w:r w:rsidRPr="00CB1D5B">
        <w:rPr>
          <w:rFonts w:ascii="Arial Narrow" w:hAnsi="Arial Narrow" w:cs="Tahoma"/>
          <w:i/>
          <w:sz w:val="28"/>
          <w:szCs w:val="28"/>
        </w:rPr>
        <w:t>I. INTRODUCCIÓN</w:t>
      </w:r>
    </w:p>
    <w:p w:rsidR="002A5781" w:rsidRPr="00CB1D5B" w:rsidRDefault="002A5781" w:rsidP="00CB1D5B">
      <w:pPr>
        <w:pStyle w:val="Sinespaciado"/>
      </w:pPr>
    </w:p>
    <w:p w:rsidR="002A5781" w:rsidRDefault="002A5781" w:rsidP="002A5781">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Pr>
          <w:rFonts w:ascii="Arial Narrow" w:hAnsi="Arial Narrow" w:cs="Tahoma"/>
          <w:sz w:val="28"/>
          <w:szCs w:val="28"/>
        </w:rPr>
        <w:t>dígase</w:t>
      </w:r>
      <w:r w:rsidRPr="00D30FA7">
        <w:rPr>
          <w:rFonts w:ascii="Arial Narrow" w:hAnsi="Arial Narrow" w:cs="Tahoma"/>
          <w:sz w:val="28"/>
          <w:szCs w:val="28"/>
        </w:rPr>
        <w:t xml:space="preserve"> </w:t>
      </w:r>
      <w:proofErr w:type="spellStart"/>
      <w:r w:rsidRPr="00D30FA7">
        <w:rPr>
          <w:rFonts w:ascii="Arial Narrow" w:hAnsi="Arial Narrow" w:cs="Tahoma"/>
          <w:sz w:val="28"/>
          <w:szCs w:val="28"/>
        </w:rPr>
        <w:t>que</w:t>
      </w:r>
      <w:r>
        <w:rPr>
          <w:rFonts w:ascii="Arial Narrow" w:hAnsi="Arial Narrow" w:cs="Tahoma"/>
          <w:sz w:val="28"/>
          <w:szCs w:val="28"/>
        </w:rPr>
        <w:t>la</w:t>
      </w:r>
      <w:proofErr w:type="spellEnd"/>
      <w:r>
        <w:rPr>
          <w:rFonts w:ascii="Arial Narrow" w:hAnsi="Arial Narrow" w:cs="Tahoma"/>
          <w:sz w:val="28"/>
          <w:szCs w:val="28"/>
        </w:rPr>
        <w:t xml:space="preserve"> demandante pretende que se declare que tiene derecho al reconocimiento y pago de la pensión de sobrevivientes generada con el deceso de su cónyuge, señor Rubén Darío Henao Arango, a partir del 1</w:t>
      </w:r>
      <w:r w:rsidR="004A0063">
        <w:rPr>
          <w:rFonts w:ascii="Arial Narrow" w:hAnsi="Arial Narrow" w:cs="Tahoma"/>
          <w:sz w:val="28"/>
          <w:szCs w:val="28"/>
        </w:rPr>
        <w:t xml:space="preserve">9 de mayo de 2010, </w:t>
      </w:r>
      <w:r>
        <w:rPr>
          <w:rFonts w:ascii="Arial Narrow" w:hAnsi="Arial Narrow" w:cs="Tahoma"/>
          <w:sz w:val="28"/>
          <w:szCs w:val="28"/>
        </w:rPr>
        <w:t xml:space="preserve">y, en consecuencia pide que se pague la misma, </w:t>
      </w:r>
      <w:r w:rsidR="004A0063">
        <w:rPr>
          <w:rFonts w:ascii="Arial Narrow" w:hAnsi="Arial Narrow" w:cs="Tahoma"/>
          <w:sz w:val="28"/>
          <w:szCs w:val="28"/>
        </w:rPr>
        <w:t>en cuantía de 1 SMLMV y por 14 mesadas anuales</w:t>
      </w:r>
      <w:r>
        <w:rPr>
          <w:rFonts w:ascii="Arial Narrow" w:hAnsi="Arial Narrow" w:cs="Tahoma"/>
          <w:sz w:val="28"/>
          <w:szCs w:val="28"/>
        </w:rPr>
        <w:t xml:space="preserve">, con los réditos moratorios </w:t>
      </w:r>
      <w:r w:rsidR="004A0063">
        <w:rPr>
          <w:rFonts w:ascii="Arial Narrow" w:hAnsi="Arial Narrow" w:cs="Tahoma"/>
          <w:sz w:val="28"/>
          <w:szCs w:val="28"/>
        </w:rPr>
        <w:t xml:space="preserve">o en subsidio, la indexación, más </w:t>
      </w:r>
      <w:r>
        <w:rPr>
          <w:rFonts w:ascii="Arial Narrow" w:hAnsi="Arial Narrow" w:cs="Tahoma"/>
          <w:sz w:val="28"/>
          <w:szCs w:val="28"/>
        </w:rPr>
        <w:t>las costas procesales.</w:t>
      </w:r>
    </w:p>
    <w:p w:rsidR="002A5781" w:rsidRPr="00CB1D5B" w:rsidRDefault="002A5781" w:rsidP="00CB1D5B">
      <w:pPr>
        <w:pStyle w:val="Sinespaciado"/>
      </w:pPr>
    </w:p>
    <w:p w:rsidR="004A0063" w:rsidRDefault="002A5781" w:rsidP="002A5781">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w:t>
      </w:r>
      <w:r w:rsidR="004A0063">
        <w:rPr>
          <w:rFonts w:ascii="Arial Narrow" w:hAnsi="Arial Narrow" w:cs="Tahoma"/>
          <w:sz w:val="28"/>
          <w:szCs w:val="28"/>
        </w:rPr>
        <w:t xml:space="preserve">la demandante que contrajo matrimonio con el fallecido el 22 de junio de 1972; que convivieron de manera </w:t>
      </w:r>
      <w:r w:rsidR="005953B4">
        <w:rPr>
          <w:rFonts w:ascii="Arial Narrow" w:hAnsi="Arial Narrow" w:cs="Tahoma"/>
          <w:sz w:val="28"/>
          <w:szCs w:val="28"/>
        </w:rPr>
        <w:t>continua</w:t>
      </w:r>
      <w:r w:rsidR="004A0063">
        <w:rPr>
          <w:rFonts w:ascii="Arial Narrow" w:hAnsi="Arial Narrow" w:cs="Tahoma"/>
          <w:sz w:val="28"/>
          <w:szCs w:val="28"/>
        </w:rPr>
        <w:t xml:space="preserve"> e ininterrumpida por espacio </w:t>
      </w:r>
      <w:r w:rsidR="004A0063">
        <w:rPr>
          <w:rFonts w:ascii="Arial Narrow" w:hAnsi="Arial Narrow" w:cs="Tahoma"/>
          <w:sz w:val="28"/>
          <w:szCs w:val="28"/>
        </w:rPr>
        <w:lastRenderedPageBreak/>
        <w:t xml:space="preserve">de 38 años, </w:t>
      </w:r>
      <w:r w:rsidR="005953B4">
        <w:rPr>
          <w:rFonts w:ascii="Arial Narrow" w:hAnsi="Arial Narrow" w:cs="Tahoma"/>
          <w:sz w:val="28"/>
          <w:szCs w:val="28"/>
        </w:rPr>
        <w:t xml:space="preserve">hasta la fecha del deceso de aquel; que el afiliado cotizó al Sistema General de Pensiones un total de 682.43 semanas, de las cuales, 641.29 lo fueron con antelación al 1º de abril de 1994. Refiere que el 3 de abril de 2012 presentó la solicitud pensional, y que mediante Resolución GNR 023541 de ese año le fue negada, por no haber el afiliado cotizado 50 semanas en los tres años anteriores a su muerte, por lo que la entidad le reconoció la indemnización sustitutiva de la pensión. </w:t>
      </w:r>
    </w:p>
    <w:p w:rsidR="002A5781" w:rsidRPr="00CB1D5B" w:rsidRDefault="002A5781" w:rsidP="003438F2">
      <w:pPr>
        <w:pStyle w:val="Sinespaciado"/>
        <w:spacing w:line="276" w:lineRule="auto"/>
      </w:pPr>
    </w:p>
    <w:p w:rsidR="002A5781" w:rsidRDefault="002A5781" w:rsidP="005953B4">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al ente demandado, el que allegó respuesta por intermedio de apoderado judicial, en la que se </w:t>
      </w:r>
      <w:r w:rsidR="005953B4">
        <w:rPr>
          <w:rFonts w:ascii="Arial Narrow" w:hAnsi="Arial Narrow" w:cs="Tahoma"/>
          <w:sz w:val="28"/>
          <w:szCs w:val="28"/>
        </w:rPr>
        <w:t xml:space="preserve">opuso a las pretensiones de la demanda, arguyendo que la entidad no está obligada al reconocimiento y pago de la pensión, porque la demandante no cumple con los presupuestos legales para ser beneficiaria. Formuló </w:t>
      </w:r>
      <w:r>
        <w:rPr>
          <w:rFonts w:ascii="Arial Narrow" w:hAnsi="Arial Narrow" w:cs="Tahoma"/>
          <w:sz w:val="28"/>
          <w:szCs w:val="28"/>
        </w:rPr>
        <w:t>como medios exceptivos de fondo los de “Inexistencia de la obligación demandada” y “Prescripción”.</w:t>
      </w:r>
    </w:p>
    <w:p w:rsidR="005953B4" w:rsidRPr="00CB1D5B" w:rsidRDefault="005953B4" w:rsidP="003438F2">
      <w:pPr>
        <w:pStyle w:val="Sinespaciado"/>
        <w:spacing w:line="276" w:lineRule="auto"/>
      </w:pPr>
    </w:p>
    <w:p w:rsidR="007168C0" w:rsidRDefault="005953B4" w:rsidP="007168C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demanda </w:t>
      </w:r>
      <w:r w:rsidR="007168C0">
        <w:rPr>
          <w:rFonts w:ascii="Arial Narrow" w:hAnsi="Arial Narrow" w:cs="Tahoma"/>
          <w:sz w:val="28"/>
          <w:szCs w:val="28"/>
        </w:rPr>
        <w:t xml:space="preserve">se reformó en cuanto al valor de la mesada pensional a reconocer, indicándose que el salario cotizado por el afiliado era superior al SMLMV. La entidad demandada guardó silencio, por lo que se tuvo como indicio grave en su contra la falta de contestación de la reforma a la demanda. </w:t>
      </w:r>
    </w:p>
    <w:p w:rsidR="002A5781" w:rsidRDefault="002A5781" w:rsidP="00CB1D5B">
      <w:pPr>
        <w:pStyle w:val="Sinespaciado"/>
      </w:pPr>
    </w:p>
    <w:p w:rsidR="003438F2" w:rsidRPr="00CB1D5B" w:rsidRDefault="003438F2" w:rsidP="00CB1D5B">
      <w:pPr>
        <w:pStyle w:val="Sinespaciado"/>
      </w:pPr>
    </w:p>
    <w:p w:rsidR="002A5781" w:rsidRPr="00CB1D5B" w:rsidRDefault="002A5781" w:rsidP="002A5781">
      <w:pPr>
        <w:spacing w:line="360" w:lineRule="auto"/>
        <w:ind w:firstLine="900"/>
        <w:jc w:val="both"/>
        <w:rPr>
          <w:rFonts w:ascii="Arial Narrow" w:hAnsi="Arial Narrow" w:cs="Tahoma"/>
          <w:i/>
          <w:iCs/>
          <w:sz w:val="28"/>
          <w:szCs w:val="28"/>
        </w:rPr>
      </w:pPr>
      <w:r w:rsidRPr="00CB1D5B">
        <w:rPr>
          <w:rFonts w:ascii="Arial Narrow" w:hAnsi="Arial Narrow" w:cs="Tahoma"/>
          <w:i/>
          <w:sz w:val="28"/>
          <w:szCs w:val="28"/>
        </w:rPr>
        <w:t xml:space="preserve">II. </w:t>
      </w:r>
      <w:r w:rsidRPr="00CB1D5B">
        <w:rPr>
          <w:rFonts w:ascii="Arial Narrow" w:hAnsi="Arial Narrow" w:cs="Tahoma"/>
          <w:i/>
          <w:iCs/>
          <w:sz w:val="28"/>
          <w:szCs w:val="28"/>
        </w:rPr>
        <w:t>SENTENCIA DEL JUZGADO</w:t>
      </w:r>
    </w:p>
    <w:p w:rsidR="002A5781" w:rsidRPr="005953B4" w:rsidRDefault="002A5781" w:rsidP="005953B4">
      <w:pPr>
        <w:pStyle w:val="Sinespaciado"/>
      </w:pPr>
    </w:p>
    <w:p w:rsidR="00E53941" w:rsidRDefault="002A5781" w:rsidP="00E53941">
      <w:pPr>
        <w:spacing w:line="360" w:lineRule="auto"/>
        <w:ind w:firstLine="708"/>
        <w:jc w:val="both"/>
        <w:rPr>
          <w:rFonts w:ascii="Arial Narrow" w:hAnsi="Arial Narrow" w:cs="Arial"/>
          <w:sz w:val="28"/>
          <w:szCs w:val="28"/>
        </w:rPr>
      </w:pPr>
      <w:r w:rsidRPr="00515450">
        <w:rPr>
          <w:rFonts w:ascii="Arial Narrow" w:hAnsi="Arial Narrow" w:cs="Tahoma"/>
          <w:sz w:val="28"/>
          <w:szCs w:val="28"/>
        </w:rPr>
        <w:t>Luego de haber agotado las etapas procesales</w:t>
      </w:r>
      <w:r>
        <w:rPr>
          <w:rFonts w:ascii="Arial Narrow" w:hAnsi="Arial Narrow" w:cs="Tahoma"/>
          <w:sz w:val="28"/>
          <w:szCs w:val="28"/>
        </w:rPr>
        <w:t xml:space="preserve"> correspondientes, la Jueza a-quo emitió decisión en la que </w:t>
      </w:r>
      <w:r w:rsidR="00E53941" w:rsidRPr="00173AAD">
        <w:rPr>
          <w:rFonts w:ascii="Arial Narrow" w:hAnsi="Arial Narrow" w:cs="Tahoma"/>
          <w:color w:val="000000"/>
          <w:sz w:val="28"/>
          <w:szCs w:val="28"/>
          <w:lang w:eastAsia="es-CO"/>
        </w:rPr>
        <w:t xml:space="preserve">negó las suplicas de la demandada, argumentando que </w:t>
      </w:r>
      <w:r w:rsidR="00E53941" w:rsidRPr="0053562A">
        <w:rPr>
          <w:rFonts w:ascii="Arial Narrow" w:hAnsi="Arial Narrow" w:cs="Arial"/>
          <w:sz w:val="28"/>
          <w:szCs w:val="28"/>
        </w:rPr>
        <w:t xml:space="preserve">el señor </w:t>
      </w:r>
      <w:r w:rsidR="00E53941">
        <w:rPr>
          <w:rFonts w:ascii="Arial Narrow" w:hAnsi="Arial Narrow" w:cs="Arial"/>
          <w:sz w:val="28"/>
          <w:szCs w:val="28"/>
        </w:rPr>
        <w:t xml:space="preserve">Rubén Darío Henao Arango </w:t>
      </w:r>
      <w:r w:rsidR="00E53941" w:rsidRPr="0053562A">
        <w:rPr>
          <w:rFonts w:ascii="Arial Narrow" w:hAnsi="Arial Narrow" w:cs="Arial"/>
          <w:sz w:val="28"/>
          <w:szCs w:val="28"/>
        </w:rPr>
        <w:t>no dejó causad</w:t>
      </w:r>
      <w:r w:rsidR="00E53941">
        <w:rPr>
          <w:rFonts w:ascii="Arial Narrow" w:hAnsi="Arial Narrow" w:cs="Arial"/>
          <w:sz w:val="28"/>
          <w:szCs w:val="28"/>
        </w:rPr>
        <w:t>o el derecho para que sus posibles beneficiarios accedieran a la pensión de sobrevi</w:t>
      </w:r>
      <w:r w:rsidR="00E53941" w:rsidRPr="0053562A">
        <w:rPr>
          <w:rFonts w:ascii="Arial Narrow" w:hAnsi="Arial Narrow" w:cs="Arial"/>
          <w:sz w:val="28"/>
          <w:szCs w:val="28"/>
        </w:rPr>
        <w:t xml:space="preserve">vientes, </w:t>
      </w:r>
      <w:r w:rsidR="00F86D48">
        <w:rPr>
          <w:rFonts w:ascii="Arial Narrow" w:hAnsi="Arial Narrow" w:cs="Arial"/>
          <w:sz w:val="28"/>
          <w:szCs w:val="28"/>
        </w:rPr>
        <w:t>puesto</w:t>
      </w:r>
      <w:r w:rsidR="00E53941">
        <w:rPr>
          <w:rFonts w:ascii="Arial Narrow" w:hAnsi="Arial Narrow" w:cs="Arial"/>
          <w:sz w:val="28"/>
          <w:szCs w:val="28"/>
        </w:rPr>
        <w:t xml:space="preserve"> que no sufragó al sistema pensional, 50 semanas en </w:t>
      </w:r>
      <w:r w:rsidR="00E53941" w:rsidRPr="0053562A">
        <w:rPr>
          <w:rFonts w:ascii="Arial Narrow" w:hAnsi="Arial Narrow" w:cs="Arial"/>
          <w:sz w:val="28"/>
          <w:szCs w:val="28"/>
        </w:rPr>
        <w:t>los tres años inmediatamente anteriores a su fallecimiento</w:t>
      </w:r>
      <w:r w:rsidR="00535E8C">
        <w:rPr>
          <w:rFonts w:ascii="Arial Narrow" w:hAnsi="Arial Narrow" w:cs="Arial"/>
          <w:sz w:val="28"/>
          <w:szCs w:val="28"/>
        </w:rPr>
        <w:t xml:space="preserve">, </w:t>
      </w:r>
      <w:r w:rsidR="00E53941">
        <w:rPr>
          <w:rFonts w:ascii="Arial Narrow" w:hAnsi="Arial Narrow" w:cs="Arial"/>
          <w:sz w:val="28"/>
          <w:szCs w:val="28"/>
        </w:rPr>
        <w:t>ni tampoco efectuó cotización alguna dentro del año inmediatamente anterior</w:t>
      </w:r>
      <w:r w:rsidR="00F86D48">
        <w:rPr>
          <w:rFonts w:ascii="Arial Narrow" w:hAnsi="Arial Narrow" w:cs="Arial"/>
          <w:sz w:val="28"/>
          <w:szCs w:val="28"/>
        </w:rPr>
        <w:t xml:space="preserve"> a éste</w:t>
      </w:r>
      <w:r w:rsidR="00E53941">
        <w:rPr>
          <w:rFonts w:ascii="Arial Narrow" w:hAnsi="Arial Narrow" w:cs="Arial"/>
          <w:sz w:val="28"/>
          <w:szCs w:val="28"/>
        </w:rPr>
        <w:t>, por lo que siguiendo el precedente judicial de la Sala de Casación Laboral de la Corte Suprema de Justicia,</w:t>
      </w:r>
      <w:r w:rsidR="008C7649">
        <w:rPr>
          <w:rFonts w:ascii="Arial Narrow" w:hAnsi="Arial Narrow" w:cs="Arial"/>
          <w:sz w:val="28"/>
          <w:szCs w:val="28"/>
        </w:rPr>
        <w:t xml:space="preserve"> el cual </w:t>
      </w:r>
      <w:r w:rsidR="00E53941">
        <w:rPr>
          <w:rFonts w:ascii="Arial Narrow" w:hAnsi="Arial Narrow" w:cs="Arial"/>
          <w:sz w:val="28"/>
          <w:szCs w:val="28"/>
        </w:rPr>
        <w:t>consider</w:t>
      </w:r>
      <w:r w:rsidR="00F86D48">
        <w:rPr>
          <w:rFonts w:ascii="Arial Narrow" w:hAnsi="Arial Narrow" w:cs="Arial"/>
          <w:sz w:val="28"/>
          <w:szCs w:val="28"/>
        </w:rPr>
        <w:t xml:space="preserve">ó doctrina probable y para cuyos efectos citó los apartes correspondientes, </w:t>
      </w:r>
      <w:r w:rsidR="008C7649">
        <w:rPr>
          <w:rFonts w:ascii="Arial Narrow" w:hAnsi="Arial Narrow" w:cs="Arial"/>
          <w:sz w:val="28"/>
          <w:szCs w:val="28"/>
        </w:rPr>
        <w:t xml:space="preserve">encontró que </w:t>
      </w:r>
      <w:r w:rsidR="00E53941">
        <w:rPr>
          <w:rFonts w:ascii="Arial Narrow" w:hAnsi="Arial Narrow" w:cs="Arial"/>
          <w:sz w:val="28"/>
          <w:szCs w:val="28"/>
        </w:rPr>
        <w:t xml:space="preserve">no era viable la aplicación del Acuerdo 049 de 1990, </w:t>
      </w:r>
      <w:r w:rsidR="008C7649">
        <w:rPr>
          <w:rFonts w:ascii="Arial Narrow" w:hAnsi="Arial Narrow" w:cs="Arial"/>
          <w:sz w:val="28"/>
          <w:szCs w:val="28"/>
        </w:rPr>
        <w:t>aprobado por el Dto.758 del mismo año, en virtud del principio de la condición más beneficiosa.</w:t>
      </w:r>
    </w:p>
    <w:p w:rsidR="00E53941" w:rsidRDefault="00E53941" w:rsidP="00CB1D5B">
      <w:pPr>
        <w:pStyle w:val="Sinespaciado"/>
        <w:spacing w:line="276" w:lineRule="auto"/>
      </w:pPr>
    </w:p>
    <w:p w:rsidR="003438F2" w:rsidRPr="00CB1D5B" w:rsidRDefault="003438F2" w:rsidP="00CB1D5B">
      <w:pPr>
        <w:pStyle w:val="Sinespaciado"/>
        <w:spacing w:line="276" w:lineRule="auto"/>
      </w:pPr>
    </w:p>
    <w:p w:rsidR="002A5781" w:rsidRPr="00CB1D5B" w:rsidRDefault="002A5781" w:rsidP="002A5781">
      <w:pPr>
        <w:spacing w:line="360" w:lineRule="auto"/>
        <w:ind w:firstLine="900"/>
        <w:jc w:val="both"/>
        <w:rPr>
          <w:rFonts w:ascii="Arial Narrow" w:hAnsi="Arial Narrow" w:cs="Tahoma"/>
          <w:i/>
          <w:color w:val="FF0000"/>
          <w:sz w:val="29"/>
          <w:szCs w:val="29"/>
          <w:lang w:eastAsia="es-CO"/>
        </w:rPr>
      </w:pPr>
      <w:r w:rsidRPr="00CB1D5B">
        <w:rPr>
          <w:rFonts w:ascii="Arial Narrow" w:hAnsi="Arial Narrow" w:cs="Tahoma"/>
          <w:i/>
          <w:sz w:val="28"/>
          <w:szCs w:val="28"/>
          <w:lang w:eastAsia="es-CO"/>
        </w:rPr>
        <w:lastRenderedPageBreak/>
        <w:t xml:space="preserve">III. </w:t>
      </w:r>
      <w:r w:rsidR="00F86D48" w:rsidRPr="00CB1D5B">
        <w:rPr>
          <w:rFonts w:ascii="Arial Narrow" w:hAnsi="Arial Narrow" w:cs="Tahoma"/>
          <w:i/>
          <w:sz w:val="28"/>
          <w:szCs w:val="28"/>
          <w:lang w:eastAsia="es-CO"/>
        </w:rPr>
        <w:t xml:space="preserve">APELACIÓN </w:t>
      </w:r>
    </w:p>
    <w:p w:rsidR="002A5781" w:rsidRPr="00CB1D5B" w:rsidRDefault="002A5781" w:rsidP="00CB1D5B">
      <w:pPr>
        <w:pStyle w:val="Sinespaciado"/>
      </w:pPr>
    </w:p>
    <w:p w:rsidR="00F86D48" w:rsidRPr="00253ADE" w:rsidRDefault="00F86D48" w:rsidP="00F86D48">
      <w:pPr>
        <w:spacing w:line="360" w:lineRule="auto"/>
        <w:ind w:firstLine="708"/>
        <w:jc w:val="both"/>
        <w:rPr>
          <w:rFonts w:ascii="Arial Narrow" w:hAnsi="Arial Narrow" w:cs="Arial"/>
          <w:sz w:val="28"/>
          <w:szCs w:val="28"/>
        </w:rPr>
      </w:pPr>
      <w:r w:rsidRPr="00253ADE">
        <w:rPr>
          <w:rFonts w:ascii="Arial Narrow" w:hAnsi="Arial Narrow" w:cs="Arial"/>
          <w:sz w:val="28"/>
          <w:szCs w:val="28"/>
        </w:rPr>
        <w:t xml:space="preserve">Inconforme con la decisión, </w:t>
      </w:r>
      <w:r w:rsidR="0058320B">
        <w:rPr>
          <w:rFonts w:ascii="Arial Narrow" w:hAnsi="Arial Narrow" w:cs="Arial"/>
          <w:sz w:val="28"/>
          <w:szCs w:val="28"/>
        </w:rPr>
        <w:t xml:space="preserve">el portavoz judicial de </w:t>
      </w:r>
      <w:r>
        <w:rPr>
          <w:rFonts w:ascii="Arial Narrow" w:hAnsi="Arial Narrow" w:cs="Arial"/>
          <w:sz w:val="28"/>
          <w:szCs w:val="28"/>
        </w:rPr>
        <w:t xml:space="preserve">la demandante presentó recurso de apelación, alegando que el causante </w:t>
      </w:r>
      <w:r w:rsidRPr="00253ADE">
        <w:rPr>
          <w:rFonts w:ascii="Arial Narrow" w:hAnsi="Arial Narrow" w:cs="Arial"/>
          <w:sz w:val="28"/>
          <w:szCs w:val="28"/>
        </w:rPr>
        <w:t>dejó causada la pensión de sobrevivientes,</w:t>
      </w:r>
      <w:r>
        <w:rPr>
          <w:rFonts w:ascii="Arial Narrow" w:hAnsi="Arial Narrow" w:cs="Arial"/>
          <w:sz w:val="28"/>
          <w:szCs w:val="28"/>
        </w:rPr>
        <w:t xml:space="preserve"> pues a la entrada en vigencia de la Ley 100 de 1993, había cotizado más de las 300 semanas que exige </w:t>
      </w:r>
      <w:r w:rsidRPr="00253ADE">
        <w:rPr>
          <w:rFonts w:ascii="Arial Narrow" w:hAnsi="Arial Narrow" w:cs="Arial"/>
          <w:sz w:val="28"/>
          <w:szCs w:val="28"/>
        </w:rPr>
        <w:t xml:space="preserve">el Acuerdo 049 de 1990. </w:t>
      </w:r>
      <w:r w:rsidR="00183A8F">
        <w:rPr>
          <w:rFonts w:ascii="Arial Narrow" w:hAnsi="Arial Narrow" w:cs="Arial"/>
          <w:sz w:val="28"/>
          <w:szCs w:val="28"/>
        </w:rPr>
        <w:t xml:space="preserve">Solicita </w:t>
      </w:r>
      <w:r>
        <w:rPr>
          <w:rFonts w:ascii="Arial Narrow" w:hAnsi="Arial Narrow" w:cs="Arial"/>
          <w:sz w:val="28"/>
          <w:szCs w:val="28"/>
        </w:rPr>
        <w:t xml:space="preserve">que se dé aplicación al precedente constitucional, por ser más garantista, y </w:t>
      </w:r>
      <w:r w:rsidR="0058320B">
        <w:rPr>
          <w:rFonts w:ascii="Arial Narrow" w:hAnsi="Arial Narrow" w:cs="Arial"/>
          <w:sz w:val="28"/>
          <w:szCs w:val="28"/>
        </w:rPr>
        <w:t xml:space="preserve">que </w:t>
      </w:r>
      <w:r>
        <w:rPr>
          <w:rFonts w:ascii="Arial Narrow" w:hAnsi="Arial Narrow" w:cs="Arial"/>
          <w:sz w:val="28"/>
          <w:szCs w:val="28"/>
        </w:rPr>
        <w:t xml:space="preserve">se acceda a la prestación reclamada, </w:t>
      </w:r>
      <w:r w:rsidR="0058320B">
        <w:rPr>
          <w:rFonts w:ascii="Arial Narrow" w:hAnsi="Arial Narrow" w:cs="Arial"/>
          <w:sz w:val="28"/>
          <w:szCs w:val="28"/>
        </w:rPr>
        <w:t>pues considera que l</w:t>
      </w:r>
      <w:r>
        <w:rPr>
          <w:rFonts w:ascii="Arial Narrow" w:hAnsi="Arial Narrow" w:cs="Arial"/>
          <w:sz w:val="28"/>
          <w:szCs w:val="28"/>
        </w:rPr>
        <w:t xml:space="preserve">a prueba testimonial </w:t>
      </w:r>
      <w:r w:rsidR="0058320B">
        <w:rPr>
          <w:rFonts w:ascii="Arial Narrow" w:hAnsi="Arial Narrow" w:cs="Arial"/>
          <w:sz w:val="28"/>
          <w:szCs w:val="28"/>
        </w:rPr>
        <w:t xml:space="preserve">es demostrativa de la </w:t>
      </w:r>
      <w:r w:rsidR="00183A8F">
        <w:rPr>
          <w:rFonts w:ascii="Arial Narrow" w:hAnsi="Arial Narrow" w:cs="Arial"/>
          <w:sz w:val="28"/>
          <w:szCs w:val="28"/>
        </w:rPr>
        <w:t xml:space="preserve">de convivencia </w:t>
      </w:r>
      <w:r w:rsidR="0058320B">
        <w:rPr>
          <w:rFonts w:ascii="Arial Narrow" w:hAnsi="Arial Narrow" w:cs="Arial"/>
          <w:sz w:val="28"/>
          <w:szCs w:val="28"/>
        </w:rPr>
        <w:t xml:space="preserve">entre la pareja, en los términos exigidos por la norma.  </w:t>
      </w:r>
    </w:p>
    <w:p w:rsidR="002A5781" w:rsidRDefault="002A5781" w:rsidP="00CB1D5B">
      <w:pPr>
        <w:pStyle w:val="Sinespaciado"/>
        <w:spacing w:line="360" w:lineRule="auto"/>
      </w:pPr>
    </w:p>
    <w:p w:rsidR="002A5781" w:rsidRPr="00CB1D5B" w:rsidRDefault="002A5781" w:rsidP="002A5781">
      <w:pPr>
        <w:tabs>
          <w:tab w:val="left" w:pos="0"/>
          <w:tab w:val="left" w:pos="8647"/>
        </w:tabs>
        <w:suppressAutoHyphens/>
        <w:spacing w:line="360" w:lineRule="auto"/>
        <w:ind w:firstLine="900"/>
        <w:jc w:val="both"/>
        <w:rPr>
          <w:rFonts w:ascii="Arial Narrow" w:hAnsi="Arial Narrow" w:cs="Tahoma"/>
          <w:sz w:val="28"/>
          <w:szCs w:val="28"/>
        </w:rPr>
      </w:pPr>
      <w:r w:rsidRPr="00CB1D5B">
        <w:rPr>
          <w:rFonts w:ascii="Arial Narrow" w:hAnsi="Arial Narrow" w:cs="Tahoma"/>
          <w:i/>
          <w:sz w:val="28"/>
          <w:szCs w:val="28"/>
        </w:rPr>
        <w:t>IV. ALEGATOS EN ESTA INSTANCIA</w:t>
      </w:r>
      <w:r w:rsidRPr="00CB1D5B">
        <w:rPr>
          <w:rFonts w:ascii="Arial Narrow" w:hAnsi="Arial Narrow" w:cs="Tahoma"/>
          <w:sz w:val="28"/>
          <w:szCs w:val="28"/>
        </w:rPr>
        <w:t>:</w:t>
      </w:r>
    </w:p>
    <w:p w:rsidR="002A5781" w:rsidRPr="00CB1D5B" w:rsidRDefault="002A5781" w:rsidP="00CB1D5B">
      <w:pPr>
        <w:pStyle w:val="Sinespaciado"/>
      </w:pPr>
    </w:p>
    <w:p w:rsidR="002A5781" w:rsidRDefault="002A5781" w:rsidP="002A5781">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00183A8F">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2A5781" w:rsidRDefault="002A5781" w:rsidP="00CB1D5B">
      <w:pPr>
        <w:pStyle w:val="Sinespaciado"/>
        <w:spacing w:line="360" w:lineRule="auto"/>
        <w:rPr>
          <w:lang w:val="es-MX" w:eastAsia="es-CO"/>
        </w:rPr>
      </w:pPr>
    </w:p>
    <w:p w:rsidR="002A5781" w:rsidRPr="00CB1D5B" w:rsidRDefault="002A5781" w:rsidP="002A5781">
      <w:pPr>
        <w:shd w:val="clear" w:color="auto" w:fill="FFFFFF"/>
        <w:spacing w:line="360" w:lineRule="auto"/>
        <w:ind w:firstLine="851"/>
        <w:jc w:val="both"/>
        <w:rPr>
          <w:rFonts w:ascii="Arial Narrow" w:hAnsi="Arial Narrow" w:cs="Tahoma"/>
          <w:i/>
          <w:iCs/>
          <w:color w:val="000000"/>
          <w:sz w:val="28"/>
          <w:szCs w:val="28"/>
          <w:lang w:val="es-MX" w:eastAsia="es-CO"/>
        </w:rPr>
      </w:pPr>
      <w:r w:rsidRPr="00CB1D5B">
        <w:rPr>
          <w:rFonts w:ascii="Arial Narrow" w:hAnsi="Arial Narrow" w:cs="Tahoma"/>
          <w:i/>
          <w:iCs/>
          <w:color w:val="000000"/>
          <w:sz w:val="28"/>
          <w:szCs w:val="28"/>
          <w:lang w:val="es-MX" w:eastAsia="es-CO"/>
        </w:rPr>
        <w:t>V. CONSIDERACIONES</w:t>
      </w:r>
    </w:p>
    <w:p w:rsidR="002A5781" w:rsidRPr="00CB1D5B" w:rsidRDefault="002A5781" w:rsidP="00CB1D5B">
      <w:pPr>
        <w:pStyle w:val="Sinespaciado"/>
      </w:pPr>
    </w:p>
    <w:p w:rsidR="002A5781" w:rsidRPr="00CB1D5B" w:rsidRDefault="002A5781" w:rsidP="002A5781">
      <w:pPr>
        <w:shd w:val="clear" w:color="auto" w:fill="FFFFFF"/>
        <w:tabs>
          <w:tab w:val="left" w:pos="5197"/>
        </w:tabs>
        <w:spacing w:line="360" w:lineRule="auto"/>
        <w:ind w:firstLine="851"/>
        <w:jc w:val="both"/>
        <w:rPr>
          <w:rFonts w:ascii="Arial Narrow" w:hAnsi="Arial Narrow" w:cs="Tahoma"/>
          <w:i/>
          <w:sz w:val="28"/>
          <w:szCs w:val="28"/>
        </w:rPr>
      </w:pPr>
      <w:r w:rsidRPr="00CB1D5B">
        <w:rPr>
          <w:rFonts w:ascii="Arial Narrow" w:hAnsi="Arial Narrow" w:cs="Tahoma"/>
          <w:i/>
          <w:sz w:val="28"/>
          <w:szCs w:val="28"/>
        </w:rPr>
        <w:t>Del problema jurídico.</w:t>
      </w:r>
    </w:p>
    <w:p w:rsidR="002A5781" w:rsidRPr="00535E8C" w:rsidRDefault="002A5781" w:rsidP="00535E8C">
      <w:pPr>
        <w:pStyle w:val="Sinespaciado"/>
      </w:pPr>
    </w:p>
    <w:p w:rsidR="002A5781" w:rsidRDefault="00CB1D5B" w:rsidP="002A578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w:t>
      </w:r>
      <w:r w:rsidR="002A5781">
        <w:rPr>
          <w:rFonts w:ascii="Arial Narrow" w:hAnsi="Arial Narrow" w:cs="Tahoma"/>
          <w:color w:val="000000"/>
          <w:sz w:val="28"/>
          <w:szCs w:val="28"/>
          <w:lang w:eastAsia="es-CO"/>
        </w:rPr>
        <w:t xml:space="preserve">a Sala deberá abordar los siguientes problemas jurídicos, </w:t>
      </w:r>
    </w:p>
    <w:p w:rsidR="002A5781" w:rsidRPr="00535E8C" w:rsidRDefault="002A5781" w:rsidP="00535E8C">
      <w:pPr>
        <w:pStyle w:val="Sinespaciado"/>
      </w:pPr>
    </w:p>
    <w:p w:rsidR="002A5781" w:rsidRPr="003438F2" w:rsidRDefault="00F67F16" w:rsidP="00CB1D5B">
      <w:pPr>
        <w:shd w:val="clear" w:color="auto" w:fill="FFFFFF"/>
        <w:tabs>
          <w:tab w:val="left" w:pos="5197"/>
        </w:tabs>
        <w:ind w:firstLine="851"/>
        <w:jc w:val="both"/>
        <w:rPr>
          <w:rFonts w:ascii="Arial Narrow" w:hAnsi="Arial Narrow" w:cs="Tahoma"/>
          <w:i/>
          <w:color w:val="000000"/>
          <w:sz w:val="26"/>
          <w:szCs w:val="26"/>
          <w:lang w:eastAsia="es-CO"/>
        </w:rPr>
      </w:pPr>
      <w:r w:rsidRPr="003438F2">
        <w:rPr>
          <w:rFonts w:ascii="Arial Narrow" w:hAnsi="Arial Narrow" w:cs="Tahoma"/>
          <w:i/>
          <w:color w:val="000000"/>
          <w:sz w:val="26"/>
          <w:szCs w:val="26"/>
          <w:lang w:eastAsia="es-CO"/>
        </w:rPr>
        <w:t xml:space="preserve">¿Dejó causado el señor Rubén Darío Henao Arango </w:t>
      </w:r>
      <w:r w:rsidR="002A5781" w:rsidRPr="003438F2">
        <w:rPr>
          <w:rFonts w:ascii="Arial Narrow" w:hAnsi="Arial Narrow" w:cs="Tahoma"/>
          <w:i/>
          <w:color w:val="000000"/>
          <w:sz w:val="26"/>
          <w:szCs w:val="26"/>
          <w:lang w:eastAsia="es-CO"/>
        </w:rPr>
        <w:t>la pensión de sobrevivientes?</w:t>
      </w:r>
    </w:p>
    <w:p w:rsidR="00CB1D5B" w:rsidRPr="003438F2" w:rsidRDefault="00CB1D5B" w:rsidP="00CB1D5B">
      <w:pPr>
        <w:shd w:val="clear" w:color="auto" w:fill="FFFFFF"/>
        <w:tabs>
          <w:tab w:val="left" w:pos="5197"/>
        </w:tabs>
        <w:ind w:firstLine="851"/>
        <w:jc w:val="both"/>
        <w:rPr>
          <w:rFonts w:ascii="Arial Narrow" w:hAnsi="Arial Narrow" w:cs="Tahoma"/>
          <w:i/>
          <w:color w:val="000000"/>
          <w:sz w:val="26"/>
          <w:szCs w:val="26"/>
          <w:lang w:eastAsia="es-CO"/>
        </w:rPr>
      </w:pPr>
    </w:p>
    <w:p w:rsidR="002A5781" w:rsidRPr="003438F2" w:rsidRDefault="002A5781" w:rsidP="00CB1D5B">
      <w:pPr>
        <w:shd w:val="clear" w:color="auto" w:fill="FFFFFF"/>
        <w:tabs>
          <w:tab w:val="left" w:pos="5197"/>
        </w:tabs>
        <w:ind w:firstLine="851"/>
        <w:jc w:val="both"/>
        <w:rPr>
          <w:rFonts w:ascii="Arial Narrow" w:hAnsi="Arial Narrow" w:cs="Tahoma"/>
          <w:i/>
          <w:color w:val="000000"/>
          <w:sz w:val="26"/>
          <w:szCs w:val="26"/>
          <w:lang w:eastAsia="es-CO"/>
        </w:rPr>
      </w:pPr>
      <w:r w:rsidRPr="003438F2">
        <w:rPr>
          <w:rFonts w:ascii="Arial Narrow" w:hAnsi="Arial Narrow" w:cs="Tahoma"/>
          <w:i/>
          <w:color w:val="000000"/>
          <w:sz w:val="26"/>
          <w:szCs w:val="26"/>
          <w:lang w:eastAsia="es-CO"/>
        </w:rPr>
        <w:t xml:space="preserve">¿Acreditó la señora </w:t>
      </w:r>
      <w:r w:rsidR="00F67F16" w:rsidRPr="003438F2">
        <w:rPr>
          <w:rFonts w:ascii="Arial Narrow" w:hAnsi="Arial Narrow" w:cs="Tahoma"/>
          <w:i/>
          <w:color w:val="000000"/>
          <w:sz w:val="26"/>
          <w:szCs w:val="26"/>
          <w:lang w:eastAsia="es-CO"/>
        </w:rPr>
        <w:t xml:space="preserve">Luz Stella Ocampo </w:t>
      </w:r>
      <w:r w:rsidRPr="003438F2">
        <w:rPr>
          <w:rFonts w:ascii="Arial Narrow" w:hAnsi="Arial Narrow" w:cs="Tahoma"/>
          <w:i/>
          <w:color w:val="000000"/>
          <w:sz w:val="26"/>
          <w:szCs w:val="26"/>
          <w:lang w:eastAsia="es-CO"/>
        </w:rPr>
        <w:t xml:space="preserve">los requisitos necesarios para ser beneficiaria de la pensión de sobrevivientes generada con el fallecimiento del </w:t>
      </w:r>
      <w:r w:rsidR="00F67F16" w:rsidRPr="003438F2">
        <w:rPr>
          <w:rFonts w:ascii="Arial Narrow" w:hAnsi="Arial Narrow" w:cs="Tahoma"/>
          <w:i/>
          <w:color w:val="000000"/>
          <w:sz w:val="26"/>
          <w:szCs w:val="26"/>
          <w:lang w:eastAsia="es-CO"/>
        </w:rPr>
        <w:t>afiliado</w:t>
      </w:r>
      <w:r w:rsidRPr="003438F2">
        <w:rPr>
          <w:rFonts w:ascii="Arial Narrow" w:hAnsi="Arial Narrow" w:cs="Tahoma"/>
          <w:i/>
          <w:color w:val="000000"/>
          <w:sz w:val="26"/>
          <w:szCs w:val="26"/>
          <w:lang w:eastAsia="es-CO"/>
        </w:rPr>
        <w:t>?</w:t>
      </w:r>
    </w:p>
    <w:p w:rsidR="00EA7D90" w:rsidRPr="003438F2" w:rsidRDefault="00EA7D90" w:rsidP="002A5781">
      <w:pPr>
        <w:shd w:val="clear" w:color="auto" w:fill="FFFFFF"/>
        <w:tabs>
          <w:tab w:val="left" w:pos="5197"/>
        </w:tabs>
        <w:spacing w:line="360" w:lineRule="auto"/>
        <w:ind w:firstLine="851"/>
        <w:jc w:val="both"/>
        <w:rPr>
          <w:rFonts w:ascii="Arial Narrow" w:hAnsi="Arial Narrow" w:cs="Tahoma"/>
          <w:i/>
          <w:color w:val="000000"/>
          <w:sz w:val="26"/>
          <w:szCs w:val="26"/>
          <w:lang w:eastAsia="es-CO"/>
        </w:rPr>
      </w:pPr>
    </w:p>
    <w:p w:rsidR="002A5781" w:rsidRPr="00EA7D90" w:rsidRDefault="002A5781" w:rsidP="002A5781">
      <w:pPr>
        <w:pStyle w:val="Sinespaciado"/>
        <w:spacing w:line="360" w:lineRule="auto"/>
        <w:ind w:firstLine="708"/>
        <w:jc w:val="both"/>
        <w:rPr>
          <w:rFonts w:ascii="Arial Narrow" w:hAnsi="Arial Narrow"/>
          <w:i/>
          <w:sz w:val="28"/>
          <w:szCs w:val="28"/>
          <w:lang w:eastAsia="en-US"/>
        </w:rPr>
      </w:pPr>
      <w:r w:rsidRPr="00EA7D90">
        <w:rPr>
          <w:rFonts w:ascii="Arial Narrow" w:hAnsi="Arial Narrow"/>
          <w:i/>
          <w:sz w:val="28"/>
          <w:szCs w:val="28"/>
          <w:lang w:eastAsia="en-US"/>
        </w:rPr>
        <w:t>Desenvolvimiento de la problemática planteada</w:t>
      </w:r>
    </w:p>
    <w:p w:rsidR="00BA17A2" w:rsidRPr="00BA17A2" w:rsidRDefault="00BA17A2" w:rsidP="00BA17A2">
      <w:pPr>
        <w:pStyle w:val="Sinespaciado"/>
      </w:pPr>
    </w:p>
    <w:p w:rsidR="00BA17A2" w:rsidRPr="00BA17A2" w:rsidRDefault="00741D1A" w:rsidP="00BA17A2">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Debe comenzar la Sala por señalar que tal como se ha indicado de tiempo atrás, </w:t>
      </w:r>
      <w:r w:rsidR="00BA17A2" w:rsidRPr="00BA17A2">
        <w:rPr>
          <w:rFonts w:ascii="Arial Narrow" w:hAnsi="Arial Narrow" w:cs="Arial"/>
          <w:sz w:val="28"/>
          <w:szCs w:val="28"/>
        </w:rPr>
        <w:t xml:space="preserve">en los casos de pensión de sobrevivientes, la norma que rige el asunto </w:t>
      </w:r>
      <w:r>
        <w:rPr>
          <w:rFonts w:ascii="Arial Narrow" w:hAnsi="Arial Narrow" w:cs="Arial"/>
          <w:sz w:val="28"/>
          <w:szCs w:val="28"/>
        </w:rPr>
        <w:t xml:space="preserve">es aquella que se encuentra </w:t>
      </w:r>
      <w:r w:rsidR="00BA17A2" w:rsidRPr="00BA17A2">
        <w:rPr>
          <w:rFonts w:ascii="Arial Narrow" w:hAnsi="Arial Narrow" w:cs="Arial"/>
          <w:sz w:val="28"/>
          <w:szCs w:val="28"/>
        </w:rPr>
        <w:t>vigente al momento del fallecim</w:t>
      </w:r>
      <w:r w:rsidR="00BA17A2">
        <w:rPr>
          <w:rFonts w:ascii="Arial Narrow" w:hAnsi="Arial Narrow" w:cs="Arial"/>
          <w:sz w:val="28"/>
          <w:szCs w:val="28"/>
        </w:rPr>
        <w:t xml:space="preserve">iento del afiliado o pensionado, </w:t>
      </w:r>
      <w:r w:rsidR="00BA17A2" w:rsidRPr="00BA17A2">
        <w:rPr>
          <w:rFonts w:ascii="Arial Narrow" w:hAnsi="Arial Narrow" w:cs="Arial"/>
          <w:sz w:val="28"/>
          <w:szCs w:val="28"/>
        </w:rPr>
        <w:t xml:space="preserve">por lo </w:t>
      </w:r>
      <w:r>
        <w:rPr>
          <w:rFonts w:ascii="Arial Narrow" w:hAnsi="Arial Narrow" w:cs="Arial"/>
          <w:sz w:val="28"/>
          <w:szCs w:val="28"/>
        </w:rPr>
        <w:t xml:space="preserve">que, en el caso de autos, </w:t>
      </w:r>
      <w:r w:rsidR="00BA17A2">
        <w:rPr>
          <w:rFonts w:ascii="Arial Narrow" w:hAnsi="Arial Narrow" w:cs="Arial"/>
          <w:sz w:val="28"/>
          <w:szCs w:val="28"/>
        </w:rPr>
        <w:t xml:space="preserve">la norma que gobierna la situación pensional aquí debatida </w:t>
      </w:r>
      <w:r>
        <w:rPr>
          <w:rFonts w:ascii="Arial Narrow" w:hAnsi="Arial Narrow" w:cs="Arial"/>
          <w:sz w:val="28"/>
          <w:szCs w:val="28"/>
        </w:rPr>
        <w:t xml:space="preserve">no es otra que </w:t>
      </w:r>
      <w:r w:rsidR="00BA17A2">
        <w:rPr>
          <w:rFonts w:ascii="Arial Narrow" w:hAnsi="Arial Narrow" w:cs="Arial"/>
          <w:sz w:val="28"/>
          <w:szCs w:val="28"/>
        </w:rPr>
        <w:t xml:space="preserve">la Ley 797 de 2003, </w:t>
      </w:r>
      <w:r w:rsidR="00783D02">
        <w:rPr>
          <w:rFonts w:ascii="Arial Narrow" w:hAnsi="Arial Narrow" w:cs="Arial"/>
          <w:sz w:val="28"/>
          <w:szCs w:val="28"/>
        </w:rPr>
        <w:t xml:space="preserve">toda vez que </w:t>
      </w:r>
      <w:r>
        <w:rPr>
          <w:rFonts w:ascii="Arial Narrow" w:hAnsi="Arial Narrow" w:cs="Arial"/>
          <w:sz w:val="28"/>
          <w:szCs w:val="28"/>
        </w:rPr>
        <w:t>el fallecimiento d</w:t>
      </w:r>
      <w:r w:rsidR="00BA17A2">
        <w:rPr>
          <w:rFonts w:ascii="Arial Narrow" w:hAnsi="Arial Narrow" w:cs="Arial"/>
          <w:sz w:val="28"/>
          <w:szCs w:val="28"/>
        </w:rPr>
        <w:t xml:space="preserve">el señor </w:t>
      </w:r>
      <w:r w:rsidR="00BA17A2">
        <w:rPr>
          <w:rFonts w:ascii="Arial Narrow" w:hAnsi="Arial Narrow" w:cs="Arial"/>
          <w:sz w:val="28"/>
          <w:szCs w:val="28"/>
          <w:lang w:val="es-ES"/>
        </w:rPr>
        <w:t xml:space="preserve">Rubén Darío Henao </w:t>
      </w:r>
      <w:r w:rsidR="00BA17A2">
        <w:rPr>
          <w:rFonts w:ascii="Arial Narrow" w:hAnsi="Arial Narrow" w:cs="Arial"/>
          <w:sz w:val="28"/>
          <w:szCs w:val="28"/>
          <w:lang w:val="es-ES"/>
        </w:rPr>
        <w:lastRenderedPageBreak/>
        <w:t xml:space="preserve">Arango, </w:t>
      </w:r>
      <w:r>
        <w:rPr>
          <w:rFonts w:ascii="Arial Narrow" w:hAnsi="Arial Narrow" w:cs="Arial"/>
          <w:sz w:val="28"/>
          <w:szCs w:val="28"/>
          <w:lang w:val="es-ES"/>
        </w:rPr>
        <w:t xml:space="preserve">ocurrió el </w:t>
      </w:r>
      <w:r w:rsidR="00BA17A2">
        <w:rPr>
          <w:rFonts w:ascii="Arial Narrow" w:hAnsi="Arial Narrow" w:cs="Arial"/>
          <w:sz w:val="28"/>
          <w:szCs w:val="28"/>
          <w:lang w:val="es-ES"/>
        </w:rPr>
        <w:t>19 de mayo de 2010</w:t>
      </w:r>
      <w:r>
        <w:rPr>
          <w:rFonts w:ascii="Arial Narrow" w:hAnsi="Arial Narrow" w:cs="Arial"/>
          <w:sz w:val="28"/>
          <w:szCs w:val="28"/>
          <w:lang w:val="es-ES"/>
        </w:rPr>
        <w:t>, tal como consta en el registro</w:t>
      </w:r>
      <w:r>
        <w:rPr>
          <w:rFonts w:ascii="Arial Narrow" w:hAnsi="Arial Narrow" w:cs="Arial"/>
          <w:sz w:val="28"/>
          <w:szCs w:val="28"/>
        </w:rPr>
        <w:t xml:space="preserve"> civil </w:t>
      </w:r>
      <w:r w:rsidR="003F41D0">
        <w:rPr>
          <w:rFonts w:ascii="Arial Narrow" w:hAnsi="Arial Narrow" w:cs="Arial"/>
          <w:sz w:val="28"/>
          <w:szCs w:val="28"/>
        </w:rPr>
        <w:t xml:space="preserve">que obra a folio 14. </w:t>
      </w:r>
    </w:p>
    <w:p w:rsidR="00BA17A2" w:rsidRPr="00535E8C" w:rsidRDefault="00BA17A2" w:rsidP="00535E8C">
      <w:pPr>
        <w:pStyle w:val="Sinespaciado"/>
      </w:pPr>
    </w:p>
    <w:p w:rsidR="00BA17A2" w:rsidRPr="008F105A" w:rsidRDefault="00BA17A2" w:rsidP="00684B55">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Siendo ello así</w:t>
      </w:r>
      <w:r w:rsidR="00DC44F0">
        <w:rPr>
          <w:rFonts w:ascii="Arial Narrow" w:hAnsi="Arial Narrow" w:cs="Arial"/>
          <w:sz w:val="28"/>
          <w:szCs w:val="28"/>
        </w:rPr>
        <w:t xml:space="preserve">, el </w:t>
      </w:r>
      <w:r w:rsidRPr="00E525F1">
        <w:rPr>
          <w:rFonts w:ascii="Arial Narrow" w:hAnsi="Arial Narrow" w:cs="Arial"/>
          <w:sz w:val="28"/>
          <w:szCs w:val="28"/>
        </w:rPr>
        <w:t xml:space="preserve">afiliado </w:t>
      </w:r>
      <w:r w:rsidRPr="008F105A">
        <w:rPr>
          <w:rFonts w:ascii="Arial Narrow" w:hAnsi="Arial Narrow" w:cs="Arial"/>
          <w:sz w:val="28"/>
          <w:szCs w:val="28"/>
        </w:rPr>
        <w:t>no</w:t>
      </w:r>
      <w:r>
        <w:rPr>
          <w:rFonts w:ascii="Arial Narrow" w:hAnsi="Arial Narrow" w:cs="Arial"/>
          <w:sz w:val="28"/>
          <w:szCs w:val="28"/>
        </w:rPr>
        <w:t xml:space="preserve"> dejó causado el derecho a</w:t>
      </w:r>
      <w:r w:rsidRPr="008F105A">
        <w:rPr>
          <w:rFonts w:ascii="Arial Narrow" w:hAnsi="Arial Narrow" w:cs="Arial"/>
          <w:sz w:val="28"/>
          <w:szCs w:val="28"/>
        </w:rPr>
        <w:t xml:space="preserve"> la pensión de sobrevivientes</w:t>
      </w:r>
      <w:r w:rsidR="00DC44F0">
        <w:rPr>
          <w:rFonts w:ascii="Arial Narrow" w:hAnsi="Arial Narrow" w:cs="Arial"/>
          <w:sz w:val="28"/>
          <w:szCs w:val="28"/>
        </w:rPr>
        <w:t xml:space="preserve"> bajo la égida de dicha normativa, pues </w:t>
      </w:r>
      <w:r w:rsidR="00B12C32">
        <w:rPr>
          <w:rFonts w:ascii="Arial Narrow" w:hAnsi="Arial Narrow" w:cs="Arial"/>
          <w:sz w:val="28"/>
          <w:szCs w:val="28"/>
        </w:rPr>
        <w:t xml:space="preserve">no acreditó 50 semanas </w:t>
      </w:r>
      <w:r w:rsidR="00DC44F0">
        <w:rPr>
          <w:rFonts w:ascii="Arial Narrow" w:hAnsi="Arial Narrow" w:cs="Arial"/>
          <w:sz w:val="28"/>
          <w:szCs w:val="28"/>
        </w:rPr>
        <w:t xml:space="preserve">de aportes en los tres años que antecedieron su muerte, </w:t>
      </w:r>
      <w:r w:rsidR="00EA7D90">
        <w:rPr>
          <w:rFonts w:ascii="Arial Narrow" w:hAnsi="Arial Narrow" w:cs="Arial"/>
          <w:sz w:val="28"/>
          <w:szCs w:val="28"/>
        </w:rPr>
        <w:t xml:space="preserve">en tanto que, </w:t>
      </w:r>
      <w:r w:rsidR="0058320B">
        <w:rPr>
          <w:rFonts w:ascii="Arial Narrow" w:hAnsi="Arial Narrow" w:cs="Arial"/>
          <w:sz w:val="28"/>
          <w:szCs w:val="28"/>
        </w:rPr>
        <w:t xml:space="preserve">de conformidad con la historia laboral allegada por </w:t>
      </w:r>
      <w:proofErr w:type="spellStart"/>
      <w:r w:rsidR="0058320B">
        <w:rPr>
          <w:rFonts w:ascii="Arial Narrow" w:hAnsi="Arial Narrow" w:cs="Arial"/>
          <w:sz w:val="28"/>
          <w:szCs w:val="28"/>
        </w:rPr>
        <w:t>Colpensiones</w:t>
      </w:r>
      <w:proofErr w:type="spellEnd"/>
      <w:r w:rsidR="0058320B">
        <w:rPr>
          <w:rFonts w:ascii="Arial Narrow" w:hAnsi="Arial Narrow" w:cs="Arial"/>
          <w:sz w:val="28"/>
          <w:szCs w:val="28"/>
        </w:rPr>
        <w:t xml:space="preserve">, sólo </w:t>
      </w:r>
      <w:r w:rsidR="00DC44F0">
        <w:rPr>
          <w:rFonts w:ascii="Arial Narrow" w:hAnsi="Arial Narrow" w:cs="Arial"/>
          <w:sz w:val="28"/>
          <w:szCs w:val="28"/>
        </w:rPr>
        <w:t xml:space="preserve">reporta </w:t>
      </w:r>
      <w:r w:rsidR="00B12C32">
        <w:rPr>
          <w:rFonts w:ascii="Arial Narrow" w:hAnsi="Arial Narrow" w:cs="Arial"/>
          <w:sz w:val="28"/>
          <w:szCs w:val="28"/>
        </w:rPr>
        <w:t>27.29</w:t>
      </w:r>
      <w:r w:rsidR="0058320B">
        <w:rPr>
          <w:rFonts w:ascii="Arial Narrow" w:hAnsi="Arial Narrow" w:cs="Arial"/>
          <w:sz w:val="28"/>
          <w:szCs w:val="28"/>
        </w:rPr>
        <w:t xml:space="preserve"> semanas en ese lapso</w:t>
      </w:r>
      <w:r w:rsidR="00B12C32">
        <w:rPr>
          <w:rFonts w:ascii="Arial Narrow" w:hAnsi="Arial Narrow" w:cs="Arial"/>
          <w:sz w:val="28"/>
          <w:szCs w:val="28"/>
        </w:rPr>
        <w:t>,</w:t>
      </w:r>
      <w:r w:rsidR="0058320B">
        <w:rPr>
          <w:rFonts w:ascii="Arial Narrow" w:hAnsi="Arial Narrow" w:cs="Arial"/>
          <w:sz w:val="28"/>
          <w:szCs w:val="28"/>
        </w:rPr>
        <w:t xml:space="preserve"> amén de que el </w:t>
      </w:r>
      <w:r w:rsidR="00DC44F0">
        <w:rPr>
          <w:rFonts w:ascii="Arial Narrow" w:hAnsi="Arial Narrow" w:cs="Arial"/>
          <w:sz w:val="28"/>
          <w:szCs w:val="28"/>
        </w:rPr>
        <w:t>ultimo aporte al sistema pensional d</w:t>
      </w:r>
      <w:r w:rsidR="0058320B">
        <w:rPr>
          <w:rFonts w:ascii="Arial Narrow" w:hAnsi="Arial Narrow" w:cs="Arial"/>
          <w:sz w:val="28"/>
          <w:szCs w:val="28"/>
        </w:rPr>
        <w:t>ata del 30 de noviembre de 2007, por lo que tampoco lo causó en vigencia de la Ley 100 original.</w:t>
      </w:r>
    </w:p>
    <w:p w:rsidR="00F72338" w:rsidRPr="00783D02" w:rsidRDefault="00F72338" w:rsidP="00783D02">
      <w:pPr>
        <w:pStyle w:val="Sinespaciado"/>
      </w:pPr>
    </w:p>
    <w:p w:rsidR="00F3761C" w:rsidRPr="00B4319B" w:rsidRDefault="002133E0" w:rsidP="00DC44F0">
      <w:pPr>
        <w:pStyle w:val="Textoindependiente32"/>
        <w:ind w:firstLine="708"/>
        <w:rPr>
          <w:rFonts w:ascii="Arial Narrow" w:hAnsi="Arial Narrow"/>
          <w:color w:val="FF0000"/>
          <w:sz w:val="28"/>
          <w:szCs w:val="28"/>
        </w:rPr>
      </w:pPr>
      <w:r>
        <w:rPr>
          <w:rFonts w:ascii="Arial Narrow" w:hAnsi="Arial Narrow" w:cs="Arial"/>
          <w:sz w:val="28"/>
          <w:szCs w:val="28"/>
        </w:rPr>
        <w:t>Ahora bien</w:t>
      </w:r>
      <w:r w:rsidR="00F72338">
        <w:rPr>
          <w:rFonts w:ascii="Arial Narrow" w:hAnsi="Arial Narrow" w:cs="Arial"/>
          <w:sz w:val="28"/>
          <w:szCs w:val="28"/>
        </w:rPr>
        <w:t xml:space="preserve">, </w:t>
      </w:r>
      <w:r w:rsidR="00684B55">
        <w:rPr>
          <w:rFonts w:ascii="Arial Narrow" w:hAnsi="Arial Narrow" w:cs="Arial"/>
          <w:sz w:val="28"/>
          <w:szCs w:val="28"/>
        </w:rPr>
        <w:t xml:space="preserve">en vista de que el asegurado </w:t>
      </w:r>
      <w:r w:rsidR="00684B55" w:rsidRPr="006A4EB4">
        <w:rPr>
          <w:rFonts w:ascii="Arial Narrow" w:hAnsi="Arial Narrow"/>
          <w:sz w:val="28"/>
          <w:szCs w:val="28"/>
        </w:rPr>
        <w:t>había aglutinado al 1 de abr</w:t>
      </w:r>
      <w:r w:rsidR="00662982">
        <w:rPr>
          <w:rFonts w:ascii="Arial Narrow" w:hAnsi="Arial Narrow"/>
          <w:sz w:val="28"/>
          <w:szCs w:val="28"/>
        </w:rPr>
        <w:t>il de 1994, más de 300 semanas</w:t>
      </w:r>
      <w:r w:rsidR="00684B55" w:rsidRPr="006A4EB4">
        <w:rPr>
          <w:rFonts w:ascii="Arial Narrow" w:hAnsi="Arial Narrow"/>
          <w:sz w:val="28"/>
          <w:szCs w:val="28"/>
        </w:rPr>
        <w:t xml:space="preserve"> al sistema pensional, las que en vigencia del acuerdo 049 de 1990, hubieran sido suficientes para </w:t>
      </w:r>
      <w:r w:rsidR="00684B55">
        <w:rPr>
          <w:rFonts w:ascii="Arial Narrow" w:hAnsi="Arial Narrow"/>
          <w:sz w:val="28"/>
          <w:szCs w:val="28"/>
        </w:rPr>
        <w:t>dejar causado el derecho a la pensión de sobrevivientes</w:t>
      </w:r>
      <w:r w:rsidR="00684B55" w:rsidRPr="006A4EB4">
        <w:rPr>
          <w:rFonts w:ascii="Arial Narrow" w:hAnsi="Arial Narrow"/>
          <w:sz w:val="28"/>
          <w:szCs w:val="28"/>
        </w:rPr>
        <w:t xml:space="preserve">, </w:t>
      </w:r>
      <w:r w:rsidR="00DC44F0" w:rsidRPr="00F9688E">
        <w:rPr>
          <w:rFonts w:ascii="Arial Narrow" w:hAnsi="Arial Narrow"/>
          <w:sz w:val="28"/>
          <w:szCs w:val="28"/>
        </w:rPr>
        <w:t>podría abrirse paso al estudio de la aplicación del principio de la condición más beneficiosa, o cualesquiera otro (expectativa legítima, proporcionalidad, favorabilidad, igualdad etc.)</w:t>
      </w:r>
      <w:r w:rsidR="00DC44F0">
        <w:rPr>
          <w:rFonts w:ascii="Arial Narrow" w:hAnsi="Arial Narrow"/>
          <w:sz w:val="28"/>
          <w:szCs w:val="28"/>
        </w:rPr>
        <w:t>, que justificara la súplica de la actora de saltar de la Ley 797 de 2003 al Acuerdo 0</w:t>
      </w:r>
      <w:r w:rsidR="00DC44F0" w:rsidRPr="00F9688E">
        <w:rPr>
          <w:rFonts w:ascii="Arial Narrow" w:hAnsi="Arial Narrow"/>
          <w:sz w:val="28"/>
          <w:szCs w:val="28"/>
        </w:rPr>
        <w:t xml:space="preserve">49 de 1990, en orden a acceder al pedimento pensional, </w:t>
      </w:r>
      <w:r>
        <w:rPr>
          <w:rFonts w:ascii="Arial Narrow" w:hAnsi="Arial Narrow"/>
          <w:sz w:val="28"/>
          <w:szCs w:val="28"/>
        </w:rPr>
        <w:t xml:space="preserve">sino fuera porque la Sala </w:t>
      </w:r>
      <w:r w:rsidR="00E20EEC">
        <w:rPr>
          <w:rFonts w:ascii="Arial Narrow" w:hAnsi="Arial Narrow"/>
          <w:sz w:val="28"/>
          <w:szCs w:val="28"/>
        </w:rPr>
        <w:t>encuentra que en el presente caso no se</w:t>
      </w:r>
      <w:r w:rsidR="00662982">
        <w:rPr>
          <w:rFonts w:ascii="Arial Narrow" w:hAnsi="Arial Narrow"/>
          <w:sz w:val="28"/>
          <w:szCs w:val="28"/>
        </w:rPr>
        <w:t xml:space="preserve"> satisface el requisito de convivencia</w:t>
      </w:r>
      <w:r w:rsidR="00085830">
        <w:rPr>
          <w:rFonts w:ascii="Arial Narrow" w:hAnsi="Arial Narrow"/>
          <w:sz w:val="28"/>
          <w:szCs w:val="28"/>
        </w:rPr>
        <w:t xml:space="preserve"> </w:t>
      </w:r>
      <w:r w:rsidR="004A1CAD" w:rsidRPr="004A1CAD">
        <w:rPr>
          <w:rFonts w:ascii="Arial Narrow" w:hAnsi="Arial Narrow"/>
          <w:sz w:val="28"/>
          <w:szCs w:val="28"/>
        </w:rPr>
        <w:t>para consolidar</w:t>
      </w:r>
      <w:r w:rsidR="00EA7D90">
        <w:rPr>
          <w:rFonts w:ascii="Arial Narrow" w:hAnsi="Arial Narrow"/>
          <w:sz w:val="28"/>
          <w:szCs w:val="28"/>
        </w:rPr>
        <w:t xml:space="preserve"> el derecho a la pensión de sobrevivientes </w:t>
      </w:r>
      <w:r w:rsidR="00085830">
        <w:rPr>
          <w:rFonts w:ascii="Arial Narrow" w:hAnsi="Arial Narrow"/>
          <w:sz w:val="28"/>
          <w:szCs w:val="28"/>
        </w:rPr>
        <w:t>que se reclama</w:t>
      </w:r>
      <w:r w:rsidR="00EA7D90">
        <w:rPr>
          <w:rFonts w:ascii="Arial Narrow" w:hAnsi="Arial Narrow"/>
          <w:sz w:val="28"/>
          <w:szCs w:val="28"/>
        </w:rPr>
        <w:t>.</w:t>
      </w:r>
    </w:p>
    <w:p w:rsidR="00F3761C" w:rsidRPr="00535E8C" w:rsidRDefault="00F3761C" w:rsidP="00535E8C">
      <w:pPr>
        <w:pStyle w:val="Sinespaciado"/>
      </w:pPr>
    </w:p>
    <w:p w:rsidR="00EA7D90" w:rsidRDefault="007D627D" w:rsidP="00D94907">
      <w:pPr>
        <w:pStyle w:val="Textoindependiente32"/>
        <w:ind w:firstLine="708"/>
        <w:rPr>
          <w:rFonts w:ascii="Arial Narrow" w:hAnsi="Arial Narrow"/>
          <w:sz w:val="28"/>
          <w:szCs w:val="28"/>
        </w:rPr>
      </w:pPr>
      <w:r>
        <w:rPr>
          <w:rFonts w:ascii="Arial Narrow" w:hAnsi="Arial Narrow"/>
          <w:sz w:val="28"/>
          <w:szCs w:val="28"/>
        </w:rPr>
        <w:t xml:space="preserve">Ello, por cuanto, según se observa </w:t>
      </w:r>
      <w:r w:rsidR="004A1CAD">
        <w:rPr>
          <w:rFonts w:ascii="Arial Narrow" w:hAnsi="Arial Narrow"/>
          <w:sz w:val="28"/>
          <w:szCs w:val="28"/>
        </w:rPr>
        <w:t>en el libelo introductor del proceso</w:t>
      </w:r>
      <w:r>
        <w:rPr>
          <w:rFonts w:ascii="Arial Narrow" w:hAnsi="Arial Narrow"/>
          <w:sz w:val="28"/>
          <w:szCs w:val="28"/>
        </w:rPr>
        <w:t xml:space="preserve">, </w:t>
      </w:r>
      <w:r w:rsidR="0020529D">
        <w:rPr>
          <w:rFonts w:ascii="Arial Narrow" w:hAnsi="Arial Narrow"/>
          <w:sz w:val="28"/>
          <w:szCs w:val="28"/>
        </w:rPr>
        <w:t>la demandante aleg</w:t>
      </w:r>
      <w:r w:rsidR="006A28A9">
        <w:rPr>
          <w:rFonts w:ascii="Arial Narrow" w:hAnsi="Arial Narrow"/>
          <w:sz w:val="28"/>
          <w:szCs w:val="28"/>
        </w:rPr>
        <w:t xml:space="preserve">ó </w:t>
      </w:r>
      <w:r w:rsidR="00EA7D90">
        <w:rPr>
          <w:rFonts w:ascii="Arial Narrow" w:hAnsi="Arial Narrow"/>
          <w:sz w:val="28"/>
          <w:szCs w:val="28"/>
        </w:rPr>
        <w:t xml:space="preserve">tener la calidad de </w:t>
      </w:r>
      <w:r w:rsidR="00940EDA">
        <w:rPr>
          <w:rFonts w:ascii="Arial Narrow" w:hAnsi="Arial Narrow"/>
          <w:sz w:val="28"/>
          <w:szCs w:val="28"/>
        </w:rPr>
        <w:t xml:space="preserve">beneficiaria de la </w:t>
      </w:r>
      <w:r w:rsidR="000C6DD1">
        <w:rPr>
          <w:rFonts w:ascii="Arial Narrow" w:hAnsi="Arial Narrow"/>
          <w:sz w:val="28"/>
          <w:szCs w:val="28"/>
        </w:rPr>
        <w:t>pensión de sobrevivientes</w:t>
      </w:r>
      <w:r w:rsidR="004D75C4">
        <w:rPr>
          <w:rFonts w:ascii="Arial Narrow" w:hAnsi="Arial Narrow"/>
          <w:sz w:val="28"/>
          <w:szCs w:val="28"/>
        </w:rPr>
        <w:t xml:space="preserve"> </w:t>
      </w:r>
      <w:r w:rsidR="00EA7D90">
        <w:rPr>
          <w:rFonts w:ascii="Arial Narrow" w:hAnsi="Arial Narrow"/>
          <w:sz w:val="28"/>
          <w:szCs w:val="28"/>
        </w:rPr>
        <w:t xml:space="preserve">por ser la </w:t>
      </w:r>
      <w:r w:rsidR="001630C7">
        <w:rPr>
          <w:rFonts w:ascii="Arial Narrow" w:hAnsi="Arial Narrow"/>
          <w:sz w:val="28"/>
          <w:szCs w:val="28"/>
        </w:rPr>
        <w:t>cónyuge supérstite</w:t>
      </w:r>
      <w:r w:rsidR="00940EDA">
        <w:rPr>
          <w:rFonts w:ascii="Arial Narrow" w:hAnsi="Arial Narrow"/>
          <w:sz w:val="28"/>
          <w:szCs w:val="28"/>
        </w:rPr>
        <w:t xml:space="preserve"> del afiliado</w:t>
      </w:r>
      <w:r w:rsidR="004A1CAD">
        <w:rPr>
          <w:rFonts w:ascii="Arial Narrow" w:hAnsi="Arial Narrow"/>
          <w:sz w:val="28"/>
          <w:szCs w:val="28"/>
        </w:rPr>
        <w:t xml:space="preserve"> fallecido, </w:t>
      </w:r>
      <w:r w:rsidR="001630C7">
        <w:rPr>
          <w:rFonts w:ascii="Arial Narrow" w:hAnsi="Arial Narrow"/>
          <w:sz w:val="28"/>
          <w:szCs w:val="28"/>
        </w:rPr>
        <w:t xml:space="preserve">y haber convivido por espacio de </w:t>
      </w:r>
      <w:r w:rsidR="00EA7D90">
        <w:rPr>
          <w:rFonts w:ascii="Arial Narrow" w:hAnsi="Arial Narrow"/>
          <w:sz w:val="28"/>
          <w:szCs w:val="28"/>
        </w:rPr>
        <w:t>38 años en forma ininterrumpida</w:t>
      </w:r>
      <w:r w:rsidR="001630C7">
        <w:rPr>
          <w:rFonts w:ascii="Arial Narrow" w:hAnsi="Arial Narrow"/>
          <w:sz w:val="28"/>
          <w:szCs w:val="28"/>
        </w:rPr>
        <w:t xml:space="preserve"> desde el 22 de junio de 1972 –fecha </w:t>
      </w:r>
      <w:r w:rsidR="004D75C4">
        <w:rPr>
          <w:rFonts w:ascii="Arial Narrow" w:hAnsi="Arial Narrow"/>
          <w:sz w:val="28"/>
          <w:szCs w:val="28"/>
        </w:rPr>
        <w:t>del matrimonio</w:t>
      </w:r>
      <w:r w:rsidR="00526465">
        <w:rPr>
          <w:rFonts w:ascii="Arial Narrow" w:hAnsi="Arial Narrow"/>
          <w:sz w:val="28"/>
          <w:szCs w:val="28"/>
        </w:rPr>
        <w:t xml:space="preserve"> católico</w:t>
      </w:r>
      <w:r w:rsidR="001630C7">
        <w:rPr>
          <w:rFonts w:ascii="Arial Narrow" w:hAnsi="Arial Narrow"/>
          <w:sz w:val="28"/>
          <w:szCs w:val="28"/>
        </w:rPr>
        <w:t xml:space="preserve">- y hasta el 19 de mayo de 2010 –fecha del deceso del afiliado-. </w:t>
      </w:r>
    </w:p>
    <w:p w:rsidR="00EA7D90" w:rsidRDefault="00EA7D90" w:rsidP="003438F2">
      <w:pPr>
        <w:pStyle w:val="Sinespaciado"/>
        <w:spacing w:line="276" w:lineRule="auto"/>
      </w:pPr>
    </w:p>
    <w:p w:rsidR="005957F8" w:rsidRDefault="001630C7" w:rsidP="00D94907">
      <w:pPr>
        <w:pStyle w:val="Textoindependiente32"/>
        <w:ind w:firstLine="708"/>
        <w:rPr>
          <w:rFonts w:ascii="Arial Narrow" w:hAnsi="Arial Narrow"/>
          <w:sz w:val="28"/>
          <w:szCs w:val="28"/>
        </w:rPr>
      </w:pPr>
      <w:r>
        <w:rPr>
          <w:rFonts w:ascii="Arial Narrow" w:hAnsi="Arial Narrow"/>
          <w:sz w:val="28"/>
          <w:szCs w:val="28"/>
        </w:rPr>
        <w:t xml:space="preserve">No obstante lo dicho, encuentra la Sala que en el expediente obra </w:t>
      </w:r>
      <w:r w:rsidR="000C6DD1">
        <w:rPr>
          <w:rFonts w:ascii="Arial Narrow" w:hAnsi="Arial Narrow"/>
          <w:sz w:val="28"/>
          <w:szCs w:val="28"/>
        </w:rPr>
        <w:t xml:space="preserve">copia de la sentencia dictada el 28 de febrero de 2002 por el Juzgado 1º de Familia de Armenia, Quindío, </w:t>
      </w:r>
      <w:r>
        <w:rPr>
          <w:rFonts w:ascii="Arial Narrow" w:hAnsi="Arial Narrow"/>
          <w:sz w:val="28"/>
          <w:szCs w:val="28"/>
        </w:rPr>
        <w:t xml:space="preserve">mediante el cual se </w:t>
      </w:r>
      <w:r w:rsidR="00C614A4">
        <w:rPr>
          <w:rFonts w:ascii="Arial Narrow" w:hAnsi="Arial Narrow"/>
          <w:sz w:val="28"/>
          <w:szCs w:val="28"/>
        </w:rPr>
        <w:t xml:space="preserve">declaró la cesación de efectos civiles del matrimonio católico celebrado entre la actora y el extinto Rubén Darío Henao Arango, </w:t>
      </w:r>
      <w:r w:rsidR="00722939">
        <w:rPr>
          <w:rFonts w:ascii="Arial Narrow" w:hAnsi="Arial Narrow"/>
          <w:sz w:val="28"/>
          <w:szCs w:val="28"/>
        </w:rPr>
        <w:t xml:space="preserve">sin </w:t>
      </w:r>
      <w:r w:rsidR="004D75C4">
        <w:rPr>
          <w:rFonts w:ascii="Arial Narrow" w:hAnsi="Arial Narrow"/>
          <w:sz w:val="28"/>
          <w:szCs w:val="28"/>
        </w:rPr>
        <w:t>que</w:t>
      </w:r>
      <w:r w:rsidR="007F5646">
        <w:rPr>
          <w:rFonts w:ascii="Arial Narrow" w:hAnsi="Arial Narrow"/>
          <w:sz w:val="28"/>
          <w:szCs w:val="28"/>
        </w:rPr>
        <w:t xml:space="preserve"> se </w:t>
      </w:r>
      <w:r w:rsidR="004D75C4">
        <w:rPr>
          <w:rFonts w:ascii="Arial Narrow" w:hAnsi="Arial Narrow"/>
          <w:sz w:val="28"/>
          <w:szCs w:val="28"/>
        </w:rPr>
        <w:t xml:space="preserve"> </w:t>
      </w:r>
      <w:r>
        <w:rPr>
          <w:rFonts w:ascii="Arial Narrow" w:hAnsi="Arial Narrow"/>
          <w:sz w:val="28"/>
          <w:szCs w:val="28"/>
        </w:rPr>
        <w:t>realizara pronunciamiento</w:t>
      </w:r>
      <w:r w:rsidR="004D75C4">
        <w:rPr>
          <w:rFonts w:ascii="Arial Narrow" w:hAnsi="Arial Narrow"/>
          <w:sz w:val="28"/>
          <w:szCs w:val="28"/>
        </w:rPr>
        <w:t xml:space="preserve"> </w:t>
      </w:r>
      <w:r>
        <w:rPr>
          <w:rFonts w:ascii="Arial Narrow" w:hAnsi="Arial Narrow"/>
          <w:sz w:val="28"/>
          <w:szCs w:val="28"/>
        </w:rPr>
        <w:t>alguno respecto</w:t>
      </w:r>
      <w:r w:rsidR="00C614A4">
        <w:rPr>
          <w:rFonts w:ascii="Arial Narrow" w:hAnsi="Arial Narrow"/>
          <w:sz w:val="28"/>
          <w:szCs w:val="28"/>
        </w:rPr>
        <w:t xml:space="preserve"> a la sociedad conyugal de la pareja, por encontrarse en trámite notarial de disolución y liquidación –ver fl.86-.  </w:t>
      </w:r>
    </w:p>
    <w:p w:rsidR="00275307" w:rsidRDefault="00275307" w:rsidP="00EA7D90">
      <w:pPr>
        <w:pStyle w:val="Sinespaciado"/>
      </w:pPr>
    </w:p>
    <w:p w:rsidR="00B83984" w:rsidRDefault="00AB126F" w:rsidP="00585F10">
      <w:pPr>
        <w:pStyle w:val="Textoindependiente32"/>
        <w:ind w:firstLine="708"/>
        <w:rPr>
          <w:rFonts w:ascii="Arial Narrow" w:hAnsi="Arial Narrow"/>
          <w:sz w:val="28"/>
          <w:szCs w:val="28"/>
        </w:rPr>
      </w:pPr>
      <w:r>
        <w:rPr>
          <w:rFonts w:ascii="Arial Narrow" w:hAnsi="Arial Narrow"/>
          <w:sz w:val="28"/>
          <w:szCs w:val="28"/>
        </w:rPr>
        <w:lastRenderedPageBreak/>
        <w:t>Así las cosas</w:t>
      </w:r>
      <w:r w:rsidR="00585F10">
        <w:rPr>
          <w:rFonts w:ascii="Arial Narrow" w:hAnsi="Arial Narrow"/>
          <w:sz w:val="28"/>
          <w:szCs w:val="28"/>
        </w:rPr>
        <w:t xml:space="preserve">, teniendo en cuenta que con la sentencia de </w:t>
      </w:r>
      <w:r w:rsidR="00667187">
        <w:rPr>
          <w:rFonts w:ascii="Arial Narrow" w:hAnsi="Arial Narrow"/>
          <w:sz w:val="28"/>
          <w:szCs w:val="28"/>
        </w:rPr>
        <w:t xml:space="preserve">cesación de efectos </w:t>
      </w:r>
      <w:r w:rsidR="00EE4967">
        <w:rPr>
          <w:rFonts w:ascii="Arial Narrow" w:hAnsi="Arial Narrow"/>
          <w:sz w:val="28"/>
          <w:szCs w:val="28"/>
        </w:rPr>
        <w:t>civiles del matrimonio, s</w:t>
      </w:r>
      <w:r w:rsidR="00667187">
        <w:rPr>
          <w:rFonts w:ascii="Arial Narrow" w:hAnsi="Arial Narrow"/>
          <w:sz w:val="28"/>
          <w:szCs w:val="28"/>
        </w:rPr>
        <w:t xml:space="preserve">e rompió definitivamente el lazo </w:t>
      </w:r>
      <w:r w:rsidR="001E19B8">
        <w:rPr>
          <w:rFonts w:ascii="Arial Narrow" w:hAnsi="Arial Narrow"/>
          <w:sz w:val="28"/>
          <w:szCs w:val="28"/>
        </w:rPr>
        <w:t xml:space="preserve">jurídico </w:t>
      </w:r>
      <w:r w:rsidR="00667187">
        <w:rPr>
          <w:rFonts w:ascii="Arial Narrow" w:hAnsi="Arial Narrow"/>
          <w:sz w:val="28"/>
          <w:szCs w:val="28"/>
        </w:rPr>
        <w:t>personal entre los antiguos cónyuges,</w:t>
      </w:r>
      <w:r w:rsidR="00606C46">
        <w:rPr>
          <w:rFonts w:ascii="Arial Narrow" w:hAnsi="Arial Narrow"/>
          <w:sz w:val="28"/>
          <w:szCs w:val="28"/>
        </w:rPr>
        <w:t xml:space="preserve"> </w:t>
      </w:r>
      <w:r w:rsidR="00FC4F7C">
        <w:rPr>
          <w:rFonts w:ascii="Arial Narrow" w:hAnsi="Arial Narrow"/>
          <w:sz w:val="28"/>
          <w:szCs w:val="28"/>
        </w:rPr>
        <w:t xml:space="preserve">le correspondía </w:t>
      </w:r>
      <w:r w:rsidR="00D304C2">
        <w:rPr>
          <w:rFonts w:ascii="Arial Narrow" w:hAnsi="Arial Narrow"/>
          <w:sz w:val="28"/>
          <w:szCs w:val="28"/>
        </w:rPr>
        <w:t xml:space="preserve">entonces a la actora </w:t>
      </w:r>
      <w:r w:rsidR="00614132">
        <w:rPr>
          <w:rFonts w:ascii="Arial Narrow" w:hAnsi="Arial Narrow"/>
          <w:sz w:val="28"/>
          <w:szCs w:val="28"/>
        </w:rPr>
        <w:t>acreditar</w:t>
      </w:r>
      <w:r w:rsidR="00D304C2">
        <w:rPr>
          <w:rFonts w:ascii="Arial Narrow" w:hAnsi="Arial Narrow"/>
          <w:sz w:val="28"/>
          <w:szCs w:val="28"/>
        </w:rPr>
        <w:t xml:space="preserve"> </w:t>
      </w:r>
      <w:r w:rsidR="003034CF">
        <w:rPr>
          <w:rFonts w:ascii="Arial Narrow" w:hAnsi="Arial Narrow"/>
          <w:sz w:val="28"/>
          <w:szCs w:val="28"/>
        </w:rPr>
        <w:t xml:space="preserve">en este proceso, </w:t>
      </w:r>
      <w:r w:rsidR="00D304C2">
        <w:rPr>
          <w:rFonts w:ascii="Arial Narrow" w:hAnsi="Arial Narrow"/>
          <w:sz w:val="28"/>
          <w:szCs w:val="28"/>
        </w:rPr>
        <w:t>que convivió con el afiliado</w:t>
      </w:r>
      <w:r w:rsidR="00F65F1B">
        <w:rPr>
          <w:rFonts w:ascii="Arial Narrow" w:hAnsi="Arial Narrow"/>
          <w:sz w:val="28"/>
          <w:szCs w:val="28"/>
        </w:rPr>
        <w:t xml:space="preserve"> en calidad de c</w:t>
      </w:r>
      <w:r w:rsidR="00FC4F7C">
        <w:rPr>
          <w:rFonts w:ascii="Arial Narrow" w:hAnsi="Arial Narrow"/>
          <w:sz w:val="28"/>
          <w:szCs w:val="28"/>
        </w:rPr>
        <w:t>ompañera permanente</w:t>
      </w:r>
      <w:r w:rsidR="00D304C2">
        <w:rPr>
          <w:rFonts w:ascii="Arial Narrow" w:hAnsi="Arial Narrow"/>
          <w:sz w:val="28"/>
          <w:szCs w:val="28"/>
        </w:rPr>
        <w:t xml:space="preserve">, por lo menos, </w:t>
      </w:r>
      <w:r>
        <w:rPr>
          <w:rFonts w:ascii="Arial Narrow" w:hAnsi="Arial Narrow"/>
          <w:sz w:val="28"/>
          <w:szCs w:val="28"/>
        </w:rPr>
        <w:t xml:space="preserve">durante los cinco años </w:t>
      </w:r>
      <w:r w:rsidR="00F65F1B">
        <w:rPr>
          <w:rFonts w:ascii="Arial Narrow" w:hAnsi="Arial Narrow"/>
          <w:sz w:val="28"/>
          <w:szCs w:val="28"/>
        </w:rPr>
        <w:t>anteriores al deceso.</w:t>
      </w:r>
    </w:p>
    <w:p w:rsidR="00353BB4" w:rsidRDefault="00353BB4" w:rsidP="00353BB4">
      <w:pPr>
        <w:pStyle w:val="Sinespaciado"/>
      </w:pPr>
    </w:p>
    <w:p w:rsidR="00353BB4" w:rsidRDefault="007C0130" w:rsidP="007C0130">
      <w:pPr>
        <w:pStyle w:val="Textoindependiente32"/>
        <w:ind w:firstLine="708"/>
        <w:rPr>
          <w:rFonts w:ascii="Arial Narrow" w:hAnsi="Arial Narrow"/>
          <w:sz w:val="28"/>
          <w:szCs w:val="28"/>
        </w:rPr>
      </w:pPr>
      <w:r>
        <w:rPr>
          <w:rFonts w:ascii="Arial Narrow" w:hAnsi="Arial Narrow"/>
          <w:sz w:val="28"/>
          <w:szCs w:val="28"/>
        </w:rPr>
        <w:t>En este punto, e</w:t>
      </w:r>
      <w:r w:rsidR="00353BB4">
        <w:rPr>
          <w:rFonts w:ascii="Arial Narrow" w:hAnsi="Arial Narrow"/>
          <w:sz w:val="28"/>
          <w:szCs w:val="28"/>
        </w:rPr>
        <w:t>s preciso hacer claridad que la cesación de efectos civiles del matrimonio católico</w:t>
      </w:r>
      <w:r w:rsidR="00754800">
        <w:rPr>
          <w:rFonts w:ascii="Arial Narrow" w:hAnsi="Arial Narrow"/>
          <w:sz w:val="28"/>
          <w:szCs w:val="28"/>
        </w:rPr>
        <w:t xml:space="preserve">, </w:t>
      </w:r>
      <w:r>
        <w:rPr>
          <w:rFonts w:ascii="Arial Narrow" w:hAnsi="Arial Narrow"/>
          <w:sz w:val="28"/>
          <w:szCs w:val="28"/>
        </w:rPr>
        <w:t>son relativos a</w:t>
      </w:r>
      <w:r w:rsidR="00754800">
        <w:rPr>
          <w:rFonts w:ascii="Arial Narrow" w:hAnsi="Arial Narrow"/>
          <w:sz w:val="28"/>
          <w:szCs w:val="28"/>
        </w:rPr>
        <w:t xml:space="preserve"> las obligaciones de los cónyuges de prestarse socorro y ayuda mutua </w:t>
      </w:r>
      <w:r w:rsidR="00754800" w:rsidRPr="00606C46">
        <w:rPr>
          <w:rFonts w:ascii="Arial Narrow" w:hAnsi="Arial Narrow"/>
          <w:sz w:val="28"/>
          <w:szCs w:val="28"/>
        </w:rPr>
        <w:t xml:space="preserve">en todas las circunstancias </w:t>
      </w:r>
      <w:r w:rsidR="00754800">
        <w:rPr>
          <w:rFonts w:ascii="Arial Narrow" w:hAnsi="Arial Narrow"/>
          <w:sz w:val="28"/>
          <w:szCs w:val="28"/>
        </w:rPr>
        <w:t xml:space="preserve">de la vida, en los términos del artículo 176 del Código Civil, por manera que no pueden equipararse a los meramente </w:t>
      </w:r>
      <w:r w:rsidR="00353BB4">
        <w:rPr>
          <w:rFonts w:ascii="Arial Narrow" w:hAnsi="Arial Narrow"/>
          <w:sz w:val="28"/>
          <w:szCs w:val="28"/>
        </w:rPr>
        <w:t xml:space="preserve">patrimoniales de la disolución de la sociedad conyugal o de la comunidad de bienes que se forma con ocasión del matrimonio, en los </w:t>
      </w:r>
      <w:r w:rsidR="00FE09E1">
        <w:rPr>
          <w:rFonts w:ascii="Arial Narrow" w:hAnsi="Arial Narrow"/>
          <w:sz w:val="28"/>
          <w:szCs w:val="28"/>
        </w:rPr>
        <w:t xml:space="preserve">que </w:t>
      </w:r>
      <w:r w:rsidR="00353BB4">
        <w:rPr>
          <w:rFonts w:ascii="Arial Narrow" w:hAnsi="Arial Narrow"/>
          <w:sz w:val="28"/>
          <w:szCs w:val="28"/>
        </w:rPr>
        <w:t xml:space="preserve">el vínculo jurídico del matrimonio </w:t>
      </w:r>
      <w:r w:rsidR="000344BF">
        <w:rPr>
          <w:rFonts w:ascii="Arial Narrow" w:hAnsi="Arial Narrow"/>
          <w:sz w:val="28"/>
          <w:szCs w:val="28"/>
        </w:rPr>
        <w:t xml:space="preserve">aún subsiste </w:t>
      </w:r>
      <w:r w:rsidR="00353BB4">
        <w:rPr>
          <w:rFonts w:ascii="Arial Narrow" w:hAnsi="Arial Narrow"/>
          <w:sz w:val="28"/>
          <w:szCs w:val="28"/>
        </w:rPr>
        <w:t xml:space="preserve">entre los cónyuges,  como tantas veces lo ha replicado la Sala de Casación Laboral de la Corte Suprema de Justicia, entre otras en sentencia con radicación </w:t>
      </w:r>
      <w:r w:rsidR="000344BF">
        <w:rPr>
          <w:rFonts w:ascii="Arial Narrow" w:hAnsi="Arial Narrow"/>
          <w:sz w:val="28"/>
          <w:szCs w:val="28"/>
        </w:rPr>
        <w:t>No. 45038 del 2012.</w:t>
      </w:r>
    </w:p>
    <w:p w:rsidR="00AA3E52" w:rsidRDefault="00AA3E52" w:rsidP="00614132">
      <w:pPr>
        <w:pStyle w:val="Sinespaciado"/>
      </w:pPr>
    </w:p>
    <w:p w:rsidR="00E82B5C" w:rsidRDefault="007C0130" w:rsidP="007C0130">
      <w:pPr>
        <w:pStyle w:val="Textoindependiente32"/>
        <w:ind w:firstLine="708"/>
        <w:rPr>
          <w:rFonts w:ascii="Arial Narrow" w:hAnsi="Arial Narrow"/>
          <w:sz w:val="28"/>
          <w:szCs w:val="28"/>
        </w:rPr>
      </w:pPr>
      <w:r>
        <w:rPr>
          <w:rFonts w:ascii="Arial Narrow" w:hAnsi="Arial Narrow"/>
          <w:sz w:val="28"/>
          <w:szCs w:val="28"/>
        </w:rPr>
        <w:t>Hecha esa distinción</w:t>
      </w:r>
      <w:r w:rsidR="009A2231">
        <w:rPr>
          <w:rFonts w:ascii="Arial Narrow" w:hAnsi="Arial Narrow"/>
          <w:sz w:val="28"/>
          <w:szCs w:val="28"/>
        </w:rPr>
        <w:t xml:space="preserve">, se tiene que la demandante procuró acreditar la convivencia con el afiliado fallecido con las declaraciones de </w:t>
      </w:r>
      <w:r w:rsidR="00AB126F">
        <w:rPr>
          <w:rFonts w:ascii="Arial Narrow" w:hAnsi="Arial Narrow"/>
          <w:sz w:val="28"/>
          <w:szCs w:val="28"/>
        </w:rPr>
        <w:t xml:space="preserve">Bernardo Ramírez Monsalve, </w:t>
      </w:r>
      <w:r w:rsidR="00E0595B">
        <w:rPr>
          <w:rFonts w:ascii="Arial Narrow" w:hAnsi="Arial Narrow"/>
          <w:sz w:val="28"/>
          <w:szCs w:val="28"/>
        </w:rPr>
        <w:t xml:space="preserve">María Victoria Gallego </w:t>
      </w:r>
      <w:proofErr w:type="spellStart"/>
      <w:r w:rsidR="00E0595B">
        <w:rPr>
          <w:rFonts w:ascii="Arial Narrow" w:hAnsi="Arial Narrow"/>
          <w:sz w:val="28"/>
          <w:szCs w:val="28"/>
        </w:rPr>
        <w:t>Alzate</w:t>
      </w:r>
      <w:proofErr w:type="spellEnd"/>
      <w:r w:rsidR="00E0595B">
        <w:rPr>
          <w:rFonts w:ascii="Arial Narrow" w:hAnsi="Arial Narrow"/>
          <w:sz w:val="28"/>
          <w:szCs w:val="28"/>
        </w:rPr>
        <w:t xml:space="preserve">, María Mercedes García Moreno </w:t>
      </w:r>
      <w:r w:rsidR="009A2231">
        <w:rPr>
          <w:rFonts w:ascii="Arial Narrow" w:hAnsi="Arial Narrow"/>
          <w:sz w:val="28"/>
          <w:szCs w:val="28"/>
        </w:rPr>
        <w:t xml:space="preserve">y Cesar Augusto Ramírez </w:t>
      </w:r>
      <w:proofErr w:type="spellStart"/>
      <w:r w:rsidR="009A2231">
        <w:rPr>
          <w:rFonts w:ascii="Arial Narrow" w:hAnsi="Arial Narrow"/>
          <w:sz w:val="28"/>
          <w:szCs w:val="28"/>
        </w:rPr>
        <w:t>Vallej</w:t>
      </w:r>
      <w:proofErr w:type="spellEnd"/>
      <w:r w:rsidR="009A2231">
        <w:rPr>
          <w:rFonts w:ascii="Arial Narrow" w:hAnsi="Arial Narrow"/>
          <w:sz w:val="28"/>
          <w:szCs w:val="28"/>
        </w:rPr>
        <w:t xml:space="preserve">. Sin </w:t>
      </w:r>
      <w:r w:rsidR="00EA7D90">
        <w:rPr>
          <w:rFonts w:ascii="Arial Narrow" w:hAnsi="Arial Narrow"/>
          <w:sz w:val="28"/>
          <w:szCs w:val="28"/>
        </w:rPr>
        <w:t>embargo, para la Sala,</w:t>
      </w:r>
      <w:r w:rsidR="003034CF">
        <w:rPr>
          <w:rFonts w:ascii="Arial Narrow" w:hAnsi="Arial Narrow"/>
          <w:sz w:val="28"/>
          <w:szCs w:val="28"/>
        </w:rPr>
        <w:t xml:space="preserve"> </w:t>
      </w:r>
      <w:r w:rsidR="00E82B5C">
        <w:rPr>
          <w:rFonts w:ascii="Arial Narrow" w:hAnsi="Arial Narrow"/>
          <w:sz w:val="28"/>
          <w:szCs w:val="28"/>
        </w:rPr>
        <w:t>ningun</w:t>
      </w:r>
      <w:r w:rsidR="007421FE">
        <w:rPr>
          <w:rFonts w:ascii="Arial Narrow" w:hAnsi="Arial Narrow"/>
          <w:sz w:val="28"/>
          <w:szCs w:val="28"/>
        </w:rPr>
        <w:t xml:space="preserve">o de </w:t>
      </w:r>
      <w:r w:rsidR="003034CF">
        <w:rPr>
          <w:rFonts w:ascii="Arial Narrow" w:hAnsi="Arial Narrow"/>
          <w:sz w:val="28"/>
          <w:szCs w:val="28"/>
        </w:rPr>
        <w:t xml:space="preserve">estos </w:t>
      </w:r>
      <w:r w:rsidR="009A2231">
        <w:rPr>
          <w:rFonts w:ascii="Arial Narrow" w:hAnsi="Arial Narrow"/>
          <w:sz w:val="28"/>
          <w:szCs w:val="28"/>
        </w:rPr>
        <w:t>deponentes</w:t>
      </w:r>
      <w:r w:rsidR="00DD0C2A">
        <w:rPr>
          <w:rFonts w:ascii="Arial Narrow" w:hAnsi="Arial Narrow"/>
          <w:sz w:val="28"/>
          <w:szCs w:val="28"/>
        </w:rPr>
        <w:t xml:space="preserve"> </w:t>
      </w:r>
      <w:r w:rsidR="00E82B5C">
        <w:rPr>
          <w:rFonts w:ascii="Arial Narrow" w:hAnsi="Arial Narrow"/>
          <w:sz w:val="28"/>
          <w:szCs w:val="28"/>
        </w:rPr>
        <w:t>ofrec</w:t>
      </w:r>
      <w:r w:rsidR="00F65F1B">
        <w:rPr>
          <w:rFonts w:ascii="Arial Narrow" w:hAnsi="Arial Narrow"/>
          <w:sz w:val="28"/>
          <w:szCs w:val="28"/>
        </w:rPr>
        <w:t>e</w:t>
      </w:r>
      <w:r w:rsidR="00E82B5C">
        <w:rPr>
          <w:rFonts w:ascii="Arial Narrow" w:hAnsi="Arial Narrow"/>
          <w:sz w:val="28"/>
          <w:szCs w:val="28"/>
        </w:rPr>
        <w:t xml:space="preserve"> </w:t>
      </w:r>
      <w:r w:rsidR="003B1772">
        <w:rPr>
          <w:rFonts w:ascii="Arial Narrow" w:hAnsi="Arial Narrow"/>
          <w:sz w:val="28"/>
          <w:szCs w:val="28"/>
        </w:rPr>
        <w:t xml:space="preserve">la </w:t>
      </w:r>
      <w:r w:rsidR="00E82B5C">
        <w:rPr>
          <w:rFonts w:ascii="Arial Narrow" w:hAnsi="Arial Narrow"/>
          <w:sz w:val="28"/>
          <w:szCs w:val="28"/>
        </w:rPr>
        <w:t>credibilidad suficiente</w:t>
      </w:r>
      <w:r w:rsidR="003034CF">
        <w:rPr>
          <w:rFonts w:ascii="Arial Narrow" w:hAnsi="Arial Narrow"/>
          <w:sz w:val="28"/>
          <w:szCs w:val="28"/>
        </w:rPr>
        <w:t xml:space="preserve"> </w:t>
      </w:r>
      <w:r w:rsidR="00E31B46">
        <w:rPr>
          <w:rFonts w:ascii="Arial Narrow" w:hAnsi="Arial Narrow"/>
          <w:sz w:val="28"/>
          <w:szCs w:val="28"/>
        </w:rPr>
        <w:t xml:space="preserve">para </w:t>
      </w:r>
      <w:r w:rsidR="003034CF">
        <w:rPr>
          <w:rFonts w:ascii="Arial Narrow" w:hAnsi="Arial Narrow"/>
          <w:sz w:val="28"/>
          <w:szCs w:val="28"/>
        </w:rPr>
        <w:t>dar por demostrada la convivencia</w:t>
      </w:r>
      <w:r w:rsidR="00270D00">
        <w:rPr>
          <w:rFonts w:ascii="Arial Narrow" w:hAnsi="Arial Narrow"/>
          <w:sz w:val="28"/>
          <w:szCs w:val="28"/>
        </w:rPr>
        <w:t xml:space="preserve"> </w:t>
      </w:r>
      <w:r w:rsidR="00EC5F78">
        <w:rPr>
          <w:rFonts w:ascii="Arial Narrow" w:hAnsi="Arial Narrow"/>
          <w:sz w:val="28"/>
          <w:szCs w:val="28"/>
        </w:rPr>
        <w:t>requerida</w:t>
      </w:r>
      <w:r w:rsidR="003034CF">
        <w:rPr>
          <w:rFonts w:ascii="Arial Narrow" w:hAnsi="Arial Narrow"/>
          <w:sz w:val="28"/>
          <w:szCs w:val="28"/>
        </w:rPr>
        <w:t xml:space="preserve">, </w:t>
      </w:r>
      <w:r w:rsidR="00636B73">
        <w:rPr>
          <w:rFonts w:ascii="Arial Narrow" w:hAnsi="Arial Narrow"/>
          <w:sz w:val="28"/>
          <w:szCs w:val="28"/>
        </w:rPr>
        <w:t xml:space="preserve">pues </w:t>
      </w:r>
      <w:r w:rsidR="00B23D27">
        <w:rPr>
          <w:rFonts w:ascii="Arial Narrow" w:hAnsi="Arial Narrow"/>
          <w:sz w:val="28"/>
          <w:szCs w:val="28"/>
        </w:rPr>
        <w:t xml:space="preserve">aunque </w:t>
      </w:r>
      <w:r w:rsidR="00DD0C2A">
        <w:rPr>
          <w:rFonts w:ascii="Arial Narrow" w:hAnsi="Arial Narrow"/>
          <w:sz w:val="28"/>
          <w:szCs w:val="28"/>
        </w:rPr>
        <w:t>al unísono</w:t>
      </w:r>
      <w:r w:rsidR="00050297">
        <w:rPr>
          <w:rFonts w:ascii="Arial Narrow" w:hAnsi="Arial Narrow"/>
          <w:sz w:val="28"/>
          <w:szCs w:val="28"/>
        </w:rPr>
        <w:t xml:space="preserve"> </w:t>
      </w:r>
      <w:r w:rsidR="00636B73">
        <w:rPr>
          <w:rFonts w:ascii="Arial Narrow" w:hAnsi="Arial Narrow"/>
          <w:sz w:val="28"/>
          <w:szCs w:val="28"/>
        </w:rPr>
        <w:t xml:space="preserve">manifestaron </w:t>
      </w:r>
      <w:r w:rsidR="00B23D27">
        <w:rPr>
          <w:rFonts w:ascii="Arial Narrow" w:hAnsi="Arial Narrow"/>
          <w:sz w:val="28"/>
          <w:szCs w:val="28"/>
        </w:rPr>
        <w:t xml:space="preserve">ser compañeros de </w:t>
      </w:r>
      <w:r w:rsidR="00636B73">
        <w:rPr>
          <w:rFonts w:ascii="Arial Narrow" w:hAnsi="Arial Narrow"/>
          <w:sz w:val="28"/>
          <w:szCs w:val="28"/>
        </w:rPr>
        <w:t>ciclismo</w:t>
      </w:r>
      <w:r w:rsidR="003034CF">
        <w:rPr>
          <w:rFonts w:ascii="Arial Narrow" w:hAnsi="Arial Narrow"/>
          <w:sz w:val="28"/>
          <w:szCs w:val="28"/>
        </w:rPr>
        <w:t xml:space="preserve"> de la pareja</w:t>
      </w:r>
      <w:r w:rsidR="00B23D27">
        <w:rPr>
          <w:rFonts w:ascii="Arial Narrow" w:hAnsi="Arial Narrow"/>
          <w:sz w:val="28"/>
          <w:szCs w:val="28"/>
        </w:rPr>
        <w:t xml:space="preserve">, pertenecientes al grupo </w:t>
      </w:r>
      <w:r w:rsidR="00636B73">
        <w:rPr>
          <w:rFonts w:ascii="Arial Narrow" w:hAnsi="Arial Narrow"/>
          <w:sz w:val="28"/>
          <w:szCs w:val="28"/>
        </w:rPr>
        <w:t>“</w:t>
      </w:r>
      <w:proofErr w:type="spellStart"/>
      <w:r w:rsidR="00636B73">
        <w:rPr>
          <w:rFonts w:ascii="Arial Narrow" w:hAnsi="Arial Narrow"/>
          <w:sz w:val="28"/>
          <w:szCs w:val="28"/>
        </w:rPr>
        <w:t>trocheros</w:t>
      </w:r>
      <w:proofErr w:type="spellEnd"/>
      <w:r w:rsidR="00636B73">
        <w:rPr>
          <w:rFonts w:ascii="Arial Narrow" w:hAnsi="Arial Narrow"/>
          <w:sz w:val="28"/>
          <w:szCs w:val="28"/>
        </w:rPr>
        <w:t xml:space="preserve"> del Quindío”, </w:t>
      </w:r>
      <w:r w:rsidR="00E82B5C">
        <w:rPr>
          <w:rFonts w:ascii="Arial Narrow" w:hAnsi="Arial Narrow"/>
          <w:sz w:val="28"/>
          <w:szCs w:val="28"/>
        </w:rPr>
        <w:t xml:space="preserve">nada informaron sobre la real convivencia de </w:t>
      </w:r>
      <w:r w:rsidR="00F65F1B">
        <w:rPr>
          <w:rFonts w:ascii="Arial Narrow" w:hAnsi="Arial Narrow"/>
          <w:sz w:val="28"/>
          <w:szCs w:val="28"/>
        </w:rPr>
        <w:t>esta</w:t>
      </w:r>
      <w:r w:rsidR="00E23569">
        <w:rPr>
          <w:rFonts w:ascii="Arial Narrow" w:hAnsi="Arial Narrow"/>
          <w:sz w:val="28"/>
          <w:szCs w:val="28"/>
        </w:rPr>
        <w:t xml:space="preserve">, durante </w:t>
      </w:r>
      <w:r w:rsidR="00BC1F63">
        <w:rPr>
          <w:rFonts w:ascii="Arial Narrow" w:hAnsi="Arial Narrow"/>
          <w:sz w:val="28"/>
          <w:szCs w:val="28"/>
        </w:rPr>
        <w:t>los cinco años que antec</w:t>
      </w:r>
      <w:r w:rsidR="00050297">
        <w:rPr>
          <w:rFonts w:ascii="Arial Narrow" w:hAnsi="Arial Narrow"/>
          <w:sz w:val="28"/>
          <w:szCs w:val="28"/>
        </w:rPr>
        <w:t>e</w:t>
      </w:r>
      <w:r w:rsidR="00F65F1B">
        <w:rPr>
          <w:rFonts w:ascii="Arial Narrow" w:hAnsi="Arial Narrow"/>
          <w:sz w:val="28"/>
          <w:szCs w:val="28"/>
        </w:rPr>
        <w:t xml:space="preserve">dieron el deceso del asegurado. Aunado a ello, </w:t>
      </w:r>
      <w:r w:rsidR="00EC5F78">
        <w:rPr>
          <w:rFonts w:ascii="Arial Narrow" w:hAnsi="Arial Narrow"/>
          <w:sz w:val="28"/>
          <w:szCs w:val="28"/>
        </w:rPr>
        <w:t>los declarantes incurren en</w:t>
      </w:r>
      <w:r w:rsidR="00F65F1B">
        <w:rPr>
          <w:rFonts w:ascii="Arial Narrow" w:hAnsi="Arial Narrow"/>
          <w:sz w:val="28"/>
          <w:szCs w:val="28"/>
        </w:rPr>
        <w:t xml:space="preserve"> </w:t>
      </w:r>
      <w:r w:rsidR="003B1772">
        <w:rPr>
          <w:rFonts w:ascii="Arial Narrow" w:hAnsi="Arial Narrow"/>
          <w:sz w:val="28"/>
          <w:szCs w:val="28"/>
        </w:rPr>
        <w:t>contradicciones</w:t>
      </w:r>
      <w:r w:rsidR="00F65F1B">
        <w:rPr>
          <w:rFonts w:ascii="Arial Narrow" w:hAnsi="Arial Narrow"/>
          <w:sz w:val="28"/>
          <w:szCs w:val="28"/>
        </w:rPr>
        <w:t xml:space="preserve"> e imprecisiones </w:t>
      </w:r>
      <w:r w:rsidR="003B1772">
        <w:rPr>
          <w:rFonts w:ascii="Arial Narrow" w:hAnsi="Arial Narrow"/>
          <w:sz w:val="28"/>
          <w:szCs w:val="28"/>
        </w:rPr>
        <w:t xml:space="preserve">que desdicen </w:t>
      </w:r>
      <w:r w:rsidR="00EC5F78">
        <w:rPr>
          <w:rFonts w:ascii="Arial Narrow" w:hAnsi="Arial Narrow"/>
          <w:sz w:val="28"/>
          <w:szCs w:val="28"/>
        </w:rPr>
        <w:t xml:space="preserve">de </w:t>
      </w:r>
      <w:r w:rsidR="003B1772">
        <w:rPr>
          <w:rFonts w:ascii="Arial Narrow" w:hAnsi="Arial Narrow"/>
          <w:sz w:val="28"/>
          <w:szCs w:val="28"/>
        </w:rPr>
        <w:t>la veracidad de sus dichos.</w:t>
      </w:r>
    </w:p>
    <w:p w:rsidR="00784A3D" w:rsidRDefault="00784A3D" w:rsidP="00E31B46">
      <w:pPr>
        <w:pStyle w:val="Sinespaciado"/>
      </w:pPr>
    </w:p>
    <w:p w:rsidR="00270D00" w:rsidRDefault="00E31B46" w:rsidP="00681835">
      <w:pPr>
        <w:pStyle w:val="Textoindependiente32"/>
        <w:ind w:firstLine="708"/>
        <w:rPr>
          <w:rFonts w:ascii="Arial Narrow" w:hAnsi="Arial Narrow"/>
          <w:sz w:val="28"/>
          <w:szCs w:val="28"/>
        </w:rPr>
      </w:pPr>
      <w:r>
        <w:rPr>
          <w:rFonts w:ascii="Arial Narrow" w:hAnsi="Arial Narrow"/>
          <w:sz w:val="28"/>
          <w:szCs w:val="28"/>
        </w:rPr>
        <w:t>Bernardo Ramírez Monsalve, sostuvo</w:t>
      </w:r>
      <w:r w:rsidR="00EC5F78">
        <w:rPr>
          <w:rFonts w:ascii="Arial Narrow" w:hAnsi="Arial Narrow"/>
          <w:sz w:val="28"/>
          <w:szCs w:val="28"/>
        </w:rPr>
        <w:t xml:space="preserve"> por ejemplo q</w:t>
      </w:r>
      <w:r>
        <w:rPr>
          <w:rFonts w:ascii="Arial Narrow" w:hAnsi="Arial Narrow"/>
          <w:sz w:val="28"/>
          <w:szCs w:val="28"/>
        </w:rPr>
        <w:t xml:space="preserve">ue </w:t>
      </w:r>
      <w:r w:rsidR="00971249">
        <w:rPr>
          <w:rFonts w:ascii="Arial Narrow" w:hAnsi="Arial Narrow"/>
          <w:sz w:val="28"/>
          <w:szCs w:val="28"/>
        </w:rPr>
        <w:t xml:space="preserve">conoció a la </w:t>
      </w:r>
      <w:r w:rsidR="006C0EEF">
        <w:rPr>
          <w:rFonts w:ascii="Arial Narrow" w:hAnsi="Arial Narrow"/>
          <w:sz w:val="28"/>
          <w:szCs w:val="28"/>
        </w:rPr>
        <w:t xml:space="preserve">demandante </w:t>
      </w:r>
      <w:r w:rsidR="00681835">
        <w:rPr>
          <w:rFonts w:ascii="Arial Narrow" w:hAnsi="Arial Narrow"/>
          <w:sz w:val="28"/>
          <w:szCs w:val="28"/>
        </w:rPr>
        <w:t>hace 18 o 20 años</w:t>
      </w:r>
      <w:r w:rsidR="006B6F0C">
        <w:rPr>
          <w:rFonts w:ascii="Arial Narrow" w:hAnsi="Arial Narrow"/>
          <w:sz w:val="28"/>
          <w:szCs w:val="28"/>
        </w:rPr>
        <w:t xml:space="preserve">; que </w:t>
      </w:r>
      <w:r w:rsidR="006C0EEF">
        <w:rPr>
          <w:rFonts w:ascii="Arial Narrow" w:hAnsi="Arial Narrow"/>
          <w:sz w:val="28"/>
          <w:szCs w:val="28"/>
        </w:rPr>
        <w:t xml:space="preserve">ella </w:t>
      </w:r>
      <w:r w:rsidR="006B6F0C">
        <w:rPr>
          <w:rFonts w:ascii="Arial Narrow" w:hAnsi="Arial Narrow"/>
          <w:sz w:val="28"/>
          <w:szCs w:val="28"/>
        </w:rPr>
        <w:t xml:space="preserve">y el causante tuvieron </w:t>
      </w:r>
      <w:r w:rsidR="00EA5443">
        <w:rPr>
          <w:rFonts w:ascii="Arial Narrow" w:hAnsi="Arial Narrow"/>
          <w:sz w:val="28"/>
          <w:szCs w:val="28"/>
        </w:rPr>
        <w:t>variedad de residencias, la primera,</w:t>
      </w:r>
      <w:r w:rsidR="00F13EA6">
        <w:rPr>
          <w:rFonts w:ascii="Arial Narrow" w:hAnsi="Arial Narrow"/>
          <w:sz w:val="28"/>
          <w:szCs w:val="28"/>
        </w:rPr>
        <w:t xml:space="preserve"> en</w:t>
      </w:r>
      <w:r w:rsidR="00566744">
        <w:rPr>
          <w:rFonts w:ascii="Arial Narrow" w:hAnsi="Arial Narrow"/>
          <w:sz w:val="28"/>
          <w:szCs w:val="28"/>
        </w:rPr>
        <w:t xml:space="preserve"> </w:t>
      </w:r>
      <w:r w:rsidR="006C0EEF">
        <w:rPr>
          <w:rFonts w:ascii="Arial Narrow" w:hAnsi="Arial Narrow"/>
          <w:sz w:val="28"/>
          <w:szCs w:val="28"/>
        </w:rPr>
        <w:t xml:space="preserve">la Octava Brigada; </w:t>
      </w:r>
      <w:r w:rsidR="00F13EA6">
        <w:rPr>
          <w:rFonts w:ascii="Arial Narrow" w:hAnsi="Arial Narrow"/>
          <w:sz w:val="28"/>
          <w:szCs w:val="28"/>
        </w:rPr>
        <w:t xml:space="preserve">luego en </w:t>
      </w:r>
      <w:r w:rsidR="00EA5443">
        <w:rPr>
          <w:rFonts w:ascii="Arial Narrow" w:hAnsi="Arial Narrow"/>
          <w:sz w:val="28"/>
          <w:szCs w:val="28"/>
        </w:rPr>
        <w:t xml:space="preserve">otra </w:t>
      </w:r>
      <w:r w:rsidR="000B6FAD">
        <w:rPr>
          <w:rFonts w:ascii="Arial Narrow" w:hAnsi="Arial Narrow"/>
          <w:sz w:val="28"/>
          <w:szCs w:val="28"/>
        </w:rPr>
        <w:t xml:space="preserve">más arriba </w:t>
      </w:r>
      <w:r w:rsidR="00EA5443">
        <w:rPr>
          <w:rFonts w:ascii="Arial Narrow" w:hAnsi="Arial Narrow"/>
          <w:sz w:val="28"/>
          <w:szCs w:val="28"/>
        </w:rPr>
        <w:t xml:space="preserve">que no recuerda, y por </w:t>
      </w:r>
      <w:r w:rsidR="00F13EA6">
        <w:rPr>
          <w:rFonts w:ascii="Arial Narrow" w:hAnsi="Arial Narrow"/>
          <w:sz w:val="28"/>
          <w:szCs w:val="28"/>
        </w:rPr>
        <w:t xml:space="preserve">último, en </w:t>
      </w:r>
      <w:r w:rsidR="00EA5443">
        <w:rPr>
          <w:rFonts w:ascii="Arial Narrow" w:hAnsi="Arial Narrow"/>
          <w:sz w:val="28"/>
          <w:szCs w:val="28"/>
        </w:rPr>
        <w:t>la Urbanización el Edén</w:t>
      </w:r>
      <w:r w:rsidR="006C0EEF">
        <w:rPr>
          <w:rFonts w:ascii="Arial Narrow" w:hAnsi="Arial Narrow"/>
          <w:sz w:val="28"/>
          <w:szCs w:val="28"/>
        </w:rPr>
        <w:t>. Dicha afirmación, se contrapone a</w:t>
      </w:r>
      <w:r w:rsidR="003F7006">
        <w:rPr>
          <w:rFonts w:ascii="Arial Narrow" w:hAnsi="Arial Narrow"/>
          <w:sz w:val="28"/>
          <w:szCs w:val="28"/>
        </w:rPr>
        <w:t xml:space="preserve"> la versión </w:t>
      </w:r>
      <w:r w:rsidR="006C0EEF">
        <w:rPr>
          <w:rFonts w:ascii="Arial Narrow" w:hAnsi="Arial Narrow"/>
          <w:sz w:val="28"/>
          <w:szCs w:val="28"/>
        </w:rPr>
        <w:t>entregad</w:t>
      </w:r>
      <w:r w:rsidR="003F7006">
        <w:rPr>
          <w:rFonts w:ascii="Arial Narrow" w:hAnsi="Arial Narrow"/>
          <w:sz w:val="28"/>
          <w:szCs w:val="28"/>
        </w:rPr>
        <w:t>a</w:t>
      </w:r>
      <w:r w:rsidR="006C0EEF">
        <w:rPr>
          <w:rFonts w:ascii="Arial Narrow" w:hAnsi="Arial Narrow"/>
          <w:sz w:val="28"/>
          <w:szCs w:val="28"/>
        </w:rPr>
        <w:t xml:space="preserve"> por su esposa, María Mercedes García Moreno, quien </w:t>
      </w:r>
      <w:r w:rsidR="003D2B58">
        <w:rPr>
          <w:rFonts w:ascii="Arial Narrow" w:hAnsi="Arial Narrow"/>
          <w:sz w:val="28"/>
          <w:szCs w:val="28"/>
        </w:rPr>
        <w:t xml:space="preserve">refirió que </w:t>
      </w:r>
      <w:r w:rsidR="000E4D11">
        <w:rPr>
          <w:rFonts w:ascii="Arial Narrow" w:hAnsi="Arial Narrow"/>
          <w:sz w:val="28"/>
          <w:szCs w:val="28"/>
        </w:rPr>
        <w:t xml:space="preserve">durante ese mismo lapso, </w:t>
      </w:r>
      <w:r w:rsidR="003D2B58">
        <w:rPr>
          <w:rFonts w:ascii="Arial Narrow" w:hAnsi="Arial Narrow"/>
          <w:sz w:val="28"/>
          <w:szCs w:val="28"/>
        </w:rPr>
        <w:t xml:space="preserve">la </w:t>
      </w:r>
      <w:r w:rsidR="003D2B58">
        <w:rPr>
          <w:rFonts w:ascii="Arial Narrow" w:hAnsi="Arial Narrow"/>
          <w:sz w:val="28"/>
          <w:szCs w:val="28"/>
        </w:rPr>
        <w:lastRenderedPageBreak/>
        <w:t xml:space="preserve">pareja siempre </w:t>
      </w:r>
      <w:r w:rsidR="006C0EEF">
        <w:rPr>
          <w:rFonts w:ascii="Arial Narrow" w:hAnsi="Arial Narrow"/>
          <w:sz w:val="28"/>
          <w:szCs w:val="28"/>
        </w:rPr>
        <w:t xml:space="preserve">tuvo </w:t>
      </w:r>
      <w:r w:rsidR="005A782A">
        <w:rPr>
          <w:rFonts w:ascii="Arial Narrow" w:hAnsi="Arial Narrow"/>
          <w:sz w:val="28"/>
          <w:szCs w:val="28"/>
        </w:rPr>
        <w:t xml:space="preserve">un solo </w:t>
      </w:r>
      <w:r w:rsidR="003D2B58">
        <w:rPr>
          <w:rFonts w:ascii="Arial Narrow" w:hAnsi="Arial Narrow"/>
          <w:sz w:val="28"/>
          <w:szCs w:val="28"/>
        </w:rPr>
        <w:t xml:space="preserve">lugar de domicilio, y </w:t>
      </w:r>
      <w:r w:rsidR="006C0EEF">
        <w:rPr>
          <w:rFonts w:ascii="Arial Narrow" w:hAnsi="Arial Narrow"/>
          <w:sz w:val="28"/>
          <w:szCs w:val="28"/>
        </w:rPr>
        <w:t xml:space="preserve">que en compañía de su esposo, los visitó </w:t>
      </w:r>
      <w:r w:rsidR="00291DE1">
        <w:rPr>
          <w:rFonts w:ascii="Arial Narrow" w:hAnsi="Arial Narrow"/>
          <w:sz w:val="28"/>
          <w:szCs w:val="28"/>
        </w:rPr>
        <w:t>en varias ocasiones</w:t>
      </w:r>
      <w:r w:rsidR="006C0EEF">
        <w:rPr>
          <w:rFonts w:ascii="Arial Narrow" w:hAnsi="Arial Narrow"/>
          <w:sz w:val="28"/>
          <w:szCs w:val="28"/>
        </w:rPr>
        <w:t xml:space="preserve">. </w:t>
      </w:r>
    </w:p>
    <w:p w:rsidR="00270D00" w:rsidRDefault="00270D00" w:rsidP="00270D00">
      <w:pPr>
        <w:pStyle w:val="Sinespaciado"/>
      </w:pPr>
    </w:p>
    <w:p w:rsidR="006C0EEF" w:rsidRDefault="00B332EB" w:rsidP="00681835">
      <w:pPr>
        <w:pStyle w:val="Textoindependiente32"/>
        <w:ind w:firstLine="708"/>
        <w:rPr>
          <w:rFonts w:ascii="Arial Narrow" w:hAnsi="Arial Narrow"/>
          <w:sz w:val="28"/>
          <w:szCs w:val="28"/>
        </w:rPr>
      </w:pPr>
      <w:r>
        <w:rPr>
          <w:rFonts w:ascii="Arial Narrow" w:hAnsi="Arial Narrow"/>
          <w:sz w:val="28"/>
          <w:szCs w:val="28"/>
        </w:rPr>
        <w:t>Ello contraría igualmente</w:t>
      </w:r>
      <w:r w:rsidR="00270D00">
        <w:rPr>
          <w:rFonts w:ascii="Arial Narrow" w:hAnsi="Arial Narrow"/>
          <w:sz w:val="28"/>
          <w:szCs w:val="28"/>
        </w:rPr>
        <w:t xml:space="preserve"> la versión de </w:t>
      </w:r>
      <w:r w:rsidR="00A91DCE">
        <w:rPr>
          <w:rFonts w:ascii="Arial Narrow" w:hAnsi="Arial Narrow"/>
          <w:sz w:val="28"/>
          <w:szCs w:val="28"/>
        </w:rPr>
        <w:t>Marí</w:t>
      </w:r>
      <w:r w:rsidR="00572DFF">
        <w:rPr>
          <w:rFonts w:ascii="Arial Narrow" w:hAnsi="Arial Narrow"/>
          <w:sz w:val="28"/>
          <w:szCs w:val="28"/>
        </w:rPr>
        <w:t xml:space="preserve">a Victoria Gallego </w:t>
      </w:r>
      <w:proofErr w:type="spellStart"/>
      <w:r w:rsidR="00572DFF">
        <w:rPr>
          <w:rFonts w:ascii="Arial Narrow" w:hAnsi="Arial Narrow"/>
          <w:sz w:val="28"/>
          <w:szCs w:val="28"/>
        </w:rPr>
        <w:t>Alzate</w:t>
      </w:r>
      <w:proofErr w:type="spellEnd"/>
      <w:r w:rsidR="00572DFF">
        <w:rPr>
          <w:rFonts w:ascii="Arial Narrow" w:hAnsi="Arial Narrow"/>
          <w:sz w:val="28"/>
          <w:szCs w:val="28"/>
        </w:rPr>
        <w:t xml:space="preserve">, </w:t>
      </w:r>
      <w:r w:rsidR="00270D00">
        <w:rPr>
          <w:rFonts w:ascii="Arial Narrow" w:hAnsi="Arial Narrow"/>
          <w:sz w:val="28"/>
          <w:szCs w:val="28"/>
        </w:rPr>
        <w:t>quien</w:t>
      </w:r>
      <w:r w:rsidR="00842314">
        <w:rPr>
          <w:rFonts w:ascii="Arial Narrow" w:hAnsi="Arial Narrow"/>
          <w:sz w:val="28"/>
          <w:szCs w:val="28"/>
        </w:rPr>
        <w:t xml:space="preserve"> dijo conocer a la pareja </w:t>
      </w:r>
      <w:r w:rsidR="00EA63D3">
        <w:rPr>
          <w:rFonts w:ascii="Arial Narrow" w:hAnsi="Arial Narrow"/>
          <w:sz w:val="28"/>
          <w:szCs w:val="28"/>
        </w:rPr>
        <w:t xml:space="preserve">hace 16 años, </w:t>
      </w:r>
      <w:r w:rsidR="00CD04F5">
        <w:rPr>
          <w:rFonts w:ascii="Arial Narrow" w:hAnsi="Arial Narrow"/>
          <w:sz w:val="28"/>
          <w:szCs w:val="28"/>
        </w:rPr>
        <w:t xml:space="preserve">y tener su lugar de habitación </w:t>
      </w:r>
      <w:r w:rsidR="003A5F8B">
        <w:rPr>
          <w:rFonts w:ascii="Arial Narrow" w:hAnsi="Arial Narrow"/>
          <w:sz w:val="28"/>
          <w:szCs w:val="28"/>
        </w:rPr>
        <w:t xml:space="preserve">por </w:t>
      </w:r>
      <w:r w:rsidR="00DE7E4A">
        <w:rPr>
          <w:rFonts w:ascii="Arial Narrow" w:hAnsi="Arial Narrow"/>
          <w:sz w:val="28"/>
          <w:szCs w:val="28"/>
        </w:rPr>
        <w:t xml:space="preserve">la avenida </w:t>
      </w:r>
      <w:r w:rsidR="003A5F8B">
        <w:rPr>
          <w:rFonts w:ascii="Arial Narrow" w:hAnsi="Arial Narrow"/>
          <w:sz w:val="28"/>
          <w:szCs w:val="28"/>
        </w:rPr>
        <w:t>centenario</w:t>
      </w:r>
      <w:r w:rsidR="00DE7E4A">
        <w:rPr>
          <w:rFonts w:ascii="Arial Narrow" w:hAnsi="Arial Narrow"/>
          <w:sz w:val="28"/>
          <w:szCs w:val="28"/>
        </w:rPr>
        <w:t xml:space="preserve">, </w:t>
      </w:r>
      <w:r w:rsidR="00A91DCE">
        <w:rPr>
          <w:rFonts w:ascii="Arial Narrow" w:hAnsi="Arial Narrow"/>
          <w:sz w:val="28"/>
          <w:szCs w:val="28"/>
        </w:rPr>
        <w:t>en el conjunto Alejandría, y luego</w:t>
      </w:r>
      <w:r w:rsidR="00893A54">
        <w:rPr>
          <w:rFonts w:ascii="Arial Narrow" w:hAnsi="Arial Narrow"/>
          <w:sz w:val="28"/>
          <w:szCs w:val="28"/>
        </w:rPr>
        <w:t xml:space="preserve">, </w:t>
      </w:r>
      <w:r w:rsidR="00876E35">
        <w:rPr>
          <w:rFonts w:ascii="Arial Narrow" w:hAnsi="Arial Narrow"/>
          <w:sz w:val="28"/>
          <w:szCs w:val="28"/>
        </w:rPr>
        <w:t>por la salida de Armenia</w:t>
      </w:r>
      <w:r w:rsidR="004E3624">
        <w:rPr>
          <w:rFonts w:ascii="Arial Narrow" w:hAnsi="Arial Narrow"/>
          <w:sz w:val="28"/>
          <w:szCs w:val="28"/>
        </w:rPr>
        <w:t xml:space="preserve">; </w:t>
      </w:r>
      <w:r w:rsidR="005A782A">
        <w:rPr>
          <w:rFonts w:ascii="Arial Narrow" w:hAnsi="Arial Narrow"/>
          <w:sz w:val="28"/>
          <w:szCs w:val="28"/>
        </w:rPr>
        <w:t xml:space="preserve">en tanto que, </w:t>
      </w:r>
      <w:r w:rsidR="00876E35">
        <w:rPr>
          <w:rFonts w:ascii="Arial Narrow" w:hAnsi="Arial Narrow"/>
          <w:sz w:val="28"/>
          <w:szCs w:val="28"/>
        </w:rPr>
        <w:t xml:space="preserve">el declarante </w:t>
      </w:r>
      <w:r w:rsidR="00510958" w:rsidRPr="0089745F">
        <w:rPr>
          <w:rFonts w:ascii="Arial Narrow" w:hAnsi="Arial Narrow"/>
          <w:sz w:val="28"/>
          <w:szCs w:val="28"/>
        </w:rPr>
        <w:t xml:space="preserve">Cesar Augusto Ramírez Vallejo, </w:t>
      </w:r>
      <w:r w:rsidR="00DA2601" w:rsidRPr="0089745F">
        <w:rPr>
          <w:rFonts w:ascii="Arial Narrow" w:hAnsi="Arial Narrow"/>
          <w:sz w:val="28"/>
          <w:szCs w:val="28"/>
        </w:rPr>
        <w:t>apuntó</w:t>
      </w:r>
      <w:r w:rsidR="00510958" w:rsidRPr="0089745F">
        <w:rPr>
          <w:rFonts w:ascii="Arial Narrow" w:hAnsi="Arial Narrow"/>
          <w:sz w:val="28"/>
          <w:szCs w:val="28"/>
        </w:rPr>
        <w:t xml:space="preserve"> que </w:t>
      </w:r>
      <w:r w:rsidR="00842314">
        <w:rPr>
          <w:rFonts w:ascii="Arial Narrow" w:hAnsi="Arial Narrow"/>
          <w:sz w:val="28"/>
          <w:szCs w:val="28"/>
          <w:lang w:val="es-CO"/>
        </w:rPr>
        <w:t xml:space="preserve">vivían </w:t>
      </w:r>
      <w:r w:rsidR="00510958" w:rsidRPr="0089745F">
        <w:rPr>
          <w:rFonts w:ascii="Arial Narrow" w:hAnsi="Arial Narrow"/>
          <w:sz w:val="28"/>
          <w:szCs w:val="28"/>
          <w:lang w:val="es-CO"/>
        </w:rPr>
        <w:t xml:space="preserve">en un </w:t>
      </w:r>
      <w:r w:rsidR="005A782A" w:rsidRPr="0089745F">
        <w:rPr>
          <w:rFonts w:ascii="Arial Narrow" w:hAnsi="Arial Narrow"/>
          <w:sz w:val="28"/>
          <w:szCs w:val="28"/>
          <w:lang w:val="es-CO"/>
        </w:rPr>
        <w:t>condomin</w:t>
      </w:r>
      <w:r w:rsidR="005A782A">
        <w:rPr>
          <w:rFonts w:ascii="Arial Narrow" w:hAnsi="Arial Narrow"/>
          <w:sz w:val="28"/>
          <w:szCs w:val="28"/>
          <w:lang w:val="es-CO"/>
        </w:rPr>
        <w:t>i</w:t>
      </w:r>
      <w:r w:rsidR="005A782A" w:rsidRPr="0089745F">
        <w:rPr>
          <w:rFonts w:ascii="Arial Narrow" w:hAnsi="Arial Narrow"/>
          <w:sz w:val="28"/>
          <w:szCs w:val="28"/>
          <w:lang w:val="es-CO"/>
        </w:rPr>
        <w:t>o</w:t>
      </w:r>
      <w:r w:rsidR="00510958" w:rsidRPr="0089745F">
        <w:rPr>
          <w:rFonts w:ascii="Arial Narrow" w:hAnsi="Arial Narrow"/>
          <w:sz w:val="28"/>
          <w:szCs w:val="28"/>
          <w:lang w:val="es-CO"/>
        </w:rPr>
        <w:t xml:space="preserve">, </w:t>
      </w:r>
      <w:r w:rsidR="00B2358F">
        <w:rPr>
          <w:rFonts w:ascii="Arial Narrow" w:hAnsi="Arial Narrow"/>
          <w:sz w:val="28"/>
          <w:szCs w:val="28"/>
          <w:lang w:val="es-CO"/>
        </w:rPr>
        <w:t xml:space="preserve">yendo hacia </w:t>
      </w:r>
      <w:r w:rsidR="00EC0AF5">
        <w:rPr>
          <w:rFonts w:ascii="Arial Narrow" w:hAnsi="Arial Narrow"/>
          <w:sz w:val="28"/>
          <w:szCs w:val="28"/>
          <w:lang w:val="es-CO"/>
        </w:rPr>
        <w:t>Circasia</w:t>
      </w:r>
      <w:r w:rsidR="00DA2601">
        <w:rPr>
          <w:rFonts w:ascii="Arial Narrow" w:hAnsi="Arial Narrow"/>
          <w:sz w:val="28"/>
          <w:szCs w:val="28"/>
          <w:lang w:val="es-CO"/>
        </w:rPr>
        <w:t xml:space="preserve">, </w:t>
      </w:r>
      <w:r w:rsidR="00DA2601" w:rsidRPr="0089745F">
        <w:rPr>
          <w:rFonts w:ascii="Arial Narrow" w:hAnsi="Arial Narrow"/>
          <w:sz w:val="28"/>
          <w:szCs w:val="28"/>
          <w:lang w:val="es-CO"/>
        </w:rPr>
        <w:t>muy cerca a Quimbaya</w:t>
      </w:r>
      <w:r w:rsidR="00DA2601">
        <w:rPr>
          <w:rFonts w:ascii="Arial Narrow" w:hAnsi="Arial Narrow"/>
          <w:sz w:val="28"/>
          <w:szCs w:val="28"/>
          <w:lang w:val="es-CO"/>
        </w:rPr>
        <w:t>.</w:t>
      </w:r>
    </w:p>
    <w:p w:rsidR="00572DFF" w:rsidRDefault="00572DFF" w:rsidP="00572DFF">
      <w:pPr>
        <w:pStyle w:val="Sinespaciado"/>
      </w:pPr>
    </w:p>
    <w:p w:rsidR="00105E07" w:rsidRDefault="00790A75" w:rsidP="00DC44F0">
      <w:pPr>
        <w:pStyle w:val="Textoindependiente32"/>
        <w:ind w:firstLine="708"/>
        <w:rPr>
          <w:rFonts w:ascii="Arial Narrow" w:hAnsi="Arial Narrow"/>
          <w:color w:val="000000"/>
          <w:sz w:val="28"/>
          <w:szCs w:val="28"/>
        </w:rPr>
      </w:pPr>
      <w:r>
        <w:rPr>
          <w:rFonts w:ascii="Arial Narrow" w:hAnsi="Arial Narrow"/>
          <w:sz w:val="28"/>
          <w:szCs w:val="28"/>
        </w:rPr>
        <w:t xml:space="preserve"> </w:t>
      </w:r>
      <w:r w:rsidR="0005686B">
        <w:rPr>
          <w:rFonts w:ascii="Arial Narrow" w:hAnsi="Arial Narrow"/>
          <w:sz w:val="28"/>
          <w:szCs w:val="28"/>
        </w:rPr>
        <w:t>Adicionalmente</w:t>
      </w:r>
      <w:r w:rsidR="0005686B" w:rsidRPr="007D22E4">
        <w:rPr>
          <w:rFonts w:ascii="Arial Narrow" w:hAnsi="Arial Narrow"/>
          <w:sz w:val="28"/>
          <w:szCs w:val="28"/>
        </w:rPr>
        <w:t>, no convence</w:t>
      </w:r>
      <w:r w:rsidR="0005686B">
        <w:rPr>
          <w:rFonts w:ascii="Arial Narrow" w:hAnsi="Arial Narrow"/>
          <w:sz w:val="28"/>
          <w:szCs w:val="28"/>
        </w:rPr>
        <w:t xml:space="preserve">n las respuestas dadas por </w:t>
      </w:r>
      <w:r w:rsidR="00572DFF">
        <w:rPr>
          <w:rFonts w:ascii="Arial Narrow" w:hAnsi="Arial Narrow"/>
          <w:sz w:val="28"/>
          <w:szCs w:val="28"/>
        </w:rPr>
        <w:t>los declarantes</w:t>
      </w:r>
      <w:r w:rsidR="0089745F">
        <w:rPr>
          <w:rFonts w:ascii="Arial Narrow" w:hAnsi="Arial Narrow"/>
          <w:sz w:val="28"/>
          <w:szCs w:val="28"/>
        </w:rPr>
        <w:t xml:space="preserve"> Bernardo Ramírez Monsalve</w:t>
      </w:r>
      <w:r w:rsidR="0005686B">
        <w:rPr>
          <w:rFonts w:ascii="Arial Narrow" w:hAnsi="Arial Narrow"/>
          <w:sz w:val="28"/>
          <w:szCs w:val="28"/>
        </w:rPr>
        <w:t xml:space="preserve"> </w:t>
      </w:r>
      <w:r w:rsidR="0089745F">
        <w:rPr>
          <w:rFonts w:ascii="Arial Narrow" w:hAnsi="Arial Narrow"/>
          <w:sz w:val="28"/>
          <w:szCs w:val="28"/>
        </w:rPr>
        <w:t>y María Mercedes García Moreno</w:t>
      </w:r>
      <w:r w:rsidR="0089745F" w:rsidRPr="007D22E4">
        <w:rPr>
          <w:rFonts w:ascii="Arial Narrow" w:hAnsi="Arial Narrow"/>
          <w:sz w:val="28"/>
          <w:szCs w:val="28"/>
        </w:rPr>
        <w:t xml:space="preserve"> </w:t>
      </w:r>
      <w:r w:rsidR="0005686B" w:rsidRPr="007D22E4">
        <w:rPr>
          <w:rFonts w:ascii="Arial Narrow" w:hAnsi="Arial Narrow"/>
          <w:sz w:val="28"/>
          <w:szCs w:val="28"/>
        </w:rPr>
        <w:t xml:space="preserve">cuando al </w:t>
      </w:r>
      <w:r w:rsidR="0005686B" w:rsidRPr="00BB18F6">
        <w:rPr>
          <w:rFonts w:ascii="Arial Narrow" w:hAnsi="Arial Narrow"/>
          <w:sz w:val="28"/>
          <w:szCs w:val="28"/>
        </w:rPr>
        <w:t>inquirírsele</w:t>
      </w:r>
      <w:r w:rsidR="00075F4A" w:rsidRPr="00BB18F6">
        <w:rPr>
          <w:rFonts w:ascii="Arial Narrow" w:hAnsi="Arial Narrow"/>
          <w:sz w:val="28"/>
          <w:szCs w:val="28"/>
        </w:rPr>
        <w:t>s</w:t>
      </w:r>
      <w:r w:rsidR="0005686B" w:rsidRPr="00BB18F6">
        <w:rPr>
          <w:rFonts w:ascii="Arial Narrow" w:hAnsi="Arial Narrow"/>
          <w:sz w:val="28"/>
          <w:szCs w:val="28"/>
        </w:rPr>
        <w:t xml:space="preserve"> acerca de la ciencia del conocimiento de lo afirmado, en </w:t>
      </w:r>
      <w:r w:rsidR="0005686B" w:rsidRPr="00BB18F6">
        <w:rPr>
          <w:rFonts w:ascii="Arial Narrow" w:hAnsi="Arial Narrow"/>
          <w:color w:val="000000"/>
          <w:sz w:val="28"/>
          <w:szCs w:val="28"/>
        </w:rPr>
        <w:t>especial en torno a</w:t>
      </w:r>
      <w:r w:rsidR="00B5771A" w:rsidRPr="00BB18F6">
        <w:rPr>
          <w:rFonts w:ascii="Arial Narrow" w:hAnsi="Arial Narrow"/>
          <w:color w:val="000000"/>
          <w:sz w:val="28"/>
          <w:szCs w:val="28"/>
        </w:rPr>
        <w:t xml:space="preserve"> la convivencia de la pareja, </w:t>
      </w:r>
      <w:r w:rsidR="000B2BF3" w:rsidRPr="00BB18F6">
        <w:rPr>
          <w:rFonts w:ascii="Arial Narrow" w:hAnsi="Arial Narrow"/>
          <w:color w:val="000000"/>
          <w:sz w:val="28"/>
          <w:szCs w:val="28"/>
        </w:rPr>
        <w:t xml:space="preserve">dijeron </w:t>
      </w:r>
      <w:r w:rsidR="00B5771A" w:rsidRPr="00BB18F6">
        <w:rPr>
          <w:rFonts w:ascii="Arial Narrow" w:hAnsi="Arial Narrow"/>
          <w:color w:val="000000"/>
          <w:sz w:val="28"/>
          <w:szCs w:val="28"/>
        </w:rPr>
        <w:t>que</w:t>
      </w:r>
      <w:r w:rsidR="00690F34">
        <w:rPr>
          <w:rFonts w:ascii="Arial Narrow" w:hAnsi="Arial Narrow"/>
          <w:color w:val="000000"/>
          <w:sz w:val="28"/>
          <w:szCs w:val="28"/>
        </w:rPr>
        <w:t xml:space="preserve"> </w:t>
      </w:r>
      <w:r w:rsidR="00F65334">
        <w:rPr>
          <w:rFonts w:ascii="Arial Narrow" w:hAnsi="Arial Narrow"/>
          <w:color w:val="000000"/>
          <w:sz w:val="28"/>
          <w:szCs w:val="28"/>
        </w:rPr>
        <w:t xml:space="preserve">porque </w:t>
      </w:r>
      <w:r w:rsidR="002C69F2">
        <w:rPr>
          <w:rFonts w:ascii="Arial Narrow" w:hAnsi="Arial Narrow"/>
          <w:color w:val="000000"/>
          <w:sz w:val="28"/>
          <w:szCs w:val="28"/>
        </w:rPr>
        <w:t xml:space="preserve">eran amigos de la pareja y </w:t>
      </w:r>
      <w:r w:rsidR="00F34EBE">
        <w:rPr>
          <w:rFonts w:ascii="Arial Narrow" w:hAnsi="Arial Narrow"/>
          <w:color w:val="000000"/>
          <w:sz w:val="28"/>
          <w:szCs w:val="28"/>
        </w:rPr>
        <w:t xml:space="preserve">que </w:t>
      </w:r>
      <w:r w:rsidR="00F65334">
        <w:rPr>
          <w:rFonts w:ascii="Arial Narrow" w:hAnsi="Arial Narrow"/>
          <w:color w:val="000000"/>
          <w:sz w:val="28"/>
          <w:szCs w:val="28"/>
        </w:rPr>
        <w:t>en las s</w:t>
      </w:r>
      <w:r>
        <w:rPr>
          <w:rFonts w:ascii="Arial Narrow" w:hAnsi="Arial Narrow"/>
          <w:color w:val="000000"/>
          <w:sz w:val="28"/>
          <w:szCs w:val="28"/>
        </w:rPr>
        <w:t xml:space="preserve">alidas a montar </w:t>
      </w:r>
      <w:r w:rsidR="00F34EBE">
        <w:rPr>
          <w:rFonts w:ascii="Arial Narrow" w:hAnsi="Arial Narrow"/>
          <w:color w:val="000000"/>
          <w:sz w:val="28"/>
          <w:szCs w:val="28"/>
        </w:rPr>
        <w:t xml:space="preserve">cada ocho días </w:t>
      </w:r>
      <w:r w:rsidR="00F65334">
        <w:rPr>
          <w:rFonts w:ascii="Arial Narrow" w:hAnsi="Arial Narrow"/>
          <w:color w:val="000000"/>
          <w:sz w:val="28"/>
          <w:szCs w:val="28"/>
        </w:rPr>
        <w:t>se contaban todo</w:t>
      </w:r>
      <w:r w:rsidR="00105E07" w:rsidRPr="00BB18F6">
        <w:rPr>
          <w:rFonts w:ascii="Arial Narrow" w:hAnsi="Arial Narrow"/>
          <w:color w:val="000000"/>
          <w:sz w:val="28"/>
          <w:szCs w:val="28"/>
        </w:rPr>
        <w:t xml:space="preserve">, </w:t>
      </w:r>
      <w:r w:rsidR="00F61EBF">
        <w:rPr>
          <w:rFonts w:ascii="Arial Narrow" w:hAnsi="Arial Narrow"/>
          <w:color w:val="000000"/>
          <w:sz w:val="28"/>
          <w:szCs w:val="28"/>
        </w:rPr>
        <w:t xml:space="preserve">sin embargo, </w:t>
      </w:r>
      <w:r w:rsidR="00450580">
        <w:rPr>
          <w:rFonts w:ascii="Arial Narrow" w:hAnsi="Arial Narrow"/>
          <w:color w:val="000000"/>
          <w:sz w:val="28"/>
          <w:szCs w:val="28"/>
        </w:rPr>
        <w:t xml:space="preserve">inexplicablemente no tuvieron conocimiento de </w:t>
      </w:r>
      <w:r w:rsidR="004141F6">
        <w:rPr>
          <w:rFonts w:ascii="Arial Narrow" w:hAnsi="Arial Narrow"/>
          <w:color w:val="000000"/>
          <w:sz w:val="28"/>
          <w:szCs w:val="28"/>
        </w:rPr>
        <w:t xml:space="preserve">aspectos </w:t>
      </w:r>
      <w:r w:rsidR="002C69F2">
        <w:rPr>
          <w:rFonts w:ascii="Arial Narrow" w:hAnsi="Arial Narrow"/>
          <w:color w:val="000000"/>
          <w:sz w:val="28"/>
          <w:szCs w:val="28"/>
        </w:rPr>
        <w:t>tan importantes, como</w:t>
      </w:r>
      <w:r w:rsidR="006F5C4B">
        <w:rPr>
          <w:rFonts w:ascii="Arial Narrow" w:hAnsi="Arial Narrow"/>
          <w:color w:val="000000"/>
          <w:sz w:val="28"/>
          <w:szCs w:val="28"/>
        </w:rPr>
        <w:t xml:space="preserve"> </w:t>
      </w:r>
      <w:r w:rsidR="00CD16BF">
        <w:rPr>
          <w:rFonts w:ascii="Arial Narrow" w:hAnsi="Arial Narrow"/>
          <w:color w:val="000000"/>
          <w:sz w:val="28"/>
          <w:szCs w:val="28"/>
        </w:rPr>
        <w:t>la cesación de efectos civiles del matrimonio</w:t>
      </w:r>
      <w:r w:rsidR="0034015C">
        <w:rPr>
          <w:rFonts w:ascii="Arial Narrow" w:hAnsi="Arial Narrow"/>
          <w:color w:val="000000"/>
          <w:sz w:val="28"/>
          <w:szCs w:val="28"/>
        </w:rPr>
        <w:t>,</w:t>
      </w:r>
      <w:r w:rsidR="000B6FAD">
        <w:rPr>
          <w:rFonts w:ascii="Arial Narrow" w:hAnsi="Arial Narrow"/>
          <w:color w:val="000000"/>
          <w:sz w:val="28"/>
          <w:szCs w:val="28"/>
        </w:rPr>
        <w:t xml:space="preserve"> </w:t>
      </w:r>
      <w:r w:rsidR="003A5F8B">
        <w:rPr>
          <w:rFonts w:ascii="Arial Narrow" w:hAnsi="Arial Narrow"/>
          <w:color w:val="000000"/>
          <w:sz w:val="28"/>
          <w:szCs w:val="28"/>
        </w:rPr>
        <w:t xml:space="preserve">de </w:t>
      </w:r>
      <w:r w:rsidR="000B6FAD">
        <w:rPr>
          <w:rFonts w:ascii="Arial Narrow" w:hAnsi="Arial Narrow"/>
          <w:color w:val="000000"/>
          <w:sz w:val="28"/>
          <w:szCs w:val="28"/>
        </w:rPr>
        <w:t>si la demandante hizo viajes a los Estados Unidos antes del deceso del causante, o la f</w:t>
      </w:r>
      <w:r w:rsidR="00105E07" w:rsidRPr="00BB18F6">
        <w:rPr>
          <w:rFonts w:ascii="Arial Narrow" w:hAnsi="Arial Narrow"/>
          <w:color w:val="000000"/>
          <w:sz w:val="28"/>
          <w:szCs w:val="28"/>
        </w:rPr>
        <w:t xml:space="preserve">orma </w:t>
      </w:r>
      <w:r w:rsidR="00602FE6">
        <w:rPr>
          <w:rFonts w:ascii="Arial Narrow" w:hAnsi="Arial Narrow"/>
          <w:color w:val="000000"/>
          <w:sz w:val="28"/>
          <w:szCs w:val="28"/>
        </w:rPr>
        <w:t>como se proveía</w:t>
      </w:r>
      <w:r w:rsidR="000B6FAD">
        <w:rPr>
          <w:rFonts w:ascii="Arial Narrow" w:hAnsi="Arial Narrow"/>
          <w:color w:val="000000"/>
          <w:sz w:val="28"/>
          <w:szCs w:val="28"/>
        </w:rPr>
        <w:t xml:space="preserve"> el sustento diario la pareja</w:t>
      </w:r>
      <w:r w:rsidR="003A5F8B">
        <w:rPr>
          <w:rFonts w:ascii="Arial Narrow" w:hAnsi="Arial Narrow"/>
          <w:color w:val="000000"/>
          <w:sz w:val="28"/>
          <w:szCs w:val="28"/>
        </w:rPr>
        <w:t xml:space="preserve"> después de que la empresa constructora quebrara después del terremoto</w:t>
      </w:r>
      <w:r w:rsidR="000B6FAD">
        <w:rPr>
          <w:rFonts w:ascii="Arial Narrow" w:hAnsi="Arial Narrow"/>
          <w:color w:val="000000"/>
          <w:sz w:val="28"/>
          <w:szCs w:val="28"/>
        </w:rPr>
        <w:t>,</w:t>
      </w:r>
      <w:r w:rsidR="00602FE6">
        <w:rPr>
          <w:rFonts w:ascii="Arial Narrow" w:hAnsi="Arial Narrow"/>
          <w:color w:val="000000"/>
          <w:sz w:val="28"/>
          <w:szCs w:val="28"/>
        </w:rPr>
        <w:t xml:space="preserve"> </w:t>
      </w:r>
      <w:r w:rsidR="000B6FAD">
        <w:rPr>
          <w:rFonts w:ascii="Arial Narrow" w:hAnsi="Arial Narrow"/>
          <w:color w:val="000000"/>
          <w:sz w:val="28"/>
          <w:szCs w:val="28"/>
        </w:rPr>
        <w:t xml:space="preserve">pues </w:t>
      </w:r>
      <w:r w:rsidR="003A5F8B">
        <w:rPr>
          <w:rFonts w:ascii="Arial Narrow" w:hAnsi="Arial Narrow"/>
          <w:color w:val="000000"/>
          <w:sz w:val="28"/>
          <w:szCs w:val="28"/>
        </w:rPr>
        <w:t xml:space="preserve">solo </w:t>
      </w:r>
      <w:r w:rsidR="00E53F9A">
        <w:rPr>
          <w:rFonts w:ascii="Arial Narrow" w:hAnsi="Arial Narrow"/>
          <w:color w:val="000000"/>
          <w:sz w:val="28"/>
          <w:szCs w:val="28"/>
        </w:rPr>
        <w:t xml:space="preserve">dijeron </w:t>
      </w:r>
      <w:r w:rsidR="000B6FAD">
        <w:rPr>
          <w:rFonts w:ascii="Arial Narrow" w:hAnsi="Arial Narrow"/>
          <w:color w:val="000000"/>
          <w:sz w:val="28"/>
          <w:szCs w:val="28"/>
        </w:rPr>
        <w:t>“</w:t>
      </w:r>
      <w:r w:rsidR="00E65AA4" w:rsidRPr="00E65AA4">
        <w:rPr>
          <w:rFonts w:ascii="Arial Narrow" w:hAnsi="Arial Narrow"/>
          <w:i/>
          <w:color w:val="000000"/>
          <w:sz w:val="28"/>
          <w:szCs w:val="28"/>
        </w:rPr>
        <w:t>no sé de qué</w:t>
      </w:r>
      <w:r w:rsidR="00E65AA4">
        <w:rPr>
          <w:rFonts w:ascii="Arial Narrow" w:hAnsi="Arial Narrow"/>
          <w:color w:val="000000"/>
          <w:sz w:val="28"/>
          <w:szCs w:val="28"/>
        </w:rPr>
        <w:t xml:space="preserve"> </w:t>
      </w:r>
      <w:r w:rsidR="00E65AA4" w:rsidRPr="003A5F8B">
        <w:rPr>
          <w:rFonts w:ascii="Arial Narrow" w:hAnsi="Arial Narrow"/>
          <w:i/>
          <w:color w:val="000000"/>
          <w:sz w:val="28"/>
          <w:szCs w:val="28"/>
        </w:rPr>
        <w:t>vivían,</w:t>
      </w:r>
      <w:r w:rsidR="00E65AA4">
        <w:rPr>
          <w:rFonts w:ascii="Arial Narrow" w:hAnsi="Arial Narrow"/>
          <w:color w:val="000000"/>
          <w:sz w:val="28"/>
          <w:szCs w:val="28"/>
        </w:rPr>
        <w:t xml:space="preserve"> </w:t>
      </w:r>
      <w:r w:rsidR="000B6FAD" w:rsidRPr="000B6FAD">
        <w:rPr>
          <w:rFonts w:ascii="Arial Narrow" w:hAnsi="Arial Narrow"/>
          <w:i/>
          <w:color w:val="000000"/>
          <w:sz w:val="28"/>
          <w:szCs w:val="28"/>
        </w:rPr>
        <w:t>se sostenían ahí</w:t>
      </w:r>
      <w:r w:rsidR="000B6FAD">
        <w:rPr>
          <w:rFonts w:ascii="Arial Narrow" w:hAnsi="Arial Narrow"/>
          <w:color w:val="000000"/>
          <w:sz w:val="28"/>
          <w:szCs w:val="28"/>
        </w:rPr>
        <w:t>”</w:t>
      </w:r>
      <w:r w:rsidR="00E53F9A">
        <w:rPr>
          <w:rFonts w:ascii="Arial Narrow" w:hAnsi="Arial Narrow"/>
          <w:color w:val="000000"/>
          <w:sz w:val="28"/>
          <w:szCs w:val="28"/>
        </w:rPr>
        <w:t>.</w:t>
      </w:r>
    </w:p>
    <w:p w:rsidR="005829C3" w:rsidRPr="003D4773" w:rsidRDefault="005829C3" w:rsidP="003D4773">
      <w:pPr>
        <w:pStyle w:val="Sinespaciado"/>
        <w:rPr>
          <w:szCs w:val="28"/>
        </w:rPr>
      </w:pPr>
    </w:p>
    <w:p w:rsidR="00EC0AF5" w:rsidRDefault="005829C3" w:rsidP="001256E8">
      <w:pPr>
        <w:pStyle w:val="Textoindependiente32"/>
        <w:ind w:firstLine="708"/>
        <w:rPr>
          <w:rFonts w:ascii="Arial Narrow" w:hAnsi="Arial Narrow"/>
          <w:sz w:val="28"/>
          <w:szCs w:val="28"/>
        </w:rPr>
      </w:pPr>
      <w:r>
        <w:rPr>
          <w:rFonts w:ascii="Arial Narrow" w:hAnsi="Arial Narrow"/>
          <w:sz w:val="28"/>
          <w:szCs w:val="28"/>
        </w:rPr>
        <w:t>Se presenta</w:t>
      </w:r>
      <w:r w:rsidR="00F34EBE">
        <w:rPr>
          <w:rFonts w:ascii="Arial Narrow" w:hAnsi="Arial Narrow"/>
          <w:sz w:val="28"/>
          <w:szCs w:val="28"/>
        </w:rPr>
        <w:t xml:space="preserve"> igualmente </w:t>
      </w:r>
      <w:r>
        <w:rPr>
          <w:rFonts w:ascii="Arial Narrow" w:hAnsi="Arial Narrow"/>
          <w:sz w:val="28"/>
          <w:szCs w:val="28"/>
        </w:rPr>
        <w:t xml:space="preserve">disparidad </w:t>
      </w:r>
      <w:r w:rsidR="00F34EBE">
        <w:rPr>
          <w:rFonts w:ascii="Arial Narrow" w:hAnsi="Arial Narrow"/>
          <w:sz w:val="28"/>
          <w:szCs w:val="28"/>
        </w:rPr>
        <w:t>de versiones</w:t>
      </w:r>
      <w:r>
        <w:rPr>
          <w:rFonts w:ascii="Arial Narrow" w:hAnsi="Arial Narrow"/>
          <w:sz w:val="28"/>
          <w:szCs w:val="28"/>
        </w:rPr>
        <w:t xml:space="preserve"> en torno a la fecha en que la salud del causante empezó a deterior</w:t>
      </w:r>
      <w:r w:rsidR="00533ABA">
        <w:rPr>
          <w:rFonts w:ascii="Arial Narrow" w:hAnsi="Arial Narrow"/>
          <w:sz w:val="28"/>
          <w:szCs w:val="28"/>
        </w:rPr>
        <w:t>arse</w:t>
      </w:r>
      <w:r w:rsidR="00F34EBE">
        <w:rPr>
          <w:rFonts w:ascii="Arial Narrow" w:hAnsi="Arial Narrow"/>
          <w:sz w:val="28"/>
          <w:szCs w:val="28"/>
        </w:rPr>
        <w:t xml:space="preserve"> </w:t>
      </w:r>
      <w:r w:rsidR="000C0305">
        <w:rPr>
          <w:rFonts w:ascii="Arial Narrow" w:hAnsi="Arial Narrow"/>
          <w:sz w:val="28"/>
          <w:szCs w:val="28"/>
        </w:rPr>
        <w:t>considerablemente</w:t>
      </w:r>
      <w:r>
        <w:rPr>
          <w:rFonts w:ascii="Arial Narrow" w:hAnsi="Arial Narrow"/>
          <w:sz w:val="28"/>
          <w:szCs w:val="28"/>
        </w:rPr>
        <w:t xml:space="preserve"> en razón de la enfermedad, pues García Moreno, indicó que </w:t>
      </w:r>
      <w:r w:rsidR="002E1C36">
        <w:rPr>
          <w:rFonts w:ascii="Arial Narrow" w:hAnsi="Arial Narrow"/>
          <w:sz w:val="28"/>
          <w:szCs w:val="28"/>
        </w:rPr>
        <w:t xml:space="preserve">fue </w:t>
      </w:r>
      <w:r>
        <w:rPr>
          <w:rFonts w:ascii="Arial Narrow" w:hAnsi="Arial Narrow"/>
          <w:sz w:val="28"/>
          <w:szCs w:val="28"/>
        </w:rPr>
        <w:t>unos dos o tres años antes de la muerte</w:t>
      </w:r>
      <w:r w:rsidR="00F34EBE">
        <w:rPr>
          <w:rFonts w:ascii="Arial Narrow" w:hAnsi="Arial Narrow"/>
          <w:sz w:val="28"/>
          <w:szCs w:val="28"/>
        </w:rPr>
        <w:t>; en</w:t>
      </w:r>
      <w:r>
        <w:rPr>
          <w:rFonts w:ascii="Arial Narrow" w:hAnsi="Arial Narrow"/>
          <w:sz w:val="28"/>
          <w:szCs w:val="28"/>
        </w:rPr>
        <w:t xml:space="preserve"> contraposición, Ramírez Monsalve dijo que </w:t>
      </w:r>
      <w:r w:rsidR="002E1C36">
        <w:rPr>
          <w:rFonts w:ascii="Arial Narrow" w:hAnsi="Arial Narrow"/>
          <w:sz w:val="28"/>
          <w:szCs w:val="28"/>
        </w:rPr>
        <w:t xml:space="preserve">ello </w:t>
      </w:r>
      <w:r>
        <w:rPr>
          <w:rFonts w:ascii="Arial Narrow" w:hAnsi="Arial Narrow"/>
          <w:sz w:val="28"/>
          <w:szCs w:val="28"/>
        </w:rPr>
        <w:t>había ocurrido sólo seis meses antes del deceso</w:t>
      </w:r>
      <w:r w:rsidR="002E1C36">
        <w:rPr>
          <w:rFonts w:ascii="Arial Narrow" w:hAnsi="Arial Narrow"/>
          <w:sz w:val="28"/>
          <w:szCs w:val="28"/>
        </w:rPr>
        <w:t xml:space="preserve">; </w:t>
      </w:r>
      <w:r>
        <w:rPr>
          <w:rFonts w:ascii="Arial Narrow" w:hAnsi="Arial Narrow"/>
          <w:sz w:val="28"/>
          <w:szCs w:val="28"/>
        </w:rPr>
        <w:t>mientras</w:t>
      </w:r>
      <w:r w:rsidR="001256E8">
        <w:rPr>
          <w:rFonts w:ascii="Arial Narrow" w:hAnsi="Arial Narrow"/>
          <w:sz w:val="28"/>
          <w:szCs w:val="28"/>
        </w:rPr>
        <w:t xml:space="preserve"> </w:t>
      </w:r>
      <w:r w:rsidR="0034015C">
        <w:rPr>
          <w:rFonts w:ascii="Arial Narrow" w:hAnsi="Arial Narrow"/>
          <w:sz w:val="28"/>
          <w:szCs w:val="28"/>
        </w:rPr>
        <w:t>que</w:t>
      </w:r>
      <w:r w:rsidR="001256E8">
        <w:rPr>
          <w:rFonts w:ascii="Arial Narrow" w:hAnsi="Arial Narrow"/>
          <w:sz w:val="28"/>
          <w:szCs w:val="28"/>
        </w:rPr>
        <w:t xml:space="preserve"> </w:t>
      </w:r>
      <w:r>
        <w:rPr>
          <w:rFonts w:ascii="Arial Narrow" w:hAnsi="Arial Narrow"/>
          <w:sz w:val="28"/>
          <w:szCs w:val="28"/>
        </w:rPr>
        <w:t>el declarante Cesar Augusto Ramírez Vallejo,</w:t>
      </w:r>
      <w:r w:rsidR="00B27663">
        <w:rPr>
          <w:rFonts w:ascii="Arial Narrow" w:hAnsi="Arial Narrow"/>
          <w:sz w:val="28"/>
          <w:szCs w:val="28"/>
        </w:rPr>
        <w:t xml:space="preserve"> refirió q</w:t>
      </w:r>
      <w:r>
        <w:rPr>
          <w:rFonts w:ascii="Arial Narrow" w:hAnsi="Arial Narrow"/>
          <w:sz w:val="28"/>
          <w:szCs w:val="28"/>
        </w:rPr>
        <w:t>ue la enfermedad dur</w:t>
      </w:r>
      <w:r w:rsidR="001256E8">
        <w:rPr>
          <w:rFonts w:ascii="Arial Narrow" w:hAnsi="Arial Narrow"/>
          <w:sz w:val="28"/>
          <w:szCs w:val="28"/>
        </w:rPr>
        <w:t>ó un año</w:t>
      </w:r>
      <w:r w:rsidR="00F47027">
        <w:rPr>
          <w:rFonts w:ascii="Arial Narrow" w:hAnsi="Arial Narrow"/>
          <w:sz w:val="28"/>
          <w:szCs w:val="28"/>
        </w:rPr>
        <w:t xml:space="preserve">. </w:t>
      </w:r>
    </w:p>
    <w:p w:rsidR="00EC0AF5" w:rsidRDefault="00EC0AF5" w:rsidP="00EC0AF5">
      <w:pPr>
        <w:pStyle w:val="Sinespaciado"/>
      </w:pPr>
    </w:p>
    <w:p w:rsidR="00FE01C8" w:rsidRDefault="000B6FAD" w:rsidP="00DC44F0">
      <w:pPr>
        <w:pStyle w:val="Textoindependiente32"/>
        <w:ind w:firstLine="708"/>
        <w:rPr>
          <w:rFonts w:ascii="Arial Narrow" w:hAnsi="Arial Narrow"/>
          <w:sz w:val="28"/>
          <w:szCs w:val="28"/>
        </w:rPr>
      </w:pPr>
      <w:r>
        <w:rPr>
          <w:rFonts w:ascii="Arial Narrow" w:hAnsi="Arial Narrow"/>
          <w:sz w:val="28"/>
          <w:szCs w:val="28"/>
        </w:rPr>
        <w:t>E</w:t>
      </w:r>
      <w:r w:rsidR="000C0305">
        <w:rPr>
          <w:rFonts w:ascii="Arial Narrow" w:hAnsi="Arial Narrow"/>
          <w:sz w:val="28"/>
          <w:szCs w:val="28"/>
        </w:rPr>
        <w:t xml:space="preserve">ste </w:t>
      </w:r>
      <w:r w:rsidR="00AD3402">
        <w:rPr>
          <w:rFonts w:ascii="Arial Narrow" w:hAnsi="Arial Narrow"/>
          <w:sz w:val="28"/>
          <w:szCs w:val="28"/>
        </w:rPr>
        <w:t>último</w:t>
      </w:r>
      <w:r w:rsidR="000C0305">
        <w:rPr>
          <w:rFonts w:ascii="Arial Narrow" w:hAnsi="Arial Narrow"/>
          <w:sz w:val="28"/>
          <w:szCs w:val="28"/>
        </w:rPr>
        <w:t xml:space="preserve"> deponente i</w:t>
      </w:r>
      <w:r w:rsidR="00F47027">
        <w:rPr>
          <w:rFonts w:ascii="Arial Narrow" w:hAnsi="Arial Narrow"/>
          <w:sz w:val="28"/>
          <w:szCs w:val="28"/>
        </w:rPr>
        <w:t>ndicó</w:t>
      </w:r>
      <w:r w:rsidR="00EC0AF5">
        <w:rPr>
          <w:rFonts w:ascii="Arial Narrow" w:hAnsi="Arial Narrow"/>
          <w:sz w:val="28"/>
          <w:szCs w:val="28"/>
        </w:rPr>
        <w:t xml:space="preserve"> </w:t>
      </w:r>
      <w:r>
        <w:rPr>
          <w:rFonts w:ascii="Arial Narrow" w:hAnsi="Arial Narrow"/>
          <w:sz w:val="28"/>
          <w:szCs w:val="28"/>
        </w:rPr>
        <w:t xml:space="preserve">además </w:t>
      </w:r>
      <w:r w:rsidR="00F47027">
        <w:rPr>
          <w:rFonts w:ascii="Arial Narrow" w:hAnsi="Arial Narrow"/>
          <w:sz w:val="28"/>
          <w:szCs w:val="28"/>
        </w:rPr>
        <w:t xml:space="preserve">que </w:t>
      </w:r>
      <w:r w:rsidR="00EC0AF5">
        <w:rPr>
          <w:rFonts w:ascii="Arial Narrow" w:hAnsi="Arial Narrow"/>
          <w:sz w:val="28"/>
          <w:szCs w:val="28"/>
        </w:rPr>
        <w:t xml:space="preserve">al </w:t>
      </w:r>
      <w:r w:rsidR="00893A54">
        <w:rPr>
          <w:rFonts w:ascii="Arial Narrow" w:hAnsi="Arial Narrow"/>
          <w:sz w:val="28"/>
          <w:szCs w:val="28"/>
        </w:rPr>
        <w:t>causante</w:t>
      </w:r>
      <w:r w:rsidR="00EC0AF5">
        <w:rPr>
          <w:rFonts w:ascii="Arial Narrow" w:hAnsi="Arial Narrow"/>
          <w:sz w:val="28"/>
          <w:szCs w:val="28"/>
        </w:rPr>
        <w:t xml:space="preserve"> </w:t>
      </w:r>
      <w:r w:rsidR="00F47027">
        <w:rPr>
          <w:rFonts w:ascii="Arial Narrow" w:hAnsi="Arial Narrow"/>
          <w:sz w:val="28"/>
          <w:szCs w:val="28"/>
        </w:rPr>
        <w:t>l</w:t>
      </w:r>
      <w:r w:rsidR="00FC357D">
        <w:rPr>
          <w:rFonts w:ascii="Arial Narrow" w:hAnsi="Arial Narrow"/>
          <w:sz w:val="28"/>
          <w:szCs w:val="28"/>
        </w:rPr>
        <w:t>e gustaba mucho hablar del escritor Fernando Vallejo, que compartían gu</w:t>
      </w:r>
      <w:r w:rsidR="00EC0AF5">
        <w:rPr>
          <w:rFonts w:ascii="Arial Narrow" w:hAnsi="Arial Narrow"/>
          <w:sz w:val="28"/>
          <w:szCs w:val="28"/>
        </w:rPr>
        <w:t xml:space="preserve">stos por la lectura y el deporte, </w:t>
      </w:r>
      <w:r w:rsidR="000C0305">
        <w:rPr>
          <w:rFonts w:ascii="Arial Narrow" w:hAnsi="Arial Narrow"/>
          <w:sz w:val="28"/>
          <w:szCs w:val="28"/>
        </w:rPr>
        <w:t xml:space="preserve">que </w:t>
      </w:r>
      <w:r w:rsidR="00AE278C">
        <w:rPr>
          <w:rFonts w:ascii="Arial Narrow" w:hAnsi="Arial Narrow"/>
          <w:sz w:val="28"/>
          <w:szCs w:val="28"/>
        </w:rPr>
        <w:t>charlaban mucho</w:t>
      </w:r>
      <w:r w:rsidR="00893A54">
        <w:rPr>
          <w:rFonts w:ascii="Arial Narrow" w:hAnsi="Arial Narrow"/>
          <w:sz w:val="28"/>
          <w:szCs w:val="28"/>
        </w:rPr>
        <w:t xml:space="preserve"> y se contaban cosas</w:t>
      </w:r>
      <w:r w:rsidR="00AE278C">
        <w:rPr>
          <w:rFonts w:ascii="Arial Narrow" w:hAnsi="Arial Narrow"/>
          <w:sz w:val="28"/>
          <w:szCs w:val="28"/>
        </w:rPr>
        <w:t xml:space="preserve">, </w:t>
      </w:r>
      <w:r w:rsidR="00893A54">
        <w:rPr>
          <w:rFonts w:ascii="Arial Narrow" w:hAnsi="Arial Narrow"/>
          <w:sz w:val="28"/>
          <w:szCs w:val="28"/>
        </w:rPr>
        <w:t xml:space="preserve">por lo que </w:t>
      </w:r>
      <w:r w:rsidR="00EC0AF5">
        <w:rPr>
          <w:rFonts w:ascii="Arial Narrow" w:hAnsi="Arial Narrow"/>
          <w:sz w:val="28"/>
          <w:szCs w:val="28"/>
        </w:rPr>
        <w:t xml:space="preserve">aquel le </w:t>
      </w:r>
      <w:r w:rsidR="000C0305">
        <w:rPr>
          <w:rFonts w:ascii="Arial Narrow" w:hAnsi="Arial Narrow"/>
          <w:sz w:val="28"/>
          <w:szCs w:val="28"/>
        </w:rPr>
        <w:t xml:space="preserve">había comentado </w:t>
      </w:r>
      <w:r w:rsidR="00893A54">
        <w:rPr>
          <w:rFonts w:ascii="Arial Narrow" w:hAnsi="Arial Narrow"/>
          <w:sz w:val="28"/>
          <w:szCs w:val="28"/>
        </w:rPr>
        <w:t xml:space="preserve">que había estado separado por un año de </w:t>
      </w:r>
      <w:r w:rsidR="00791F4C">
        <w:rPr>
          <w:rFonts w:ascii="Arial Narrow" w:hAnsi="Arial Narrow"/>
          <w:sz w:val="28"/>
          <w:szCs w:val="28"/>
        </w:rPr>
        <w:t>la demandante, pero que después volvieron</w:t>
      </w:r>
      <w:r w:rsidR="00CC1C93">
        <w:rPr>
          <w:rFonts w:ascii="Arial Narrow" w:hAnsi="Arial Narrow"/>
          <w:sz w:val="28"/>
          <w:szCs w:val="28"/>
        </w:rPr>
        <w:t xml:space="preserve"> (situación que lo convierte en un testigo indirecto o de referencia)</w:t>
      </w:r>
      <w:r w:rsidR="00893A54">
        <w:rPr>
          <w:rFonts w:ascii="Arial Narrow" w:hAnsi="Arial Narrow"/>
          <w:sz w:val="28"/>
          <w:szCs w:val="28"/>
        </w:rPr>
        <w:t xml:space="preserve">, sin </w:t>
      </w:r>
      <w:r w:rsidR="009E19CD">
        <w:rPr>
          <w:rFonts w:ascii="Arial Narrow" w:hAnsi="Arial Narrow"/>
          <w:sz w:val="28"/>
          <w:szCs w:val="28"/>
        </w:rPr>
        <w:t>embargo, la Sala se pregunta, si era tan c</w:t>
      </w:r>
      <w:r w:rsidR="008B7CBF">
        <w:rPr>
          <w:rFonts w:ascii="Arial Narrow" w:hAnsi="Arial Narrow"/>
          <w:sz w:val="28"/>
          <w:szCs w:val="28"/>
        </w:rPr>
        <w:t>ercano al causante</w:t>
      </w:r>
      <w:r w:rsidR="009E19CD">
        <w:rPr>
          <w:rFonts w:ascii="Arial Narrow" w:hAnsi="Arial Narrow"/>
          <w:sz w:val="28"/>
          <w:szCs w:val="28"/>
        </w:rPr>
        <w:t xml:space="preserve">, </w:t>
      </w:r>
      <w:r w:rsidR="00533ABA">
        <w:rPr>
          <w:rFonts w:ascii="Arial Narrow" w:hAnsi="Arial Narrow"/>
          <w:sz w:val="28"/>
          <w:szCs w:val="28"/>
        </w:rPr>
        <w:t>por qué</w:t>
      </w:r>
      <w:r w:rsidR="00F3061F">
        <w:rPr>
          <w:rFonts w:ascii="Arial Narrow" w:hAnsi="Arial Narrow"/>
          <w:sz w:val="28"/>
          <w:szCs w:val="28"/>
        </w:rPr>
        <w:t xml:space="preserve"> razón </w:t>
      </w:r>
      <w:r w:rsidR="00893A54">
        <w:rPr>
          <w:rFonts w:ascii="Arial Narrow" w:hAnsi="Arial Narrow"/>
          <w:sz w:val="28"/>
          <w:szCs w:val="28"/>
        </w:rPr>
        <w:t>entonces no tuvo conocimiento</w:t>
      </w:r>
      <w:r w:rsidR="00F3061F">
        <w:rPr>
          <w:rFonts w:ascii="Arial Narrow" w:hAnsi="Arial Narrow"/>
          <w:sz w:val="28"/>
          <w:szCs w:val="28"/>
        </w:rPr>
        <w:t xml:space="preserve"> </w:t>
      </w:r>
      <w:r w:rsidR="00B2358F">
        <w:rPr>
          <w:rFonts w:ascii="Arial Narrow" w:hAnsi="Arial Narrow"/>
          <w:sz w:val="28"/>
          <w:szCs w:val="28"/>
        </w:rPr>
        <w:t>a qué se dedicaba o en qu</w:t>
      </w:r>
      <w:r w:rsidR="00707933">
        <w:rPr>
          <w:rFonts w:ascii="Arial Narrow" w:hAnsi="Arial Narrow"/>
          <w:sz w:val="28"/>
          <w:szCs w:val="28"/>
        </w:rPr>
        <w:t>é trabajaba el asegurado</w:t>
      </w:r>
      <w:r w:rsidR="00791F4C">
        <w:rPr>
          <w:rFonts w:ascii="Arial Narrow" w:hAnsi="Arial Narrow"/>
          <w:sz w:val="28"/>
          <w:szCs w:val="28"/>
        </w:rPr>
        <w:t xml:space="preserve">, o </w:t>
      </w:r>
      <w:r w:rsidR="00533ABA">
        <w:rPr>
          <w:rFonts w:ascii="Arial Narrow" w:hAnsi="Arial Narrow"/>
          <w:sz w:val="28"/>
          <w:szCs w:val="28"/>
        </w:rPr>
        <w:t>por qué</w:t>
      </w:r>
      <w:r w:rsidR="00791F4C">
        <w:rPr>
          <w:rFonts w:ascii="Arial Narrow" w:hAnsi="Arial Narrow"/>
          <w:sz w:val="28"/>
          <w:szCs w:val="28"/>
        </w:rPr>
        <w:t xml:space="preserve"> razón afirmó que la pareja </w:t>
      </w:r>
      <w:r w:rsidR="00791F4C">
        <w:rPr>
          <w:rFonts w:ascii="Arial Narrow" w:hAnsi="Arial Narrow"/>
          <w:sz w:val="28"/>
          <w:szCs w:val="28"/>
        </w:rPr>
        <w:lastRenderedPageBreak/>
        <w:t xml:space="preserve">perteneció al grupo de ciclismo hasta que el causante falleció, cuando según la </w:t>
      </w:r>
      <w:r w:rsidR="00533ABA">
        <w:rPr>
          <w:rFonts w:ascii="Arial Narrow" w:hAnsi="Arial Narrow"/>
          <w:sz w:val="28"/>
          <w:szCs w:val="28"/>
        </w:rPr>
        <w:t>deponente</w:t>
      </w:r>
      <w:r w:rsidR="00791F4C">
        <w:rPr>
          <w:rFonts w:ascii="Arial Narrow" w:hAnsi="Arial Narrow"/>
          <w:sz w:val="28"/>
          <w:szCs w:val="28"/>
        </w:rPr>
        <w:t xml:space="preserve"> María Victoria Gallego </w:t>
      </w:r>
      <w:proofErr w:type="spellStart"/>
      <w:r w:rsidR="00791F4C">
        <w:rPr>
          <w:rFonts w:ascii="Arial Narrow" w:hAnsi="Arial Narrow"/>
          <w:sz w:val="28"/>
          <w:szCs w:val="28"/>
        </w:rPr>
        <w:t>Alzate</w:t>
      </w:r>
      <w:proofErr w:type="spellEnd"/>
      <w:r w:rsidR="00791F4C">
        <w:rPr>
          <w:rFonts w:ascii="Arial Narrow" w:hAnsi="Arial Narrow"/>
          <w:sz w:val="28"/>
          <w:szCs w:val="28"/>
        </w:rPr>
        <w:t xml:space="preserve">, </w:t>
      </w:r>
      <w:r w:rsidR="005D4B72">
        <w:rPr>
          <w:rFonts w:ascii="Arial Narrow" w:hAnsi="Arial Narrow"/>
          <w:sz w:val="28"/>
          <w:szCs w:val="28"/>
        </w:rPr>
        <w:t xml:space="preserve">ellos </w:t>
      </w:r>
      <w:r w:rsidR="00791F4C">
        <w:rPr>
          <w:rFonts w:ascii="Arial Narrow" w:hAnsi="Arial Narrow"/>
          <w:sz w:val="28"/>
          <w:szCs w:val="28"/>
        </w:rPr>
        <w:t>habían dejado de montar de</w:t>
      </w:r>
      <w:r w:rsidR="005D4B72">
        <w:rPr>
          <w:rFonts w:ascii="Arial Narrow" w:hAnsi="Arial Narrow"/>
          <w:sz w:val="28"/>
          <w:szCs w:val="28"/>
        </w:rPr>
        <w:t xml:space="preserve">sde hacía tiempo </w:t>
      </w:r>
      <w:r w:rsidR="00791F4C">
        <w:rPr>
          <w:rFonts w:ascii="Arial Narrow" w:hAnsi="Arial Narrow"/>
          <w:sz w:val="28"/>
          <w:szCs w:val="28"/>
        </w:rPr>
        <w:t xml:space="preserve">en razón </w:t>
      </w:r>
      <w:r w:rsidR="005D4B72">
        <w:rPr>
          <w:rFonts w:ascii="Arial Narrow" w:hAnsi="Arial Narrow"/>
          <w:sz w:val="28"/>
          <w:szCs w:val="28"/>
        </w:rPr>
        <w:t>a la enfermedad del señor Rubén Darío Henao.</w:t>
      </w:r>
    </w:p>
    <w:p w:rsidR="00E82B5C" w:rsidRDefault="00E82B5C" w:rsidP="0009235B">
      <w:pPr>
        <w:pStyle w:val="Sinespaciado"/>
      </w:pPr>
    </w:p>
    <w:p w:rsidR="003F5B51" w:rsidRDefault="0009235B" w:rsidP="00DC44F0">
      <w:pPr>
        <w:pStyle w:val="Textoindependiente32"/>
        <w:ind w:firstLine="708"/>
        <w:rPr>
          <w:rFonts w:ascii="Arial Narrow" w:hAnsi="Arial Narrow"/>
          <w:sz w:val="28"/>
          <w:szCs w:val="28"/>
        </w:rPr>
      </w:pPr>
      <w:r>
        <w:rPr>
          <w:rFonts w:ascii="Arial Narrow" w:hAnsi="Arial Narrow"/>
          <w:sz w:val="28"/>
          <w:szCs w:val="28"/>
        </w:rPr>
        <w:t>Se puntualiza entonces que</w:t>
      </w:r>
      <w:r w:rsidR="003F5B51">
        <w:rPr>
          <w:rFonts w:ascii="Arial Narrow" w:hAnsi="Arial Narrow"/>
          <w:sz w:val="28"/>
          <w:szCs w:val="28"/>
        </w:rPr>
        <w:t xml:space="preserve"> </w:t>
      </w:r>
      <w:r>
        <w:rPr>
          <w:rFonts w:ascii="Arial Narrow" w:hAnsi="Arial Narrow"/>
          <w:sz w:val="28"/>
          <w:szCs w:val="28"/>
        </w:rPr>
        <w:t xml:space="preserve">las inconsistencias de los testigos no permiten dar credibilidad a sus relatos como personas que directamente percibieron la convivencia </w:t>
      </w:r>
      <w:r w:rsidR="00FA29D0">
        <w:rPr>
          <w:rFonts w:ascii="Arial Narrow" w:hAnsi="Arial Narrow"/>
          <w:sz w:val="28"/>
          <w:szCs w:val="28"/>
        </w:rPr>
        <w:t xml:space="preserve">de la pareja en los cinco años que precedieron el deceso del afiliado, </w:t>
      </w:r>
      <w:r w:rsidR="005A5363">
        <w:rPr>
          <w:rFonts w:ascii="Arial Narrow" w:hAnsi="Arial Narrow"/>
          <w:sz w:val="28"/>
          <w:szCs w:val="28"/>
        </w:rPr>
        <w:t>pues no</w:t>
      </w:r>
      <w:r w:rsidR="00533ABA">
        <w:rPr>
          <w:rFonts w:ascii="Arial Narrow" w:hAnsi="Arial Narrow"/>
          <w:sz w:val="28"/>
          <w:szCs w:val="28"/>
        </w:rPr>
        <w:t xml:space="preserve"> hay certeza de que a pesar de la cesación de efectos civiles del matrimonio católico qu</w:t>
      </w:r>
      <w:r w:rsidR="005A5363">
        <w:rPr>
          <w:rFonts w:ascii="Arial Narrow" w:hAnsi="Arial Narrow"/>
          <w:sz w:val="28"/>
          <w:szCs w:val="28"/>
        </w:rPr>
        <w:t xml:space="preserve">e fue promovido de consuno por los cónyuges, </w:t>
      </w:r>
      <w:r w:rsidR="002308FC">
        <w:rPr>
          <w:rFonts w:ascii="Arial Narrow" w:hAnsi="Arial Narrow"/>
          <w:sz w:val="28"/>
          <w:szCs w:val="28"/>
        </w:rPr>
        <w:t xml:space="preserve">y que inexplicablemente la demandante ocultó al presentar la demanda, </w:t>
      </w:r>
      <w:r w:rsidR="005A5363">
        <w:rPr>
          <w:rFonts w:ascii="Arial Narrow" w:hAnsi="Arial Narrow"/>
          <w:sz w:val="28"/>
          <w:szCs w:val="28"/>
        </w:rPr>
        <w:t xml:space="preserve">siguieron en realidad vigentes y actuantes los lazos familiares, por haber permanecido entre ellos como pareja, en calidad de compañeros permanentes, la comunicación, la solidaridad, y la </w:t>
      </w:r>
      <w:r w:rsidR="007E4C4B">
        <w:rPr>
          <w:rFonts w:ascii="Arial Narrow" w:hAnsi="Arial Narrow"/>
          <w:sz w:val="28"/>
          <w:szCs w:val="28"/>
        </w:rPr>
        <w:t xml:space="preserve">ayuda mutua que se predica </w:t>
      </w:r>
      <w:r w:rsidR="00CC1C93">
        <w:rPr>
          <w:rFonts w:ascii="Arial Narrow" w:hAnsi="Arial Narrow"/>
          <w:sz w:val="28"/>
          <w:szCs w:val="28"/>
        </w:rPr>
        <w:t xml:space="preserve">de la convivencia </w:t>
      </w:r>
      <w:r w:rsidR="007E4C4B">
        <w:rPr>
          <w:rFonts w:ascii="Arial Narrow" w:hAnsi="Arial Narrow"/>
          <w:sz w:val="28"/>
          <w:szCs w:val="28"/>
        </w:rPr>
        <w:t>en este tipo de asuntos.</w:t>
      </w:r>
    </w:p>
    <w:p w:rsidR="005A5363" w:rsidRDefault="005A5363" w:rsidP="005A5363">
      <w:pPr>
        <w:pStyle w:val="Sinespaciado"/>
      </w:pPr>
    </w:p>
    <w:p w:rsidR="009273B8" w:rsidRDefault="00CC1C93" w:rsidP="00E973C0">
      <w:pPr>
        <w:pStyle w:val="Textoindependiente32"/>
        <w:ind w:firstLine="708"/>
        <w:rPr>
          <w:rFonts w:ascii="Arial Narrow" w:hAnsi="Arial Narrow"/>
          <w:sz w:val="28"/>
          <w:szCs w:val="28"/>
        </w:rPr>
      </w:pPr>
      <w:r>
        <w:rPr>
          <w:rFonts w:ascii="Arial Narrow" w:hAnsi="Arial Narrow"/>
          <w:sz w:val="28"/>
          <w:szCs w:val="28"/>
        </w:rPr>
        <w:t xml:space="preserve">Finalmente, </w:t>
      </w:r>
      <w:r w:rsidR="007F6607">
        <w:rPr>
          <w:rFonts w:ascii="Arial Narrow" w:hAnsi="Arial Narrow"/>
          <w:sz w:val="28"/>
          <w:szCs w:val="28"/>
        </w:rPr>
        <w:t>frente al reconocimiento que por vía administrativa realizó la entidad de seguridad social a la actora, al otorgarle la indemnización sustitutiva de la pensión de sobrevivientes, habr</w:t>
      </w:r>
      <w:r w:rsidR="00E973C0">
        <w:rPr>
          <w:rFonts w:ascii="Arial Narrow" w:hAnsi="Arial Narrow"/>
          <w:sz w:val="28"/>
          <w:szCs w:val="28"/>
        </w:rPr>
        <w:t>á que decir que</w:t>
      </w:r>
      <w:r w:rsidR="00B102BD">
        <w:rPr>
          <w:rFonts w:ascii="Arial Narrow" w:hAnsi="Arial Narrow"/>
          <w:sz w:val="28"/>
          <w:szCs w:val="28"/>
        </w:rPr>
        <w:t xml:space="preserve"> ello </w:t>
      </w:r>
      <w:r w:rsidR="00D1308E">
        <w:rPr>
          <w:rFonts w:ascii="Arial Narrow" w:hAnsi="Arial Narrow"/>
          <w:sz w:val="28"/>
          <w:szCs w:val="28"/>
        </w:rPr>
        <w:t xml:space="preserve">es un medio probatorio que admite </w:t>
      </w:r>
      <w:r w:rsidR="005046C5">
        <w:rPr>
          <w:rFonts w:ascii="Arial Narrow" w:hAnsi="Arial Narrow"/>
          <w:sz w:val="28"/>
          <w:szCs w:val="28"/>
        </w:rPr>
        <w:t xml:space="preserve">prueba en contrario, y por ende, </w:t>
      </w:r>
      <w:r w:rsidR="00D1308E">
        <w:rPr>
          <w:rFonts w:ascii="Arial Narrow" w:hAnsi="Arial Narrow"/>
          <w:sz w:val="28"/>
          <w:szCs w:val="28"/>
        </w:rPr>
        <w:t>puede ser desvirtuado</w:t>
      </w:r>
      <w:r w:rsidR="00BC2DC2">
        <w:rPr>
          <w:rFonts w:ascii="Arial Narrow" w:hAnsi="Arial Narrow"/>
          <w:sz w:val="28"/>
          <w:szCs w:val="28"/>
        </w:rPr>
        <w:t xml:space="preserve">, de modo que, </w:t>
      </w:r>
      <w:r w:rsidR="009273B8">
        <w:rPr>
          <w:rFonts w:ascii="Arial Narrow" w:hAnsi="Arial Narrow"/>
          <w:sz w:val="28"/>
          <w:szCs w:val="28"/>
        </w:rPr>
        <w:t xml:space="preserve">este caso puntual, </w:t>
      </w:r>
      <w:r w:rsidR="002F0456">
        <w:rPr>
          <w:rFonts w:ascii="Arial Narrow" w:hAnsi="Arial Narrow"/>
          <w:sz w:val="28"/>
          <w:szCs w:val="28"/>
        </w:rPr>
        <w:t xml:space="preserve">el valor probatorio de </w:t>
      </w:r>
      <w:r w:rsidR="009273B8">
        <w:rPr>
          <w:rFonts w:ascii="Arial Narrow" w:hAnsi="Arial Narrow"/>
          <w:sz w:val="28"/>
          <w:szCs w:val="28"/>
        </w:rPr>
        <w:t xml:space="preserve">las declaraciones rendidas a instancia judicial se antepone a </w:t>
      </w:r>
      <w:r w:rsidR="00533ABA">
        <w:rPr>
          <w:rFonts w:ascii="Arial Narrow" w:hAnsi="Arial Narrow"/>
          <w:sz w:val="28"/>
          <w:szCs w:val="28"/>
        </w:rPr>
        <w:t xml:space="preserve">lo </w:t>
      </w:r>
      <w:r w:rsidR="00EB6713">
        <w:rPr>
          <w:rFonts w:ascii="Arial Narrow" w:hAnsi="Arial Narrow"/>
          <w:sz w:val="28"/>
          <w:szCs w:val="28"/>
        </w:rPr>
        <w:t xml:space="preserve">consignado en dicho acto </w:t>
      </w:r>
      <w:r w:rsidR="00BC2DC2">
        <w:rPr>
          <w:rFonts w:ascii="Arial Narrow" w:hAnsi="Arial Narrow"/>
          <w:sz w:val="28"/>
          <w:szCs w:val="28"/>
        </w:rPr>
        <w:t>administrativo, pues como es sabido el juez en la valoración y apreciación de las pruebas</w:t>
      </w:r>
      <w:r w:rsidR="00BC2DC2" w:rsidRPr="002F0456">
        <w:rPr>
          <w:rFonts w:ascii="Arial Narrow" w:hAnsi="Arial Narrow"/>
          <w:sz w:val="28"/>
          <w:szCs w:val="28"/>
        </w:rPr>
        <w:t xml:space="preserve"> </w:t>
      </w:r>
      <w:r w:rsidR="00BC2DC2">
        <w:rPr>
          <w:rFonts w:ascii="Arial Narrow" w:hAnsi="Arial Narrow"/>
          <w:sz w:val="28"/>
          <w:szCs w:val="28"/>
        </w:rPr>
        <w:t>es libre de formarse el convencimiento.</w:t>
      </w:r>
    </w:p>
    <w:p w:rsidR="009273B8" w:rsidRPr="00404C1C" w:rsidRDefault="009273B8" w:rsidP="00404C1C">
      <w:pPr>
        <w:pStyle w:val="Sinespaciado"/>
      </w:pPr>
    </w:p>
    <w:p w:rsidR="007D22E4" w:rsidRPr="002308FC" w:rsidRDefault="006628A5" w:rsidP="007E4C4B">
      <w:pPr>
        <w:shd w:val="clear" w:color="auto" w:fill="FFFFFF"/>
        <w:spacing w:line="360" w:lineRule="auto"/>
        <w:ind w:right="5" w:firstLine="708"/>
        <w:jc w:val="both"/>
        <w:rPr>
          <w:rFonts w:ascii="Arial Narrow" w:hAnsi="Arial Narrow"/>
          <w:sz w:val="28"/>
          <w:szCs w:val="28"/>
          <w:lang w:val="es-ES"/>
        </w:rPr>
      </w:pPr>
      <w:r w:rsidRPr="002308FC">
        <w:rPr>
          <w:rFonts w:ascii="Arial Narrow" w:hAnsi="Arial Narrow"/>
          <w:sz w:val="28"/>
          <w:szCs w:val="28"/>
          <w:lang w:val="es-ES"/>
        </w:rPr>
        <w:t>Así las cosas, se confirmará por razones distintas la sentencia de primera instancia.</w:t>
      </w:r>
    </w:p>
    <w:p w:rsidR="00AA3E52" w:rsidRPr="00FD0B03" w:rsidRDefault="00AA3E52" w:rsidP="00FD0B03">
      <w:pPr>
        <w:pStyle w:val="Sinespaciado"/>
      </w:pPr>
    </w:p>
    <w:p w:rsidR="00F37A12" w:rsidRDefault="00F37A12" w:rsidP="00D60B20">
      <w:pPr>
        <w:pStyle w:val="Textoindependiente32"/>
        <w:ind w:firstLine="708"/>
        <w:rPr>
          <w:rFonts w:ascii="Arial Narrow" w:hAnsi="Arial Narrow"/>
          <w:sz w:val="28"/>
          <w:szCs w:val="28"/>
        </w:rPr>
      </w:pPr>
      <w:r>
        <w:rPr>
          <w:rFonts w:ascii="Arial Narrow" w:hAnsi="Arial Narrow"/>
          <w:sz w:val="28"/>
          <w:szCs w:val="28"/>
        </w:rPr>
        <w:t>Costas en esta instancia a cargo de la recurrente.</w:t>
      </w:r>
    </w:p>
    <w:p w:rsidR="002A5781" w:rsidRPr="006755EE" w:rsidRDefault="002A5781" w:rsidP="006755EE">
      <w:pPr>
        <w:pStyle w:val="Sinespaciado"/>
      </w:pPr>
    </w:p>
    <w:p w:rsidR="002A5781" w:rsidRPr="006755EE" w:rsidRDefault="002A5781" w:rsidP="006755EE">
      <w:pPr>
        <w:pStyle w:val="Prrafodelista1"/>
        <w:spacing w:after="0" w:line="360" w:lineRule="auto"/>
        <w:ind w:left="0" w:firstLine="708"/>
        <w:jc w:val="both"/>
        <w:rPr>
          <w:rFonts w:ascii="Arial Narrow" w:hAnsi="Arial Narrow"/>
          <w:sz w:val="28"/>
          <w:szCs w:val="28"/>
        </w:rPr>
      </w:pPr>
      <w:r w:rsidRPr="006755EE">
        <w:rPr>
          <w:rFonts w:ascii="Arial Narrow" w:hAnsi="Arial Narrow"/>
          <w:sz w:val="28"/>
          <w:szCs w:val="28"/>
        </w:rPr>
        <w:t xml:space="preserve">En mérito de lo expuesto, el </w:t>
      </w:r>
      <w:r w:rsidRPr="006755EE">
        <w:rPr>
          <w:rFonts w:ascii="Arial Narrow" w:hAnsi="Arial Narrow"/>
          <w:i/>
          <w:sz w:val="28"/>
          <w:szCs w:val="28"/>
        </w:rPr>
        <w:t>H. Tribunal Superior del Distrito Judicial de Pereira - Risaralda, Sala Laboral,</w:t>
      </w:r>
      <w:r w:rsidRPr="006755EE">
        <w:rPr>
          <w:rFonts w:ascii="Arial Narrow" w:hAnsi="Arial Narrow"/>
          <w:sz w:val="28"/>
          <w:szCs w:val="28"/>
        </w:rPr>
        <w:t xml:space="preserve"> administrando justicia en nombre de la República y por autoridad de la ley,</w:t>
      </w:r>
    </w:p>
    <w:p w:rsidR="002A5781" w:rsidRPr="006755EE" w:rsidRDefault="002A5781" w:rsidP="002A5781">
      <w:pPr>
        <w:spacing w:line="360" w:lineRule="auto"/>
        <w:jc w:val="center"/>
        <w:rPr>
          <w:rFonts w:ascii="Arial Narrow" w:hAnsi="Arial Narrow" w:cs="Arial"/>
          <w:i/>
          <w:sz w:val="28"/>
          <w:szCs w:val="28"/>
        </w:rPr>
      </w:pPr>
      <w:r w:rsidRPr="006755EE">
        <w:rPr>
          <w:rFonts w:ascii="Arial Narrow" w:hAnsi="Arial Narrow" w:cs="Arial"/>
          <w:i/>
          <w:sz w:val="28"/>
          <w:szCs w:val="28"/>
        </w:rPr>
        <w:t>FALLA</w:t>
      </w:r>
    </w:p>
    <w:p w:rsidR="002A5781" w:rsidRPr="006755EE" w:rsidRDefault="002A5781" w:rsidP="002A5781">
      <w:pPr>
        <w:pStyle w:val="Sinespaciado"/>
      </w:pPr>
    </w:p>
    <w:p w:rsidR="002A5781" w:rsidRPr="006755EE" w:rsidRDefault="002A5781" w:rsidP="00FD0B03">
      <w:pPr>
        <w:pStyle w:val="Prrafodelista"/>
        <w:numPr>
          <w:ilvl w:val="0"/>
          <w:numId w:val="1"/>
        </w:numPr>
        <w:spacing w:line="360" w:lineRule="auto"/>
        <w:ind w:left="0" w:firstLine="704"/>
        <w:jc w:val="both"/>
        <w:rPr>
          <w:rFonts w:ascii="Arial Narrow" w:hAnsi="Arial Narrow" w:cs="Arial"/>
          <w:sz w:val="28"/>
          <w:szCs w:val="28"/>
        </w:rPr>
      </w:pPr>
      <w:r w:rsidRPr="006755EE">
        <w:rPr>
          <w:rFonts w:ascii="Arial Narrow" w:hAnsi="Arial Narrow" w:cs="Arial"/>
          <w:i/>
          <w:spacing w:val="-2"/>
          <w:sz w:val="28"/>
          <w:szCs w:val="28"/>
        </w:rPr>
        <w:t>Confirma</w:t>
      </w:r>
      <w:r w:rsidR="006755EE" w:rsidRPr="006755EE">
        <w:rPr>
          <w:rFonts w:ascii="Arial Narrow" w:hAnsi="Arial Narrow" w:cs="Arial"/>
          <w:i/>
          <w:spacing w:val="-2"/>
          <w:sz w:val="28"/>
          <w:szCs w:val="28"/>
        </w:rPr>
        <w:t xml:space="preserve"> </w:t>
      </w:r>
      <w:r w:rsidR="006755EE" w:rsidRPr="006755EE">
        <w:rPr>
          <w:rFonts w:ascii="Arial Narrow" w:hAnsi="Arial Narrow" w:cs="Arial"/>
          <w:spacing w:val="-2"/>
          <w:sz w:val="28"/>
          <w:szCs w:val="28"/>
        </w:rPr>
        <w:t xml:space="preserve">por razones diferentes </w:t>
      </w:r>
      <w:r w:rsidRPr="006755EE">
        <w:rPr>
          <w:rFonts w:ascii="Arial Narrow" w:hAnsi="Arial Narrow" w:cs="Arial"/>
          <w:spacing w:val="-2"/>
          <w:sz w:val="28"/>
          <w:szCs w:val="28"/>
        </w:rPr>
        <w:t>la sentencia del 1</w:t>
      </w:r>
      <w:r w:rsidR="006755EE" w:rsidRPr="006755EE">
        <w:rPr>
          <w:rFonts w:ascii="Arial Narrow" w:hAnsi="Arial Narrow" w:cs="Arial"/>
          <w:spacing w:val="-2"/>
          <w:sz w:val="28"/>
          <w:szCs w:val="28"/>
        </w:rPr>
        <w:t>7 de junio de 2015</w:t>
      </w:r>
      <w:r w:rsidRPr="006755EE">
        <w:rPr>
          <w:rFonts w:ascii="Arial Narrow" w:hAnsi="Arial Narrow" w:cs="Arial"/>
          <w:spacing w:val="-2"/>
          <w:sz w:val="28"/>
          <w:szCs w:val="28"/>
        </w:rPr>
        <w:t xml:space="preserve"> </w:t>
      </w:r>
      <w:r w:rsidR="006755EE">
        <w:rPr>
          <w:rFonts w:ascii="Arial Narrow" w:hAnsi="Arial Narrow" w:cs="Arial"/>
          <w:spacing w:val="-2"/>
          <w:sz w:val="28"/>
          <w:szCs w:val="28"/>
        </w:rPr>
        <w:t xml:space="preserve">proferida por el Juzgado Cuarto Laboral del Circuito de Pereira, </w:t>
      </w:r>
      <w:r w:rsidRPr="006755EE">
        <w:rPr>
          <w:rFonts w:ascii="Arial Narrow" w:hAnsi="Arial Narrow" w:cs="Arial"/>
          <w:spacing w:val="-2"/>
          <w:sz w:val="28"/>
          <w:szCs w:val="28"/>
        </w:rPr>
        <w:t>en el proceso de la referencia</w:t>
      </w:r>
      <w:r w:rsidR="006755EE">
        <w:rPr>
          <w:rFonts w:ascii="Arial Narrow" w:hAnsi="Arial Narrow" w:cs="Arial"/>
          <w:spacing w:val="-2"/>
          <w:sz w:val="28"/>
          <w:szCs w:val="28"/>
        </w:rPr>
        <w:t>.</w:t>
      </w:r>
      <w:r w:rsidRPr="006755EE">
        <w:rPr>
          <w:rFonts w:ascii="Arial Narrow" w:hAnsi="Arial Narrow" w:cs="Arial"/>
          <w:sz w:val="28"/>
          <w:szCs w:val="28"/>
        </w:rPr>
        <w:t xml:space="preserve">, </w:t>
      </w:r>
    </w:p>
    <w:p w:rsidR="006755EE" w:rsidRPr="006755EE" w:rsidRDefault="006755EE" w:rsidP="00FD0B03">
      <w:pPr>
        <w:pStyle w:val="Sinespaciado"/>
      </w:pPr>
    </w:p>
    <w:p w:rsidR="002A5781" w:rsidRPr="006755EE" w:rsidRDefault="002A5781" w:rsidP="002A5781">
      <w:pPr>
        <w:pStyle w:val="Textoindependiente31"/>
        <w:ind w:firstLine="708"/>
        <w:rPr>
          <w:rFonts w:ascii="Arial Narrow" w:hAnsi="Arial Narrow" w:cs="Arial"/>
          <w:szCs w:val="28"/>
        </w:rPr>
      </w:pPr>
      <w:r w:rsidRPr="006755EE">
        <w:rPr>
          <w:rFonts w:ascii="Arial Narrow" w:hAnsi="Arial Narrow" w:cs="Arial"/>
          <w:i/>
          <w:spacing w:val="-2"/>
          <w:szCs w:val="28"/>
        </w:rPr>
        <w:t xml:space="preserve">2. </w:t>
      </w:r>
      <w:r w:rsidR="00D36952">
        <w:rPr>
          <w:rFonts w:ascii="Arial Narrow" w:hAnsi="Arial Narrow" w:cs="Arial"/>
          <w:szCs w:val="28"/>
        </w:rPr>
        <w:t>Costas en esta instancia a cargo de la recurrente.</w:t>
      </w:r>
    </w:p>
    <w:p w:rsidR="002A5781" w:rsidRPr="006755EE" w:rsidRDefault="002A5781" w:rsidP="00FD0B03">
      <w:pPr>
        <w:pStyle w:val="Sinespaciado"/>
        <w:rPr>
          <w:lang w:val="es-ES"/>
        </w:rPr>
      </w:pPr>
    </w:p>
    <w:p w:rsidR="002A5781" w:rsidRPr="006755EE" w:rsidRDefault="002A5781" w:rsidP="002A5781">
      <w:pPr>
        <w:spacing w:line="360" w:lineRule="auto"/>
        <w:ind w:firstLine="900"/>
        <w:jc w:val="both"/>
        <w:rPr>
          <w:rFonts w:ascii="Arial Narrow" w:hAnsi="Arial Narrow" w:cs="Microsoft Sans Serif"/>
          <w:bCs/>
          <w:i/>
          <w:iCs/>
          <w:sz w:val="28"/>
          <w:szCs w:val="28"/>
          <w:lang w:val="es-ES"/>
        </w:rPr>
      </w:pPr>
      <w:r w:rsidRPr="006755EE">
        <w:rPr>
          <w:rFonts w:ascii="Arial Narrow" w:hAnsi="Arial Narrow" w:cs="Microsoft Sans Serif"/>
          <w:bCs/>
          <w:i/>
          <w:iCs/>
          <w:sz w:val="28"/>
          <w:szCs w:val="28"/>
          <w:lang w:val="es-ES"/>
        </w:rPr>
        <w:t>NOTIFÍQUESE, CÚMPLASE Y DEVUÉLVASE.</w:t>
      </w:r>
    </w:p>
    <w:p w:rsidR="002A5781" w:rsidRPr="006755EE" w:rsidRDefault="002A5781" w:rsidP="002A5781">
      <w:pPr>
        <w:pStyle w:val="Sinespaciado"/>
        <w:rPr>
          <w:lang w:val="es-ES"/>
        </w:rPr>
      </w:pPr>
    </w:p>
    <w:p w:rsidR="002A5781" w:rsidRPr="006755EE" w:rsidRDefault="002A5781" w:rsidP="002A5781">
      <w:pPr>
        <w:spacing w:line="360" w:lineRule="auto"/>
        <w:ind w:firstLine="900"/>
        <w:jc w:val="both"/>
        <w:rPr>
          <w:rFonts w:ascii="Arial Narrow" w:hAnsi="Arial Narrow" w:cs="Microsoft Sans Serif"/>
          <w:bCs/>
          <w:iCs/>
          <w:sz w:val="28"/>
          <w:szCs w:val="28"/>
          <w:lang w:val="es-ES"/>
        </w:rPr>
      </w:pPr>
      <w:r w:rsidRPr="006755EE">
        <w:rPr>
          <w:rFonts w:ascii="Arial Narrow" w:hAnsi="Arial Narrow" w:cs="Microsoft Sans Serif"/>
          <w:bCs/>
          <w:iCs/>
          <w:sz w:val="28"/>
          <w:szCs w:val="28"/>
          <w:lang w:val="es-ES"/>
        </w:rPr>
        <w:t>La anterior decisión queda notificada en estrados.</w:t>
      </w:r>
    </w:p>
    <w:p w:rsidR="002A5781" w:rsidRPr="006755EE" w:rsidRDefault="002A5781" w:rsidP="002A5781">
      <w:pPr>
        <w:ind w:firstLine="900"/>
        <w:jc w:val="center"/>
        <w:rPr>
          <w:rFonts w:ascii="Arial Narrow" w:hAnsi="Arial Narrow" w:cs="Microsoft Sans Serif"/>
          <w:bCs/>
          <w:iCs/>
          <w:sz w:val="28"/>
          <w:szCs w:val="28"/>
          <w:lang w:val="es-ES"/>
        </w:rPr>
      </w:pPr>
    </w:p>
    <w:p w:rsidR="002A5781" w:rsidRDefault="002A5781" w:rsidP="002A5781">
      <w:pPr>
        <w:ind w:firstLine="900"/>
        <w:jc w:val="center"/>
        <w:rPr>
          <w:rFonts w:ascii="Arial Narrow" w:hAnsi="Arial Narrow" w:cs="Microsoft Sans Serif"/>
          <w:b/>
          <w:bCs/>
          <w:iCs/>
          <w:sz w:val="28"/>
          <w:szCs w:val="28"/>
          <w:lang w:val="es-ES"/>
        </w:rPr>
      </w:pPr>
    </w:p>
    <w:p w:rsidR="002A5781" w:rsidRDefault="002A5781" w:rsidP="002A5781">
      <w:pPr>
        <w:ind w:firstLine="900"/>
        <w:jc w:val="center"/>
        <w:rPr>
          <w:rFonts w:ascii="Arial Narrow" w:hAnsi="Arial Narrow" w:cs="Microsoft Sans Serif"/>
          <w:b/>
          <w:bCs/>
          <w:iCs/>
          <w:sz w:val="28"/>
          <w:szCs w:val="28"/>
          <w:lang w:val="es-ES"/>
        </w:rPr>
      </w:pPr>
    </w:p>
    <w:p w:rsidR="002A5781" w:rsidRPr="00FD0B03" w:rsidRDefault="002A5781" w:rsidP="002A5781">
      <w:pPr>
        <w:ind w:firstLine="900"/>
        <w:jc w:val="center"/>
        <w:rPr>
          <w:rFonts w:ascii="Arial Narrow" w:hAnsi="Arial Narrow" w:cs="Microsoft Sans Serif"/>
          <w:bCs/>
          <w:iCs/>
          <w:sz w:val="28"/>
          <w:szCs w:val="28"/>
          <w:lang w:val="es-ES"/>
        </w:rPr>
      </w:pPr>
    </w:p>
    <w:p w:rsidR="002A5781" w:rsidRPr="00FD0B03" w:rsidRDefault="002A5781" w:rsidP="002A5781">
      <w:pPr>
        <w:ind w:firstLine="900"/>
        <w:jc w:val="center"/>
        <w:rPr>
          <w:rFonts w:ascii="Arial Narrow" w:hAnsi="Arial Narrow" w:cs="Microsoft Sans Serif"/>
          <w:bCs/>
          <w:iCs/>
          <w:sz w:val="28"/>
          <w:szCs w:val="28"/>
          <w:lang w:val="es-ES"/>
        </w:rPr>
      </w:pPr>
      <w:r w:rsidRPr="00FD0B03">
        <w:rPr>
          <w:rFonts w:ascii="Arial Narrow" w:hAnsi="Arial Narrow" w:cs="Microsoft Sans Serif"/>
          <w:bCs/>
          <w:iCs/>
          <w:sz w:val="28"/>
          <w:szCs w:val="28"/>
          <w:lang w:val="es-ES"/>
        </w:rPr>
        <w:t>FRANCISCO JAVIER TAMAYO TABARES</w:t>
      </w:r>
    </w:p>
    <w:p w:rsidR="002A5781" w:rsidRPr="00FD0B03" w:rsidRDefault="002A5781" w:rsidP="002A5781">
      <w:pPr>
        <w:ind w:firstLine="900"/>
        <w:jc w:val="center"/>
        <w:rPr>
          <w:rFonts w:ascii="Arial Narrow" w:hAnsi="Arial Narrow" w:cs="Microsoft Sans Serif"/>
          <w:bCs/>
          <w:iCs/>
          <w:sz w:val="28"/>
          <w:szCs w:val="28"/>
          <w:lang w:val="es-ES"/>
        </w:rPr>
      </w:pPr>
      <w:r w:rsidRPr="00FD0B03">
        <w:rPr>
          <w:rFonts w:ascii="Arial Narrow" w:hAnsi="Arial Narrow" w:cs="Microsoft Sans Serif"/>
          <w:bCs/>
          <w:iCs/>
          <w:sz w:val="28"/>
          <w:szCs w:val="28"/>
          <w:lang w:val="es-ES"/>
        </w:rPr>
        <w:t>Magistrado Ponente</w:t>
      </w:r>
    </w:p>
    <w:p w:rsidR="002A5781" w:rsidRPr="00FD0B03" w:rsidRDefault="002A5781" w:rsidP="002A5781">
      <w:pPr>
        <w:ind w:firstLine="900"/>
        <w:jc w:val="both"/>
        <w:rPr>
          <w:rFonts w:ascii="Arial Narrow" w:hAnsi="Arial Narrow" w:cs="Microsoft Sans Serif"/>
          <w:sz w:val="28"/>
          <w:szCs w:val="28"/>
          <w:lang w:val="es-ES"/>
        </w:rPr>
      </w:pPr>
    </w:p>
    <w:p w:rsidR="002A5781" w:rsidRPr="00FD0B03" w:rsidRDefault="002A5781" w:rsidP="002A5781">
      <w:pPr>
        <w:spacing w:line="360" w:lineRule="auto"/>
        <w:jc w:val="both"/>
        <w:rPr>
          <w:rFonts w:ascii="Arial Narrow" w:hAnsi="Arial Narrow" w:cs="Microsoft Sans Serif"/>
          <w:bCs/>
          <w:iCs/>
          <w:sz w:val="28"/>
          <w:szCs w:val="28"/>
          <w:lang w:val="es-ES"/>
        </w:rPr>
      </w:pPr>
    </w:p>
    <w:p w:rsidR="002A5781" w:rsidRPr="00FD0B03" w:rsidRDefault="002A5781" w:rsidP="002A5781">
      <w:pPr>
        <w:jc w:val="both"/>
        <w:rPr>
          <w:rFonts w:ascii="Arial Narrow" w:hAnsi="Arial Narrow" w:cs="Microsoft Sans Serif"/>
          <w:bCs/>
          <w:iCs/>
          <w:sz w:val="28"/>
          <w:szCs w:val="28"/>
          <w:lang w:val="es-ES"/>
        </w:rPr>
      </w:pPr>
    </w:p>
    <w:p w:rsidR="002A5781" w:rsidRPr="00FD0B03" w:rsidRDefault="002A5781" w:rsidP="002A5781">
      <w:pPr>
        <w:jc w:val="both"/>
        <w:rPr>
          <w:rFonts w:ascii="Arial Narrow" w:hAnsi="Arial Narrow" w:cs="Microsoft Sans Serif"/>
          <w:bCs/>
          <w:iCs/>
          <w:sz w:val="28"/>
          <w:szCs w:val="28"/>
          <w:lang w:val="es-ES"/>
        </w:rPr>
      </w:pPr>
      <w:r w:rsidRPr="00FD0B03">
        <w:rPr>
          <w:rFonts w:ascii="Arial Narrow" w:hAnsi="Arial Narrow" w:cs="Microsoft Sans Serif"/>
          <w:bCs/>
          <w:iCs/>
          <w:sz w:val="28"/>
          <w:szCs w:val="28"/>
          <w:lang w:val="es-ES"/>
        </w:rPr>
        <w:t xml:space="preserve">ANA LUCIA CAICEDO CALDERON </w:t>
      </w:r>
      <w:r w:rsidR="00FD0B03">
        <w:rPr>
          <w:rFonts w:ascii="Arial Narrow" w:hAnsi="Arial Narrow" w:cs="Microsoft Sans Serif"/>
          <w:bCs/>
          <w:iCs/>
          <w:sz w:val="28"/>
          <w:szCs w:val="28"/>
          <w:lang w:val="es-ES"/>
        </w:rPr>
        <w:t xml:space="preserve">                   OLGA LUCÍA HOYOS SEPÚLVEDA</w:t>
      </w:r>
    </w:p>
    <w:p w:rsidR="005977F8" w:rsidRPr="00FD0B03" w:rsidRDefault="00FD0B03" w:rsidP="003438F2">
      <w:pPr>
        <w:jc w:val="both"/>
      </w:pPr>
      <w:r>
        <w:rPr>
          <w:rFonts w:ascii="Arial Narrow" w:hAnsi="Arial Narrow" w:cs="Microsoft Sans Serif"/>
          <w:bCs/>
          <w:iCs/>
          <w:sz w:val="28"/>
          <w:szCs w:val="28"/>
          <w:lang w:val="es-ES"/>
        </w:rPr>
        <w:t xml:space="preserve">             </w:t>
      </w:r>
      <w:r w:rsidR="003438F2">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Magistrada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roofErr w:type="spellStart"/>
      <w:r>
        <w:rPr>
          <w:rFonts w:ascii="Arial Narrow" w:hAnsi="Arial Narrow" w:cs="Microsoft Sans Serif"/>
          <w:bCs/>
          <w:iCs/>
          <w:sz w:val="28"/>
          <w:szCs w:val="28"/>
          <w:lang w:val="es-ES"/>
        </w:rPr>
        <w:t>Magistrada</w:t>
      </w:r>
      <w:proofErr w:type="spellEnd"/>
      <w:r w:rsidR="002A5781" w:rsidRPr="00FD0B03">
        <w:rPr>
          <w:rFonts w:ascii="Arial Narrow" w:hAnsi="Arial Narrow" w:cs="Microsoft Sans Serif"/>
          <w:bCs/>
          <w:iCs/>
          <w:sz w:val="28"/>
          <w:szCs w:val="28"/>
          <w:lang w:val="es-ES"/>
        </w:rPr>
        <w:t xml:space="preserve"> </w:t>
      </w:r>
    </w:p>
    <w:sectPr w:rsidR="005977F8" w:rsidRPr="00FD0B03" w:rsidSect="00A91DCE">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BF" w:rsidRDefault="007C20BF" w:rsidP="002A5781">
      <w:r>
        <w:separator/>
      </w:r>
    </w:p>
  </w:endnote>
  <w:endnote w:type="continuationSeparator" w:id="0">
    <w:p w:rsidR="007C20BF" w:rsidRDefault="007C20BF" w:rsidP="002A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DCE" w:rsidRDefault="006F4D61" w:rsidP="00A91DCE">
    <w:pPr>
      <w:pStyle w:val="Piedepgina"/>
      <w:framePr w:wrap="around" w:vAnchor="text" w:hAnchor="margin" w:xAlign="right" w:y="1"/>
      <w:rPr>
        <w:rStyle w:val="Nmerodepgina"/>
      </w:rPr>
    </w:pPr>
    <w:r>
      <w:rPr>
        <w:rStyle w:val="Nmerodepgina"/>
      </w:rPr>
      <w:fldChar w:fldCharType="begin"/>
    </w:r>
    <w:r w:rsidR="00A122F7">
      <w:rPr>
        <w:rStyle w:val="Nmerodepgina"/>
      </w:rPr>
      <w:instrText xml:space="preserve">PAGE  </w:instrText>
    </w:r>
    <w:r>
      <w:rPr>
        <w:rStyle w:val="Nmerodepgina"/>
      </w:rPr>
      <w:fldChar w:fldCharType="end"/>
    </w:r>
  </w:p>
  <w:p w:rsidR="00A91DCE" w:rsidRDefault="00A91DCE" w:rsidP="00A91DC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DCE" w:rsidRDefault="006F4D61" w:rsidP="00A91DCE">
    <w:pPr>
      <w:pStyle w:val="Piedepgina"/>
      <w:framePr w:wrap="around" w:vAnchor="text" w:hAnchor="margin" w:xAlign="right" w:y="1"/>
      <w:rPr>
        <w:rStyle w:val="Nmerodepgina"/>
      </w:rPr>
    </w:pPr>
    <w:r>
      <w:rPr>
        <w:rStyle w:val="Nmerodepgina"/>
      </w:rPr>
      <w:fldChar w:fldCharType="begin"/>
    </w:r>
    <w:r w:rsidR="00A122F7">
      <w:rPr>
        <w:rStyle w:val="Nmerodepgina"/>
      </w:rPr>
      <w:instrText xml:space="preserve">PAGE  </w:instrText>
    </w:r>
    <w:r>
      <w:rPr>
        <w:rStyle w:val="Nmerodepgina"/>
      </w:rPr>
      <w:fldChar w:fldCharType="separate"/>
    </w:r>
    <w:r w:rsidR="00AA3B4F">
      <w:rPr>
        <w:rStyle w:val="Nmerodepgina"/>
        <w:noProof/>
      </w:rPr>
      <w:t>8</w:t>
    </w:r>
    <w:r>
      <w:rPr>
        <w:rStyle w:val="Nmerodepgina"/>
      </w:rPr>
      <w:fldChar w:fldCharType="end"/>
    </w:r>
  </w:p>
  <w:p w:rsidR="00A91DCE" w:rsidRDefault="00A91DCE" w:rsidP="00A91DC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BF" w:rsidRDefault="007C20BF" w:rsidP="002A5781">
      <w:r>
        <w:separator/>
      </w:r>
    </w:p>
  </w:footnote>
  <w:footnote w:type="continuationSeparator" w:id="0">
    <w:p w:rsidR="007C20BF" w:rsidRDefault="007C20BF" w:rsidP="002A5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DCE" w:rsidRPr="005F4166" w:rsidRDefault="00A122F7" w:rsidP="00A91DCE">
    <w:pPr>
      <w:jc w:val="both"/>
      <w:rPr>
        <w:rFonts w:ascii="Arial" w:hAnsi="Arial" w:cs="Arial"/>
        <w:bCs/>
        <w:sz w:val="16"/>
        <w:szCs w:val="16"/>
      </w:rPr>
    </w:pPr>
    <w:r w:rsidRPr="005F4166">
      <w:rPr>
        <w:rFonts w:ascii="Arial" w:hAnsi="Arial" w:cs="Arial"/>
        <w:bCs/>
        <w:sz w:val="16"/>
        <w:szCs w:val="16"/>
      </w:rPr>
      <w:t>Radicación No: 66001-31-05-00</w:t>
    </w:r>
    <w:r w:rsidR="002A5781" w:rsidRPr="005F4166">
      <w:rPr>
        <w:rFonts w:ascii="Arial" w:hAnsi="Arial" w:cs="Arial"/>
        <w:bCs/>
        <w:sz w:val="16"/>
        <w:szCs w:val="16"/>
      </w:rPr>
      <w:t>4-2014-00382-01</w:t>
    </w:r>
  </w:p>
  <w:p w:rsidR="00A91DCE" w:rsidRPr="005F4166" w:rsidRDefault="002A5781" w:rsidP="00A91DCE">
    <w:pPr>
      <w:jc w:val="both"/>
      <w:rPr>
        <w:rFonts w:ascii="Arial" w:hAnsi="Arial" w:cs="Arial"/>
        <w:bCs/>
        <w:iCs/>
        <w:sz w:val="16"/>
        <w:szCs w:val="16"/>
      </w:rPr>
    </w:pPr>
    <w:r w:rsidRPr="005F4166">
      <w:rPr>
        <w:rFonts w:ascii="Arial" w:hAnsi="Arial" w:cs="Arial"/>
        <w:bCs/>
        <w:sz w:val="16"/>
        <w:szCs w:val="16"/>
      </w:rPr>
      <w:t xml:space="preserve">Luz Stella Ocampo de Henao </w:t>
    </w:r>
    <w:r w:rsidR="00A122F7" w:rsidRPr="005F4166">
      <w:rPr>
        <w:rFonts w:ascii="Arial" w:hAnsi="Arial" w:cs="Arial"/>
        <w:bCs/>
        <w:sz w:val="16"/>
        <w:szCs w:val="16"/>
      </w:rPr>
      <w:t xml:space="preserve">vs </w:t>
    </w:r>
    <w:proofErr w:type="spellStart"/>
    <w:r w:rsidR="00A122F7" w:rsidRPr="005F4166">
      <w:rPr>
        <w:rFonts w:ascii="Arial" w:hAnsi="Arial" w:cs="Arial"/>
        <w:bCs/>
        <w:sz w:val="16"/>
        <w:szCs w:val="16"/>
      </w:rPr>
      <w:t>Colpensiones</w:t>
    </w:r>
    <w:proofErr w:type="spellEnd"/>
  </w:p>
  <w:p w:rsidR="00A91DCE" w:rsidRDefault="00A91D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B1BD7"/>
    <w:multiLevelType w:val="hybridMultilevel"/>
    <w:tmpl w:val="F6EECEEA"/>
    <w:lvl w:ilvl="0" w:tplc="8C3C78E2">
      <w:start w:val="1"/>
      <w:numFmt w:val="decimal"/>
      <w:lvlText w:val="%1."/>
      <w:lvlJc w:val="left"/>
      <w:pPr>
        <w:ind w:left="1064" w:hanging="360"/>
      </w:pPr>
      <w:rPr>
        <w:rFonts w:hint="default"/>
        <w:i/>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81"/>
    <w:rsid w:val="000344BF"/>
    <w:rsid w:val="00041BE6"/>
    <w:rsid w:val="00050297"/>
    <w:rsid w:val="0005686B"/>
    <w:rsid w:val="000664BA"/>
    <w:rsid w:val="00075F4A"/>
    <w:rsid w:val="00085830"/>
    <w:rsid w:val="0009235B"/>
    <w:rsid w:val="000B2AC9"/>
    <w:rsid w:val="000B2BF3"/>
    <w:rsid w:val="000B6FAD"/>
    <w:rsid w:val="000C0305"/>
    <w:rsid w:val="000C6DD1"/>
    <w:rsid w:val="000D07E4"/>
    <w:rsid w:val="000E4D11"/>
    <w:rsid w:val="00105E07"/>
    <w:rsid w:val="00115FEC"/>
    <w:rsid w:val="001256E8"/>
    <w:rsid w:val="00125746"/>
    <w:rsid w:val="00145DBB"/>
    <w:rsid w:val="001630C7"/>
    <w:rsid w:val="00173FF8"/>
    <w:rsid w:val="00183A8F"/>
    <w:rsid w:val="00195AB9"/>
    <w:rsid w:val="00196BBC"/>
    <w:rsid w:val="001B3C63"/>
    <w:rsid w:val="001B7EEB"/>
    <w:rsid w:val="001D7311"/>
    <w:rsid w:val="001E19B8"/>
    <w:rsid w:val="001F5146"/>
    <w:rsid w:val="001F5DA0"/>
    <w:rsid w:val="0020529D"/>
    <w:rsid w:val="002133E0"/>
    <w:rsid w:val="002308FC"/>
    <w:rsid w:val="00237993"/>
    <w:rsid w:val="00270D00"/>
    <w:rsid w:val="00275307"/>
    <w:rsid w:val="0028447A"/>
    <w:rsid w:val="00291DE1"/>
    <w:rsid w:val="00293AF3"/>
    <w:rsid w:val="002A5781"/>
    <w:rsid w:val="002C49C3"/>
    <w:rsid w:val="002C69F2"/>
    <w:rsid w:val="002E1C36"/>
    <w:rsid w:val="002F0456"/>
    <w:rsid w:val="002F1A04"/>
    <w:rsid w:val="003034CF"/>
    <w:rsid w:val="00323DE7"/>
    <w:rsid w:val="003307C6"/>
    <w:rsid w:val="00334317"/>
    <w:rsid w:val="0034015C"/>
    <w:rsid w:val="003438F2"/>
    <w:rsid w:val="00353BB4"/>
    <w:rsid w:val="00354AF0"/>
    <w:rsid w:val="00361E21"/>
    <w:rsid w:val="003975A4"/>
    <w:rsid w:val="003A5F8B"/>
    <w:rsid w:val="003B1772"/>
    <w:rsid w:val="003D2B58"/>
    <w:rsid w:val="003D4773"/>
    <w:rsid w:val="003F41D0"/>
    <w:rsid w:val="003F5B51"/>
    <w:rsid w:val="003F7006"/>
    <w:rsid w:val="00404C1C"/>
    <w:rsid w:val="004141F6"/>
    <w:rsid w:val="00420830"/>
    <w:rsid w:val="00450580"/>
    <w:rsid w:val="004A0063"/>
    <w:rsid w:val="004A1CAD"/>
    <w:rsid w:val="004B5A07"/>
    <w:rsid w:val="004D75C4"/>
    <w:rsid w:val="004E09AA"/>
    <w:rsid w:val="004E3624"/>
    <w:rsid w:val="005046C5"/>
    <w:rsid w:val="00510958"/>
    <w:rsid w:val="00526465"/>
    <w:rsid w:val="00533ABA"/>
    <w:rsid w:val="00535E8C"/>
    <w:rsid w:val="005439DD"/>
    <w:rsid w:val="005612DA"/>
    <w:rsid w:val="00566744"/>
    <w:rsid w:val="00572DFF"/>
    <w:rsid w:val="005829C3"/>
    <w:rsid w:val="0058320B"/>
    <w:rsid w:val="00585F10"/>
    <w:rsid w:val="0059248B"/>
    <w:rsid w:val="005953B4"/>
    <w:rsid w:val="005957F8"/>
    <w:rsid w:val="005977F8"/>
    <w:rsid w:val="005A5363"/>
    <w:rsid w:val="005A6415"/>
    <w:rsid w:val="005A782A"/>
    <w:rsid w:val="005C1BB4"/>
    <w:rsid w:val="005D25C3"/>
    <w:rsid w:val="005D4B72"/>
    <w:rsid w:val="005F1A69"/>
    <w:rsid w:val="005F4166"/>
    <w:rsid w:val="00602FE6"/>
    <w:rsid w:val="00606C46"/>
    <w:rsid w:val="00614132"/>
    <w:rsid w:val="00636B73"/>
    <w:rsid w:val="00645B21"/>
    <w:rsid w:val="006628A5"/>
    <w:rsid w:val="00662982"/>
    <w:rsid w:val="00667187"/>
    <w:rsid w:val="0067478E"/>
    <w:rsid w:val="006755EE"/>
    <w:rsid w:val="006815D2"/>
    <w:rsid w:val="00681835"/>
    <w:rsid w:val="00684884"/>
    <w:rsid w:val="00684B55"/>
    <w:rsid w:val="00690F34"/>
    <w:rsid w:val="006A28A9"/>
    <w:rsid w:val="006B6F0C"/>
    <w:rsid w:val="006C0EEF"/>
    <w:rsid w:val="006D0D95"/>
    <w:rsid w:val="006D6052"/>
    <w:rsid w:val="006E5BDC"/>
    <w:rsid w:val="006F4AD8"/>
    <w:rsid w:val="006F4D61"/>
    <w:rsid w:val="006F5C4B"/>
    <w:rsid w:val="00707933"/>
    <w:rsid w:val="007168C0"/>
    <w:rsid w:val="00722939"/>
    <w:rsid w:val="00740693"/>
    <w:rsid w:val="00741D1A"/>
    <w:rsid w:val="007421FE"/>
    <w:rsid w:val="00754800"/>
    <w:rsid w:val="00776E4F"/>
    <w:rsid w:val="00783D02"/>
    <w:rsid w:val="00784A3D"/>
    <w:rsid w:val="00790A75"/>
    <w:rsid w:val="00791F4C"/>
    <w:rsid w:val="007A2275"/>
    <w:rsid w:val="007A4372"/>
    <w:rsid w:val="007B0A73"/>
    <w:rsid w:val="007C0130"/>
    <w:rsid w:val="007C20BF"/>
    <w:rsid w:val="007C2E6A"/>
    <w:rsid w:val="007D22E4"/>
    <w:rsid w:val="007D627D"/>
    <w:rsid w:val="007E4C4B"/>
    <w:rsid w:val="007E6CB7"/>
    <w:rsid w:val="007F5646"/>
    <w:rsid w:val="007F6607"/>
    <w:rsid w:val="00801F0F"/>
    <w:rsid w:val="008120C2"/>
    <w:rsid w:val="00826378"/>
    <w:rsid w:val="00842314"/>
    <w:rsid w:val="00861026"/>
    <w:rsid w:val="00876E35"/>
    <w:rsid w:val="008830C1"/>
    <w:rsid w:val="00893A54"/>
    <w:rsid w:val="00893FDB"/>
    <w:rsid w:val="0089745F"/>
    <w:rsid w:val="008A32BD"/>
    <w:rsid w:val="008B3194"/>
    <w:rsid w:val="008B7CBF"/>
    <w:rsid w:val="008C7649"/>
    <w:rsid w:val="008E4F36"/>
    <w:rsid w:val="00906D29"/>
    <w:rsid w:val="009273B8"/>
    <w:rsid w:val="00940EDA"/>
    <w:rsid w:val="00941659"/>
    <w:rsid w:val="00955E75"/>
    <w:rsid w:val="0096486E"/>
    <w:rsid w:val="00965576"/>
    <w:rsid w:val="00971249"/>
    <w:rsid w:val="009715DD"/>
    <w:rsid w:val="0097666D"/>
    <w:rsid w:val="00982BBE"/>
    <w:rsid w:val="009A2231"/>
    <w:rsid w:val="009A3651"/>
    <w:rsid w:val="009B2A8F"/>
    <w:rsid w:val="009C6F9F"/>
    <w:rsid w:val="009E19CD"/>
    <w:rsid w:val="009F1C20"/>
    <w:rsid w:val="009F5591"/>
    <w:rsid w:val="00A122F7"/>
    <w:rsid w:val="00A35604"/>
    <w:rsid w:val="00A703AE"/>
    <w:rsid w:val="00A91DCE"/>
    <w:rsid w:val="00AA3B4F"/>
    <w:rsid w:val="00AA3E52"/>
    <w:rsid w:val="00AB126F"/>
    <w:rsid w:val="00AB7A7F"/>
    <w:rsid w:val="00AD1653"/>
    <w:rsid w:val="00AD3402"/>
    <w:rsid w:val="00AD4B2B"/>
    <w:rsid w:val="00AE278C"/>
    <w:rsid w:val="00B04A0D"/>
    <w:rsid w:val="00B102BD"/>
    <w:rsid w:val="00B12C32"/>
    <w:rsid w:val="00B13EA5"/>
    <w:rsid w:val="00B2055E"/>
    <w:rsid w:val="00B2358F"/>
    <w:rsid w:val="00B23D27"/>
    <w:rsid w:val="00B27663"/>
    <w:rsid w:val="00B31A16"/>
    <w:rsid w:val="00B332EB"/>
    <w:rsid w:val="00B4319B"/>
    <w:rsid w:val="00B50B59"/>
    <w:rsid w:val="00B5771A"/>
    <w:rsid w:val="00B71E34"/>
    <w:rsid w:val="00B83210"/>
    <w:rsid w:val="00B83984"/>
    <w:rsid w:val="00B956BA"/>
    <w:rsid w:val="00BA17A2"/>
    <w:rsid w:val="00BB18F6"/>
    <w:rsid w:val="00BC1F63"/>
    <w:rsid w:val="00BC2DC2"/>
    <w:rsid w:val="00BF53B1"/>
    <w:rsid w:val="00C614A4"/>
    <w:rsid w:val="00C97CFD"/>
    <w:rsid w:val="00CB1D5B"/>
    <w:rsid w:val="00CC1A96"/>
    <w:rsid w:val="00CC1C93"/>
    <w:rsid w:val="00CD04F5"/>
    <w:rsid w:val="00CD16BF"/>
    <w:rsid w:val="00CF03B0"/>
    <w:rsid w:val="00D05316"/>
    <w:rsid w:val="00D11C43"/>
    <w:rsid w:val="00D1308E"/>
    <w:rsid w:val="00D24364"/>
    <w:rsid w:val="00D304C2"/>
    <w:rsid w:val="00D36952"/>
    <w:rsid w:val="00D43B32"/>
    <w:rsid w:val="00D5042C"/>
    <w:rsid w:val="00D60B20"/>
    <w:rsid w:val="00D6283C"/>
    <w:rsid w:val="00D74331"/>
    <w:rsid w:val="00D745DE"/>
    <w:rsid w:val="00D94907"/>
    <w:rsid w:val="00DA2601"/>
    <w:rsid w:val="00DC44F0"/>
    <w:rsid w:val="00DD0C2A"/>
    <w:rsid w:val="00DD4694"/>
    <w:rsid w:val="00DE23B7"/>
    <w:rsid w:val="00DE7E4A"/>
    <w:rsid w:val="00DF089C"/>
    <w:rsid w:val="00E03018"/>
    <w:rsid w:val="00E0595B"/>
    <w:rsid w:val="00E20EEC"/>
    <w:rsid w:val="00E23569"/>
    <w:rsid w:val="00E31B46"/>
    <w:rsid w:val="00E4258A"/>
    <w:rsid w:val="00E5070C"/>
    <w:rsid w:val="00E53941"/>
    <w:rsid w:val="00E53F9A"/>
    <w:rsid w:val="00E56ABA"/>
    <w:rsid w:val="00E65AA4"/>
    <w:rsid w:val="00E7495C"/>
    <w:rsid w:val="00E74C7E"/>
    <w:rsid w:val="00E82B5C"/>
    <w:rsid w:val="00E86F69"/>
    <w:rsid w:val="00E973C0"/>
    <w:rsid w:val="00EA08AB"/>
    <w:rsid w:val="00EA5443"/>
    <w:rsid w:val="00EA63D3"/>
    <w:rsid w:val="00EA7D90"/>
    <w:rsid w:val="00EB6713"/>
    <w:rsid w:val="00EC042B"/>
    <w:rsid w:val="00EC0AF5"/>
    <w:rsid w:val="00EC4A9A"/>
    <w:rsid w:val="00EC5F78"/>
    <w:rsid w:val="00ED12F8"/>
    <w:rsid w:val="00EE4967"/>
    <w:rsid w:val="00EF34E0"/>
    <w:rsid w:val="00F13EA6"/>
    <w:rsid w:val="00F3061F"/>
    <w:rsid w:val="00F34EBE"/>
    <w:rsid w:val="00F3761C"/>
    <w:rsid w:val="00F37A12"/>
    <w:rsid w:val="00F45487"/>
    <w:rsid w:val="00F47027"/>
    <w:rsid w:val="00F61EBF"/>
    <w:rsid w:val="00F65334"/>
    <w:rsid w:val="00F65F1B"/>
    <w:rsid w:val="00F67F16"/>
    <w:rsid w:val="00F72338"/>
    <w:rsid w:val="00F810FD"/>
    <w:rsid w:val="00F86D48"/>
    <w:rsid w:val="00F96A73"/>
    <w:rsid w:val="00FA29D0"/>
    <w:rsid w:val="00FC357D"/>
    <w:rsid w:val="00FC4BEF"/>
    <w:rsid w:val="00FC4F7C"/>
    <w:rsid w:val="00FD0B03"/>
    <w:rsid w:val="00FD75C8"/>
    <w:rsid w:val="00FE01C8"/>
    <w:rsid w:val="00FE09E1"/>
    <w:rsid w:val="00FF23A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987F29-B5FF-479A-9449-6D0DBF5E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78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A5781"/>
    <w:pPr>
      <w:tabs>
        <w:tab w:val="center" w:pos="4252"/>
        <w:tab w:val="right" w:pos="8504"/>
      </w:tabs>
    </w:pPr>
  </w:style>
  <w:style w:type="character" w:customStyle="1" w:styleId="PiedepginaCar">
    <w:name w:val="Pie de página Car"/>
    <w:basedOn w:val="Fuentedeprrafopredeter"/>
    <w:link w:val="Piedepgina"/>
    <w:rsid w:val="002A578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A5781"/>
  </w:style>
  <w:style w:type="paragraph" w:styleId="Encabezado">
    <w:name w:val="header"/>
    <w:basedOn w:val="Normal"/>
    <w:link w:val="EncabezadoCar"/>
    <w:rsid w:val="002A5781"/>
    <w:pPr>
      <w:tabs>
        <w:tab w:val="center" w:pos="4252"/>
        <w:tab w:val="right" w:pos="8504"/>
      </w:tabs>
    </w:pPr>
  </w:style>
  <w:style w:type="character" w:customStyle="1" w:styleId="EncabezadoCar">
    <w:name w:val="Encabezado Car"/>
    <w:basedOn w:val="Fuentedeprrafopredeter"/>
    <w:link w:val="Encabezado"/>
    <w:rsid w:val="002A5781"/>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A578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A5781"/>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2A5781"/>
    <w:pPr>
      <w:spacing w:line="360" w:lineRule="auto"/>
      <w:jc w:val="both"/>
    </w:pPr>
    <w:rPr>
      <w:rFonts w:ascii="Arial" w:hAnsi="Arial"/>
      <w:sz w:val="28"/>
    </w:rPr>
  </w:style>
  <w:style w:type="paragraph" w:customStyle="1" w:styleId="Textoindependiente32">
    <w:name w:val="Texto independiente 32"/>
    <w:basedOn w:val="Normal"/>
    <w:rsid w:val="00F72338"/>
    <w:pPr>
      <w:spacing w:line="360" w:lineRule="auto"/>
      <w:jc w:val="both"/>
    </w:pPr>
    <w:rPr>
      <w:rFonts w:ascii="Arial" w:hAnsi="Arial"/>
    </w:rPr>
  </w:style>
  <w:style w:type="paragraph" w:styleId="Textoindependiente2">
    <w:name w:val="Body Text 2"/>
    <w:basedOn w:val="Normal"/>
    <w:link w:val="Textoindependiente2Car"/>
    <w:rsid w:val="0009235B"/>
    <w:pPr>
      <w:spacing w:line="360" w:lineRule="auto"/>
      <w:jc w:val="both"/>
    </w:pPr>
    <w:rPr>
      <w:rFonts w:ascii="Arial" w:hAnsi="Arial"/>
      <w:b/>
      <w:color w:val="FF0000"/>
      <w:sz w:val="28"/>
      <w:lang w:val="es-ES"/>
    </w:rPr>
  </w:style>
  <w:style w:type="character" w:customStyle="1" w:styleId="Textoindependiente2Car">
    <w:name w:val="Texto independiente 2 Car"/>
    <w:basedOn w:val="Fuentedeprrafopredeter"/>
    <w:link w:val="Textoindependiente2"/>
    <w:rsid w:val="0009235B"/>
    <w:rPr>
      <w:rFonts w:ascii="Arial" w:eastAsia="Times New Roman" w:hAnsi="Arial" w:cs="Times New Roman"/>
      <w:b/>
      <w:color w:val="FF0000"/>
      <w:sz w:val="28"/>
      <w:szCs w:val="20"/>
      <w:lang w:eastAsia="es-ES"/>
    </w:rPr>
  </w:style>
  <w:style w:type="paragraph" w:styleId="Prrafodelista">
    <w:name w:val="List Paragraph"/>
    <w:basedOn w:val="Normal"/>
    <w:uiPriority w:val="34"/>
    <w:qFormat/>
    <w:rsid w:val="006755EE"/>
    <w:pPr>
      <w:ind w:left="720"/>
      <w:contextualSpacing/>
    </w:pPr>
  </w:style>
  <w:style w:type="character" w:customStyle="1" w:styleId="SinespaciadoCar">
    <w:name w:val="Sin espaciado Car"/>
    <w:link w:val="Sinespaciado"/>
    <w:uiPriority w:val="1"/>
    <w:locked/>
    <w:rsid w:val="00323DE7"/>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2357</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Henry Lora Rodriguez</cp:lastModifiedBy>
  <cp:revision>17</cp:revision>
  <dcterms:created xsi:type="dcterms:W3CDTF">2016-09-15T15:20:00Z</dcterms:created>
  <dcterms:modified xsi:type="dcterms:W3CDTF">2016-11-18T22:41:00Z</dcterms:modified>
</cp:coreProperties>
</file>