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FD" w:rsidRDefault="00217EFD" w:rsidP="00217EFD">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8D2C5E">
        <w:rPr>
          <w:rFonts w:ascii="Arial Narrow" w:hAnsi="Arial Narrow" w:cs="Arial"/>
          <w:b w:val="0"/>
          <w:bCs w:val="0"/>
          <w:spacing w:val="2"/>
        </w:rPr>
        <w:t>06</w:t>
      </w:r>
      <w:r w:rsidRPr="00C778B1">
        <w:rPr>
          <w:rFonts w:ascii="Arial Narrow" w:hAnsi="Arial Narrow" w:cs="Arial"/>
          <w:b w:val="0"/>
          <w:bCs w:val="0"/>
          <w:spacing w:val="2"/>
        </w:rPr>
        <w:t xml:space="preserve"> de </w:t>
      </w:r>
      <w:r w:rsidR="008D2C5E">
        <w:rPr>
          <w:rFonts w:ascii="Arial Narrow" w:hAnsi="Arial Narrow" w:cs="Arial"/>
          <w:b w:val="0"/>
          <w:bCs w:val="0"/>
          <w:spacing w:val="2"/>
        </w:rPr>
        <w:t>octubre</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593CD1">
        <w:rPr>
          <w:rFonts w:ascii="Arial Narrow" w:hAnsi="Arial Narrow" w:cs="Arial"/>
          <w:b w:val="0"/>
          <w:bCs w:val="0"/>
          <w:spacing w:val="2"/>
        </w:rPr>
        <w:t>6</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66001-31-05-004-201</w:t>
      </w:r>
      <w:r w:rsidR="008D2C5E">
        <w:rPr>
          <w:rFonts w:ascii="Arial Narrow" w:hAnsi="Arial Narrow" w:cs="Arial"/>
          <w:b w:val="0"/>
          <w:bCs w:val="0"/>
          <w:spacing w:val="2"/>
        </w:rPr>
        <w:t>5</w:t>
      </w:r>
      <w:r w:rsidRPr="00C778B1">
        <w:rPr>
          <w:rFonts w:ascii="Arial Narrow" w:hAnsi="Arial Narrow" w:cs="Arial"/>
          <w:b w:val="0"/>
          <w:bCs w:val="0"/>
          <w:spacing w:val="2"/>
        </w:rPr>
        <w:t>-</w:t>
      </w:r>
      <w:r w:rsidR="00593CD1">
        <w:rPr>
          <w:rFonts w:ascii="Arial Narrow" w:hAnsi="Arial Narrow" w:cs="Arial"/>
          <w:b w:val="0"/>
          <w:bCs w:val="0"/>
          <w:spacing w:val="2"/>
        </w:rPr>
        <w:t>00</w:t>
      </w:r>
      <w:r w:rsidR="008D2C5E">
        <w:rPr>
          <w:rFonts w:ascii="Arial Narrow" w:hAnsi="Arial Narrow" w:cs="Arial"/>
          <w:b w:val="0"/>
          <w:bCs w:val="0"/>
          <w:spacing w:val="2"/>
        </w:rPr>
        <w:t>197</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8D2C5E">
        <w:rPr>
          <w:rFonts w:ascii="Arial Narrow" w:hAnsi="Arial Narrow" w:cs="Arial"/>
          <w:b w:val="0"/>
          <w:bCs w:val="0"/>
          <w:spacing w:val="2"/>
        </w:rPr>
        <w:t>Claudia Patricia Duque Montoya y Otros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8D2C5E">
        <w:rPr>
          <w:rFonts w:ascii="Arial Narrow" w:hAnsi="Arial Narrow" w:cs="Arial"/>
          <w:b w:val="0"/>
          <w:bCs w:val="0"/>
          <w:spacing w:val="2"/>
        </w:rPr>
        <w:t>Whirpool Colombia S.A.S.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Cuarto Laboral del Circuito</w:t>
      </w:r>
    </w:p>
    <w:p w:rsidR="007B2ABD" w:rsidRPr="007B2ABD" w:rsidRDefault="00593CD1" w:rsidP="007B2ABD">
      <w:pPr>
        <w:pStyle w:val="a"/>
        <w:ind w:left="2832" w:hanging="2832"/>
        <w:jc w:val="both"/>
        <w:rPr>
          <w:rFonts w:ascii="Arial Narrow" w:hAnsi="Arial Narrow" w:cs="Arial"/>
          <w:b w:val="0"/>
        </w:rPr>
      </w:pPr>
      <w:r>
        <w:rPr>
          <w:rFonts w:ascii="Arial Narrow" w:hAnsi="Arial Narrow" w:cs="Arial"/>
          <w:b w:val="0"/>
          <w:bCs w:val="0"/>
          <w:spacing w:val="2"/>
        </w:rPr>
        <w:t>Tema:</w:t>
      </w:r>
      <w:r w:rsidR="008D2C5E">
        <w:rPr>
          <w:rFonts w:ascii="Arial Narrow" w:hAnsi="Arial Narrow" w:cs="Arial"/>
          <w:b w:val="0"/>
          <w:bCs w:val="0"/>
          <w:spacing w:val="2"/>
        </w:rPr>
        <w:tab/>
      </w:r>
      <w:r w:rsidR="00072141" w:rsidRPr="00072141">
        <w:rPr>
          <w:rFonts w:ascii="Arial Narrow" w:hAnsi="Arial Narrow" w:cs="Arial"/>
          <w:bCs w:val="0"/>
          <w:spacing w:val="2"/>
        </w:rPr>
        <w:t>Posibilidad de comisionar para la recepción de testimonios.</w:t>
      </w:r>
      <w:r w:rsidR="00072141">
        <w:rPr>
          <w:rFonts w:ascii="Arial Narrow" w:hAnsi="Arial Narrow" w:cs="Arial"/>
          <w:b w:val="0"/>
          <w:bCs w:val="0"/>
          <w:spacing w:val="2"/>
        </w:rPr>
        <w:t xml:space="preserve"> </w:t>
      </w:r>
      <w:r w:rsidR="00072141" w:rsidRPr="00072141">
        <w:rPr>
          <w:rFonts w:ascii="Arial Narrow" w:hAnsi="Arial Narrow" w:cs="Arial"/>
          <w:b w:val="0"/>
          <w:bCs w:val="0"/>
          <w:spacing w:val="2"/>
        </w:rPr>
        <w:t>Interpretando ambas normas, que parecieran contrarias, se debe colegir necesariamente que, entratándose de testimonios de personas que están fuera de la sede del Despacho, no es que esté proscrita totalmente la comisión, sino que la misma es viable solo de manera excepcionalísima, debiéndose verificar antes de llegar a esa vía, el agotamiento de la posibilidad de usar medios técnicos o de que los deponentes se trasladen hasta la sede del Despacho y, de resultar totalmente inviables tales posibilidades, acudir por última ratio a la comisión.</w:t>
      </w:r>
      <w:r w:rsidR="00072141">
        <w:rPr>
          <w:rFonts w:ascii="Arial Narrow" w:hAnsi="Arial Narrow" w:cs="Arial"/>
          <w:b w:val="0"/>
          <w:bCs w:val="0"/>
          <w:spacing w:val="2"/>
        </w:rPr>
        <w:t xml:space="preserve"> </w:t>
      </w:r>
      <w:r w:rsidR="00072141" w:rsidRPr="00072141">
        <w:rPr>
          <w:rFonts w:ascii="Arial Narrow" w:hAnsi="Arial Narrow" w:cs="Arial"/>
          <w:b w:val="0"/>
          <w:bCs w:val="0"/>
          <w:spacing w:val="2"/>
        </w:rPr>
        <w:t>Por tanto, es indispensable que la decisión judicial sobre la forma como se van a evacuar los testimonios de personas que vivan fuera de la sede del Despacho, tenga en consideración aspectos como la utilización de medios técnicos idóneos o la capacidad económica de los intervinientes o la distancia entre la sede del Despacho y el lugar de habitación de los testigos o las posibilidades de transporte y aspectos similares, que permitan descartar la posibilidad de acudir a medios de asistencia virtual o a la asistencia personal del deponente y dejen como única opción la comisión.</w:t>
      </w:r>
      <w:r w:rsidR="00072141">
        <w:rPr>
          <w:rFonts w:ascii="Arial Narrow" w:hAnsi="Arial Narrow" w:cs="Arial"/>
          <w:b w:val="0"/>
          <w:bCs w:val="0"/>
          <w:spacing w:val="2"/>
        </w:rPr>
        <w:t xml:space="preserve"> </w:t>
      </w:r>
      <w:r w:rsidR="00072141" w:rsidRPr="00072141">
        <w:rPr>
          <w:rFonts w:ascii="Arial Narrow" w:hAnsi="Arial Narrow" w:cs="Arial"/>
          <w:bCs w:val="0"/>
          <w:spacing w:val="2"/>
        </w:rPr>
        <w:t>Nulidad por violación del debido proceso.</w:t>
      </w:r>
      <w:r w:rsidR="00072141">
        <w:rPr>
          <w:rFonts w:ascii="Arial Narrow" w:hAnsi="Arial Narrow" w:cs="Arial"/>
          <w:b w:val="0"/>
          <w:bCs w:val="0"/>
          <w:spacing w:val="2"/>
        </w:rPr>
        <w:t xml:space="preserve"> </w:t>
      </w:r>
      <w:r w:rsidR="00072141" w:rsidRPr="00072141">
        <w:rPr>
          <w:rFonts w:ascii="Arial Narrow" w:hAnsi="Arial Narrow" w:cs="Arial"/>
          <w:b w:val="0"/>
          <w:bCs w:val="0"/>
          <w:spacing w:val="2"/>
        </w:rPr>
        <w:t>Como se evidencia, la violación al debido proceso debe ser ostensible, debe afectar las exigencias esenciales de defensa de la contraparte para anular de pleno derecho, la prueba así obtenida y las que de ella se deriven.</w:t>
      </w:r>
      <w:r w:rsidR="007B2ABD">
        <w:rPr>
          <w:rFonts w:ascii="Arial Narrow" w:hAnsi="Arial Narrow" w:cs="Arial"/>
          <w:b w:val="0"/>
          <w:bCs w:val="0"/>
          <w:spacing w:val="2"/>
        </w:rPr>
        <w:t xml:space="preserve"> </w:t>
      </w:r>
      <w:r w:rsidR="007B2ABD" w:rsidRPr="007B2ABD">
        <w:rPr>
          <w:rFonts w:ascii="Arial Narrow" w:hAnsi="Arial Narrow" w:cs="Arial"/>
        </w:rPr>
        <w:t>Documentos contenidos en mensajes de datos. / Valoración.</w:t>
      </w:r>
      <w:r w:rsidR="007B2ABD">
        <w:rPr>
          <w:rFonts w:ascii="Arial Narrow" w:hAnsi="Arial Narrow" w:cs="Arial"/>
        </w:rPr>
        <w:t xml:space="preserve"> – Recurso contra la negativa </w:t>
      </w:r>
      <w:r w:rsidR="006E54A9">
        <w:rPr>
          <w:rFonts w:ascii="Arial Narrow" w:hAnsi="Arial Narrow" w:cs="Arial"/>
        </w:rPr>
        <w:t>de</w:t>
      </w:r>
      <w:r w:rsidR="007B2ABD">
        <w:rPr>
          <w:rFonts w:ascii="Arial Narrow" w:hAnsi="Arial Narrow" w:cs="Arial"/>
        </w:rPr>
        <w:t xml:space="preserve"> </w:t>
      </w:r>
      <w:r w:rsidR="006E54A9">
        <w:rPr>
          <w:rFonts w:ascii="Arial Narrow" w:hAnsi="Arial Narrow" w:cs="Arial"/>
        </w:rPr>
        <w:t xml:space="preserve">practicar </w:t>
      </w:r>
      <w:r w:rsidR="007B2ABD">
        <w:rPr>
          <w:rFonts w:ascii="Arial Narrow" w:hAnsi="Arial Narrow" w:cs="Arial"/>
        </w:rPr>
        <w:t xml:space="preserve">pruebas, no contra la providencia que las decreta - </w:t>
      </w:r>
      <w:r w:rsidR="007B2ABD" w:rsidRPr="007B2ABD">
        <w:rPr>
          <w:rFonts w:ascii="Arial Narrow" w:hAnsi="Arial Narrow" w:cs="Arial"/>
          <w:b w:val="0"/>
        </w:rPr>
        <w:t xml:space="preserve">En el caso puntual, se tiene que la Jueza decretó como prueba unos documentos, contentivos de unos correos electrónicos que recibió la demandante de su empleador y esa decisión, la de tener tales documentos como prueba, es la que está apelando la demandante.  De entrada se observa, que el recurso es improcedente, dado que el artículo 65 del CPLSS, en su ordinal 4º, indica la posibilidad de alzarse contra la providencia que niega el decreto o la práctica de una prueba, lo que no ocurre en este evento, pues la Jueza decretó las pruebas y los señalamientos que hace la demandada sobre la forma como se debieron aportar esos documentos, bien deben reservarse para atacar los mismos en los alegatos de conclusión, mas no para pretender su exclusión como medio de prueba, pues la Jueza los estimó pertinentes, conducentes, útiles y oportunos para dirimir el litigio, decisión que se itera, no es susceptible de recurrirse. </w:t>
      </w:r>
    </w:p>
    <w:p w:rsidR="007B2ABD" w:rsidRPr="007B2ABD" w:rsidRDefault="007B2ABD" w:rsidP="007B2ABD">
      <w:pPr>
        <w:pStyle w:val="Puesto"/>
        <w:rPr>
          <w:rFonts w:ascii="Arial Narrow" w:hAnsi="Arial Narrow"/>
          <w:sz w:val="20"/>
          <w:szCs w:val="20"/>
          <w:lang w:val="es-ES"/>
        </w:rPr>
      </w:pPr>
    </w:p>
    <w:p w:rsidR="00377EDD" w:rsidRDefault="00377EDD" w:rsidP="00377EDD">
      <w:pPr>
        <w:pStyle w:val="Textonotapie"/>
      </w:pPr>
      <w:r>
        <w:t>Citación jurisprudencial: Sentencia C-491 de 1995.</w:t>
      </w:r>
    </w:p>
    <w:p w:rsidR="007B2ABD" w:rsidRPr="007B2ABD" w:rsidRDefault="007B2ABD" w:rsidP="007B2ABD">
      <w:pPr>
        <w:pStyle w:val="Puesto"/>
        <w:rPr>
          <w:rFonts w:ascii="Arial Narrow" w:hAnsi="Arial Narrow"/>
          <w:sz w:val="20"/>
          <w:szCs w:val="20"/>
          <w:lang w:val="es-ES"/>
        </w:rPr>
      </w:pPr>
      <w:bookmarkStart w:id="0" w:name="_GoBack"/>
      <w:bookmarkEnd w:id="0"/>
    </w:p>
    <w:p w:rsidR="008D2C5E" w:rsidRPr="007B2ABD" w:rsidRDefault="008D2C5E" w:rsidP="008D2C5E">
      <w:pPr>
        <w:rPr>
          <w:rFonts w:ascii="Arial Narrow" w:hAnsi="Arial Narrow"/>
          <w:sz w:val="20"/>
          <w:szCs w:val="20"/>
          <w:lang w:val="es-ES"/>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8D2C5E" w:rsidRDefault="008D2C5E"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lastRenderedPageBreak/>
        <w:t xml:space="preserve">Hoy seis (6) de octubre de dos mil dieciséis (2016), siendo las once y quince de la mañana (11.15 a.m.), se constituye la Sala de Decisión Laboral No. 03 del Tribunal Superior de Pereira, en audiencia pública, con el fin de desatar los recursos de apelación propuestos por la apoderada judicial de la sociedad demandada contra varias decisiones adoptadas por el Juzgado Cuarto Laboral del Circuito de Pereira en audiencia pública de que trata el canon 77 del CPTSS, llevada a cabo en el proceso judicial que adelanta </w:t>
      </w:r>
      <w:r>
        <w:rPr>
          <w:rFonts w:ascii="Arial Narrow" w:hAnsi="Arial Narrow" w:cs="Arial"/>
          <w:b/>
          <w:spacing w:val="-2"/>
          <w:sz w:val="28"/>
          <w:szCs w:val="28"/>
        </w:rPr>
        <w:t xml:space="preserve">CLAUDIA PATRICIA DUQUE MONTOYA Y OTROS </w:t>
      </w:r>
      <w:r>
        <w:rPr>
          <w:rFonts w:ascii="Arial Narrow" w:hAnsi="Arial Narrow" w:cs="Arial"/>
          <w:spacing w:val="-2"/>
          <w:sz w:val="28"/>
          <w:szCs w:val="28"/>
        </w:rPr>
        <w:t xml:space="preserve">contra la sociedad </w:t>
      </w:r>
      <w:r>
        <w:rPr>
          <w:rFonts w:ascii="Arial Narrow" w:hAnsi="Arial Narrow" w:cs="Arial"/>
          <w:b/>
          <w:spacing w:val="-2"/>
          <w:sz w:val="28"/>
          <w:szCs w:val="28"/>
        </w:rPr>
        <w:t>WHIRPOOL COLOMBIA S.A.S.</w:t>
      </w:r>
    </w:p>
    <w:p w:rsidR="005B1E37" w:rsidRDefault="005B1E37" w:rsidP="0097627F">
      <w:pPr>
        <w:suppressAutoHyphens/>
        <w:spacing w:line="360" w:lineRule="auto"/>
        <w:ind w:firstLine="851"/>
        <w:jc w:val="both"/>
        <w:rPr>
          <w:rFonts w:ascii="Arial Narrow" w:hAnsi="Arial Narrow" w:cs="Arial"/>
          <w:sz w:val="28"/>
          <w:szCs w:val="28"/>
        </w:rPr>
      </w:pP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8D2C5E" w:rsidRDefault="008D2C5E" w:rsidP="0097627F">
      <w:pPr>
        <w:pStyle w:val="Textoindependiente2"/>
        <w:ind w:firstLine="851"/>
        <w:rPr>
          <w:rFonts w:ascii="Arial Narrow" w:hAnsi="Arial Narrow" w:cs="Arial"/>
          <w:bCs/>
          <w:sz w:val="28"/>
          <w:szCs w:val="28"/>
        </w:rPr>
      </w:pPr>
      <w:r w:rsidRPr="008D2C5E">
        <w:rPr>
          <w:rFonts w:ascii="Arial Narrow" w:hAnsi="Arial Narrow" w:cs="Arial"/>
          <w:bCs/>
          <w:sz w:val="28"/>
          <w:szCs w:val="28"/>
        </w:rPr>
        <w:t>Persiguen</w:t>
      </w:r>
      <w:r>
        <w:rPr>
          <w:rFonts w:ascii="Arial Narrow" w:hAnsi="Arial Narrow" w:cs="Arial"/>
          <w:b/>
          <w:bCs/>
          <w:sz w:val="28"/>
          <w:szCs w:val="28"/>
        </w:rPr>
        <w:t xml:space="preserve"> </w:t>
      </w:r>
      <w:r>
        <w:rPr>
          <w:rFonts w:ascii="Arial Narrow" w:hAnsi="Arial Narrow" w:cs="Arial"/>
          <w:bCs/>
          <w:sz w:val="28"/>
          <w:szCs w:val="28"/>
        </w:rPr>
        <w:t>los demandantes mediante el presente proceso, la declaratoria de un contrato de trabajo y la culpa del empleador en una enfermedad laboral padecida por la señora Duque Montoya, con las consecuentes indemnizaciones.</w:t>
      </w:r>
    </w:p>
    <w:p w:rsidR="008D2C5E" w:rsidRDefault="008D2C5E" w:rsidP="0097627F">
      <w:pPr>
        <w:pStyle w:val="Textoindependiente2"/>
        <w:ind w:firstLine="851"/>
        <w:rPr>
          <w:rFonts w:ascii="Arial Narrow" w:hAnsi="Arial Narrow" w:cs="Arial"/>
          <w:bCs/>
          <w:sz w:val="28"/>
          <w:szCs w:val="28"/>
        </w:rPr>
      </w:pPr>
    </w:p>
    <w:p w:rsidR="000A192D" w:rsidRDefault="008D2C5E"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Trabada la Litis, se dispuso el Despacho de conocimiento a </w:t>
      </w:r>
      <w:r w:rsidR="000A192D">
        <w:rPr>
          <w:rFonts w:ascii="Arial Narrow" w:hAnsi="Arial Narrow" w:cs="Arial"/>
          <w:bCs/>
          <w:sz w:val="28"/>
          <w:szCs w:val="28"/>
        </w:rPr>
        <w:t>llevar a cabo la audiencia de que trata el canon 77 del CPTSS, en la que luego de declararse fallida la etapa de conciliación y no encontrar excepciones previas que resolver, la parte demandada en la etapa de medidas de saneamiento entró a solicitar la vinculación de la ARL Colmena como litisconsorcio facultativo, pedido que fue despachado desfavorablemente por la a quo, al estimar que ninguna pretensión se encamina en su contra y, antes bien, se tiene noticia que ha asumido todas las obligaciones legales que le corresponden. La parte demandada presentó recurso de reposición y en subsidio apelación, adverando que la empresa ha puesto en evidencia que la calificación de la enfermedad de la demandante fue ilegal, pues se omitió en todo momento la vinculación de la sociedad en el proceso calificatorio, conociéndose apenas con la notificación de la demanda y, como el aludido dictamen es tan relevante, se hace necesaria la vinculación de la aludida sociedad. La decisión se mantuvo y se concedió la alzada, continuándose con el curso de la audiencia.</w:t>
      </w:r>
    </w:p>
    <w:p w:rsidR="000A192D" w:rsidRDefault="000A192D" w:rsidP="0097627F">
      <w:pPr>
        <w:pStyle w:val="Textoindependiente2"/>
        <w:ind w:firstLine="851"/>
        <w:rPr>
          <w:rFonts w:ascii="Arial Narrow" w:hAnsi="Arial Narrow" w:cs="Arial"/>
          <w:bCs/>
          <w:sz w:val="28"/>
          <w:szCs w:val="28"/>
        </w:rPr>
      </w:pPr>
    </w:p>
    <w:p w:rsidR="0001776B" w:rsidRDefault="00914D10" w:rsidP="0097627F">
      <w:pPr>
        <w:pStyle w:val="Textoindependiente2"/>
        <w:ind w:firstLine="851"/>
        <w:rPr>
          <w:rFonts w:ascii="Arial Narrow" w:hAnsi="Arial Narrow" w:cs="Arial"/>
          <w:bCs/>
          <w:sz w:val="28"/>
          <w:szCs w:val="28"/>
        </w:rPr>
      </w:pPr>
      <w:r>
        <w:rPr>
          <w:rFonts w:ascii="Arial Narrow" w:hAnsi="Arial Narrow" w:cs="Arial"/>
          <w:bCs/>
          <w:sz w:val="28"/>
          <w:szCs w:val="28"/>
        </w:rPr>
        <w:lastRenderedPageBreak/>
        <w:t>Fijado el litigio, se procedió con el decreto de pruebas de ambas partes</w:t>
      </w:r>
      <w:r w:rsidR="008805D4">
        <w:rPr>
          <w:rFonts w:ascii="Arial Narrow" w:hAnsi="Arial Narrow" w:cs="Arial"/>
          <w:bCs/>
          <w:sz w:val="28"/>
          <w:szCs w:val="28"/>
        </w:rPr>
        <w:t xml:space="preserve">, </w:t>
      </w:r>
      <w:r w:rsidR="0001776B">
        <w:rPr>
          <w:rFonts w:ascii="Arial Narrow" w:hAnsi="Arial Narrow" w:cs="Arial"/>
          <w:bCs/>
          <w:sz w:val="28"/>
          <w:szCs w:val="28"/>
        </w:rPr>
        <w:t>entre las que se dispuso oficiar a la misma sociedad demanda y a unos terceros para que se allegara una información, a solicitud de la parte actora, se decretaron unos correos electrónicos traídos por la demandante. Igualmente unos testimonios deprecados por la parte demandada, para los cuales se pidió comisión, a lo que no accedió la Jueza, de conformidad con el canon 224 del CGP.</w:t>
      </w:r>
    </w:p>
    <w:p w:rsidR="0001776B" w:rsidRDefault="0001776B" w:rsidP="0097627F">
      <w:pPr>
        <w:pStyle w:val="Textoindependiente2"/>
        <w:ind w:firstLine="851"/>
        <w:rPr>
          <w:rFonts w:ascii="Arial Narrow" w:hAnsi="Arial Narrow" w:cs="Arial"/>
          <w:bCs/>
          <w:sz w:val="28"/>
          <w:szCs w:val="28"/>
        </w:rPr>
      </w:pPr>
    </w:p>
    <w:p w:rsidR="008074EE" w:rsidRDefault="0001776B" w:rsidP="0097627F">
      <w:pPr>
        <w:pStyle w:val="Textoindependiente2"/>
        <w:ind w:firstLine="851"/>
        <w:rPr>
          <w:rFonts w:ascii="Arial Narrow" w:hAnsi="Arial Narrow" w:cs="Arial"/>
          <w:bCs/>
          <w:sz w:val="28"/>
          <w:szCs w:val="28"/>
        </w:rPr>
      </w:pPr>
      <w:r>
        <w:rPr>
          <w:rFonts w:ascii="Arial Narrow" w:hAnsi="Arial Narrow" w:cs="Arial"/>
          <w:bCs/>
          <w:sz w:val="28"/>
          <w:szCs w:val="28"/>
        </w:rPr>
        <w:t>La parte demandada interpuso recurso de reposición y en subsidio apelación, contra la decisió</w:t>
      </w:r>
      <w:r w:rsidR="00820A67">
        <w:rPr>
          <w:rFonts w:ascii="Arial Narrow" w:hAnsi="Arial Narrow" w:cs="Arial"/>
          <w:bCs/>
          <w:sz w:val="28"/>
          <w:szCs w:val="28"/>
        </w:rPr>
        <w:t>n del decreto de pruebas, puntualmente, contra los correos electrónicos que aportó</w:t>
      </w:r>
      <w:r>
        <w:rPr>
          <w:rFonts w:ascii="Arial Narrow" w:hAnsi="Arial Narrow" w:cs="Arial"/>
          <w:bCs/>
          <w:sz w:val="28"/>
          <w:szCs w:val="28"/>
        </w:rPr>
        <w:t xml:space="preserve"> </w:t>
      </w:r>
      <w:r w:rsidR="00820A67">
        <w:rPr>
          <w:rFonts w:ascii="Arial Narrow" w:hAnsi="Arial Narrow" w:cs="Arial"/>
          <w:bCs/>
          <w:sz w:val="28"/>
          <w:szCs w:val="28"/>
        </w:rPr>
        <w:t>la parte actora y la negativa de comisionar por parte de la a-quo para escuchar los declarantes de la parte demandada. Sustenta sus queja</w:t>
      </w:r>
      <w:r w:rsidR="008074EE">
        <w:rPr>
          <w:rFonts w:ascii="Arial Narrow" w:hAnsi="Arial Narrow" w:cs="Arial"/>
          <w:bCs/>
          <w:sz w:val="28"/>
          <w:szCs w:val="28"/>
        </w:rPr>
        <w:t>s</w:t>
      </w:r>
      <w:r w:rsidR="00820A67">
        <w:rPr>
          <w:rFonts w:ascii="Arial Narrow" w:hAnsi="Arial Narrow" w:cs="Arial"/>
          <w:bCs/>
          <w:sz w:val="28"/>
          <w:szCs w:val="28"/>
        </w:rPr>
        <w:t xml:space="preserve"> en que los correos electrónicos</w:t>
      </w:r>
      <w:r w:rsidR="008074EE">
        <w:rPr>
          <w:rFonts w:ascii="Arial Narrow" w:hAnsi="Arial Narrow" w:cs="Arial"/>
          <w:bCs/>
          <w:sz w:val="28"/>
          <w:szCs w:val="28"/>
        </w:rPr>
        <w:t xml:space="preserve"> no pueden ser tenidos en cuenta, al haber sido aportados en medios no idóneos –impresos-, conforme los cánones 247, 251 y 252 del CGP.</w:t>
      </w:r>
    </w:p>
    <w:p w:rsidR="008074EE" w:rsidRDefault="008074EE" w:rsidP="0097627F">
      <w:pPr>
        <w:pStyle w:val="Textoindependiente2"/>
        <w:ind w:firstLine="851"/>
        <w:rPr>
          <w:rFonts w:ascii="Arial Narrow" w:hAnsi="Arial Narrow" w:cs="Arial"/>
          <w:bCs/>
          <w:sz w:val="28"/>
          <w:szCs w:val="28"/>
        </w:rPr>
      </w:pPr>
    </w:p>
    <w:p w:rsidR="002E4AF9" w:rsidRDefault="008074EE"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 Frente a la comisión para escuchar los testigos, estima que los cánones 37 y 171 del CGP sí permite la comisión en los casos en que no existen los medios tecnológicos para adelanta por otro medio, y asumir los costos de su traslado, resulta costoso</w:t>
      </w:r>
      <w:r>
        <w:rPr>
          <w:rFonts w:ascii="Arial Narrow" w:hAnsi="Arial Narrow" w:cs="Arial"/>
          <w:bCs/>
          <w:sz w:val="28"/>
          <w:szCs w:val="28"/>
          <w:lang w:val="es-CO"/>
        </w:rPr>
        <w:t xml:space="preserve"> y lesivo para las partes</w:t>
      </w:r>
      <w:r>
        <w:rPr>
          <w:rFonts w:ascii="Arial Narrow" w:hAnsi="Arial Narrow" w:cs="Arial"/>
          <w:bCs/>
          <w:sz w:val="28"/>
          <w:szCs w:val="28"/>
        </w:rPr>
        <w:t>. Desatada la reposición, manteniéndose las decisiones adoptadas</w:t>
      </w:r>
      <w:r w:rsidR="002E4AF9">
        <w:rPr>
          <w:rFonts w:ascii="Arial Narrow" w:hAnsi="Arial Narrow" w:cs="Arial"/>
          <w:bCs/>
          <w:sz w:val="28"/>
          <w:szCs w:val="28"/>
        </w:rPr>
        <w:t>, se concedió la alzada por este concepto.</w:t>
      </w:r>
    </w:p>
    <w:p w:rsidR="002E4AF9" w:rsidRDefault="002E4AF9" w:rsidP="0097627F">
      <w:pPr>
        <w:pStyle w:val="Textoindependiente2"/>
        <w:ind w:firstLine="851"/>
        <w:rPr>
          <w:rFonts w:ascii="Arial Narrow" w:hAnsi="Arial Narrow" w:cs="Arial"/>
          <w:bCs/>
          <w:sz w:val="28"/>
          <w:szCs w:val="28"/>
        </w:rPr>
      </w:pPr>
    </w:p>
    <w:p w:rsidR="00E04A78" w:rsidRDefault="002E4AF9" w:rsidP="0097627F">
      <w:pPr>
        <w:pStyle w:val="Textoindependiente2"/>
        <w:ind w:firstLine="851"/>
        <w:rPr>
          <w:rFonts w:ascii="Arial Narrow" w:hAnsi="Arial Narrow" w:cs="Arial"/>
          <w:bCs/>
          <w:sz w:val="28"/>
          <w:szCs w:val="28"/>
        </w:rPr>
      </w:pPr>
      <w:r>
        <w:rPr>
          <w:rFonts w:ascii="Arial Narrow" w:hAnsi="Arial Narrow" w:cs="Arial"/>
          <w:bCs/>
          <w:sz w:val="28"/>
          <w:szCs w:val="28"/>
        </w:rPr>
        <w:t>Al finalizar el decreto de pruebas, la parte demandada elevó una solicitud de nulidad, indicando de entrada que no está expresamente anotada como causal en la legislación procesal, pero se sustenta la misma en el artículo 29 de la Carta Política</w:t>
      </w:r>
      <w:r w:rsidR="009D551F">
        <w:rPr>
          <w:rFonts w:ascii="Arial Narrow" w:hAnsi="Arial Narrow" w:cs="Arial"/>
          <w:bCs/>
          <w:sz w:val="28"/>
          <w:szCs w:val="28"/>
        </w:rPr>
        <w:t xml:space="preserve">, la que hace consistir en </w:t>
      </w:r>
      <w:r w:rsidR="007741F1">
        <w:rPr>
          <w:rFonts w:ascii="Arial Narrow" w:hAnsi="Arial Narrow" w:cs="Arial"/>
          <w:bCs/>
          <w:sz w:val="28"/>
          <w:szCs w:val="28"/>
        </w:rPr>
        <w:t>que la declaratoria de las probanzas destinadas a obtener documentos de terceros, afectan el debido proceso de esa parte, amén que la parte demandante omitió cumplir con la carga mínima que le impone el artículo 167 del CGP, esto es, siquiera tratar de obtener la prueba por sus propios medios, por lo que el decreto de tales probanzas genera un rompimiento de la igualdad de las partes</w:t>
      </w:r>
      <w:r w:rsidR="00E04A78">
        <w:rPr>
          <w:rFonts w:ascii="Arial Narrow" w:hAnsi="Arial Narrow" w:cs="Arial"/>
          <w:bCs/>
          <w:sz w:val="28"/>
          <w:szCs w:val="28"/>
        </w:rPr>
        <w:t>.</w:t>
      </w:r>
    </w:p>
    <w:p w:rsidR="00E04A78" w:rsidRDefault="00E04A78" w:rsidP="0097627F">
      <w:pPr>
        <w:pStyle w:val="Textoindependiente2"/>
        <w:ind w:firstLine="851"/>
        <w:rPr>
          <w:rFonts w:ascii="Arial Narrow" w:hAnsi="Arial Narrow" w:cs="Arial"/>
          <w:bCs/>
          <w:sz w:val="28"/>
          <w:szCs w:val="28"/>
        </w:rPr>
      </w:pPr>
    </w:p>
    <w:p w:rsidR="00EB3BCB" w:rsidRDefault="00E04A78" w:rsidP="0097627F">
      <w:pPr>
        <w:pStyle w:val="Textoindependiente2"/>
        <w:ind w:firstLine="851"/>
        <w:rPr>
          <w:rFonts w:ascii="Arial Narrow" w:hAnsi="Arial Narrow" w:cs="Arial"/>
          <w:bCs/>
          <w:sz w:val="28"/>
          <w:szCs w:val="28"/>
        </w:rPr>
      </w:pPr>
      <w:r>
        <w:rPr>
          <w:rFonts w:ascii="Arial Narrow" w:hAnsi="Arial Narrow" w:cs="Arial"/>
          <w:bCs/>
          <w:sz w:val="28"/>
          <w:szCs w:val="28"/>
        </w:rPr>
        <w:t>La jueza a quo decidió desfavorablemente este pedido de nulidad</w:t>
      </w:r>
      <w:r w:rsidR="00130A3C">
        <w:rPr>
          <w:rFonts w:ascii="Arial Narrow" w:hAnsi="Arial Narrow" w:cs="Arial"/>
          <w:bCs/>
          <w:sz w:val="28"/>
          <w:szCs w:val="28"/>
        </w:rPr>
        <w:t xml:space="preserve">, argumentando que derecho laboral tiene el </w:t>
      </w:r>
      <w:r w:rsidR="006B1DD3">
        <w:rPr>
          <w:rFonts w:ascii="Arial Narrow" w:hAnsi="Arial Narrow" w:cs="Arial"/>
          <w:bCs/>
          <w:sz w:val="28"/>
          <w:szCs w:val="28"/>
        </w:rPr>
        <w:t>carácter</w:t>
      </w:r>
      <w:r w:rsidR="00130A3C">
        <w:rPr>
          <w:rFonts w:ascii="Arial Narrow" w:hAnsi="Arial Narrow" w:cs="Arial"/>
          <w:bCs/>
          <w:sz w:val="28"/>
          <w:szCs w:val="28"/>
        </w:rPr>
        <w:t xml:space="preserve"> protector</w:t>
      </w:r>
      <w:r w:rsidR="006B1DD3">
        <w:rPr>
          <w:rFonts w:ascii="Arial Narrow" w:hAnsi="Arial Narrow" w:cs="Arial"/>
          <w:bCs/>
          <w:sz w:val="28"/>
          <w:szCs w:val="28"/>
        </w:rPr>
        <w:t xml:space="preserve"> del trabajador y las </w:t>
      </w:r>
      <w:r w:rsidR="006B1DD3">
        <w:rPr>
          <w:rFonts w:ascii="Arial Narrow" w:hAnsi="Arial Narrow" w:cs="Arial"/>
          <w:bCs/>
          <w:sz w:val="28"/>
          <w:szCs w:val="28"/>
        </w:rPr>
        <w:lastRenderedPageBreak/>
        <w:t>pruebas decretadas son necesarias para resolver el litigio planteado. Pero además encontró que la parte actora si agotó requerimientos previos para obtener las probanzas, allegando incluso algunas de ellas, las cuales fueron desconocidas por la sociedad demandada y las restantes, las pidió a la sociedad demandada, entidad que dijo no tenerlas en su poder. Por lo tanto negó el pedido de nulidad, decisión que fue apelada por la parte demandada, argumentando que si bien la justicia laboral tiene la tendencia proteccionista frente al trabajador</w:t>
      </w:r>
      <w:r w:rsidR="00EB3BCB">
        <w:rPr>
          <w:rFonts w:ascii="Arial Narrow" w:hAnsi="Arial Narrow" w:cs="Arial"/>
          <w:bCs/>
          <w:sz w:val="28"/>
          <w:szCs w:val="28"/>
        </w:rPr>
        <w:t>, no puede romper el equilibrio que debe existir entre las partes enfrentadas en un proceso judicial y eso es lo que ocurre cuando la parte demandante incumple sus cargas probatorias y las traslada al juzgador.</w:t>
      </w:r>
    </w:p>
    <w:p w:rsidR="001D6B99" w:rsidRDefault="001D6B99" w:rsidP="0097627F">
      <w:pPr>
        <w:pStyle w:val="Textoindependiente2"/>
        <w:ind w:firstLine="851"/>
        <w:rPr>
          <w:rFonts w:ascii="Arial Narrow" w:hAnsi="Arial Narrow" w:cs="Arial"/>
          <w:bCs/>
          <w:sz w:val="28"/>
          <w:szCs w:val="28"/>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EB3BCB" w:rsidRDefault="00EB3BCB" w:rsidP="00EB3BCB">
      <w:pPr>
        <w:spacing w:line="360" w:lineRule="auto"/>
        <w:ind w:firstLine="851"/>
        <w:jc w:val="both"/>
        <w:rPr>
          <w:rFonts w:ascii="Arial Narrow" w:hAnsi="Arial Narrow" w:cs="Arial"/>
          <w:sz w:val="28"/>
          <w:szCs w:val="28"/>
        </w:rPr>
      </w:pPr>
      <w:r>
        <w:rPr>
          <w:rFonts w:ascii="Arial Narrow" w:hAnsi="Arial Narrow" w:cs="Arial"/>
          <w:sz w:val="28"/>
          <w:szCs w:val="28"/>
        </w:rPr>
        <w:t>Son varios los cuestionamientos que esta Sala debe desatar en virtud de los recursos de apelación propuestos por la portavoz judicial de la demandada:</w:t>
      </w:r>
    </w:p>
    <w:p w:rsidR="00EB3BCB" w:rsidRDefault="00EB3BCB" w:rsidP="00EB3BCB">
      <w:pPr>
        <w:spacing w:line="360" w:lineRule="auto"/>
        <w:ind w:firstLine="851"/>
        <w:jc w:val="both"/>
        <w:rPr>
          <w:rFonts w:ascii="Arial Narrow" w:hAnsi="Arial Narrow" w:cs="Arial"/>
          <w:sz w:val="28"/>
          <w:szCs w:val="28"/>
        </w:rPr>
      </w:pPr>
    </w:p>
    <w:p w:rsidR="00EB3BCB" w:rsidRDefault="00EB3BCB" w:rsidP="00EB3BCB">
      <w:pPr>
        <w:spacing w:line="360" w:lineRule="auto"/>
        <w:ind w:firstLine="851"/>
        <w:jc w:val="both"/>
        <w:rPr>
          <w:rFonts w:ascii="Arial Narrow" w:hAnsi="Arial Narrow" w:cs="Arial"/>
          <w:i/>
          <w:sz w:val="28"/>
          <w:szCs w:val="28"/>
        </w:rPr>
      </w:pPr>
      <w:r>
        <w:rPr>
          <w:rFonts w:ascii="Arial Narrow" w:hAnsi="Arial Narrow" w:cs="Arial"/>
          <w:i/>
          <w:sz w:val="28"/>
          <w:szCs w:val="28"/>
        </w:rPr>
        <w:t>¿Es posible integrar en este caso a la ARL Colmena?</w:t>
      </w:r>
    </w:p>
    <w:p w:rsidR="00EB3BCB" w:rsidRDefault="00EB3BCB" w:rsidP="00EB3BCB">
      <w:pPr>
        <w:spacing w:line="360" w:lineRule="auto"/>
        <w:ind w:firstLine="851"/>
        <w:jc w:val="both"/>
        <w:rPr>
          <w:rFonts w:ascii="Arial Narrow" w:hAnsi="Arial Narrow" w:cs="Arial"/>
          <w:i/>
          <w:sz w:val="28"/>
          <w:szCs w:val="28"/>
        </w:rPr>
      </w:pPr>
    </w:p>
    <w:p w:rsidR="00EB3BCB" w:rsidRDefault="00EB3BCB" w:rsidP="00EB3BCB">
      <w:pPr>
        <w:spacing w:line="360" w:lineRule="auto"/>
        <w:ind w:firstLine="851"/>
        <w:jc w:val="both"/>
        <w:rPr>
          <w:rFonts w:ascii="Arial Narrow" w:hAnsi="Arial Narrow" w:cs="Arial"/>
          <w:i/>
          <w:sz w:val="28"/>
          <w:szCs w:val="28"/>
        </w:rPr>
      </w:pPr>
      <w:r>
        <w:rPr>
          <w:rFonts w:ascii="Arial Narrow" w:hAnsi="Arial Narrow" w:cs="Arial"/>
          <w:i/>
          <w:sz w:val="28"/>
          <w:szCs w:val="28"/>
        </w:rPr>
        <w:t>¿En el marco del sistema procesal laboral actual y el Código General del Proceso, es posible la comisión para la práctica de pruebas</w:t>
      </w:r>
      <w:r w:rsidR="005A1181">
        <w:rPr>
          <w:rFonts w:ascii="Arial Narrow" w:hAnsi="Arial Narrow" w:cs="Arial"/>
          <w:i/>
          <w:sz w:val="28"/>
          <w:szCs w:val="28"/>
        </w:rPr>
        <w:t xml:space="preserve"> testimoniales fuera del Despacho?</w:t>
      </w:r>
      <w:r>
        <w:rPr>
          <w:rFonts w:ascii="Arial Narrow" w:hAnsi="Arial Narrow" w:cs="Arial"/>
          <w:i/>
          <w:sz w:val="28"/>
          <w:szCs w:val="28"/>
        </w:rPr>
        <w:t xml:space="preserve">  </w:t>
      </w:r>
    </w:p>
    <w:p w:rsidR="005A1181" w:rsidRDefault="005A1181" w:rsidP="00EB3BCB">
      <w:pPr>
        <w:spacing w:line="360" w:lineRule="auto"/>
        <w:ind w:firstLine="851"/>
        <w:jc w:val="both"/>
        <w:rPr>
          <w:rFonts w:ascii="Arial Narrow" w:hAnsi="Arial Narrow" w:cs="Arial"/>
          <w:i/>
          <w:sz w:val="28"/>
          <w:szCs w:val="28"/>
        </w:rPr>
      </w:pPr>
    </w:p>
    <w:p w:rsidR="005A1181" w:rsidRDefault="005A1181" w:rsidP="00EB3BCB">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935EA4">
        <w:rPr>
          <w:rFonts w:ascii="Arial Narrow" w:hAnsi="Arial Narrow" w:cs="Arial"/>
          <w:i/>
          <w:sz w:val="28"/>
          <w:szCs w:val="28"/>
        </w:rPr>
        <w:t>Cómo deben aportarse los documentos contenidos en mensajes de datos y es posible, cuándo se decretan como prueba, atacarlos bajo el argumento de estar aportados en medios diferentes?</w:t>
      </w:r>
    </w:p>
    <w:p w:rsidR="00935EA4" w:rsidRDefault="00935EA4" w:rsidP="00EB3BCB">
      <w:pPr>
        <w:spacing w:line="360" w:lineRule="auto"/>
        <w:ind w:firstLine="851"/>
        <w:jc w:val="both"/>
        <w:rPr>
          <w:rFonts w:ascii="Arial Narrow" w:hAnsi="Arial Narrow" w:cs="Arial"/>
          <w:i/>
          <w:sz w:val="28"/>
          <w:szCs w:val="28"/>
        </w:rPr>
      </w:pPr>
    </w:p>
    <w:p w:rsidR="00935EA4" w:rsidRPr="00EB3BCB" w:rsidRDefault="00935EA4" w:rsidP="00EB3BCB">
      <w:pPr>
        <w:spacing w:line="360" w:lineRule="auto"/>
        <w:ind w:firstLine="851"/>
        <w:jc w:val="both"/>
        <w:rPr>
          <w:rFonts w:ascii="Arial Narrow" w:hAnsi="Arial Narrow" w:cs="Arial"/>
          <w:i/>
          <w:sz w:val="28"/>
          <w:szCs w:val="28"/>
        </w:rPr>
      </w:pPr>
      <w:r>
        <w:rPr>
          <w:rFonts w:ascii="Arial Narrow" w:hAnsi="Arial Narrow" w:cs="Arial"/>
          <w:i/>
          <w:sz w:val="28"/>
          <w:szCs w:val="28"/>
        </w:rPr>
        <w:lastRenderedPageBreak/>
        <w:t>¿Se configuró una causal de nulidad al haberse decretado la obtención de unas pruebas documentales que están en poder de terceros?</w:t>
      </w:r>
    </w:p>
    <w:p w:rsidR="008C50DB" w:rsidRDefault="008C50DB" w:rsidP="0097627F">
      <w:pPr>
        <w:spacing w:line="360" w:lineRule="auto"/>
        <w:ind w:firstLine="851"/>
        <w:jc w:val="both"/>
        <w:rPr>
          <w:rFonts w:ascii="Arial Narrow" w:hAnsi="Arial Narrow" w:cs="Arial"/>
          <w:i/>
          <w:sz w:val="28"/>
          <w:szCs w:val="28"/>
        </w:rPr>
      </w:pPr>
    </w:p>
    <w:p w:rsidR="008C50DB" w:rsidRDefault="008C50DB" w:rsidP="0097627F">
      <w:pPr>
        <w:spacing w:line="360" w:lineRule="auto"/>
        <w:ind w:firstLine="851"/>
        <w:jc w:val="both"/>
        <w:rPr>
          <w:rFonts w:ascii="Arial Narrow" w:hAnsi="Arial Narrow" w:cs="Arial"/>
          <w:b/>
          <w:i/>
          <w:sz w:val="28"/>
          <w:szCs w:val="28"/>
        </w:rPr>
      </w:pPr>
      <w:r>
        <w:rPr>
          <w:rFonts w:ascii="Arial Narrow" w:hAnsi="Arial Narrow" w:cs="Arial"/>
          <w:b/>
          <w:i/>
          <w:sz w:val="28"/>
          <w:szCs w:val="28"/>
        </w:rPr>
        <w:t>Solución a los problemas jurídicos planteados.</w:t>
      </w:r>
    </w:p>
    <w:p w:rsidR="008C50DB" w:rsidRDefault="008C50DB" w:rsidP="0097627F">
      <w:pPr>
        <w:spacing w:line="360" w:lineRule="auto"/>
        <w:ind w:firstLine="851"/>
        <w:jc w:val="both"/>
        <w:rPr>
          <w:rFonts w:ascii="Arial Narrow" w:hAnsi="Arial Narrow" w:cs="Arial"/>
          <w:b/>
          <w:i/>
          <w:sz w:val="28"/>
          <w:szCs w:val="28"/>
        </w:rPr>
      </w:pPr>
    </w:p>
    <w:p w:rsidR="008C50DB" w:rsidRPr="008C50DB" w:rsidRDefault="008C50DB" w:rsidP="0097627F">
      <w:pPr>
        <w:spacing w:line="360" w:lineRule="auto"/>
        <w:ind w:firstLine="851"/>
        <w:jc w:val="both"/>
        <w:rPr>
          <w:rFonts w:ascii="Arial Narrow" w:hAnsi="Arial Narrow" w:cs="Arial"/>
          <w:b/>
          <w:i/>
          <w:sz w:val="28"/>
          <w:szCs w:val="28"/>
        </w:rPr>
      </w:pPr>
      <w:r>
        <w:rPr>
          <w:rFonts w:ascii="Arial Narrow" w:hAnsi="Arial Narrow" w:cs="Arial"/>
          <w:b/>
          <w:i/>
          <w:sz w:val="28"/>
          <w:szCs w:val="28"/>
        </w:rPr>
        <w:t>Integración del litisconsorcio</w:t>
      </w:r>
    </w:p>
    <w:p w:rsidR="008C50DB" w:rsidRDefault="008C50DB" w:rsidP="008C50DB">
      <w:pPr>
        <w:spacing w:line="360" w:lineRule="auto"/>
        <w:jc w:val="both"/>
        <w:rPr>
          <w:rFonts w:ascii="Arial Narrow" w:hAnsi="Arial Narrow" w:cs="Arial"/>
          <w:i/>
          <w:sz w:val="28"/>
          <w:szCs w:val="28"/>
        </w:rPr>
      </w:pPr>
    </w:p>
    <w:p w:rsidR="00E414B1" w:rsidRDefault="00E414B1"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Se persigue la integración al proceso de la ARL Colmena, bajo el argumento de que la entidad empleadora desconoce la validez del dictamen que calificó como laboral la enfermedad padecida por la señora Duque Montoya. </w:t>
      </w:r>
    </w:p>
    <w:p w:rsidR="00E414B1" w:rsidRDefault="00E414B1" w:rsidP="0097627F">
      <w:pPr>
        <w:spacing w:line="360" w:lineRule="auto"/>
        <w:ind w:firstLine="851"/>
        <w:jc w:val="both"/>
        <w:rPr>
          <w:rFonts w:ascii="Arial Narrow" w:hAnsi="Arial Narrow" w:cs="Arial"/>
          <w:sz w:val="28"/>
          <w:szCs w:val="28"/>
        </w:rPr>
      </w:pPr>
    </w:p>
    <w:p w:rsidR="00341643" w:rsidRDefault="00E414B1"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dígase que no observa </w:t>
      </w:r>
      <w:r w:rsidR="00172860">
        <w:rPr>
          <w:rFonts w:ascii="Arial Narrow" w:hAnsi="Arial Narrow" w:cs="Arial"/>
          <w:sz w:val="28"/>
          <w:szCs w:val="28"/>
        </w:rPr>
        <w:t xml:space="preserve">la Sala </w:t>
      </w:r>
      <w:r>
        <w:rPr>
          <w:rFonts w:ascii="Arial Narrow" w:hAnsi="Arial Narrow" w:cs="Arial"/>
          <w:sz w:val="28"/>
          <w:szCs w:val="28"/>
        </w:rPr>
        <w:t xml:space="preserve">razón alguna para vincular a la aludida </w:t>
      </w:r>
      <w:r w:rsidR="00172860">
        <w:rPr>
          <w:rFonts w:ascii="Arial Narrow" w:hAnsi="Arial Narrow" w:cs="Arial"/>
          <w:sz w:val="28"/>
          <w:szCs w:val="28"/>
        </w:rPr>
        <w:t>entidad, amén que las pretensiones de la demanda están encaminadas únicamente a que la empresa Whirpool en calidad de empleadora de la dama que demanda,</w:t>
      </w:r>
      <w:r w:rsidR="00A64366">
        <w:rPr>
          <w:rFonts w:ascii="Arial Narrow" w:hAnsi="Arial Narrow" w:cs="Arial"/>
          <w:sz w:val="28"/>
          <w:szCs w:val="28"/>
        </w:rPr>
        <w:t xml:space="preserve"> para que</w:t>
      </w:r>
      <w:r w:rsidR="00172860">
        <w:rPr>
          <w:rFonts w:ascii="Arial Narrow" w:hAnsi="Arial Narrow" w:cs="Arial"/>
          <w:sz w:val="28"/>
          <w:szCs w:val="28"/>
        </w:rPr>
        <w:t xml:space="preserve"> responda por los perjuicios materiales y morales causados a ella y a sus parientes, sin que algun</w:t>
      </w:r>
      <w:r w:rsidR="00341643">
        <w:rPr>
          <w:rFonts w:ascii="Arial Narrow" w:hAnsi="Arial Narrow" w:cs="Arial"/>
          <w:sz w:val="28"/>
          <w:szCs w:val="28"/>
        </w:rPr>
        <w:t>o</w:t>
      </w:r>
      <w:r w:rsidR="00172860">
        <w:rPr>
          <w:rFonts w:ascii="Arial Narrow" w:hAnsi="Arial Narrow" w:cs="Arial"/>
          <w:sz w:val="28"/>
          <w:szCs w:val="28"/>
        </w:rPr>
        <w:t xml:space="preserve"> de tales pedidos se puede </w:t>
      </w:r>
      <w:r w:rsidR="00A64366">
        <w:rPr>
          <w:rFonts w:ascii="Arial Narrow" w:hAnsi="Arial Narrow" w:cs="Arial"/>
          <w:sz w:val="28"/>
          <w:szCs w:val="28"/>
        </w:rPr>
        <w:t xml:space="preserve">avistar que estuviesen dirigidas </w:t>
      </w:r>
      <w:r w:rsidR="00172860">
        <w:rPr>
          <w:rFonts w:ascii="Arial Narrow" w:hAnsi="Arial Narrow" w:cs="Arial"/>
          <w:sz w:val="28"/>
          <w:szCs w:val="28"/>
        </w:rPr>
        <w:t>o</w:t>
      </w:r>
      <w:r w:rsidR="00A64366">
        <w:rPr>
          <w:rFonts w:ascii="Arial Narrow" w:hAnsi="Arial Narrow" w:cs="Arial"/>
          <w:sz w:val="28"/>
          <w:szCs w:val="28"/>
        </w:rPr>
        <w:t xml:space="preserve"> se pudieran</w:t>
      </w:r>
      <w:r w:rsidR="00172860">
        <w:rPr>
          <w:rFonts w:ascii="Arial Narrow" w:hAnsi="Arial Narrow" w:cs="Arial"/>
          <w:sz w:val="28"/>
          <w:szCs w:val="28"/>
        </w:rPr>
        <w:t xml:space="preserve"> subrogar en la ARL para llamarla al litigio.</w:t>
      </w:r>
    </w:p>
    <w:p w:rsidR="00072141" w:rsidRDefault="00072141" w:rsidP="0097627F">
      <w:pPr>
        <w:spacing w:line="360" w:lineRule="auto"/>
        <w:ind w:firstLine="851"/>
        <w:jc w:val="both"/>
        <w:rPr>
          <w:rFonts w:ascii="Arial Narrow" w:hAnsi="Arial Narrow" w:cs="Arial"/>
          <w:sz w:val="28"/>
          <w:szCs w:val="28"/>
        </w:rPr>
      </w:pPr>
    </w:p>
    <w:p w:rsidR="00A64366" w:rsidRDefault="0017286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Ahora, bastante trivial, por no decirlo </w:t>
      </w:r>
      <w:r w:rsidR="00A64366">
        <w:rPr>
          <w:rFonts w:ascii="Arial Narrow" w:hAnsi="Arial Narrow" w:cs="Arial"/>
          <w:sz w:val="28"/>
          <w:szCs w:val="28"/>
        </w:rPr>
        <w:t>menos</w:t>
      </w:r>
      <w:r>
        <w:rPr>
          <w:rFonts w:ascii="Arial Narrow" w:hAnsi="Arial Narrow" w:cs="Arial"/>
          <w:sz w:val="28"/>
          <w:szCs w:val="28"/>
        </w:rPr>
        <w:t xml:space="preserve">, resulta el argumento que se expone para intentar el llamado de la compañía aseguradora de riesgos laborales, respecto a la ilegalidad de la calificación y su inoponibilidad a ese extremo litigioso, dado que si alguna queja se tiene al respecto no es asunto que ocupe el presente proceso, sino que deberá ventilarse en otro proceso. Por tanto, es evidente que la ARL Colmena no resulta ser ni litisconsorte de alguna de las partes de este proceso, ni tampoco </w:t>
      </w:r>
      <w:r w:rsidR="00341643">
        <w:rPr>
          <w:rFonts w:ascii="Arial Narrow" w:hAnsi="Arial Narrow" w:cs="Arial"/>
          <w:sz w:val="28"/>
          <w:szCs w:val="28"/>
        </w:rPr>
        <w:t>tiene calidad de tercero que deba responder por alguna eventual condena, por lo que su convocatoria al proceso es absolutamente innecesaria, tal como lo estimó la a quo.</w:t>
      </w:r>
    </w:p>
    <w:p w:rsidR="00A64366" w:rsidRDefault="00A64366" w:rsidP="0097627F">
      <w:pPr>
        <w:spacing w:line="360" w:lineRule="auto"/>
        <w:ind w:firstLine="851"/>
        <w:jc w:val="both"/>
        <w:rPr>
          <w:rFonts w:ascii="Arial Narrow" w:hAnsi="Arial Narrow" w:cs="Arial"/>
          <w:sz w:val="28"/>
          <w:szCs w:val="28"/>
        </w:rPr>
      </w:pPr>
    </w:p>
    <w:p w:rsidR="00172860" w:rsidRDefault="00A64366" w:rsidP="0097627F">
      <w:pPr>
        <w:spacing w:line="360" w:lineRule="auto"/>
        <w:ind w:firstLine="851"/>
        <w:jc w:val="both"/>
        <w:rPr>
          <w:rFonts w:ascii="Arial Narrow" w:hAnsi="Arial Narrow" w:cs="Arial"/>
          <w:sz w:val="28"/>
          <w:szCs w:val="28"/>
        </w:rPr>
      </w:pPr>
      <w:r>
        <w:rPr>
          <w:rFonts w:ascii="Arial Narrow" w:hAnsi="Arial Narrow" w:cs="Arial"/>
          <w:sz w:val="28"/>
          <w:szCs w:val="28"/>
        </w:rPr>
        <w:t>Por otro lado. Cumple al juez o jueza la valoración del medio, y si estima que en la elaboración de la experticia se cometió agravio a una de las partes, bien puede entonces, desecharlo y decretar otra experticia.</w:t>
      </w:r>
      <w:r w:rsidR="00172860">
        <w:rPr>
          <w:rFonts w:ascii="Arial Narrow" w:hAnsi="Arial Narrow" w:cs="Arial"/>
          <w:sz w:val="28"/>
          <w:szCs w:val="28"/>
        </w:rPr>
        <w:t xml:space="preserve"> </w:t>
      </w:r>
    </w:p>
    <w:p w:rsidR="00172860" w:rsidRDefault="00172860" w:rsidP="0097627F">
      <w:pPr>
        <w:spacing w:line="360" w:lineRule="auto"/>
        <w:ind w:firstLine="851"/>
        <w:jc w:val="both"/>
        <w:rPr>
          <w:rFonts w:ascii="Arial Narrow" w:hAnsi="Arial Narrow" w:cs="Arial"/>
          <w:sz w:val="28"/>
          <w:szCs w:val="28"/>
        </w:rPr>
      </w:pPr>
    </w:p>
    <w:p w:rsidR="00341643" w:rsidRPr="00341643" w:rsidRDefault="00341643" w:rsidP="0097627F">
      <w:pPr>
        <w:spacing w:line="360" w:lineRule="auto"/>
        <w:ind w:firstLine="851"/>
        <w:jc w:val="both"/>
        <w:rPr>
          <w:rFonts w:ascii="Arial Narrow" w:hAnsi="Arial Narrow" w:cs="Arial"/>
          <w:b/>
          <w:i/>
          <w:sz w:val="28"/>
          <w:szCs w:val="28"/>
        </w:rPr>
      </w:pPr>
      <w:r>
        <w:rPr>
          <w:rFonts w:ascii="Arial Narrow" w:hAnsi="Arial Narrow" w:cs="Arial"/>
          <w:b/>
          <w:i/>
          <w:sz w:val="28"/>
          <w:szCs w:val="28"/>
        </w:rPr>
        <w:lastRenderedPageBreak/>
        <w:t xml:space="preserve">Comisión para la práctica de prueba testimonial. </w:t>
      </w:r>
    </w:p>
    <w:p w:rsidR="00341643" w:rsidRDefault="00341643" w:rsidP="0097627F">
      <w:pPr>
        <w:spacing w:line="360" w:lineRule="auto"/>
        <w:ind w:firstLine="851"/>
        <w:jc w:val="both"/>
        <w:rPr>
          <w:rFonts w:ascii="Arial Narrow" w:hAnsi="Arial Narrow" w:cs="Arial"/>
          <w:sz w:val="28"/>
          <w:szCs w:val="28"/>
        </w:rPr>
      </w:pPr>
    </w:p>
    <w:p w:rsidR="00C643B3" w:rsidRDefault="00341643" w:rsidP="0097627F">
      <w:pPr>
        <w:spacing w:line="360" w:lineRule="auto"/>
        <w:ind w:firstLine="851"/>
        <w:jc w:val="both"/>
        <w:rPr>
          <w:rFonts w:ascii="Arial Narrow" w:hAnsi="Arial Narrow" w:cs="Arial"/>
          <w:sz w:val="28"/>
          <w:szCs w:val="28"/>
        </w:rPr>
      </w:pPr>
      <w:r>
        <w:rPr>
          <w:rFonts w:ascii="Arial Narrow" w:hAnsi="Arial Narrow" w:cs="Arial"/>
          <w:sz w:val="28"/>
          <w:szCs w:val="28"/>
        </w:rPr>
        <w:t>El actual procedimiento laboral, establecido en la Ley 1149 de 2007, acentuó y efectivizó la oralidad en la justicia del trabajo, permitiendo únicamente, en los juicios ordinarios, la celebración de dos audiencias y proscribiendo su suspensión –art. 45 CPLSS-</w:t>
      </w:r>
      <w:r w:rsidR="00824FD0">
        <w:rPr>
          <w:rFonts w:ascii="Arial Narrow" w:hAnsi="Arial Narrow" w:cs="Arial"/>
          <w:sz w:val="28"/>
          <w:szCs w:val="28"/>
        </w:rPr>
        <w:t xml:space="preserve">. Tales audiencias son la de conciliación, decisión de excepciones, medidas de saneamiento, fijación del litigio y decretó de pruebas –art. 77 ib- y la de trámite y juzgamiento –art. 80 ib-, en esta última se </w:t>
      </w:r>
      <w:r w:rsidR="00C643B3">
        <w:rPr>
          <w:rFonts w:ascii="Arial Narrow" w:hAnsi="Arial Narrow" w:cs="Arial"/>
          <w:sz w:val="28"/>
          <w:szCs w:val="28"/>
        </w:rPr>
        <w:t>dis</w:t>
      </w:r>
      <w:r w:rsidR="00824FD0">
        <w:rPr>
          <w:rFonts w:ascii="Arial Narrow" w:hAnsi="Arial Narrow" w:cs="Arial"/>
          <w:sz w:val="28"/>
          <w:szCs w:val="28"/>
        </w:rPr>
        <w:t>pone la dirección del Juez, quien de manera personal</w:t>
      </w:r>
      <w:r w:rsidR="00C643B3">
        <w:rPr>
          <w:rFonts w:ascii="Arial Narrow" w:hAnsi="Arial Narrow" w:cs="Arial"/>
          <w:sz w:val="28"/>
          <w:szCs w:val="28"/>
        </w:rPr>
        <w:t>,</w:t>
      </w:r>
      <w:r w:rsidR="00824FD0">
        <w:rPr>
          <w:rFonts w:ascii="Arial Narrow" w:hAnsi="Arial Narrow" w:cs="Arial"/>
          <w:sz w:val="28"/>
          <w:szCs w:val="28"/>
        </w:rPr>
        <w:t xml:space="preserve"> deberá practicar las pruebas, escuchar los alegatos y adoptar la decisión de fondo. </w:t>
      </w:r>
      <w:r w:rsidR="00C643B3">
        <w:rPr>
          <w:rFonts w:ascii="Arial Narrow" w:hAnsi="Arial Narrow" w:cs="Arial"/>
          <w:sz w:val="28"/>
          <w:szCs w:val="28"/>
        </w:rPr>
        <w:t xml:space="preserve">Por regla general –entonces- en los juicios laborales, la actividad judicial está regida por el principio de inmediación, debiendo el Juez conocer personalmente de las pruebas que practiquen y, con fundamento en ellas adoptar las decisiones del caso. </w:t>
      </w:r>
    </w:p>
    <w:p w:rsidR="00C643B3" w:rsidRDefault="00C643B3" w:rsidP="0097627F">
      <w:pPr>
        <w:spacing w:line="360" w:lineRule="auto"/>
        <w:ind w:firstLine="851"/>
        <w:jc w:val="both"/>
        <w:rPr>
          <w:rFonts w:ascii="Arial Narrow" w:hAnsi="Arial Narrow" w:cs="Arial"/>
          <w:sz w:val="28"/>
          <w:szCs w:val="28"/>
        </w:rPr>
      </w:pPr>
    </w:p>
    <w:p w:rsidR="00C643B3" w:rsidRDefault="00C643B3" w:rsidP="0097627F">
      <w:pPr>
        <w:spacing w:line="360" w:lineRule="auto"/>
        <w:ind w:firstLine="851"/>
        <w:jc w:val="both"/>
        <w:rPr>
          <w:rFonts w:ascii="Arial Narrow" w:hAnsi="Arial Narrow" w:cs="Arial"/>
          <w:sz w:val="28"/>
          <w:szCs w:val="28"/>
        </w:rPr>
      </w:pPr>
      <w:r>
        <w:rPr>
          <w:rFonts w:ascii="Arial Narrow" w:hAnsi="Arial Narrow" w:cs="Arial"/>
          <w:sz w:val="28"/>
          <w:szCs w:val="28"/>
        </w:rPr>
        <w:t>Sin embargo, no puede esta Corporación desconocer que, si bien ese es el ideal, existen situaciones en las que ello no es posible, debiendo delegarse la tarea de práctica de pruebas en otro funcionario judicial, por medio de la comisión, la cual se encuentra regulada en el canon 37 del CGP, norma que establece en qué casos es posible comisionar, indicando que, frente a la práctica de pruebas, est</w:t>
      </w:r>
      <w:r w:rsidR="007F2975">
        <w:rPr>
          <w:rFonts w:ascii="Arial Narrow" w:hAnsi="Arial Narrow" w:cs="Arial"/>
          <w:sz w:val="28"/>
          <w:szCs w:val="28"/>
        </w:rPr>
        <w:t>a</w:t>
      </w:r>
      <w:r>
        <w:rPr>
          <w:rFonts w:ascii="Arial Narrow" w:hAnsi="Arial Narrow" w:cs="Arial"/>
          <w:sz w:val="28"/>
          <w:szCs w:val="28"/>
        </w:rPr>
        <w:t xml:space="preserve"> facultad está limitada a los casos que expresamente señale el canon 171 de la misma obra legal. Dicha norma, en su tenor literal, indica:</w:t>
      </w:r>
    </w:p>
    <w:p w:rsidR="00C643B3" w:rsidRDefault="00C643B3" w:rsidP="0097627F">
      <w:pPr>
        <w:spacing w:line="360" w:lineRule="auto"/>
        <w:ind w:firstLine="851"/>
        <w:jc w:val="both"/>
        <w:rPr>
          <w:rFonts w:ascii="Arial Narrow" w:hAnsi="Arial Narrow" w:cs="Arial"/>
          <w:sz w:val="28"/>
          <w:szCs w:val="28"/>
        </w:rPr>
      </w:pPr>
    </w:p>
    <w:p w:rsidR="004301C2" w:rsidRDefault="00C643B3"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Pr>
          <w:rFonts w:ascii="Arial Narrow" w:hAnsi="Arial Narrow" w:cs="Arial"/>
          <w:b/>
          <w:i/>
          <w:sz w:val="28"/>
          <w:szCs w:val="28"/>
        </w:rPr>
        <w:t xml:space="preserve">Juez que debe practicar las pruebas. </w:t>
      </w:r>
      <w:r>
        <w:rPr>
          <w:rFonts w:ascii="Arial Narrow" w:hAnsi="Arial Narrow" w:cs="Arial"/>
          <w:i/>
          <w:sz w:val="28"/>
          <w:szCs w:val="28"/>
        </w:rPr>
        <w:t>El juez practicará personalmente todas las pruebas, sino lo pudiere hacer por razón del territorio o por otras causas podrá hacerlo a través de videoconferencia</w:t>
      </w:r>
      <w:r w:rsidR="006539FD">
        <w:rPr>
          <w:rFonts w:ascii="Arial Narrow" w:hAnsi="Arial Narrow" w:cs="Arial"/>
          <w:i/>
          <w:sz w:val="28"/>
          <w:szCs w:val="28"/>
        </w:rPr>
        <w:t>, teleconferencia o de cualquier otro medio de comunicación que garantice la inmediación, concentración y contradicción</w:t>
      </w:r>
      <w:r w:rsidR="004301C2">
        <w:rPr>
          <w:rFonts w:ascii="Arial Narrow" w:hAnsi="Arial Narrow" w:cs="Arial"/>
          <w:i/>
          <w:sz w:val="28"/>
          <w:szCs w:val="28"/>
        </w:rPr>
        <w:t xml:space="preserve">. </w:t>
      </w:r>
    </w:p>
    <w:p w:rsidR="004301C2" w:rsidRDefault="004301C2" w:rsidP="0097627F">
      <w:pPr>
        <w:spacing w:line="360" w:lineRule="auto"/>
        <w:ind w:firstLine="851"/>
        <w:jc w:val="both"/>
        <w:rPr>
          <w:rFonts w:ascii="Arial Narrow" w:hAnsi="Arial Narrow" w:cs="Arial"/>
          <w:i/>
          <w:sz w:val="28"/>
          <w:szCs w:val="28"/>
        </w:rPr>
      </w:pPr>
    </w:p>
    <w:p w:rsidR="00F32B04" w:rsidRDefault="004301C2" w:rsidP="0097627F">
      <w:pPr>
        <w:spacing w:line="360" w:lineRule="auto"/>
        <w:ind w:firstLine="851"/>
        <w:jc w:val="both"/>
        <w:rPr>
          <w:rFonts w:ascii="Arial Narrow" w:hAnsi="Arial Narrow" w:cs="Arial"/>
          <w:sz w:val="28"/>
          <w:szCs w:val="28"/>
        </w:rPr>
      </w:pPr>
      <w:r>
        <w:rPr>
          <w:rFonts w:ascii="Arial Narrow" w:hAnsi="Arial Narrow" w:cs="Arial"/>
          <w:b/>
          <w:i/>
          <w:sz w:val="28"/>
          <w:szCs w:val="28"/>
          <w:u w:val="single"/>
        </w:rPr>
        <w:t>Excepcionalmente</w:t>
      </w:r>
      <w:r>
        <w:rPr>
          <w:rFonts w:ascii="Arial Narrow" w:hAnsi="Arial Narrow" w:cs="Arial"/>
          <w:i/>
          <w:sz w:val="28"/>
          <w:szCs w:val="28"/>
          <w:u w:val="single"/>
        </w:rPr>
        <w:t>,</w:t>
      </w:r>
      <w:r>
        <w:rPr>
          <w:rFonts w:ascii="Arial Narrow" w:hAnsi="Arial Narrow" w:cs="Arial"/>
          <w:b/>
          <w:i/>
          <w:sz w:val="28"/>
          <w:szCs w:val="28"/>
        </w:rPr>
        <w:t xml:space="preserve"> </w:t>
      </w:r>
      <w:r w:rsidRPr="004301C2">
        <w:rPr>
          <w:rFonts w:ascii="Arial Narrow" w:hAnsi="Arial Narrow" w:cs="Arial"/>
          <w:i/>
          <w:sz w:val="28"/>
          <w:szCs w:val="28"/>
        </w:rPr>
        <w:t>podr</w:t>
      </w:r>
      <w:r>
        <w:rPr>
          <w:rFonts w:ascii="Arial Narrow" w:hAnsi="Arial Narrow" w:cs="Arial"/>
          <w:i/>
          <w:sz w:val="28"/>
          <w:szCs w:val="28"/>
        </w:rPr>
        <w:t>á comisionar para la práctica de pruebas que deban producirse fuera de la sede del juzgado y no sea posible emplear los medios técnicos indicados en este artículo…”</w:t>
      </w:r>
      <w:r w:rsidR="006539FD">
        <w:rPr>
          <w:rFonts w:ascii="Arial Narrow" w:hAnsi="Arial Narrow" w:cs="Arial"/>
          <w:i/>
          <w:sz w:val="28"/>
          <w:szCs w:val="28"/>
        </w:rPr>
        <w:t xml:space="preserve"> </w:t>
      </w:r>
    </w:p>
    <w:p w:rsidR="004301C2" w:rsidRDefault="004301C2" w:rsidP="0097627F">
      <w:pPr>
        <w:spacing w:line="360" w:lineRule="auto"/>
        <w:ind w:firstLine="851"/>
        <w:jc w:val="both"/>
        <w:rPr>
          <w:rFonts w:ascii="Arial Narrow" w:hAnsi="Arial Narrow" w:cs="Arial"/>
          <w:sz w:val="28"/>
          <w:szCs w:val="28"/>
        </w:rPr>
      </w:pPr>
    </w:p>
    <w:p w:rsidR="004301C2" w:rsidRDefault="004301C2" w:rsidP="0097627F">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 xml:space="preserve">Ya entratándose de la prueba testimonial, dispuso el legislador en el canon 224 de la obra que viene en cita, lo siguiente: </w:t>
      </w:r>
    </w:p>
    <w:p w:rsidR="004301C2" w:rsidRDefault="004301C2" w:rsidP="0097627F">
      <w:pPr>
        <w:spacing w:line="360" w:lineRule="auto"/>
        <w:ind w:firstLine="851"/>
        <w:jc w:val="both"/>
        <w:rPr>
          <w:rFonts w:ascii="Arial Narrow" w:hAnsi="Arial Narrow" w:cs="Arial"/>
          <w:sz w:val="28"/>
          <w:szCs w:val="28"/>
        </w:rPr>
      </w:pPr>
    </w:p>
    <w:p w:rsidR="004301C2" w:rsidRPr="004301C2" w:rsidRDefault="004301C2"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Pr>
          <w:rFonts w:ascii="Arial Narrow" w:hAnsi="Arial Narrow" w:cs="Arial"/>
          <w:b/>
          <w:i/>
          <w:sz w:val="28"/>
          <w:szCs w:val="28"/>
        </w:rPr>
        <w:t xml:space="preserve">Declaración de testigos residentes fuera de la sede del juzgado. </w:t>
      </w:r>
      <w:r>
        <w:rPr>
          <w:rFonts w:ascii="Arial Narrow" w:hAnsi="Arial Narrow" w:cs="Arial"/>
          <w:i/>
          <w:sz w:val="28"/>
          <w:szCs w:val="28"/>
        </w:rPr>
        <w:t>El juez, de oficio o a petición de cualquiera de las partes, podrá ordenar que los testigos residentes fuera de la sede del juzgado declaren a través de medios técnicos o comparezcan a éste</w:t>
      </w:r>
      <w:r w:rsidR="00F138B4">
        <w:rPr>
          <w:rFonts w:ascii="Arial Narrow" w:hAnsi="Arial Narrow" w:cs="Arial"/>
          <w:i/>
          <w:sz w:val="28"/>
          <w:szCs w:val="28"/>
        </w:rPr>
        <w:t xml:space="preserve">. En este último caso el juez señalará los gastos de transporte y permanencia que serán consignados por cualquiera de las partes dentro de la ejecutoria del respectivo auto, salvo que los testigos asuman el gasto” </w:t>
      </w:r>
      <w:r>
        <w:rPr>
          <w:rFonts w:ascii="Arial Narrow" w:hAnsi="Arial Narrow" w:cs="Arial"/>
          <w:i/>
          <w:sz w:val="28"/>
          <w:szCs w:val="28"/>
        </w:rPr>
        <w:t xml:space="preserve"> </w:t>
      </w:r>
    </w:p>
    <w:p w:rsidR="004301C2" w:rsidRDefault="004301C2" w:rsidP="0097627F">
      <w:pPr>
        <w:spacing w:line="360" w:lineRule="auto"/>
        <w:ind w:firstLine="851"/>
        <w:jc w:val="both"/>
        <w:rPr>
          <w:rFonts w:ascii="Arial Narrow" w:hAnsi="Arial Narrow" w:cs="Arial"/>
          <w:sz w:val="28"/>
          <w:szCs w:val="28"/>
        </w:rPr>
      </w:pPr>
    </w:p>
    <w:p w:rsidR="009511F0" w:rsidRDefault="009511F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Interpretando ambas normas, que parecieran contrarias, se debe colegir necesariamente que, entratándose de testimonios de personas que están fuera de la sede del Despacho, no es que esté proscrita totalmente la comisión, sino que la misma es viable solo de manera excepcionalísima, debiéndose verificar antes de llegar a esa vía, el agotamiento de la posibilidad de usar medios técnicos o de que los deponentes se trasladen hasta la sede del Despacho y, de resultar totalmente inviables tales posibilidades, acudir por </w:t>
      </w:r>
      <w:r w:rsidRPr="009511F0">
        <w:rPr>
          <w:rFonts w:ascii="Arial Narrow" w:hAnsi="Arial Narrow" w:cs="Arial"/>
          <w:i/>
          <w:sz w:val="28"/>
          <w:szCs w:val="28"/>
        </w:rPr>
        <w:t>última ratio</w:t>
      </w:r>
      <w:r>
        <w:rPr>
          <w:rFonts w:ascii="Arial Narrow" w:hAnsi="Arial Narrow" w:cs="Arial"/>
          <w:sz w:val="28"/>
          <w:szCs w:val="28"/>
        </w:rPr>
        <w:t xml:space="preserve"> a la comisión.</w:t>
      </w:r>
    </w:p>
    <w:p w:rsidR="009511F0" w:rsidRDefault="009511F0" w:rsidP="0097627F">
      <w:pPr>
        <w:spacing w:line="360" w:lineRule="auto"/>
        <w:ind w:firstLine="851"/>
        <w:jc w:val="both"/>
        <w:rPr>
          <w:rFonts w:ascii="Arial Narrow" w:hAnsi="Arial Narrow" w:cs="Arial"/>
          <w:sz w:val="28"/>
          <w:szCs w:val="28"/>
        </w:rPr>
      </w:pPr>
    </w:p>
    <w:p w:rsidR="00B3136C" w:rsidRDefault="009511F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Por tanto, es indispensable que la decisión judicial sobre la forma como se van a evacuar los testimonios de personas que vivan fuera </w:t>
      </w:r>
      <w:r w:rsidR="00B3136C">
        <w:rPr>
          <w:rFonts w:ascii="Arial Narrow" w:hAnsi="Arial Narrow" w:cs="Arial"/>
          <w:sz w:val="28"/>
          <w:szCs w:val="28"/>
        </w:rPr>
        <w:t xml:space="preserve">de la sede del Despacho, tenga en consideración aspectos como la utilización de medios técnicos idóneos o la capacidad económica de los intervinientes o la distancia entre la sede del Despacho y el lugar de habitación de los testigos o las posibilidades de transporte y aspectos similares, que permitan descartar la posibilidad de acudir a medios de asistencia virtual o a la asistencia personal del deponente y dejen como única opción la comisión. </w:t>
      </w:r>
    </w:p>
    <w:p w:rsidR="00B3136C" w:rsidRDefault="00B3136C" w:rsidP="0097627F">
      <w:pPr>
        <w:spacing w:line="360" w:lineRule="auto"/>
        <w:ind w:firstLine="851"/>
        <w:jc w:val="both"/>
        <w:rPr>
          <w:rFonts w:ascii="Arial Narrow" w:hAnsi="Arial Narrow" w:cs="Arial"/>
          <w:sz w:val="28"/>
          <w:szCs w:val="28"/>
        </w:rPr>
      </w:pPr>
    </w:p>
    <w:p w:rsidR="00EE7D9F" w:rsidRDefault="00B3136C" w:rsidP="0097627F">
      <w:pPr>
        <w:spacing w:line="360" w:lineRule="auto"/>
        <w:ind w:firstLine="851"/>
        <w:jc w:val="both"/>
        <w:rPr>
          <w:rFonts w:ascii="Arial Narrow" w:hAnsi="Arial Narrow" w:cs="Arial"/>
          <w:sz w:val="28"/>
          <w:szCs w:val="28"/>
        </w:rPr>
      </w:pPr>
      <w:r>
        <w:rPr>
          <w:rFonts w:ascii="Arial Narrow" w:hAnsi="Arial Narrow" w:cs="Arial"/>
          <w:sz w:val="28"/>
          <w:szCs w:val="28"/>
        </w:rPr>
        <w:t>Y verificando tales circunstancias en el caso puntual, se observa que</w:t>
      </w:r>
      <w:r w:rsidR="007F2975">
        <w:rPr>
          <w:rFonts w:ascii="Arial Narrow" w:hAnsi="Arial Narrow" w:cs="Arial"/>
          <w:sz w:val="28"/>
          <w:szCs w:val="28"/>
        </w:rPr>
        <w:t xml:space="preserve"> los testigos que se quieren escuchar, por petición de la sociedad demandada, residen en la ciudad de Bogotá D.C., </w:t>
      </w:r>
      <w:r w:rsidR="000F715C">
        <w:rPr>
          <w:rFonts w:ascii="Arial Narrow" w:hAnsi="Arial Narrow" w:cs="Arial"/>
          <w:sz w:val="28"/>
          <w:szCs w:val="28"/>
        </w:rPr>
        <w:t>sin embargo, encuentra la Sala que la Jueza omitió indagar si existían medios técnicos, limitándose únicamente a decir que no se contaba con ellos</w:t>
      </w:r>
      <w:r w:rsidR="003A389D">
        <w:rPr>
          <w:rFonts w:ascii="Arial Narrow" w:hAnsi="Arial Narrow" w:cs="Arial"/>
          <w:sz w:val="28"/>
          <w:szCs w:val="28"/>
        </w:rPr>
        <w:t xml:space="preserve">, contrario a lo que afirma la administración judicial en el oficio puesto en conocimiento </w:t>
      </w:r>
      <w:r w:rsidR="003A389D">
        <w:rPr>
          <w:rFonts w:ascii="Arial Narrow" w:hAnsi="Arial Narrow" w:cs="Arial"/>
          <w:sz w:val="28"/>
          <w:szCs w:val="28"/>
        </w:rPr>
        <w:lastRenderedPageBreak/>
        <w:t>de las partes al inicio de esta audiencia</w:t>
      </w:r>
      <w:r w:rsidR="00EE7D9F">
        <w:rPr>
          <w:rFonts w:ascii="Arial Narrow" w:hAnsi="Arial Narrow" w:cs="Arial"/>
          <w:sz w:val="28"/>
          <w:szCs w:val="28"/>
        </w:rPr>
        <w:t>, en el que se informa que sí se cuenta con los medios técnicos. Por lo tanto, si bien se comparte la decisión de no comisionar para la recepción de los testimonios solicitados por la empresa demandada, se debe modificar la providencia en el sentido de que los mismos se deberán recibir con apoyo de los medios técnicos virtuales existentes.</w:t>
      </w:r>
    </w:p>
    <w:p w:rsidR="007F2975" w:rsidRDefault="00EE7D9F"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7F2975" w:rsidRDefault="007F2975"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Por lo tanto, en este caso ha de </w:t>
      </w:r>
      <w:r w:rsidR="00EE7D9F">
        <w:rPr>
          <w:rFonts w:ascii="Arial Narrow" w:hAnsi="Arial Narrow" w:cs="Arial"/>
          <w:sz w:val="28"/>
          <w:szCs w:val="28"/>
        </w:rPr>
        <w:t xml:space="preserve">modificarse </w:t>
      </w:r>
      <w:r>
        <w:rPr>
          <w:rFonts w:ascii="Arial Narrow" w:hAnsi="Arial Narrow" w:cs="Arial"/>
          <w:sz w:val="28"/>
          <w:szCs w:val="28"/>
        </w:rPr>
        <w:t>la decisión adoptada por la a-quo</w:t>
      </w:r>
      <w:r w:rsidR="00EE7D9F">
        <w:rPr>
          <w:rFonts w:ascii="Arial Narrow" w:hAnsi="Arial Narrow" w:cs="Arial"/>
          <w:sz w:val="28"/>
          <w:szCs w:val="28"/>
        </w:rPr>
        <w:t>, en el sentido antes anotado</w:t>
      </w:r>
      <w:r>
        <w:rPr>
          <w:rFonts w:ascii="Arial Narrow" w:hAnsi="Arial Narrow" w:cs="Arial"/>
          <w:sz w:val="28"/>
          <w:szCs w:val="28"/>
        </w:rPr>
        <w:t>.</w:t>
      </w:r>
    </w:p>
    <w:p w:rsidR="00EE7D9F" w:rsidRDefault="00EE7D9F" w:rsidP="0097627F">
      <w:pPr>
        <w:spacing w:line="360" w:lineRule="auto"/>
        <w:ind w:firstLine="851"/>
        <w:jc w:val="both"/>
        <w:rPr>
          <w:rFonts w:ascii="Arial Narrow" w:hAnsi="Arial Narrow" w:cs="Arial"/>
          <w:sz w:val="28"/>
          <w:szCs w:val="28"/>
        </w:rPr>
      </w:pPr>
    </w:p>
    <w:p w:rsidR="00A94A02" w:rsidRPr="00A94A02" w:rsidRDefault="00A94A02" w:rsidP="0097627F">
      <w:pPr>
        <w:spacing w:line="360" w:lineRule="auto"/>
        <w:ind w:firstLine="851"/>
        <w:jc w:val="both"/>
        <w:rPr>
          <w:rFonts w:ascii="Arial Narrow" w:hAnsi="Arial Narrow" w:cs="Arial"/>
          <w:b/>
          <w:i/>
          <w:sz w:val="28"/>
          <w:szCs w:val="28"/>
        </w:rPr>
      </w:pPr>
      <w:r>
        <w:rPr>
          <w:rFonts w:ascii="Arial Narrow" w:hAnsi="Arial Narrow" w:cs="Arial"/>
          <w:b/>
          <w:i/>
          <w:sz w:val="28"/>
          <w:szCs w:val="28"/>
        </w:rPr>
        <w:t>Documentos contenidos en mensajes de datos.</w:t>
      </w:r>
    </w:p>
    <w:p w:rsidR="00A94A02" w:rsidRDefault="00A94A02" w:rsidP="0097627F">
      <w:pPr>
        <w:spacing w:line="360" w:lineRule="auto"/>
        <w:ind w:firstLine="851"/>
        <w:jc w:val="both"/>
        <w:rPr>
          <w:rFonts w:ascii="Arial Narrow" w:hAnsi="Arial Narrow" w:cs="Arial"/>
          <w:sz w:val="28"/>
          <w:szCs w:val="28"/>
        </w:rPr>
      </w:pPr>
      <w:r>
        <w:rPr>
          <w:rFonts w:ascii="Arial Narrow" w:hAnsi="Arial Narrow" w:cs="Arial"/>
          <w:sz w:val="28"/>
          <w:szCs w:val="28"/>
        </w:rPr>
        <w:t>El artículo 243 del CGP establece que son documentos, para efectos probatorios, entre otros, los mensajes de datos. El canon 247 de la misma obra legal, indica la forma como se deben aportar y valorar los mensajes de datos, lo que hace con el siguiente tenor:</w:t>
      </w:r>
    </w:p>
    <w:p w:rsidR="00A94A02" w:rsidRDefault="00A94A02" w:rsidP="0097627F">
      <w:pPr>
        <w:spacing w:line="360" w:lineRule="auto"/>
        <w:ind w:firstLine="851"/>
        <w:jc w:val="both"/>
        <w:rPr>
          <w:rFonts w:ascii="Arial Narrow" w:hAnsi="Arial Narrow" w:cs="Arial"/>
          <w:sz w:val="28"/>
          <w:szCs w:val="28"/>
        </w:rPr>
      </w:pPr>
    </w:p>
    <w:p w:rsidR="00A94A02" w:rsidRDefault="00A94A02" w:rsidP="0097627F">
      <w:pPr>
        <w:spacing w:line="360" w:lineRule="auto"/>
        <w:ind w:firstLine="851"/>
        <w:jc w:val="both"/>
        <w:rPr>
          <w:rFonts w:ascii="Arial Narrow" w:hAnsi="Arial Narrow" w:cs="Arial"/>
          <w:i/>
          <w:sz w:val="28"/>
          <w:szCs w:val="28"/>
        </w:rPr>
      </w:pPr>
      <w:r>
        <w:rPr>
          <w:rFonts w:ascii="Arial Narrow" w:hAnsi="Arial Narrow" w:cs="Arial"/>
          <w:b/>
          <w:i/>
          <w:sz w:val="28"/>
          <w:szCs w:val="28"/>
        </w:rPr>
        <w:t xml:space="preserve">“Valoración de mensajes de datos. </w:t>
      </w:r>
      <w:r>
        <w:rPr>
          <w:rFonts w:ascii="Arial Narrow" w:hAnsi="Arial Narrow" w:cs="Arial"/>
          <w:i/>
          <w:sz w:val="28"/>
          <w:szCs w:val="28"/>
        </w:rPr>
        <w:t xml:space="preserve">Serán valorados como mensajes de datos los documentos que hayan sido aportados en el mismo formato en que fueron generados, enviados, o recibidos, o en algún otro formato que los reproduzca con exactitud. </w:t>
      </w:r>
    </w:p>
    <w:p w:rsidR="00A94A02" w:rsidRDefault="00A94A02" w:rsidP="0097627F">
      <w:pPr>
        <w:spacing w:line="360" w:lineRule="auto"/>
        <w:ind w:firstLine="851"/>
        <w:jc w:val="both"/>
        <w:rPr>
          <w:rFonts w:ascii="Arial Narrow" w:hAnsi="Arial Narrow" w:cs="Arial"/>
          <w:i/>
          <w:sz w:val="28"/>
          <w:szCs w:val="28"/>
        </w:rPr>
      </w:pPr>
    </w:p>
    <w:p w:rsidR="00A94A02" w:rsidRDefault="00A94A02" w:rsidP="0097627F">
      <w:pPr>
        <w:spacing w:line="360" w:lineRule="auto"/>
        <w:ind w:firstLine="851"/>
        <w:jc w:val="both"/>
        <w:rPr>
          <w:rFonts w:ascii="Arial Narrow" w:hAnsi="Arial Narrow" w:cs="Arial"/>
          <w:i/>
          <w:sz w:val="28"/>
          <w:szCs w:val="28"/>
        </w:rPr>
      </w:pPr>
      <w:r>
        <w:rPr>
          <w:rFonts w:ascii="Arial Narrow" w:hAnsi="Arial Narrow" w:cs="Arial"/>
          <w:i/>
          <w:sz w:val="28"/>
          <w:szCs w:val="28"/>
        </w:rPr>
        <w:t>La simple impre</w:t>
      </w:r>
      <w:r w:rsidR="00EE7D9F">
        <w:rPr>
          <w:rFonts w:ascii="Arial Narrow" w:hAnsi="Arial Narrow" w:cs="Arial"/>
          <w:i/>
          <w:sz w:val="28"/>
          <w:szCs w:val="28"/>
        </w:rPr>
        <w:t>sión en papel de un mensaje de d</w:t>
      </w:r>
      <w:r>
        <w:rPr>
          <w:rFonts w:ascii="Arial Narrow" w:hAnsi="Arial Narrow" w:cs="Arial"/>
          <w:i/>
          <w:sz w:val="28"/>
          <w:szCs w:val="28"/>
        </w:rPr>
        <w:t>atos será valorada de conformidad con las reglas generales de los documentos”</w:t>
      </w:r>
    </w:p>
    <w:p w:rsidR="00A94A02" w:rsidRDefault="00A94A02" w:rsidP="0097627F">
      <w:pPr>
        <w:spacing w:line="360" w:lineRule="auto"/>
        <w:ind w:firstLine="851"/>
        <w:jc w:val="both"/>
        <w:rPr>
          <w:rFonts w:ascii="Arial Narrow" w:hAnsi="Arial Narrow" w:cs="Arial"/>
          <w:i/>
          <w:sz w:val="28"/>
          <w:szCs w:val="28"/>
        </w:rPr>
      </w:pPr>
    </w:p>
    <w:p w:rsidR="00A94A02" w:rsidRDefault="00A94A02" w:rsidP="0097627F">
      <w:pPr>
        <w:spacing w:line="360" w:lineRule="auto"/>
        <w:ind w:firstLine="851"/>
        <w:jc w:val="both"/>
        <w:rPr>
          <w:rFonts w:ascii="Arial Narrow" w:hAnsi="Arial Narrow" w:cs="Arial"/>
          <w:sz w:val="28"/>
          <w:szCs w:val="28"/>
        </w:rPr>
      </w:pPr>
      <w:r>
        <w:rPr>
          <w:rFonts w:ascii="Arial Narrow" w:hAnsi="Arial Narrow" w:cs="Arial"/>
          <w:sz w:val="28"/>
          <w:szCs w:val="28"/>
        </w:rPr>
        <w:t>Establece la norma, pautas o reglas que debe aplicar el Juez, al momento de fijarle el valor probatorio a los documentos contenidos en mensajes de datos, lo que se traduce en que, su aportación y decreto no está sujeto a estas pautas, sino a las generales de oportunidad, eficacia, pertinencia y utilidad, que debe verificar el operador judicial cuando decide sobre el decreto o no de una probanza.</w:t>
      </w:r>
    </w:p>
    <w:p w:rsidR="00A94A02" w:rsidRDefault="00A94A02" w:rsidP="0097627F">
      <w:pPr>
        <w:spacing w:line="360" w:lineRule="auto"/>
        <w:ind w:firstLine="851"/>
        <w:jc w:val="both"/>
        <w:rPr>
          <w:rFonts w:ascii="Arial Narrow" w:hAnsi="Arial Narrow" w:cs="Arial"/>
          <w:sz w:val="28"/>
          <w:szCs w:val="28"/>
        </w:rPr>
      </w:pPr>
    </w:p>
    <w:p w:rsidR="007E7DFF" w:rsidRDefault="00A94A02" w:rsidP="0097627F">
      <w:pPr>
        <w:spacing w:line="360" w:lineRule="auto"/>
        <w:ind w:firstLine="851"/>
        <w:jc w:val="both"/>
        <w:rPr>
          <w:rFonts w:ascii="Arial Narrow" w:hAnsi="Arial Narrow" w:cs="Arial"/>
          <w:sz w:val="28"/>
          <w:szCs w:val="28"/>
        </w:rPr>
      </w:pPr>
      <w:r>
        <w:rPr>
          <w:rFonts w:ascii="Arial Narrow" w:hAnsi="Arial Narrow" w:cs="Arial"/>
          <w:sz w:val="28"/>
          <w:szCs w:val="28"/>
        </w:rPr>
        <w:t>En el caso puntual, se tiene que la Jueza decret</w:t>
      </w:r>
      <w:r w:rsidR="006555E3">
        <w:rPr>
          <w:rFonts w:ascii="Arial Narrow" w:hAnsi="Arial Narrow" w:cs="Arial"/>
          <w:sz w:val="28"/>
          <w:szCs w:val="28"/>
        </w:rPr>
        <w:t>ó</w:t>
      </w:r>
      <w:r>
        <w:rPr>
          <w:rFonts w:ascii="Arial Narrow" w:hAnsi="Arial Narrow" w:cs="Arial"/>
          <w:sz w:val="28"/>
          <w:szCs w:val="28"/>
        </w:rPr>
        <w:t xml:space="preserve"> como prueba unos documentos, contentivos de unos correos electrónicos que recibió la demandante de su </w:t>
      </w:r>
      <w:r>
        <w:rPr>
          <w:rFonts w:ascii="Arial Narrow" w:hAnsi="Arial Narrow" w:cs="Arial"/>
          <w:sz w:val="28"/>
          <w:szCs w:val="28"/>
        </w:rPr>
        <w:lastRenderedPageBreak/>
        <w:t xml:space="preserve">empleador y esa decisión, la de tener tales documentos como prueba, es la que está apelando la demandante.  De entrada se observa, que el recurso es improcedente, dado que el artículo 65 del CPLSS, en su ordinal </w:t>
      </w:r>
      <w:r w:rsidR="007E7DFF">
        <w:rPr>
          <w:rFonts w:ascii="Arial Narrow" w:hAnsi="Arial Narrow" w:cs="Arial"/>
          <w:sz w:val="28"/>
          <w:szCs w:val="28"/>
        </w:rPr>
        <w:t xml:space="preserve">4º, indica la posibilidad de alzarse contra la providencia que niega el decreto o la práctica de una prueba, lo que no ocurre en este evento, pues la Jueza decretó las pruebas y los señalamientos que hace la demandada sobre la forma como se debieron aportar esos documentos, bien deben reservarse para atacar los mismos en los alegatos de conclusión, mas no para pretender su exclusión como medio de prueba, pues la Jueza los estimó pertinentes, conducentes, útiles y oportunos para dirimir el litigio, decisión que se itera, no es susceptible de recurrirse. </w:t>
      </w:r>
    </w:p>
    <w:p w:rsidR="007E7DFF" w:rsidRDefault="007E7DFF" w:rsidP="0097627F">
      <w:pPr>
        <w:spacing w:line="360" w:lineRule="auto"/>
        <w:ind w:firstLine="851"/>
        <w:jc w:val="both"/>
        <w:rPr>
          <w:rFonts w:ascii="Arial Narrow" w:hAnsi="Arial Narrow" w:cs="Arial"/>
          <w:sz w:val="28"/>
          <w:szCs w:val="28"/>
        </w:rPr>
      </w:pPr>
    </w:p>
    <w:p w:rsidR="007E7DFF" w:rsidRDefault="007E7DFF"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Así las cosas, se declara inadmisible el recurso propuesto frente al decreto </w:t>
      </w:r>
      <w:r w:rsidR="0066430F">
        <w:rPr>
          <w:rFonts w:ascii="Arial Narrow" w:hAnsi="Arial Narrow" w:cs="Arial"/>
          <w:sz w:val="28"/>
          <w:szCs w:val="28"/>
        </w:rPr>
        <w:t>de los</w:t>
      </w:r>
      <w:r>
        <w:rPr>
          <w:rFonts w:ascii="Arial Narrow" w:hAnsi="Arial Narrow" w:cs="Arial"/>
          <w:sz w:val="28"/>
          <w:szCs w:val="28"/>
        </w:rPr>
        <w:t xml:space="preserve"> documentos contentivos de mensajes de datos, conforme a lo dicho.</w:t>
      </w:r>
    </w:p>
    <w:p w:rsidR="006555E3" w:rsidRDefault="006555E3" w:rsidP="0097627F">
      <w:pPr>
        <w:spacing w:line="360" w:lineRule="auto"/>
        <w:ind w:firstLine="851"/>
        <w:jc w:val="both"/>
        <w:rPr>
          <w:rFonts w:ascii="Arial Narrow" w:hAnsi="Arial Narrow" w:cs="Arial"/>
          <w:b/>
          <w:i/>
          <w:sz w:val="28"/>
          <w:szCs w:val="28"/>
        </w:rPr>
      </w:pPr>
    </w:p>
    <w:p w:rsidR="00A94A02" w:rsidRPr="007E7DFF" w:rsidRDefault="007E7DFF" w:rsidP="0097627F">
      <w:pPr>
        <w:spacing w:line="360" w:lineRule="auto"/>
        <w:ind w:firstLine="851"/>
        <w:jc w:val="both"/>
        <w:rPr>
          <w:rFonts w:ascii="Arial Narrow" w:hAnsi="Arial Narrow" w:cs="Arial"/>
          <w:i/>
          <w:sz w:val="28"/>
          <w:szCs w:val="28"/>
        </w:rPr>
      </w:pPr>
      <w:r w:rsidRPr="007E7DFF">
        <w:rPr>
          <w:rFonts w:ascii="Arial Narrow" w:hAnsi="Arial Narrow" w:cs="Arial"/>
          <w:b/>
          <w:i/>
          <w:sz w:val="28"/>
          <w:szCs w:val="28"/>
        </w:rPr>
        <w:t>Nulidad.</w:t>
      </w:r>
      <w:r w:rsidRPr="007E7DFF">
        <w:rPr>
          <w:rFonts w:ascii="Arial Narrow" w:hAnsi="Arial Narrow" w:cs="Arial"/>
          <w:i/>
          <w:sz w:val="28"/>
          <w:szCs w:val="28"/>
        </w:rPr>
        <w:t xml:space="preserve"> </w:t>
      </w:r>
    </w:p>
    <w:p w:rsidR="00A94A02" w:rsidRDefault="00A94A02" w:rsidP="0097627F">
      <w:pPr>
        <w:spacing w:line="360" w:lineRule="auto"/>
        <w:ind w:firstLine="851"/>
        <w:jc w:val="both"/>
        <w:rPr>
          <w:rFonts w:ascii="Arial Narrow" w:hAnsi="Arial Narrow" w:cs="Arial"/>
          <w:sz w:val="28"/>
          <w:szCs w:val="28"/>
        </w:rPr>
      </w:pPr>
    </w:p>
    <w:p w:rsidR="0066430F" w:rsidRDefault="007E7DFF"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La fundamenta la petente en el artículo 29 superior, que indica en su inciso final que es nula de pleno derecho, la prueba que se obtenga con violación al debido proceso, violación que la solicitante apoya en que la parte actora no agotó siquiera la posibilidad de conseguir las pruebas que, posteriormente, por </w:t>
      </w:r>
      <w:r w:rsidR="0066430F">
        <w:rPr>
          <w:rFonts w:ascii="Arial Narrow" w:hAnsi="Arial Narrow" w:cs="Arial"/>
          <w:sz w:val="28"/>
          <w:szCs w:val="28"/>
        </w:rPr>
        <w:t>vía</w:t>
      </w:r>
      <w:r>
        <w:rPr>
          <w:rFonts w:ascii="Arial Narrow" w:hAnsi="Arial Narrow" w:cs="Arial"/>
          <w:sz w:val="28"/>
          <w:szCs w:val="28"/>
        </w:rPr>
        <w:t xml:space="preserve"> de oficios, se pretenden conseguir. </w:t>
      </w:r>
    </w:p>
    <w:p w:rsidR="00072141" w:rsidRDefault="00072141" w:rsidP="0097627F">
      <w:pPr>
        <w:spacing w:line="360" w:lineRule="auto"/>
        <w:ind w:firstLine="851"/>
        <w:jc w:val="both"/>
        <w:rPr>
          <w:rFonts w:ascii="Arial Narrow" w:hAnsi="Arial Narrow" w:cs="Arial"/>
          <w:sz w:val="28"/>
          <w:szCs w:val="28"/>
        </w:rPr>
      </w:pPr>
    </w:p>
    <w:p w:rsidR="00B17FEF" w:rsidRDefault="0066430F" w:rsidP="0097627F">
      <w:pPr>
        <w:spacing w:line="360" w:lineRule="auto"/>
        <w:ind w:firstLine="851"/>
        <w:jc w:val="both"/>
        <w:rPr>
          <w:rFonts w:ascii="Arial Narrow" w:hAnsi="Arial Narrow" w:cs="Arial"/>
          <w:sz w:val="28"/>
          <w:szCs w:val="28"/>
        </w:rPr>
      </w:pPr>
      <w:r>
        <w:rPr>
          <w:rFonts w:ascii="Arial Narrow" w:hAnsi="Arial Narrow" w:cs="Arial"/>
          <w:sz w:val="28"/>
          <w:szCs w:val="28"/>
        </w:rPr>
        <w:t>Pues bien, dígase de una vez que las nulidades son un remedio extremo, es decir, una última opción</w:t>
      </w:r>
      <w:r w:rsidR="001960B6">
        <w:rPr>
          <w:rFonts w:ascii="Arial Narrow" w:hAnsi="Arial Narrow" w:cs="Arial"/>
          <w:sz w:val="28"/>
          <w:szCs w:val="28"/>
        </w:rPr>
        <w:t xml:space="preserve"> para subsanar las falencias que acaezcan en un proceso judicial. Por ello, están </w:t>
      </w:r>
      <w:r w:rsidR="00CC46F6">
        <w:rPr>
          <w:rFonts w:ascii="Arial Narrow" w:hAnsi="Arial Narrow" w:cs="Arial"/>
          <w:sz w:val="28"/>
          <w:szCs w:val="28"/>
        </w:rPr>
        <w:t>regidas por el principio de la taxatividad, es decir, solo se configura nulidad, cuando se presenta</w:t>
      </w:r>
      <w:r w:rsidR="00115A1A">
        <w:rPr>
          <w:rFonts w:ascii="Arial Narrow" w:hAnsi="Arial Narrow" w:cs="Arial"/>
          <w:sz w:val="28"/>
          <w:szCs w:val="28"/>
        </w:rPr>
        <w:t xml:space="preserve"> una de las causales contenidas en la legislación</w:t>
      </w:r>
      <w:r w:rsidR="00B17FEF">
        <w:rPr>
          <w:rFonts w:ascii="Arial Narrow" w:hAnsi="Arial Narrow" w:cs="Arial"/>
          <w:sz w:val="28"/>
          <w:szCs w:val="28"/>
        </w:rPr>
        <w:t xml:space="preserve"> o en la señalada en el inciso final del artículo 29 superior.</w:t>
      </w:r>
    </w:p>
    <w:p w:rsidR="00B17FEF" w:rsidRDefault="00B17FEF" w:rsidP="0097627F">
      <w:pPr>
        <w:spacing w:line="360" w:lineRule="auto"/>
        <w:ind w:firstLine="851"/>
        <w:jc w:val="both"/>
        <w:rPr>
          <w:rFonts w:ascii="Arial Narrow" w:hAnsi="Arial Narrow" w:cs="Arial"/>
          <w:sz w:val="28"/>
          <w:szCs w:val="28"/>
        </w:rPr>
      </w:pPr>
    </w:p>
    <w:p w:rsidR="005A6C8C" w:rsidRDefault="00B17FEF" w:rsidP="0097627F">
      <w:pPr>
        <w:spacing w:line="360" w:lineRule="auto"/>
        <w:ind w:firstLine="851"/>
        <w:jc w:val="both"/>
        <w:rPr>
          <w:rFonts w:ascii="Arial Narrow" w:hAnsi="Arial Narrow" w:cs="Arial"/>
          <w:sz w:val="28"/>
          <w:szCs w:val="28"/>
        </w:rPr>
      </w:pPr>
      <w:r>
        <w:rPr>
          <w:rFonts w:ascii="Arial Narrow" w:hAnsi="Arial Narrow" w:cs="Arial"/>
          <w:sz w:val="28"/>
          <w:szCs w:val="28"/>
        </w:rPr>
        <w:t>Respecto a esta nulidad de pleno derecho por violación del debido proceso</w:t>
      </w:r>
      <w:r w:rsidR="005A6C8C">
        <w:rPr>
          <w:rFonts w:ascii="Arial Narrow" w:hAnsi="Arial Narrow" w:cs="Arial"/>
          <w:sz w:val="28"/>
          <w:szCs w:val="28"/>
        </w:rPr>
        <w:t>, vale la pena mencionar que la Corte Constitucional de antaño ha fijado su alcance, indicando lo siguiente:</w:t>
      </w:r>
      <w:r>
        <w:rPr>
          <w:rFonts w:ascii="Arial Narrow" w:hAnsi="Arial Narrow" w:cs="Arial"/>
          <w:sz w:val="28"/>
          <w:szCs w:val="28"/>
        </w:rPr>
        <w:t xml:space="preserve"> </w:t>
      </w:r>
      <w:r w:rsidR="00115A1A">
        <w:rPr>
          <w:rFonts w:ascii="Arial Narrow" w:hAnsi="Arial Narrow" w:cs="Arial"/>
          <w:sz w:val="28"/>
          <w:szCs w:val="28"/>
        </w:rPr>
        <w:t xml:space="preserve"> </w:t>
      </w:r>
      <w:r w:rsidR="00CC46F6">
        <w:rPr>
          <w:rFonts w:ascii="Arial Narrow" w:hAnsi="Arial Narrow" w:cs="Arial"/>
          <w:sz w:val="28"/>
          <w:szCs w:val="28"/>
        </w:rPr>
        <w:t xml:space="preserve"> </w:t>
      </w:r>
    </w:p>
    <w:p w:rsidR="005A6C8C" w:rsidRDefault="005A6C8C" w:rsidP="0097627F">
      <w:pPr>
        <w:spacing w:line="360" w:lineRule="auto"/>
        <w:ind w:firstLine="851"/>
        <w:jc w:val="both"/>
        <w:rPr>
          <w:rFonts w:ascii="Arial Narrow" w:hAnsi="Arial Narrow" w:cs="Arial"/>
          <w:sz w:val="28"/>
          <w:szCs w:val="28"/>
        </w:rPr>
      </w:pPr>
    </w:p>
    <w:p w:rsidR="0066430F" w:rsidRPr="006C228B" w:rsidRDefault="005A6C8C" w:rsidP="005A6C8C">
      <w:pPr>
        <w:spacing w:line="360" w:lineRule="auto"/>
        <w:ind w:firstLine="851"/>
        <w:jc w:val="both"/>
        <w:rPr>
          <w:rFonts w:ascii="Arial Narrow" w:hAnsi="Arial Narrow" w:cs="Arial"/>
          <w:i/>
          <w:sz w:val="28"/>
          <w:szCs w:val="28"/>
        </w:rPr>
      </w:pPr>
      <w:r w:rsidRPr="006C228B">
        <w:rPr>
          <w:rFonts w:ascii="Arial Narrow" w:hAnsi="Arial Narrow" w:cs="Arial"/>
          <w:i/>
          <w:sz w:val="28"/>
          <w:szCs w:val="28"/>
        </w:rPr>
        <w:lastRenderedPageBreak/>
        <w:t>“…pero advirtiendo, que</w:t>
      </w:r>
      <w:r w:rsidR="006C228B" w:rsidRPr="006C228B">
        <w:rPr>
          <w:rFonts w:ascii="Arial Narrow" w:hAnsi="Arial Narrow" w:cs="Arial"/>
          <w:i/>
          <w:sz w:val="28"/>
          <w:szCs w:val="28"/>
        </w:rPr>
        <w:t xml:space="preserve"> </w:t>
      </w:r>
      <w:r w:rsidRPr="006C228B">
        <w:rPr>
          <w:rFonts w:ascii="Arial Narrow" w:hAnsi="Arial Narrow" w:cs="Arial"/>
          <w:i/>
          <w:sz w:val="28"/>
          <w:szCs w:val="28"/>
        </w:rPr>
        <w:t xml:space="preserve">además de dichas causales legales de nulidad es viable y puede ser invocada la consagrada en el art. 29 de la Constitución, según el cual "es nula, de pleno derecho, la prueba obtenida con violación del debido proceso", esto es, </w:t>
      </w:r>
      <w:r w:rsidRPr="006C228B">
        <w:rPr>
          <w:rFonts w:ascii="Arial Narrow" w:hAnsi="Arial Narrow" w:cs="Arial"/>
          <w:b/>
          <w:i/>
          <w:sz w:val="28"/>
          <w:szCs w:val="28"/>
        </w:rPr>
        <w:t>sin la observancia de las formalidades legales esenciales requeridas para la producción de la prueba, especialmente en lo que atañe con el derecho de contradicción por la parte a la cual se opone ésta</w:t>
      </w:r>
      <w:r w:rsidRPr="006C228B">
        <w:rPr>
          <w:rFonts w:ascii="Arial Narrow" w:hAnsi="Arial Narrow" w:cs="Arial"/>
          <w:i/>
          <w:sz w:val="28"/>
          <w:szCs w:val="28"/>
        </w:rPr>
        <w:t>”</w:t>
      </w:r>
      <w:r w:rsidR="00CC46F6" w:rsidRPr="006C228B">
        <w:rPr>
          <w:rFonts w:ascii="Arial Narrow" w:hAnsi="Arial Narrow" w:cs="Arial"/>
          <w:i/>
          <w:sz w:val="28"/>
          <w:szCs w:val="28"/>
        </w:rPr>
        <w:t xml:space="preserve"> </w:t>
      </w:r>
      <w:r w:rsidR="006C228B">
        <w:rPr>
          <w:rStyle w:val="Refdenotaalpie"/>
          <w:rFonts w:ascii="Arial Narrow" w:hAnsi="Arial Narrow" w:cs="Arial"/>
          <w:i/>
          <w:sz w:val="28"/>
          <w:szCs w:val="28"/>
        </w:rPr>
        <w:footnoteReference w:id="1"/>
      </w:r>
      <w:r w:rsidR="0066430F" w:rsidRPr="006C228B">
        <w:rPr>
          <w:rFonts w:ascii="Arial Narrow" w:hAnsi="Arial Narrow" w:cs="Arial"/>
          <w:i/>
          <w:sz w:val="28"/>
          <w:szCs w:val="28"/>
        </w:rPr>
        <w:t xml:space="preserve"> </w:t>
      </w:r>
      <w:r w:rsidR="006C228B">
        <w:rPr>
          <w:rFonts w:ascii="Arial Narrow" w:hAnsi="Arial Narrow" w:cs="Arial"/>
          <w:i/>
          <w:sz w:val="28"/>
          <w:szCs w:val="28"/>
        </w:rPr>
        <w:t>-negrillas para destacar-</w:t>
      </w:r>
    </w:p>
    <w:p w:rsidR="007E7DFF" w:rsidRDefault="007E7DFF" w:rsidP="006C228B">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6C228B" w:rsidRDefault="006C228B" w:rsidP="0097627F">
      <w:pPr>
        <w:spacing w:line="360" w:lineRule="auto"/>
        <w:ind w:firstLine="851"/>
        <w:jc w:val="both"/>
        <w:rPr>
          <w:rFonts w:ascii="Arial Narrow" w:hAnsi="Arial Narrow" w:cs="Arial"/>
          <w:sz w:val="28"/>
          <w:szCs w:val="28"/>
        </w:rPr>
      </w:pPr>
      <w:r>
        <w:rPr>
          <w:rFonts w:ascii="Arial Narrow" w:hAnsi="Arial Narrow" w:cs="Arial"/>
          <w:sz w:val="28"/>
          <w:szCs w:val="28"/>
        </w:rPr>
        <w:t>Como se evidencia, la violación al debido proceso debe ser ostensible, debe afectar las exigencias esenciales de defensa de la contraparte para anular de pleno derecho, la prueba así obtenida y las que de ella se deriven.</w:t>
      </w:r>
    </w:p>
    <w:p w:rsidR="006C228B" w:rsidRDefault="006C228B" w:rsidP="0097627F">
      <w:pPr>
        <w:spacing w:line="360" w:lineRule="auto"/>
        <w:ind w:firstLine="851"/>
        <w:jc w:val="both"/>
        <w:rPr>
          <w:rFonts w:ascii="Arial Narrow" w:hAnsi="Arial Narrow" w:cs="Arial"/>
          <w:sz w:val="28"/>
          <w:szCs w:val="28"/>
        </w:rPr>
      </w:pPr>
    </w:p>
    <w:p w:rsidR="000F03E2" w:rsidRDefault="006C228B"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En este caso brilla por su ausencia la violación al debido proceso en las pruebas documentales de terceros, que busca obtener el Despacho por medio de oficios, amén que no se ha vulnerado garantía alguna de la sociedad demandada, dado que si bien se </w:t>
      </w:r>
      <w:r w:rsidR="000F03E2">
        <w:rPr>
          <w:rFonts w:ascii="Arial Narrow" w:hAnsi="Arial Narrow" w:cs="Arial"/>
          <w:sz w:val="28"/>
          <w:szCs w:val="28"/>
        </w:rPr>
        <w:t>trata de documentos de terceros que la parte debió haber traído al infolio, lo cierto es que la Jueza encontró con atin</w:t>
      </w:r>
      <w:r w:rsidR="006555E3">
        <w:rPr>
          <w:rFonts w:ascii="Arial Narrow" w:hAnsi="Arial Narrow" w:cs="Arial"/>
          <w:sz w:val="28"/>
          <w:szCs w:val="28"/>
        </w:rPr>
        <w:t>o</w:t>
      </w:r>
      <w:r w:rsidR="000F03E2">
        <w:rPr>
          <w:rFonts w:ascii="Arial Narrow" w:hAnsi="Arial Narrow" w:cs="Arial"/>
          <w:sz w:val="28"/>
          <w:szCs w:val="28"/>
        </w:rPr>
        <w:t xml:space="preserve"> que la parte trat</w:t>
      </w:r>
      <w:r w:rsidR="006555E3">
        <w:rPr>
          <w:rFonts w:ascii="Arial Narrow" w:hAnsi="Arial Narrow" w:cs="Arial"/>
          <w:sz w:val="28"/>
          <w:szCs w:val="28"/>
        </w:rPr>
        <w:t>ó</w:t>
      </w:r>
      <w:r w:rsidR="000F03E2">
        <w:rPr>
          <w:rFonts w:ascii="Arial Narrow" w:hAnsi="Arial Narrow" w:cs="Arial"/>
          <w:sz w:val="28"/>
          <w:szCs w:val="28"/>
        </w:rPr>
        <w:t xml:space="preserve"> de obtenerlas, con requerimientos al empleador y aportando parcialmente algunas de ellas, con lo que se observa cumplida su obligación. </w:t>
      </w:r>
    </w:p>
    <w:p w:rsidR="00EA27C1" w:rsidRDefault="00EA27C1" w:rsidP="0097627F">
      <w:pPr>
        <w:spacing w:line="360" w:lineRule="auto"/>
        <w:ind w:firstLine="851"/>
        <w:jc w:val="both"/>
        <w:rPr>
          <w:rFonts w:ascii="Arial Narrow" w:hAnsi="Arial Narrow" w:cs="Arial"/>
          <w:sz w:val="28"/>
          <w:szCs w:val="28"/>
        </w:rPr>
      </w:pPr>
    </w:p>
    <w:p w:rsidR="00BB66F0" w:rsidRDefault="000F03E2" w:rsidP="0097627F">
      <w:pPr>
        <w:spacing w:line="360" w:lineRule="auto"/>
        <w:ind w:firstLine="851"/>
        <w:jc w:val="both"/>
        <w:rPr>
          <w:rFonts w:ascii="Arial Narrow" w:hAnsi="Arial Narrow" w:cs="Arial"/>
          <w:sz w:val="28"/>
          <w:szCs w:val="28"/>
        </w:rPr>
      </w:pPr>
      <w:r>
        <w:rPr>
          <w:rFonts w:ascii="Arial Narrow" w:hAnsi="Arial Narrow" w:cs="Arial"/>
          <w:sz w:val="28"/>
          <w:szCs w:val="28"/>
        </w:rPr>
        <w:t>En realidad, no se observa que alguna de las determinaciones adoptadas haya puesto en desigualdad a los extremos litigiosos y lo que se observa es que el actuar de la juzgadora de primer grado es acertado, en la medida en que, ante la necesidad de</w:t>
      </w:r>
      <w:r w:rsidR="00BB66F0">
        <w:rPr>
          <w:rFonts w:ascii="Arial Narrow" w:hAnsi="Arial Narrow" w:cs="Arial"/>
          <w:sz w:val="28"/>
          <w:szCs w:val="28"/>
        </w:rPr>
        <w:t xml:space="preserve"> esclarecer los hechos de la demanda, decretó todas las pruebas que pudieran darle claridad, buscando con ello la adopción de la decisión de fondo adecuada a la realidad del asunto que se sometió a su conocimiento, forma de actuar que obedece al cumplimiento de su deber legal y no a un sesgo como lo deja entrever la parte demandada.</w:t>
      </w:r>
    </w:p>
    <w:p w:rsidR="00BB66F0" w:rsidRDefault="00BB66F0" w:rsidP="0097627F">
      <w:pPr>
        <w:spacing w:line="360" w:lineRule="auto"/>
        <w:ind w:firstLine="851"/>
        <w:jc w:val="both"/>
        <w:rPr>
          <w:rFonts w:ascii="Arial Narrow" w:hAnsi="Arial Narrow" w:cs="Arial"/>
          <w:sz w:val="28"/>
          <w:szCs w:val="28"/>
        </w:rPr>
      </w:pPr>
    </w:p>
    <w:p w:rsidR="00BB66F0" w:rsidRDefault="00BB66F0" w:rsidP="0097627F">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Por lo dicho, encuentra esta Sala que la decisión de primer grado que negó la nulidad, debe confirmarse.</w:t>
      </w:r>
    </w:p>
    <w:p w:rsidR="00BB66F0" w:rsidRDefault="00BB66F0" w:rsidP="0097627F">
      <w:pPr>
        <w:spacing w:line="360" w:lineRule="auto"/>
        <w:ind w:firstLine="851"/>
        <w:jc w:val="both"/>
        <w:rPr>
          <w:rFonts w:ascii="Arial Narrow" w:hAnsi="Arial Narrow" w:cs="Arial"/>
          <w:sz w:val="28"/>
          <w:szCs w:val="28"/>
        </w:rPr>
      </w:pPr>
    </w:p>
    <w:p w:rsidR="00BB66F0" w:rsidRDefault="00BB66F0" w:rsidP="0097627F">
      <w:pPr>
        <w:spacing w:line="360" w:lineRule="auto"/>
        <w:ind w:firstLine="851"/>
        <w:jc w:val="both"/>
        <w:rPr>
          <w:rFonts w:ascii="Arial Narrow" w:hAnsi="Arial Narrow" w:cs="Arial"/>
          <w:sz w:val="28"/>
          <w:szCs w:val="28"/>
        </w:rPr>
      </w:pPr>
      <w:r>
        <w:rPr>
          <w:rFonts w:ascii="Arial Narrow" w:hAnsi="Arial Narrow" w:cs="Arial"/>
          <w:sz w:val="28"/>
          <w:szCs w:val="28"/>
        </w:rPr>
        <w:t>Las costas en esta instancia, estarán a cargo de la parte demandada.</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DF219D" w:rsidRPr="00D22646" w:rsidRDefault="00D22646" w:rsidP="00D22646">
      <w:pPr>
        <w:suppressAutoHyphens/>
        <w:spacing w:line="360" w:lineRule="auto"/>
        <w:ind w:firstLine="851"/>
        <w:jc w:val="both"/>
        <w:rPr>
          <w:rFonts w:ascii="Arial Narrow" w:hAnsi="Arial Narrow" w:cs="Arial"/>
          <w:b/>
          <w:spacing w:val="-2"/>
          <w:sz w:val="28"/>
          <w:szCs w:val="28"/>
        </w:rPr>
      </w:pPr>
      <w:r>
        <w:rPr>
          <w:rFonts w:ascii="Arial Narrow" w:hAnsi="Arial Narrow" w:cs="Arial"/>
          <w:b/>
          <w:i/>
          <w:sz w:val="28"/>
          <w:szCs w:val="28"/>
        </w:rPr>
        <w:t xml:space="preserve">1. </w:t>
      </w:r>
      <w:r w:rsidR="004B29E1" w:rsidRPr="004B29E1">
        <w:rPr>
          <w:rFonts w:ascii="Arial Narrow" w:hAnsi="Arial Narrow" w:cs="Arial"/>
          <w:b/>
          <w:i/>
          <w:sz w:val="28"/>
          <w:szCs w:val="28"/>
        </w:rPr>
        <w:t>Confirma</w:t>
      </w:r>
      <w:r w:rsidR="00BB66F0">
        <w:rPr>
          <w:rFonts w:ascii="Arial Narrow" w:hAnsi="Arial Narrow" w:cs="Arial"/>
          <w:b/>
          <w:i/>
          <w:sz w:val="28"/>
          <w:szCs w:val="28"/>
        </w:rPr>
        <w:t>r</w:t>
      </w:r>
      <w:r w:rsidR="004B29E1" w:rsidRPr="004B29E1">
        <w:rPr>
          <w:rFonts w:ascii="Arial Narrow" w:hAnsi="Arial Narrow" w:cs="Arial"/>
          <w:b/>
          <w:sz w:val="28"/>
          <w:szCs w:val="28"/>
        </w:rPr>
        <w:t xml:space="preserve"> </w:t>
      </w:r>
      <w:r w:rsidR="004B29E1" w:rsidRPr="004B29E1">
        <w:rPr>
          <w:rFonts w:ascii="Arial Narrow" w:hAnsi="Arial Narrow" w:cs="Arial"/>
          <w:sz w:val="28"/>
          <w:szCs w:val="28"/>
        </w:rPr>
        <w:t>la</w:t>
      </w:r>
      <w:r w:rsidR="00BB66F0">
        <w:rPr>
          <w:rFonts w:ascii="Arial Narrow" w:hAnsi="Arial Narrow" w:cs="Arial"/>
          <w:sz w:val="28"/>
          <w:szCs w:val="28"/>
        </w:rPr>
        <w:t>s</w:t>
      </w:r>
      <w:r w:rsidR="004B29E1" w:rsidRPr="004B29E1">
        <w:rPr>
          <w:rFonts w:ascii="Arial Narrow" w:hAnsi="Arial Narrow" w:cs="Arial"/>
          <w:sz w:val="28"/>
          <w:szCs w:val="28"/>
        </w:rPr>
        <w:t xml:space="preserve"> providencia</w:t>
      </w:r>
      <w:r w:rsidR="00BB66F0">
        <w:rPr>
          <w:rFonts w:ascii="Arial Narrow" w:hAnsi="Arial Narrow" w:cs="Arial"/>
          <w:sz w:val="28"/>
          <w:szCs w:val="28"/>
        </w:rPr>
        <w:t>s</w:t>
      </w:r>
      <w:r w:rsidR="004B29E1" w:rsidRPr="004B29E1">
        <w:rPr>
          <w:rFonts w:ascii="Arial Narrow" w:hAnsi="Arial Narrow" w:cs="Arial"/>
          <w:sz w:val="28"/>
          <w:szCs w:val="28"/>
        </w:rPr>
        <w:t xml:space="preserve"> </w:t>
      </w:r>
      <w:r>
        <w:rPr>
          <w:rFonts w:ascii="Arial Narrow" w:hAnsi="Arial Narrow" w:cs="Arial"/>
          <w:sz w:val="28"/>
          <w:szCs w:val="28"/>
        </w:rPr>
        <w:t>dictada</w:t>
      </w:r>
      <w:r w:rsidR="00BB66F0">
        <w:rPr>
          <w:rFonts w:ascii="Arial Narrow" w:hAnsi="Arial Narrow" w:cs="Arial"/>
          <w:sz w:val="28"/>
          <w:szCs w:val="28"/>
        </w:rPr>
        <w:t>s</w:t>
      </w:r>
      <w:r>
        <w:rPr>
          <w:rFonts w:ascii="Arial Narrow" w:hAnsi="Arial Narrow" w:cs="Arial"/>
          <w:sz w:val="28"/>
          <w:szCs w:val="28"/>
        </w:rPr>
        <w:t xml:space="preserve"> en la audiencia </w:t>
      </w:r>
      <w:r w:rsidR="00BB66F0">
        <w:rPr>
          <w:rFonts w:ascii="Arial Narrow" w:hAnsi="Arial Narrow" w:cs="Arial"/>
          <w:sz w:val="28"/>
          <w:szCs w:val="28"/>
        </w:rPr>
        <w:t xml:space="preserve">del artículo 77 del CPLSS </w:t>
      </w:r>
      <w:r>
        <w:rPr>
          <w:rFonts w:ascii="Arial Narrow" w:hAnsi="Arial Narrow" w:cs="Arial"/>
          <w:sz w:val="28"/>
          <w:szCs w:val="28"/>
        </w:rPr>
        <w:t xml:space="preserve">celebrada el </w:t>
      </w:r>
      <w:r w:rsidR="00BB66F0">
        <w:rPr>
          <w:rFonts w:ascii="Arial Narrow" w:hAnsi="Arial Narrow" w:cs="Arial"/>
          <w:sz w:val="28"/>
          <w:szCs w:val="28"/>
        </w:rPr>
        <w:t>15</w:t>
      </w:r>
      <w:r w:rsidR="004B29E1" w:rsidRPr="004B29E1">
        <w:rPr>
          <w:rFonts w:ascii="Arial Narrow" w:hAnsi="Arial Narrow" w:cs="Arial"/>
          <w:sz w:val="28"/>
          <w:szCs w:val="28"/>
        </w:rPr>
        <w:t xml:space="preserve"> de </w:t>
      </w:r>
      <w:r w:rsidR="00BB66F0">
        <w:rPr>
          <w:rFonts w:ascii="Arial Narrow" w:hAnsi="Arial Narrow" w:cs="Arial"/>
          <w:sz w:val="28"/>
          <w:szCs w:val="28"/>
        </w:rPr>
        <w:t>febrero</w:t>
      </w:r>
      <w:r w:rsidR="004B29E1" w:rsidRPr="004B29E1">
        <w:rPr>
          <w:rFonts w:ascii="Arial Narrow" w:hAnsi="Arial Narrow" w:cs="Arial"/>
          <w:sz w:val="28"/>
          <w:szCs w:val="28"/>
        </w:rPr>
        <w:t xml:space="preserve"> de 201</w:t>
      </w:r>
      <w:r w:rsidR="00BB66F0">
        <w:rPr>
          <w:rFonts w:ascii="Arial Narrow" w:hAnsi="Arial Narrow" w:cs="Arial"/>
          <w:sz w:val="28"/>
          <w:szCs w:val="28"/>
        </w:rPr>
        <w:t>6</w:t>
      </w:r>
      <w:r w:rsidR="004B29E1" w:rsidRPr="004B29E1">
        <w:rPr>
          <w:rFonts w:ascii="Arial Narrow" w:hAnsi="Arial Narrow" w:cs="Arial"/>
          <w:sz w:val="28"/>
          <w:szCs w:val="28"/>
        </w:rPr>
        <w:t xml:space="preserve">, por la Jueza Cuarta Laboral del Circuito de Pereira, dentro del proceso </w:t>
      </w:r>
      <w:r>
        <w:rPr>
          <w:rFonts w:ascii="Arial Narrow" w:hAnsi="Arial Narrow" w:cs="Arial"/>
          <w:spacing w:val="-2"/>
          <w:sz w:val="28"/>
          <w:szCs w:val="28"/>
        </w:rPr>
        <w:t xml:space="preserve">del proceso </w:t>
      </w:r>
      <w:r w:rsidR="00BB66F0">
        <w:rPr>
          <w:rFonts w:ascii="Arial Narrow" w:hAnsi="Arial Narrow" w:cs="Arial"/>
          <w:spacing w:val="-2"/>
          <w:sz w:val="28"/>
          <w:szCs w:val="28"/>
        </w:rPr>
        <w:t xml:space="preserve">de la referencia, salvo la tocante al decreto de los documentos </w:t>
      </w:r>
      <w:r w:rsidR="00072141">
        <w:rPr>
          <w:rFonts w:ascii="Arial Narrow" w:hAnsi="Arial Narrow" w:cs="Arial"/>
          <w:spacing w:val="-2"/>
          <w:sz w:val="28"/>
          <w:szCs w:val="28"/>
        </w:rPr>
        <w:t>aportados en mensajes de datos, frente a la cual se declara inadmisible el recurso de apelación propuesto</w:t>
      </w:r>
      <w:r w:rsidR="00B1504A">
        <w:rPr>
          <w:rFonts w:ascii="Arial Narrow" w:hAnsi="Arial Narrow" w:cs="Arial"/>
          <w:spacing w:val="-2"/>
          <w:sz w:val="28"/>
          <w:szCs w:val="28"/>
        </w:rPr>
        <w:t xml:space="preserve"> y en lo referente a la práctica de los testimonios solicitados por la parte demandada, modificándola en el sentido de que los mismos se recepcionarán por los medios técnicos existentes, lo que se hará en coordinación con Administración Judicial</w:t>
      </w:r>
      <w:r w:rsidR="00072141">
        <w:rPr>
          <w:rFonts w:ascii="Arial Narrow" w:hAnsi="Arial Narrow" w:cs="Arial"/>
          <w:spacing w:val="-2"/>
          <w:sz w:val="28"/>
          <w:szCs w:val="28"/>
        </w:rPr>
        <w:t>.</w:t>
      </w:r>
      <w:r w:rsidR="00BB66F0">
        <w:rPr>
          <w:rFonts w:ascii="Arial Narrow" w:hAnsi="Arial Narrow" w:cs="Arial"/>
          <w:spacing w:val="-2"/>
          <w:sz w:val="28"/>
          <w:szCs w:val="28"/>
        </w:rPr>
        <w:t xml:space="preserve"> </w:t>
      </w:r>
    </w:p>
    <w:p w:rsidR="004B29E1" w:rsidRPr="004B29E1" w:rsidRDefault="004B29E1" w:rsidP="004B29E1">
      <w:pPr>
        <w:spacing w:line="360" w:lineRule="auto"/>
        <w:ind w:left="851"/>
        <w:jc w:val="both"/>
        <w:rPr>
          <w:rFonts w:ascii="Arial Narrow" w:hAnsi="Arial Narrow" w:cs="Arial"/>
          <w:sz w:val="28"/>
          <w:szCs w:val="28"/>
        </w:rPr>
      </w:pPr>
    </w:p>
    <w:p w:rsidR="00DF219D" w:rsidRPr="00DF219D" w:rsidRDefault="00D22646" w:rsidP="00D22646">
      <w:pPr>
        <w:spacing w:line="360" w:lineRule="auto"/>
        <w:ind w:left="851"/>
        <w:jc w:val="both"/>
        <w:rPr>
          <w:rFonts w:ascii="Arial Narrow" w:hAnsi="Arial Narrow" w:cs="Arial"/>
          <w:sz w:val="28"/>
          <w:szCs w:val="28"/>
        </w:rPr>
      </w:pPr>
      <w:r w:rsidRPr="00D22646">
        <w:rPr>
          <w:rFonts w:ascii="Arial Narrow" w:hAnsi="Arial Narrow" w:cs="Arial"/>
          <w:b/>
          <w:sz w:val="28"/>
          <w:szCs w:val="28"/>
        </w:rPr>
        <w:t>2.</w:t>
      </w:r>
      <w:r>
        <w:rPr>
          <w:rFonts w:ascii="Arial Narrow" w:hAnsi="Arial Narrow" w:cs="Arial"/>
          <w:sz w:val="28"/>
          <w:szCs w:val="28"/>
        </w:rPr>
        <w:t xml:space="preserve"> C</w:t>
      </w:r>
      <w:r w:rsidR="00DF219D" w:rsidRPr="00DF219D">
        <w:rPr>
          <w:rFonts w:ascii="Arial Narrow" w:hAnsi="Arial Narrow" w:cs="Arial"/>
          <w:sz w:val="28"/>
          <w:szCs w:val="28"/>
        </w:rPr>
        <w:t>ostas en esta instancia</w:t>
      </w:r>
      <w:r>
        <w:rPr>
          <w:rFonts w:ascii="Arial Narrow" w:hAnsi="Arial Narrow" w:cs="Arial"/>
          <w:sz w:val="28"/>
          <w:szCs w:val="28"/>
        </w:rPr>
        <w:t xml:space="preserve"> a cargo de la parte demanda</w:t>
      </w:r>
      <w:r w:rsidR="00072141">
        <w:rPr>
          <w:rFonts w:ascii="Arial Narrow" w:hAnsi="Arial Narrow" w:cs="Arial"/>
          <w:sz w:val="28"/>
          <w:szCs w:val="28"/>
        </w:rPr>
        <w:t>da</w:t>
      </w:r>
      <w:r w:rsidR="00DF219D" w:rsidRPr="00DF219D">
        <w:rPr>
          <w:rFonts w:ascii="Arial Narrow" w:hAnsi="Arial Narrow" w:cs="Arial"/>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EA27C1" w:rsidP="00EA27C1">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r w:rsidR="004B29E1" w:rsidRPr="00DF219D">
        <w:rPr>
          <w:rFonts w:ascii="Arial Narrow" w:hAnsi="Arial Narrow" w:cs="Arial"/>
          <w:sz w:val="28"/>
          <w:szCs w:val="28"/>
        </w:rPr>
        <w:t>Magistrad</w:t>
      </w:r>
      <w:r>
        <w:rPr>
          <w:rFonts w:ascii="Arial Narrow" w:hAnsi="Arial Narrow" w:cs="Arial"/>
          <w:sz w:val="28"/>
          <w:szCs w:val="28"/>
        </w:rPr>
        <w:t>a</w:t>
      </w:r>
    </w:p>
    <w:p w:rsidR="00EA27C1" w:rsidRDefault="00EA27C1" w:rsidP="009B6476">
      <w:pPr>
        <w:spacing w:line="360" w:lineRule="auto"/>
        <w:jc w:val="center"/>
        <w:rPr>
          <w:rFonts w:ascii="Arial Narrow" w:hAnsi="Arial Narrow" w:cs="Arial"/>
          <w:b/>
          <w:bCs/>
          <w:iCs/>
          <w:sz w:val="28"/>
          <w:szCs w:val="28"/>
        </w:rPr>
      </w:pPr>
    </w:p>
    <w:p w:rsidR="00EA27C1" w:rsidRDefault="00EA27C1" w:rsidP="009B6476">
      <w:pPr>
        <w:spacing w:line="360" w:lineRule="auto"/>
        <w:jc w:val="center"/>
        <w:rPr>
          <w:rFonts w:ascii="Arial Narrow" w:hAnsi="Arial Narrow" w:cs="Arial"/>
          <w:b/>
          <w:bCs/>
          <w:iCs/>
          <w:sz w:val="28"/>
          <w:szCs w:val="28"/>
        </w:rPr>
      </w:pPr>
    </w:p>
    <w:p w:rsidR="00DF219D" w:rsidRPr="00DF219D" w:rsidRDefault="00EA27C1"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7F" w:rsidRDefault="0048627F" w:rsidP="000D1E32">
      <w:r>
        <w:separator/>
      </w:r>
    </w:p>
  </w:endnote>
  <w:endnote w:type="continuationSeparator" w:id="0">
    <w:p w:rsidR="0048627F" w:rsidRDefault="0048627F"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377EDD" w:rsidRPr="00377EDD">
          <w:rPr>
            <w:noProof/>
            <w:lang w:val="es-ES"/>
          </w:rPr>
          <w:t>12</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7F" w:rsidRDefault="0048627F" w:rsidP="000D1E32">
      <w:r>
        <w:separator/>
      </w:r>
    </w:p>
  </w:footnote>
  <w:footnote w:type="continuationSeparator" w:id="0">
    <w:p w:rsidR="0048627F" w:rsidRDefault="0048627F" w:rsidP="000D1E32">
      <w:r>
        <w:continuationSeparator/>
      </w:r>
    </w:p>
  </w:footnote>
  <w:footnote w:id="1">
    <w:p w:rsidR="006C228B" w:rsidRDefault="006C228B">
      <w:pPr>
        <w:pStyle w:val="Textonotapie"/>
      </w:pPr>
      <w:r>
        <w:rPr>
          <w:rStyle w:val="Refdenotaalpie"/>
        </w:rPr>
        <w:footnoteRef/>
      </w:r>
      <w:r>
        <w:t xml:space="preserve"> Sentencia C-491 de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4</w:t>
    </w:r>
    <w:r w:rsidRPr="000D1E32">
      <w:rPr>
        <w:rFonts w:ascii="Arial Narrow" w:hAnsi="Arial Narrow"/>
        <w:sz w:val="20"/>
        <w:szCs w:val="20"/>
      </w:rPr>
      <w:t>-201</w:t>
    </w:r>
    <w:r w:rsidR="008D2C5E">
      <w:rPr>
        <w:rFonts w:ascii="Arial Narrow" w:hAnsi="Arial Narrow"/>
        <w:sz w:val="20"/>
        <w:szCs w:val="20"/>
      </w:rPr>
      <w:t>5</w:t>
    </w:r>
    <w:r w:rsidRPr="000D1E32">
      <w:rPr>
        <w:rFonts w:ascii="Arial Narrow" w:hAnsi="Arial Narrow"/>
        <w:sz w:val="20"/>
        <w:szCs w:val="20"/>
      </w:rPr>
      <w:t>-00</w:t>
    </w:r>
    <w:r w:rsidR="008D2C5E">
      <w:rPr>
        <w:rFonts w:ascii="Arial Narrow" w:hAnsi="Arial Narrow"/>
        <w:sz w:val="20"/>
        <w:szCs w:val="20"/>
      </w:rPr>
      <w:t>197</w:t>
    </w:r>
    <w:r w:rsidRPr="000D1E32">
      <w:rPr>
        <w:rFonts w:ascii="Arial Narrow" w:hAnsi="Arial Narrow"/>
        <w:sz w:val="20"/>
        <w:szCs w:val="20"/>
      </w:rPr>
      <w:t>-01</w:t>
    </w:r>
  </w:p>
  <w:p w:rsidR="00C262EB" w:rsidRDefault="008D2C5E" w:rsidP="00BD72F6">
    <w:pPr>
      <w:pStyle w:val="Encabezado"/>
      <w:rPr>
        <w:rFonts w:ascii="Arial Narrow" w:hAnsi="Arial Narrow"/>
        <w:sz w:val="20"/>
        <w:szCs w:val="20"/>
      </w:rPr>
    </w:pPr>
    <w:r>
      <w:rPr>
        <w:rFonts w:ascii="Arial Narrow" w:hAnsi="Arial Narrow"/>
        <w:sz w:val="20"/>
        <w:szCs w:val="20"/>
      </w:rPr>
      <w:t>Claudia Patricia Duque Montoya</w:t>
    </w:r>
    <w:r w:rsidR="00C262EB">
      <w:rPr>
        <w:rFonts w:ascii="Arial Narrow" w:hAnsi="Arial Narrow"/>
        <w:sz w:val="20"/>
        <w:szCs w:val="20"/>
      </w:rPr>
      <w:t xml:space="preserve"> vs. </w:t>
    </w:r>
    <w:r>
      <w:rPr>
        <w:rFonts w:ascii="Arial Narrow" w:hAnsi="Arial Narrow"/>
        <w:sz w:val="20"/>
        <w:szCs w:val="20"/>
      </w:rPr>
      <w:t>Whirpool Colombia S.A.S.</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1776B"/>
    <w:rsid w:val="00035D76"/>
    <w:rsid w:val="00040564"/>
    <w:rsid w:val="000466AF"/>
    <w:rsid w:val="00050AC4"/>
    <w:rsid w:val="00052956"/>
    <w:rsid w:val="00060CE8"/>
    <w:rsid w:val="00064951"/>
    <w:rsid w:val="0006794E"/>
    <w:rsid w:val="00072141"/>
    <w:rsid w:val="00080624"/>
    <w:rsid w:val="000A192D"/>
    <w:rsid w:val="000A3421"/>
    <w:rsid w:val="000A4734"/>
    <w:rsid w:val="000A4D32"/>
    <w:rsid w:val="000A6B7E"/>
    <w:rsid w:val="000B0977"/>
    <w:rsid w:val="000B77D9"/>
    <w:rsid w:val="000C13D4"/>
    <w:rsid w:val="000D1E32"/>
    <w:rsid w:val="000D5F86"/>
    <w:rsid w:val="000E1E08"/>
    <w:rsid w:val="000E756C"/>
    <w:rsid w:val="000F03E2"/>
    <w:rsid w:val="000F715C"/>
    <w:rsid w:val="000F738B"/>
    <w:rsid w:val="00102DA0"/>
    <w:rsid w:val="001067E8"/>
    <w:rsid w:val="00113C5A"/>
    <w:rsid w:val="00115A1A"/>
    <w:rsid w:val="00130A3C"/>
    <w:rsid w:val="001367F1"/>
    <w:rsid w:val="0014376E"/>
    <w:rsid w:val="00150496"/>
    <w:rsid w:val="00150ED0"/>
    <w:rsid w:val="00172860"/>
    <w:rsid w:val="00180B2C"/>
    <w:rsid w:val="001960B6"/>
    <w:rsid w:val="001B339E"/>
    <w:rsid w:val="001D6A62"/>
    <w:rsid w:val="001D6B99"/>
    <w:rsid w:val="00207724"/>
    <w:rsid w:val="00211BCB"/>
    <w:rsid w:val="00217EFD"/>
    <w:rsid w:val="002226ED"/>
    <w:rsid w:val="002776CD"/>
    <w:rsid w:val="00286429"/>
    <w:rsid w:val="002872B0"/>
    <w:rsid w:val="00292886"/>
    <w:rsid w:val="002A46B0"/>
    <w:rsid w:val="002A763C"/>
    <w:rsid w:val="002A778C"/>
    <w:rsid w:val="002C06F9"/>
    <w:rsid w:val="002C1F11"/>
    <w:rsid w:val="002E4AF9"/>
    <w:rsid w:val="002F10FD"/>
    <w:rsid w:val="002F6D3E"/>
    <w:rsid w:val="002F6DC5"/>
    <w:rsid w:val="002F7DA0"/>
    <w:rsid w:val="00310085"/>
    <w:rsid w:val="00315D2C"/>
    <w:rsid w:val="00325119"/>
    <w:rsid w:val="00335B7B"/>
    <w:rsid w:val="00341643"/>
    <w:rsid w:val="00344211"/>
    <w:rsid w:val="00365944"/>
    <w:rsid w:val="003706F7"/>
    <w:rsid w:val="00377EDD"/>
    <w:rsid w:val="00385AB2"/>
    <w:rsid w:val="0039437A"/>
    <w:rsid w:val="00396D66"/>
    <w:rsid w:val="003A1C3D"/>
    <w:rsid w:val="003A389D"/>
    <w:rsid w:val="003B6B36"/>
    <w:rsid w:val="003C2351"/>
    <w:rsid w:val="003C4050"/>
    <w:rsid w:val="003C7E45"/>
    <w:rsid w:val="003D075C"/>
    <w:rsid w:val="003E1176"/>
    <w:rsid w:val="003F0D1A"/>
    <w:rsid w:val="003F2645"/>
    <w:rsid w:val="00411CCB"/>
    <w:rsid w:val="00412540"/>
    <w:rsid w:val="00412DCE"/>
    <w:rsid w:val="0041766F"/>
    <w:rsid w:val="004203C9"/>
    <w:rsid w:val="00420486"/>
    <w:rsid w:val="0042210F"/>
    <w:rsid w:val="004301C2"/>
    <w:rsid w:val="004604C5"/>
    <w:rsid w:val="0046205E"/>
    <w:rsid w:val="004634C8"/>
    <w:rsid w:val="004704DC"/>
    <w:rsid w:val="00476301"/>
    <w:rsid w:val="00483609"/>
    <w:rsid w:val="00484CCA"/>
    <w:rsid w:val="0048627F"/>
    <w:rsid w:val="0049067B"/>
    <w:rsid w:val="00496879"/>
    <w:rsid w:val="004B29E1"/>
    <w:rsid w:val="004C11B1"/>
    <w:rsid w:val="004D1DBC"/>
    <w:rsid w:val="004D736A"/>
    <w:rsid w:val="004E2484"/>
    <w:rsid w:val="004E4855"/>
    <w:rsid w:val="004E61EC"/>
    <w:rsid w:val="004F1CF9"/>
    <w:rsid w:val="004F7C83"/>
    <w:rsid w:val="00502786"/>
    <w:rsid w:val="00534510"/>
    <w:rsid w:val="00550E38"/>
    <w:rsid w:val="005551FA"/>
    <w:rsid w:val="00556C9F"/>
    <w:rsid w:val="00571298"/>
    <w:rsid w:val="00585B7C"/>
    <w:rsid w:val="00590848"/>
    <w:rsid w:val="00593A57"/>
    <w:rsid w:val="00593CD1"/>
    <w:rsid w:val="005A1181"/>
    <w:rsid w:val="005A3C37"/>
    <w:rsid w:val="005A40E9"/>
    <w:rsid w:val="005A6C8C"/>
    <w:rsid w:val="005B1E37"/>
    <w:rsid w:val="005E3007"/>
    <w:rsid w:val="00610EB3"/>
    <w:rsid w:val="00614C38"/>
    <w:rsid w:val="00624262"/>
    <w:rsid w:val="00637D89"/>
    <w:rsid w:val="00642AFF"/>
    <w:rsid w:val="006539FD"/>
    <w:rsid w:val="00653DF6"/>
    <w:rsid w:val="006555E3"/>
    <w:rsid w:val="0066105B"/>
    <w:rsid w:val="0066430F"/>
    <w:rsid w:val="00676C98"/>
    <w:rsid w:val="006919A2"/>
    <w:rsid w:val="00692CC8"/>
    <w:rsid w:val="00695723"/>
    <w:rsid w:val="00696860"/>
    <w:rsid w:val="006B1DD3"/>
    <w:rsid w:val="006B3235"/>
    <w:rsid w:val="006B3D3C"/>
    <w:rsid w:val="006B4018"/>
    <w:rsid w:val="006C228B"/>
    <w:rsid w:val="006C7D18"/>
    <w:rsid w:val="006D6B5E"/>
    <w:rsid w:val="006E06C3"/>
    <w:rsid w:val="006E1943"/>
    <w:rsid w:val="006E4503"/>
    <w:rsid w:val="006E4C6A"/>
    <w:rsid w:val="006E54A9"/>
    <w:rsid w:val="006E6611"/>
    <w:rsid w:val="006F6A2B"/>
    <w:rsid w:val="0070387D"/>
    <w:rsid w:val="00706B60"/>
    <w:rsid w:val="007220CC"/>
    <w:rsid w:val="007225F0"/>
    <w:rsid w:val="00740014"/>
    <w:rsid w:val="0074488A"/>
    <w:rsid w:val="0075273D"/>
    <w:rsid w:val="00764478"/>
    <w:rsid w:val="00765C84"/>
    <w:rsid w:val="0077135B"/>
    <w:rsid w:val="007741F1"/>
    <w:rsid w:val="00784758"/>
    <w:rsid w:val="0078535F"/>
    <w:rsid w:val="007908ED"/>
    <w:rsid w:val="00792653"/>
    <w:rsid w:val="0079455F"/>
    <w:rsid w:val="007A21B7"/>
    <w:rsid w:val="007B2ABD"/>
    <w:rsid w:val="007B3844"/>
    <w:rsid w:val="007D1C79"/>
    <w:rsid w:val="007E45EA"/>
    <w:rsid w:val="007E54DF"/>
    <w:rsid w:val="007E5882"/>
    <w:rsid w:val="007E7DFF"/>
    <w:rsid w:val="007F23B3"/>
    <w:rsid w:val="007F2975"/>
    <w:rsid w:val="007F67E0"/>
    <w:rsid w:val="008028C6"/>
    <w:rsid w:val="00802CB9"/>
    <w:rsid w:val="008074EE"/>
    <w:rsid w:val="00820A67"/>
    <w:rsid w:val="00821759"/>
    <w:rsid w:val="00823791"/>
    <w:rsid w:val="00824BB6"/>
    <w:rsid w:val="00824FD0"/>
    <w:rsid w:val="00832C31"/>
    <w:rsid w:val="00847A28"/>
    <w:rsid w:val="00853C7D"/>
    <w:rsid w:val="00853E9C"/>
    <w:rsid w:val="00860FF4"/>
    <w:rsid w:val="00861BC8"/>
    <w:rsid w:val="00875937"/>
    <w:rsid w:val="008805D4"/>
    <w:rsid w:val="008826C7"/>
    <w:rsid w:val="0088316B"/>
    <w:rsid w:val="008849D0"/>
    <w:rsid w:val="00887E20"/>
    <w:rsid w:val="00890BA6"/>
    <w:rsid w:val="00891E2F"/>
    <w:rsid w:val="008A6AD3"/>
    <w:rsid w:val="008C004D"/>
    <w:rsid w:val="008C50DB"/>
    <w:rsid w:val="008C5D7A"/>
    <w:rsid w:val="008D2C5E"/>
    <w:rsid w:val="008E6F82"/>
    <w:rsid w:val="008F6C9F"/>
    <w:rsid w:val="00911846"/>
    <w:rsid w:val="00914D10"/>
    <w:rsid w:val="00924540"/>
    <w:rsid w:val="00926E79"/>
    <w:rsid w:val="00927419"/>
    <w:rsid w:val="00935EA4"/>
    <w:rsid w:val="00944F7C"/>
    <w:rsid w:val="009511F0"/>
    <w:rsid w:val="00951456"/>
    <w:rsid w:val="00952CC5"/>
    <w:rsid w:val="00954970"/>
    <w:rsid w:val="00955D01"/>
    <w:rsid w:val="00962E27"/>
    <w:rsid w:val="00970AFF"/>
    <w:rsid w:val="0097126B"/>
    <w:rsid w:val="0097627F"/>
    <w:rsid w:val="00976F45"/>
    <w:rsid w:val="00980144"/>
    <w:rsid w:val="009923F2"/>
    <w:rsid w:val="00993A6A"/>
    <w:rsid w:val="009A3E87"/>
    <w:rsid w:val="009B6476"/>
    <w:rsid w:val="009C1135"/>
    <w:rsid w:val="009C6914"/>
    <w:rsid w:val="009D551F"/>
    <w:rsid w:val="009F5003"/>
    <w:rsid w:val="009F5D83"/>
    <w:rsid w:val="009F759E"/>
    <w:rsid w:val="00A02015"/>
    <w:rsid w:val="00A16708"/>
    <w:rsid w:val="00A41E43"/>
    <w:rsid w:val="00A42C0A"/>
    <w:rsid w:val="00A45F67"/>
    <w:rsid w:val="00A64366"/>
    <w:rsid w:val="00A75387"/>
    <w:rsid w:val="00A76C84"/>
    <w:rsid w:val="00A91F5B"/>
    <w:rsid w:val="00A94A02"/>
    <w:rsid w:val="00AB1DA5"/>
    <w:rsid w:val="00AB3B8C"/>
    <w:rsid w:val="00AC59FE"/>
    <w:rsid w:val="00AD52AC"/>
    <w:rsid w:val="00AE013B"/>
    <w:rsid w:val="00AE4955"/>
    <w:rsid w:val="00AE64EC"/>
    <w:rsid w:val="00AF0AF3"/>
    <w:rsid w:val="00B032D2"/>
    <w:rsid w:val="00B06DF6"/>
    <w:rsid w:val="00B11AD8"/>
    <w:rsid w:val="00B133D1"/>
    <w:rsid w:val="00B1504A"/>
    <w:rsid w:val="00B17FEF"/>
    <w:rsid w:val="00B217E1"/>
    <w:rsid w:val="00B21C3F"/>
    <w:rsid w:val="00B3136C"/>
    <w:rsid w:val="00B40877"/>
    <w:rsid w:val="00B520FB"/>
    <w:rsid w:val="00B60C94"/>
    <w:rsid w:val="00B66BD6"/>
    <w:rsid w:val="00B73028"/>
    <w:rsid w:val="00B85A48"/>
    <w:rsid w:val="00B85FC2"/>
    <w:rsid w:val="00B90316"/>
    <w:rsid w:val="00BA272E"/>
    <w:rsid w:val="00BA7BB9"/>
    <w:rsid w:val="00BB66F0"/>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62EB"/>
    <w:rsid w:val="00C45441"/>
    <w:rsid w:val="00C51148"/>
    <w:rsid w:val="00C616E8"/>
    <w:rsid w:val="00C625F7"/>
    <w:rsid w:val="00C6313F"/>
    <w:rsid w:val="00C643B3"/>
    <w:rsid w:val="00C67631"/>
    <w:rsid w:val="00C708E6"/>
    <w:rsid w:val="00C76948"/>
    <w:rsid w:val="00C76D05"/>
    <w:rsid w:val="00C778B1"/>
    <w:rsid w:val="00C949D8"/>
    <w:rsid w:val="00C9544E"/>
    <w:rsid w:val="00CC46F6"/>
    <w:rsid w:val="00CC71AA"/>
    <w:rsid w:val="00CE2DDF"/>
    <w:rsid w:val="00CE4BEA"/>
    <w:rsid w:val="00CF14F4"/>
    <w:rsid w:val="00CF3CD9"/>
    <w:rsid w:val="00CF5F16"/>
    <w:rsid w:val="00D12F28"/>
    <w:rsid w:val="00D133CD"/>
    <w:rsid w:val="00D22646"/>
    <w:rsid w:val="00D26A21"/>
    <w:rsid w:val="00D415B2"/>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B6789"/>
    <w:rsid w:val="00DD1328"/>
    <w:rsid w:val="00DD2F90"/>
    <w:rsid w:val="00DD3EFF"/>
    <w:rsid w:val="00DD5406"/>
    <w:rsid w:val="00DE0DCF"/>
    <w:rsid w:val="00DE7333"/>
    <w:rsid w:val="00DF219D"/>
    <w:rsid w:val="00DF5B3E"/>
    <w:rsid w:val="00DF6578"/>
    <w:rsid w:val="00E00ED0"/>
    <w:rsid w:val="00E029FE"/>
    <w:rsid w:val="00E03A66"/>
    <w:rsid w:val="00E04A78"/>
    <w:rsid w:val="00E21130"/>
    <w:rsid w:val="00E24F22"/>
    <w:rsid w:val="00E25B9F"/>
    <w:rsid w:val="00E3507D"/>
    <w:rsid w:val="00E36264"/>
    <w:rsid w:val="00E414B1"/>
    <w:rsid w:val="00E439E5"/>
    <w:rsid w:val="00E515AF"/>
    <w:rsid w:val="00E52BC8"/>
    <w:rsid w:val="00E7155B"/>
    <w:rsid w:val="00E766D8"/>
    <w:rsid w:val="00E81A56"/>
    <w:rsid w:val="00E832B8"/>
    <w:rsid w:val="00E844AA"/>
    <w:rsid w:val="00EA27C1"/>
    <w:rsid w:val="00EB3BCB"/>
    <w:rsid w:val="00EC578B"/>
    <w:rsid w:val="00ED482F"/>
    <w:rsid w:val="00EE20F4"/>
    <w:rsid w:val="00EE2127"/>
    <w:rsid w:val="00EE2595"/>
    <w:rsid w:val="00EE7D9F"/>
    <w:rsid w:val="00EF032D"/>
    <w:rsid w:val="00EF7C11"/>
    <w:rsid w:val="00F01673"/>
    <w:rsid w:val="00F03BD0"/>
    <w:rsid w:val="00F115CA"/>
    <w:rsid w:val="00F138B4"/>
    <w:rsid w:val="00F16BAE"/>
    <w:rsid w:val="00F16FB4"/>
    <w:rsid w:val="00F2555A"/>
    <w:rsid w:val="00F32B04"/>
    <w:rsid w:val="00F36F50"/>
    <w:rsid w:val="00F4002D"/>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 w:val="00FF6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ft,C,Car"/>
    <w:basedOn w:val="Normal"/>
    <w:link w:val="TextonotapieCar"/>
    <w:uiPriority w:val="99"/>
    <w:unhideWhenUsed/>
    <w:qFormat/>
    <w:rsid w:val="006C228B"/>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uiPriority w:val="99"/>
    <w:rsid w:val="006C228B"/>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6C228B"/>
    <w:rPr>
      <w:vertAlign w:val="superscript"/>
    </w:rPr>
  </w:style>
  <w:style w:type="paragraph" w:styleId="NormalWeb">
    <w:name w:val="Normal (Web)"/>
    <w:basedOn w:val="Normal"/>
    <w:uiPriority w:val="99"/>
    <w:unhideWhenUsed/>
    <w:rsid w:val="00217EFD"/>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8CDA-365D-44DE-86C7-264D590B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Pages>
  <Words>3287</Words>
  <Characters>18084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Perseo</cp:lastModifiedBy>
  <cp:revision>29</cp:revision>
  <cp:lastPrinted>2016-10-11T14:30:00Z</cp:lastPrinted>
  <dcterms:created xsi:type="dcterms:W3CDTF">2016-09-22T12:35:00Z</dcterms:created>
  <dcterms:modified xsi:type="dcterms:W3CDTF">2016-12-27T20:37:00Z</dcterms:modified>
</cp:coreProperties>
</file>