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59F" w:rsidRPr="00CE359F" w:rsidRDefault="00CE359F" w:rsidP="00CE359F">
      <w:pPr>
        <w:jc w:val="both"/>
        <w:rPr>
          <w:rFonts w:ascii="Arial Narrow" w:hAnsi="Arial Narrow" w:cs="Tahoma"/>
          <w:sz w:val="18"/>
          <w:szCs w:val="18"/>
        </w:rPr>
      </w:pPr>
      <w:r w:rsidRPr="00CE359F">
        <w:rPr>
          <w:rFonts w:ascii="Arial Narrow" w:hAnsi="Arial Narrow" w:cs="Tahoma"/>
          <w:b/>
          <w:sz w:val="18"/>
          <w:szCs w:val="18"/>
        </w:rPr>
        <w:t>Providencia</w:t>
      </w:r>
      <w:r w:rsidRPr="00CE359F">
        <w:rPr>
          <w:rFonts w:ascii="Arial Narrow" w:hAnsi="Arial Narrow" w:cs="Tahoma"/>
          <w:sz w:val="18"/>
          <w:szCs w:val="18"/>
        </w:rPr>
        <w:t>:</w:t>
      </w:r>
      <w:r w:rsidRPr="00CE359F">
        <w:rPr>
          <w:rFonts w:ascii="Arial Narrow" w:hAnsi="Arial Narrow" w:cs="Tahoma"/>
          <w:b/>
          <w:sz w:val="18"/>
          <w:szCs w:val="18"/>
        </w:rPr>
        <w:t xml:space="preserve"> </w:t>
      </w:r>
      <w:r w:rsidRPr="00CE359F">
        <w:rPr>
          <w:rFonts w:ascii="Arial Narrow" w:hAnsi="Arial Narrow" w:cs="Tahoma"/>
          <w:sz w:val="18"/>
          <w:szCs w:val="18"/>
        </w:rPr>
        <w:tab/>
      </w:r>
      <w:r w:rsidRPr="00CE359F">
        <w:rPr>
          <w:rFonts w:ascii="Arial Narrow" w:hAnsi="Arial Narrow" w:cs="Tahoma"/>
          <w:sz w:val="18"/>
          <w:szCs w:val="18"/>
        </w:rPr>
        <w:tab/>
        <w:t xml:space="preserve"> </w:t>
      </w:r>
      <w:r w:rsidRPr="00CE359F">
        <w:rPr>
          <w:rFonts w:ascii="Arial Narrow" w:hAnsi="Arial Narrow" w:cs="Tahoma"/>
          <w:sz w:val="18"/>
          <w:szCs w:val="18"/>
        </w:rPr>
        <w:tab/>
        <w:t>Sentencia de Segunda Instancia, jueves</w:t>
      </w:r>
      <w:r>
        <w:rPr>
          <w:rFonts w:ascii="Arial Narrow" w:hAnsi="Arial Narrow" w:cs="Tahoma"/>
          <w:sz w:val="18"/>
          <w:szCs w:val="18"/>
        </w:rPr>
        <w:t xml:space="preserve"> 20 de octubre de 2016</w:t>
      </w:r>
      <w:r w:rsidRPr="00CE359F">
        <w:rPr>
          <w:rFonts w:ascii="Arial Narrow" w:hAnsi="Arial Narrow" w:cs="Tahoma"/>
          <w:sz w:val="18"/>
          <w:szCs w:val="18"/>
        </w:rPr>
        <w:t>.</w:t>
      </w:r>
    </w:p>
    <w:p w:rsidR="00CE359F" w:rsidRDefault="00CE359F" w:rsidP="00CE359F">
      <w:pPr>
        <w:jc w:val="both"/>
        <w:rPr>
          <w:rFonts w:ascii="Arial Narrow" w:hAnsi="Arial Narrow" w:cs="Tahoma"/>
          <w:bCs/>
          <w:sz w:val="18"/>
          <w:szCs w:val="18"/>
        </w:rPr>
      </w:pPr>
      <w:r w:rsidRPr="00CE359F">
        <w:rPr>
          <w:rFonts w:ascii="Arial Narrow" w:hAnsi="Arial Narrow" w:cs="Tahoma"/>
          <w:b/>
          <w:bCs/>
          <w:sz w:val="18"/>
          <w:szCs w:val="18"/>
        </w:rPr>
        <w:t>Radicación No</w:t>
      </w:r>
      <w:r w:rsidRPr="00CE359F">
        <w:rPr>
          <w:rFonts w:ascii="Arial Narrow" w:hAnsi="Arial Narrow" w:cs="Tahoma"/>
          <w:bCs/>
          <w:sz w:val="18"/>
          <w:szCs w:val="18"/>
        </w:rPr>
        <w:t>:</w:t>
      </w:r>
      <w:r w:rsidRPr="00CE359F">
        <w:rPr>
          <w:rFonts w:ascii="Arial Narrow" w:hAnsi="Arial Narrow" w:cs="Tahoma"/>
          <w:b/>
          <w:bCs/>
          <w:sz w:val="18"/>
          <w:szCs w:val="18"/>
        </w:rPr>
        <w:t xml:space="preserve"> </w:t>
      </w:r>
      <w:r w:rsidRPr="00CE359F">
        <w:rPr>
          <w:rFonts w:ascii="Arial Narrow" w:hAnsi="Arial Narrow" w:cs="Tahoma"/>
          <w:b/>
          <w:bCs/>
          <w:sz w:val="18"/>
          <w:szCs w:val="18"/>
        </w:rPr>
        <w:tab/>
        <w:t xml:space="preserve">              </w:t>
      </w:r>
      <w:r w:rsidRPr="00CE359F">
        <w:rPr>
          <w:rFonts w:ascii="Arial Narrow" w:hAnsi="Arial Narrow" w:cs="Tahoma"/>
          <w:b/>
          <w:bCs/>
          <w:sz w:val="18"/>
          <w:szCs w:val="18"/>
        </w:rPr>
        <w:tab/>
        <w:t xml:space="preserve"> </w:t>
      </w:r>
      <w:r w:rsidRPr="00CE359F">
        <w:rPr>
          <w:rFonts w:ascii="Arial Narrow" w:hAnsi="Arial Narrow" w:cs="Tahoma"/>
          <w:b/>
          <w:bCs/>
          <w:sz w:val="18"/>
          <w:szCs w:val="18"/>
        </w:rPr>
        <w:tab/>
      </w:r>
      <w:r w:rsidRPr="00CE359F">
        <w:rPr>
          <w:rFonts w:ascii="Arial Narrow" w:hAnsi="Arial Narrow" w:cs="Tahoma"/>
          <w:bCs/>
          <w:sz w:val="18"/>
          <w:szCs w:val="18"/>
        </w:rPr>
        <w:t>66001-31-05-00</w:t>
      </w:r>
      <w:r>
        <w:rPr>
          <w:rFonts w:ascii="Arial Narrow" w:hAnsi="Arial Narrow" w:cs="Tahoma"/>
          <w:bCs/>
          <w:sz w:val="18"/>
          <w:szCs w:val="18"/>
        </w:rPr>
        <w:t>2-2014-00360-01</w:t>
      </w:r>
    </w:p>
    <w:p w:rsidR="00CE359F" w:rsidRPr="00CE359F" w:rsidRDefault="00CE359F" w:rsidP="00CE359F">
      <w:pPr>
        <w:jc w:val="both"/>
        <w:rPr>
          <w:rFonts w:ascii="Arial Narrow" w:hAnsi="Arial Narrow" w:cs="Tahoma"/>
          <w:iCs/>
          <w:sz w:val="18"/>
          <w:szCs w:val="18"/>
        </w:rPr>
      </w:pPr>
      <w:r w:rsidRPr="00CE359F">
        <w:rPr>
          <w:rFonts w:ascii="Arial Narrow" w:hAnsi="Arial Narrow" w:cs="Tahoma"/>
          <w:b/>
          <w:bCs/>
          <w:iCs/>
          <w:sz w:val="18"/>
          <w:szCs w:val="18"/>
        </w:rPr>
        <w:t>Proceso</w:t>
      </w:r>
      <w:r w:rsidRPr="00CE359F">
        <w:rPr>
          <w:rFonts w:ascii="Arial Narrow" w:hAnsi="Arial Narrow" w:cs="Tahoma"/>
          <w:bCs/>
          <w:iCs/>
          <w:sz w:val="18"/>
          <w:szCs w:val="18"/>
        </w:rPr>
        <w:t>:</w:t>
      </w:r>
      <w:r w:rsidRPr="00CE359F">
        <w:rPr>
          <w:rFonts w:ascii="Arial Narrow" w:hAnsi="Arial Narrow" w:cs="Tahoma"/>
          <w:iCs/>
          <w:sz w:val="18"/>
          <w:szCs w:val="18"/>
        </w:rPr>
        <w:t xml:space="preserve"> </w:t>
      </w:r>
      <w:r w:rsidRPr="00CE359F">
        <w:rPr>
          <w:rFonts w:ascii="Arial Narrow" w:hAnsi="Arial Narrow" w:cs="Tahoma"/>
          <w:b/>
          <w:iCs/>
          <w:sz w:val="18"/>
          <w:szCs w:val="18"/>
        </w:rPr>
        <w:tab/>
      </w:r>
      <w:r w:rsidRPr="00CE359F">
        <w:rPr>
          <w:rFonts w:ascii="Arial Narrow" w:hAnsi="Arial Narrow" w:cs="Tahoma"/>
          <w:iCs/>
          <w:sz w:val="18"/>
          <w:szCs w:val="18"/>
        </w:rPr>
        <w:tab/>
        <w:t xml:space="preserve"> </w:t>
      </w:r>
      <w:r w:rsidRPr="00CE359F">
        <w:rPr>
          <w:rFonts w:ascii="Arial Narrow" w:hAnsi="Arial Narrow" w:cs="Tahoma"/>
          <w:iCs/>
          <w:sz w:val="18"/>
          <w:szCs w:val="18"/>
        </w:rPr>
        <w:tab/>
      </w:r>
      <w:r w:rsidRPr="00CE359F">
        <w:rPr>
          <w:rFonts w:ascii="Arial Narrow" w:hAnsi="Arial Narrow" w:cs="Tahoma"/>
          <w:iCs/>
          <w:sz w:val="18"/>
          <w:szCs w:val="18"/>
        </w:rPr>
        <w:tab/>
        <w:t>Ordinario Laboral.</w:t>
      </w:r>
    </w:p>
    <w:p w:rsidR="00CE359F" w:rsidRPr="00CE359F" w:rsidRDefault="00CE359F" w:rsidP="00CE359F">
      <w:pPr>
        <w:ind w:left="2262" w:hanging="2262"/>
        <w:jc w:val="both"/>
        <w:rPr>
          <w:rFonts w:ascii="Arial Narrow" w:hAnsi="Arial Narrow" w:cs="Tahoma"/>
          <w:bCs/>
          <w:sz w:val="18"/>
          <w:szCs w:val="18"/>
        </w:rPr>
      </w:pPr>
      <w:r w:rsidRPr="00CE359F">
        <w:rPr>
          <w:rFonts w:ascii="Arial Narrow" w:hAnsi="Arial Narrow" w:cs="Tahoma"/>
          <w:b/>
          <w:iCs/>
          <w:sz w:val="18"/>
          <w:szCs w:val="18"/>
        </w:rPr>
        <w:t>Demandante</w:t>
      </w:r>
      <w:r w:rsidRPr="00CE359F">
        <w:rPr>
          <w:rFonts w:ascii="Arial Narrow" w:hAnsi="Arial Narrow" w:cs="Tahoma"/>
          <w:iCs/>
          <w:sz w:val="18"/>
          <w:szCs w:val="18"/>
        </w:rPr>
        <w:t xml:space="preserve">:                     </w:t>
      </w:r>
      <w:r w:rsidRPr="00CE359F">
        <w:rPr>
          <w:rFonts w:ascii="Arial Narrow" w:hAnsi="Arial Narrow" w:cs="Tahoma"/>
          <w:iCs/>
          <w:sz w:val="18"/>
          <w:szCs w:val="18"/>
        </w:rPr>
        <w:tab/>
      </w:r>
      <w:r w:rsidRPr="00CE359F">
        <w:rPr>
          <w:rFonts w:ascii="Arial Narrow" w:hAnsi="Arial Narrow" w:cs="Tahoma"/>
          <w:iCs/>
          <w:sz w:val="18"/>
          <w:szCs w:val="18"/>
        </w:rPr>
        <w:tab/>
      </w:r>
      <w:proofErr w:type="spellStart"/>
      <w:r>
        <w:rPr>
          <w:rFonts w:ascii="Arial Narrow" w:hAnsi="Arial Narrow" w:cs="Tahoma"/>
          <w:iCs/>
          <w:sz w:val="18"/>
          <w:szCs w:val="18"/>
        </w:rPr>
        <w:t>Aracelly</w:t>
      </w:r>
      <w:proofErr w:type="spellEnd"/>
      <w:r>
        <w:rPr>
          <w:rFonts w:ascii="Arial Narrow" w:hAnsi="Arial Narrow" w:cs="Tahoma"/>
          <w:iCs/>
          <w:sz w:val="18"/>
          <w:szCs w:val="18"/>
        </w:rPr>
        <w:t xml:space="preserve"> Carmona Hincapié </w:t>
      </w:r>
      <w:r w:rsidRPr="00CE359F">
        <w:rPr>
          <w:rFonts w:ascii="Arial Narrow" w:hAnsi="Arial Narrow" w:cs="Tahoma"/>
          <w:iCs/>
          <w:sz w:val="18"/>
          <w:szCs w:val="18"/>
        </w:rPr>
        <w:t xml:space="preserve"> </w:t>
      </w:r>
    </w:p>
    <w:p w:rsidR="00CE359F" w:rsidRPr="00CE359F" w:rsidRDefault="00CE359F" w:rsidP="00CE359F">
      <w:pPr>
        <w:ind w:left="2262" w:hanging="2262"/>
        <w:jc w:val="both"/>
        <w:rPr>
          <w:rFonts w:ascii="Arial Narrow" w:hAnsi="Arial Narrow" w:cs="Tahoma"/>
          <w:bCs/>
          <w:sz w:val="18"/>
          <w:szCs w:val="18"/>
        </w:rPr>
      </w:pPr>
      <w:r w:rsidRPr="00CE359F">
        <w:rPr>
          <w:rFonts w:ascii="Arial Narrow" w:hAnsi="Arial Narrow" w:cs="Tahoma"/>
          <w:b/>
          <w:bCs/>
          <w:sz w:val="18"/>
          <w:szCs w:val="18"/>
        </w:rPr>
        <w:t>Demandado:</w:t>
      </w:r>
      <w:r w:rsidRPr="00CE359F">
        <w:rPr>
          <w:rFonts w:ascii="Arial Narrow" w:hAnsi="Arial Narrow" w:cs="Tahoma"/>
          <w:bCs/>
          <w:sz w:val="18"/>
          <w:szCs w:val="18"/>
        </w:rPr>
        <w:t xml:space="preserve">                     </w:t>
      </w:r>
      <w:r w:rsidRPr="00CE359F">
        <w:rPr>
          <w:rFonts w:ascii="Arial Narrow" w:hAnsi="Arial Narrow" w:cs="Tahoma"/>
          <w:bCs/>
          <w:sz w:val="18"/>
          <w:szCs w:val="18"/>
        </w:rPr>
        <w:tab/>
      </w:r>
      <w:r w:rsidRPr="00CE359F">
        <w:rPr>
          <w:rFonts w:ascii="Arial Narrow" w:hAnsi="Arial Narrow" w:cs="Tahoma"/>
          <w:bCs/>
          <w:sz w:val="18"/>
          <w:szCs w:val="18"/>
        </w:rPr>
        <w:tab/>
      </w:r>
      <w:proofErr w:type="spellStart"/>
      <w:r w:rsidRPr="00CE359F">
        <w:rPr>
          <w:rFonts w:ascii="Arial Narrow" w:hAnsi="Arial Narrow" w:cs="Tahoma"/>
          <w:bCs/>
          <w:sz w:val="18"/>
          <w:szCs w:val="18"/>
        </w:rPr>
        <w:t>Colpensiones</w:t>
      </w:r>
      <w:proofErr w:type="spellEnd"/>
    </w:p>
    <w:p w:rsidR="00CE359F" w:rsidRPr="00CE359F" w:rsidRDefault="00CE359F" w:rsidP="00CE359F">
      <w:pPr>
        <w:ind w:left="2340" w:hanging="2340"/>
        <w:jc w:val="both"/>
        <w:rPr>
          <w:rFonts w:ascii="Arial Narrow" w:hAnsi="Arial Narrow" w:cs="Tahoma"/>
          <w:sz w:val="18"/>
          <w:szCs w:val="18"/>
        </w:rPr>
      </w:pPr>
      <w:r w:rsidRPr="00CE359F">
        <w:rPr>
          <w:rFonts w:ascii="Arial Narrow" w:hAnsi="Arial Narrow" w:cs="Tahoma"/>
          <w:b/>
          <w:sz w:val="18"/>
          <w:szCs w:val="18"/>
        </w:rPr>
        <w:t>Juzgado de origen</w:t>
      </w:r>
      <w:r w:rsidRPr="00CE359F">
        <w:rPr>
          <w:rFonts w:ascii="Arial Narrow" w:hAnsi="Arial Narrow" w:cs="Tahoma"/>
          <w:sz w:val="18"/>
          <w:szCs w:val="18"/>
        </w:rPr>
        <w:t xml:space="preserve">:         </w:t>
      </w:r>
      <w:r w:rsidRPr="00CE359F">
        <w:rPr>
          <w:rFonts w:ascii="Arial Narrow" w:hAnsi="Arial Narrow" w:cs="Tahoma"/>
          <w:sz w:val="18"/>
          <w:szCs w:val="18"/>
        </w:rPr>
        <w:tab/>
      </w:r>
      <w:r w:rsidRPr="00CE359F">
        <w:rPr>
          <w:rFonts w:ascii="Arial Narrow" w:hAnsi="Arial Narrow" w:cs="Tahoma"/>
          <w:sz w:val="18"/>
          <w:szCs w:val="18"/>
        </w:rPr>
        <w:tab/>
      </w:r>
      <w:r>
        <w:rPr>
          <w:rFonts w:ascii="Arial Narrow" w:hAnsi="Arial Narrow" w:cs="Tahoma"/>
          <w:sz w:val="18"/>
          <w:szCs w:val="18"/>
        </w:rPr>
        <w:t xml:space="preserve">Segundo </w:t>
      </w:r>
      <w:r w:rsidRPr="00CE359F">
        <w:rPr>
          <w:rFonts w:ascii="Arial Narrow" w:hAnsi="Arial Narrow" w:cs="Tahoma"/>
          <w:sz w:val="18"/>
          <w:szCs w:val="18"/>
        </w:rPr>
        <w:t>Laboral del Circuito de Pereira</w:t>
      </w:r>
    </w:p>
    <w:p w:rsidR="00CE359F" w:rsidRPr="00CE359F" w:rsidRDefault="00CE359F" w:rsidP="00CE359F">
      <w:pPr>
        <w:jc w:val="both"/>
        <w:rPr>
          <w:rFonts w:ascii="Arial Narrow" w:hAnsi="Arial Narrow" w:cs="Tahoma"/>
          <w:b/>
          <w:iCs/>
          <w:sz w:val="18"/>
          <w:szCs w:val="18"/>
        </w:rPr>
      </w:pPr>
      <w:r w:rsidRPr="00CE359F">
        <w:rPr>
          <w:rFonts w:ascii="Arial Narrow" w:hAnsi="Arial Narrow" w:cs="Tahoma"/>
          <w:b/>
          <w:iCs/>
          <w:sz w:val="18"/>
          <w:szCs w:val="18"/>
        </w:rPr>
        <w:t xml:space="preserve">Magistrado Ponente:      </w:t>
      </w:r>
      <w:r w:rsidRPr="00CE359F">
        <w:rPr>
          <w:rFonts w:ascii="Arial Narrow" w:hAnsi="Arial Narrow" w:cs="Tahoma"/>
          <w:b/>
          <w:iCs/>
          <w:sz w:val="18"/>
          <w:szCs w:val="18"/>
        </w:rPr>
        <w:tab/>
      </w:r>
      <w:r w:rsidRPr="00CE359F">
        <w:rPr>
          <w:rFonts w:ascii="Arial Narrow" w:hAnsi="Arial Narrow" w:cs="Tahoma"/>
          <w:b/>
          <w:iCs/>
          <w:sz w:val="18"/>
          <w:szCs w:val="18"/>
        </w:rPr>
        <w:tab/>
      </w:r>
      <w:r w:rsidRPr="00CE359F">
        <w:rPr>
          <w:rFonts w:ascii="Arial Narrow" w:hAnsi="Arial Narrow" w:cs="Tahoma"/>
          <w:iCs/>
          <w:sz w:val="18"/>
          <w:szCs w:val="18"/>
        </w:rPr>
        <w:t>Francisco Javier Tamayo Tabares.</w:t>
      </w:r>
    </w:p>
    <w:p w:rsidR="002A7BD3" w:rsidRDefault="00CE359F" w:rsidP="002A7BD3">
      <w:pPr>
        <w:tabs>
          <w:tab w:val="left" w:pos="2835"/>
        </w:tabs>
        <w:jc w:val="both"/>
        <w:rPr>
          <w:rFonts w:ascii="Arial Narrow" w:hAnsi="Arial Narrow" w:cs="Tahoma"/>
          <w:sz w:val="18"/>
          <w:szCs w:val="18"/>
        </w:rPr>
      </w:pPr>
      <w:r w:rsidRPr="00CE359F">
        <w:rPr>
          <w:rFonts w:ascii="Arial Narrow" w:hAnsi="Arial Narrow" w:cs="Tahoma"/>
          <w:b/>
          <w:bCs/>
          <w:sz w:val="18"/>
          <w:szCs w:val="18"/>
        </w:rPr>
        <w:t>Tema a tratar</w:t>
      </w:r>
      <w:r w:rsidRPr="002A7BD3">
        <w:rPr>
          <w:rFonts w:ascii="Arial Narrow" w:hAnsi="Arial Narrow" w:cs="Tahoma"/>
          <w:b/>
          <w:bCs/>
          <w:sz w:val="18"/>
          <w:szCs w:val="18"/>
        </w:rPr>
        <w:t xml:space="preserve">:    </w:t>
      </w:r>
      <w:r w:rsidR="002A7BD3">
        <w:rPr>
          <w:rFonts w:ascii="Arial Narrow" w:hAnsi="Arial Narrow" w:cs="Tahoma"/>
          <w:b/>
          <w:bCs/>
          <w:sz w:val="18"/>
          <w:szCs w:val="18"/>
        </w:rPr>
        <w:tab/>
      </w:r>
      <w:r w:rsidRPr="002A7BD3">
        <w:rPr>
          <w:rFonts w:ascii="Arial Narrow" w:hAnsi="Arial Narrow" w:cs="Tahoma"/>
          <w:b/>
          <w:bCs/>
          <w:sz w:val="18"/>
          <w:szCs w:val="18"/>
        </w:rPr>
        <w:t>R</w:t>
      </w:r>
      <w:r w:rsidR="002A7BD3" w:rsidRPr="002A7BD3">
        <w:rPr>
          <w:rFonts w:ascii="Arial Narrow" w:hAnsi="Arial Narrow" w:cs="Tahoma"/>
          <w:b/>
          <w:bCs/>
          <w:sz w:val="18"/>
          <w:szCs w:val="18"/>
        </w:rPr>
        <w:t>ecuperación de los beneficios del régimen de transición:</w:t>
      </w:r>
      <w:r w:rsidR="002A7BD3" w:rsidRPr="002A7BD3">
        <w:rPr>
          <w:rFonts w:ascii="Arial Narrow" w:hAnsi="Arial Narrow" w:cs="Tahoma"/>
          <w:sz w:val="18"/>
          <w:szCs w:val="18"/>
        </w:rPr>
        <w:t xml:space="preserve"> para el contingente de </w:t>
      </w:r>
    </w:p>
    <w:p w:rsidR="002A7BD3" w:rsidRPr="002A7BD3" w:rsidRDefault="002A7BD3" w:rsidP="002A7BD3">
      <w:pPr>
        <w:tabs>
          <w:tab w:val="left" w:pos="2835"/>
        </w:tabs>
        <w:ind w:left="2832"/>
        <w:jc w:val="both"/>
        <w:rPr>
          <w:rFonts w:ascii="Arial Narrow" w:hAnsi="Arial Narrow" w:cs="Tahoma"/>
          <w:sz w:val="18"/>
          <w:szCs w:val="18"/>
        </w:rPr>
      </w:pPr>
      <w:r>
        <w:rPr>
          <w:rFonts w:ascii="Arial Narrow" w:hAnsi="Arial Narrow" w:cs="Tahoma"/>
          <w:sz w:val="18"/>
          <w:szCs w:val="18"/>
        </w:rPr>
        <w:tab/>
      </w:r>
      <w:r w:rsidRPr="002A7BD3">
        <w:rPr>
          <w:rFonts w:ascii="Arial Narrow" w:hAnsi="Arial Narrow" w:cs="Tahoma"/>
          <w:sz w:val="18"/>
          <w:szCs w:val="18"/>
        </w:rPr>
        <w:t>personas beneficiarias de transición en consideración únicamente al cumplimiento del requisito de la edad al 1° de abril de 1994, que se acogieron válidamente al régimen de ahorro individual o se trasladaron de él, es una consecuencia ineludible la perdida de los beneficios del régimen de transición, no así para quienes al 1° de abril de 1994 tenían 15 años o más de servicios, pues se entiende que estas personas habían cumplido con el 75 % o más del tiempo de trabajo al momento de entrar en vigencia la Ley 100/93, y estaban muy cerca de cumplir su expectativa pensional, lo cual justifica un trato diferenciado.</w:t>
      </w:r>
    </w:p>
    <w:p w:rsidR="00CE359F" w:rsidRPr="00DF1ED1" w:rsidRDefault="00CE359F" w:rsidP="002A7BD3">
      <w:pPr>
        <w:pStyle w:val="Sinespaciado"/>
        <w:rPr>
          <w:sz w:val="18"/>
          <w:szCs w:val="18"/>
          <w:lang w:val="es-ES"/>
        </w:rPr>
      </w:pPr>
    </w:p>
    <w:p w:rsidR="00DF1ED1" w:rsidRPr="00DF1ED1" w:rsidRDefault="00DF1ED1" w:rsidP="00DF1ED1">
      <w:pPr>
        <w:pStyle w:val="Sinespaciado"/>
        <w:jc w:val="both"/>
        <w:rPr>
          <w:rFonts w:ascii="Arial Narrow" w:hAnsi="Arial Narrow"/>
          <w:sz w:val="18"/>
          <w:szCs w:val="18"/>
        </w:rPr>
      </w:pPr>
      <w:r w:rsidRPr="00DF1ED1">
        <w:rPr>
          <w:rFonts w:ascii="Arial Narrow" w:hAnsi="Arial Narrow"/>
          <w:b/>
          <w:sz w:val="18"/>
          <w:szCs w:val="18"/>
        </w:rPr>
        <w:t>Citación jurisprudencial:</w:t>
      </w:r>
      <w:r w:rsidRPr="00DF1ED1">
        <w:rPr>
          <w:rFonts w:ascii="Arial Narrow" w:hAnsi="Arial Narrow"/>
          <w:sz w:val="18"/>
          <w:szCs w:val="18"/>
        </w:rPr>
        <w:t xml:space="preserve"> </w:t>
      </w:r>
      <w:r w:rsidRPr="00DF1ED1">
        <w:rPr>
          <w:rFonts w:ascii="Arial Narrow" w:hAnsi="Arial Narrow" w:cs="Arial"/>
          <w:sz w:val="18"/>
          <w:szCs w:val="18"/>
        </w:rPr>
        <w:t>sentencia SU 130 de 2013, unificó la jurisprudencia, y además de ratificar las posiciones que había establecido en sentencias C-789 y 1020 del 2002 y 2004, respectivamente, c</w:t>
      </w:r>
      <w:bookmarkStart w:id="0" w:name="_GoBack"/>
      <w:bookmarkEnd w:id="0"/>
      <w:r w:rsidRPr="00DF1ED1">
        <w:rPr>
          <w:rFonts w:ascii="Arial Narrow" w:hAnsi="Arial Narrow" w:cs="Arial"/>
          <w:sz w:val="18"/>
          <w:szCs w:val="18"/>
        </w:rPr>
        <w:t>larificó lo concerniente a las personas que pueden retornar al régimen de prima media con prestación definida, conservando los beneficios de la transición.</w:t>
      </w:r>
    </w:p>
    <w:p w:rsidR="00DF1ED1" w:rsidRPr="00DF1ED1" w:rsidRDefault="00DF1ED1" w:rsidP="002A7BD3">
      <w:pPr>
        <w:pStyle w:val="Sinespaciado"/>
        <w:rPr>
          <w:sz w:val="18"/>
          <w:szCs w:val="18"/>
          <w:lang w:val="es-ES"/>
        </w:rPr>
      </w:pPr>
    </w:p>
    <w:p w:rsidR="00CE359F" w:rsidRPr="00A52B7E" w:rsidRDefault="00CE359F" w:rsidP="00CE359F">
      <w:pPr>
        <w:spacing w:line="276" w:lineRule="auto"/>
        <w:ind w:left="2340" w:hanging="1440"/>
        <w:jc w:val="both"/>
        <w:rPr>
          <w:rFonts w:ascii="Arial Narrow" w:hAnsi="Arial Narrow" w:cs="Tahoma"/>
          <w:sz w:val="28"/>
          <w:szCs w:val="28"/>
        </w:rPr>
      </w:pPr>
      <w:r w:rsidRPr="00A52B7E">
        <w:rPr>
          <w:rFonts w:ascii="Arial Narrow" w:hAnsi="Arial Narrow" w:cs="Tahoma"/>
          <w:sz w:val="28"/>
          <w:szCs w:val="28"/>
          <w:u w:val="single"/>
        </w:rPr>
        <w:t>AUDIENCIA PÚBLICA</w:t>
      </w:r>
      <w:r w:rsidRPr="00A52B7E">
        <w:rPr>
          <w:rFonts w:ascii="Arial Narrow" w:hAnsi="Arial Narrow" w:cs="Tahoma"/>
          <w:sz w:val="28"/>
          <w:szCs w:val="28"/>
        </w:rPr>
        <w:t>:</w:t>
      </w:r>
    </w:p>
    <w:p w:rsidR="00CE359F" w:rsidRPr="00A52B7E" w:rsidRDefault="00CE359F" w:rsidP="00CE359F">
      <w:pPr>
        <w:pStyle w:val="Sinespaciado"/>
        <w:rPr>
          <w:rFonts w:ascii="Arial Narrow" w:hAnsi="Arial Narrow"/>
          <w:sz w:val="28"/>
          <w:szCs w:val="28"/>
        </w:rPr>
      </w:pPr>
      <w:r w:rsidRPr="00A52B7E">
        <w:rPr>
          <w:rFonts w:ascii="Arial Narrow" w:hAnsi="Arial Narrow"/>
          <w:sz w:val="28"/>
          <w:szCs w:val="28"/>
        </w:rPr>
        <w:tab/>
      </w:r>
    </w:p>
    <w:p w:rsidR="00CE359F" w:rsidRPr="00A52B7E" w:rsidRDefault="00CE359F" w:rsidP="00CE359F">
      <w:pPr>
        <w:spacing w:line="360" w:lineRule="auto"/>
        <w:ind w:firstLine="851"/>
        <w:jc w:val="both"/>
        <w:rPr>
          <w:rFonts w:ascii="Arial Narrow" w:eastAsia="Calibri" w:hAnsi="Arial Narrow" w:cs="Arial"/>
          <w:sz w:val="28"/>
          <w:szCs w:val="28"/>
          <w:lang w:val="es-CO" w:eastAsia="en-US"/>
        </w:rPr>
      </w:pPr>
      <w:r w:rsidRPr="00A52B7E">
        <w:rPr>
          <w:rFonts w:ascii="Arial Narrow" w:eastAsia="Calibri" w:hAnsi="Arial Narrow" w:cs="Arial"/>
          <w:sz w:val="28"/>
          <w:szCs w:val="28"/>
          <w:lang w:val="es-CO" w:eastAsia="en-US"/>
        </w:rPr>
        <w:t xml:space="preserve">Pereira, hoy veinte (20) de octubre de dos mil dieciséis (2016), siendo las </w:t>
      </w:r>
      <w:r w:rsidR="00A52B7E" w:rsidRPr="00A52B7E">
        <w:rPr>
          <w:rFonts w:ascii="Arial Narrow" w:eastAsia="Calibri" w:hAnsi="Arial Narrow" w:cs="Arial"/>
          <w:sz w:val="28"/>
          <w:szCs w:val="28"/>
          <w:lang w:val="es-CO" w:eastAsia="en-US"/>
        </w:rPr>
        <w:t xml:space="preserve">nueve y cuarenta y cinco </w:t>
      </w:r>
      <w:r w:rsidRPr="00A52B7E">
        <w:rPr>
          <w:rFonts w:ascii="Arial Narrow" w:eastAsia="Calibri" w:hAnsi="Arial Narrow" w:cs="Arial"/>
          <w:sz w:val="28"/>
          <w:szCs w:val="28"/>
          <w:lang w:val="es-CO" w:eastAsia="en-US"/>
        </w:rPr>
        <w:t>de la mañana (0</w:t>
      </w:r>
      <w:r w:rsidR="00A52B7E" w:rsidRPr="00A52B7E">
        <w:rPr>
          <w:rFonts w:ascii="Arial Narrow" w:eastAsia="Calibri" w:hAnsi="Arial Narrow" w:cs="Arial"/>
          <w:sz w:val="28"/>
          <w:szCs w:val="28"/>
          <w:lang w:val="es-CO" w:eastAsia="en-US"/>
        </w:rPr>
        <w:t xml:space="preserve">9:45 </w:t>
      </w:r>
      <w:r w:rsidRPr="00A52B7E">
        <w:rPr>
          <w:rFonts w:ascii="Arial Narrow" w:eastAsia="Calibri" w:hAnsi="Arial Narrow" w:cs="Arial"/>
          <w:sz w:val="28"/>
          <w:szCs w:val="28"/>
          <w:lang w:val="es-CO" w:eastAsia="en-US"/>
        </w:rPr>
        <w:t xml:space="preserve">a.m.) </w:t>
      </w:r>
      <w:r w:rsidRPr="00A52B7E">
        <w:rPr>
          <w:rFonts w:ascii="Arial Narrow" w:hAnsi="Arial Narrow" w:cs="Tahoma"/>
          <w:bCs/>
          <w:color w:val="000000"/>
          <w:sz w:val="28"/>
          <w:szCs w:val="28"/>
          <w:lang w:val="es-ES"/>
        </w:rPr>
        <w:t xml:space="preserve">reunidos en la Sala de Audiencia las magistradas y el magistrado, integrantes de la Sala de Decisión Laboral No. 03 </w:t>
      </w:r>
      <w:r w:rsidRPr="00A52B7E">
        <w:rPr>
          <w:rFonts w:ascii="Arial Narrow" w:hAnsi="Arial Narrow" w:cs="Tahoma"/>
          <w:bCs/>
          <w:color w:val="000000"/>
          <w:sz w:val="28"/>
          <w:szCs w:val="28"/>
          <w:lang w:val="es-CO"/>
        </w:rPr>
        <w:t>del Tribunal Superior del Distrito Judicial de Pereira</w:t>
      </w:r>
      <w:r w:rsidRPr="00A52B7E">
        <w:rPr>
          <w:rFonts w:ascii="Arial Narrow" w:hAnsi="Arial Narrow" w:cs="Tahoma"/>
          <w:bCs/>
          <w:color w:val="000000"/>
          <w:sz w:val="28"/>
          <w:szCs w:val="28"/>
          <w:lang w:val="es-ES"/>
        </w:rPr>
        <w:t xml:space="preserve">, el ponente declara abierto el acto, el cual tiene por objeto decidir el grado jurisdiccional de consulta de la sentencia dictada el </w:t>
      </w:r>
      <w:r w:rsidR="00A52B7E" w:rsidRPr="00A52B7E">
        <w:rPr>
          <w:rFonts w:ascii="Arial Narrow" w:hAnsi="Arial Narrow" w:cs="Tahoma"/>
          <w:bCs/>
          <w:color w:val="000000"/>
          <w:sz w:val="28"/>
          <w:szCs w:val="28"/>
          <w:lang w:val="es-ES"/>
        </w:rPr>
        <w:t>19 de junio de 201</w:t>
      </w:r>
      <w:r w:rsidR="004407C8">
        <w:rPr>
          <w:rFonts w:ascii="Arial Narrow" w:hAnsi="Arial Narrow" w:cs="Tahoma"/>
          <w:bCs/>
          <w:color w:val="000000"/>
          <w:sz w:val="28"/>
          <w:szCs w:val="28"/>
          <w:lang w:val="es-ES"/>
        </w:rPr>
        <w:t>5</w:t>
      </w:r>
      <w:r w:rsidR="00A52B7E" w:rsidRPr="00A52B7E">
        <w:rPr>
          <w:rFonts w:ascii="Arial Narrow" w:hAnsi="Arial Narrow" w:cs="Tahoma"/>
          <w:bCs/>
          <w:color w:val="000000"/>
          <w:sz w:val="28"/>
          <w:szCs w:val="28"/>
          <w:lang w:val="es-ES"/>
        </w:rPr>
        <w:t xml:space="preserve"> p</w:t>
      </w:r>
      <w:r w:rsidRPr="00A52B7E">
        <w:rPr>
          <w:rFonts w:ascii="Arial Narrow" w:hAnsi="Arial Narrow" w:cs="Tahoma"/>
          <w:bCs/>
          <w:color w:val="000000"/>
          <w:sz w:val="28"/>
          <w:szCs w:val="28"/>
          <w:lang w:val="es-ES"/>
        </w:rPr>
        <w:t xml:space="preserve">or el Juzgado </w:t>
      </w:r>
      <w:r w:rsidR="00A52B7E" w:rsidRPr="00A52B7E">
        <w:rPr>
          <w:rFonts w:ascii="Arial Narrow" w:hAnsi="Arial Narrow" w:cs="Tahoma"/>
          <w:bCs/>
          <w:color w:val="000000"/>
          <w:sz w:val="28"/>
          <w:szCs w:val="28"/>
          <w:lang w:val="es-ES"/>
        </w:rPr>
        <w:t xml:space="preserve">Segundo </w:t>
      </w:r>
      <w:r w:rsidRPr="00A52B7E">
        <w:rPr>
          <w:rFonts w:ascii="Arial Narrow" w:hAnsi="Arial Narrow" w:cs="Tahoma"/>
          <w:bCs/>
          <w:color w:val="000000"/>
          <w:sz w:val="28"/>
          <w:szCs w:val="28"/>
          <w:lang w:val="es-ES"/>
        </w:rPr>
        <w:t xml:space="preserve">Laboral del Circuito de Pereira, dentro del proceso Ordinario Laboral </w:t>
      </w:r>
      <w:r w:rsidRPr="00A52B7E">
        <w:rPr>
          <w:rFonts w:ascii="Arial Narrow" w:hAnsi="Arial Narrow" w:cs="Arial"/>
          <w:sz w:val="28"/>
          <w:szCs w:val="28"/>
        </w:rPr>
        <w:t xml:space="preserve">promovido por </w:t>
      </w:r>
      <w:proofErr w:type="spellStart"/>
      <w:r w:rsidR="00A52B7E" w:rsidRPr="00A52B7E">
        <w:rPr>
          <w:rFonts w:ascii="Arial Narrow" w:hAnsi="Arial Narrow" w:cs="Arial"/>
          <w:i/>
          <w:sz w:val="28"/>
          <w:szCs w:val="28"/>
        </w:rPr>
        <w:t>Arecelly</w:t>
      </w:r>
      <w:proofErr w:type="spellEnd"/>
      <w:r w:rsidR="00A52B7E" w:rsidRPr="00A52B7E">
        <w:rPr>
          <w:rFonts w:ascii="Arial Narrow" w:hAnsi="Arial Narrow" w:cs="Arial"/>
          <w:i/>
          <w:sz w:val="28"/>
          <w:szCs w:val="28"/>
        </w:rPr>
        <w:t xml:space="preserve"> Carmona Hincapié </w:t>
      </w:r>
      <w:r w:rsidRPr="00A52B7E">
        <w:rPr>
          <w:rFonts w:ascii="Arial Narrow" w:hAnsi="Arial Narrow" w:cs="Arial"/>
          <w:sz w:val="28"/>
          <w:szCs w:val="28"/>
        </w:rPr>
        <w:t xml:space="preserve">contra </w:t>
      </w:r>
      <w:proofErr w:type="spellStart"/>
      <w:r w:rsidRPr="00A52B7E">
        <w:rPr>
          <w:rFonts w:ascii="Arial Narrow" w:hAnsi="Arial Narrow" w:cs="Arial"/>
          <w:i/>
          <w:sz w:val="28"/>
          <w:szCs w:val="28"/>
        </w:rPr>
        <w:t>Colpensiones</w:t>
      </w:r>
      <w:proofErr w:type="spellEnd"/>
      <w:r w:rsidRPr="00A52B7E">
        <w:rPr>
          <w:rFonts w:ascii="Arial Narrow" w:hAnsi="Arial Narrow" w:cs="Arial"/>
          <w:bCs/>
          <w:iCs/>
          <w:sz w:val="28"/>
          <w:szCs w:val="28"/>
        </w:rPr>
        <w:t xml:space="preserve">. </w:t>
      </w:r>
    </w:p>
    <w:p w:rsidR="00CE359F" w:rsidRPr="00A52B7E" w:rsidRDefault="00CE359F" w:rsidP="00A52B7E">
      <w:pPr>
        <w:pStyle w:val="Sinespaciado"/>
        <w:rPr>
          <w:rFonts w:ascii="Arial Narrow" w:hAnsi="Arial Narrow"/>
          <w:sz w:val="28"/>
          <w:szCs w:val="28"/>
          <w:lang w:val="es-ES"/>
        </w:rPr>
      </w:pPr>
      <w:r w:rsidRPr="00A52B7E">
        <w:rPr>
          <w:rFonts w:ascii="Arial Narrow" w:hAnsi="Arial Narrow"/>
          <w:sz w:val="28"/>
          <w:szCs w:val="28"/>
          <w:lang w:val="es-ES"/>
        </w:rPr>
        <w:t> </w:t>
      </w:r>
    </w:p>
    <w:p w:rsidR="00CE359F" w:rsidRPr="00A52B7E" w:rsidRDefault="00A52B7E" w:rsidP="00CE359F">
      <w:pPr>
        <w:shd w:val="clear" w:color="auto" w:fill="FFFFFF"/>
        <w:spacing w:line="360" w:lineRule="auto"/>
        <w:ind w:firstLine="851"/>
        <w:jc w:val="both"/>
        <w:rPr>
          <w:rFonts w:ascii="Arial Narrow" w:hAnsi="Arial Narrow" w:cs="Tahoma"/>
          <w:bCs/>
          <w:color w:val="000000"/>
          <w:sz w:val="28"/>
          <w:szCs w:val="28"/>
          <w:lang w:val="es-ES"/>
        </w:rPr>
      </w:pPr>
      <w:r w:rsidRPr="00A52B7E">
        <w:rPr>
          <w:rFonts w:ascii="Arial Narrow" w:hAnsi="Arial Narrow" w:cs="Tahoma"/>
          <w:bCs/>
          <w:color w:val="000000"/>
          <w:sz w:val="28"/>
          <w:szCs w:val="28"/>
          <w:lang w:val="es-ES"/>
        </w:rPr>
        <w:t>IDENTIFICACIÓN DE LOS PRESENTES</w:t>
      </w:r>
    </w:p>
    <w:p w:rsidR="00A52B7E" w:rsidRPr="00A52B7E" w:rsidRDefault="00A52B7E" w:rsidP="00A52B7E">
      <w:pPr>
        <w:pStyle w:val="Sinespaciado"/>
      </w:pPr>
    </w:p>
    <w:p w:rsidR="005651C6" w:rsidRDefault="00CE359F" w:rsidP="00CE359F">
      <w:pPr>
        <w:spacing w:line="360" w:lineRule="auto"/>
        <w:ind w:firstLine="900"/>
        <w:jc w:val="both"/>
        <w:rPr>
          <w:rFonts w:ascii="Arial Narrow" w:hAnsi="Arial Narrow" w:cs="Tahoma"/>
          <w:sz w:val="28"/>
          <w:szCs w:val="28"/>
        </w:rPr>
      </w:pPr>
      <w:r w:rsidRPr="00A52B7E">
        <w:rPr>
          <w:rFonts w:ascii="Arial Narrow" w:hAnsi="Arial Narrow" w:cs="Tahoma"/>
          <w:sz w:val="28"/>
          <w:szCs w:val="28"/>
        </w:rPr>
        <w:t xml:space="preserve">Pide </w:t>
      </w:r>
      <w:r w:rsidR="00A52B7E">
        <w:rPr>
          <w:rFonts w:ascii="Arial Narrow" w:hAnsi="Arial Narrow" w:cs="Tahoma"/>
          <w:sz w:val="28"/>
          <w:szCs w:val="28"/>
        </w:rPr>
        <w:t>la</w:t>
      </w:r>
      <w:r w:rsidRPr="00A52B7E">
        <w:rPr>
          <w:rFonts w:ascii="Arial Narrow" w:hAnsi="Arial Narrow" w:cs="Tahoma"/>
          <w:sz w:val="28"/>
          <w:szCs w:val="28"/>
        </w:rPr>
        <w:t xml:space="preserve"> demandante que se declare que</w:t>
      </w:r>
      <w:r w:rsidR="00A52B7E">
        <w:rPr>
          <w:rFonts w:ascii="Arial Narrow" w:hAnsi="Arial Narrow" w:cs="Tahoma"/>
          <w:sz w:val="28"/>
          <w:szCs w:val="28"/>
        </w:rPr>
        <w:t xml:space="preserve"> le asiste el derecho </w:t>
      </w:r>
      <w:r w:rsidR="005651C6">
        <w:rPr>
          <w:rFonts w:ascii="Arial Narrow" w:hAnsi="Arial Narrow" w:cs="Tahoma"/>
          <w:sz w:val="28"/>
          <w:szCs w:val="28"/>
        </w:rPr>
        <w:t>a l</w:t>
      </w:r>
      <w:r w:rsidR="00A52B7E">
        <w:rPr>
          <w:rFonts w:ascii="Arial Narrow" w:hAnsi="Arial Narrow" w:cs="Tahoma"/>
          <w:sz w:val="28"/>
          <w:szCs w:val="28"/>
        </w:rPr>
        <w:t>a pensión de vejez</w:t>
      </w:r>
      <w:r w:rsidR="005651C6">
        <w:rPr>
          <w:rFonts w:ascii="Arial Narrow" w:hAnsi="Arial Narrow" w:cs="Tahoma"/>
          <w:sz w:val="28"/>
          <w:szCs w:val="28"/>
        </w:rPr>
        <w:t xml:space="preserve">, y en consecuencia, pide condena en contra de </w:t>
      </w:r>
      <w:proofErr w:type="spellStart"/>
      <w:r w:rsidR="005651C6">
        <w:rPr>
          <w:rFonts w:ascii="Arial Narrow" w:hAnsi="Arial Narrow" w:cs="Tahoma"/>
          <w:sz w:val="28"/>
          <w:szCs w:val="28"/>
        </w:rPr>
        <w:t>Colpensiones</w:t>
      </w:r>
      <w:proofErr w:type="spellEnd"/>
      <w:r w:rsidR="005651C6">
        <w:rPr>
          <w:rFonts w:ascii="Arial Narrow" w:hAnsi="Arial Narrow" w:cs="Tahoma"/>
          <w:sz w:val="28"/>
          <w:szCs w:val="28"/>
        </w:rPr>
        <w:t>, en el sentido de que se le ordene reconocer y pagar la prestación a partir del 30 de noviembre de 2012, con el correspondiente retroactivo, los intereses moratorios y las costas del proceso.</w:t>
      </w:r>
      <w:r w:rsidR="00FE79DF">
        <w:rPr>
          <w:rFonts w:ascii="Arial Narrow" w:hAnsi="Arial Narrow" w:cs="Tahoma"/>
          <w:sz w:val="28"/>
          <w:szCs w:val="28"/>
        </w:rPr>
        <w:t xml:space="preserve"> </w:t>
      </w:r>
    </w:p>
    <w:p w:rsidR="005651C6" w:rsidRDefault="005651C6" w:rsidP="005651C6">
      <w:pPr>
        <w:pStyle w:val="Sinespaciado"/>
      </w:pPr>
    </w:p>
    <w:p w:rsidR="00292FBA" w:rsidRDefault="005651C6" w:rsidP="00292FBA">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sustento fáctico de sus pretensiones, indicó que </w:t>
      </w:r>
      <w:r w:rsidR="00292FBA">
        <w:rPr>
          <w:rFonts w:ascii="Arial Narrow" w:hAnsi="Arial Narrow" w:cs="Tahoma"/>
          <w:sz w:val="28"/>
          <w:szCs w:val="28"/>
        </w:rPr>
        <w:t xml:space="preserve">nació el 12 de octubre de 1956; que inició su historia laboral el 3 de mayo de 1976 con el </w:t>
      </w:r>
      <w:proofErr w:type="spellStart"/>
      <w:r w:rsidR="00292FBA">
        <w:rPr>
          <w:rFonts w:ascii="Arial Narrow" w:hAnsi="Arial Narrow" w:cs="Tahoma"/>
          <w:sz w:val="28"/>
          <w:szCs w:val="28"/>
        </w:rPr>
        <w:t>empledor</w:t>
      </w:r>
      <w:proofErr w:type="spellEnd"/>
      <w:r w:rsidR="00292FBA">
        <w:rPr>
          <w:rFonts w:ascii="Arial Narrow" w:hAnsi="Arial Narrow" w:cs="Tahoma"/>
          <w:sz w:val="28"/>
          <w:szCs w:val="28"/>
        </w:rPr>
        <w:t xml:space="preserve"> “Metalmecánicas Otto Ltda.”; que cotizó 1.001,98 semanas de aportes al sistema pensional en toda su vida laboral, de las cuales 765.42 lo fueron antes del 31 de julio de 2005; que el 11 de enero de 2013 presentó solicitud pensional ante la enti</w:t>
      </w:r>
      <w:r w:rsidR="001069DB">
        <w:rPr>
          <w:rFonts w:ascii="Arial Narrow" w:hAnsi="Arial Narrow" w:cs="Tahoma"/>
          <w:sz w:val="28"/>
          <w:szCs w:val="28"/>
        </w:rPr>
        <w:t xml:space="preserve">dad y que la misma fue resuelta desfavorablemente mediante Resolución GNR 26400 del 3 de marzo de 2013; que presentó recurso de reposición y en subsidio el de apelación contra </w:t>
      </w:r>
      <w:r w:rsidR="001069DB">
        <w:rPr>
          <w:rFonts w:ascii="Arial Narrow" w:hAnsi="Arial Narrow" w:cs="Tahoma"/>
          <w:sz w:val="28"/>
          <w:szCs w:val="28"/>
        </w:rPr>
        <w:lastRenderedPageBreak/>
        <w:t>dicho acto administr</w:t>
      </w:r>
      <w:r w:rsidR="007D55C8">
        <w:rPr>
          <w:rFonts w:ascii="Arial Narrow" w:hAnsi="Arial Narrow" w:cs="Tahoma"/>
          <w:sz w:val="28"/>
          <w:szCs w:val="28"/>
        </w:rPr>
        <w:t xml:space="preserve">ativo, sin que este último haya sido resuelto. </w:t>
      </w:r>
      <w:r w:rsidR="001069DB">
        <w:rPr>
          <w:rFonts w:ascii="Arial Narrow" w:hAnsi="Arial Narrow" w:cs="Tahoma"/>
          <w:sz w:val="28"/>
          <w:szCs w:val="28"/>
        </w:rPr>
        <w:t xml:space="preserve">Indica que el 14 de abril de 2014 solicitó la corrección </w:t>
      </w:r>
      <w:r w:rsidR="007D55C8">
        <w:rPr>
          <w:rFonts w:ascii="Arial Narrow" w:hAnsi="Arial Narrow" w:cs="Tahoma"/>
          <w:sz w:val="28"/>
          <w:szCs w:val="28"/>
        </w:rPr>
        <w:t>de su historia laboral y que a la fecha de presentación no ha sido resuelta.</w:t>
      </w:r>
    </w:p>
    <w:p w:rsidR="00CE359F" w:rsidRPr="00A52B7E" w:rsidRDefault="00CE359F" w:rsidP="007D55C8">
      <w:pPr>
        <w:pStyle w:val="Sinespaciado"/>
      </w:pPr>
    </w:p>
    <w:p w:rsidR="00CE359F" w:rsidRPr="00A52B7E" w:rsidRDefault="00CE359F" w:rsidP="00CE359F">
      <w:pPr>
        <w:spacing w:line="360" w:lineRule="auto"/>
        <w:ind w:firstLine="900"/>
        <w:jc w:val="both"/>
        <w:rPr>
          <w:rFonts w:ascii="Arial Narrow" w:hAnsi="Arial Narrow" w:cs="Tahoma"/>
          <w:sz w:val="28"/>
          <w:szCs w:val="28"/>
        </w:rPr>
      </w:pPr>
      <w:r w:rsidRPr="00A52B7E">
        <w:rPr>
          <w:rFonts w:ascii="Arial Narrow" w:hAnsi="Arial Narrow" w:cs="Tahoma"/>
          <w:sz w:val="28"/>
          <w:szCs w:val="28"/>
        </w:rPr>
        <w:t xml:space="preserve">Trabada la Litis, </w:t>
      </w:r>
      <w:proofErr w:type="spellStart"/>
      <w:r w:rsidRPr="00A52B7E">
        <w:rPr>
          <w:rFonts w:ascii="Arial Narrow" w:hAnsi="Arial Narrow" w:cs="Tahoma"/>
          <w:sz w:val="28"/>
          <w:szCs w:val="28"/>
        </w:rPr>
        <w:t>Colpensiones</w:t>
      </w:r>
      <w:proofErr w:type="spellEnd"/>
      <w:r w:rsidRPr="00A52B7E">
        <w:rPr>
          <w:rFonts w:ascii="Arial Narrow" w:hAnsi="Arial Narrow" w:cs="Tahoma"/>
          <w:sz w:val="28"/>
          <w:szCs w:val="28"/>
        </w:rPr>
        <w:t xml:space="preserve"> por medio de su procurador judicial aceptó como ciertos los hechos relativos a la edad del demandante, la reclamación de la pensión de vejez, la respuesta negativa de </w:t>
      </w:r>
      <w:proofErr w:type="spellStart"/>
      <w:r w:rsidRPr="00A52B7E">
        <w:rPr>
          <w:rFonts w:ascii="Arial Narrow" w:hAnsi="Arial Narrow" w:cs="Tahoma"/>
          <w:sz w:val="28"/>
          <w:szCs w:val="28"/>
        </w:rPr>
        <w:t>Colpensiones</w:t>
      </w:r>
      <w:proofErr w:type="spellEnd"/>
      <w:r w:rsidRPr="00A52B7E">
        <w:rPr>
          <w:rFonts w:ascii="Arial Narrow" w:hAnsi="Arial Narrow" w:cs="Tahoma"/>
          <w:sz w:val="28"/>
          <w:szCs w:val="28"/>
        </w:rPr>
        <w:t xml:space="preserve"> y sus argumentos, </w:t>
      </w:r>
      <w:r w:rsidR="001562C0">
        <w:rPr>
          <w:rFonts w:ascii="Arial Narrow" w:hAnsi="Arial Narrow" w:cs="Tahoma"/>
          <w:sz w:val="28"/>
          <w:szCs w:val="28"/>
        </w:rPr>
        <w:t>entre otros.</w:t>
      </w:r>
      <w:r w:rsidRPr="00A52B7E">
        <w:rPr>
          <w:rFonts w:ascii="Arial Narrow" w:hAnsi="Arial Narrow" w:cs="Tahoma"/>
          <w:sz w:val="28"/>
          <w:szCs w:val="28"/>
        </w:rPr>
        <w:t xml:space="preserve"> Se opuso a las pretensiones </w:t>
      </w:r>
      <w:r w:rsidR="001562C0">
        <w:rPr>
          <w:rFonts w:ascii="Arial Narrow" w:hAnsi="Arial Narrow" w:cs="Tahoma"/>
          <w:sz w:val="28"/>
          <w:szCs w:val="28"/>
        </w:rPr>
        <w:t xml:space="preserve">alegando que la demandante no cuenta con la densidad de semanas necesarias para acceder al derecho, pues cuenta con un total de 966 semanas en toda su vida laboral. En su defensa, propuso como excepción de fondo la de </w:t>
      </w:r>
      <w:r w:rsidRPr="00A52B7E">
        <w:rPr>
          <w:rFonts w:ascii="Arial Narrow" w:hAnsi="Arial Narrow" w:cs="Tahoma"/>
          <w:sz w:val="28"/>
          <w:szCs w:val="28"/>
        </w:rPr>
        <w:t>“Prescripción”.</w:t>
      </w:r>
    </w:p>
    <w:p w:rsidR="00CE359F" w:rsidRPr="00A52B7E" w:rsidRDefault="00CE359F" w:rsidP="001562C0">
      <w:pPr>
        <w:pStyle w:val="Sinespaciado"/>
      </w:pPr>
    </w:p>
    <w:p w:rsidR="00CE359F" w:rsidRPr="001562C0" w:rsidRDefault="00CE359F" w:rsidP="00CE359F">
      <w:pPr>
        <w:spacing w:line="360" w:lineRule="auto"/>
        <w:ind w:firstLine="900"/>
        <w:jc w:val="both"/>
        <w:rPr>
          <w:rFonts w:ascii="Arial Narrow" w:hAnsi="Arial Narrow" w:cs="Tahoma"/>
          <w:i/>
          <w:iCs/>
          <w:sz w:val="28"/>
          <w:szCs w:val="28"/>
        </w:rPr>
      </w:pPr>
      <w:r w:rsidRPr="001562C0">
        <w:rPr>
          <w:rFonts w:ascii="Arial Narrow" w:hAnsi="Arial Narrow" w:cs="Tahoma"/>
          <w:sz w:val="28"/>
          <w:szCs w:val="28"/>
        </w:rPr>
        <w:t xml:space="preserve">  </w:t>
      </w:r>
      <w:r w:rsidRPr="001562C0">
        <w:rPr>
          <w:rFonts w:ascii="Arial Narrow" w:hAnsi="Arial Narrow" w:cs="Tahoma"/>
          <w:i/>
          <w:sz w:val="28"/>
          <w:szCs w:val="28"/>
        </w:rPr>
        <w:t xml:space="preserve">II. </w:t>
      </w:r>
      <w:r w:rsidRPr="001562C0">
        <w:rPr>
          <w:rFonts w:ascii="Arial Narrow" w:hAnsi="Arial Narrow" w:cs="Tahoma"/>
          <w:i/>
          <w:iCs/>
          <w:sz w:val="28"/>
          <w:szCs w:val="28"/>
        </w:rPr>
        <w:t>SENTENCIA DEL JUZGADO</w:t>
      </w:r>
    </w:p>
    <w:p w:rsidR="00CE359F" w:rsidRPr="00A52B7E" w:rsidRDefault="00CE359F" w:rsidP="001562C0">
      <w:pPr>
        <w:pStyle w:val="Sinespaciado"/>
      </w:pPr>
      <w:r w:rsidRPr="00A52B7E">
        <w:t xml:space="preserve">                                         </w:t>
      </w:r>
    </w:p>
    <w:p w:rsidR="007558C6" w:rsidRDefault="00CE359F" w:rsidP="00CE359F">
      <w:pPr>
        <w:tabs>
          <w:tab w:val="left" w:pos="0"/>
          <w:tab w:val="left" w:pos="8647"/>
        </w:tabs>
        <w:suppressAutoHyphens/>
        <w:spacing w:line="360" w:lineRule="auto"/>
        <w:ind w:firstLine="900"/>
        <w:jc w:val="both"/>
        <w:rPr>
          <w:rFonts w:ascii="Arial Narrow" w:hAnsi="Arial Narrow" w:cs="Tahoma"/>
          <w:sz w:val="28"/>
          <w:szCs w:val="28"/>
        </w:rPr>
      </w:pPr>
      <w:r w:rsidRPr="00A52B7E">
        <w:rPr>
          <w:rFonts w:ascii="Arial Narrow" w:hAnsi="Arial Narrow" w:cs="Tahoma"/>
          <w:sz w:val="28"/>
          <w:szCs w:val="28"/>
        </w:rPr>
        <w:t xml:space="preserve">La juzgadora </w:t>
      </w:r>
      <w:r w:rsidR="001562C0">
        <w:rPr>
          <w:rFonts w:ascii="Arial Narrow" w:hAnsi="Arial Narrow" w:cs="Tahoma"/>
          <w:sz w:val="28"/>
          <w:szCs w:val="28"/>
        </w:rPr>
        <w:t xml:space="preserve">de primera instancia </w:t>
      </w:r>
      <w:r w:rsidR="001F19A6">
        <w:rPr>
          <w:rFonts w:ascii="Arial Narrow" w:hAnsi="Arial Narrow" w:cs="Tahoma"/>
          <w:sz w:val="28"/>
          <w:szCs w:val="28"/>
        </w:rPr>
        <w:t>mediante fallo del 19 de junio de 2015 absolvió a la entidad demandada de todas las pretensiones incoadas en su contra y condenó a la promotora del litigio al pago de las costas del proceso, fijando</w:t>
      </w:r>
      <w:r w:rsidR="00B262DA">
        <w:rPr>
          <w:rFonts w:ascii="Arial Narrow" w:hAnsi="Arial Narrow" w:cs="Tahoma"/>
          <w:sz w:val="28"/>
          <w:szCs w:val="28"/>
        </w:rPr>
        <w:t xml:space="preserve"> las</w:t>
      </w:r>
      <w:r w:rsidR="001F19A6">
        <w:rPr>
          <w:rFonts w:ascii="Arial Narrow" w:hAnsi="Arial Narrow" w:cs="Tahoma"/>
          <w:sz w:val="28"/>
          <w:szCs w:val="28"/>
        </w:rPr>
        <w:t xml:space="preserve"> agencias en derecho en cuantía igual a 1 SMLMV. Para así concluir, sostuvo que la </w:t>
      </w:r>
      <w:r w:rsidR="0082510B">
        <w:rPr>
          <w:rFonts w:ascii="Arial Narrow" w:hAnsi="Arial Narrow" w:cs="Tahoma"/>
          <w:sz w:val="28"/>
          <w:szCs w:val="28"/>
        </w:rPr>
        <w:t>actora</w:t>
      </w:r>
      <w:r w:rsidR="001F19A6">
        <w:rPr>
          <w:rFonts w:ascii="Arial Narrow" w:hAnsi="Arial Narrow" w:cs="Tahoma"/>
          <w:sz w:val="28"/>
          <w:szCs w:val="28"/>
        </w:rPr>
        <w:t xml:space="preserve"> perdió los beneficios del régimen de transición que consagra el artículo 36 de la Ley 100 de 1993, </w:t>
      </w:r>
      <w:r w:rsidR="00DE1257">
        <w:rPr>
          <w:rFonts w:ascii="Arial Narrow" w:hAnsi="Arial Narrow" w:cs="Tahoma"/>
          <w:sz w:val="28"/>
          <w:szCs w:val="28"/>
        </w:rPr>
        <w:t>pues</w:t>
      </w:r>
      <w:r w:rsidR="00B262DA">
        <w:rPr>
          <w:rFonts w:ascii="Arial Narrow" w:hAnsi="Arial Narrow" w:cs="Tahoma"/>
          <w:sz w:val="28"/>
          <w:szCs w:val="28"/>
        </w:rPr>
        <w:t xml:space="preserve"> al retornar del </w:t>
      </w:r>
      <w:r w:rsidR="00DE1257">
        <w:rPr>
          <w:rFonts w:ascii="Arial Narrow" w:hAnsi="Arial Narrow" w:cs="Tahoma"/>
          <w:sz w:val="28"/>
          <w:szCs w:val="28"/>
        </w:rPr>
        <w:t>régimen de ahorro individual con</w:t>
      </w:r>
      <w:r w:rsidR="00845EA8">
        <w:rPr>
          <w:rFonts w:ascii="Arial Narrow" w:hAnsi="Arial Narrow" w:cs="Tahoma"/>
          <w:sz w:val="28"/>
          <w:szCs w:val="28"/>
        </w:rPr>
        <w:t xml:space="preserve"> solidaridad</w:t>
      </w:r>
      <w:r w:rsidR="00DE1257">
        <w:rPr>
          <w:rFonts w:ascii="Arial Narrow" w:hAnsi="Arial Narrow" w:cs="Tahoma"/>
          <w:sz w:val="28"/>
          <w:szCs w:val="28"/>
        </w:rPr>
        <w:t xml:space="preserve"> al de prima media con </w:t>
      </w:r>
      <w:r w:rsidR="0087458A">
        <w:rPr>
          <w:rFonts w:ascii="Arial Narrow" w:hAnsi="Arial Narrow" w:cs="Tahoma"/>
          <w:sz w:val="28"/>
          <w:szCs w:val="28"/>
        </w:rPr>
        <w:t>prestación</w:t>
      </w:r>
      <w:r w:rsidR="00DE1257">
        <w:rPr>
          <w:rFonts w:ascii="Arial Narrow" w:hAnsi="Arial Narrow" w:cs="Tahoma"/>
          <w:sz w:val="28"/>
          <w:szCs w:val="28"/>
        </w:rPr>
        <w:t xml:space="preserve"> definida, </w:t>
      </w:r>
      <w:r w:rsidR="00B262DA">
        <w:rPr>
          <w:rFonts w:ascii="Arial Narrow" w:hAnsi="Arial Narrow" w:cs="Tahoma"/>
          <w:sz w:val="28"/>
          <w:szCs w:val="28"/>
        </w:rPr>
        <w:t xml:space="preserve">no </w:t>
      </w:r>
      <w:r w:rsidR="008754D9">
        <w:rPr>
          <w:rFonts w:ascii="Arial Narrow" w:hAnsi="Arial Narrow" w:cs="Tahoma"/>
          <w:sz w:val="28"/>
          <w:szCs w:val="28"/>
        </w:rPr>
        <w:t xml:space="preserve">cumplía el requisito esencial de </w:t>
      </w:r>
      <w:r w:rsidR="0082510B">
        <w:rPr>
          <w:rFonts w:ascii="Arial Narrow" w:hAnsi="Arial Narrow" w:cs="Tahoma"/>
          <w:sz w:val="28"/>
          <w:szCs w:val="28"/>
        </w:rPr>
        <w:t xml:space="preserve">15 años de servicios </w:t>
      </w:r>
      <w:r w:rsidR="008754D9">
        <w:rPr>
          <w:rFonts w:ascii="Arial Narrow" w:hAnsi="Arial Narrow" w:cs="Tahoma"/>
          <w:sz w:val="28"/>
          <w:szCs w:val="28"/>
        </w:rPr>
        <w:t xml:space="preserve">al 1° de abril de 1994, conforme reiteradamente lo ha establecido la jurisprudencia, </w:t>
      </w:r>
      <w:r w:rsidR="00845EA8">
        <w:rPr>
          <w:rFonts w:ascii="Arial Narrow" w:hAnsi="Arial Narrow" w:cs="Tahoma"/>
          <w:sz w:val="28"/>
          <w:szCs w:val="28"/>
        </w:rPr>
        <w:t>en tanto que, a e</w:t>
      </w:r>
      <w:r w:rsidR="008754D9">
        <w:rPr>
          <w:rFonts w:ascii="Arial Narrow" w:hAnsi="Arial Narrow" w:cs="Tahoma"/>
          <w:sz w:val="28"/>
          <w:szCs w:val="28"/>
        </w:rPr>
        <w:t xml:space="preserve">sa calenda apenas </w:t>
      </w:r>
      <w:r w:rsidR="00845EA8">
        <w:rPr>
          <w:rFonts w:ascii="Arial Narrow" w:hAnsi="Arial Narrow" w:cs="Tahoma"/>
          <w:sz w:val="28"/>
          <w:szCs w:val="28"/>
        </w:rPr>
        <w:t xml:space="preserve">registraba 369.42 semanas de aportes. </w:t>
      </w:r>
      <w:r w:rsidR="008754D9">
        <w:rPr>
          <w:rFonts w:ascii="Arial Narrow" w:hAnsi="Arial Narrow" w:cs="Tahoma"/>
          <w:sz w:val="28"/>
          <w:szCs w:val="28"/>
        </w:rPr>
        <w:t>En tal virtud, expuso que el Acuerdo 049 de 1990 no le era ap</w:t>
      </w:r>
      <w:r w:rsidR="004A6198">
        <w:rPr>
          <w:rFonts w:ascii="Arial Narrow" w:hAnsi="Arial Narrow" w:cs="Tahoma"/>
          <w:sz w:val="28"/>
          <w:szCs w:val="28"/>
        </w:rPr>
        <w:t xml:space="preserve">licable a la actora, </w:t>
      </w:r>
      <w:r w:rsidR="004410DA">
        <w:rPr>
          <w:rFonts w:ascii="Arial Narrow" w:hAnsi="Arial Narrow" w:cs="Tahoma"/>
          <w:sz w:val="28"/>
          <w:szCs w:val="28"/>
        </w:rPr>
        <w:t>y que su situación pensional debía ser analizada a la luz del artículo 9 de la</w:t>
      </w:r>
      <w:r w:rsidR="004A6198">
        <w:rPr>
          <w:rFonts w:ascii="Arial Narrow" w:hAnsi="Arial Narrow" w:cs="Tahoma"/>
          <w:sz w:val="28"/>
          <w:szCs w:val="28"/>
        </w:rPr>
        <w:t xml:space="preserve"> Ley 797/03, </w:t>
      </w:r>
      <w:r w:rsidR="007558C6">
        <w:rPr>
          <w:rFonts w:ascii="Arial Narrow" w:hAnsi="Arial Narrow" w:cs="Tahoma"/>
          <w:sz w:val="28"/>
          <w:szCs w:val="28"/>
        </w:rPr>
        <w:t xml:space="preserve">sin que </w:t>
      </w:r>
      <w:r w:rsidR="0075147F">
        <w:rPr>
          <w:rFonts w:ascii="Arial Narrow" w:hAnsi="Arial Narrow" w:cs="Tahoma"/>
          <w:sz w:val="28"/>
          <w:szCs w:val="28"/>
        </w:rPr>
        <w:t xml:space="preserve">aquella </w:t>
      </w:r>
      <w:r w:rsidR="004145B9">
        <w:rPr>
          <w:rFonts w:ascii="Arial Narrow" w:hAnsi="Arial Narrow" w:cs="Tahoma"/>
          <w:sz w:val="28"/>
          <w:szCs w:val="28"/>
        </w:rPr>
        <w:t xml:space="preserve">se allane a las exigencias allí establecidas </w:t>
      </w:r>
      <w:r w:rsidR="007558C6">
        <w:rPr>
          <w:rFonts w:ascii="Arial Narrow" w:hAnsi="Arial Narrow" w:cs="Tahoma"/>
          <w:sz w:val="28"/>
          <w:szCs w:val="28"/>
        </w:rPr>
        <w:t xml:space="preserve">para </w:t>
      </w:r>
      <w:r w:rsidR="002C0EBB">
        <w:rPr>
          <w:rFonts w:ascii="Arial Narrow" w:hAnsi="Arial Narrow" w:cs="Tahoma"/>
          <w:sz w:val="28"/>
          <w:szCs w:val="28"/>
        </w:rPr>
        <w:t xml:space="preserve">el reconocimiento de </w:t>
      </w:r>
      <w:r w:rsidR="0075147F">
        <w:rPr>
          <w:rFonts w:ascii="Arial Narrow" w:hAnsi="Arial Narrow" w:cs="Tahoma"/>
          <w:sz w:val="28"/>
          <w:szCs w:val="28"/>
        </w:rPr>
        <w:t>la pensión</w:t>
      </w:r>
      <w:r w:rsidR="007558C6">
        <w:rPr>
          <w:rFonts w:ascii="Arial Narrow" w:hAnsi="Arial Narrow" w:cs="Tahoma"/>
          <w:sz w:val="28"/>
          <w:szCs w:val="28"/>
        </w:rPr>
        <w:t xml:space="preserve">. </w:t>
      </w:r>
    </w:p>
    <w:p w:rsidR="001562C0" w:rsidRDefault="007558C6" w:rsidP="002C0EBB">
      <w:pPr>
        <w:pStyle w:val="Sinespaciado"/>
      </w:pPr>
      <w:r>
        <w:t xml:space="preserve"> </w:t>
      </w:r>
    </w:p>
    <w:p w:rsidR="00CE359F" w:rsidRPr="00A52B7E" w:rsidRDefault="00CE359F" w:rsidP="00CE359F">
      <w:pPr>
        <w:tabs>
          <w:tab w:val="left" w:pos="0"/>
          <w:tab w:val="left" w:pos="8647"/>
        </w:tabs>
        <w:suppressAutoHyphens/>
        <w:spacing w:line="360" w:lineRule="auto"/>
        <w:ind w:firstLine="900"/>
        <w:jc w:val="both"/>
        <w:rPr>
          <w:rFonts w:ascii="Arial Narrow" w:hAnsi="Arial Narrow" w:cs="Tahoma"/>
          <w:sz w:val="28"/>
          <w:szCs w:val="28"/>
        </w:rPr>
      </w:pPr>
      <w:r w:rsidRPr="00A52B7E">
        <w:rPr>
          <w:rFonts w:ascii="Arial Narrow" w:hAnsi="Arial Narrow" w:cs="Tahoma"/>
          <w:sz w:val="28"/>
          <w:szCs w:val="28"/>
        </w:rPr>
        <w:t xml:space="preserve">Dicha decisión no fue apelada, pero se dispuso su consulta por ser </w:t>
      </w:r>
      <w:r w:rsidR="002C0EBB">
        <w:rPr>
          <w:rFonts w:ascii="Arial Narrow" w:hAnsi="Arial Narrow" w:cs="Tahoma"/>
          <w:sz w:val="28"/>
          <w:szCs w:val="28"/>
        </w:rPr>
        <w:t>adversa a los intereses de la demandante</w:t>
      </w:r>
      <w:r w:rsidRPr="00A52B7E">
        <w:rPr>
          <w:rFonts w:ascii="Arial Narrow" w:hAnsi="Arial Narrow" w:cs="Tahoma"/>
          <w:sz w:val="28"/>
          <w:szCs w:val="28"/>
        </w:rPr>
        <w:t>.</w:t>
      </w:r>
    </w:p>
    <w:p w:rsidR="00C90FD4" w:rsidRPr="00A52B7E" w:rsidRDefault="00C90FD4" w:rsidP="002A7BD3">
      <w:pPr>
        <w:pStyle w:val="Sinespaciado"/>
      </w:pPr>
    </w:p>
    <w:p w:rsidR="00CE359F" w:rsidRPr="002C0EBB" w:rsidRDefault="00CE359F" w:rsidP="00CE359F">
      <w:pPr>
        <w:spacing w:line="360" w:lineRule="auto"/>
        <w:ind w:firstLine="851"/>
        <w:jc w:val="both"/>
        <w:rPr>
          <w:rFonts w:ascii="Arial Narrow" w:hAnsi="Arial Narrow" w:cs="Tahoma"/>
          <w:i/>
          <w:sz w:val="28"/>
          <w:szCs w:val="28"/>
        </w:rPr>
      </w:pPr>
      <w:r w:rsidRPr="002C0EBB">
        <w:rPr>
          <w:rFonts w:ascii="Arial Narrow" w:hAnsi="Arial Narrow" w:cs="Tahoma"/>
          <w:i/>
          <w:sz w:val="28"/>
          <w:szCs w:val="28"/>
        </w:rPr>
        <w:t>III. CONSIDERACIONES</w:t>
      </w:r>
    </w:p>
    <w:p w:rsidR="00CE359F" w:rsidRPr="002C0EBB" w:rsidRDefault="00CE359F" w:rsidP="002C0EBB">
      <w:pPr>
        <w:pStyle w:val="Sinespaciado"/>
      </w:pPr>
    </w:p>
    <w:p w:rsidR="00CE359F" w:rsidRPr="002C0EBB" w:rsidRDefault="00CE359F" w:rsidP="00CE359F">
      <w:pPr>
        <w:pStyle w:val="Textoindependiente"/>
        <w:ind w:firstLine="900"/>
        <w:rPr>
          <w:rFonts w:ascii="Arial Narrow" w:hAnsi="Arial Narrow" w:cs="Tahoma"/>
          <w:i/>
          <w:sz w:val="28"/>
          <w:szCs w:val="28"/>
        </w:rPr>
      </w:pPr>
      <w:r w:rsidRPr="002C0EBB">
        <w:rPr>
          <w:rFonts w:ascii="Arial Narrow" w:hAnsi="Arial Narrow" w:cs="Tahoma"/>
          <w:bCs/>
          <w:i/>
          <w:sz w:val="28"/>
          <w:szCs w:val="28"/>
        </w:rPr>
        <w:t>1. Del problema jurídico:</w:t>
      </w:r>
    </w:p>
    <w:p w:rsidR="00CE359F" w:rsidRPr="00A52B7E" w:rsidRDefault="00CE359F" w:rsidP="002C0EBB">
      <w:pPr>
        <w:pStyle w:val="Sinespaciado"/>
      </w:pPr>
    </w:p>
    <w:p w:rsidR="00CE359F" w:rsidRPr="00A52B7E" w:rsidRDefault="00CE359F" w:rsidP="002C0EBB">
      <w:pPr>
        <w:ind w:firstLine="900"/>
        <w:jc w:val="both"/>
        <w:rPr>
          <w:rFonts w:ascii="Arial Narrow" w:hAnsi="Arial Narrow" w:cs="Tahoma"/>
          <w:i/>
          <w:sz w:val="28"/>
          <w:szCs w:val="28"/>
        </w:rPr>
      </w:pPr>
      <w:r w:rsidRPr="00A52B7E">
        <w:rPr>
          <w:rFonts w:ascii="Arial Narrow" w:hAnsi="Arial Narrow" w:cs="Tahoma"/>
          <w:i/>
          <w:sz w:val="28"/>
          <w:szCs w:val="28"/>
        </w:rPr>
        <w:lastRenderedPageBreak/>
        <w:t>¿Se cumplen las condiciones para que</w:t>
      </w:r>
      <w:r w:rsidR="00B87291">
        <w:rPr>
          <w:rFonts w:ascii="Arial Narrow" w:hAnsi="Arial Narrow" w:cs="Tahoma"/>
          <w:i/>
          <w:sz w:val="28"/>
          <w:szCs w:val="28"/>
        </w:rPr>
        <w:t xml:space="preserve"> la</w:t>
      </w:r>
      <w:r w:rsidRPr="00A52B7E">
        <w:rPr>
          <w:rFonts w:ascii="Arial Narrow" w:hAnsi="Arial Narrow" w:cs="Tahoma"/>
          <w:i/>
          <w:sz w:val="28"/>
          <w:szCs w:val="28"/>
        </w:rPr>
        <w:t xml:space="preserve"> demandante sea beneficiari</w:t>
      </w:r>
      <w:r w:rsidR="00B87291">
        <w:rPr>
          <w:rFonts w:ascii="Arial Narrow" w:hAnsi="Arial Narrow" w:cs="Tahoma"/>
          <w:i/>
          <w:sz w:val="28"/>
          <w:szCs w:val="28"/>
        </w:rPr>
        <w:t>a</w:t>
      </w:r>
      <w:r w:rsidRPr="00A52B7E">
        <w:rPr>
          <w:rFonts w:ascii="Arial Narrow" w:hAnsi="Arial Narrow" w:cs="Tahoma"/>
          <w:i/>
          <w:sz w:val="28"/>
          <w:szCs w:val="28"/>
        </w:rPr>
        <w:t xml:space="preserve"> de la pensión de vejez en aplicación de las normas transicionales y a cargo de </w:t>
      </w:r>
      <w:proofErr w:type="spellStart"/>
      <w:r w:rsidRPr="00A52B7E">
        <w:rPr>
          <w:rFonts w:ascii="Arial Narrow" w:hAnsi="Arial Narrow" w:cs="Tahoma"/>
          <w:i/>
          <w:sz w:val="28"/>
          <w:szCs w:val="28"/>
        </w:rPr>
        <w:t>Colpensiones</w:t>
      </w:r>
      <w:proofErr w:type="spellEnd"/>
      <w:r w:rsidRPr="00A52B7E">
        <w:rPr>
          <w:rFonts w:ascii="Arial Narrow" w:hAnsi="Arial Narrow" w:cs="Tahoma"/>
          <w:i/>
          <w:sz w:val="28"/>
          <w:szCs w:val="28"/>
        </w:rPr>
        <w:t>?</w:t>
      </w:r>
    </w:p>
    <w:p w:rsidR="005661AB" w:rsidRPr="0084035E" w:rsidRDefault="00CE359F" w:rsidP="0084035E">
      <w:pPr>
        <w:tabs>
          <w:tab w:val="left" w:pos="6435"/>
        </w:tabs>
        <w:spacing w:line="360" w:lineRule="auto"/>
        <w:ind w:firstLine="851"/>
        <w:jc w:val="both"/>
        <w:rPr>
          <w:rFonts w:ascii="Arial Narrow" w:hAnsi="Arial Narrow" w:cs="Tahoma"/>
          <w:b/>
          <w:i/>
          <w:sz w:val="28"/>
          <w:szCs w:val="28"/>
        </w:rPr>
      </w:pPr>
      <w:r w:rsidRPr="002C0EBB">
        <w:rPr>
          <w:rFonts w:ascii="Arial Narrow" w:hAnsi="Arial Narrow" w:cs="Tahoma"/>
          <w:i/>
          <w:sz w:val="28"/>
          <w:szCs w:val="28"/>
        </w:rPr>
        <w:t>2. Desenvolvimiento de la problemática planteada</w:t>
      </w:r>
      <w:r w:rsidRPr="00A52B7E">
        <w:rPr>
          <w:rFonts w:ascii="Arial Narrow" w:hAnsi="Arial Narrow" w:cs="Tahoma"/>
          <w:b/>
          <w:i/>
          <w:sz w:val="28"/>
          <w:szCs w:val="28"/>
        </w:rPr>
        <w:t>.</w:t>
      </w:r>
    </w:p>
    <w:p w:rsidR="00B87291" w:rsidRDefault="00B87291" w:rsidP="00B87291">
      <w:pPr>
        <w:pStyle w:val="Sinespaciado"/>
      </w:pPr>
    </w:p>
    <w:p w:rsidR="00E91739" w:rsidRPr="00761F68" w:rsidRDefault="00E91739" w:rsidP="00E91739">
      <w:pPr>
        <w:tabs>
          <w:tab w:val="left" w:pos="709"/>
        </w:tabs>
        <w:spacing w:line="360" w:lineRule="auto"/>
        <w:jc w:val="both"/>
        <w:rPr>
          <w:rFonts w:ascii="Arial Narrow" w:hAnsi="Arial Narrow" w:cs="Tahoma"/>
          <w:sz w:val="28"/>
          <w:szCs w:val="28"/>
        </w:rPr>
      </w:pPr>
      <w:r>
        <w:rPr>
          <w:rFonts w:ascii="Arial Narrow" w:hAnsi="Arial Narrow" w:cs="Tahoma"/>
          <w:i/>
          <w:sz w:val="28"/>
          <w:szCs w:val="28"/>
        </w:rPr>
        <w:tab/>
      </w:r>
      <w:r w:rsidR="00B87291" w:rsidRPr="00761F68">
        <w:rPr>
          <w:rFonts w:ascii="Arial Narrow" w:hAnsi="Arial Narrow" w:cs="Tahoma"/>
          <w:sz w:val="28"/>
          <w:szCs w:val="28"/>
        </w:rPr>
        <w:t xml:space="preserve">En el proceso, se tiene noticia del traslado de la actora al Régimen de Ahorro Individual con Solidaridad y </w:t>
      </w:r>
      <w:r w:rsidR="00BC0575" w:rsidRPr="00761F68">
        <w:rPr>
          <w:rFonts w:ascii="Arial Narrow" w:hAnsi="Arial Narrow" w:cs="Tahoma"/>
          <w:sz w:val="28"/>
          <w:szCs w:val="28"/>
        </w:rPr>
        <w:t xml:space="preserve">de </w:t>
      </w:r>
      <w:r w:rsidR="00B87291" w:rsidRPr="00761F68">
        <w:rPr>
          <w:rFonts w:ascii="Arial Narrow" w:hAnsi="Arial Narrow" w:cs="Tahoma"/>
          <w:sz w:val="28"/>
          <w:szCs w:val="28"/>
        </w:rPr>
        <w:t xml:space="preserve">su posterior retorno al de Prima Media con Prestación Definida, </w:t>
      </w:r>
      <w:r w:rsidR="00114EAB" w:rsidRPr="00761F68">
        <w:rPr>
          <w:rFonts w:ascii="Arial Narrow" w:hAnsi="Arial Narrow" w:cs="Tahoma"/>
          <w:sz w:val="28"/>
          <w:szCs w:val="28"/>
        </w:rPr>
        <w:t xml:space="preserve">según </w:t>
      </w:r>
      <w:r w:rsidR="009F0CC7" w:rsidRPr="00761F68">
        <w:rPr>
          <w:rFonts w:ascii="Arial Narrow" w:hAnsi="Arial Narrow" w:cs="Tahoma"/>
          <w:sz w:val="28"/>
          <w:szCs w:val="28"/>
        </w:rPr>
        <w:t xml:space="preserve">folios 106 y </w:t>
      </w:r>
      <w:r w:rsidR="00C26C9D" w:rsidRPr="00761F68">
        <w:rPr>
          <w:rFonts w:ascii="Arial Narrow" w:hAnsi="Arial Narrow" w:cs="Tahoma"/>
          <w:sz w:val="28"/>
          <w:szCs w:val="28"/>
        </w:rPr>
        <w:t xml:space="preserve">31, respectivamente. </w:t>
      </w:r>
      <w:r w:rsidRPr="00761F68">
        <w:rPr>
          <w:rFonts w:ascii="Arial Narrow" w:hAnsi="Arial Narrow" w:cs="Tahoma"/>
          <w:sz w:val="28"/>
          <w:szCs w:val="28"/>
        </w:rPr>
        <w:t>De otra parte, es un hecho indiscutido que la demandante antes de trasladarse al RAIS era beneficiaria del régimen de transición que establece el artículo 36 de la Ley 100 de 1993, pues al 1° de abril de 1994 tenía 37 años de edad, en virtud a que su natalicio ocurrió el 12 de octubre de 1956 –ver fl.19-</w:t>
      </w:r>
    </w:p>
    <w:p w:rsidR="00C26C9D" w:rsidRPr="00761F68" w:rsidRDefault="00C26C9D" w:rsidP="00C26C9D">
      <w:pPr>
        <w:pStyle w:val="Sinespaciado"/>
      </w:pPr>
    </w:p>
    <w:p w:rsidR="00114EAB" w:rsidRPr="00761F68" w:rsidRDefault="00114EAB" w:rsidP="0084035E">
      <w:pPr>
        <w:tabs>
          <w:tab w:val="left" w:pos="851"/>
        </w:tabs>
        <w:spacing w:line="360" w:lineRule="auto"/>
        <w:jc w:val="both"/>
        <w:rPr>
          <w:rFonts w:ascii="Arial Narrow" w:hAnsi="Arial Narrow" w:cs="Tahoma"/>
          <w:sz w:val="28"/>
          <w:szCs w:val="28"/>
        </w:rPr>
      </w:pPr>
      <w:r w:rsidRPr="00761F68">
        <w:rPr>
          <w:rFonts w:ascii="Arial Narrow" w:hAnsi="Arial Narrow" w:cs="Tahoma"/>
          <w:sz w:val="28"/>
          <w:szCs w:val="28"/>
        </w:rPr>
        <w:tab/>
      </w:r>
      <w:r w:rsidR="00D2769C" w:rsidRPr="00761F68">
        <w:rPr>
          <w:rFonts w:ascii="Arial Narrow" w:hAnsi="Arial Narrow" w:cs="Tahoma"/>
          <w:sz w:val="28"/>
          <w:szCs w:val="28"/>
        </w:rPr>
        <w:t xml:space="preserve">En ese orden, </w:t>
      </w:r>
      <w:r w:rsidR="004145B9" w:rsidRPr="00761F68">
        <w:rPr>
          <w:rFonts w:ascii="Arial Narrow" w:hAnsi="Arial Narrow" w:cs="Tahoma"/>
          <w:sz w:val="28"/>
          <w:szCs w:val="28"/>
        </w:rPr>
        <w:t>d</w:t>
      </w:r>
      <w:r w:rsidRPr="00761F68">
        <w:rPr>
          <w:rFonts w:ascii="Arial Narrow" w:hAnsi="Arial Narrow" w:cs="Tahoma"/>
          <w:sz w:val="28"/>
          <w:szCs w:val="28"/>
        </w:rPr>
        <w:t xml:space="preserve">ebe la Sala determinar </w:t>
      </w:r>
      <w:r w:rsidR="004145B9" w:rsidRPr="00761F68">
        <w:rPr>
          <w:rFonts w:ascii="Arial Narrow" w:hAnsi="Arial Narrow" w:cs="Tahoma"/>
          <w:sz w:val="28"/>
          <w:szCs w:val="28"/>
        </w:rPr>
        <w:t>si</w:t>
      </w:r>
      <w:r w:rsidRPr="00761F68">
        <w:rPr>
          <w:rFonts w:ascii="Arial Narrow" w:hAnsi="Arial Narrow" w:cs="Tahoma"/>
          <w:sz w:val="28"/>
          <w:szCs w:val="28"/>
        </w:rPr>
        <w:t xml:space="preserve"> la actora </w:t>
      </w:r>
      <w:r w:rsidR="00CB37D1" w:rsidRPr="00761F68">
        <w:rPr>
          <w:rFonts w:ascii="Arial Narrow" w:hAnsi="Arial Narrow" w:cs="Tahoma"/>
          <w:sz w:val="28"/>
          <w:szCs w:val="28"/>
        </w:rPr>
        <w:t>recuperó</w:t>
      </w:r>
      <w:r w:rsidRPr="00761F68">
        <w:rPr>
          <w:rFonts w:ascii="Arial Narrow" w:hAnsi="Arial Narrow" w:cs="Tahoma"/>
          <w:sz w:val="28"/>
          <w:szCs w:val="28"/>
        </w:rPr>
        <w:t xml:space="preserve"> los beneficios del régimen de transición al </w:t>
      </w:r>
      <w:r w:rsidR="00D2769C" w:rsidRPr="00761F68">
        <w:rPr>
          <w:rFonts w:ascii="Arial Narrow" w:hAnsi="Arial Narrow" w:cs="Tahoma"/>
          <w:sz w:val="28"/>
          <w:szCs w:val="28"/>
        </w:rPr>
        <w:t>regresar</w:t>
      </w:r>
      <w:r w:rsidR="00CB37D1" w:rsidRPr="00761F68">
        <w:rPr>
          <w:rFonts w:ascii="Arial Narrow" w:hAnsi="Arial Narrow" w:cs="Tahoma"/>
          <w:sz w:val="28"/>
          <w:szCs w:val="28"/>
        </w:rPr>
        <w:t xml:space="preserve"> </w:t>
      </w:r>
      <w:r w:rsidR="00D2769C" w:rsidRPr="00761F68">
        <w:rPr>
          <w:rFonts w:ascii="Arial Narrow" w:hAnsi="Arial Narrow" w:cs="Tahoma"/>
          <w:sz w:val="28"/>
          <w:szCs w:val="28"/>
        </w:rPr>
        <w:t xml:space="preserve">del Régimen de Ahorro Individual </w:t>
      </w:r>
      <w:r w:rsidR="00CB37D1" w:rsidRPr="00761F68">
        <w:rPr>
          <w:rFonts w:ascii="Arial Narrow" w:hAnsi="Arial Narrow" w:cs="Tahoma"/>
          <w:sz w:val="28"/>
          <w:szCs w:val="28"/>
        </w:rPr>
        <w:t>al de Prima Media con prestación definida</w:t>
      </w:r>
      <w:r w:rsidR="004145B9" w:rsidRPr="00761F68">
        <w:rPr>
          <w:rFonts w:ascii="Arial Narrow" w:hAnsi="Arial Narrow" w:cs="Tahoma"/>
          <w:sz w:val="28"/>
          <w:szCs w:val="28"/>
        </w:rPr>
        <w:t xml:space="preserve">. </w:t>
      </w:r>
    </w:p>
    <w:p w:rsidR="005661AB" w:rsidRPr="00761F68" w:rsidRDefault="005661AB" w:rsidP="00CB37D1">
      <w:pPr>
        <w:pStyle w:val="Sinespaciado"/>
      </w:pPr>
    </w:p>
    <w:p w:rsidR="00C26C9D" w:rsidRPr="00761F68" w:rsidRDefault="00D2769C" w:rsidP="00C26C9D">
      <w:pPr>
        <w:pStyle w:val="Sinespaciado"/>
        <w:spacing w:line="360" w:lineRule="auto"/>
        <w:ind w:firstLine="708"/>
        <w:jc w:val="both"/>
        <w:rPr>
          <w:rFonts w:ascii="Arial Narrow" w:hAnsi="Arial Narrow" w:cs="Arial"/>
          <w:sz w:val="28"/>
          <w:szCs w:val="28"/>
        </w:rPr>
      </w:pPr>
      <w:r w:rsidRPr="00761F68">
        <w:rPr>
          <w:rFonts w:ascii="Arial Narrow" w:hAnsi="Arial Narrow" w:cs="Tahoma"/>
          <w:sz w:val="28"/>
          <w:szCs w:val="28"/>
        </w:rPr>
        <w:t xml:space="preserve">Para </w:t>
      </w:r>
      <w:r w:rsidR="00AE620E" w:rsidRPr="00761F68">
        <w:rPr>
          <w:rFonts w:ascii="Arial Narrow" w:hAnsi="Arial Narrow" w:cs="Tahoma"/>
          <w:sz w:val="28"/>
          <w:szCs w:val="28"/>
        </w:rPr>
        <w:t>resolver</w:t>
      </w:r>
      <w:r w:rsidRPr="00761F68">
        <w:rPr>
          <w:rFonts w:ascii="Arial Narrow" w:hAnsi="Arial Narrow" w:cs="Tahoma"/>
          <w:sz w:val="28"/>
          <w:szCs w:val="28"/>
        </w:rPr>
        <w:t xml:space="preserve">, </w:t>
      </w:r>
      <w:r w:rsidR="00C26C9D" w:rsidRPr="00761F68">
        <w:rPr>
          <w:rFonts w:ascii="Arial Narrow" w:hAnsi="Arial Narrow"/>
          <w:sz w:val="28"/>
          <w:szCs w:val="28"/>
        </w:rPr>
        <w:t>es preciso</w:t>
      </w:r>
      <w:r w:rsidR="00C26C9D" w:rsidRPr="00761F68">
        <w:rPr>
          <w:rFonts w:ascii="Arial Narrow" w:hAnsi="Arial Narrow"/>
          <w:b/>
          <w:sz w:val="28"/>
          <w:szCs w:val="28"/>
        </w:rPr>
        <w:t xml:space="preserve"> </w:t>
      </w:r>
      <w:r w:rsidR="00C26C9D" w:rsidRPr="00761F68">
        <w:rPr>
          <w:rFonts w:ascii="Arial Narrow" w:hAnsi="Arial Narrow" w:cs="Arial"/>
          <w:sz w:val="28"/>
          <w:szCs w:val="28"/>
        </w:rPr>
        <w:t>advertir respecto al traslado de regímenes pensionales que, la Corte Constitucional a través de la sentencia SU 130 de 2013, unificó la jurisprudencia, y además de ratificar las posiciones que había establecido en sentencias C-789 y 1020 del 2002 y 2004, respectivamente, clarificó lo concerniente a las personas que pueden retornar al régimen de prima media con prestación definida, conservando los beneficios de la transición. Para ello, estableció como requisito</w:t>
      </w:r>
      <w:r w:rsidR="00A30B14" w:rsidRPr="00761F68">
        <w:rPr>
          <w:rFonts w:ascii="Arial Narrow" w:hAnsi="Arial Narrow" w:cs="Arial"/>
          <w:sz w:val="28"/>
          <w:szCs w:val="28"/>
        </w:rPr>
        <w:t>s</w:t>
      </w:r>
      <w:r w:rsidR="00C26C9D" w:rsidRPr="00761F68">
        <w:rPr>
          <w:rFonts w:ascii="Arial Narrow" w:hAnsi="Arial Narrow" w:cs="Arial"/>
          <w:sz w:val="28"/>
          <w:szCs w:val="28"/>
        </w:rPr>
        <w:t xml:space="preserve">: </w:t>
      </w:r>
    </w:p>
    <w:p w:rsidR="00C26C9D" w:rsidRPr="00B60270" w:rsidRDefault="00C26C9D" w:rsidP="00C26C9D">
      <w:pPr>
        <w:pStyle w:val="Sinespaciado"/>
      </w:pPr>
      <w:r w:rsidRPr="00F80663">
        <w:rPr>
          <w:lang w:eastAsia="es-CO"/>
        </w:rPr>
        <w:t> </w:t>
      </w:r>
    </w:p>
    <w:p w:rsidR="00C26C9D" w:rsidRPr="00A30B14" w:rsidRDefault="00C26C9D" w:rsidP="006B380E">
      <w:pPr>
        <w:pStyle w:val="Prrafodelista"/>
        <w:numPr>
          <w:ilvl w:val="0"/>
          <w:numId w:val="2"/>
        </w:numPr>
        <w:ind w:right="338"/>
        <w:jc w:val="both"/>
        <w:rPr>
          <w:rFonts w:ascii="Arial Narrow" w:hAnsi="Arial Narrow"/>
          <w:sz w:val="28"/>
          <w:szCs w:val="28"/>
          <w:lang w:eastAsia="es-CO"/>
        </w:rPr>
      </w:pPr>
      <w:r w:rsidRPr="00A30B14">
        <w:rPr>
          <w:rFonts w:ascii="Arial Narrow" w:hAnsi="Arial Narrow" w:cs="Arial"/>
          <w:sz w:val="28"/>
          <w:szCs w:val="28"/>
          <w:lang w:eastAsia="es-CO"/>
        </w:rPr>
        <w:t xml:space="preserve">Tener 15 años o más de servicios cotizados a la entrada en vigencia del Sistema de Seguridad Social en pensiones </w:t>
      </w:r>
      <w:r w:rsidRPr="00A30B14">
        <w:rPr>
          <w:rFonts w:ascii="Arial Narrow" w:hAnsi="Arial Narrow"/>
          <w:iCs/>
          <w:sz w:val="28"/>
          <w:szCs w:val="28"/>
        </w:rPr>
        <w:t>co</w:t>
      </w:r>
      <w:r w:rsidR="00A30B14">
        <w:rPr>
          <w:rFonts w:ascii="Arial Narrow" w:hAnsi="Arial Narrow"/>
          <w:iCs/>
          <w:sz w:val="28"/>
          <w:szCs w:val="28"/>
        </w:rPr>
        <w:t>nsagrado en la Ley 100 de 1993.</w:t>
      </w:r>
    </w:p>
    <w:p w:rsidR="00A30B14" w:rsidRPr="00A30B14" w:rsidRDefault="00A30B14" w:rsidP="00A30B14">
      <w:pPr>
        <w:pStyle w:val="Prrafodelista"/>
        <w:ind w:left="1334" w:right="338"/>
        <w:jc w:val="both"/>
        <w:rPr>
          <w:rFonts w:ascii="Arial Narrow" w:hAnsi="Arial Narrow"/>
          <w:sz w:val="28"/>
          <w:szCs w:val="28"/>
          <w:lang w:eastAsia="es-CO"/>
        </w:rPr>
      </w:pPr>
    </w:p>
    <w:p w:rsidR="00C26C9D" w:rsidRPr="00A30B14" w:rsidRDefault="00C26C9D" w:rsidP="00C26C9D">
      <w:pPr>
        <w:numPr>
          <w:ilvl w:val="0"/>
          <w:numId w:val="2"/>
        </w:numPr>
        <w:tabs>
          <w:tab w:val="clear" w:pos="1334"/>
          <w:tab w:val="num" w:pos="284"/>
        </w:tabs>
        <w:ind w:right="51"/>
        <w:jc w:val="both"/>
        <w:rPr>
          <w:rFonts w:ascii="Arial Narrow" w:hAnsi="Arial Narrow" w:cs="Arial"/>
          <w:sz w:val="28"/>
          <w:szCs w:val="28"/>
          <w:lang w:eastAsia="es-CO"/>
        </w:rPr>
      </w:pPr>
      <w:r w:rsidRPr="00A30B14">
        <w:rPr>
          <w:rFonts w:ascii="Arial Narrow" w:hAnsi="Arial Narrow" w:cs="Arial"/>
          <w:sz w:val="28"/>
          <w:szCs w:val="28"/>
          <w:lang w:eastAsia="es-CO"/>
        </w:rPr>
        <w:t>Trasladar al régimen de prima media todo el ahorro que hayan efectuado en el régimen de ahorro individual</w:t>
      </w:r>
    </w:p>
    <w:p w:rsidR="00C26C9D" w:rsidRPr="00A30B14" w:rsidRDefault="00C26C9D" w:rsidP="00C26C9D">
      <w:pPr>
        <w:ind w:left="1334" w:right="51"/>
        <w:jc w:val="both"/>
        <w:rPr>
          <w:rFonts w:ascii="Arial Narrow" w:hAnsi="Arial Narrow" w:cs="Arial"/>
          <w:sz w:val="28"/>
          <w:szCs w:val="28"/>
          <w:lang w:eastAsia="es-CO"/>
        </w:rPr>
      </w:pPr>
    </w:p>
    <w:p w:rsidR="00C26C9D" w:rsidRPr="00A30B14" w:rsidRDefault="00C26C9D" w:rsidP="00C26C9D">
      <w:pPr>
        <w:pStyle w:val="Prrafodelista"/>
        <w:numPr>
          <w:ilvl w:val="0"/>
          <w:numId w:val="2"/>
        </w:numPr>
        <w:ind w:right="284"/>
        <w:jc w:val="both"/>
        <w:rPr>
          <w:rFonts w:ascii="Arial Narrow" w:hAnsi="Arial Narrow" w:cs="Arial"/>
          <w:sz w:val="28"/>
          <w:szCs w:val="28"/>
          <w:lang w:eastAsia="es-CO"/>
        </w:rPr>
      </w:pPr>
      <w:r w:rsidRPr="00A30B14">
        <w:rPr>
          <w:rFonts w:ascii="Arial Narrow" w:hAnsi="Arial Narrow" w:cs="Arial"/>
          <w:sz w:val="28"/>
          <w:szCs w:val="28"/>
          <w:lang w:eastAsia="es-CO"/>
        </w:rPr>
        <w:t>Que el ahorro hecho en el régimen de ahorro individual no sea inferior al monto total del aporte legal correspondiente en caso que hubieren permanecido en el régimen de prima media.”</w:t>
      </w:r>
    </w:p>
    <w:p w:rsidR="00CB37D1" w:rsidRDefault="00CB37D1" w:rsidP="00B87291">
      <w:pPr>
        <w:tabs>
          <w:tab w:val="left" w:pos="6435"/>
        </w:tabs>
        <w:spacing w:line="360" w:lineRule="auto"/>
        <w:ind w:firstLine="851"/>
        <w:jc w:val="both"/>
        <w:rPr>
          <w:rFonts w:ascii="Arial Narrow" w:hAnsi="Arial Narrow" w:cs="Tahoma"/>
          <w:i/>
          <w:sz w:val="28"/>
          <w:szCs w:val="28"/>
        </w:rPr>
      </w:pPr>
    </w:p>
    <w:p w:rsidR="00A30B14" w:rsidRPr="00761F68" w:rsidRDefault="00A30B14" w:rsidP="00B87291">
      <w:pPr>
        <w:tabs>
          <w:tab w:val="left" w:pos="6435"/>
        </w:tabs>
        <w:spacing w:line="360" w:lineRule="auto"/>
        <w:ind w:firstLine="851"/>
        <w:jc w:val="both"/>
        <w:rPr>
          <w:rFonts w:ascii="Arial Narrow" w:hAnsi="Arial Narrow" w:cs="Tahoma"/>
          <w:sz w:val="28"/>
          <w:szCs w:val="28"/>
        </w:rPr>
      </w:pPr>
      <w:r w:rsidRPr="00761F68">
        <w:rPr>
          <w:rFonts w:ascii="Arial Narrow" w:hAnsi="Arial Narrow" w:cs="Tahoma"/>
          <w:sz w:val="28"/>
          <w:szCs w:val="28"/>
        </w:rPr>
        <w:t xml:space="preserve">En esas condiciones, </w:t>
      </w:r>
      <w:r w:rsidR="00AE620E" w:rsidRPr="00761F68">
        <w:rPr>
          <w:rFonts w:ascii="Arial Narrow" w:hAnsi="Arial Narrow" w:cs="Tahoma"/>
          <w:sz w:val="28"/>
          <w:szCs w:val="28"/>
        </w:rPr>
        <w:t xml:space="preserve">se tiene que </w:t>
      </w:r>
      <w:r w:rsidRPr="00761F68">
        <w:rPr>
          <w:rFonts w:ascii="Arial Narrow" w:hAnsi="Arial Narrow" w:cs="Tahoma"/>
          <w:sz w:val="28"/>
          <w:szCs w:val="28"/>
        </w:rPr>
        <w:t xml:space="preserve">para el contingente de personas beneficiarias de transición en consideración únicamente </w:t>
      </w:r>
      <w:r w:rsidR="00CB5FEC" w:rsidRPr="00761F68">
        <w:rPr>
          <w:rFonts w:ascii="Arial Narrow" w:hAnsi="Arial Narrow" w:cs="Tahoma"/>
          <w:sz w:val="28"/>
          <w:szCs w:val="28"/>
        </w:rPr>
        <w:t xml:space="preserve">al cumplimiento del requisito de </w:t>
      </w:r>
      <w:r w:rsidR="00FC5903" w:rsidRPr="00761F68">
        <w:rPr>
          <w:rFonts w:ascii="Arial Narrow" w:hAnsi="Arial Narrow" w:cs="Tahoma"/>
          <w:sz w:val="28"/>
          <w:szCs w:val="28"/>
        </w:rPr>
        <w:t>la edad al 1°</w:t>
      </w:r>
      <w:r w:rsidRPr="00761F68">
        <w:rPr>
          <w:rFonts w:ascii="Arial Narrow" w:hAnsi="Arial Narrow" w:cs="Tahoma"/>
          <w:sz w:val="28"/>
          <w:szCs w:val="28"/>
        </w:rPr>
        <w:t xml:space="preserve"> de abril de 1994, </w:t>
      </w:r>
      <w:r w:rsidR="00FC5903" w:rsidRPr="00761F68">
        <w:rPr>
          <w:rFonts w:ascii="Arial Narrow" w:hAnsi="Arial Narrow" w:cs="Tahoma"/>
          <w:sz w:val="28"/>
          <w:szCs w:val="28"/>
        </w:rPr>
        <w:t xml:space="preserve">que </w:t>
      </w:r>
      <w:r w:rsidR="00CB5FEC" w:rsidRPr="00761F68">
        <w:rPr>
          <w:rFonts w:ascii="Arial Narrow" w:hAnsi="Arial Narrow" w:cs="Tahoma"/>
          <w:sz w:val="28"/>
          <w:szCs w:val="28"/>
        </w:rPr>
        <w:t xml:space="preserve">se acogieron válidamente al régimen de ahorro </w:t>
      </w:r>
      <w:r w:rsidR="00CB5FEC" w:rsidRPr="00761F68">
        <w:rPr>
          <w:rFonts w:ascii="Arial Narrow" w:hAnsi="Arial Narrow" w:cs="Tahoma"/>
          <w:sz w:val="28"/>
          <w:szCs w:val="28"/>
        </w:rPr>
        <w:lastRenderedPageBreak/>
        <w:t xml:space="preserve">individual o se trasladaron de él, </w:t>
      </w:r>
      <w:r w:rsidR="00AE620E" w:rsidRPr="00761F68">
        <w:rPr>
          <w:rFonts w:ascii="Arial Narrow" w:hAnsi="Arial Narrow" w:cs="Tahoma"/>
          <w:sz w:val="28"/>
          <w:szCs w:val="28"/>
        </w:rPr>
        <w:t xml:space="preserve">es una consecuencia </w:t>
      </w:r>
      <w:r w:rsidR="00CB5FEC" w:rsidRPr="00761F68">
        <w:rPr>
          <w:rFonts w:ascii="Arial Narrow" w:hAnsi="Arial Narrow" w:cs="Tahoma"/>
          <w:sz w:val="28"/>
          <w:szCs w:val="28"/>
        </w:rPr>
        <w:t xml:space="preserve">ineludible la perdida de los beneficios del régimen de transición, no así para quienes </w:t>
      </w:r>
      <w:r w:rsidR="00AE620E" w:rsidRPr="00761F68">
        <w:rPr>
          <w:rFonts w:ascii="Arial Narrow" w:hAnsi="Arial Narrow" w:cs="Tahoma"/>
          <w:sz w:val="28"/>
          <w:szCs w:val="28"/>
        </w:rPr>
        <w:t xml:space="preserve">al 1° de abril de </w:t>
      </w:r>
      <w:r w:rsidR="00CB5FEC" w:rsidRPr="00761F68">
        <w:rPr>
          <w:rFonts w:ascii="Arial Narrow" w:hAnsi="Arial Narrow" w:cs="Tahoma"/>
          <w:sz w:val="28"/>
          <w:szCs w:val="28"/>
        </w:rPr>
        <w:t xml:space="preserve">1994 </w:t>
      </w:r>
      <w:r w:rsidR="00AE620E" w:rsidRPr="00761F68">
        <w:rPr>
          <w:rFonts w:ascii="Arial Narrow" w:hAnsi="Arial Narrow" w:cs="Tahoma"/>
          <w:sz w:val="28"/>
          <w:szCs w:val="28"/>
        </w:rPr>
        <w:t>tenían 15 años o m</w:t>
      </w:r>
      <w:r w:rsidR="00501550" w:rsidRPr="00761F68">
        <w:rPr>
          <w:rFonts w:ascii="Arial Narrow" w:hAnsi="Arial Narrow" w:cs="Tahoma"/>
          <w:sz w:val="28"/>
          <w:szCs w:val="28"/>
        </w:rPr>
        <w:t xml:space="preserve">ás de servicios, </w:t>
      </w:r>
      <w:r w:rsidR="00CB02E2" w:rsidRPr="00761F68">
        <w:rPr>
          <w:rFonts w:ascii="Arial Narrow" w:hAnsi="Arial Narrow" w:cs="Tahoma"/>
          <w:sz w:val="28"/>
          <w:szCs w:val="28"/>
        </w:rPr>
        <w:t>p</w:t>
      </w:r>
      <w:r w:rsidR="000A5687" w:rsidRPr="00761F68">
        <w:rPr>
          <w:rFonts w:ascii="Arial Narrow" w:hAnsi="Arial Narrow" w:cs="Tahoma"/>
          <w:sz w:val="28"/>
          <w:szCs w:val="28"/>
        </w:rPr>
        <w:t xml:space="preserve">ues se entiende que </w:t>
      </w:r>
      <w:r w:rsidR="00CB02E2" w:rsidRPr="00761F68">
        <w:rPr>
          <w:rFonts w:ascii="Arial Narrow" w:hAnsi="Arial Narrow" w:cs="Tahoma"/>
          <w:sz w:val="28"/>
          <w:szCs w:val="28"/>
        </w:rPr>
        <w:t xml:space="preserve">estas </w:t>
      </w:r>
      <w:r w:rsidR="00501550" w:rsidRPr="00761F68">
        <w:rPr>
          <w:rFonts w:ascii="Arial Narrow" w:hAnsi="Arial Narrow" w:cs="Tahoma"/>
          <w:sz w:val="28"/>
          <w:szCs w:val="28"/>
        </w:rPr>
        <w:t>personas ha</w:t>
      </w:r>
      <w:r w:rsidR="000A5687" w:rsidRPr="00761F68">
        <w:rPr>
          <w:rFonts w:ascii="Arial Narrow" w:hAnsi="Arial Narrow" w:cs="Tahoma"/>
          <w:sz w:val="28"/>
          <w:szCs w:val="28"/>
        </w:rPr>
        <w:t xml:space="preserve">bían </w:t>
      </w:r>
      <w:r w:rsidR="00501550" w:rsidRPr="00761F68">
        <w:rPr>
          <w:rFonts w:ascii="Arial Narrow" w:hAnsi="Arial Narrow" w:cs="Tahoma"/>
          <w:sz w:val="28"/>
          <w:szCs w:val="28"/>
        </w:rPr>
        <w:t xml:space="preserve">cumplido con </w:t>
      </w:r>
      <w:r w:rsidR="00CB02E2" w:rsidRPr="00761F68">
        <w:rPr>
          <w:rFonts w:ascii="Arial Narrow" w:hAnsi="Arial Narrow" w:cs="Tahoma"/>
          <w:sz w:val="28"/>
          <w:szCs w:val="28"/>
        </w:rPr>
        <w:t xml:space="preserve">el 75 % o más </w:t>
      </w:r>
      <w:r w:rsidR="000A5687" w:rsidRPr="00761F68">
        <w:rPr>
          <w:rFonts w:ascii="Arial Narrow" w:hAnsi="Arial Narrow" w:cs="Tahoma"/>
          <w:sz w:val="28"/>
          <w:szCs w:val="28"/>
        </w:rPr>
        <w:t xml:space="preserve">del tiempo de </w:t>
      </w:r>
      <w:r w:rsidR="00CB02E2" w:rsidRPr="00761F68">
        <w:rPr>
          <w:rFonts w:ascii="Arial Narrow" w:hAnsi="Arial Narrow" w:cs="Tahoma"/>
          <w:sz w:val="28"/>
          <w:szCs w:val="28"/>
        </w:rPr>
        <w:t xml:space="preserve">trabajo al momento de entrar en vigencia la Ley 100/93, </w:t>
      </w:r>
      <w:r w:rsidR="000A5687" w:rsidRPr="00761F68">
        <w:rPr>
          <w:rFonts w:ascii="Arial Narrow" w:hAnsi="Arial Narrow" w:cs="Tahoma"/>
          <w:sz w:val="28"/>
          <w:szCs w:val="28"/>
        </w:rPr>
        <w:t>y estaban muy cerca de cumplir su expectativa pensional, lo cual justifica un trato diferenciado.</w:t>
      </w:r>
    </w:p>
    <w:p w:rsidR="0092414B" w:rsidRPr="00CA5744" w:rsidRDefault="0092414B" w:rsidP="00CA5744">
      <w:pPr>
        <w:pStyle w:val="Sinespaciado"/>
      </w:pPr>
    </w:p>
    <w:p w:rsidR="00E329F9" w:rsidRPr="00761F68" w:rsidRDefault="00CD16F5" w:rsidP="00CD16F5">
      <w:pPr>
        <w:tabs>
          <w:tab w:val="left" w:pos="709"/>
        </w:tabs>
        <w:spacing w:line="360" w:lineRule="auto"/>
        <w:jc w:val="both"/>
        <w:rPr>
          <w:rFonts w:ascii="Arial Narrow" w:hAnsi="Arial Narrow" w:cs="Tahoma"/>
          <w:sz w:val="28"/>
          <w:szCs w:val="28"/>
        </w:rPr>
      </w:pPr>
      <w:r w:rsidRPr="00761F68">
        <w:rPr>
          <w:rFonts w:ascii="Arial Narrow" w:hAnsi="Arial Narrow" w:cs="Tahoma"/>
          <w:sz w:val="28"/>
          <w:szCs w:val="28"/>
        </w:rPr>
        <w:tab/>
      </w:r>
      <w:r w:rsidR="003E098B" w:rsidRPr="00761F68">
        <w:rPr>
          <w:rFonts w:ascii="Arial Narrow" w:hAnsi="Arial Narrow" w:cs="Tahoma"/>
          <w:sz w:val="28"/>
          <w:szCs w:val="28"/>
        </w:rPr>
        <w:t xml:space="preserve">En </w:t>
      </w:r>
      <w:r w:rsidR="00362FC6" w:rsidRPr="00761F68">
        <w:rPr>
          <w:rFonts w:ascii="Arial Narrow" w:hAnsi="Arial Narrow" w:cs="Tahoma"/>
          <w:sz w:val="28"/>
          <w:szCs w:val="28"/>
        </w:rPr>
        <w:t xml:space="preserve">el caso puntual, conforme la historia laboral válida para prestaciones económicas que reposa a folio106 y </w:t>
      </w:r>
      <w:proofErr w:type="spellStart"/>
      <w:r w:rsidR="00362FC6" w:rsidRPr="00761F68">
        <w:rPr>
          <w:rFonts w:ascii="Arial Narrow" w:hAnsi="Arial Narrow" w:cs="Tahoma"/>
          <w:sz w:val="28"/>
          <w:szCs w:val="28"/>
        </w:rPr>
        <w:t>ss</w:t>
      </w:r>
      <w:proofErr w:type="spellEnd"/>
      <w:r w:rsidR="00362FC6" w:rsidRPr="00761F68">
        <w:rPr>
          <w:rFonts w:ascii="Arial Narrow" w:hAnsi="Arial Narrow" w:cs="Tahoma"/>
          <w:sz w:val="28"/>
          <w:szCs w:val="28"/>
        </w:rPr>
        <w:t xml:space="preserve">, la demandante </w:t>
      </w:r>
      <w:r w:rsidR="00680BC8" w:rsidRPr="00761F68">
        <w:rPr>
          <w:rFonts w:ascii="Arial Narrow" w:hAnsi="Arial Narrow" w:cs="Tahoma"/>
          <w:sz w:val="28"/>
          <w:szCs w:val="28"/>
        </w:rPr>
        <w:t>cotizó al 1° de abril de 1994</w:t>
      </w:r>
      <w:r w:rsidR="00A37238" w:rsidRPr="00761F68">
        <w:rPr>
          <w:rFonts w:ascii="Arial Narrow" w:hAnsi="Arial Narrow" w:cs="Tahoma"/>
          <w:sz w:val="28"/>
          <w:szCs w:val="28"/>
        </w:rPr>
        <w:t xml:space="preserve"> un total de </w:t>
      </w:r>
      <w:r w:rsidRPr="00761F68">
        <w:rPr>
          <w:rFonts w:ascii="Arial Narrow" w:hAnsi="Arial Narrow" w:cs="Tahoma"/>
          <w:sz w:val="28"/>
          <w:szCs w:val="28"/>
        </w:rPr>
        <w:t xml:space="preserve">369.486 semanas de aportes, </w:t>
      </w:r>
      <w:r w:rsidR="00A37238" w:rsidRPr="00761F68">
        <w:rPr>
          <w:rFonts w:ascii="Arial Narrow" w:hAnsi="Arial Narrow" w:cs="Tahoma"/>
          <w:sz w:val="28"/>
          <w:szCs w:val="28"/>
        </w:rPr>
        <w:t xml:space="preserve">que equivalen a poco más de 7 años, de modo que, </w:t>
      </w:r>
      <w:r w:rsidR="00B70373" w:rsidRPr="00761F68">
        <w:rPr>
          <w:rFonts w:ascii="Arial Narrow" w:hAnsi="Arial Narrow" w:cs="Tahoma"/>
          <w:sz w:val="28"/>
          <w:szCs w:val="28"/>
        </w:rPr>
        <w:t xml:space="preserve">su retorno al régimen de prima media </w:t>
      </w:r>
      <w:r w:rsidR="00761F68">
        <w:rPr>
          <w:rFonts w:ascii="Arial Narrow" w:hAnsi="Arial Narrow" w:cs="Tahoma"/>
          <w:sz w:val="28"/>
          <w:szCs w:val="28"/>
        </w:rPr>
        <w:t>no</w:t>
      </w:r>
      <w:r w:rsidR="00B70373" w:rsidRPr="00761F68">
        <w:rPr>
          <w:rFonts w:ascii="Arial Narrow" w:hAnsi="Arial Narrow" w:cs="Tahoma"/>
          <w:sz w:val="28"/>
          <w:szCs w:val="28"/>
        </w:rPr>
        <w:t xml:space="preserve"> </w:t>
      </w:r>
      <w:r w:rsidR="00B23B1D" w:rsidRPr="00761F68">
        <w:rPr>
          <w:rFonts w:ascii="Arial Narrow" w:hAnsi="Arial Narrow" w:cs="Tahoma"/>
          <w:sz w:val="28"/>
          <w:szCs w:val="28"/>
        </w:rPr>
        <w:t>trajo</w:t>
      </w:r>
      <w:r w:rsidR="007B4A9B" w:rsidRPr="00761F68">
        <w:rPr>
          <w:rFonts w:ascii="Arial Narrow" w:hAnsi="Arial Narrow" w:cs="Tahoma"/>
          <w:sz w:val="28"/>
          <w:szCs w:val="28"/>
        </w:rPr>
        <w:t xml:space="preserve"> consigo </w:t>
      </w:r>
      <w:r w:rsidR="00B70373" w:rsidRPr="00761F68">
        <w:rPr>
          <w:rFonts w:ascii="Arial Narrow" w:hAnsi="Arial Narrow" w:cs="Tahoma"/>
          <w:sz w:val="28"/>
          <w:szCs w:val="28"/>
        </w:rPr>
        <w:t xml:space="preserve">la posibilidad de </w:t>
      </w:r>
      <w:r w:rsidR="00F44816">
        <w:rPr>
          <w:rFonts w:ascii="Arial Narrow" w:hAnsi="Arial Narrow" w:cs="Tahoma"/>
          <w:sz w:val="28"/>
          <w:szCs w:val="28"/>
        </w:rPr>
        <w:t xml:space="preserve">recuperar los beneficios </w:t>
      </w:r>
      <w:r w:rsidR="0051264A">
        <w:rPr>
          <w:rFonts w:ascii="Arial Narrow" w:hAnsi="Arial Narrow" w:cs="Tahoma"/>
          <w:sz w:val="28"/>
          <w:szCs w:val="28"/>
        </w:rPr>
        <w:t xml:space="preserve">de la transición del </w:t>
      </w:r>
      <w:r w:rsidR="00D4727E" w:rsidRPr="00761F68">
        <w:rPr>
          <w:rFonts w:ascii="Arial Narrow" w:hAnsi="Arial Narrow" w:cs="Tahoma"/>
          <w:sz w:val="28"/>
          <w:szCs w:val="28"/>
        </w:rPr>
        <w:t>artículo 36 de la Ley 100/93.</w:t>
      </w:r>
    </w:p>
    <w:p w:rsidR="00344C0C" w:rsidRPr="00CA5744" w:rsidRDefault="00344C0C" w:rsidP="00CA5744">
      <w:pPr>
        <w:pStyle w:val="Sinespaciado"/>
      </w:pPr>
    </w:p>
    <w:p w:rsidR="0092414B" w:rsidRPr="00A74555" w:rsidRDefault="00344C0C" w:rsidP="00A7455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síntesis de lo dicho, la providencia consultada es atinada en sus fundamentos legales, jurisprudenciales y fácticos y, por lo mismo, debe ser confirmada en su integridad.</w:t>
      </w:r>
    </w:p>
    <w:p w:rsidR="0092414B" w:rsidRDefault="0092414B" w:rsidP="00D4727E">
      <w:pPr>
        <w:pStyle w:val="Sinespaciado"/>
      </w:pPr>
    </w:p>
    <w:p w:rsidR="00D4727E" w:rsidRPr="00D4727E" w:rsidRDefault="00D4727E" w:rsidP="00B87291">
      <w:pPr>
        <w:tabs>
          <w:tab w:val="left" w:pos="6435"/>
        </w:tabs>
        <w:spacing w:line="360" w:lineRule="auto"/>
        <w:ind w:firstLine="851"/>
        <w:jc w:val="both"/>
        <w:rPr>
          <w:rFonts w:ascii="Arial Narrow" w:hAnsi="Arial Narrow" w:cs="Tahoma"/>
          <w:sz w:val="28"/>
          <w:szCs w:val="28"/>
        </w:rPr>
      </w:pPr>
      <w:r>
        <w:rPr>
          <w:rFonts w:ascii="Arial Narrow" w:hAnsi="Arial Narrow" w:cs="Tahoma"/>
          <w:sz w:val="28"/>
          <w:szCs w:val="28"/>
        </w:rPr>
        <w:t xml:space="preserve">Sin costas en esta instancia. </w:t>
      </w:r>
    </w:p>
    <w:p w:rsidR="00501550" w:rsidRDefault="00501550" w:rsidP="00D4727E">
      <w:pPr>
        <w:pStyle w:val="Sinespaciado"/>
      </w:pPr>
    </w:p>
    <w:p w:rsidR="002A7BD3" w:rsidRPr="00313BD5" w:rsidRDefault="00CE359F" w:rsidP="0051264A">
      <w:pPr>
        <w:pStyle w:val="Prrafodelista1"/>
        <w:spacing w:after="0" w:line="360" w:lineRule="auto"/>
        <w:ind w:left="0" w:firstLine="708"/>
        <w:jc w:val="both"/>
      </w:pPr>
      <w:r w:rsidRPr="00A52B7E">
        <w:rPr>
          <w:rFonts w:ascii="Arial Narrow" w:hAnsi="Arial Narrow" w:cs="Tahoma"/>
          <w:sz w:val="28"/>
          <w:szCs w:val="28"/>
        </w:rPr>
        <w:t>En mérito de lo expuesto,</w:t>
      </w:r>
      <w:r w:rsidRPr="00A52B7E">
        <w:rPr>
          <w:rFonts w:ascii="Arial Narrow" w:hAnsi="Arial Narrow" w:cs="Tahoma"/>
          <w:b/>
          <w:sz w:val="28"/>
          <w:szCs w:val="28"/>
        </w:rPr>
        <w:t xml:space="preserve"> </w:t>
      </w:r>
      <w:r w:rsidRPr="00A52B7E">
        <w:rPr>
          <w:rFonts w:ascii="Arial Narrow" w:hAnsi="Arial Narrow" w:cs="Tahoma"/>
          <w:sz w:val="28"/>
          <w:szCs w:val="28"/>
        </w:rPr>
        <w:t>el</w:t>
      </w:r>
      <w:r w:rsidRPr="00A52B7E">
        <w:rPr>
          <w:rFonts w:ascii="Arial Narrow" w:hAnsi="Arial Narrow" w:cs="Tahoma"/>
          <w:b/>
          <w:sz w:val="28"/>
          <w:szCs w:val="28"/>
        </w:rPr>
        <w:t xml:space="preserve"> </w:t>
      </w:r>
      <w:r w:rsidRPr="00D4727E">
        <w:rPr>
          <w:rFonts w:ascii="Arial Narrow" w:hAnsi="Arial Narrow" w:cs="Tahoma"/>
          <w:sz w:val="28"/>
          <w:szCs w:val="28"/>
        </w:rPr>
        <w:t>Tribunal Superior del Distrito Judicial de Pereira, Sala Laboral, administrando justicia en nombre de la República y por autoridad de la ley,</w:t>
      </w:r>
    </w:p>
    <w:p w:rsidR="00CE359F" w:rsidRDefault="00CE359F" w:rsidP="00CE359F">
      <w:pPr>
        <w:spacing w:line="360" w:lineRule="auto"/>
        <w:jc w:val="center"/>
        <w:rPr>
          <w:rFonts w:ascii="Arial Narrow" w:hAnsi="Arial Narrow" w:cs="Tahoma"/>
          <w:sz w:val="28"/>
          <w:szCs w:val="28"/>
        </w:rPr>
      </w:pPr>
      <w:r w:rsidRPr="00D4727E">
        <w:rPr>
          <w:rFonts w:ascii="Arial Narrow" w:hAnsi="Arial Narrow" w:cs="Tahoma"/>
          <w:sz w:val="28"/>
          <w:szCs w:val="28"/>
        </w:rPr>
        <w:t>FALLA</w:t>
      </w:r>
    </w:p>
    <w:p w:rsidR="00D4727E" w:rsidRPr="002A7BD3" w:rsidRDefault="00D4727E" w:rsidP="002A7BD3">
      <w:pPr>
        <w:pStyle w:val="Sinespaciado"/>
      </w:pPr>
    </w:p>
    <w:p w:rsidR="00CE359F" w:rsidRPr="00D4727E" w:rsidRDefault="00CE359F" w:rsidP="00D4727E">
      <w:pPr>
        <w:pStyle w:val="Prrafodelista"/>
        <w:numPr>
          <w:ilvl w:val="0"/>
          <w:numId w:val="3"/>
        </w:numPr>
        <w:tabs>
          <w:tab w:val="left" w:pos="-720"/>
        </w:tabs>
        <w:suppressAutoHyphens/>
        <w:spacing w:line="336" w:lineRule="auto"/>
        <w:ind w:left="0" w:right="28" w:firstLine="900"/>
        <w:jc w:val="both"/>
        <w:rPr>
          <w:rFonts w:ascii="Arial Narrow" w:hAnsi="Arial Narrow" w:cs="Tahoma"/>
          <w:sz w:val="28"/>
          <w:szCs w:val="28"/>
        </w:rPr>
      </w:pPr>
      <w:r w:rsidRPr="00D4727E">
        <w:rPr>
          <w:rFonts w:ascii="Arial Narrow" w:hAnsi="Arial Narrow" w:cs="Tahoma"/>
          <w:spacing w:val="-2"/>
          <w:sz w:val="28"/>
          <w:szCs w:val="28"/>
        </w:rPr>
        <w:t xml:space="preserve">Confirmar la sentencia proferida el </w:t>
      </w:r>
      <w:r w:rsidR="00D4727E" w:rsidRPr="00D4727E">
        <w:rPr>
          <w:rFonts w:ascii="Arial Narrow" w:hAnsi="Arial Narrow" w:cs="Tahoma"/>
          <w:spacing w:val="-2"/>
          <w:sz w:val="28"/>
          <w:szCs w:val="28"/>
        </w:rPr>
        <w:t xml:space="preserve">19 de junio de 2015 </w:t>
      </w:r>
      <w:r w:rsidRPr="00D4727E">
        <w:rPr>
          <w:rFonts w:ascii="Arial Narrow" w:hAnsi="Arial Narrow" w:cs="Tahoma"/>
          <w:sz w:val="28"/>
          <w:szCs w:val="28"/>
        </w:rPr>
        <w:t xml:space="preserve">por el Juzgado </w:t>
      </w:r>
      <w:r w:rsidR="00D4727E" w:rsidRPr="00D4727E">
        <w:rPr>
          <w:rFonts w:ascii="Arial Narrow" w:hAnsi="Arial Narrow" w:cs="Tahoma"/>
          <w:sz w:val="28"/>
          <w:szCs w:val="28"/>
        </w:rPr>
        <w:t xml:space="preserve">Segundo </w:t>
      </w:r>
      <w:r w:rsidRPr="00D4727E">
        <w:rPr>
          <w:rFonts w:ascii="Arial Narrow" w:hAnsi="Arial Narrow" w:cs="Tahoma"/>
          <w:sz w:val="28"/>
          <w:szCs w:val="28"/>
        </w:rPr>
        <w:t xml:space="preserve">Laboral del Circuito dentro del proceso ordinario laboral </w:t>
      </w:r>
      <w:r w:rsidR="00D4727E" w:rsidRPr="00D4727E">
        <w:rPr>
          <w:rFonts w:ascii="Arial Narrow" w:hAnsi="Arial Narrow" w:cs="Tahoma"/>
          <w:sz w:val="28"/>
          <w:szCs w:val="28"/>
        </w:rPr>
        <w:t xml:space="preserve">que </w:t>
      </w:r>
      <w:proofErr w:type="spellStart"/>
      <w:r w:rsidR="00D4727E" w:rsidRPr="00D4727E">
        <w:rPr>
          <w:rFonts w:ascii="Arial Narrow" w:hAnsi="Arial Narrow" w:cs="Tahoma"/>
          <w:sz w:val="28"/>
          <w:szCs w:val="28"/>
        </w:rPr>
        <w:t>Aracelly</w:t>
      </w:r>
      <w:proofErr w:type="spellEnd"/>
      <w:r w:rsidR="00D4727E" w:rsidRPr="00D4727E">
        <w:rPr>
          <w:rFonts w:ascii="Arial Narrow" w:hAnsi="Arial Narrow" w:cs="Tahoma"/>
          <w:sz w:val="28"/>
          <w:szCs w:val="28"/>
        </w:rPr>
        <w:t xml:space="preserve"> Carmona Hincapié promueve co</w:t>
      </w:r>
      <w:r w:rsidRPr="00D4727E">
        <w:rPr>
          <w:rFonts w:ascii="Arial Narrow" w:hAnsi="Arial Narrow" w:cs="Tahoma"/>
          <w:sz w:val="28"/>
          <w:szCs w:val="28"/>
        </w:rPr>
        <w:t xml:space="preserve">ntra </w:t>
      </w:r>
      <w:proofErr w:type="spellStart"/>
      <w:r w:rsidRPr="00D4727E">
        <w:rPr>
          <w:rFonts w:ascii="Arial Narrow" w:hAnsi="Arial Narrow" w:cs="Tahoma"/>
          <w:sz w:val="28"/>
          <w:szCs w:val="28"/>
        </w:rPr>
        <w:t>Colpensiones</w:t>
      </w:r>
      <w:proofErr w:type="spellEnd"/>
      <w:r w:rsidR="00D4727E" w:rsidRPr="00D4727E">
        <w:rPr>
          <w:rFonts w:ascii="Arial Narrow" w:hAnsi="Arial Narrow" w:cs="Tahoma"/>
          <w:sz w:val="28"/>
          <w:szCs w:val="28"/>
        </w:rPr>
        <w:t xml:space="preserve">. </w:t>
      </w:r>
    </w:p>
    <w:p w:rsidR="00D4727E" w:rsidRPr="00D4727E" w:rsidRDefault="00D4727E" w:rsidP="0068035A">
      <w:pPr>
        <w:pStyle w:val="Sinespaciado"/>
      </w:pPr>
    </w:p>
    <w:p w:rsidR="00CE359F" w:rsidRPr="00A52B7E" w:rsidRDefault="00CE359F" w:rsidP="00CE359F">
      <w:pPr>
        <w:tabs>
          <w:tab w:val="left" w:pos="-720"/>
        </w:tabs>
        <w:suppressAutoHyphens/>
        <w:spacing w:line="336" w:lineRule="auto"/>
        <w:ind w:right="28" w:firstLine="900"/>
        <w:jc w:val="both"/>
        <w:rPr>
          <w:rFonts w:ascii="Arial Narrow" w:hAnsi="Arial Narrow" w:cs="Tahoma"/>
          <w:b/>
          <w:spacing w:val="-2"/>
          <w:sz w:val="28"/>
          <w:szCs w:val="28"/>
        </w:rPr>
      </w:pPr>
      <w:r w:rsidRPr="00C468AD">
        <w:rPr>
          <w:rFonts w:ascii="Arial Narrow" w:hAnsi="Arial Narrow" w:cs="Tahoma"/>
          <w:sz w:val="28"/>
          <w:szCs w:val="28"/>
        </w:rPr>
        <w:t>2</w:t>
      </w:r>
      <w:r w:rsidRPr="00A52B7E">
        <w:rPr>
          <w:rFonts w:ascii="Arial Narrow" w:hAnsi="Arial Narrow" w:cs="Tahoma"/>
          <w:b/>
          <w:sz w:val="28"/>
          <w:szCs w:val="28"/>
        </w:rPr>
        <w:t xml:space="preserve">. </w:t>
      </w:r>
      <w:r w:rsidRPr="00A52B7E">
        <w:rPr>
          <w:rFonts w:ascii="Arial Narrow" w:hAnsi="Arial Narrow" w:cs="Tahoma"/>
          <w:sz w:val="28"/>
          <w:szCs w:val="28"/>
        </w:rPr>
        <w:t>Sin costas</w:t>
      </w:r>
      <w:r w:rsidRPr="00A52B7E">
        <w:rPr>
          <w:rFonts w:ascii="Arial Narrow" w:hAnsi="Arial Narrow" w:cs="Tahoma"/>
          <w:b/>
          <w:sz w:val="28"/>
          <w:szCs w:val="28"/>
        </w:rPr>
        <w:t xml:space="preserve"> </w:t>
      </w:r>
      <w:r w:rsidRPr="00A52B7E">
        <w:rPr>
          <w:rFonts w:ascii="Arial Narrow" w:hAnsi="Arial Narrow" w:cs="Tahoma"/>
          <w:sz w:val="28"/>
          <w:szCs w:val="28"/>
        </w:rPr>
        <w:t>en esta instancia.</w:t>
      </w:r>
    </w:p>
    <w:p w:rsidR="00CE359F" w:rsidRPr="00A52B7E" w:rsidRDefault="00CE359F" w:rsidP="002A7BD3">
      <w:pPr>
        <w:pStyle w:val="Sinespaciado"/>
      </w:pPr>
    </w:p>
    <w:p w:rsidR="00CE359F" w:rsidRPr="00C468AD" w:rsidRDefault="00CE359F" w:rsidP="00CE359F">
      <w:pPr>
        <w:spacing w:line="360" w:lineRule="auto"/>
        <w:ind w:firstLine="900"/>
        <w:jc w:val="both"/>
        <w:rPr>
          <w:rFonts w:ascii="Arial Narrow" w:hAnsi="Arial Narrow" w:cs="Tahoma"/>
          <w:bCs/>
          <w:iCs/>
          <w:sz w:val="28"/>
          <w:szCs w:val="28"/>
          <w:lang w:val="es-ES"/>
        </w:rPr>
      </w:pPr>
      <w:r w:rsidRPr="00C468AD">
        <w:rPr>
          <w:rFonts w:ascii="Arial Narrow" w:hAnsi="Arial Narrow" w:cs="Tahoma"/>
          <w:bCs/>
          <w:iCs/>
          <w:sz w:val="28"/>
          <w:szCs w:val="28"/>
          <w:lang w:val="es-ES"/>
        </w:rPr>
        <w:t xml:space="preserve">La anterior decisión queda notificada en </w:t>
      </w:r>
      <w:r w:rsidRPr="00C468AD">
        <w:rPr>
          <w:rFonts w:ascii="Arial Narrow" w:hAnsi="Arial Narrow" w:cs="Tahoma"/>
          <w:bCs/>
          <w:iCs/>
          <w:sz w:val="28"/>
          <w:szCs w:val="28"/>
          <w:u w:val="single"/>
          <w:lang w:val="es-ES"/>
        </w:rPr>
        <w:t>estrados.</w:t>
      </w:r>
    </w:p>
    <w:p w:rsidR="00CE359F" w:rsidRDefault="00CE359F" w:rsidP="00CE359F">
      <w:pPr>
        <w:tabs>
          <w:tab w:val="center" w:pos="4420"/>
          <w:tab w:val="left" w:pos="7815"/>
        </w:tabs>
        <w:spacing w:line="360" w:lineRule="auto"/>
        <w:rPr>
          <w:rFonts w:ascii="Arial Narrow" w:hAnsi="Arial Narrow" w:cs="Tahoma"/>
          <w:bCs/>
          <w:iCs/>
          <w:sz w:val="28"/>
          <w:szCs w:val="28"/>
          <w:lang w:val="es-ES"/>
        </w:rPr>
      </w:pPr>
    </w:p>
    <w:p w:rsidR="0051264A" w:rsidRPr="00C468AD" w:rsidRDefault="0051264A" w:rsidP="00CE359F">
      <w:pPr>
        <w:tabs>
          <w:tab w:val="center" w:pos="4420"/>
          <w:tab w:val="left" w:pos="7815"/>
        </w:tabs>
        <w:spacing w:line="360" w:lineRule="auto"/>
        <w:rPr>
          <w:rFonts w:ascii="Arial Narrow" w:hAnsi="Arial Narrow" w:cs="Tahoma"/>
          <w:bCs/>
          <w:iCs/>
          <w:sz w:val="28"/>
          <w:szCs w:val="28"/>
          <w:lang w:val="es-ES"/>
        </w:rPr>
      </w:pPr>
    </w:p>
    <w:p w:rsidR="00CE359F" w:rsidRPr="00C468AD" w:rsidRDefault="00CE359F" w:rsidP="0051264A">
      <w:pPr>
        <w:tabs>
          <w:tab w:val="center" w:pos="4420"/>
          <w:tab w:val="left" w:pos="7815"/>
        </w:tabs>
        <w:spacing w:line="480" w:lineRule="auto"/>
        <w:rPr>
          <w:rFonts w:ascii="Arial Narrow" w:hAnsi="Arial Narrow" w:cs="Tahoma"/>
          <w:bCs/>
          <w:iCs/>
          <w:sz w:val="28"/>
          <w:szCs w:val="28"/>
          <w:lang w:val="es-ES"/>
        </w:rPr>
      </w:pPr>
    </w:p>
    <w:p w:rsidR="00CE359F" w:rsidRDefault="00CE359F" w:rsidP="00C468AD">
      <w:pPr>
        <w:tabs>
          <w:tab w:val="center" w:pos="4420"/>
          <w:tab w:val="left" w:pos="7815"/>
        </w:tabs>
        <w:jc w:val="center"/>
        <w:rPr>
          <w:rFonts w:ascii="Arial Narrow" w:hAnsi="Arial Narrow" w:cs="Tahoma"/>
          <w:bCs/>
          <w:iCs/>
          <w:sz w:val="28"/>
          <w:szCs w:val="28"/>
          <w:lang w:val="es-ES"/>
        </w:rPr>
      </w:pPr>
      <w:r w:rsidRPr="00C468AD">
        <w:rPr>
          <w:rFonts w:ascii="Arial Narrow" w:hAnsi="Arial Narrow" w:cs="Tahoma"/>
          <w:bCs/>
          <w:iCs/>
          <w:sz w:val="28"/>
          <w:szCs w:val="28"/>
          <w:lang w:val="es-ES"/>
        </w:rPr>
        <w:lastRenderedPageBreak/>
        <w:t>FRANCISCO JAVIER TAMAYO TABARES</w:t>
      </w:r>
    </w:p>
    <w:p w:rsidR="00C468AD" w:rsidRPr="00C468AD" w:rsidRDefault="00C468AD" w:rsidP="00C468AD">
      <w:pPr>
        <w:tabs>
          <w:tab w:val="center" w:pos="4420"/>
          <w:tab w:val="left" w:pos="7815"/>
        </w:tabs>
        <w:jc w:val="center"/>
        <w:rPr>
          <w:rFonts w:ascii="Arial Narrow" w:hAnsi="Arial Narrow" w:cs="Tahoma"/>
          <w:bCs/>
          <w:iCs/>
          <w:sz w:val="28"/>
          <w:szCs w:val="28"/>
          <w:lang w:val="es-ES"/>
        </w:rPr>
      </w:pPr>
      <w:r>
        <w:rPr>
          <w:rFonts w:ascii="Arial Narrow" w:hAnsi="Arial Narrow" w:cs="Tahoma"/>
          <w:bCs/>
          <w:iCs/>
          <w:sz w:val="28"/>
          <w:szCs w:val="28"/>
          <w:lang w:val="es-ES"/>
        </w:rPr>
        <w:t>Magistrado Ponente</w:t>
      </w:r>
    </w:p>
    <w:p w:rsidR="00CE359F" w:rsidRPr="00C468AD" w:rsidRDefault="00CE359F" w:rsidP="00C468AD">
      <w:pPr>
        <w:jc w:val="both"/>
        <w:rPr>
          <w:rFonts w:ascii="Arial Narrow" w:hAnsi="Arial Narrow" w:cs="Tahoma"/>
          <w:sz w:val="28"/>
          <w:szCs w:val="28"/>
          <w:lang w:val="es-ES"/>
        </w:rPr>
      </w:pPr>
    </w:p>
    <w:p w:rsidR="00CE359F" w:rsidRDefault="00CE359F" w:rsidP="00C468AD">
      <w:pPr>
        <w:jc w:val="both"/>
        <w:rPr>
          <w:rFonts w:ascii="Arial Narrow" w:hAnsi="Arial Narrow" w:cs="Tahoma"/>
          <w:sz w:val="28"/>
          <w:szCs w:val="28"/>
          <w:lang w:val="es-ES"/>
        </w:rPr>
      </w:pPr>
    </w:p>
    <w:p w:rsidR="00C468AD" w:rsidRDefault="00C468AD" w:rsidP="00C468AD">
      <w:pPr>
        <w:jc w:val="both"/>
        <w:rPr>
          <w:rFonts w:ascii="Arial Narrow" w:hAnsi="Arial Narrow" w:cs="Tahoma"/>
          <w:sz w:val="28"/>
          <w:szCs w:val="28"/>
          <w:lang w:val="es-ES"/>
        </w:rPr>
      </w:pPr>
    </w:p>
    <w:p w:rsidR="00C468AD" w:rsidRPr="00C468AD" w:rsidRDefault="00C468AD" w:rsidP="00C468AD">
      <w:pPr>
        <w:jc w:val="both"/>
        <w:rPr>
          <w:rFonts w:ascii="Arial Narrow" w:hAnsi="Arial Narrow" w:cs="Tahoma"/>
          <w:sz w:val="28"/>
          <w:szCs w:val="28"/>
          <w:lang w:val="es-ES"/>
        </w:rPr>
      </w:pPr>
    </w:p>
    <w:p w:rsidR="00CE359F" w:rsidRPr="00C468AD" w:rsidRDefault="00CE359F" w:rsidP="00C468AD">
      <w:pPr>
        <w:jc w:val="both"/>
        <w:rPr>
          <w:rFonts w:ascii="Arial Narrow" w:hAnsi="Arial Narrow" w:cs="Tahoma"/>
          <w:sz w:val="28"/>
          <w:szCs w:val="28"/>
          <w:lang w:val="es-ES"/>
        </w:rPr>
      </w:pPr>
      <w:r w:rsidRPr="00C468AD">
        <w:rPr>
          <w:rFonts w:ascii="Arial Narrow" w:hAnsi="Arial Narrow" w:cs="Tahoma"/>
          <w:bCs/>
          <w:iCs/>
          <w:sz w:val="28"/>
          <w:szCs w:val="28"/>
          <w:lang w:val="es-ES"/>
        </w:rPr>
        <w:t>OLGA LUCIA HOYOS SEPULVEDA</w:t>
      </w:r>
      <w:r w:rsidRPr="00C468AD">
        <w:rPr>
          <w:rFonts w:ascii="Arial Narrow" w:hAnsi="Arial Narrow" w:cs="Tahoma"/>
          <w:sz w:val="28"/>
          <w:szCs w:val="28"/>
          <w:lang w:val="es-ES"/>
        </w:rPr>
        <w:t xml:space="preserve"> </w:t>
      </w:r>
      <w:r w:rsidRPr="00C468AD">
        <w:rPr>
          <w:rFonts w:ascii="Arial Narrow" w:hAnsi="Arial Narrow" w:cs="Tahoma"/>
          <w:sz w:val="28"/>
          <w:szCs w:val="28"/>
          <w:lang w:val="es-ES"/>
        </w:rPr>
        <w:tab/>
      </w:r>
      <w:r w:rsidRPr="00C468AD">
        <w:rPr>
          <w:rFonts w:ascii="Arial Narrow" w:hAnsi="Arial Narrow" w:cs="Tahoma"/>
          <w:sz w:val="28"/>
          <w:szCs w:val="28"/>
          <w:lang w:val="es-ES"/>
        </w:rPr>
        <w:tab/>
      </w:r>
      <w:r w:rsidRPr="00C468AD">
        <w:rPr>
          <w:rFonts w:ascii="Arial Narrow" w:hAnsi="Arial Narrow" w:cs="Tahoma"/>
          <w:bCs/>
          <w:iCs/>
          <w:sz w:val="28"/>
          <w:szCs w:val="28"/>
          <w:lang w:val="es-ES"/>
        </w:rPr>
        <w:t>ANA LUCÍA CAICEDO CALDERÓN</w:t>
      </w:r>
    </w:p>
    <w:p w:rsidR="00CE359F" w:rsidRPr="00C468AD" w:rsidRDefault="00C468AD" w:rsidP="00C468AD">
      <w:pPr>
        <w:rPr>
          <w:rFonts w:ascii="Arial Narrow" w:hAnsi="Arial Narrow" w:cs="Tahoma"/>
          <w:bCs/>
          <w:iCs/>
          <w:sz w:val="28"/>
          <w:szCs w:val="28"/>
          <w:lang w:val="es-ES"/>
        </w:rPr>
      </w:pPr>
      <w:r>
        <w:rPr>
          <w:rFonts w:ascii="Arial Narrow" w:hAnsi="Arial Narrow" w:cs="Tahoma"/>
          <w:bCs/>
          <w:iCs/>
          <w:sz w:val="28"/>
          <w:szCs w:val="28"/>
          <w:lang w:val="es-ES"/>
        </w:rPr>
        <w:t xml:space="preserve">                 Magistrada </w:t>
      </w:r>
      <w:r>
        <w:rPr>
          <w:rFonts w:ascii="Arial Narrow" w:hAnsi="Arial Narrow" w:cs="Tahoma"/>
          <w:bCs/>
          <w:iCs/>
          <w:sz w:val="28"/>
          <w:szCs w:val="28"/>
          <w:lang w:val="es-ES"/>
        </w:rPr>
        <w:tab/>
      </w:r>
      <w:r>
        <w:rPr>
          <w:rFonts w:ascii="Arial Narrow" w:hAnsi="Arial Narrow" w:cs="Tahoma"/>
          <w:bCs/>
          <w:iCs/>
          <w:sz w:val="28"/>
          <w:szCs w:val="28"/>
          <w:lang w:val="es-ES"/>
        </w:rPr>
        <w:tab/>
        <w:t xml:space="preserve">                                            </w:t>
      </w:r>
      <w:proofErr w:type="spellStart"/>
      <w:r>
        <w:rPr>
          <w:rFonts w:ascii="Arial Narrow" w:hAnsi="Arial Narrow" w:cs="Tahoma"/>
          <w:bCs/>
          <w:iCs/>
          <w:sz w:val="28"/>
          <w:szCs w:val="28"/>
          <w:lang w:val="es-ES"/>
        </w:rPr>
        <w:t>Magistrada</w:t>
      </w:r>
      <w:proofErr w:type="spellEnd"/>
    </w:p>
    <w:p w:rsidR="00C468AD" w:rsidRDefault="00CE359F" w:rsidP="00C468AD">
      <w:pPr>
        <w:jc w:val="center"/>
        <w:rPr>
          <w:rFonts w:ascii="Arial Narrow" w:hAnsi="Arial Narrow" w:cs="Tahoma"/>
          <w:bCs/>
          <w:iCs/>
          <w:sz w:val="28"/>
          <w:szCs w:val="28"/>
          <w:lang w:val="es-ES"/>
        </w:rPr>
      </w:pPr>
      <w:r w:rsidRPr="00C468AD">
        <w:rPr>
          <w:rFonts w:ascii="Arial Narrow" w:hAnsi="Arial Narrow" w:cs="Tahoma"/>
          <w:bCs/>
          <w:iCs/>
          <w:sz w:val="28"/>
          <w:szCs w:val="28"/>
          <w:lang w:val="es-ES"/>
        </w:rPr>
        <w:t xml:space="preserve"> </w:t>
      </w:r>
    </w:p>
    <w:p w:rsidR="00C468AD" w:rsidRDefault="00C468AD" w:rsidP="00C468AD">
      <w:pPr>
        <w:jc w:val="center"/>
        <w:rPr>
          <w:rFonts w:ascii="Arial Narrow" w:hAnsi="Arial Narrow" w:cs="Tahoma"/>
          <w:bCs/>
          <w:iCs/>
          <w:sz w:val="28"/>
          <w:szCs w:val="28"/>
          <w:lang w:val="es-ES"/>
        </w:rPr>
      </w:pPr>
    </w:p>
    <w:p w:rsidR="00CE359F" w:rsidRPr="00C468AD" w:rsidRDefault="00CE359F" w:rsidP="00C468AD">
      <w:pPr>
        <w:jc w:val="center"/>
        <w:rPr>
          <w:rFonts w:ascii="Arial Narrow" w:hAnsi="Arial Narrow" w:cs="Tahoma"/>
          <w:bCs/>
          <w:iCs/>
          <w:sz w:val="28"/>
          <w:szCs w:val="28"/>
          <w:lang w:val="es-ES"/>
        </w:rPr>
      </w:pPr>
      <w:r w:rsidRPr="00C468AD">
        <w:rPr>
          <w:rFonts w:ascii="Arial Narrow" w:hAnsi="Arial Narrow" w:cs="Tahoma"/>
          <w:bCs/>
          <w:iCs/>
          <w:sz w:val="28"/>
          <w:szCs w:val="28"/>
          <w:lang w:val="es-ES"/>
        </w:rPr>
        <w:t xml:space="preserve">                                                 </w:t>
      </w:r>
    </w:p>
    <w:p w:rsidR="00CE359F" w:rsidRPr="00C468AD" w:rsidRDefault="00CE359F" w:rsidP="00C468AD">
      <w:pPr>
        <w:jc w:val="center"/>
        <w:rPr>
          <w:rFonts w:ascii="Arial Narrow" w:hAnsi="Arial Narrow" w:cs="Tahoma"/>
          <w:bCs/>
          <w:iCs/>
          <w:sz w:val="28"/>
          <w:szCs w:val="28"/>
          <w:lang w:val="es-ES"/>
        </w:rPr>
      </w:pPr>
      <w:r w:rsidRPr="00C468AD">
        <w:rPr>
          <w:rFonts w:ascii="Arial Narrow" w:hAnsi="Arial Narrow" w:cs="Tahoma"/>
          <w:bCs/>
          <w:iCs/>
          <w:sz w:val="28"/>
          <w:szCs w:val="28"/>
          <w:lang w:val="es-ES"/>
        </w:rPr>
        <w:t>Alonso Gaviria Ocampo</w:t>
      </w:r>
    </w:p>
    <w:p w:rsidR="00CE359F" w:rsidRPr="00C468AD" w:rsidRDefault="00CE359F" w:rsidP="00C468AD">
      <w:pPr>
        <w:jc w:val="center"/>
        <w:rPr>
          <w:rFonts w:ascii="Arial Narrow" w:hAnsi="Arial Narrow"/>
          <w:sz w:val="28"/>
          <w:szCs w:val="28"/>
        </w:rPr>
      </w:pPr>
      <w:r w:rsidRPr="00C468AD">
        <w:rPr>
          <w:rFonts w:ascii="Arial Narrow" w:hAnsi="Arial Narrow" w:cs="Tahoma"/>
          <w:iCs/>
          <w:sz w:val="28"/>
          <w:szCs w:val="28"/>
          <w:lang w:val="es-ES"/>
        </w:rPr>
        <w:t>Secretario</w:t>
      </w:r>
    </w:p>
    <w:p w:rsidR="00142857" w:rsidRDefault="00142857">
      <w:pPr>
        <w:rPr>
          <w:rFonts w:ascii="Arial Narrow" w:hAnsi="Arial Narrow"/>
          <w:sz w:val="28"/>
          <w:szCs w:val="28"/>
        </w:rPr>
      </w:pPr>
    </w:p>
    <w:p w:rsidR="00142857" w:rsidRPr="00142857" w:rsidRDefault="00142857" w:rsidP="00142857">
      <w:pPr>
        <w:rPr>
          <w:rFonts w:ascii="Arial Narrow" w:hAnsi="Arial Narrow"/>
          <w:sz w:val="28"/>
          <w:szCs w:val="28"/>
        </w:rPr>
      </w:pPr>
    </w:p>
    <w:p w:rsidR="00142857" w:rsidRPr="00142857" w:rsidRDefault="00142857" w:rsidP="00142857">
      <w:pPr>
        <w:rPr>
          <w:rFonts w:ascii="Arial Narrow" w:hAnsi="Arial Narrow"/>
          <w:sz w:val="28"/>
          <w:szCs w:val="28"/>
        </w:rPr>
      </w:pPr>
    </w:p>
    <w:p w:rsidR="00142857" w:rsidRPr="00142857" w:rsidRDefault="00142857" w:rsidP="00142857">
      <w:pPr>
        <w:rPr>
          <w:rFonts w:ascii="Arial Narrow" w:hAnsi="Arial Narrow"/>
          <w:sz w:val="28"/>
          <w:szCs w:val="28"/>
        </w:rPr>
      </w:pPr>
    </w:p>
    <w:p w:rsidR="00142857" w:rsidRPr="00142857" w:rsidRDefault="00142857" w:rsidP="00142857">
      <w:pPr>
        <w:rPr>
          <w:rFonts w:ascii="Arial Narrow" w:hAnsi="Arial Narrow"/>
          <w:sz w:val="28"/>
          <w:szCs w:val="28"/>
        </w:rPr>
      </w:pPr>
    </w:p>
    <w:p w:rsidR="00142857" w:rsidRPr="00142857" w:rsidRDefault="00142857" w:rsidP="00142857">
      <w:pPr>
        <w:rPr>
          <w:rFonts w:ascii="Arial Narrow" w:hAnsi="Arial Narrow"/>
          <w:sz w:val="28"/>
          <w:szCs w:val="28"/>
        </w:rPr>
      </w:pPr>
    </w:p>
    <w:p w:rsidR="00142857" w:rsidRPr="00142857" w:rsidRDefault="00142857" w:rsidP="00142857">
      <w:pPr>
        <w:rPr>
          <w:rFonts w:ascii="Arial Narrow" w:hAnsi="Arial Narrow"/>
          <w:sz w:val="28"/>
          <w:szCs w:val="28"/>
        </w:rPr>
      </w:pPr>
    </w:p>
    <w:p w:rsidR="00142857" w:rsidRDefault="00142857" w:rsidP="00142857">
      <w:pPr>
        <w:rPr>
          <w:rFonts w:ascii="Arial Narrow" w:hAnsi="Arial Narrow"/>
          <w:sz w:val="28"/>
          <w:szCs w:val="28"/>
        </w:rPr>
      </w:pPr>
    </w:p>
    <w:p w:rsidR="00142857" w:rsidRDefault="00142857" w:rsidP="00142857">
      <w:pPr>
        <w:rPr>
          <w:rFonts w:ascii="Arial Narrow" w:hAnsi="Arial Narrow"/>
          <w:sz w:val="28"/>
          <w:szCs w:val="28"/>
        </w:rPr>
      </w:pPr>
    </w:p>
    <w:p w:rsidR="00C35CA1" w:rsidRPr="00142857" w:rsidRDefault="00C35CA1" w:rsidP="00142857">
      <w:pPr>
        <w:jc w:val="center"/>
        <w:rPr>
          <w:rFonts w:ascii="Arial Narrow" w:hAnsi="Arial Narrow"/>
          <w:sz w:val="28"/>
          <w:szCs w:val="28"/>
        </w:rPr>
      </w:pPr>
    </w:p>
    <w:sectPr w:rsidR="00C35CA1" w:rsidRPr="00142857" w:rsidSect="004A6198">
      <w:headerReference w:type="default" r:id="rId8"/>
      <w:footerReference w:type="even" r:id="rId9"/>
      <w:footerReference w:type="default" r:id="rId10"/>
      <w:pgSz w:w="12242" w:h="18722" w:code="121"/>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450" w:rsidRDefault="006B0450" w:rsidP="00CE359F">
      <w:r>
        <w:separator/>
      </w:r>
    </w:p>
  </w:endnote>
  <w:endnote w:type="continuationSeparator" w:id="0">
    <w:p w:rsidR="006B0450" w:rsidRDefault="006B0450" w:rsidP="00CE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8C413A"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514CC" w:rsidRDefault="006B0450" w:rsidP="00F514C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C" w:rsidRDefault="008C413A" w:rsidP="00F514C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F1ED1">
      <w:rPr>
        <w:rStyle w:val="Nmerodepgina"/>
        <w:noProof/>
      </w:rPr>
      <w:t>5</w:t>
    </w:r>
    <w:r>
      <w:rPr>
        <w:rStyle w:val="Nmerodepgina"/>
      </w:rPr>
      <w:fldChar w:fldCharType="end"/>
    </w:r>
  </w:p>
  <w:p w:rsidR="00F514CC" w:rsidRDefault="006B0450" w:rsidP="00F514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450" w:rsidRDefault="006B0450" w:rsidP="00CE359F">
      <w:r>
        <w:separator/>
      </w:r>
    </w:p>
  </w:footnote>
  <w:footnote w:type="continuationSeparator" w:id="0">
    <w:p w:rsidR="006B0450" w:rsidRDefault="006B0450" w:rsidP="00CE3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59F" w:rsidRPr="00CE359F" w:rsidRDefault="008C413A" w:rsidP="00F514CC">
    <w:pPr>
      <w:jc w:val="both"/>
      <w:rPr>
        <w:rFonts w:ascii="Arial Narrow" w:hAnsi="Arial Narrow" w:cs="Arial"/>
        <w:bCs/>
        <w:sz w:val="20"/>
      </w:rPr>
    </w:pPr>
    <w:r w:rsidRPr="00CE359F">
      <w:rPr>
        <w:rFonts w:ascii="Arial Narrow" w:hAnsi="Arial Narrow" w:cs="Arial"/>
        <w:bCs/>
        <w:sz w:val="20"/>
      </w:rPr>
      <w:t>Radicación No: 66001-31-</w:t>
    </w:r>
    <w:r w:rsidR="00CE359F" w:rsidRPr="00CE359F">
      <w:rPr>
        <w:rFonts w:ascii="Arial Narrow" w:hAnsi="Arial Narrow" w:cs="Arial"/>
        <w:bCs/>
        <w:sz w:val="20"/>
      </w:rPr>
      <w:t>05</w:t>
    </w:r>
    <w:r w:rsidRPr="00CE359F">
      <w:rPr>
        <w:rFonts w:ascii="Arial Narrow" w:hAnsi="Arial Narrow" w:cs="Arial"/>
        <w:bCs/>
        <w:sz w:val="20"/>
      </w:rPr>
      <w:t>-00</w:t>
    </w:r>
    <w:r w:rsidR="00CE359F" w:rsidRPr="00CE359F">
      <w:rPr>
        <w:rFonts w:ascii="Arial Narrow" w:hAnsi="Arial Narrow" w:cs="Arial"/>
        <w:bCs/>
        <w:sz w:val="20"/>
      </w:rPr>
      <w:t>2-2014-00360-01</w:t>
    </w:r>
  </w:p>
  <w:p w:rsidR="00F514CC" w:rsidRPr="00CE359F" w:rsidRDefault="00CE359F" w:rsidP="00F514CC">
    <w:pPr>
      <w:jc w:val="both"/>
      <w:rPr>
        <w:rFonts w:ascii="Arial Narrow" w:hAnsi="Arial Narrow" w:cs="Arial"/>
        <w:bCs/>
        <w:sz w:val="20"/>
      </w:rPr>
    </w:pPr>
    <w:proofErr w:type="spellStart"/>
    <w:r w:rsidRPr="00CE359F">
      <w:rPr>
        <w:rFonts w:ascii="Arial Narrow" w:hAnsi="Arial Narrow" w:cs="Arial"/>
        <w:bCs/>
        <w:sz w:val="20"/>
      </w:rPr>
      <w:t>Aracelly</w:t>
    </w:r>
    <w:proofErr w:type="spellEnd"/>
    <w:r w:rsidRPr="00CE359F">
      <w:rPr>
        <w:rFonts w:ascii="Arial Narrow" w:hAnsi="Arial Narrow" w:cs="Arial"/>
        <w:bCs/>
        <w:sz w:val="20"/>
      </w:rPr>
      <w:t xml:space="preserve"> Carmona </w:t>
    </w:r>
    <w:r w:rsidR="002A7BD3" w:rsidRPr="00CE359F">
      <w:rPr>
        <w:rFonts w:ascii="Arial Narrow" w:hAnsi="Arial Narrow" w:cs="Arial"/>
        <w:bCs/>
        <w:sz w:val="20"/>
      </w:rPr>
      <w:t>Hincapié</w:t>
    </w:r>
    <w:r w:rsidRPr="00CE359F">
      <w:rPr>
        <w:rFonts w:ascii="Arial Narrow" w:hAnsi="Arial Narrow" w:cs="Arial"/>
        <w:bCs/>
        <w:sz w:val="20"/>
      </w:rPr>
      <w:t xml:space="preserve"> </w:t>
    </w:r>
    <w:r w:rsidR="008C413A" w:rsidRPr="00CE359F">
      <w:rPr>
        <w:rFonts w:ascii="Arial Narrow" w:hAnsi="Arial Narrow" w:cs="Arial"/>
        <w:bCs/>
        <w:sz w:val="20"/>
      </w:rPr>
      <w:t xml:space="preserve">vs </w:t>
    </w:r>
    <w:proofErr w:type="spellStart"/>
    <w:r w:rsidR="008C413A" w:rsidRPr="00CE359F">
      <w:rPr>
        <w:rFonts w:ascii="Arial Narrow" w:hAnsi="Arial Narrow" w:cs="Arial"/>
        <w:bCs/>
        <w:sz w:val="20"/>
      </w:rPr>
      <w:t>Colpensiones</w:t>
    </w:r>
    <w:proofErr w:type="spellEnd"/>
  </w:p>
  <w:p w:rsidR="00F514CC" w:rsidRPr="00041201" w:rsidRDefault="006B0450">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C0368"/>
    <w:multiLevelType w:val="hybridMultilevel"/>
    <w:tmpl w:val="3EBE685C"/>
    <w:lvl w:ilvl="0" w:tplc="E6BC6160">
      <w:start w:val="1"/>
      <w:numFmt w:val="lowerRoman"/>
      <w:lvlText w:val="(%1)"/>
      <w:lvlJc w:val="left"/>
      <w:pPr>
        <w:tabs>
          <w:tab w:val="num" w:pos="1334"/>
        </w:tabs>
        <w:ind w:left="1334" w:hanging="1050"/>
      </w:pPr>
      <w:rPr>
        <w:rFonts w:hint="default"/>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1" w15:restartNumberingAfterBreak="0">
    <w:nsid w:val="216F5AE1"/>
    <w:multiLevelType w:val="hybridMultilevel"/>
    <w:tmpl w:val="32345466"/>
    <w:lvl w:ilvl="0" w:tplc="9AEA7B22">
      <w:start w:val="1"/>
      <w:numFmt w:val="decimal"/>
      <w:lvlText w:val="%1."/>
      <w:lvlJc w:val="left"/>
      <w:pPr>
        <w:ind w:left="1260" w:hanging="360"/>
      </w:pPr>
      <w:rPr>
        <w:rFonts w:hint="default"/>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2" w15:restartNumberingAfterBreak="0">
    <w:nsid w:val="24E066D1"/>
    <w:multiLevelType w:val="hybridMultilevel"/>
    <w:tmpl w:val="C0C610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9F"/>
    <w:rsid w:val="000A5687"/>
    <w:rsid w:val="000F04D4"/>
    <w:rsid w:val="001069DB"/>
    <w:rsid w:val="00111C95"/>
    <w:rsid w:val="00114EAB"/>
    <w:rsid w:val="00142857"/>
    <w:rsid w:val="001562C0"/>
    <w:rsid w:val="001F19A6"/>
    <w:rsid w:val="00262F6F"/>
    <w:rsid w:val="00292FBA"/>
    <w:rsid w:val="002A7BD3"/>
    <w:rsid w:val="002C0EBB"/>
    <w:rsid w:val="00313BD5"/>
    <w:rsid w:val="00344C0C"/>
    <w:rsid w:val="00362FC6"/>
    <w:rsid w:val="003C5F61"/>
    <w:rsid w:val="003E098B"/>
    <w:rsid w:val="004145B9"/>
    <w:rsid w:val="004407C8"/>
    <w:rsid w:val="004410DA"/>
    <w:rsid w:val="0044783E"/>
    <w:rsid w:val="004A6198"/>
    <w:rsid w:val="00501550"/>
    <w:rsid w:val="0051264A"/>
    <w:rsid w:val="005651C6"/>
    <w:rsid w:val="005661AB"/>
    <w:rsid w:val="005B0A89"/>
    <w:rsid w:val="0068035A"/>
    <w:rsid w:val="00680BC8"/>
    <w:rsid w:val="006B0450"/>
    <w:rsid w:val="0075147F"/>
    <w:rsid w:val="007558C6"/>
    <w:rsid w:val="00761F68"/>
    <w:rsid w:val="007B4A9B"/>
    <w:rsid w:val="007D55C8"/>
    <w:rsid w:val="0082510B"/>
    <w:rsid w:val="0084035E"/>
    <w:rsid w:val="00845EA8"/>
    <w:rsid w:val="0087458A"/>
    <w:rsid w:val="008754D9"/>
    <w:rsid w:val="008C413A"/>
    <w:rsid w:val="0092414B"/>
    <w:rsid w:val="009F0CC7"/>
    <w:rsid w:val="00A12BCA"/>
    <w:rsid w:val="00A30B14"/>
    <w:rsid w:val="00A37238"/>
    <w:rsid w:val="00A52B7E"/>
    <w:rsid w:val="00A74555"/>
    <w:rsid w:val="00AE620E"/>
    <w:rsid w:val="00B23B1D"/>
    <w:rsid w:val="00B262DA"/>
    <w:rsid w:val="00B70373"/>
    <w:rsid w:val="00B87291"/>
    <w:rsid w:val="00B94CDF"/>
    <w:rsid w:val="00B96307"/>
    <w:rsid w:val="00BC0575"/>
    <w:rsid w:val="00BE7032"/>
    <w:rsid w:val="00C26C9D"/>
    <w:rsid w:val="00C35CA1"/>
    <w:rsid w:val="00C468AD"/>
    <w:rsid w:val="00C90FD4"/>
    <w:rsid w:val="00CA5744"/>
    <w:rsid w:val="00CB02E2"/>
    <w:rsid w:val="00CB37D1"/>
    <w:rsid w:val="00CB5FEC"/>
    <w:rsid w:val="00CD16F5"/>
    <w:rsid w:val="00CE359F"/>
    <w:rsid w:val="00D2769C"/>
    <w:rsid w:val="00D4727E"/>
    <w:rsid w:val="00DE1257"/>
    <w:rsid w:val="00DF1ED1"/>
    <w:rsid w:val="00E329F9"/>
    <w:rsid w:val="00E51168"/>
    <w:rsid w:val="00E91739"/>
    <w:rsid w:val="00F44816"/>
    <w:rsid w:val="00FC5903"/>
    <w:rsid w:val="00FE79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798EF3-ABA3-4046-9FD1-E462B45B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59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CE359F"/>
    <w:rPr>
      <w:rFonts w:ascii="Arial" w:hAnsi="Arial" w:cs="Arial"/>
      <w:sz w:val="24"/>
      <w:lang w:val="es-ES_tradnl" w:eastAsia="es-ES"/>
    </w:rPr>
  </w:style>
  <w:style w:type="paragraph" w:styleId="Textoindependiente">
    <w:name w:val="Body Text"/>
    <w:basedOn w:val="Normal"/>
    <w:link w:val="TextoindependienteCar"/>
    <w:rsid w:val="00CE359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CE359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CE359F"/>
    <w:pPr>
      <w:tabs>
        <w:tab w:val="center" w:pos="4252"/>
        <w:tab w:val="right" w:pos="8504"/>
      </w:tabs>
    </w:pPr>
  </w:style>
  <w:style w:type="character" w:customStyle="1" w:styleId="PiedepginaCar">
    <w:name w:val="Pie de página Car"/>
    <w:basedOn w:val="Fuentedeprrafopredeter"/>
    <w:link w:val="Piedepgina"/>
    <w:rsid w:val="00CE359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E359F"/>
  </w:style>
  <w:style w:type="paragraph" w:styleId="Encabezado">
    <w:name w:val="header"/>
    <w:basedOn w:val="Normal"/>
    <w:link w:val="EncabezadoCar"/>
    <w:rsid w:val="00CE359F"/>
    <w:pPr>
      <w:tabs>
        <w:tab w:val="center" w:pos="4252"/>
        <w:tab w:val="right" w:pos="8504"/>
      </w:tabs>
    </w:pPr>
  </w:style>
  <w:style w:type="character" w:customStyle="1" w:styleId="EncabezadoCar">
    <w:name w:val="Encabezado Car"/>
    <w:basedOn w:val="Fuentedeprrafopredeter"/>
    <w:link w:val="Encabezado"/>
    <w:rsid w:val="00CE359F"/>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CE359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CE359F"/>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semiHidden/>
    <w:rsid w:val="00A12BCA"/>
    <w:rPr>
      <w:sz w:val="20"/>
    </w:rPr>
  </w:style>
  <w:style w:type="character" w:customStyle="1" w:styleId="TextonotapieCar">
    <w:name w:val="Texto nota pie Car"/>
    <w:basedOn w:val="Fuentedeprrafopredeter"/>
    <w:link w:val="Textonotapie"/>
    <w:semiHidden/>
    <w:rsid w:val="00A12BCA"/>
    <w:rPr>
      <w:rFonts w:ascii="Times New Roman" w:eastAsia="Times New Roman" w:hAnsi="Times New Roman" w:cs="Times New Roman"/>
      <w:sz w:val="20"/>
      <w:szCs w:val="20"/>
      <w:lang w:val="es-ES_tradnl" w:eastAsia="es-ES"/>
    </w:rPr>
  </w:style>
  <w:style w:type="character" w:styleId="Refdenotaalpie">
    <w:name w:val="footnote reference"/>
    <w:semiHidden/>
    <w:rsid w:val="00A12BCA"/>
    <w:rPr>
      <w:vertAlign w:val="superscript"/>
    </w:rPr>
  </w:style>
  <w:style w:type="paragraph" w:styleId="Prrafodelista">
    <w:name w:val="List Paragraph"/>
    <w:basedOn w:val="Normal"/>
    <w:uiPriority w:val="34"/>
    <w:qFormat/>
    <w:rsid w:val="00C26C9D"/>
    <w:pPr>
      <w:ind w:left="708"/>
    </w:pPr>
  </w:style>
  <w:style w:type="character" w:customStyle="1" w:styleId="SinespaciadoCar">
    <w:name w:val="Sin espaciado Car"/>
    <w:link w:val="Sinespaciado"/>
    <w:uiPriority w:val="1"/>
    <w:locked/>
    <w:rsid w:val="00DF1ED1"/>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224A-28D6-40EE-9C5C-94735AFB0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1372</Words>
  <Characters>7547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27</cp:revision>
  <dcterms:created xsi:type="dcterms:W3CDTF">2016-09-28T14:09:00Z</dcterms:created>
  <dcterms:modified xsi:type="dcterms:W3CDTF">2016-12-27T21:54:00Z</dcterms:modified>
</cp:coreProperties>
</file>