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7C5A02" w:rsidRDefault="00226D5F" w:rsidP="001F1042">
      <w:pPr>
        <w:spacing w:line="276" w:lineRule="auto"/>
        <w:ind w:left="1560"/>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1F1042">
      <w:pPr>
        <w:spacing w:line="276" w:lineRule="auto"/>
        <w:ind w:left="1560"/>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001F1042">
        <w:rPr>
          <w:rFonts w:ascii="Arial" w:hAnsi="Arial" w:cs="Arial"/>
          <w:b/>
          <w:bCs/>
          <w:sz w:val="18"/>
          <w:szCs w:val="18"/>
        </w:rPr>
        <w:tab/>
      </w:r>
      <w:r w:rsidR="00290C0B">
        <w:rPr>
          <w:rFonts w:ascii="Arial" w:hAnsi="Arial" w:cs="Arial"/>
          <w:bCs/>
          <w:sz w:val="18"/>
          <w:szCs w:val="18"/>
        </w:rPr>
        <w:t>66001-31-05-004-2015</w:t>
      </w:r>
      <w:r w:rsidRPr="007C5A02">
        <w:rPr>
          <w:rFonts w:ascii="Arial" w:hAnsi="Arial" w:cs="Arial"/>
          <w:bCs/>
          <w:sz w:val="18"/>
          <w:szCs w:val="18"/>
        </w:rPr>
        <w:t>-00</w:t>
      </w:r>
      <w:r w:rsidR="00290C0B">
        <w:rPr>
          <w:rFonts w:ascii="Arial" w:hAnsi="Arial" w:cs="Arial"/>
          <w:bCs/>
          <w:sz w:val="18"/>
          <w:szCs w:val="18"/>
        </w:rPr>
        <w:t>097</w:t>
      </w:r>
      <w:r w:rsidRPr="007C5A02">
        <w:rPr>
          <w:rFonts w:ascii="Arial" w:hAnsi="Arial" w:cs="Arial"/>
          <w:bCs/>
          <w:sz w:val="18"/>
          <w:szCs w:val="18"/>
        </w:rPr>
        <w:t>-01</w:t>
      </w:r>
    </w:p>
    <w:p w:rsidR="00226D5F" w:rsidRPr="007C5A02" w:rsidRDefault="00226D5F" w:rsidP="001F1042">
      <w:pPr>
        <w:spacing w:line="276" w:lineRule="auto"/>
        <w:ind w:left="1560"/>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1F1042">
      <w:pPr>
        <w:spacing w:line="276" w:lineRule="auto"/>
        <w:ind w:left="1560"/>
        <w:jc w:val="both"/>
        <w:rPr>
          <w:rFonts w:ascii="Arial" w:hAnsi="Arial" w:cs="Arial"/>
          <w:iCs/>
          <w:sz w:val="18"/>
          <w:szCs w:val="18"/>
        </w:rPr>
      </w:pPr>
      <w:r w:rsidRPr="007C5A02">
        <w:rPr>
          <w:rFonts w:ascii="Arial" w:hAnsi="Arial" w:cs="Arial"/>
          <w:b/>
          <w:iCs/>
          <w:sz w:val="18"/>
          <w:szCs w:val="18"/>
        </w:rPr>
        <w:t>Demandante</w:t>
      </w:r>
      <w:r w:rsidR="001F1042">
        <w:rPr>
          <w:rFonts w:ascii="Arial" w:hAnsi="Arial" w:cs="Arial"/>
          <w:iCs/>
          <w:sz w:val="18"/>
          <w:szCs w:val="18"/>
        </w:rPr>
        <w:t xml:space="preserve">:     </w:t>
      </w:r>
      <w:r w:rsidR="001F1042">
        <w:rPr>
          <w:rFonts w:ascii="Arial" w:hAnsi="Arial" w:cs="Arial"/>
          <w:iCs/>
          <w:sz w:val="18"/>
          <w:szCs w:val="18"/>
        </w:rPr>
        <w:tab/>
      </w:r>
      <w:r w:rsidR="00290C0B">
        <w:rPr>
          <w:rFonts w:ascii="Arial" w:hAnsi="Arial" w:cs="Arial"/>
          <w:iCs/>
          <w:sz w:val="18"/>
          <w:szCs w:val="18"/>
        </w:rPr>
        <w:t>María Cristina Jaimes Noreña</w:t>
      </w:r>
    </w:p>
    <w:p w:rsidR="00226D5F" w:rsidRPr="007C5A02" w:rsidRDefault="00226D5F" w:rsidP="001F1042">
      <w:pPr>
        <w:spacing w:line="276" w:lineRule="auto"/>
        <w:ind w:left="1560"/>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r w:rsidR="00290C0B">
        <w:rPr>
          <w:rFonts w:ascii="Arial" w:hAnsi="Arial" w:cs="Arial"/>
          <w:bCs/>
          <w:sz w:val="18"/>
          <w:szCs w:val="18"/>
        </w:rPr>
        <w:t xml:space="preserve"> y otro </w:t>
      </w:r>
    </w:p>
    <w:p w:rsidR="00226D5F" w:rsidRPr="007C5A02" w:rsidRDefault="00226D5F" w:rsidP="001F1042">
      <w:pPr>
        <w:spacing w:line="276" w:lineRule="auto"/>
        <w:ind w:left="1560"/>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290C0B">
        <w:rPr>
          <w:rFonts w:ascii="Arial" w:hAnsi="Arial" w:cs="Arial"/>
          <w:sz w:val="18"/>
          <w:szCs w:val="18"/>
        </w:rPr>
        <w:t xml:space="preserve">Cuarto </w:t>
      </w:r>
      <w:r w:rsidRPr="007C5A02">
        <w:rPr>
          <w:rFonts w:ascii="Arial" w:hAnsi="Arial" w:cs="Arial"/>
          <w:sz w:val="18"/>
          <w:szCs w:val="18"/>
        </w:rPr>
        <w:t>Laboral del Circuito de Pereira.</w:t>
      </w:r>
    </w:p>
    <w:p w:rsidR="00226D5F" w:rsidRPr="007C5A02" w:rsidRDefault="001F1042" w:rsidP="001F1042">
      <w:pPr>
        <w:spacing w:line="276" w:lineRule="auto"/>
        <w:ind w:left="1560"/>
        <w:jc w:val="both"/>
        <w:rPr>
          <w:rFonts w:ascii="Arial" w:hAnsi="Arial" w:cs="Arial"/>
          <w:b/>
          <w:iCs/>
          <w:sz w:val="18"/>
          <w:szCs w:val="18"/>
        </w:rPr>
      </w:pPr>
      <w:r>
        <w:rPr>
          <w:rFonts w:ascii="Arial" w:hAnsi="Arial" w:cs="Arial"/>
          <w:b/>
          <w:iCs/>
          <w:sz w:val="18"/>
          <w:szCs w:val="18"/>
        </w:rPr>
        <w:t xml:space="preserve">Magistrado Ponente:     </w:t>
      </w:r>
      <w:r w:rsidR="00171C56">
        <w:rPr>
          <w:rFonts w:ascii="Arial" w:hAnsi="Arial" w:cs="Arial"/>
          <w:iCs/>
          <w:sz w:val="18"/>
          <w:szCs w:val="18"/>
        </w:rPr>
        <w:t>Issa Rafael Ulloque Toscano</w:t>
      </w:r>
      <w:r w:rsidR="00226D5F" w:rsidRPr="007C5A02">
        <w:rPr>
          <w:rFonts w:ascii="Arial" w:hAnsi="Arial" w:cs="Arial"/>
          <w:iCs/>
          <w:sz w:val="18"/>
          <w:szCs w:val="18"/>
        </w:rPr>
        <w:t>.</w:t>
      </w:r>
    </w:p>
    <w:p w:rsidR="00226D5F" w:rsidRDefault="00226D5F" w:rsidP="001F1042">
      <w:pPr>
        <w:spacing w:line="276" w:lineRule="auto"/>
        <w:ind w:left="1560"/>
        <w:jc w:val="both"/>
        <w:rPr>
          <w:rFonts w:ascii="Arial" w:hAnsi="Arial" w:cs="Arial"/>
          <w:b/>
          <w:bCs/>
          <w:sz w:val="18"/>
          <w:szCs w:val="18"/>
        </w:rPr>
      </w:pPr>
      <w:r w:rsidRPr="00007B72">
        <w:rPr>
          <w:rFonts w:ascii="Arial" w:hAnsi="Arial" w:cs="Arial"/>
          <w:b/>
          <w:bCs/>
          <w:sz w:val="18"/>
          <w:szCs w:val="18"/>
        </w:rPr>
        <w:t xml:space="preserve">Tema a tratar: </w:t>
      </w:r>
      <w:r w:rsidRPr="00007B72">
        <w:rPr>
          <w:rFonts w:ascii="Arial" w:hAnsi="Arial" w:cs="Arial"/>
          <w:b/>
          <w:bCs/>
          <w:sz w:val="18"/>
          <w:szCs w:val="18"/>
        </w:rPr>
        <w:tab/>
        <w:t xml:space="preserve"> </w:t>
      </w:r>
    </w:p>
    <w:p w:rsidR="001F1042" w:rsidRPr="00007B72" w:rsidRDefault="001F1042" w:rsidP="001F1042">
      <w:pPr>
        <w:spacing w:line="276" w:lineRule="auto"/>
        <w:ind w:left="1560"/>
        <w:jc w:val="both"/>
        <w:rPr>
          <w:rFonts w:ascii="Arial" w:hAnsi="Arial" w:cs="Arial"/>
          <w:b/>
          <w:bCs/>
          <w:sz w:val="18"/>
          <w:szCs w:val="18"/>
        </w:rPr>
      </w:pPr>
    </w:p>
    <w:p w:rsidR="00392045" w:rsidRPr="001F1042" w:rsidRDefault="00601173" w:rsidP="001F1042">
      <w:pPr>
        <w:tabs>
          <w:tab w:val="left" w:pos="709"/>
          <w:tab w:val="left" w:pos="8647"/>
        </w:tabs>
        <w:suppressAutoHyphens/>
        <w:ind w:left="1560"/>
        <w:jc w:val="both"/>
        <w:rPr>
          <w:rFonts w:ascii="Arial" w:hAnsi="Arial" w:cs="Arial"/>
          <w:bCs/>
          <w:sz w:val="18"/>
          <w:szCs w:val="18"/>
        </w:rPr>
      </w:pPr>
      <w:r w:rsidRPr="001F1042">
        <w:rPr>
          <w:rFonts w:ascii="Arial" w:hAnsi="Arial" w:cs="Arial"/>
          <w:sz w:val="18"/>
          <w:szCs w:val="18"/>
          <w:lang w:eastAsia="es-CO"/>
        </w:rPr>
        <w:t>PENSIÓN DE JUBILACIÓN POR APORTES</w:t>
      </w:r>
      <w:r w:rsidR="001F1042" w:rsidRPr="001F1042">
        <w:rPr>
          <w:rFonts w:ascii="Arial" w:hAnsi="Arial" w:cs="Arial"/>
          <w:sz w:val="18"/>
          <w:szCs w:val="18"/>
          <w:lang w:eastAsia="es-CO"/>
        </w:rPr>
        <w:t xml:space="preserve">/ </w:t>
      </w:r>
      <w:r>
        <w:rPr>
          <w:rFonts w:ascii="Arial" w:hAnsi="Arial" w:cs="Arial"/>
          <w:sz w:val="18"/>
          <w:szCs w:val="18"/>
          <w:lang w:eastAsia="es-CO"/>
        </w:rPr>
        <w:t>Requisito de l</w:t>
      </w:r>
      <w:r w:rsidR="001F1042" w:rsidRPr="001F1042">
        <w:rPr>
          <w:rFonts w:ascii="Arial" w:hAnsi="Arial" w:cs="Arial"/>
          <w:bCs/>
          <w:sz w:val="18"/>
          <w:szCs w:val="18"/>
        </w:rPr>
        <w:t>os</w:t>
      </w:r>
      <w:r>
        <w:rPr>
          <w:rFonts w:ascii="Arial" w:hAnsi="Arial" w:cs="Arial"/>
          <w:bCs/>
          <w:sz w:val="18"/>
          <w:szCs w:val="18"/>
        </w:rPr>
        <w:t xml:space="preserve"> veinte años para obtener la prestación</w:t>
      </w:r>
      <w:r w:rsidR="001F1042" w:rsidRPr="001F1042">
        <w:rPr>
          <w:rFonts w:ascii="Arial" w:hAnsi="Arial" w:cs="Arial"/>
          <w:bCs/>
          <w:sz w:val="18"/>
          <w:szCs w:val="18"/>
        </w:rPr>
        <w:t xml:space="preserve"> equivalen a 1.028,57 semanas de cotización</w:t>
      </w:r>
    </w:p>
    <w:p w:rsidR="001F1042" w:rsidRPr="001F1042" w:rsidRDefault="001F1042" w:rsidP="001F1042">
      <w:pPr>
        <w:tabs>
          <w:tab w:val="left" w:pos="709"/>
          <w:tab w:val="left" w:pos="8647"/>
        </w:tabs>
        <w:suppressAutoHyphens/>
        <w:ind w:left="1560"/>
        <w:jc w:val="both"/>
        <w:rPr>
          <w:rFonts w:ascii="Arial" w:hAnsi="Arial" w:cs="Arial"/>
          <w:bCs/>
          <w:sz w:val="18"/>
          <w:szCs w:val="18"/>
        </w:rPr>
      </w:pPr>
    </w:p>
    <w:p w:rsidR="001F1042" w:rsidRPr="001F1042" w:rsidRDefault="00601173" w:rsidP="001F1042">
      <w:pPr>
        <w:tabs>
          <w:tab w:val="left" w:pos="709"/>
          <w:tab w:val="left" w:pos="8647"/>
        </w:tabs>
        <w:suppressAutoHyphens/>
        <w:ind w:left="1560"/>
        <w:jc w:val="both"/>
        <w:rPr>
          <w:rFonts w:ascii="Arial" w:hAnsi="Arial" w:cs="Arial"/>
          <w:iCs/>
          <w:sz w:val="18"/>
          <w:szCs w:val="18"/>
        </w:rPr>
      </w:pPr>
      <w:r>
        <w:rPr>
          <w:rFonts w:ascii="Arial" w:hAnsi="Arial" w:cs="Arial"/>
          <w:iCs/>
          <w:sz w:val="18"/>
          <w:szCs w:val="18"/>
        </w:rPr>
        <w:t>“</w:t>
      </w:r>
      <w:r w:rsidR="001F1042" w:rsidRPr="001F1042">
        <w:rPr>
          <w:rFonts w:ascii="Arial" w:hAnsi="Arial" w:cs="Arial"/>
          <w:iCs/>
          <w:sz w:val="18"/>
          <w:szCs w:val="18"/>
        </w:rPr>
        <w:t>Teniendo en cuenta que no existe discusión frente a la acreditación de la edad de la actora y que durante toda su vida laboral, según las cuentas halladas por la funcionaria de primer grado, efectuó aportes o cotizaciones equivalentes a 1.006,86 semanas, y atendiendo la interpretación expuesta en precedencia, no queda otro camino que concluir que la señora María Cristina Jaimes Noreña no cumplió con los presupuestos indispensables para acceder a la pensión de jubilación por aportes prevista en el artículo 1° de la Ley 71 de 1988.</w:t>
      </w:r>
      <w:r>
        <w:rPr>
          <w:rFonts w:ascii="Arial" w:hAnsi="Arial" w:cs="Arial"/>
          <w:iCs/>
          <w:sz w:val="18"/>
          <w:szCs w:val="18"/>
        </w:rPr>
        <w:t>”</w:t>
      </w:r>
    </w:p>
    <w:p w:rsidR="001F1042" w:rsidRPr="001F1042" w:rsidRDefault="001F1042" w:rsidP="001F1042">
      <w:pPr>
        <w:tabs>
          <w:tab w:val="left" w:pos="709"/>
          <w:tab w:val="left" w:pos="8647"/>
        </w:tabs>
        <w:suppressAutoHyphens/>
        <w:ind w:left="1560"/>
        <w:jc w:val="both"/>
        <w:rPr>
          <w:rFonts w:ascii="Arial" w:hAnsi="Arial" w:cs="Arial"/>
          <w:iCs/>
          <w:sz w:val="18"/>
          <w:szCs w:val="18"/>
        </w:rPr>
      </w:pPr>
    </w:p>
    <w:p w:rsidR="00392045" w:rsidRPr="00601173" w:rsidRDefault="00A85909" w:rsidP="001F1042">
      <w:pPr>
        <w:tabs>
          <w:tab w:val="left" w:pos="709"/>
          <w:tab w:val="left" w:pos="8647"/>
        </w:tabs>
        <w:suppressAutoHyphens/>
        <w:ind w:left="1560"/>
        <w:jc w:val="both"/>
        <w:rPr>
          <w:rFonts w:ascii="Arial" w:hAnsi="Arial" w:cs="Arial"/>
          <w:iCs/>
          <w:sz w:val="16"/>
          <w:szCs w:val="18"/>
        </w:rPr>
      </w:pPr>
      <w:r w:rsidRPr="00601173">
        <w:rPr>
          <w:rFonts w:ascii="Arial" w:hAnsi="Arial" w:cs="Arial"/>
          <w:iCs/>
          <w:sz w:val="16"/>
          <w:szCs w:val="18"/>
        </w:rPr>
        <w:t>Citas: Corte Suprema de Justicia, Sala Laboral,</w:t>
      </w:r>
      <w:r w:rsidR="00601173">
        <w:rPr>
          <w:rFonts w:ascii="Arial" w:hAnsi="Arial" w:cs="Arial"/>
          <w:iCs/>
          <w:sz w:val="16"/>
          <w:szCs w:val="18"/>
        </w:rPr>
        <w:t xml:space="preserve"> providencia</w:t>
      </w:r>
      <w:r w:rsidRPr="00601173">
        <w:rPr>
          <w:rFonts w:ascii="Arial" w:hAnsi="Arial" w:cs="Arial"/>
          <w:iCs/>
          <w:sz w:val="16"/>
          <w:szCs w:val="18"/>
        </w:rPr>
        <w:t xml:space="preserve"> </w:t>
      </w:r>
      <w:r w:rsidR="00601173" w:rsidRPr="00601173">
        <w:rPr>
          <w:rFonts w:ascii="Arial" w:hAnsi="Arial" w:cs="Arial"/>
          <w:sz w:val="16"/>
          <w:szCs w:val="18"/>
          <w:lang w:val="es-AR"/>
        </w:rPr>
        <w:t>de 25 de marzo de 2015</w:t>
      </w:r>
      <w:r w:rsidR="00601173">
        <w:rPr>
          <w:rFonts w:ascii="Arial" w:hAnsi="Arial" w:cs="Arial"/>
          <w:sz w:val="16"/>
          <w:szCs w:val="18"/>
          <w:lang w:val="es-AR"/>
        </w:rPr>
        <w:t xml:space="preserve"> -</w:t>
      </w:r>
      <w:r w:rsidR="00601173">
        <w:rPr>
          <w:rFonts w:ascii="Arial" w:hAnsi="Arial" w:cs="Arial"/>
          <w:sz w:val="16"/>
          <w:szCs w:val="18"/>
        </w:rPr>
        <w:t>r</w:t>
      </w:r>
      <w:r w:rsidRPr="00601173">
        <w:rPr>
          <w:rFonts w:ascii="Arial" w:hAnsi="Arial" w:cs="Arial"/>
          <w:sz w:val="16"/>
          <w:szCs w:val="18"/>
        </w:rPr>
        <w:t>ad</w:t>
      </w:r>
      <w:r w:rsidR="00601173">
        <w:rPr>
          <w:rFonts w:ascii="Arial" w:hAnsi="Arial" w:cs="Arial"/>
          <w:sz w:val="16"/>
          <w:szCs w:val="18"/>
        </w:rPr>
        <w:t>.</w:t>
      </w:r>
      <w:r w:rsidRPr="00601173">
        <w:rPr>
          <w:rFonts w:ascii="Arial" w:hAnsi="Arial" w:cs="Arial"/>
          <w:sz w:val="16"/>
          <w:szCs w:val="18"/>
        </w:rPr>
        <w:t xml:space="preserve"> 53082</w:t>
      </w:r>
      <w:r w:rsidR="00601173">
        <w:rPr>
          <w:rFonts w:ascii="Arial" w:hAnsi="Arial" w:cs="Arial"/>
          <w:sz w:val="16"/>
          <w:szCs w:val="18"/>
        </w:rPr>
        <w:t>-.</w:t>
      </w:r>
      <w:r w:rsidRPr="00601173">
        <w:rPr>
          <w:rFonts w:ascii="Arial" w:hAnsi="Arial" w:cs="Arial"/>
          <w:sz w:val="16"/>
          <w:szCs w:val="18"/>
          <w:lang w:val="es-AR"/>
        </w:rPr>
        <w:t xml:space="preserve"> </w:t>
      </w:r>
    </w:p>
    <w:p w:rsidR="00226D5F" w:rsidRPr="00AC486E" w:rsidRDefault="00226D5F" w:rsidP="00601173">
      <w:pPr>
        <w:spacing w:line="276" w:lineRule="auto"/>
        <w:jc w:val="both"/>
        <w:rPr>
          <w:rFonts w:ascii="Arial" w:hAnsi="Arial" w:cs="Arial"/>
          <w:bCs/>
          <w:i/>
          <w:color w:val="00B0F0"/>
          <w:sz w:val="18"/>
          <w:szCs w:val="18"/>
          <w:lang w:val="es-ES"/>
        </w:rPr>
      </w:pPr>
      <w:bookmarkStart w:id="0" w:name="_GoBack"/>
      <w:bookmarkEnd w:id="0"/>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440CA" w:rsidP="00F017BF">
      <w:pPr>
        <w:spacing w:line="276" w:lineRule="auto"/>
        <w:ind w:left="2127" w:hanging="1276"/>
        <w:jc w:val="center"/>
        <w:rPr>
          <w:rFonts w:ascii="Arial" w:hAnsi="Arial" w:cs="Arial"/>
          <w:b/>
          <w:szCs w:val="24"/>
        </w:rPr>
      </w:pPr>
      <w:r>
        <w:rPr>
          <w:rFonts w:ascii="Arial" w:hAnsi="Arial" w:cs="Arial"/>
          <w:b/>
          <w:szCs w:val="24"/>
        </w:rPr>
        <w:t>MAGISTRADO PONENTE: ISSA RAFAEL ULLOQUE TOSCANO</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3440CA" w:rsidRDefault="00226D5F" w:rsidP="00F017BF">
      <w:pPr>
        <w:spacing w:line="276" w:lineRule="auto"/>
        <w:ind w:firstLine="851"/>
        <w:jc w:val="both"/>
        <w:rPr>
          <w:rFonts w:ascii="Arial" w:hAnsi="Arial" w:cs="Arial"/>
          <w:bCs/>
          <w:iCs/>
          <w:szCs w:val="24"/>
        </w:rPr>
      </w:pPr>
      <w:r w:rsidRPr="00AC486E">
        <w:rPr>
          <w:rFonts w:ascii="Arial" w:eastAsia="Calibri" w:hAnsi="Arial" w:cs="Arial"/>
          <w:szCs w:val="24"/>
          <w:lang w:val="es-CO" w:eastAsia="en-US"/>
        </w:rPr>
        <w:t xml:space="preserve">En Pereira, a los </w:t>
      </w:r>
      <w:r w:rsidR="007C5A02">
        <w:rPr>
          <w:rFonts w:ascii="Arial" w:eastAsia="Calibri" w:hAnsi="Arial" w:cs="Arial"/>
          <w:szCs w:val="24"/>
          <w:lang w:val="es-CO" w:eastAsia="en-US"/>
        </w:rPr>
        <w:t xml:space="preserve">ocho </w:t>
      </w:r>
      <w:r w:rsidRPr="00AC486E">
        <w:rPr>
          <w:rFonts w:ascii="Arial" w:eastAsia="Calibri" w:hAnsi="Arial" w:cs="Arial"/>
          <w:szCs w:val="24"/>
          <w:lang w:val="es-CO" w:eastAsia="en-US"/>
        </w:rPr>
        <w:t>(</w:t>
      </w:r>
      <w:r w:rsidR="007C5A02">
        <w:rPr>
          <w:rFonts w:ascii="Arial" w:eastAsia="Calibri" w:hAnsi="Arial" w:cs="Arial"/>
          <w:szCs w:val="24"/>
          <w:lang w:val="es-CO" w:eastAsia="en-US"/>
        </w:rPr>
        <w:t>08</w:t>
      </w:r>
      <w:r w:rsidRPr="00AC486E">
        <w:rPr>
          <w:rFonts w:ascii="Arial" w:eastAsia="Calibri" w:hAnsi="Arial" w:cs="Arial"/>
          <w:szCs w:val="24"/>
          <w:lang w:val="es-CO" w:eastAsia="en-US"/>
        </w:rPr>
        <w:t xml:space="preserve">) días del mes de </w:t>
      </w:r>
      <w:r w:rsidR="007C5A02">
        <w:rPr>
          <w:rFonts w:ascii="Arial" w:eastAsia="Calibri" w:hAnsi="Arial" w:cs="Arial"/>
          <w:szCs w:val="24"/>
          <w:lang w:val="es-CO" w:eastAsia="en-US"/>
        </w:rPr>
        <w:t xml:space="preserve">marzo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8261E9">
        <w:rPr>
          <w:rFonts w:ascii="Arial" w:eastAsia="Calibri" w:hAnsi="Arial" w:cs="Arial"/>
          <w:szCs w:val="24"/>
          <w:lang w:val="es-CO" w:eastAsia="en-US"/>
        </w:rPr>
        <w:t xml:space="preserve">diez </w:t>
      </w:r>
      <w:r w:rsidR="00C1062A" w:rsidRPr="00AC486E">
        <w:rPr>
          <w:rFonts w:ascii="Arial" w:eastAsia="Calibri" w:hAnsi="Arial" w:cs="Arial"/>
          <w:szCs w:val="24"/>
          <w:lang w:val="es-CO" w:eastAsia="en-US"/>
        </w:rPr>
        <w:t>de la mañana (</w:t>
      </w:r>
      <w:r w:rsidR="007C5A02">
        <w:rPr>
          <w:rFonts w:ascii="Arial" w:eastAsia="Calibri" w:hAnsi="Arial" w:cs="Arial"/>
          <w:szCs w:val="24"/>
          <w:lang w:val="es-CO" w:eastAsia="en-US"/>
        </w:rPr>
        <w:t>09:00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8261E9">
        <w:rPr>
          <w:rFonts w:ascii="Arial" w:hAnsi="Arial" w:cs="Arial"/>
          <w:bCs/>
          <w:color w:val="000000"/>
          <w:szCs w:val="24"/>
          <w:lang w:eastAsia="es-CO"/>
        </w:rPr>
        <w:t xml:space="preserve">recurso de apelación 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8261E9">
        <w:rPr>
          <w:rFonts w:ascii="Arial" w:hAnsi="Arial" w:cs="Arial"/>
          <w:szCs w:val="24"/>
        </w:rPr>
        <w:t xml:space="preserve">26 </w:t>
      </w:r>
      <w:r w:rsidRPr="00AC486E">
        <w:rPr>
          <w:rFonts w:ascii="Arial" w:hAnsi="Arial" w:cs="Arial"/>
          <w:szCs w:val="24"/>
        </w:rPr>
        <w:t xml:space="preserve">de </w:t>
      </w:r>
      <w:r w:rsidR="008261E9">
        <w:rPr>
          <w:rFonts w:ascii="Arial" w:hAnsi="Arial" w:cs="Arial"/>
          <w:szCs w:val="24"/>
        </w:rPr>
        <w:t xml:space="preserve">noviembre </w:t>
      </w:r>
      <w:r w:rsidRPr="00AC486E">
        <w:rPr>
          <w:rFonts w:ascii="Arial" w:hAnsi="Arial" w:cs="Arial"/>
          <w:szCs w:val="24"/>
        </w:rPr>
        <w:t>de 201</w:t>
      </w:r>
      <w:r w:rsidR="003440CA">
        <w:rPr>
          <w:rFonts w:ascii="Arial" w:hAnsi="Arial" w:cs="Arial"/>
          <w:szCs w:val="24"/>
        </w:rPr>
        <w:t>5</w:t>
      </w:r>
      <w:r w:rsidRPr="00AC486E">
        <w:rPr>
          <w:rFonts w:ascii="Arial" w:hAnsi="Arial" w:cs="Arial"/>
          <w:szCs w:val="24"/>
        </w:rPr>
        <w:t xml:space="preserve"> por el Juzgado </w:t>
      </w:r>
      <w:r w:rsidR="008261E9">
        <w:rPr>
          <w:rFonts w:ascii="Arial" w:hAnsi="Arial" w:cs="Arial"/>
          <w:szCs w:val="24"/>
        </w:rPr>
        <w:t xml:space="preserve">Cuarto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la señora </w:t>
      </w:r>
      <w:r w:rsidR="008261E9">
        <w:rPr>
          <w:rFonts w:ascii="Arial" w:hAnsi="Arial" w:cs="Arial"/>
          <w:b/>
          <w:szCs w:val="24"/>
        </w:rPr>
        <w:t xml:space="preserve">María Cristina Jaimes Noreña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Pr="003440CA">
        <w:rPr>
          <w:rFonts w:ascii="Arial" w:hAnsi="Arial" w:cs="Arial"/>
          <w:bCs/>
          <w:iCs/>
          <w:szCs w:val="24"/>
        </w:rPr>
        <w:t>.</w:t>
      </w:r>
    </w:p>
    <w:p w:rsidR="00226D5F" w:rsidRPr="00AC486E" w:rsidRDefault="00226D5F" w:rsidP="00F017BF">
      <w:pPr>
        <w:spacing w:line="276" w:lineRule="auto"/>
        <w:ind w:firstLine="851"/>
        <w:jc w:val="both"/>
        <w:rPr>
          <w:rFonts w:ascii="Arial" w:hAnsi="Arial" w:cs="Arial"/>
          <w:bCs/>
          <w:iCs/>
          <w:szCs w:val="24"/>
        </w:rPr>
      </w:pPr>
    </w:p>
    <w:p w:rsidR="00226D5F" w:rsidRPr="00AC486E" w:rsidRDefault="00226D5F" w:rsidP="00F017BF">
      <w:pPr>
        <w:shd w:val="clear" w:color="auto" w:fill="FFFFFF"/>
        <w:spacing w:line="276" w:lineRule="auto"/>
        <w:jc w:val="both"/>
        <w:rPr>
          <w:rFonts w:ascii="Arial" w:hAnsi="Arial" w:cs="Arial"/>
          <w:b/>
          <w:bCs/>
          <w:i/>
          <w:color w:val="000000"/>
          <w:szCs w:val="24"/>
          <w:lang w:eastAsia="es-CO"/>
        </w:rPr>
      </w:pPr>
    </w:p>
    <w:p w:rsidR="00502691" w:rsidRPr="00502691" w:rsidRDefault="00226D5F" w:rsidP="00F017BF">
      <w:pPr>
        <w:spacing w:line="276" w:lineRule="auto"/>
        <w:ind w:firstLine="851"/>
        <w:rPr>
          <w:rFonts w:ascii="Arial" w:hAnsi="Arial" w:cs="Arial"/>
          <w:b/>
          <w:szCs w:val="24"/>
        </w:rPr>
      </w:pPr>
      <w:r w:rsidRPr="00502691">
        <w:rPr>
          <w:rFonts w:ascii="Arial" w:hAnsi="Arial" w:cs="Arial"/>
          <w:b/>
          <w:szCs w:val="24"/>
        </w:rPr>
        <w:t xml:space="preserve">I. </w:t>
      </w:r>
      <w:r w:rsidR="00502691"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502691" w:rsidRDefault="00502691" w:rsidP="00F017BF">
      <w:pPr>
        <w:spacing w:line="276" w:lineRule="auto"/>
        <w:ind w:firstLine="851"/>
        <w:rPr>
          <w:rFonts w:ascii="Arial" w:hAnsi="Arial" w:cs="Arial"/>
          <w:szCs w:val="24"/>
        </w:rPr>
      </w:pPr>
      <w:r>
        <w:rPr>
          <w:rFonts w:ascii="Arial" w:hAnsi="Arial" w:cs="Arial"/>
          <w:szCs w:val="24"/>
        </w:rPr>
        <w:t>Demandante y su apodera</w:t>
      </w:r>
      <w:r w:rsidR="005E0ED1">
        <w:rPr>
          <w:rFonts w:ascii="Arial" w:hAnsi="Arial" w:cs="Arial"/>
          <w:szCs w:val="24"/>
        </w:rPr>
        <w:t xml:space="preserve">do: </w:t>
      </w:r>
      <w:r w:rsidR="005E0ED1">
        <w:rPr>
          <w:rFonts w:ascii="Arial" w:hAnsi="Arial" w:cs="Arial"/>
          <w:szCs w:val="24"/>
        </w:rPr>
        <w:tab/>
      </w:r>
      <w:r w:rsidR="005E0ED1">
        <w:rPr>
          <w:rFonts w:ascii="Arial" w:hAnsi="Arial" w:cs="Arial"/>
          <w:szCs w:val="24"/>
        </w:rPr>
        <w:tab/>
      </w:r>
      <w:r w:rsidR="008261E9">
        <w:rPr>
          <w:rFonts w:ascii="Arial" w:hAnsi="Arial" w:cs="Arial"/>
          <w:szCs w:val="24"/>
        </w:rPr>
        <w:tab/>
      </w:r>
      <w:r w:rsidR="005E0ED1">
        <w:rPr>
          <w:rFonts w:ascii="Arial" w:hAnsi="Arial" w:cs="Arial"/>
          <w:szCs w:val="24"/>
        </w:rPr>
        <w:t>Demandado y su apoderado:</w:t>
      </w:r>
    </w:p>
    <w:p w:rsidR="00272C8B" w:rsidRDefault="00272C8B" w:rsidP="00F017BF">
      <w:pPr>
        <w:spacing w:line="276" w:lineRule="auto"/>
        <w:ind w:firstLine="851"/>
        <w:rPr>
          <w:rFonts w:ascii="Arial" w:hAnsi="Arial" w:cs="Arial"/>
          <w:szCs w:val="24"/>
        </w:rPr>
      </w:pPr>
    </w:p>
    <w:p w:rsidR="00272C8B" w:rsidRPr="001A1834" w:rsidRDefault="00272C8B" w:rsidP="00272C8B">
      <w:pPr>
        <w:spacing w:line="276" w:lineRule="auto"/>
        <w:ind w:left="709" w:firstLine="142"/>
        <w:contextualSpacing/>
        <w:jc w:val="both"/>
        <w:rPr>
          <w:rFonts w:ascii="Arial" w:hAnsi="Arial" w:cs="Arial"/>
          <w:szCs w:val="24"/>
        </w:rPr>
      </w:pPr>
    </w:p>
    <w:p w:rsidR="00272C8B" w:rsidRPr="008261E9" w:rsidRDefault="00272C8B" w:rsidP="00272C8B">
      <w:pPr>
        <w:pStyle w:val="Prrafodelista"/>
        <w:numPr>
          <w:ilvl w:val="0"/>
          <w:numId w:val="5"/>
        </w:numPr>
        <w:spacing w:line="276" w:lineRule="auto"/>
        <w:jc w:val="both"/>
        <w:rPr>
          <w:rFonts w:ascii="Arial" w:hAnsi="Arial" w:cs="Arial"/>
          <w:b/>
          <w:sz w:val="24"/>
          <w:szCs w:val="24"/>
        </w:rPr>
      </w:pPr>
      <w:r w:rsidRPr="008261E9">
        <w:rPr>
          <w:rFonts w:ascii="Arial" w:hAnsi="Arial" w:cs="Arial"/>
          <w:b/>
          <w:sz w:val="24"/>
          <w:szCs w:val="24"/>
        </w:rPr>
        <w:t>TRASLADO A LAS PARTES</w:t>
      </w:r>
    </w:p>
    <w:p w:rsidR="00272C8B" w:rsidRPr="001A1834" w:rsidRDefault="00272C8B" w:rsidP="00272C8B">
      <w:pPr>
        <w:spacing w:line="276" w:lineRule="auto"/>
        <w:contextualSpacing/>
        <w:jc w:val="both"/>
        <w:rPr>
          <w:rFonts w:ascii="Arial" w:hAnsi="Arial" w:cs="Arial"/>
          <w:szCs w:val="24"/>
        </w:rPr>
      </w:pPr>
      <w:r w:rsidRPr="001A1834">
        <w:rPr>
          <w:rFonts w:ascii="Arial" w:hAnsi="Arial" w:cs="Arial"/>
          <w:szCs w:val="24"/>
        </w:rPr>
        <w:t xml:space="preserve"> </w:t>
      </w:r>
    </w:p>
    <w:p w:rsidR="00272C8B" w:rsidRDefault="00272C8B" w:rsidP="00272C8B">
      <w:pPr>
        <w:spacing w:line="276" w:lineRule="auto"/>
        <w:ind w:firstLine="708"/>
        <w:contextualSpacing/>
        <w:jc w:val="both"/>
        <w:rPr>
          <w:rFonts w:ascii="Arial" w:hAnsi="Arial" w:cs="Arial"/>
          <w:szCs w:val="24"/>
        </w:rPr>
      </w:pPr>
      <w:r w:rsidRPr="001A1834">
        <w:rPr>
          <w:rFonts w:ascii="Arial" w:hAnsi="Arial" w:cs="Arial"/>
          <w:szCs w:val="24"/>
        </w:rPr>
        <w:t>En este estado se corre traslado a los asistentes para que presenten sus alegatos.</w:t>
      </w:r>
    </w:p>
    <w:p w:rsidR="00272C8B" w:rsidRPr="00502691" w:rsidRDefault="00272C8B" w:rsidP="00F017BF">
      <w:pPr>
        <w:spacing w:line="276" w:lineRule="auto"/>
        <w:ind w:firstLine="851"/>
        <w:rPr>
          <w:rFonts w:ascii="Arial" w:hAnsi="Arial" w:cs="Arial"/>
          <w:szCs w:val="24"/>
        </w:rPr>
      </w:pPr>
    </w:p>
    <w:p w:rsidR="00502691" w:rsidRDefault="00502691" w:rsidP="00F017BF">
      <w:pPr>
        <w:spacing w:line="276" w:lineRule="auto"/>
        <w:ind w:firstLine="851"/>
        <w:rPr>
          <w:rFonts w:ascii="Arial" w:hAnsi="Arial" w:cs="Arial"/>
          <w:szCs w:val="24"/>
        </w:rPr>
      </w:pPr>
    </w:p>
    <w:p w:rsidR="00226D5F" w:rsidRPr="00637118" w:rsidRDefault="00272C8B" w:rsidP="00F017BF">
      <w:pPr>
        <w:spacing w:line="276" w:lineRule="auto"/>
        <w:ind w:firstLine="851"/>
        <w:rPr>
          <w:rFonts w:ascii="Arial" w:hAnsi="Arial" w:cs="Arial"/>
          <w:b/>
          <w:szCs w:val="24"/>
        </w:rPr>
      </w:pPr>
      <w:r>
        <w:rPr>
          <w:rFonts w:ascii="Arial" w:hAnsi="Arial" w:cs="Arial"/>
          <w:b/>
          <w:szCs w:val="24"/>
        </w:rPr>
        <w:t>I</w:t>
      </w:r>
      <w:r w:rsidR="00637118" w:rsidRPr="00637118">
        <w:rPr>
          <w:rFonts w:ascii="Arial" w:hAnsi="Arial" w:cs="Arial"/>
          <w:b/>
          <w:szCs w:val="24"/>
        </w:rPr>
        <w:t>II. ANTECEDENTES:</w:t>
      </w:r>
    </w:p>
    <w:p w:rsidR="00226D5F" w:rsidRPr="00AC486E" w:rsidRDefault="00226D5F" w:rsidP="00F017BF">
      <w:pPr>
        <w:pStyle w:val="Sinespaciado"/>
        <w:spacing w:line="276" w:lineRule="auto"/>
        <w:rPr>
          <w:rFonts w:ascii="Arial" w:hAnsi="Arial" w:cs="Arial"/>
          <w:sz w:val="24"/>
          <w:szCs w:val="24"/>
        </w:rPr>
      </w:pPr>
    </w:p>
    <w:p w:rsidR="00226D5F" w:rsidRDefault="00A957FB" w:rsidP="00F017BF">
      <w:pPr>
        <w:spacing w:line="276" w:lineRule="auto"/>
        <w:ind w:firstLine="900"/>
        <w:jc w:val="both"/>
        <w:rPr>
          <w:rFonts w:ascii="Arial" w:hAnsi="Arial" w:cs="Arial"/>
          <w:szCs w:val="24"/>
        </w:rPr>
      </w:pPr>
      <w:r>
        <w:rPr>
          <w:rFonts w:ascii="Arial" w:hAnsi="Arial" w:cs="Arial"/>
          <w:szCs w:val="24"/>
        </w:rPr>
        <w:t xml:space="preserve">Pretende la señora </w:t>
      </w:r>
      <w:r w:rsidR="008261E9">
        <w:rPr>
          <w:rFonts w:ascii="Arial" w:hAnsi="Arial" w:cs="Arial"/>
          <w:szCs w:val="24"/>
        </w:rPr>
        <w:t>María Cristina Jaimes Noreña</w:t>
      </w:r>
      <w:r w:rsidR="00226D5F" w:rsidRPr="00AC486E">
        <w:rPr>
          <w:rFonts w:ascii="Arial" w:hAnsi="Arial" w:cs="Arial"/>
          <w:b/>
          <w:szCs w:val="24"/>
        </w:rPr>
        <w:t>,</w:t>
      </w:r>
      <w:r w:rsidR="00226D5F" w:rsidRPr="00AC486E">
        <w:rPr>
          <w:rFonts w:ascii="Arial" w:hAnsi="Arial" w:cs="Arial"/>
          <w:szCs w:val="24"/>
        </w:rPr>
        <w:t xml:space="preserve"> que </w:t>
      </w:r>
      <w:r w:rsidR="008261E9">
        <w:rPr>
          <w:rFonts w:ascii="Arial" w:hAnsi="Arial" w:cs="Arial"/>
          <w:szCs w:val="24"/>
        </w:rPr>
        <w:t xml:space="preserve">se declare que es beneficiaria del régimen de transición previsto en el artículo 36 de la Ley 100 de 1993 y que se encuentra válidamente vinculada al régimen de prima media con </w:t>
      </w:r>
      <w:r w:rsidR="008261E9">
        <w:rPr>
          <w:rFonts w:ascii="Arial" w:hAnsi="Arial" w:cs="Arial"/>
          <w:szCs w:val="24"/>
        </w:rPr>
        <w:lastRenderedPageBreak/>
        <w:t>prestación definida y, por lo tanto, se le ordene a la Administradora Colombiana de Pensiones –COLPENSIONES- que le reconozca la pensión de jubilación por aportes de que trata la Ley 71 de 1988 a partir del retiro del sistema, junto con los intereses moratorios del artículo 141 de la Ley 100 de 1993, las costas procesales y lo ultra o extra petita que resulta probado dentro de la presente actuación.</w:t>
      </w:r>
    </w:p>
    <w:p w:rsidR="00A957FB" w:rsidRPr="00AC486E" w:rsidRDefault="00A957FB" w:rsidP="00F017BF">
      <w:pPr>
        <w:spacing w:line="276" w:lineRule="auto"/>
        <w:ind w:firstLine="900"/>
        <w:jc w:val="both"/>
        <w:rPr>
          <w:rFonts w:ascii="Arial" w:hAnsi="Arial" w:cs="Arial"/>
          <w:szCs w:val="24"/>
        </w:rPr>
      </w:pPr>
    </w:p>
    <w:p w:rsidR="007D40B8" w:rsidRDefault="00A957FB" w:rsidP="008261E9">
      <w:pPr>
        <w:spacing w:line="276" w:lineRule="auto"/>
        <w:ind w:firstLine="708"/>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915EE3">
        <w:rPr>
          <w:rFonts w:ascii="Arial" w:hAnsi="Arial" w:cs="Arial"/>
          <w:szCs w:val="24"/>
        </w:rPr>
        <w:t xml:space="preserve"> </w:t>
      </w:r>
      <w:r w:rsidR="008261E9">
        <w:rPr>
          <w:rFonts w:ascii="Arial" w:hAnsi="Arial" w:cs="Arial"/>
          <w:szCs w:val="24"/>
        </w:rPr>
        <w:t>nació el 19 de abril de 1957, por lo que para esa fecha del año 2012 cumplió 55 años de edad; que para el 1° de julio de 1995 se encontraba laborando en el Municipio de Pereira, es</w:t>
      </w:r>
      <w:r w:rsidR="007D40B8">
        <w:rPr>
          <w:rFonts w:ascii="Arial" w:hAnsi="Arial" w:cs="Arial"/>
          <w:szCs w:val="24"/>
        </w:rPr>
        <w:t>to es</w:t>
      </w:r>
      <w:r w:rsidR="008261E9">
        <w:rPr>
          <w:rFonts w:ascii="Arial" w:hAnsi="Arial" w:cs="Arial"/>
          <w:szCs w:val="24"/>
        </w:rPr>
        <w:t>, cuando entró a regir la Ley 100 de 1993</w:t>
      </w:r>
      <w:r w:rsidR="00862EBC">
        <w:rPr>
          <w:rFonts w:ascii="Arial" w:hAnsi="Arial" w:cs="Arial"/>
          <w:szCs w:val="24"/>
        </w:rPr>
        <w:t xml:space="preserve"> </w:t>
      </w:r>
      <w:r w:rsidR="00586CB3">
        <w:rPr>
          <w:rFonts w:ascii="Arial" w:hAnsi="Arial" w:cs="Arial"/>
          <w:szCs w:val="24"/>
        </w:rPr>
        <w:t xml:space="preserve">en </w:t>
      </w:r>
      <w:r w:rsidR="00862EBC">
        <w:rPr>
          <w:rFonts w:ascii="Arial" w:hAnsi="Arial" w:cs="Arial"/>
          <w:szCs w:val="24"/>
        </w:rPr>
        <w:t xml:space="preserve">esa entidad territorial, </w:t>
      </w:r>
      <w:r w:rsidR="00586CB3">
        <w:rPr>
          <w:rFonts w:ascii="Arial" w:hAnsi="Arial" w:cs="Arial"/>
          <w:szCs w:val="24"/>
        </w:rPr>
        <w:t>momento en el cual contaba con 38 años de edad y por ende, era beneficiaria el régimen de transición, que ha presentado en dos ocasiones solicitud de reconocimiento de la pensión, la primera le fue negada y de la segunda a</w:t>
      </w:r>
      <w:r w:rsidR="007D40B8">
        <w:rPr>
          <w:rFonts w:ascii="Arial" w:hAnsi="Arial" w:cs="Arial"/>
          <w:szCs w:val="24"/>
        </w:rPr>
        <w:t xml:space="preserve">ún no ha recibido respuesta; que de acuerdo a los tiempos de servicios laborales en el sector público y privado cuenta con 1011.18 semanas; que en el año 2013 Porvenir S.A. le certificó que se encontraba válidamente afiliada a Colpensiones y que para el 22 de julio de 2005 contaba con más de 750 semanas cotizadas. </w:t>
      </w:r>
    </w:p>
    <w:p w:rsidR="007D40B8" w:rsidRDefault="007D40B8" w:rsidP="008261E9">
      <w:pPr>
        <w:spacing w:line="276" w:lineRule="auto"/>
        <w:ind w:firstLine="708"/>
        <w:jc w:val="both"/>
        <w:rPr>
          <w:rFonts w:ascii="Arial" w:hAnsi="Arial" w:cs="Arial"/>
          <w:szCs w:val="24"/>
        </w:rPr>
      </w:pPr>
    </w:p>
    <w:p w:rsidR="008261E9" w:rsidRPr="00AC486E" w:rsidRDefault="008261E9" w:rsidP="008261E9">
      <w:pPr>
        <w:spacing w:line="276" w:lineRule="auto"/>
        <w:ind w:firstLine="708"/>
        <w:jc w:val="both"/>
        <w:rPr>
          <w:rFonts w:ascii="Arial" w:hAnsi="Arial" w:cs="Arial"/>
          <w:szCs w:val="24"/>
        </w:rPr>
      </w:pPr>
    </w:p>
    <w:p w:rsidR="00226D5F" w:rsidRDefault="00226D5F" w:rsidP="003B4EA7">
      <w:pPr>
        <w:spacing w:line="276" w:lineRule="auto"/>
        <w:ind w:firstLine="708"/>
        <w:jc w:val="both"/>
        <w:rPr>
          <w:rFonts w:ascii="Arial" w:hAnsi="Arial" w:cs="Arial"/>
          <w:szCs w:val="24"/>
        </w:rPr>
      </w:pPr>
      <w:r w:rsidRPr="00AC486E">
        <w:rPr>
          <w:rFonts w:ascii="Arial" w:hAnsi="Arial" w:cs="Arial"/>
          <w:szCs w:val="24"/>
        </w:rPr>
        <w:t xml:space="preserve">La </w:t>
      </w:r>
      <w:r w:rsidRPr="00915EE3">
        <w:rPr>
          <w:rFonts w:ascii="Arial" w:hAnsi="Arial" w:cs="Arial"/>
          <w:b/>
          <w:szCs w:val="24"/>
        </w:rPr>
        <w:t xml:space="preserve">Administradora Colombiana de Pensiones </w:t>
      </w:r>
      <w:r w:rsidR="00915EE3">
        <w:rPr>
          <w:rFonts w:ascii="Arial" w:hAnsi="Arial" w:cs="Arial"/>
          <w:b/>
          <w:szCs w:val="24"/>
        </w:rPr>
        <w:t>-</w:t>
      </w:r>
      <w:r w:rsidR="00915EE3" w:rsidRPr="00915EE3">
        <w:rPr>
          <w:rFonts w:ascii="Arial" w:hAnsi="Arial" w:cs="Arial"/>
          <w:b/>
          <w:bCs/>
          <w:szCs w:val="24"/>
        </w:rPr>
        <w:t>COLPENSIONES</w:t>
      </w:r>
      <w:r w:rsidR="00915EE3">
        <w:rPr>
          <w:rFonts w:ascii="Arial" w:hAnsi="Arial" w:cs="Arial"/>
          <w:b/>
          <w:bCs/>
          <w:szCs w:val="24"/>
        </w:rPr>
        <w:t>-</w:t>
      </w:r>
      <w:r w:rsidRPr="00AC486E">
        <w:rPr>
          <w:rFonts w:ascii="Arial" w:hAnsi="Arial" w:cs="Arial"/>
          <w:b/>
          <w:i/>
          <w:szCs w:val="24"/>
        </w:rPr>
        <w:t>,</w:t>
      </w:r>
      <w:r w:rsidRPr="00AC486E">
        <w:rPr>
          <w:rFonts w:ascii="Arial" w:hAnsi="Arial" w:cs="Arial"/>
          <w:szCs w:val="24"/>
        </w:rPr>
        <w:t xml:space="preserve"> </w:t>
      </w:r>
      <w:r w:rsidR="006D0816" w:rsidRPr="00AC486E">
        <w:rPr>
          <w:rFonts w:ascii="Arial" w:hAnsi="Arial" w:cs="Arial"/>
          <w:szCs w:val="24"/>
        </w:rPr>
        <w:t xml:space="preserve">se opuso a las pretensiones de la demanda, argumentando que </w:t>
      </w:r>
      <w:r w:rsidR="003B4EA7">
        <w:rPr>
          <w:rFonts w:ascii="Arial" w:hAnsi="Arial" w:cs="Arial"/>
          <w:szCs w:val="24"/>
        </w:rPr>
        <w:t>en el presente caso no se presentó una multiafiliación sino un traslado de régimen y como consecuencia ello, la señora Jaimes Noreña perdió el régimen de transición y, por ende, la posibilidad de pensionarse bajo los postulados de la Ley 71 de 877</w:t>
      </w:r>
      <w:r w:rsidR="006D0816" w:rsidRPr="00AC486E">
        <w:rPr>
          <w:rFonts w:ascii="Arial" w:hAnsi="Arial" w:cs="Arial"/>
          <w:szCs w:val="24"/>
        </w:rPr>
        <w:t>. Propuso como excepciones de mérito las que denominó “</w:t>
      </w:r>
      <w:r w:rsidR="00567B33">
        <w:rPr>
          <w:rFonts w:ascii="Arial" w:hAnsi="Arial" w:cs="Arial"/>
          <w:szCs w:val="24"/>
        </w:rPr>
        <w:t>Inexistencia de la Obligación demandada</w:t>
      </w:r>
      <w:r w:rsidR="006D0816" w:rsidRPr="00AC486E">
        <w:rPr>
          <w:rFonts w:ascii="Arial" w:hAnsi="Arial" w:cs="Arial"/>
          <w:szCs w:val="24"/>
        </w:rPr>
        <w:t>” y “Prescripción”.</w:t>
      </w:r>
    </w:p>
    <w:p w:rsidR="00591F75" w:rsidRDefault="00591F75" w:rsidP="003B4EA7">
      <w:pPr>
        <w:spacing w:line="276" w:lineRule="auto"/>
        <w:ind w:firstLine="708"/>
        <w:jc w:val="both"/>
        <w:rPr>
          <w:rFonts w:ascii="Arial" w:hAnsi="Arial" w:cs="Arial"/>
          <w:szCs w:val="24"/>
        </w:rPr>
      </w:pPr>
    </w:p>
    <w:p w:rsidR="00591F75" w:rsidRPr="00132136" w:rsidRDefault="00591F75" w:rsidP="003B4EA7">
      <w:pPr>
        <w:spacing w:line="276" w:lineRule="auto"/>
        <w:ind w:firstLine="708"/>
        <w:jc w:val="both"/>
        <w:rPr>
          <w:rFonts w:ascii="Arial" w:hAnsi="Arial" w:cs="Arial"/>
          <w:szCs w:val="24"/>
        </w:rPr>
      </w:pPr>
      <w:r>
        <w:rPr>
          <w:rFonts w:ascii="Arial" w:hAnsi="Arial" w:cs="Arial"/>
          <w:szCs w:val="24"/>
        </w:rPr>
        <w:t xml:space="preserve">La </w:t>
      </w:r>
      <w:r w:rsidRPr="00591F75">
        <w:rPr>
          <w:rFonts w:ascii="Arial" w:hAnsi="Arial" w:cs="Arial"/>
          <w:b/>
          <w:szCs w:val="24"/>
        </w:rPr>
        <w:t>Administradora de Fondos de Pensiones y Cesantías –PORVENIR S.A.-</w:t>
      </w:r>
      <w:r w:rsidR="00132136">
        <w:rPr>
          <w:rFonts w:ascii="Arial" w:hAnsi="Arial" w:cs="Arial"/>
          <w:b/>
          <w:szCs w:val="24"/>
        </w:rPr>
        <w:t xml:space="preserve">, </w:t>
      </w:r>
      <w:r w:rsidR="00132136">
        <w:rPr>
          <w:rFonts w:ascii="Arial" w:hAnsi="Arial" w:cs="Arial"/>
          <w:szCs w:val="24"/>
        </w:rPr>
        <w:t>se opuso igualmente a las pretensiones de la demanda, indicando que el traslado al RAIS que efectuó la actora fue perfectamente válida, diferente es que se haya presentado una multiafiliación, pero que desde el 16 de septiembre de 2013 con la realización del comité respectivo, se determinó que la afiliación valida de la demandante era a Colpensiones. Presentó como excepciones las que denominó “Validez de la afiliación al régimen de ahorro individual con solidaridad e inexistencia de vicios en el consentimiento”, “La situación de multiafiliación es diferente al fenómeno de la nulidad”, “Improcedencia de las acción por carencia de objeto, falta de causa para demandar e inexistencia del derecho”, “Compensación”, “Pago”, “Prescripción”, “Buena fe” y la “Innominada o Genérica”</w:t>
      </w:r>
      <w:r w:rsidR="002C313D">
        <w:rPr>
          <w:rFonts w:ascii="Arial" w:hAnsi="Arial" w:cs="Arial"/>
          <w:szCs w:val="24"/>
        </w:rPr>
        <w:t>.</w:t>
      </w:r>
    </w:p>
    <w:p w:rsidR="003B4EA7" w:rsidRDefault="003B4EA7" w:rsidP="003B4EA7">
      <w:pPr>
        <w:spacing w:line="276" w:lineRule="auto"/>
        <w:ind w:firstLine="708"/>
        <w:jc w:val="both"/>
        <w:rPr>
          <w:rFonts w:ascii="Arial" w:hAnsi="Arial" w:cs="Arial"/>
          <w:szCs w:val="24"/>
        </w:rPr>
      </w:pPr>
    </w:p>
    <w:p w:rsidR="00226D5F" w:rsidRPr="009740CF" w:rsidRDefault="00272C8B" w:rsidP="00F017BF">
      <w:pPr>
        <w:spacing w:line="276" w:lineRule="auto"/>
        <w:ind w:firstLine="900"/>
        <w:rPr>
          <w:rFonts w:ascii="Arial" w:hAnsi="Arial" w:cs="Arial"/>
          <w:b/>
          <w:szCs w:val="24"/>
        </w:rPr>
      </w:pPr>
      <w:r>
        <w:rPr>
          <w:rFonts w:ascii="Arial" w:hAnsi="Arial" w:cs="Arial"/>
          <w:b/>
          <w:szCs w:val="24"/>
        </w:rPr>
        <w:t>IV</w:t>
      </w:r>
      <w:r w:rsidR="00226D5F" w:rsidRPr="009740CF">
        <w:rPr>
          <w:rFonts w:ascii="Arial" w:hAnsi="Arial" w:cs="Arial"/>
          <w:b/>
          <w:szCs w:val="24"/>
        </w:rPr>
        <w:t>. SENTENCIA DEL JUZGADO</w:t>
      </w:r>
    </w:p>
    <w:p w:rsidR="00226D5F" w:rsidRPr="00AC486E" w:rsidRDefault="00226D5F" w:rsidP="00F017BF">
      <w:pPr>
        <w:pStyle w:val="Sinespaciado"/>
        <w:spacing w:line="276" w:lineRule="auto"/>
        <w:rPr>
          <w:rFonts w:ascii="Arial" w:hAnsi="Arial" w:cs="Arial"/>
          <w:sz w:val="24"/>
          <w:szCs w:val="24"/>
        </w:rPr>
      </w:pPr>
    </w:p>
    <w:p w:rsidR="002C313D" w:rsidRDefault="00226D5F" w:rsidP="002C313D">
      <w:pPr>
        <w:spacing w:line="276" w:lineRule="auto"/>
        <w:ind w:firstLine="708"/>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2C313D">
        <w:rPr>
          <w:rFonts w:ascii="Arial" w:hAnsi="Arial" w:cs="Arial"/>
          <w:color w:val="000000"/>
          <w:szCs w:val="24"/>
          <w:lang w:eastAsia="es-CO"/>
        </w:rPr>
        <w:t xml:space="preserve">Cuarto </w:t>
      </w:r>
      <w:r w:rsidRPr="00AC486E">
        <w:rPr>
          <w:rFonts w:ascii="Arial" w:hAnsi="Arial" w:cs="Arial"/>
          <w:color w:val="000000"/>
          <w:szCs w:val="24"/>
          <w:lang w:eastAsia="es-CO"/>
        </w:rPr>
        <w:t>Laboral del Circuito de Pereira</w:t>
      </w:r>
      <w:r w:rsidR="002C313D">
        <w:rPr>
          <w:rFonts w:ascii="Arial" w:hAnsi="Arial" w:cs="Arial"/>
          <w:color w:val="000000"/>
          <w:szCs w:val="24"/>
          <w:lang w:eastAsia="es-CO"/>
        </w:rPr>
        <w:t>, una vez declaró superado el aspecto de la multiafiliación con base en los documentos visibles a folios 35 y 143 del cuaderno de primera instancia, concluyó que la señora Jaimes Noreña  pese a ser beneficiaria del régimen de transición previsto en el artículo 36 de la Ley 100 de 1993, en concordancia con el Acto Legislativo 001 de 2005, no había acreditado el tiempo de cotizaciones o aportes de que trata el artículo 1° de la Ley 71 de 1988, toda vez que de acuerdo con la historia laboral válida para prestaciones –fl. 113- y la certificación del tiempo laborado ante el Municipio de Pereira –fl. 24 y s.s.- logró reunir un total de 1006,86 semanas, cuando lo requerido son 1.028,57 que equivalen a 20 años de servicio, conforme lo ha sostenido la Sala de Casación Laboral de la Corte Suprema de Justicia en sentencia radicada bajo el 44867 de 2012.</w:t>
      </w:r>
    </w:p>
    <w:p w:rsidR="00226D5F" w:rsidRDefault="00226D5F" w:rsidP="00F017BF">
      <w:pPr>
        <w:pStyle w:val="Sinespaciado"/>
        <w:spacing w:line="276" w:lineRule="auto"/>
        <w:rPr>
          <w:rFonts w:ascii="Arial" w:hAnsi="Arial" w:cs="Arial"/>
          <w:sz w:val="24"/>
          <w:szCs w:val="24"/>
        </w:rPr>
      </w:pPr>
    </w:p>
    <w:p w:rsidR="002C313D" w:rsidRDefault="002C313D" w:rsidP="00272C8B">
      <w:pPr>
        <w:pStyle w:val="Prrafodelista"/>
        <w:numPr>
          <w:ilvl w:val="0"/>
          <w:numId w:val="6"/>
        </w:numPr>
        <w:shd w:val="clear" w:color="auto" w:fill="FFFFFF"/>
        <w:tabs>
          <w:tab w:val="left" w:pos="5197"/>
        </w:tabs>
        <w:spacing w:line="276" w:lineRule="auto"/>
        <w:jc w:val="both"/>
        <w:rPr>
          <w:rFonts w:ascii="Arial" w:hAnsi="Arial" w:cs="Arial"/>
          <w:b/>
          <w:szCs w:val="24"/>
        </w:rPr>
      </w:pPr>
      <w:r>
        <w:rPr>
          <w:rFonts w:ascii="Arial" w:hAnsi="Arial" w:cs="Arial"/>
          <w:b/>
          <w:szCs w:val="24"/>
        </w:rPr>
        <w:t>RECURSO DE APELACIÓN</w:t>
      </w:r>
    </w:p>
    <w:p w:rsidR="002C313D" w:rsidRPr="002C313D" w:rsidRDefault="00AB2427" w:rsidP="00AB2427">
      <w:pPr>
        <w:shd w:val="clear" w:color="auto" w:fill="FFFFFF"/>
        <w:spacing w:line="276" w:lineRule="auto"/>
        <w:jc w:val="both"/>
        <w:rPr>
          <w:rFonts w:ascii="Arial" w:hAnsi="Arial" w:cs="Arial"/>
          <w:szCs w:val="24"/>
        </w:rPr>
      </w:pPr>
      <w:r>
        <w:rPr>
          <w:rFonts w:ascii="Arial" w:hAnsi="Arial" w:cs="Arial"/>
          <w:szCs w:val="24"/>
        </w:rPr>
        <w:tab/>
      </w:r>
      <w:r w:rsidR="00287CC2">
        <w:rPr>
          <w:rFonts w:ascii="Arial" w:hAnsi="Arial" w:cs="Arial"/>
          <w:szCs w:val="24"/>
        </w:rPr>
        <w:t xml:space="preserve">Contra la decisión de primer </w:t>
      </w:r>
      <w:r w:rsidR="002C313D">
        <w:rPr>
          <w:rFonts w:ascii="Arial" w:hAnsi="Arial" w:cs="Arial"/>
          <w:szCs w:val="24"/>
        </w:rPr>
        <w:t xml:space="preserve">grado se alzó el apoderado judicial de la parte actora, argumentando que </w:t>
      </w:r>
      <w:r w:rsidR="008D0040">
        <w:rPr>
          <w:rFonts w:ascii="Arial" w:hAnsi="Arial" w:cs="Arial"/>
          <w:szCs w:val="24"/>
        </w:rPr>
        <w:t>en virtud del principio de favorabilidad debe exigirse un total de 1000 semanas como lo ha determinado la Sala mayoritaria del Tribunal Superior del Distrito Judicial de Pereira y no 1.028,57 semanas, toda vez que se trata de iguales condiciones a las que deben aplicarse las mismas disposiciones –</w:t>
      </w:r>
      <w:r w:rsidR="008D0040" w:rsidRPr="008D0040">
        <w:rPr>
          <w:rFonts w:ascii="Arial" w:hAnsi="Arial" w:cs="Arial"/>
          <w:i/>
          <w:szCs w:val="24"/>
        </w:rPr>
        <w:t>ha de entenderse, refiriéndose a la pensión de vejez-.</w:t>
      </w:r>
    </w:p>
    <w:p w:rsidR="002C313D" w:rsidRDefault="002C313D" w:rsidP="002C313D">
      <w:pPr>
        <w:pStyle w:val="Prrafodelista"/>
        <w:shd w:val="clear" w:color="auto" w:fill="FFFFFF"/>
        <w:tabs>
          <w:tab w:val="left" w:pos="5197"/>
        </w:tabs>
        <w:spacing w:line="276" w:lineRule="auto"/>
        <w:ind w:left="1800"/>
        <w:jc w:val="both"/>
        <w:rPr>
          <w:rFonts w:ascii="Arial" w:hAnsi="Arial" w:cs="Arial"/>
          <w:b/>
          <w:szCs w:val="24"/>
        </w:rPr>
      </w:pPr>
    </w:p>
    <w:p w:rsidR="0061484D" w:rsidRPr="00272C8B" w:rsidRDefault="0061484D" w:rsidP="00272C8B">
      <w:pPr>
        <w:pStyle w:val="Prrafodelista"/>
        <w:numPr>
          <w:ilvl w:val="0"/>
          <w:numId w:val="6"/>
        </w:numPr>
        <w:shd w:val="clear" w:color="auto" w:fill="FFFFFF"/>
        <w:tabs>
          <w:tab w:val="left" w:pos="5197"/>
        </w:tabs>
        <w:spacing w:line="276" w:lineRule="auto"/>
        <w:jc w:val="both"/>
        <w:rPr>
          <w:rFonts w:ascii="Arial" w:hAnsi="Arial" w:cs="Arial"/>
          <w:b/>
          <w:szCs w:val="24"/>
        </w:rPr>
      </w:pPr>
      <w:r w:rsidRPr="00272C8B">
        <w:rPr>
          <w:rFonts w:ascii="Arial" w:hAnsi="Arial" w:cs="Arial"/>
          <w:b/>
          <w:szCs w:val="24"/>
        </w:rPr>
        <w:t>CONSIDERACIONES</w:t>
      </w:r>
    </w:p>
    <w:p w:rsidR="00FF24FA" w:rsidRPr="00FF24FA" w:rsidRDefault="00FF24FA" w:rsidP="00F017BF">
      <w:pPr>
        <w:pStyle w:val="Prrafodelista"/>
        <w:shd w:val="clear" w:color="auto" w:fill="FFFFFF"/>
        <w:tabs>
          <w:tab w:val="left" w:pos="5197"/>
        </w:tabs>
        <w:spacing w:line="276" w:lineRule="auto"/>
        <w:ind w:left="1800"/>
        <w:jc w:val="both"/>
        <w:rPr>
          <w:rFonts w:ascii="Arial" w:hAnsi="Arial" w:cs="Arial"/>
          <w:b/>
          <w:szCs w:val="24"/>
        </w:rPr>
      </w:pPr>
    </w:p>
    <w:p w:rsidR="00226D5F" w:rsidRPr="0061484D" w:rsidRDefault="00226D5F" w:rsidP="00F017BF">
      <w:pPr>
        <w:shd w:val="clear" w:color="auto" w:fill="FFFFFF"/>
        <w:tabs>
          <w:tab w:val="left" w:pos="5197"/>
        </w:tabs>
        <w:spacing w:line="276" w:lineRule="auto"/>
        <w:ind w:firstLine="851"/>
        <w:jc w:val="both"/>
        <w:rPr>
          <w:rFonts w:ascii="Arial" w:hAnsi="Arial" w:cs="Arial"/>
          <w:szCs w:val="24"/>
        </w:rPr>
      </w:pPr>
      <w:r w:rsidRPr="009740CF">
        <w:rPr>
          <w:rFonts w:ascii="Arial" w:hAnsi="Arial" w:cs="Arial"/>
          <w:szCs w:val="24"/>
        </w:rPr>
        <w:t xml:space="preserve"> </w:t>
      </w:r>
      <w:r w:rsidRPr="009740CF">
        <w:rPr>
          <w:rFonts w:ascii="Arial" w:hAnsi="Arial" w:cs="Arial"/>
          <w:b/>
          <w:szCs w:val="24"/>
        </w:rPr>
        <w:t>Del problema jurídico.</w:t>
      </w:r>
    </w:p>
    <w:p w:rsidR="00226D5F" w:rsidRPr="00AC486E" w:rsidRDefault="00226D5F" w:rsidP="00F017BF">
      <w:pPr>
        <w:pStyle w:val="Sinespaciado"/>
        <w:spacing w:line="276" w:lineRule="auto"/>
        <w:rPr>
          <w:rFonts w:ascii="Arial" w:hAnsi="Arial" w:cs="Arial"/>
          <w:sz w:val="24"/>
          <w:szCs w:val="24"/>
        </w:rPr>
      </w:pPr>
    </w:p>
    <w:p w:rsidR="00226D5F" w:rsidRDefault="00226D5F" w:rsidP="00F017BF">
      <w:pPr>
        <w:shd w:val="clear" w:color="auto" w:fill="FFFFFF"/>
        <w:tabs>
          <w:tab w:val="left" w:pos="5197"/>
        </w:tabs>
        <w:spacing w:line="276" w:lineRule="auto"/>
        <w:ind w:firstLine="851"/>
        <w:jc w:val="both"/>
        <w:rPr>
          <w:rFonts w:ascii="Arial" w:hAnsi="Arial" w:cs="Arial"/>
          <w:color w:val="000000"/>
          <w:szCs w:val="24"/>
          <w:lang w:eastAsia="es-CO"/>
        </w:rPr>
      </w:pPr>
      <w:r w:rsidRPr="00AC486E">
        <w:rPr>
          <w:rFonts w:ascii="Arial" w:hAnsi="Arial" w:cs="Arial"/>
          <w:color w:val="000000"/>
          <w:szCs w:val="24"/>
          <w:lang w:eastAsia="es-CO"/>
        </w:rPr>
        <w:t>Visto el recuento anterior, la Sala formula el problema jurídico en los siguientes términos:</w:t>
      </w:r>
    </w:p>
    <w:p w:rsidR="006E3949" w:rsidRPr="00AC486E" w:rsidRDefault="006E3949" w:rsidP="00F017BF">
      <w:pPr>
        <w:shd w:val="clear" w:color="auto" w:fill="FFFFFF"/>
        <w:tabs>
          <w:tab w:val="left" w:pos="5197"/>
        </w:tabs>
        <w:spacing w:line="276" w:lineRule="auto"/>
        <w:ind w:firstLine="851"/>
        <w:jc w:val="both"/>
        <w:rPr>
          <w:rFonts w:ascii="Arial" w:hAnsi="Arial" w:cs="Arial"/>
          <w:color w:val="000000"/>
          <w:szCs w:val="24"/>
          <w:lang w:eastAsia="es-CO"/>
        </w:rPr>
      </w:pPr>
    </w:p>
    <w:p w:rsidR="00226D5F" w:rsidRPr="006E3949" w:rsidRDefault="006E3949" w:rsidP="006E3949">
      <w:pPr>
        <w:tabs>
          <w:tab w:val="left" w:pos="0"/>
          <w:tab w:val="left" w:pos="8647"/>
        </w:tabs>
        <w:suppressAutoHyphens/>
        <w:spacing w:line="276" w:lineRule="auto"/>
        <w:ind w:left="1134" w:right="1134" w:firstLine="900"/>
        <w:jc w:val="both"/>
        <w:rPr>
          <w:rFonts w:ascii="Arial" w:hAnsi="Arial" w:cs="Arial"/>
          <w:b/>
          <w:szCs w:val="24"/>
          <w:lang w:eastAsia="es-CO"/>
        </w:rPr>
      </w:pPr>
      <w:r w:rsidRPr="006E3949">
        <w:rPr>
          <w:rFonts w:ascii="Arial" w:hAnsi="Arial" w:cs="Arial"/>
          <w:b/>
          <w:szCs w:val="24"/>
          <w:lang w:eastAsia="es-CO"/>
        </w:rPr>
        <w:t>¿Cotizó el demandante el número de semanas suficiente para acceder a la pensión de jubilación por aportes?</w:t>
      </w:r>
    </w:p>
    <w:p w:rsidR="006E3949" w:rsidRDefault="006E3949" w:rsidP="00F017BF">
      <w:pPr>
        <w:tabs>
          <w:tab w:val="left" w:pos="0"/>
          <w:tab w:val="left" w:pos="8647"/>
        </w:tabs>
        <w:suppressAutoHyphens/>
        <w:spacing w:line="276" w:lineRule="auto"/>
        <w:ind w:firstLine="900"/>
        <w:jc w:val="both"/>
        <w:rPr>
          <w:rFonts w:ascii="Arial" w:hAnsi="Arial" w:cs="Arial"/>
          <w:b/>
          <w:iCs/>
          <w:szCs w:val="24"/>
        </w:rPr>
      </w:pPr>
    </w:p>
    <w:p w:rsidR="00251CC1" w:rsidRDefault="00251CC1" w:rsidP="00F017BF">
      <w:pPr>
        <w:tabs>
          <w:tab w:val="left" w:pos="0"/>
          <w:tab w:val="left" w:pos="8647"/>
        </w:tabs>
        <w:suppressAutoHyphens/>
        <w:spacing w:line="276" w:lineRule="auto"/>
        <w:ind w:firstLine="900"/>
        <w:jc w:val="both"/>
        <w:rPr>
          <w:rFonts w:ascii="Arial" w:hAnsi="Arial" w:cs="Arial"/>
          <w:b/>
          <w:iCs/>
          <w:szCs w:val="24"/>
        </w:rPr>
      </w:pPr>
      <w:r>
        <w:rPr>
          <w:rFonts w:ascii="Arial" w:hAnsi="Arial" w:cs="Arial"/>
          <w:b/>
          <w:iCs/>
          <w:szCs w:val="24"/>
        </w:rPr>
        <w:t>De la Pensión de Jubilación por Aportes</w:t>
      </w:r>
    </w:p>
    <w:p w:rsidR="00251CC1" w:rsidRDefault="00251CC1" w:rsidP="00F017BF">
      <w:pPr>
        <w:tabs>
          <w:tab w:val="left" w:pos="0"/>
          <w:tab w:val="left" w:pos="8647"/>
        </w:tabs>
        <w:suppressAutoHyphens/>
        <w:spacing w:line="276" w:lineRule="auto"/>
        <w:ind w:firstLine="900"/>
        <w:jc w:val="both"/>
        <w:rPr>
          <w:rFonts w:ascii="Arial" w:hAnsi="Arial" w:cs="Arial"/>
          <w:b/>
          <w:iCs/>
          <w:szCs w:val="24"/>
        </w:rPr>
      </w:pPr>
    </w:p>
    <w:p w:rsidR="00251CC1" w:rsidRPr="00251CC1" w:rsidRDefault="00251CC1" w:rsidP="00251CC1">
      <w:pPr>
        <w:autoSpaceDE w:val="0"/>
        <w:autoSpaceDN w:val="0"/>
        <w:adjustRightInd w:val="0"/>
        <w:spacing w:line="360" w:lineRule="auto"/>
        <w:ind w:firstLine="708"/>
        <w:jc w:val="both"/>
        <w:rPr>
          <w:rFonts w:ascii="Arial" w:hAnsi="Arial" w:cs="Arial"/>
          <w:szCs w:val="24"/>
        </w:rPr>
      </w:pPr>
      <w:r w:rsidRPr="00251CC1">
        <w:rPr>
          <w:rFonts w:ascii="Arial" w:hAnsi="Arial" w:cs="Arial"/>
          <w:szCs w:val="24"/>
        </w:rPr>
        <w:t xml:space="preserve">La pensión de jubilación por aportes se encuentra reglada por el artículo 7º de la Ley 71 de 1988, la cual fue reglamentada por el Decreto 2709 de 1994, </w:t>
      </w:r>
      <w:r>
        <w:rPr>
          <w:rFonts w:ascii="Arial" w:hAnsi="Arial" w:cs="Arial"/>
          <w:szCs w:val="24"/>
        </w:rPr>
        <w:t>en su artículo 1º</w:t>
      </w:r>
      <w:r w:rsidRPr="00251CC1">
        <w:rPr>
          <w:rFonts w:ascii="Arial" w:hAnsi="Arial" w:cs="Arial"/>
          <w:szCs w:val="24"/>
        </w:rPr>
        <w:t>:</w:t>
      </w:r>
    </w:p>
    <w:p w:rsidR="00251CC1" w:rsidRPr="00251CC1" w:rsidRDefault="00251CC1" w:rsidP="00251CC1">
      <w:pPr>
        <w:shd w:val="clear" w:color="auto" w:fill="FFFFFF"/>
        <w:spacing w:before="100" w:beforeAutospacing="1" w:after="100" w:afterAutospacing="1"/>
        <w:ind w:left="680" w:right="1134"/>
        <w:jc w:val="both"/>
        <w:rPr>
          <w:rFonts w:ascii="Arial" w:hAnsi="Arial" w:cs="Arial"/>
          <w:color w:val="000000"/>
          <w:sz w:val="20"/>
          <w:lang w:val="es-ES"/>
        </w:rPr>
      </w:pPr>
      <w:r w:rsidRPr="00251CC1">
        <w:rPr>
          <w:rFonts w:ascii="Arial" w:hAnsi="Arial" w:cs="Arial"/>
          <w:b/>
          <w:bCs/>
          <w:color w:val="000000"/>
          <w:sz w:val="20"/>
          <w:lang w:val="es-ES"/>
        </w:rPr>
        <w:t>“Artículo 1°. </w:t>
      </w:r>
      <w:r w:rsidRPr="00251CC1">
        <w:rPr>
          <w:rFonts w:ascii="Arial" w:hAnsi="Arial" w:cs="Arial"/>
          <w:color w:val="000000"/>
          <w:sz w:val="20"/>
          <w:lang w:val="es-ES"/>
        </w:rPr>
        <w:t>Pensión de jubilación por aportes. La pensión a que se refiere el artículo 7º de la Ley 71 de 1988, se denomina pensión de jubilación por aportes.</w:t>
      </w:r>
    </w:p>
    <w:p w:rsidR="00251CC1" w:rsidRPr="00251CC1" w:rsidRDefault="00251CC1" w:rsidP="00251CC1">
      <w:pPr>
        <w:shd w:val="clear" w:color="auto" w:fill="FFFFFF"/>
        <w:spacing w:before="100" w:beforeAutospacing="1" w:after="100" w:afterAutospacing="1"/>
        <w:ind w:left="680" w:right="1134"/>
        <w:jc w:val="both"/>
        <w:rPr>
          <w:rFonts w:ascii="Arial" w:hAnsi="Arial" w:cs="Arial"/>
          <w:color w:val="000000"/>
          <w:sz w:val="20"/>
          <w:lang w:val="es-ES"/>
        </w:rPr>
      </w:pPr>
      <w:r w:rsidRPr="00251CC1">
        <w:rPr>
          <w:rFonts w:ascii="Arial" w:hAnsi="Arial" w:cs="Arial"/>
          <w:color w:val="000000"/>
          <w:sz w:val="20"/>
          <w:lang w:val="es-ES"/>
        </w:rPr>
        <w:t>Tendrán derecho a la pensión de jubilación por aportes quienes al cumplir 60 años o más de edad si es varón, o 55 años o más si se es mujer, acrediten en cualquier tiempo, 20 años o más de cotizaciones o aportes continuos o discontinuos en el Instituto de Seguros Sociales y  en una o varias de las entidades de previsión social del sector público”.</w:t>
      </w:r>
    </w:p>
    <w:p w:rsidR="00251CC1" w:rsidRDefault="00251CC1" w:rsidP="00F017BF">
      <w:pPr>
        <w:tabs>
          <w:tab w:val="left" w:pos="0"/>
          <w:tab w:val="left" w:pos="8647"/>
        </w:tabs>
        <w:suppressAutoHyphens/>
        <w:spacing w:line="276" w:lineRule="auto"/>
        <w:ind w:firstLine="900"/>
        <w:jc w:val="both"/>
        <w:rPr>
          <w:rFonts w:ascii="Arial" w:hAnsi="Arial" w:cs="Arial"/>
          <w:b/>
          <w:iCs/>
          <w:szCs w:val="24"/>
        </w:rPr>
      </w:pPr>
    </w:p>
    <w:p w:rsidR="003B3C66" w:rsidRDefault="003B3C66" w:rsidP="008D27EF">
      <w:pPr>
        <w:tabs>
          <w:tab w:val="left" w:pos="709"/>
          <w:tab w:val="left" w:pos="8647"/>
        </w:tabs>
        <w:suppressAutoHyphens/>
        <w:spacing w:line="276" w:lineRule="auto"/>
        <w:jc w:val="both"/>
        <w:rPr>
          <w:rFonts w:ascii="Arial" w:hAnsi="Arial" w:cs="Arial"/>
          <w:iCs/>
          <w:szCs w:val="24"/>
        </w:rPr>
      </w:pPr>
      <w:r>
        <w:rPr>
          <w:rFonts w:ascii="Arial" w:hAnsi="Arial" w:cs="Arial"/>
          <w:b/>
          <w:iCs/>
          <w:szCs w:val="24"/>
        </w:rPr>
        <w:tab/>
      </w:r>
      <w:r>
        <w:rPr>
          <w:rFonts w:ascii="Arial" w:hAnsi="Arial" w:cs="Arial"/>
          <w:iCs/>
          <w:szCs w:val="24"/>
        </w:rPr>
        <w:t>Al respecto debe decirse que si bien es cierto, con la antigua conformación de la Sala de decisión laboral de este Tribunal, por mayoría y con salvamento de voto del doctor Julio César Salazar Muñoz, se tenía definida una equivalencia entre 20 años y 1000 semanas de cotización, la verdad es que con la llegada de un nuevo integrante, que aquí funge como Ponente, en las salas de decisión laboral 2 y 4 se tiene este criterio de que, en virtud de la función unificadora de la jurisprudencia de la Sala de Casación Laboral de la Corte Suprema de Justicia, teniendo esta Corporación una línea constante y definida, sobre el punto que aquí se debate, es del caso seguir sus lineamientos como en efecto se hará.</w:t>
      </w:r>
    </w:p>
    <w:p w:rsidR="003B3C66" w:rsidRDefault="003B3C66" w:rsidP="008D27EF">
      <w:pPr>
        <w:tabs>
          <w:tab w:val="left" w:pos="709"/>
          <w:tab w:val="left" w:pos="8647"/>
        </w:tabs>
        <w:suppressAutoHyphens/>
        <w:spacing w:line="276" w:lineRule="auto"/>
        <w:jc w:val="both"/>
        <w:rPr>
          <w:rFonts w:ascii="Arial" w:hAnsi="Arial" w:cs="Arial"/>
          <w:iCs/>
          <w:szCs w:val="24"/>
        </w:rPr>
      </w:pPr>
    </w:p>
    <w:p w:rsidR="00C81FE6" w:rsidRDefault="003B3C66" w:rsidP="003B3C66">
      <w:pPr>
        <w:tabs>
          <w:tab w:val="left" w:pos="709"/>
          <w:tab w:val="left" w:pos="8647"/>
        </w:tabs>
        <w:suppressAutoHyphens/>
        <w:spacing w:line="276" w:lineRule="auto"/>
        <w:jc w:val="both"/>
        <w:rPr>
          <w:rFonts w:ascii="Arial" w:hAnsi="Arial" w:cs="Arial"/>
          <w:iCs/>
          <w:szCs w:val="24"/>
        </w:rPr>
      </w:pPr>
      <w:r>
        <w:rPr>
          <w:rFonts w:ascii="Arial" w:hAnsi="Arial" w:cs="Arial"/>
          <w:iCs/>
          <w:szCs w:val="24"/>
        </w:rPr>
        <w:tab/>
        <w:t xml:space="preserve">Tiene sentado </w:t>
      </w:r>
      <w:r w:rsidR="00C81FE6">
        <w:rPr>
          <w:rFonts w:ascii="Arial" w:hAnsi="Arial" w:cs="Arial"/>
          <w:iCs/>
          <w:szCs w:val="24"/>
        </w:rPr>
        <w:t>la Sala de Casación Laboral de la Corte Suprema de Justicia</w:t>
      </w:r>
      <w:r>
        <w:rPr>
          <w:rFonts w:ascii="Arial" w:hAnsi="Arial" w:cs="Arial"/>
          <w:iCs/>
          <w:szCs w:val="24"/>
        </w:rPr>
        <w:t xml:space="preserve"> sobre este punto</w:t>
      </w:r>
      <w:r w:rsidR="00F9550A">
        <w:rPr>
          <w:rStyle w:val="Refdenotaalpie"/>
          <w:rFonts w:ascii="Arial" w:hAnsi="Arial" w:cs="Arial"/>
          <w:iCs/>
          <w:szCs w:val="24"/>
        </w:rPr>
        <w:footnoteReference w:id="1"/>
      </w:r>
      <w:r w:rsidR="00C81FE6">
        <w:rPr>
          <w:rFonts w:ascii="Arial" w:hAnsi="Arial" w:cs="Arial"/>
          <w:iCs/>
          <w:szCs w:val="24"/>
        </w:rPr>
        <w:t>:</w:t>
      </w:r>
    </w:p>
    <w:p w:rsidR="005E7DA5" w:rsidRDefault="005E7DA5" w:rsidP="008D27EF">
      <w:pPr>
        <w:tabs>
          <w:tab w:val="left" w:pos="709"/>
          <w:tab w:val="left" w:pos="8647"/>
        </w:tabs>
        <w:suppressAutoHyphens/>
        <w:spacing w:line="276" w:lineRule="auto"/>
        <w:jc w:val="both"/>
        <w:rPr>
          <w:rFonts w:ascii="Arial" w:hAnsi="Arial" w:cs="Arial"/>
          <w:iCs/>
          <w:szCs w:val="24"/>
        </w:rPr>
      </w:pPr>
    </w:p>
    <w:p w:rsidR="005E7DA5" w:rsidRDefault="005E7DA5" w:rsidP="005E7DA5">
      <w:pPr>
        <w:tabs>
          <w:tab w:val="left" w:pos="709"/>
          <w:tab w:val="left" w:pos="8647"/>
        </w:tabs>
        <w:suppressAutoHyphens/>
        <w:spacing w:line="276" w:lineRule="auto"/>
        <w:ind w:left="1134" w:right="1134"/>
        <w:jc w:val="both"/>
        <w:rPr>
          <w:rFonts w:ascii="Arial" w:hAnsi="Arial" w:cs="Arial"/>
          <w:i/>
          <w:sz w:val="20"/>
        </w:rPr>
      </w:pPr>
      <w:r w:rsidRPr="005E7DA5">
        <w:rPr>
          <w:rFonts w:ascii="Arial" w:hAnsi="Arial" w:cs="Arial"/>
          <w:i/>
          <w:sz w:val="20"/>
        </w:rPr>
        <w:t xml:space="preserve">Ahora bien, para ilustrar la aplicación de dichos guarismo a la reseñada anualidad de cotización es suficiente traer a colación lo asentado por la Corte en sentencia CSJ SL, del 22 de jul. de 2009, rad. 35402, en los siguientes términos: </w:t>
      </w:r>
    </w:p>
    <w:p w:rsidR="005E7DA5" w:rsidRDefault="005E7DA5" w:rsidP="005E7DA5">
      <w:pPr>
        <w:tabs>
          <w:tab w:val="left" w:pos="709"/>
          <w:tab w:val="left" w:pos="8647"/>
        </w:tabs>
        <w:suppressAutoHyphens/>
        <w:spacing w:line="276" w:lineRule="auto"/>
        <w:ind w:left="1134" w:right="1134"/>
        <w:jc w:val="both"/>
        <w:rPr>
          <w:rFonts w:ascii="Arial" w:hAnsi="Arial" w:cs="Arial"/>
          <w:i/>
          <w:sz w:val="20"/>
        </w:rPr>
      </w:pPr>
    </w:p>
    <w:p w:rsidR="005E7DA5" w:rsidRDefault="005E7DA5" w:rsidP="005E7DA5">
      <w:pPr>
        <w:tabs>
          <w:tab w:val="left" w:pos="709"/>
          <w:tab w:val="left" w:pos="8647"/>
        </w:tabs>
        <w:suppressAutoHyphens/>
        <w:spacing w:line="276" w:lineRule="auto"/>
        <w:ind w:left="1417" w:right="1417"/>
        <w:jc w:val="both"/>
        <w:rPr>
          <w:rFonts w:ascii="Arial" w:hAnsi="Arial" w:cs="Arial"/>
          <w:i/>
          <w:sz w:val="20"/>
        </w:rPr>
      </w:pPr>
      <w:r w:rsidRPr="005E7DA5">
        <w:rPr>
          <w:rFonts w:ascii="Arial" w:hAnsi="Arial" w:cs="Arial"/>
          <w:i/>
          <w:sz w:val="20"/>
        </w:rPr>
        <w:t>“La discusión jurídica que plantea el censor no tiene trascendencia en este caso, si la decisión del Tribunal tuvo como consideración fundamental aquella según la cual, los periodos de cotización para determinar si se cumple con el requisito de la densidad para efectos de acceder a las prestaciones del régimen de prima media, se fija en semanas y no en años. “Ciertamente, la controversia de si los años deben tomarse de 360 ó de 365 días puede tener importancia para asuntos ajenos al sub lite, en el que sólo se examina el tiempo cotizado al I.S.S., esto es, todo día cotizado se suma para ser transformado en semanas mediante la división por siete, arrojando así el número de cotizaciones a tener en cuenta. “Dicho en otras palabras, el tiempo de permanencia en el Instituto de Seguros Sociales no se mide por el tiempo calendario que haya estado afiliado o haya cotizado el interesado”.</w:t>
      </w:r>
    </w:p>
    <w:p w:rsidR="005E7DA5" w:rsidRDefault="005E7DA5" w:rsidP="005E7DA5">
      <w:pPr>
        <w:tabs>
          <w:tab w:val="left" w:pos="709"/>
          <w:tab w:val="left" w:pos="8647"/>
        </w:tabs>
        <w:suppressAutoHyphens/>
        <w:spacing w:line="276" w:lineRule="auto"/>
        <w:ind w:left="1134" w:right="1134"/>
        <w:jc w:val="both"/>
        <w:rPr>
          <w:rFonts w:ascii="Arial" w:hAnsi="Arial" w:cs="Arial"/>
          <w:i/>
          <w:sz w:val="20"/>
        </w:rPr>
      </w:pPr>
    </w:p>
    <w:p w:rsidR="005E7DA5" w:rsidRDefault="005E7DA5" w:rsidP="005E7DA5">
      <w:pPr>
        <w:tabs>
          <w:tab w:val="left" w:pos="709"/>
          <w:tab w:val="left" w:pos="8647"/>
        </w:tabs>
        <w:suppressAutoHyphens/>
        <w:spacing w:line="276" w:lineRule="auto"/>
        <w:ind w:left="1134" w:right="1134"/>
        <w:jc w:val="both"/>
        <w:rPr>
          <w:rFonts w:ascii="Arial" w:hAnsi="Arial" w:cs="Arial"/>
          <w:i/>
          <w:sz w:val="20"/>
        </w:rPr>
      </w:pPr>
      <w:r w:rsidRPr="005E7DA5">
        <w:rPr>
          <w:rFonts w:ascii="Arial" w:hAnsi="Arial" w:cs="Arial"/>
          <w:i/>
          <w:sz w:val="20"/>
        </w:rPr>
        <w:t xml:space="preserve"> Aun cuando desde la demanda inicial la actora planteó la necesidad de calcular la anualidad de aportes como equivalente a 365 o 366 días y no a 360, la mensualidad a los propios de cada una de ellas, o sea, 28, 29, 30 o 31 y no a 30; </w:t>
      </w:r>
      <w:r w:rsidRPr="00567C97">
        <w:rPr>
          <w:rFonts w:ascii="Arial" w:hAnsi="Arial" w:cs="Arial"/>
          <w:b/>
          <w:i/>
          <w:sz w:val="20"/>
          <w:u w:val="single"/>
        </w:rPr>
        <w:t>y la semana a 7, que es lo que indica en este último caso la ley, con lo cual alcanzaría el número de semanas de cotización que asigna a las 20 anualidades de aportes exigidos en el artículo 7º de la Ley 71 de 1988 (1.029 para ser exactos),</w:t>
      </w:r>
      <w:r w:rsidRPr="005E7DA5">
        <w:rPr>
          <w:rFonts w:ascii="Arial" w:hAnsi="Arial" w:cs="Arial"/>
          <w:i/>
          <w:sz w:val="20"/>
        </w:rPr>
        <w:t xml:space="preserve"> la razón no le asiste en manera alguna, pues es indiscutible que los plazos previstos en la ley repudian la contabilización de términos sobre el único concepto de ‘día’, dado que los hay de otros órdenes, como son los de semanas, meses y años, con la incidencia de que en tanto los de ‘días’ y de ‘semanas’ son por esencia uniformes -- hablando de que los primeros siempre se cuentan en una unidad inferior de tiempo de 24 horas y las segundas de 7 días--, los meses y los años no lo son, dado que los meses lo pueden ser de 28, 29, 30 o 31 días y los años de 365 o 366 días. Tal divergencia se ha superado teniendo el término del mes como equivalente a 30 días, y por ende, el del año a 360 días (12 x 30).</w:t>
      </w:r>
      <w:r w:rsidR="00567C97">
        <w:rPr>
          <w:rFonts w:ascii="Arial" w:hAnsi="Arial" w:cs="Arial"/>
          <w:i/>
          <w:sz w:val="20"/>
        </w:rPr>
        <w:t xml:space="preserve"> </w:t>
      </w:r>
      <w:r w:rsidR="00567C97" w:rsidRPr="00567C97">
        <w:rPr>
          <w:rFonts w:ascii="Arial" w:hAnsi="Arial" w:cs="Arial"/>
          <w:sz w:val="20"/>
        </w:rPr>
        <w:t>(subrayas y negrilla propias).</w:t>
      </w:r>
    </w:p>
    <w:p w:rsidR="005E7DA5" w:rsidRDefault="005E7DA5" w:rsidP="005E7DA5">
      <w:pPr>
        <w:tabs>
          <w:tab w:val="left" w:pos="709"/>
          <w:tab w:val="left" w:pos="8647"/>
        </w:tabs>
        <w:suppressAutoHyphens/>
        <w:spacing w:line="276" w:lineRule="auto"/>
        <w:ind w:right="1134"/>
        <w:jc w:val="both"/>
        <w:rPr>
          <w:rFonts w:ascii="Arial" w:hAnsi="Arial" w:cs="Arial"/>
          <w:i/>
          <w:sz w:val="20"/>
        </w:rPr>
      </w:pPr>
    </w:p>
    <w:p w:rsidR="005E7DA5" w:rsidRPr="005E7DA5" w:rsidRDefault="005E7DA5" w:rsidP="005E7DA5">
      <w:pPr>
        <w:tabs>
          <w:tab w:val="left" w:pos="709"/>
          <w:tab w:val="left" w:pos="8647"/>
        </w:tabs>
        <w:suppressAutoHyphens/>
        <w:spacing w:line="276" w:lineRule="auto"/>
        <w:ind w:right="1134"/>
        <w:jc w:val="both"/>
        <w:rPr>
          <w:rFonts w:ascii="Arial" w:hAnsi="Arial" w:cs="Arial"/>
          <w:i/>
          <w:iCs/>
          <w:sz w:val="20"/>
        </w:rPr>
      </w:pPr>
    </w:p>
    <w:p w:rsidR="009849BE" w:rsidRDefault="00567C97" w:rsidP="008D27EF">
      <w:pPr>
        <w:tabs>
          <w:tab w:val="left" w:pos="709"/>
          <w:tab w:val="left" w:pos="8647"/>
        </w:tabs>
        <w:suppressAutoHyphens/>
        <w:spacing w:line="276" w:lineRule="auto"/>
        <w:jc w:val="both"/>
        <w:rPr>
          <w:rFonts w:ascii="Arial" w:hAnsi="Arial" w:cs="Arial"/>
          <w:iCs/>
          <w:szCs w:val="24"/>
        </w:rPr>
      </w:pPr>
      <w:r>
        <w:rPr>
          <w:rFonts w:ascii="Arial" w:hAnsi="Arial" w:cs="Arial"/>
          <w:iCs/>
          <w:szCs w:val="24"/>
        </w:rPr>
        <w:tab/>
      </w:r>
      <w:r w:rsidR="007E3F4A">
        <w:rPr>
          <w:rFonts w:ascii="Arial" w:hAnsi="Arial" w:cs="Arial"/>
          <w:iCs/>
          <w:szCs w:val="24"/>
        </w:rPr>
        <w:t>Como puede verse</w:t>
      </w:r>
      <w:r w:rsidR="009849BE">
        <w:rPr>
          <w:rFonts w:ascii="Arial" w:hAnsi="Arial" w:cs="Arial"/>
          <w:iCs/>
          <w:szCs w:val="24"/>
        </w:rPr>
        <w:t xml:space="preserve">, ha sido criterio reiterado del órgano de cierre en materia laboral </w:t>
      </w:r>
      <w:r w:rsidR="007E3F4A">
        <w:rPr>
          <w:rFonts w:ascii="Arial" w:hAnsi="Arial" w:cs="Arial"/>
          <w:iCs/>
          <w:szCs w:val="24"/>
        </w:rPr>
        <w:t xml:space="preserve">que </w:t>
      </w:r>
      <w:r>
        <w:rPr>
          <w:rFonts w:ascii="Arial" w:hAnsi="Arial" w:cs="Arial"/>
          <w:iCs/>
          <w:szCs w:val="24"/>
        </w:rPr>
        <w:t xml:space="preserve">el término exigido por el artículo 1° de la Ley 71 de 1988 para acceder a la pensión de jubilación por aportes </w:t>
      </w:r>
      <w:r w:rsidR="009849BE">
        <w:rPr>
          <w:rFonts w:ascii="Arial" w:hAnsi="Arial" w:cs="Arial"/>
          <w:iCs/>
          <w:szCs w:val="24"/>
        </w:rPr>
        <w:t xml:space="preserve">corresponda a 1.028,57 o 1.029 semanas para ser más exactos y no tan solo 1000, teniendo en cuenta que en material laboral, tanto los aportes como las liquidaciones de prestaciones o derechos laborales se efectúan </w:t>
      </w:r>
      <w:r w:rsidR="00DA4B0A">
        <w:rPr>
          <w:rFonts w:ascii="Arial" w:hAnsi="Arial" w:cs="Arial"/>
          <w:iCs/>
          <w:szCs w:val="24"/>
        </w:rPr>
        <w:t>con la base de 360 d</w:t>
      </w:r>
      <w:r w:rsidR="00D33344">
        <w:rPr>
          <w:rFonts w:ascii="Arial" w:hAnsi="Arial" w:cs="Arial"/>
          <w:iCs/>
          <w:szCs w:val="24"/>
        </w:rPr>
        <w:t>ías por cada año y 30 días por mes y 7 días por cada semana.</w:t>
      </w:r>
    </w:p>
    <w:p w:rsidR="009849BE" w:rsidRDefault="009849BE" w:rsidP="008D27EF">
      <w:pPr>
        <w:tabs>
          <w:tab w:val="left" w:pos="709"/>
          <w:tab w:val="left" w:pos="8647"/>
        </w:tabs>
        <w:suppressAutoHyphens/>
        <w:spacing w:line="276" w:lineRule="auto"/>
        <w:jc w:val="both"/>
        <w:rPr>
          <w:rFonts w:ascii="Arial" w:hAnsi="Arial" w:cs="Arial"/>
          <w:iCs/>
          <w:szCs w:val="24"/>
        </w:rPr>
      </w:pPr>
    </w:p>
    <w:p w:rsidR="00C81FE6" w:rsidRDefault="00DA4B0A" w:rsidP="00DA4B0A">
      <w:pPr>
        <w:tabs>
          <w:tab w:val="left" w:pos="709"/>
          <w:tab w:val="left" w:pos="8647"/>
        </w:tabs>
        <w:suppressAutoHyphens/>
        <w:spacing w:line="276" w:lineRule="auto"/>
        <w:jc w:val="both"/>
        <w:rPr>
          <w:rFonts w:ascii="Arial" w:hAnsi="Arial" w:cs="Arial"/>
          <w:iCs/>
          <w:szCs w:val="24"/>
        </w:rPr>
      </w:pPr>
      <w:r>
        <w:rPr>
          <w:rFonts w:ascii="Arial" w:hAnsi="Arial" w:cs="Arial"/>
          <w:iCs/>
          <w:szCs w:val="24"/>
        </w:rPr>
        <w:tab/>
      </w:r>
      <w:r w:rsidR="00D33344">
        <w:rPr>
          <w:rFonts w:ascii="Arial" w:hAnsi="Arial" w:cs="Arial"/>
          <w:iCs/>
          <w:szCs w:val="24"/>
        </w:rPr>
        <w:t>En conclusión, para esta Sala le asiste razón a la jueza de primer grado al concluir que para efectos del reconocimiento de la pensión de jubilación por aportes el interesado debe acreditar un total de 1.028.57 semanas.</w:t>
      </w:r>
    </w:p>
    <w:p w:rsidR="00D33344" w:rsidRDefault="00D33344" w:rsidP="00DA4B0A">
      <w:pPr>
        <w:tabs>
          <w:tab w:val="left" w:pos="709"/>
          <w:tab w:val="left" w:pos="8647"/>
        </w:tabs>
        <w:suppressAutoHyphens/>
        <w:spacing w:line="276" w:lineRule="auto"/>
        <w:jc w:val="both"/>
        <w:rPr>
          <w:rFonts w:ascii="Arial" w:hAnsi="Arial" w:cs="Arial"/>
          <w:iCs/>
          <w:szCs w:val="24"/>
        </w:rPr>
      </w:pPr>
    </w:p>
    <w:p w:rsidR="00D33344" w:rsidRPr="00D33344" w:rsidRDefault="00D33344" w:rsidP="00DA4B0A">
      <w:pPr>
        <w:tabs>
          <w:tab w:val="left" w:pos="709"/>
          <w:tab w:val="left" w:pos="8647"/>
        </w:tabs>
        <w:suppressAutoHyphens/>
        <w:spacing w:line="276" w:lineRule="auto"/>
        <w:jc w:val="both"/>
        <w:rPr>
          <w:rFonts w:ascii="Arial" w:hAnsi="Arial" w:cs="Arial"/>
          <w:b/>
          <w:iCs/>
          <w:szCs w:val="24"/>
        </w:rPr>
      </w:pPr>
      <w:r>
        <w:rPr>
          <w:rFonts w:ascii="Arial" w:hAnsi="Arial" w:cs="Arial"/>
          <w:iCs/>
          <w:szCs w:val="24"/>
        </w:rPr>
        <w:tab/>
      </w:r>
      <w:r w:rsidRPr="00D33344">
        <w:rPr>
          <w:rFonts w:ascii="Arial" w:hAnsi="Arial" w:cs="Arial"/>
          <w:b/>
          <w:iCs/>
          <w:szCs w:val="24"/>
        </w:rPr>
        <w:t>Caso concreto:</w:t>
      </w:r>
    </w:p>
    <w:p w:rsidR="00D33344" w:rsidRDefault="00D33344" w:rsidP="00DA4B0A">
      <w:pPr>
        <w:tabs>
          <w:tab w:val="left" w:pos="709"/>
          <w:tab w:val="left" w:pos="8647"/>
        </w:tabs>
        <w:suppressAutoHyphens/>
        <w:spacing w:line="276" w:lineRule="auto"/>
        <w:jc w:val="both"/>
        <w:rPr>
          <w:rFonts w:ascii="Arial" w:hAnsi="Arial" w:cs="Arial"/>
          <w:iCs/>
          <w:szCs w:val="24"/>
        </w:rPr>
      </w:pPr>
    </w:p>
    <w:p w:rsidR="00D33344" w:rsidRDefault="00F919EA" w:rsidP="00DA4B0A">
      <w:pPr>
        <w:tabs>
          <w:tab w:val="left" w:pos="709"/>
          <w:tab w:val="left" w:pos="8647"/>
        </w:tabs>
        <w:suppressAutoHyphens/>
        <w:spacing w:line="276" w:lineRule="auto"/>
        <w:jc w:val="both"/>
        <w:rPr>
          <w:rFonts w:ascii="Arial" w:hAnsi="Arial" w:cs="Arial"/>
          <w:iCs/>
          <w:szCs w:val="24"/>
        </w:rPr>
      </w:pPr>
      <w:r>
        <w:rPr>
          <w:rFonts w:ascii="Arial" w:hAnsi="Arial" w:cs="Arial"/>
          <w:iCs/>
          <w:szCs w:val="24"/>
        </w:rPr>
        <w:tab/>
        <w:t xml:space="preserve">Teniendo en cuenta que no existe discusión frente a la acreditación de la edad de la actora y que durante toda su vida laboral, según las cuentas halladas por la funcionaria de primer grado, efectuó aportes o cotizaciones equivalentes a 1.006,86 semanas, </w:t>
      </w:r>
      <w:r w:rsidR="00A32B05">
        <w:rPr>
          <w:rFonts w:ascii="Arial" w:hAnsi="Arial" w:cs="Arial"/>
          <w:iCs/>
          <w:szCs w:val="24"/>
        </w:rPr>
        <w:t xml:space="preserve">y atendiendo la interpretación expuesta en precedencia, </w:t>
      </w:r>
      <w:r>
        <w:rPr>
          <w:rFonts w:ascii="Arial" w:hAnsi="Arial" w:cs="Arial"/>
          <w:iCs/>
          <w:szCs w:val="24"/>
        </w:rPr>
        <w:t xml:space="preserve">no queda otro camino que concluir que la señora María Cristina Jaimes Noreña no </w:t>
      </w:r>
      <w:r w:rsidR="00A32B05">
        <w:rPr>
          <w:rFonts w:ascii="Arial" w:hAnsi="Arial" w:cs="Arial"/>
          <w:iCs/>
          <w:szCs w:val="24"/>
        </w:rPr>
        <w:t xml:space="preserve">cumplió con los presupuestos indispensables para acceder a </w:t>
      </w:r>
      <w:r>
        <w:rPr>
          <w:rFonts w:ascii="Arial" w:hAnsi="Arial" w:cs="Arial"/>
          <w:iCs/>
          <w:szCs w:val="24"/>
        </w:rPr>
        <w:t>la pensión de jubilación por aportes prevista en el artículo 1° de la Ley 71 de 1988.</w:t>
      </w:r>
    </w:p>
    <w:p w:rsidR="00C81FE6" w:rsidRDefault="00C81FE6" w:rsidP="008D27EF">
      <w:pPr>
        <w:tabs>
          <w:tab w:val="left" w:pos="709"/>
          <w:tab w:val="left" w:pos="8647"/>
        </w:tabs>
        <w:suppressAutoHyphens/>
        <w:spacing w:line="276" w:lineRule="auto"/>
        <w:jc w:val="both"/>
        <w:rPr>
          <w:rFonts w:ascii="Arial" w:hAnsi="Arial" w:cs="Arial"/>
          <w:iCs/>
          <w:szCs w:val="24"/>
        </w:rPr>
      </w:pPr>
    </w:p>
    <w:p w:rsidR="002A1785" w:rsidRDefault="002A1785" w:rsidP="008D27EF">
      <w:pPr>
        <w:tabs>
          <w:tab w:val="left" w:pos="709"/>
          <w:tab w:val="left" w:pos="8647"/>
        </w:tabs>
        <w:suppressAutoHyphens/>
        <w:spacing w:line="276" w:lineRule="auto"/>
        <w:jc w:val="both"/>
        <w:rPr>
          <w:rFonts w:ascii="Arial" w:hAnsi="Arial" w:cs="Arial"/>
          <w:iCs/>
          <w:szCs w:val="24"/>
        </w:rPr>
      </w:pPr>
    </w:p>
    <w:p w:rsidR="00A32B05" w:rsidRPr="00A32B05" w:rsidRDefault="00A32B05" w:rsidP="00A32B05">
      <w:pPr>
        <w:spacing w:line="276" w:lineRule="auto"/>
        <w:ind w:firstLine="851"/>
        <w:jc w:val="both"/>
        <w:rPr>
          <w:rFonts w:ascii="Arial" w:hAnsi="Arial" w:cs="Arial"/>
          <w:color w:val="000000"/>
          <w:szCs w:val="24"/>
          <w:shd w:val="clear" w:color="auto" w:fill="FFFFFF"/>
          <w:lang w:val="es-ES"/>
        </w:rPr>
      </w:pPr>
      <w:r w:rsidRPr="00A32B05">
        <w:rPr>
          <w:rFonts w:ascii="Arial" w:hAnsi="Arial" w:cs="Arial"/>
          <w:color w:val="000000"/>
          <w:szCs w:val="24"/>
          <w:shd w:val="clear" w:color="auto" w:fill="FFFFFF"/>
          <w:lang w:val="es-ES"/>
        </w:rPr>
        <w:t xml:space="preserve">Así las cosas, se observa que la sentencia objeto de censura es acertada y habrá de confirmarse. </w:t>
      </w:r>
    </w:p>
    <w:p w:rsidR="00A32B05" w:rsidRDefault="00A32B05" w:rsidP="00F017BF">
      <w:pPr>
        <w:spacing w:line="276" w:lineRule="auto"/>
        <w:ind w:firstLine="708"/>
        <w:jc w:val="both"/>
        <w:rPr>
          <w:rFonts w:ascii="Arial" w:hAnsi="Arial" w:cs="Arial"/>
          <w:szCs w:val="24"/>
        </w:rPr>
      </w:pPr>
    </w:p>
    <w:p w:rsidR="00EF2074" w:rsidRPr="00D578CB" w:rsidRDefault="00565E83" w:rsidP="00F017BF">
      <w:pPr>
        <w:spacing w:line="276" w:lineRule="auto"/>
        <w:ind w:firstLine="708"/>
        <w:jc w:val="both"/>
        <w:rPr>
          <w:rFonts w:ascii="Arial" w:hAnsi="Arial" w:cs="Arial"/>
          <w:szCs w:val="24"/>
        </w:rPr>
      </w:pPr>
      <w:r w:rsidRPr="00D578CB">
        <w:rPr>
          <w:rFonts w:ascii="Arial" w:hAnsi="Arial" w:cs="Arial"/>
          <w:szCs w:val="24"/>
        </w:rPr>
        <w:t xml:space="preserve">Costas en </w:t>
      </w:r>
      <w:r w:rsidR="00D33344">
        <w:rPr>
          <w:rFonts w:ascii="Arial" w:hAnsi="Arial" w:cs="Arial"/>
          <w:szCs w:val="24"/>
        </w:rPr>
        <w:t xml:space="preserve">esta instancia </w:t>
      </w:r>
      <w:r w:rsidRPr="00D578CB">
        <w:rPr>
          <w:rFonts w:ascii="Arial" w:hAnsi="Arial" w:cs="Arial"/>
          <w:szCs w:val="24"/>
        </w:rPr>
        <w:t>a cargo de la parte actora</w:t>
      </w:r>
      <w:r w:rsidR="00134C86" w:rsidRPr="00D578CB">
        <w:rPr>
          <w:rFonts w:ascii="Arial" w:hAnsi="Arial" w:cs="Arial"/>
          <w:szCs w:val="24"/>
        </w:rPr>
        <w:t xml:space="preserve">. </w:t>
      </w:r>
    </w:p>
    <w:p w:rsidR="00134C86" w:rsidRPr="00D578CB" w:rsidRDefault="00134C86" w:rsidP="00F017BF">
      <w:pPr>
        <w:pStyle w:val="Sinespaciado"/>
        <w:spacing w:line="276" w:lineRule="auto"/>
        <w:rPr>
          <w:rFonts w:ascii="Arial" w:hAnsi="Arial" w:cs="Arial"/>
          <w:sz w:val="24"/>
          <w:szCs w:val="24"/>
        </w:rPr>
      </w:pPr>
    </w:p>
    <w:p w:rsidR="00226D5F" w:rsidRPr="00D578CB" w:rsidRDefault="00226D5F" w:rsidP="00F017BF">
      <w:pPr>
        <w:pStyle w:val="Prrafodelista2"/>
        <w:spacing w:after="0"/>
        <w:ind w:left="0" w:firstLine="708"/>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 Laboral,</w:t>
      </w:r>
      <w:r w:rsidRPr="00D578CB">
        <w:rPr>
          <w:rFonts w:ascii="Arial" w:hAnsi="Arial" w:cs="Arial"/>
          <w:sz w:val="24"/>
          <w:szCs w:val="24"/>
        </w:rPr>
        <w:t xml:space="preserve"> administrando justicia en nombre de la República y por autoridad de la ley,</w:t>
      </w:r>
    </w:p>
    <w:p w:rsidR="00D578CB" w:rsidRPr="00D578CB" w:rsidRDefault="00D578CB" w:rsidP="00F017BF">
      <w:pPr>
        <w:pStyle w:val="Prrafodelista2"/>
        <w:spacing w:after="0"/>
        <w:ind w:left="0" w:firstLine="708"/>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F017BF">
      <w:pPr>
        <w:pStyle w:val="Sinespaciado"/>
        <w:spacing w:line="276" w:lineRule="auto"/>
        <w:rPr>
          <w:rFonts w:ascii="Arial" w:hAnsi="Arial" w:cs="Arial"/>
          <w:sz w:val="24"/>
          <w:szCs w:val="24"/>
        </w:rPr>
      </w:pPr>
    </w:p>
    <w:p w:rsidR="00134C86" w:rsidRPr="00D578CB" w:rsidRDefault="00572BE9" w:rsidP="00572BE9">
      <w:pPr>
        <w:spacing w:line="276" w:lineRule="auto"/>
        <w:jc w:val="both"/>
        <w:rPr>
          <w:rFonts w:ascii="Arial" w:hAnsi="Arial" w:cs="Arial"/>
          <w:bCs/>
          <w:iCs/>
          <w:szCs w:val="24"/>
        </w:rPr>
      </w:pPr>
      <w:r w:rsidRPr="00D578CB">
        <w:rPr>
          <w:rFonts w:ascii="Arial" w:hAnsi="Arial" w:cs="Arial"/>
          <w:b/>
          <w:spacing w:val="-2"/>
          <w:szCs w:val="24"/>
        </w:rPr>
        <w:t xml:space="preserve">PRIMERO: </w:t>
      </w:r>
      <w:r w:rsidR="00D33344">
        <w:rPr>
          <w:rFonts w:ascii="Arial" w:hAnsi="Arial" w:cs="Arial"/>
          <w:b/>
          <w:spacing w:val="-2"/>
          <w:szCs w:val="24"/>
        </w:rPr>
        <w:t xml:space="preserve">CONFIRMAR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D33344">
        <w:rPr>
          <w:rFonts w:ascii="Arial" w:hAnsi="Arial" w:cs="Arial"/>
          <w:szCs w:val="24"/>
        </w:rPr>
        <w:t xml:space="preserve">26 </w:t>
      </w:r>
      <w:r w:rsidR="00134C86" w:rsidRPr="00D578CB">
        <w:rPr>
          <w:rFonts w:ascii="Arial" w:hAnsi="Arial" w:cs="Arial"/>
          <w:szCs w:val="24"/>
        </w:rPr>
        <w:t xml:space="preserve">de </w:t>
      </w:r>
      <w:r w:rsidR="00D33344">
        <w:rPr>
          <w:rFonts w:ascii="Arial" w:hAnsi="Arial" w:cs="Arial"/>
          <w:szCs w:val="24"/>
        </w:rPr>
        <w:t xml:space="preserve">noviembre </w:t>
      </w:r>
      <w:r w:rsidR="00134C86" w:rsidRPr="00D578CB">
        <w:rPr>
          <w:rFonts w:ascii="Arial" w:hAnsi="Arial" w:cs="Arial"/>
          <w:szCs w:val="24"/>
        </w:rPr>
        <w:t>de 201</w:t>
      </w:r>
      <w:r w:rsidR="00565E83" w:rsidRPr="00D578CB">
        <w:rPr>
          <w:rFonts w:ascii="Arial" w:hAnsi="Arial" w:cs="Arial"/>
          <w:szCs w:val="24"/>
        </w:rPr>
        <w:t xml:space="preserve">5 </w:t>
      </w:r>
      <w:r w:rsidR="00134C86" w:rsidRPr="00D578CB">
        <w:rPr>
          <w:rFonts w:ascii="Arial" w:hAnsi="Arial" w:cs="Arial"/>
          <w:szCs w:val="24"/>
        </w:rPr>
        <w:t xml:space="preserve">por el Juzgado </w:t>
      </w:r>
      <w:r w:rsidR="00D33344">
        <w:rPr>
          <w:rFonts w:ascii="Arial" w:hAnsi="Arial" w:cs="Arial"/>
          <w:szCs w:val="24"/>
        </w:rPr>
        <w:t xml:space="preserve">Cuarto </w:t>
      </w:r>
      <w:r w:rsidR="00134C86" w:rsidRPr="00D578CB">
        <w:rPr>
          <w:rFonts w:ascii="Arial" w:hAnsi="Arial" w:cs="Arial"/>
          <w:szCs w:val="24"/>
        </w:rPr>
        <w:t xml:space="preserve">Laboral del Circuito de Pereira, dentro del proceso ordinario laboral </w:t>
      </w:r>
      <w:r w:rsidR="001667FB" w:rsidRPr="00D578CB">
        <w:rPr>
          <w:rFonts w:ascii="Arial" w:hAnsi="Arial" w:cs="Arial"/>
          <w:szCs w:val="24"/>
        </w:rPr>
        <w:t xml:space="preserve">propuesto por la señora </w:t>
      </w:r>
      <w:r w:rsidR="00D33344">
        <w:rPr>
          <w:rFonts w:ascii="Arial" w:hAnsi="Arial" w:cs="Arial"/>
          <w:b/>
          <w:iCs/>
          <w:szCs w:val="24"/>
        </w:rPr>
        <w:t xml:space="preserve">MARÍA CRISTINA JAIMES NOREÑA </w:t>
      </w:r>
      <w:r w:rsidR="00134C86" w:rsidRPr="00D578CB">
        <w:rPr>
          <w:rFonts w:ascii="Arial" w:hAnsi="Arial" w:cs="Arial"/>
          <w:szCs w:val="24"/>
        </w:rPr>
        <w:t xml:space="preserve">contra la </w:t>
      </w:r>
      <w:r w:rsidR="00134C86" w:rsidRPr="00D578CB">
        <w:rPr>
          <w:rFonts w:ascii="Arial" w:hAnsi="Arial" w:cs="Arial"/>
          <w:b/>
          <w:szCs w:val="24"/>
        </w:rPr>
        <w:t>Administradora Colombiana de Pensiones</w:t>
      </w:r>
      <w:r w:rsidR="00134C86" w:rsidRPr="00D578CB">
        <w:rPr>
          <w:rFonts w:ascii="Arial" w:hAnsi="Arial" w:cs="Arial"/>
          <w:szCs w:val="24"/>
        </w:rPr>
        <w:t xml:space="preserve"> </w:t>
      </w:r>
      <w:r w:rsidRPr="00D578CB">
        <w:rPr>
          <w:rFonts w:ascii="Arial" w:hAnsi="Arial" w:cs="Arial"/>
          <w:b/>
          <w:bCs/>
          <w:szCs w:val="24"/>
        </w:rPr>
        <w:t>COLPENSIONES</w:t>
      </w:r>
      <w:r w:rsidR="00D33344">
        <w:rPr>
          <w:rFonts w:ascii="Arial" w:hAnsi="Arial" w:cs="Arial"/>
          <w:bCs/>
          <w:iCs/>
          <w:szCs w:val="24"/>
        </w:rPr>
        <w:t>, conforme a lo expuesto en la parte motiva de esta decisión.</w:t>
      </w:r>
      <w:r w:rsidR="00134C86" w:rsidRPr="00D578CB">
        <w:rPr>
          <w:rFonts w:ascii="Arial" w:hAnsi="Arial" w:cs="Arial"/>
          <w:bCs/>
          <w:iCs/>
          <w:szCs w:val="24"/>
        </w:rPr>
        <w:t xml:space="preserve"> </w:t>
      </w:r>
    </w:p>
    <w:p w:rsidR="00134C86" w:rsidRPr="00D578CB" w:rsidRDefault="00134C86" w:rsidP="00F017BF">
      <w:pPr>
        <w:pStyle w:val="Sinespaciado"/>
        <w:spacing w:line="276" w:lineRule="auto"/>
        <w:rPr>
          <w:rFonts w:ascii="Arial" w:hAnsi="Arial" w:cs="Arial"/>
          <w:sz w:val="24"/>
          <w:szCs w:val="24"/>
        </w:rPr>
      </w:pPr>
    </w:p>
    <w:p w:rsidR="003465C4" w:rsidRPr="00D578CB" w:rsidRDefault="00572BE9" w:rsidP="00D33344">
      <w:pPr>
        <w:autoSpaceDE w:val="0"/>
        <w:autoSpaceDN w:val="0"/>
        <w:adjustRightInd w:val="0"/>
        <w:spacing w:line="276" w:lineRule="auto"/>
        <w:jc w:val="both"/>
        <w:rPr>
          <w:rFonts w:ascii="Arial" w:hAnsi="Arial" w:cs="Arial"/>
          <w:szCs w:val="24"/>
        </w:rPr>
      </w:pPr>
      <w:r w:rsidRPr="00D578CB">
        <w:rPr>
          <w:rFonts w:ascii="Arial" w:hAnsi="Arial" w:cs="Arial"/>
          <w:b/>
          <w:szCs w:val="24"/>
          <w:lang w:val="es-ES"/>
        </w:rPr>
        <w:t>SEGUNDO:</w:t>
      </w:r>
      <w:r w:rsidR="00D578CB" w:rsidRPr="00D578CB">
        <w:rPr>
          <w:rFonts w:ascii="Arial" w:hAnsi="Arial" w:cs="Arial"/>
          <w:szCs w:val="24"/>
        </w:rPr>
        <w:t xml:space="preserve"> </w:t>
      </w:r>
      <w:r w:rsidR="00D578CB" w:rsidRPr="00D578CB">
        <w:rPr>
          <w:rFonts w:ascii="Arial" w:hAnsi="Arial" w:cs="Arial"/>
          <w:b/>
          <w:szCs w:val="24"/>
        </w:rPr>
        <w:t>CONDENAR</w:t>
      </w:r>
      <w:r w:rsidR="00D578CB" w:rsidRPr="00D578CB">
        <w:rPr>
          <w:rFonts w:ascii="Arial" w:hAnsi="Arial" w:cs="Arial"/>
          <w:szCs w:val="24"/>
        </w:rPr>
        <w:t xml:space="preserve"> en </w:t>
      </w:r>
      <w:r w:rsidR="003465C4" w:rsidRPr="00D578CB">
        <w:rPr>
          <w:rFonts w:ascii="Arial" w:hAnsi="Arial" w:cs="Arial"/>
          <w:szCs w:val="24"/>
        </w:rPr>
        <w:t xml:space="preserve">costas en </w:t>
      </w:r>
      <w:r w:rsidR="00D33344">
        <w:rPr>
          <w:rFonts w:ascii="Arial" w:hAnsi="Arial" w:cs="Arial"/>
          <w:szCs w:val="24"/>
        </w:rPr>
        <w:t xml:space="preserve">esta </w:t>
      </w:r>
      <w:r w:rsidR="003465C4" w:rsidRPr="00D578CB">
        <w:rPr>
          <w:rFonts w:ascii="Arial" w:hAnsi="Arial" w:cs="Arial"/>
          <w:szCs w:val="24"/>
        </w:rPr>
        <w:t>instancia</w:t>
      </w:r>
      <w:r w:rsidR="00D578CB" w:rsidRPr="00D578CB">
        <w:rPr>
          <w:rFonts w:ascii="Arial" w:hAnsi="Arial" w:cs="Arial"/>
          <w:szCs w:val="24"/>
        </w:rPr>
        <w:t xml:space="preserve"> a la parte actora</w:t>
      </w:r>
      <w:r w:rsidR="003465C4" w:rsidRPr="00D578CB">
        <w:rPr>
          <w:rFonts w:ascii="Arial" w:hAnsi="Arial" w:cs="Arial"/>
          <w:szCs w:val="24"/>
        </w:rPr>
        <w:t xml:space="preserve">. </w:t>
      </w:r>
    </w:p>
    <w:p w:rsidR="00D578CB" w:rsidRPr="00D578CB" w:rsidRDefault="00D578CB" w:rsidP="00D578CB">
      <w:pPr>
        <w:spacing w:line="276" w:lineRule="auto"/>
        <w:jc w:val="both"/>
        <w:rPr>
          <w:rFonts w:ascii="Arial" w:hAnsi="Arial" w:cs="Arial"/>
          <w:szCs w:val="24"/>
        </w:rPr>
      </w:pPr>
    </w:p>
    <w:p w:rsidR="00134C86" w:rsidRPr="00D578CB" w:rsidRDefault="00134C86" w:rsidP="00F017BF">
      <w:pPr>
        <w:pStyle w:val="Sinespaciado"/>
        <w:spacing w:line="276" w:lineRule="auto"/>
        <w:rPr>
          <w:rFonts w:ascii="Arial" w:hAnsi="Arial" w:cs="Arial"/>
          <w:sz w:val="24"/>
          <w:szCs w:val="24"/>
          <w:lang w:val="es-CO"/>
        </w:rPr>
      </w:pPr>
    </w:p>
    <w:p w:rsidR="00134C86" w:rsidRPr="00F919EA" w:rsidRDefault="00134C86" w:rsidP="00F017BF">
      <w:pPr>
        <w:spacing w:line="276" w:lineRule="auto"/>
        <w:ind w:firstLine="900"/>
        <w:jc w:val="both"/>
        <w:rPr>
          <w:rFonts w:ascii="Arial" w:hAnsi="Arial" w:cs="Arial"/>
          <w:b/>
          <w:bCs/>
          <w:iCs/>
          <w:szCs w:val="24"/>
          <w:lang w:val="es-ES"/>
        </w:rPr>
      </w:pPr>
      <w:r w:rsidRPr="00F919EA">
        <w:rPr>
          <w:rFonts w:ascii="Arial" w:hAnsi="Arial" w:cs="Arial"/>
          <w:b/>
          <w:bCs/>
          <w:iCs/>
          <w:szCs w:val="24"/>
          <w:lang w:val="es-ES"/>
        </w:rPr>
        <w:t>NOTIFÍQUESE, CÚMPLASE Y DEVUÉLVASE.</w:t>
      </w:r>
    </w:p>
    <w:p w:rsidR="00134C86" w:rsidRPr="00D578CB" w:rsidRDefault="00134C86" w:rsidP="00F017BF">
      <w:pPr>
        <w:pStyle w:val="Sinespaciado"/>
        <w:spacing w:line="276" w:lineRule="auto"/>
        <w:rPr>
          <w:rFonts w:ascii="Arial" w:hAnsi="Arial" w:cs="Arial"/>
          <w:sz w:val="24"/>
          <w:szCs w:val="24"/>
          <w:lang w:val="es-ES"/>
        </w:rPr>
      </w:pPr>
    </w:p>
    <w:p w:rsidR="00134C86" w:rsidRPr="00D578CB" w:rsidRDefault="00134C86" w:rsidP="00F017BF">
      <w:pPr>
        <w:spacing w:line="276" w:lineRule="auto"/>
        <w:ind w:firstLine="900"/>
        <w:jc w:val="both"/>
        <w:rPr>
          <w:rFonts w:ascii="Arial" w:hAnsi="Arial" w:cs="Arial"/>
          <w:bCs/>
          <w:iCs/>
          <w:szCs w:val="24"/>
          <w:lang w:val="es-ES"/>
        </w:rPr>
      </w:pPr>
      <w:r w:rsidRPr="00D578CB">
        <w:rPr>
          <w:rFonts w:ascii="Arial" w:hAnsi="Arial" w:cs="Arial"/>
          <w:bCs/>
          <w:iCs/>
          <w:szCs w:val="24"/>
          <w:lang w:val="es-ES"/>
        </w:rPr>
        <w:t>La anterior decisión queda notificada en estrados.</w:t>
      </w:r>
    </w:p>
    <w:p w:rsidR="00134C86" w:rsidRPr="00D578CB" w:rsidRDefault="00134C86" w:rsidP="00F017BF">
      <w:pPr>
        <w:pStyle w:val="Sinespaciado"/>
        <w:spacing w:line="276" w:lineRule="auto"/>
        <w:rPr>
          <w:rFonts w:ascii="Arial" w:hAnsi="Arial" w:cs="Arial"/>
          <w:sz w:val="24"/>
          <w:szCs w:val="24"/>
          <w:lang w:val="es-ES"/>
        </w:rPr>
      </w:pPr>
    </w:p>
    <w:p w:rsidR="00134C86" w:rsidRPr="00D578CB" w:rsidRDefault="00134C86" w:rsidP="00F017BF">
      <w:pPr>
        <w:pStyle w:val="Sinespaciado"/>
        <w:spacing w:line="276" w:lineRule="auto"/>
        <w:rPr>
          <w:rFonts w:ascii="Arial" w:hAnsi="Arial" w:cs="Arial"/>
          <w:sz w:val="24"/>
          <w:szCs w:val="24"/>
        </w:rPr>
      </w:pPr>
    </w:p>
    <w:p w:rsidR="00134C86" w:rsidRPr="00D578CB" w:rsidRDefault="00134C86" w:rsidP="00F017BF">
      <w:pPr>
        <w:pStyle w:val="Sinespaciado"/>
        <w:spacing w:line="276" w:lineRule="auto"/>
        <w:rPr>
          <w:rFonts w:ascii="Arial" w:hAnsi="Arial" w:cs="Arial"/>
          <w:sz w:val="24"/>
          <w:szCs w:val="24"/>
        </w:rPr>
      </w:pPr>
    </w:p>
    <w:p w:rsidR="00134C86" w:rsidRPr="00D578CB" w:rsidRDefault="00134C86" w:rsidP="00F017BF">
      <w:pPr>
        <w:pStyle w:val="Sinespaciado"/>
        <w:spacing w:line="276" w:lineRule="auto"/>
        <w:jc w:val="center"/>
        <w:rPr>
          <w:rFonts w:ascii="Arial" w:hAnsi="Arial" w:cs="Arial"/>
          <w:sz w:val="24"/>
          <w:szCs w:val="24"/>
          <w:lang w:val="es-ES"/>
        </w:rPr>
      </w:pPr>
    </w:p>
    <w:p w:rsidR="00134C86" w:rsidRPr="00D578CB" w:rsidRDefault="001B03FA" w:rsidP="00F017BF">
      <w:pPr>
        <w:pStyle w:val="Sinespaciado"/>
        <w:spacing w:line="276" w:lineRule="auto"/>
        <w:jc w:val="center"/>
        <w:rPr>
          <w:rFonts w:ascii="Arial" w:hAnsi="Arial" w:cs="Arial"/>
          <w:b/>
          <w:sz w:val="24"/>
          <w:szCs w:val="24"/>
          <w:lang w:val="es-ES"/>
        </w:rPr>
      </w:pPr>
      <w:r w:rsidRPr="00D578CB">
        <w:rPr>
          <w:rFonts w:ascii="Arial" w:hAnsi="Arial" w:cs="Arial"/>
          <w:b/>
          <w:sz w:val="24"/>
          <w:szCs w:val="24"/>
          <w:lang w:val="es-ES"/>
        </w:rPr>
        <w:t>ISSA RAFAEL ULLOQUE TOSCANO</w:t>
      </w:r>
    </w:p>
    <w:p w:rsidR="00134C86" w:rsidRPr="00D578CB" w:rsidRDefault="00134C86" w:rsidP="00F017BF">
      <w:pPr>
        <w:pStyle w:val="Sinespaciado"/>
        <w:spacing w:line="276" w:lineRule="auto"/>
        <w:jc w:val="center"/>
        <w:rPr>
          <w:rFonts w:ascii="Arial" w:hAnsi="Arial" w:cs="Arial"/>
          <w:sz w:val="24"/>
          <w:szCs w:val="24"/>
          <w:lang w:val="es-ES"/>
        </w:rPr>
      </w:pPr>
      <w:r w:rsidRPr="00D578CB">
        <w:rPr>
          <w:rFonts w:ascii="Arial" w:hAnsi="Arial" w:cs="Arial"/>
          <w:sz w:val="24"/>
          <w:szCs w:val="24"/>
          <w:lang w:val="es-ES"/>
        </w:rPr>
        <w:t>Magistrado Ponente</w:t>
      </w:r>
    </w:p>
    <w:p w:rsidR="00134C86" w:rsidRPr="00D578CB" w:rsidRDefault="00134C86" w:rsidP="00F017BF">
      <w:pPr>
        <w:spacing w:line="276" w:lineRule="auto"/>
        <w:ind w:firstLine="900"/>
        <w:jc w:val="center"/>
        <w:rPr>
          <w:rFonts w:ascii="Arial" w:hAnsi="Arial" w:cs="Arial"/>
          <w:b/>
          <w:szCs w:val="24"/>
          <w:lang w:val="es-ES"/>
        </w:rPr>
      </w:pPr>
    </w:p>
    <w:p w:rsidR="00134C86" w:rsidRPr="0045273B" w:rsidRDefault="00134C86" w:rsidP="00F017BF">
      <w:pPr>
        <w:pStyle w:val="Sinespaciado"/>
        <w:spacing w:line="276" w:lineRule="auto"/>
        <w:rPr>
          <w:rFonts w:ascii="Arial" w:hAnsi="Arial" w:cs="Arial"/>
          <w:sz w:val="23"/>
          <w:szCs w:val="23"/>
          <w:lang w:val="es-ES"/>
        </w:rPr>
      </w:pPr>
    </w:p>
    <w:p w:rsidR="00134C86" w:rsidRPr="0045273B" w:rsidRDefault="00134C86" w:rsidP="00F017BF">
      <w:pPr>
        <w:pStyle w:val="Sinespaciado"/>
        <w:spacing w:line="276" w:lineRule="auto"/>
        <w:rPr>
          <w:rFonts w:ascii="Arial" w:hAnsi="Arial" w:cs="Arial"/>
          <w:sz w:val="23"/>
          <w:szCs w:val="23"/>
          <w:lang w:val="es-ES"/>
        </w:rPr>
      </w:pPr>
    </w:p>
    <w:p w:rsidR="001E0313" w:rsidRPr="0045273B" w:rsidRDefault="001E0313" w:rsidP="00F017BF">
      <w:pPr>
        <w:spacing w:line="276" w:lineRule="auto"/>
        <w:jc w:val="both"/>
        <w:rPr>
          <w:rFonts w:ascii="Arial" w:hAnsi="Arial" w:cs="Arial"/>
          <w:b/>
          <w:bCs/>
          <w:iCs/>
          <w:sz w:val="23"/>
          <w:szCs w:val="23"/>
          <w:lang w:val="es-ES"/>
        </w:rPr>
      </w:pPr>
    </w:p>
    <w:p w:rsidR="00AB2033" w:rsidRDefault="00AB2033" w:rsidP="00F017BF">
      <w:pPr>
        <w:spacing w:line="276" w:lineRule="auto"/>
        <w:jc w:val="both"/>
        <w:rPr>
          <w:rFonts w:ascii="Arial" w:hAnsi="Arial" w:cs="Arial"/>
          <w:b/>
          <w:bCs/>
          <w:iCs/>
          <w:sz w:val="23"/>
          <w:szCs w:val="23"/>
          <w:lang w:val="es-ES"/>
        </w:rPr>
      </w:pPr>
    </w:p>
    <w:p w:rsidR="00AB2033" w:rsidRDefault="00AB2033" w:rsidP="00F017BF">
      <w:pPr>
        <w:spacing w:line="276" w:lineRule="auto"/>
        <w:jc w:val="both"/>
        <w:rPr>
          <w:rFonts w:ascii="Arial" w:hAnsi="Arial" w:cs="Arial"/>
          <w:b/>
          <w:bCs/>
          <w:iCs/>
          <w:sz w:val="23"/>
          <w:szCs w:val="23"/>
          <w:lang w:val="es-ES"/>
        </w:rPr>
      </w:pPr>
    </w:p>
    <w:p w:rsidR="00AB2033" w:rsidRDefault="00AB2033" w:rsidP="00F017BF">
      <w:pPr>
        <w:spacing w:line="276" w:lineRule="auto"/>
        <w:jc w:val="both"/>
        <w:rPr>
          <w:rFonts w:ascii="Arial" w:hAnsi="Arial" w:cs="Arial"/>
          <w:b/>
          <w:bCs/>
          <w:iCs/>
          <w:sz w:val="23"/>
          <w:szCs w:val="23"/>
          <w:lang w:val="es-ES"/>
        </w:rPr>
      </w:pPr>
    </w:p>
    <w:p w:rsidR="00134C86" w:rsidRPr="0045273B" w:rsidRDefault="00134C86" w:rsidP="00F017BF">
      <w:pPr>
        <w:spacing w:line="276" w:lineRule="auto"/>
        <w:jc w:val="both"/>
        <w:rPr>
          <w:rFonts w:ascii="Arial" w:hAnsi="Arial" w:cs="Arial"/>
          <w:sz w:val="23"/>
          <w:szCs w:val="23"/>
          <w:lang w:val="es-ES"/>
        </w:rPr>
      </w:pPr>
      <w:r w:rsidRPr="0045273B">
        <w:rPr>
          <w:rFonts w:ascii="Arial" w:hAnsi="Arial" w:cs="Arial"/>
          <w:b/>
          <w:bCs/>
          <w:iCs/>
          <w:sz w:val="23"/>
          <w:szCs w:val="23"/>
          <w:lang w:val="es-ES"/>
        </w:rPr>
        <w:t xml:space="preserve">ANA LUCÍA CAICEDO CALDERÓN                </w:t>
      </w:r>
      <w:r w:rsidR="001E0313" w:rsidRPr="0045273B">
        <w:rPr>
          <w:rFonts w:ascii="Arial" w:hAnsi="Arial" w:cs="Arial"/>
          <w:b/>
          <w:bCs/>
          <w:iCs/>
          <w:sz w:val="23"/>
          <w:szCs w:val="23"/>
          <w:lang w:val="es-ES"/>
        </w:rPr>
        <w:t xml:space="preserve">        </w:t>
      </w:r>
      <w:r w:rsidRPr="0045273B">
        <w:rPr>
          <w:rFonts w:ascii="Arial" w:hAnsi="Arial" w:cs="Arial"/>
          <w:b/>
          <w:bCs/>
          <w:iCs/>
          <w:sz w:val="23"/>
          <w:szCs w:val="23"/>
          <w:lang w:val="es-ES"/>
        </w:rPr>
        <w:t xml:space="preserve"> JULIO CÉSAR SALAZAR MUÑOZ</w:t>
      </w:r>
      <w:r w:rsidRPr="0045273B">
        <w:rPr>
          <w:rFonts w:ascii="Arial" w:hAnsi="Arial" w:cs="Arial"/>
          <w:sz w:val="23"/>
          <w:szCs w:val="23"/>
          <w:lang w:val="es-ES"/>
        </w:rPr>
        <w:t xml:space="preserve"> </w:t>
      </w:r>
    </w:p>
    <w:p w:rsidR="00134C86" w:rsidRDefault="00134C86" w:rsidP="00F017BF">
      <w:pPr>
        <w:spacing w:line="276" w:lineRule="auto"/>
        <w:jc w:val="both"/>
        <w:rPr>
          <w:rFonts w:ascii="Arial" w:hAnsi="Arial" w:cs="Arial"/>
          <w:sz w:val="23"/>
          <w:szCs w:val="23"/>
          <w:lang w:val="es-ES"/>
        </w:rPr>
      </w:pPr>
      <w:r w:rsidRPr="0045273B">
        <w:rPr>
          <w:rFonts w:ascii="Arial" w:hAnsi="Arial" w:cs="Arial"/>
          <w:sz w:val="23"/>
          <w:szCs w:val="23"/>
          <w:lang w:val="es-ES"/>
        </w:rPr>
        <w:t xml:space="preserve">                   Magistrada                                                           </w:t>
      </w:r>
      <w:r w:rsidR="001E0313" w:rsidRPr="0045273B">
        <w:rPr>
          <w:rFonts w:ascii="Arial" w:hAnsi="Arial" w:cs="Arial"/>
          <w:sz w:val="23"/>
          <w:szCs w:val="23"/>
          <w:lang w:val="es-ES"/>
        </w:rPr>
        <w:t xml:space="preserve">   </w:t>
      </w:r>
      <w:r w:rsidRPr="0045273B">
        <w:rPr>
          <w:rFonts w:ascii="Arial" w:hAnsi="Arial" w:cs="Arial"/>
          <w:sz w:val="23"/>
          <w:szCs w:val="23"/>
          <w:lang w:val="es-ES"/>
        </w:rPr>
        <w:t xml:space="preserve">   Magistrado </w:t>
      </w:r>
    </w:p>
    <w:p w:rsidR="00AB2033" w:rsidRPr="00AB2033" w:rsidRDefault="00AB2033" w:rsidP="00F017BF">
      <w:pPr>
        <w:spacing w:line="276" w:lineRule="auto"/>
        <w:jc w:val="both"/>
        <w:rPr>
          <w:rFonts w:ascii="Arial" w:hAnsi="Arial" w:cs="Arial"/>
          <w:sz w:val="18"/>
          <w:szCs w:val="18"/>
          <w:lang w:val="es-ES"/>
        </w:rPr>
      </w:pPr>
      <w:r>
        <w:rPr>
          <w:rFonts w:ascii="Arial" w:hAnsi="Arial" w:cs="Arial"/>
          <w:sz w:val="23"/>
          <w:szCs w:val="23"/>
          <w:lang w:val="es-ES"/>
        </w:rPr>
        <w:t xml:space="preserve">               </w:t>
      </w:r>
      <w:r w:rsidRPr="00AB2033">
        <w:rPr>
          <w:rFonts w:ascii="Arial" w:hAnsi="Arial" w:cs="Arial"/>
          <w:sz w:val="18"/>
          <w:szCs w:val="18"/>
          <w:lang w:val="es-ES"/>
        </w:rPr>
        <w:t>(En uso de permiso)</w:t>
      </w:r>
    </w:p>
    <w:p w:rsidR="00AB2033" w:rsidRPr="0045273B" w:rsidRDefault="00AB2033" w:rsidP="00F017BF">
      <w:pPr>
        <w:spacing w:line="276" w:lineRule="auto"/>
        <w:jc w:val="both"/>
        <w:rPr>
          <w:rFonts w:ascii="Arial" w:hAnsi="Arial" w:cs="Arial"/>
          <w:sz w:val="23"/>
          <w:szCs w:val="23"/>
          <w:lang w:val="es-ES"/>
        </w:rPr>
      </w:pPr>
    </w:p>
    <w:p w:rsidR="00134C86" w:rsidRPr="0045273B" w:rsidRDefault="00134C86" w:rsidP="00F017BF">
      <w:pPr>
        <w:spacing w:line="276" w:lineRule="auto"/>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sidR="001E0313" w:rsidRPr="0045273B">
        <w:rPr>
          <w:rFonts w:ascii="Arial" w:hAnsi="Arial" w:cs="Arial"/>
          <w:bCs/>
          <w:iCs/>
          <w:sz w:val="23"/>
          <w:szCs w:val="23"/>
          <w:lang w:val="es-ES"/>
        </w:rPr>
        <w:t xml:space="preserve">  </w:t>
      </w:r>
      <w:r w:rsidR="00AB2033">
        <w:rPr>
          <w:rFonts w:ascii="Arial" w:hAnsi="Arial" w:cs="Arial"/>
          <w:bCs/>
          <w:iCs/>
          <w:sz w:val="23"/>
          <w:szCs w:val="23"/>
          <w:lang w:val="es-ES"/>
        </w:rPr>
        <w:t xml:space="preserve">    </w:t>
      </w:r>
    </w:p>
    <w:p w:rsidR="00134C86" w:rsidRPr="00AC486E" w:rsidRDefault="00134C86" w:rsidP="00F017BF">
      <w:pPr>
        <w:spacing w:line="276" w:lineRule="auto"/>
        <w:ind w:firstLine="900"/>
        <w:jc w:val="both"/>
        <w:rPr>
          <w:rFonts w:ascii="Arial" w:hAnsi="Arial" w:cs="Arial"/>
          <w:bCs/>
          <w:iCs/>
          <w:szCs w:val="24"/>
          <w:lang w:val="es-ES"/>
        </w:rPr>
      </w:pPr>
    </w:p>
    <w:p w:rsidR="00134C86" w:rsidRPr="00AC486E" w:rsidRDefault="00134C86" w:rsidP="00F017BF">
      <w:pPr>
        <w:spacing w:line="276" w:lineRule="auto"/>
        <w:ind w:firstLine="900"/>
        <w:jc w:val="both"/>
        <w:rPr>
          <w:rFonts w:ascii="Arial" w:hAnsi="Arial" w:cs="Arial"/>
          <w:bCs/>
          <w:iCs/>
          <w:szCs w:val="24"/>
          <w:lang w:val="es-ES"/>
        </w:rPr>
      </w:pPr>
    </w:p>
    <w:p w:rsidR="00134C86" w:rsidRPr="00AC486E" w:rsidRDefault="0045273B" w:rsidP="00F017BF">
      <w:pPr>
        <w:spacing w:line="276" w:lineRule="auto"/>
        <w:ind w:firstLine="900"/>
        <w:jc w:val="center"/>
        <w:rPr>
          <w:rFonts w:ascii="Arial" w:hAnsi="Arial" w:cs="Arial"/>
          <w:b/>
          <w:bCs/>
          <w:iCs/>
          <w:szCs w:val="24"/>
          <w:lang w:val="es-ES"/>
        </w:rPr>
      </w:pPr>
      <w:r>
        <w:rPr>
          <w:rFonts w:ascii="Arial" w:hAnsi="Arial" w:cs="Arial"/>
          <w:b/>
          <w:bCs/>
          <w:iCs/>
          <w:szCs w:val="24"/>
          <w:lang w:val="es-ES"/>
        </w:rPr>
        <w:t xml:space="preserve">LEONARDO CORTÉS PÉREZ </w:t>
      </w:r>
    </w:p>
    <w:p w:rsidR="00134C86" w:rsidRPr="00AC486E" w:rsidRDefault="00D578CB" w:rsidP="00F017BF">
      <w:pPr>
        <w:spacing w:line="276" w:lineRule="auto"/>
        <w:ind w:firstLine="900"/>
        <w:jc w:val="center"/>
        <w:rPr>
          <w:rFonts w:ascii="Arial" w:hAnsi="Arial" w:cs="Arial"/>
          <w:szCs w:val="24"/>
        </w:rPr>
      </w:pPr>
      <w:r>
        <w:rPr>
          <w:rFonts w:ascii="Arial" w:hAnsi="Arial" w:cs="Arial"/>
          <w:iCs/>
          <w:szCs w:val="24"/>
          <w:lang w:val="es-ES"/>
        </w:rPr>
        <w:t>Secretario</w:t>
      </w:r>
    </w:p>
    <w:p w:rsidR="00226D5F" w:rsidRPr="00AC486E" w:rsidRDefault="00226D5F" w:rsidP="00F017BF">
      <w:pPr>
        <w:spacing w:line="276" w:lineRule="auto"/>
        <w:jc w:val="both"/>
        <w:rPr>
          <w:rFonts w:ascii="Arial" w:hAnsi="Arial" w:cs="Arial"/>
          <w:szCs w:val="24"/>
        </w:rPr>
      </w:pPr>
    </w:p>
    <w:sectPr w:rsidR="00226D5F" w:rsidRPr="00AC486E" w:rsidSect="002E4F47">
      <w:footerReference w:type="even" r:id="rId8"/>
      <w:footerReference w:type="default" r:id="rId9"/>
      <w:pgSz w:w="12242" w:h="18722" w:code="14"/>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638" w:rsidRDefault="00113638" w:rsidP="00226D5F">
      <w:r>
        <w:separator/>
      </w:r>
    </w:p>
  </w:endnote>
  <w:endnote w:type="continuationSeparator" w:id="0">
    <w:p w:rsidR="00113638" w:rsidRDefault="00113638"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113638"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13638">
      <w:rPr>
        <w:rStyle w:val="Nmerodepgina"/>
        <w:noProof/>
      </w:rPr>
      <w:t>1</w:t>
    </w:r>
    <w:r>
      <w:rPr>
        <w:rStyle w:val="Nmerodepgina"/>
      </w:rPr>
      <w:fldChar w:fldCharType="end"/>
    </w:r>
  </w:p>
  <w:p w:rsidR="009B4A56" w:rsidRDefault="00113638"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638" w:rsidRDefault="00113638" w:rsidP="00226D5F">
      <w:r>
        <w:separator/>
      </w:r>
    </w:p>
  </w:footnote>
  <w:footnote w:type="continuationSeparator" w:id="0">
    <w:p w:rsidR="00113638" w:rsidRDefault="00113638" w:rsidP="00226D5F">
      <w:r>
        <w:continuationSeparator/>
      </w:r>
    </w:p>
  </w:footnote>
  <w:footnote w:id="1">
    <w:p w:rsidR="00F9550A" w:rsidRPr="00F9550A" w:rsidRDefault="00F9550A" w:rsidP="00F9550A">
      <w:pPr>
        <w:pStyle w:val="Textonotapie"/>
        <w:jc w:val="both"/>
        <w:rPr>
          <w:rFonts w:ascii="Arial" w:hAnsi="Arial" w:cs="Arial"/>
          <w:sz w:val="18"/>
          <w:szCs w:val="18"/>
          <w:lang w:val="es-AR"/>
        </w:rPr>
      </w:pPr>
      <w:r w:rsidRPr="00F9550A">
        <w:rPr>
          <w:rStyle w:val="Refdenotaalpie"/>
          <w:rFonts w:ascii="Arial" w:hAnsi="Arial" w:cs="Arial"/>
          <w:sz w:val="18"/>
          <w:szCs w:val="18"/>
        </w:rPr>
        <w:footnoteRef/>
      </w:r>
      <w:r w:rsidRPr="00F9550A">
        <w:rPr>
          <w:rFonts w:ascii="Arial" w:hAnsi="Arial" w:cs="Arial"/>
          <w:sz w:val="18"/>
          <w:szCs w:val="18"/>
        </w:rPr>
        <w:t xml:space="preserve"> </w:t>
      </w:r>
      <w:r w:rsidRPr="00F9550A">
        <w:rPr>
          <w:rFonts w:ascii="Arial" w:hAnsi="Arial" w:cs="Arial"/>
          <w:sz w:val="18"/>
          <w:szCs w:val="18"/>
          <w:lang w:val="es-AR"/>
        </w:rPr>
        <w:t>Corte Suprema de Justicia, Sala de Casación Laboral. M.P. Luis Gabriel Miranda Buelvas. S</w:t>
      </w:r>
      <w:r w:rsidRPr="00F9550A">
        <w:rPr>
          <w:rFonts w:ascii="Arial" w:hAnsi="Arial" w:cs="Arial"/>
          <w:sz w:val="18"/>
          <w:szCs w:val="18"/>
        </w:rPr>
        <w:t>L7995-2015 Radicación n.° 53082</w:t>
      </w:r>
      <w:r w:rsidRPr="00F9550A">
        <w:rPr>
          <w:rFonts w:ascii="Arial" w:hAnsi="Arial" w:cs="Arial"/>
          <w:sz w:val="18"/>
          <w:szCs w:val="18"/>
          <w:lang w:val="es-AR"/>
        </w:rPr>
        <w:t xml:space="preserve"> de 25 de marzo de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7B72"/>
    <w:rsid w:val="00040E9A"/>
    <w:rsid w:val="000429E7"/>
    <w:rsid w:val="000A397D"/>
    <w:rsid w:val="000C08B1"/>
    <w:rsid w:val="000C0A51"/>
    <w:rsid w:val="000E70EB"/>
    <w:rsid w:val="000E7F42"/>
    <w:rsid w:val="000F08C1"/>
    <w:rsid w:val="000F5775"/>
    <w:rsid w:val="00101DEB"/>
    <w:rsid w:val="00113638"/>
    <w:rsid w:val="00122A57"/>
    <w:rsid w:val="00127390"/>
    <w:rsid w:val="00132136"/>
    <w:rsid w:val="00134C86"/>
    <w:rsid w:val="00146784"/>
    <w:rsid w:val="001667FB"/>
    <w:rsid w:val="00171C56"/>
    <w:rsid w:val="00172834"/>
    <w:rsid w:val="00183477"/>
    <w:rsid w:val="001A4D21"/>
    <w:rsid w:val="001B03FA"/>
    <w:rsid w:val="001C4D7F"/>
    <w:rsid w:val="001E0313"/>
    <w:rsid w:val="001E3462"/>
    <w:rsid w:val="001F1042"/>
    <w:rsid w:val="00226D5F"/>
    <w:rsid w:val="00231C21"/>
    <w:rsid w:val="002320EB"/>
    <w:rsid w:val="00242152"/>
    <w:rsid w:val="00247BBE"/>
    <w:rsid w:val="00251CC1"/>
    <w:rsid w:val="00272C8B"/>
    <w:rsid w:val="00287CC2"/>
    <w:rsid w:val="00290C0B"/>
    <w:rsid w:val="002A02BA"/>
    <w:rsid w:val="002A1785"/>
    <w:rsid w:val="002C313D"/>
    <w:rsid w:val="002D6807"/>
    <w:rsid w:val="002E4F47"/>
    <w:rsid w:val="00324AD2"/>
    <w:rsid w:val="003440CA"/>
    <w:rsid w:val="003463CD"/>
    <w:rsid w:val="003465C4"/>
    <w:rsid w:val="00392045"/>
    <w:rsid w:val="003922FA"/>
    <w:rsid w:val="003B3C66"/>
    <w:rsid w:val="003B4EA7"/>
    <w:rsid w:val="00430ED2"/>
    <w:rsid w:val="004348AB"/>
    <w:rsid w:val="00450598"/>
    <w:rsid w:val="00450903"/>
    <w:rsid w:val="004519EB"/>
    <w:rsid w:val="0045273B"/>
    <w:rsid w:val="004A2468"/>
    <w:rsid w:val="004D018B"/>
    <w:rsid w:val="004D01C5"/>
    <w:rsid w:val="004E4CC6"/>
    <w:rsid w:val="00501034"/>
    <w:rsid w:val="00502691"/>
    <w:rsid w:val="00515BDC"/>
    <w:rsid w:val="0053562A"/>
    <w:rsid w:val="0055465D"/>
    <w:rsid w:val="00563496"/>
    <w:rsid w:val="00565E83"/>
    <w:rsid w:val="00567B33"/>
    <w:rsid w:val="00567C97"/>
    <w:rsid w:val="00572BE9"/>
    <w:rsid w:val="00586CB3"/>
    <w:rsid w:val="00591F75"/>
    <w:rsid w:val="005E0ED1"/>
    <w:rsid w:val="005E7DA5"/>
    <w:rsid w:val="005F5E82"/>
    <w:rsid w:val="00601173"/>
    <w:rsid w:val="006135E9"/>
    <w:rsid w:val="0061484D"/>
    <w:rsid w:val="00637118"/>
    <w:rsid w:val="0064158C"/>
    <w:rsid w:val="006516CA"/>
    <w:rsid w:val="00675E25"/>
    <w:rsid w:val="006A0D48"/>
    <w:rsid w:val="006D0816"/>
    <w:rsid w:val="006E11A2"/>
    <w:rsid w:val="006E2F01"/>
    <w:rsid w:val="006E3949"/>
    <w:rsid w:val="006F2FF3"/>
    <w:rsid w:val="006F3D12"/>
    <w:rsid w:val="006F68BC"/>
    <w:rsid w:val="00712CFC"/>
    <w:rsid w:val="00713558"/>
    <w:rsid w:val="00716474"/>
    <w:rsid w:val="007258A6"/>
    <w:rsid w:val="007308D1"/>
    <w:rsid w:val="007465BA"/>
    <w:rsid w:val="007632AA"/>
    <w:rsid w:val="00764C9B"/>
    <w:rsid w:val="00777D9C"/>
    <w:rsid w:val="00795237"/>
    <w:rsid w:val="007A2D40"/>
    <w:rsid w:val="007B1977"/>
    <w:rsid w:val="007B5499"/>
    <w:rsid w:val="007C5A02"/>
    <w:rsid w:val="007D40B8"/>
    <w:rsid w:val="007E3F4A"/>
    <w:rsid w:val="007E5F18"/>
    <w:rsid w:val="00810397"/>
    <w:rsid w:val="008261E9"/>
    <w:rsid w:val="0083061B"/>
    <w:rsid w:val="0083155E"/>
    <w:rsid w:val="00862EBC"/>
    <w:rsid w:val="008751D8"/>
    <w:rsid w:val="008778BA"/>
    <w:rsid w:val="00895036"/>
    <w:rsid w:val="008A04F6"/>
    <w:rsid w:val="008D0040"/>
    <w:rsid w:val="008D27EF"/>
    <w:rsid w:val="008F003B"/>
    <w:rsid w:val="00907A5F"/>
    <w:rsid w:val="00915EE3"/>
    <w:rsid w:val="00966F23"/>
    <w:rsid w:val="009740CF"/>
    <w:rsid w:val="009849BE"/>
    <w:rsid w:val="00995393"/>
    <w:rsid w:val="009D1438"/>
    <w:rsid w:val="009E5A8E"/>
    <w:rsid w:val="009F1835"/>
    <w:rsid w:val="00A23CFA"/>
    <w:rsid w:val="00A27137"/>
    <w:rsid w:val="00A32B05"/>
    <w:rsid w:val="00A5024C"/>
    <w:rsid w:val="00A85909"/>
    <w:rsid w:val="00A928D2"/>
    <w:rsid w:val="00A93DCA"/>
    <w:rsid w:val="00A957FB"/>
    <w:rsid w:val="00AB2033"/>
    <w:rsid w:val="00AB2427"/>
    <w:rsid w:val="00AC486E"/>
    <w:rsid w:val="00AD7EF8"/>
    <w:rsid w:val="00B0466B"/>
    <w:rsid w:val="00B22E56"/>
    <w:rsid w:val="00B56E76"/>
    <w:rsid w:val="00B63804"/>
    <w:rsid w:val="00B67118"/>
    <w:rsid w:val="00B9600C"/>
    <w:rsid w:val="00B96914"/>
    <w:rsid w:val="00BA0C20"/>
    <w:rsid w:val="00BC31C8"/>
    <w:rsid w:val="00BE0373"/>
    <w:rsid w:val="00C1062A"/>
    <w:rsid w:val="00C1591F"/>
    <w:rsid w:val="00C81FE6"/>
    <w:rsid w:val="00C91182"/>
    <w:rsid w:val="00CF576A"/>
    <w:rsid w:val="00D320B2"/>
    <w:rsid w:val="00D33344"/>
    <w:rsid w:val="00D578CB"/>
    <w:rsid w:val="00D747E2"/>
    <w:rsid w:val="00DA3E57"/>
    <w:rsid w:val="00DA4B0A"/>
    <w:rsid w:val="00DF30A5"/>
    <w:rsid w:val="00E062F9"/>
    <w:rsid w:val="00E27B52"/>
    <w:rsid w:val="00E368B2"/>
    <w:rsid w:val="00E665CA"/>
    <w:rsid w:val="00E70A48"/>
    <w:rsid w:val="00EA4765"/>
    <w:rsid w:val="00EC3C6F"/>
    <w:rsid w:val="00EF2074"/>
    <w:rsid w:val="00F017BF"/>
    <w:rsid w:val="00F11410"/>
    <w:rsid w:val="00F500A7"/>
    <w:rsid w:val="00F65645"/>
    <w:rsid w:val="00F7229A"/>
    <w:rsid w:val="00F919EA"/>
    <w:rsid w:val="00F9550A"/>
    <w:rsid w:val="00FA6675"/>
    <w:rsid w:val="00FE059A"/>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32F69-CE60-47F8-8B87-630F6A88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1970</Words>
  <Characters>10841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28</cp:revision>
  <cp:lastPrinted>2016-02-23T18:17:00Z</cp:lastPrinted>
  <dcterms:created xsi:type="dcterms:W3CDTF">2016-02-23T19:08:00Z</dcterms:created>
  <dcterms:modified xsi:type="dcterms:W3CDTF">2016-07-21T19:40:00Z</dcterms:modified>
</cp:coreProperties>
</file>