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Pr="007C5A02">
        <w:rPr>
          <w:rFonts w:ascii="Arial" w:hAnsi="Arial" w:cs="Arial"/>
          <w:bCs/>
          <w:sz w:val="18"/>
          <w:szCs w:val="18"/>
        </w:rPr>
        <w:t>66001-31-05-004-2014-00</w:t>
      </w:r>
      <w:r w:rsidR="00171C56">
        <w:rPr>
          <w:rFonts w:ascii="Arial" w:hAnsi="Arial" w:cs="Arial"/>
          <w:bCs/>
          <w:sz w:val="18"/>
          <w:szCs w:val="18"/>
        </w:rPr>
        <w:t>469</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171C56">
        <w:rPr>
          <w:rFonts w:ascii="Arial" w:hAnsi="Arial" w:cs="Arial"/>
          <w:iCs/>
          <w:sz w:val="18"/>
          <w:szCs w:val="18"/>
        </w:rPr>
        <w:t xml:space="preserve">Doralba Jiménez Vélez </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171C56">
        <w:rPr>
          <w:rFonts w:ascii="Arial" w:hAnsi="Arial" w:cs="Arial"/>
          <w:sz w:val="18"/>
          <w:szCs w:val="18"/>
        </w:rPr>
        <w:t xml:space="preserve">Quinto </w:t>
      </w:r>
      <w:r w:rsidRPr="007C5A02">
        <w:rPr>
          <w:rFonts w:ascii="Arial" w:hAnsi="Arial" w:cs="Arial"/>
          <w:sz w:val="18"/>
          <w:szCs w:val="18"/>
        </w:rPr>
        <w:t>Laboral del Circuito de Pereira.</w:t>
      </w:r>
    </w:p>
    <w:p w:rsidR="00226D5F" w:rsidRPr="007C5A02" w:rsidRDefault="00226D5F" w:rsidP="00F017BF">
      <w:pPr>
        <w:spacing w:line="276" w:lineRule="auto"/>
        <w:ind w:left="1416" w:firstLine="708"/>
        <w:jc w:val="both"/>
        <w:rPr>
          <w:rFonts w:ascii="Arial" w:hAnsi="Arial" w:cs="Arial"/>
          <w:b/>
          <w:iCs/>
          <w:sz w:val="18"/>
          <w:szCs w:val="18"/>
        </w:rPr>
      </w:pPr>
      <w:r w:rsidRPr="007C5A02">
        <w:rPr>
          <w:rFonts w:ascii="Arial" w:hAnsi="Arial" w:cs="Arial"/>
          <w:b/>
          <w:iCs/>
          <w:sz w:val="18"/>
          <w:szCs w:val="18"/>
        </w:rPr>
        <w:t xml:space="preserve">Magistrado Ponente:     </w:t>
      </w:r>
      <w:r w:rsidRPr="007C5A02">
        <w:rPr>
          <w:rFonts w:ascii="Arial" w:hAnsi="Arial" w:cs="Arial"/>
          <w:b/>
          <w:iCs/>
          <w:sz w:val="18"/>
          <w:szCs w:val="18"/>
        </w:rPr>
        <w:tab/>
      </w:r>
      <w:r w:rsidR="00171C56">
        <w:rPr>
          <w:rFonts w:ascii="Arial" w:hAnsi="Arial" w:cs="Arial"/>
          <w:iCs/>
          <w:sz w:val="18"/>
          <w:szCs w:val="18"/>
        </w:rPr>
        <w:t>Issa Rafael Ulloque Toscano</w:t>
      </w:r>
      <w:r w:rsidRPr="007C5A02">
        <w:rPr>
          <w:rFonts w:ascii="Arial" w:hAnsi="Arial" w:cs="Arial"/>
          <w:iCs/>
          <w:sz w:val="18"/>
          <w:szCs w:val="18"/>
        </w:rPr>
        <w:t>.</w:t>
      </w:r>
    </w:p>
    <w:p w:rsidR="00DF5D8F" w:rsidRDefault="00226D5F" w:rsidP="00F017BF">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r w:rsidRPr="00007B72">
        <w:rPr>
          <w:rFonts w:ascii="Arial" w:hAnsi="Arial" w:cs="Arial"/>
          <w:b/>
          <w:bCs/>
          <w:sz w:val="18"/>
          <w:szCs w:val="18"/>
        </w:rPr>
        <w:tab/>
      </w:r>
    </w:p>
    <w:p w:rsidR="00DF5D8F" w:rsidRDefault="00DF5D8F" w:rsidP="00F017BF">
      <w:pPr>
        <w:spacing w:line="276" w:lineRule="auto"/>
        <w:ind w:left="2127"/>
        <w:jc w:val="both"/>
        <w:rPr>
          <w:rFonts w:ascii="Arial" w:hAnsi="Arial" w:cs="Arial"/>
          <w:b/>
          <w:bCs/>
          <w:sz w:val="18"/>
          <w:szCs w:val="18"/>
        </w:rPr>
      </w:pPr>
    </w:p>
    <w:p w:rsidR="00DF5D8F" w:rsidRDefault="00DF5D8F" w:rsidP="002A4CB9">
      <w:pPr>
        <w:tabs>
          <w:tab w:val="left" w:pos="748"/>
        </w:tabs>
        <w:ind w:left="2127"/>
        <w:jc w:val="both"/>
        <w:rPr>
          <w:rFonts w:ascii="Arial" w:hAnsi="Arial" w:cs="Arial"/>
          <w:spacing w:val="-6"/>
          <w:sz w:val="18"/>
          <w:szCs w:val="18"/>
          <w:lang w:val="es-CO"/>
        </w:rPr>
      </w:pPr>
      <w:r>
        <w:rPr>
          <w:rFonts w:ascii="Arial" w:hAnsi="Arial" w:cs="Arial"/>
          <w:spacing w:val="-6"/>
          <w:sz w:val="18"/>
          <w:szCs w:val="18"/>
          <w:lang w:val="es-CO"/>
        </w:rPr>
        <w:t>CONDICIÓN MÁS BENEFICIOSA/ Aplicación de ley distinta a la vigente para la fecha de</w:t>
      </w:r>
      <w:r w:rsidR="001C3A76">
        <w:rPr>
          <w:rFonts w:ascii="Arial" w:hAnsi="Arial" w:cs="Arial"/>
          <w:spacing w:val="-6"/>
          <w:sz w:val="18"/>
          <w:szCs w:val="18"/>
          <w:lang w:val="es-CO"/>
        </w:rPr>
        <w:t>l fallecimiento del causante</w:t>
      </w:r>
      <w:r>
        <w:rPr>
          <w:rFonts w:ascii="Arial" w:hAnsi="Arial" w:cs="Arial"/>
          <w:spacing w:val="-6"/>
          <w:sz w:val="18"/>
          <w:szCs w:val="18"/>
          <w:lang w:val="es-CO"/>
        </w:rPr>
        <w:t xml:space="preserve">, se limita a la inmediatamente anterior </w:t>
      </w:r>
    </w:p>
    <w:p w:rsidR="00DF5D8F" w:rsidRDefault="00DF5D8F" w:rsidP="002A4CB9">
      <w:pPr>
        <w:tabs>
          <w:tab w:val="left" w:pos="748"/>
        </w:tabs>
        <w:ind w:left="2127"/>
        <w:jc w:val="both"/>
        <w:rPr>
          <w:rFonts w:ascii="Arial" w:hAnsi="Arial" w:cs="Arial"/>
          <w:spacing w:val="-6"/>
          <w:sz w:val="18"/>
          <w:szCs w:val="18"/>
          <w:lang w:val="es-CO"/>
        </w:rPr>
      </w:pPr>
    </w:p>
    <w:p w:rsidR="00DF5D8F" w:rsidRPr="001C3A76" w:rsidRDefault="00DF5D8F" w:rsidP="002A4CB9">
      <w:pPr>
        <w:tabs>
          <w:tab w:val="left" w:pos="748"/>
        </w:tabs>
        <w:ind w:left="2127"/>
        <w:jc w:val="both"/>
        <w:rPr>
          <w:rFonts w:ascii="Arial" w:hAnsi="Arial" w:cs="Arial"/>
          <w:spacing w:val="-6"/>
          <w:sz w:val="18"/>
          <w:szCs w:val="18"/>
          <w:lang w:val="es-ES"/>
        </w:rPr>
      </w:pPr>
      <w:r w:rsidRPr="001C3A76">
        <w:rPr>
          <w:rFonts w:ascii="Arial" w:hAnsi="Arial" w:cs="Arial"/>
          <w:spacing w:val="-6"/>
          <w:sz w:val="18"/>
          <w:szCs w:val="18"/>
        </w:rPr>
        <w:t>“</w:t>
      </w:r>
      <w:r w:rsidR="001C3A76">
        <w:rPr>
          <w:rFonts w:ascii="Arial" w:hAnsi="Arial" w:cs="Arial"/>
          <w:spacing w:val="-6"/>
          <w:sz w:val="18"/>
          <w:szCs w:val="18"/>
        </w:rPr>
        <w:t xml:space="preserve">(…) </w:t>
      </w:r>
      <w:r w:rsidR="001C3A76" w:rsidRPr="001C3A76">
        <w:rPr>
          <w:rFonts w:ascii="Arial" w:hAnsi="Arial" w:cs="Arial"/>
          <w:spacing w:val="-6"/>
          <w:sz w:val="18"/>
          <w:szCs w:val="18"/>
        </w:rPr>
        <w:t xml:space="preserve">para el 08 de julio de 2007, la norma vigente era la Ley 797 de 2003, por lo que la disposición inmediatamente anterior resulta ser la Ley 100 de 1993 en su versión original, cuyas exigencias tampoco se reunirían en este caso, pues según la historia laboral del afiliado fallecido allegada al proceso </w:t>
      </w:r>
      <w:r w:rsidR="002A4CB9">
        <w:rPr>
          <w:rFonts w:ascii="Arial" w:hAnsi="Arial" w:cs="Arial"/>
          <w:spacing w:val="-6"/>
          <w:sz w:val="18"/>
          <w:szCs w:val="18"/>
        </w:rPr>
        <w:t>(…)</w:t>
      </w:r>
      <w:r w:rsidR="001C3A76" w:rsidRPr="001C3A76">
        <w:rPr>
          <w:rFonts w:ascii="Arial" w:hAnsi="Arial" w:cs="Arial"/>
          <w:spacing w:val="-6"/>
          <w:sz w:val="18"/>
          <w:szCs w:val="18"/>
        </w:rPr>
        <w:t xml:space="preserve"> al momento de producirse la muerte, no se encontraba cotizando ni, tampoco, reportaba aportes por 26 semanas dentro del año inmediatamente anterior a esa fecha, como lo exigía la norma en cuestión, toda vez que la última cotización realizada fue la del periodo de octubre de 2000</w:t>
      </w:r>
      <w:r w:rsidRPr="001C3A76">
        <w:rPr>
          <w:rFonts w:ascii="Arial" w:hAnsi="Arial" w:cs="Arial"/>
          <w:spacing w:val="-6"/>
          <w:sz w:val="18"/>
          <w:szCs w:val="18"/>
        </w:rPr>
        <w:t xml:space="preserve">.”  </w:t>
      </w:r>
    </w:p>
    <w:p w:rsidR="00DF5D8F" w:rsidRDefault="00DF5D8F" w:rsidP="002A4CB9">
      <w:pPr>
        <w:tabs>
          <w:tab w:val="left" w:pos="748"/>
        </w:tabs>
        <w:ind w:left="2127"/>
        <w:jc w:val="both"/>
        <w:rPr>
          <w:rFonts w:ascii="Arial" w:hAnsi="Arial" w:cs="Arial"/>
          <w:spacing w:val="-6"/>
          <w:sz w:val="18"/>
          <w:szCs w:val="18"/>
        </w:rPr>
      </w:pPr>
    </w:p>
    <w:p w:rsidR="00007B72" w:rsidRPr="002A4CB9" w:rsidRDefault="00DF5D8F" w:rsidP="002A4CB9">
      <w:pPr>
        <w:tabs>
          <w:tab w:val="left" w:pos="748"/>
        </w:tabs>
        <w:ind w:left="2127"/>
        <w:jc w:val="both"/>
        <w:rPr>
          <w:rFonts w:ascii="Arial" w:hAnsi="Arial" w:cs="Arial"/>
          <w:spacing w:val="-6"/>
          <w:sz w:val="16"/>
          <w:szCs w:val="18"/>
        </w:rPr>
      </w:pPr>
      <w:r>
        <w:rPr>
          <w:rFonts w:ascii="Arial" w:hAnsi="Arial" w:cs="Arial"/>
          <w:spacing w:val="-6"/>
          <w:sz w:val="16"/>
          <w:szCs w:val="18"/>
        </w:rPr>
        <w:t xml:space="preserve">Cita: Corte Suprema de Justicia, Sala Laboral, </w:t>
      </w:r>
      <w:r w:rsidR="00EA34ED">
        <w:rPr>
          <w:rFonts w:ascii="Arial" w:hAnsi="Arial" w:cs="Arial"/>
          <w:spacing w:val="-6"/>
          <w:sz w:val="16"/>
          <w:szCs w:val="18"/>
        </w:rPr>
        <w:t>sentencia de</w:t>
      </w:r>
      <w:r w:rsidR="00EA34ED" w:rsidRPr="00EA34ED">
        <w:rPr>
          <w:rFonts w:ascii="Arial" w:hAnsi="Arial" w:cs="Arial"/>
          <w:spacing w:val="-6"/>
          <w:sz w:val="16"/>
          <w:szCs w:val="18"/>
        </w:rPr>
        <w:t xml:space="preserve"> 9 de diciembre de 2008 </w:t>
      </w:r>
      <w:r>
        <w:rPr>
          <w:rFonts w:ascii="Arial" w:hAnsi="Arial" w:cs="Arial"/>
          <w:spacing w:val="-6"/>
          <w:sz w:val="16"/>
          <w:szCs w:val="18"/>
          <w:lang w:val="es-CO"/>
        </w:rPr>
        <w:t xml:space="preserve">-rad. </w:t>
      </w:r>
      <w:r w:rsidR="00EA34ED" w:rsidRPr="00EA34ED">
        <w:rPr>
          <w:rFonts w:ascii="Arial" w:hAnsi="Arial" w:cs="Arial"/>
          <w:spacing w:val="-6"/>
          <w:sz w:val="16"/>
          <w:szCs w:val="18"/>
        </w:rPr>
        <w:t>32642</w:t>
      </w:r>
      <w:r>
        <w:rPr>
          <w:rFonts w:ascii="Arial" w:hAnsi="Arial" w:cs="Arial"/>
          <w:spacing w:val="-6"/>
          <w:sz w:val="16"/>
          <w:szCs w:val="18"/>
          <w:lang w:val="es-CO"/>
        </w:rPr>
        <w:t>-.</w:t>
      </w:r>
      <w:bookmarkStart w:id="0" w:name="_GoBack"/>
      <w:bookmarkEnd w:id="0"/>
    </w:p>
    <w:p w:rsidR="00226D5F" w:rsidRPr="00AC486E" w:rsidRDefault="00226D5F" w:rsidP="00F017BF">
      <w:pPr>
        <w:spacing w:line="276" w:lineRule="auto"/>
        <w:ind w:left="2127" w:hanging="2127"/>
        <w:jc w:val="both"/>
        <w:rPr>
          <w:rFonts w:ascii="Arial" w:hAnsi="Arial" w:cs="Arial"/>
          <w:bCs/>
          <w:i/>
          <w:color w:val="00B0F0"/>
          <w:sz w:val="18"/>
          <w:szCs w:val="18"/>
          <w:lang w:val="es-ES"/>
        </w:rPr>
      </w:pP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440CA" w:rsidP="00F017BF">
      <w:pPr>
        <w:spacing w:line="276" w:lineRule="auto"/>
        <w:ind w:left="2127" w:hanging="1276"/>
        <w:jc w:val="center"/>
        <w:rPr>
          <w:rFonts w:ascii="Arial" w:hAnsi="Arial" w:cs="Arial"/>
          <w:b/>
          <w:szCs w:val="24"/>
        </w:rPr>
      </w:pPr>
      <w:r>
        <w:rPr>
          <w:rFonts w:ascii="Arial" w:hAnsi="Arial" w:cs="Arial"/>
          <w:b/>
          <w:szCs w:val="24"/>
        </w:rPr>
        <w:t>MAGISTRADO PONENTE: ISSA RAFAEL ULLOQUE TOSCANO</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3440CA" w:rsidRDefault="00226D5F" w:rsidP="00F017BF">
      <w:pPr>
        <w:spacing w:line="276" w:lineRule="auto"/>
        <w:ind w:firstLine="851"/>
        <w:jc w:val="both"/>
        <w:rPr>
          <w:rFonts w:ascii="Arial" w:hAnsi="Arial" w:cs="Arial"/>
          <w:bCs/>
          <w:iCs/>
          <w:szCs w:val="24"/>
        </w:rPr>
      </w:pPr>
      <w:r w:rsidRPr="00AC486E">
        <w:rPr>
          <w:rFonts w:ascii="Arial" w:eastAsia="Calibri" w:hAnsi="Arial" w:cs="Arial"/>
          <w:szCs w:val="24"/>
          <w:lang w:val="es-CO" w:eastAsia="en-US"/>
        </w:rPr>
        <w:t xml:space="preserve">En Pereira, a los </w:t>
      </w:r>
      <w:r w:rsidR="007C5A02">
        <w:rPr>
          <w:rFonts w:ascii="Arial" w:eastAsia="Calibri" w:hAnsi="Arial" w:cs="Arial"/>
          <w:szCs w:val="24"/>
          <w:lang w:val="es-CO" w:eastAsia="en-US"/>
        </w:rPr>
        <w:t xml:space="preserve">ocho </w:t>
      </w:r>
      <w:r w:rsidRPr="00AC486E">
        <w:rPr>
          <w:rFonts w:ascii="Arial" w:eastAsia="Calibri" w:hAnsi="Arial" w:cs="Arial"/>
          <w:szCs w:val="24"/>
          <w:lang w:val="es-CO" w:eastAsia="en-US"/>
        </w:rPr>
        <w:t>(</w:t>
      </w:r>
      <w:r w:rsidR="007C5A02">
        <w:rPr>
          <w:rFonts w:ascii="Arial" w:eastAsia="Calibri" w:hAnsi="Arial" w:cs="Arial"/>
          <w:szCs w:val="24"/>
          <w:lang w:val="es-CO" w:eastAsia="en-US"/>
        </w:rPr>
        <w:t>08</w:t>
      </w:r>
      <w:r w:rsidRPr="00AC486E">
        <w:rPr>
          <w:rFonts w:ascii="Arial" w:eastAsia="Calibri" w:hAnsi="Arial" w:cs="Arial"/>
          <w:szCs w:val="24"/>
          <w:lang w:val="es-CO" w:eastAsia="en-US"/>
        </w:rPr>
        <w:t xml:space="preserve">) días del mes de </w:t>
      </w:r>
      <w:r w:rsidR="007C5A02">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7C5A02">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7C5A02">
        <w:rPr>
          <w:rFonts w:ascii="Arial" w:eastAsia="Calibri" w:hAnsi="Arial" w:cs="Arial"/>
          <w:szCs w:val="24"/>
          <w:lang w:val="es-CO" w:eastAsia="en-US"/>
        </w:rPr>
        <w:t>09:00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grado jurisdiccional de consulta </w:t>
      </w:r>
      <w:r w:rsidR="003440CA">
        <w:rPr>
          <w:rFonts w:ascii="Arial" w:hAnsi="Arial" w:cs="Arial"/>
          <w:bCs/>
          <w:color w:val="000000"/>
          <w:szCs w:val="24"/>
          <w:lang w:eastAsia="es-CO"/>
        </w:rPr>
        <w:t xml:space="preserve">ordenado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3440CA">
        <w:rPr>
          <w:rFonts w:ascii="Arial" w:hAnsi="Arial" w:cs="Arial"/>
          <w:szCs w:val="24"/>
        </w:rPr>
        <w:t>09</w:t>
      </w:r>
      <w:r w:rsidRPr="00AC486E">
        <w:rPr>
          <w:rFonts w:ascii="Arial" w:hAnsi="Arial" w:cs="Arial"/>
          <w:szCs w:val="24"/>
        </w:rPr>
        <w:t xml:space="preserve"> de </w:t>
      </w:r>
      <w:r w:rsidR="003440CA">
        <w:rPr>
          <w:rFonts w:ascii="Arial" w:hAnsi="Arial" w:cs="Arial"/>
          <w:szCs w:val="24"/>
        </w:rPr>
        <w:t xml:space="preserve">diciembre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3440CA">
        <w:rPr>
          <w:rFonts w:ascii="Arial" w:hAnsi="Arial" w:cs="Arial"/>
          <w:szCs w:val="24"/>
        </w:rPr>
        <w:t xml:space="preserve">Quinto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la señora </w:t>
      </w:r>
      <w:r w:rsidR="003440CA" w:rsidRPr="003440CA">
        <w:rPr>
          <w:rFonts w:ascii="Arial" w:hAnsi="Arial" w:cs="Arial"/>
          <w:b/>
          <w:szCs w:val="24"/>
        </w:rPr>
        <w:t xml:space="preserve">Doralba Jiménez Vélez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Pr="003440CA">
        <w:rPr>
          <w:rFonts w:ascii="Arial" w:hAnsi="Arial" w:cs="Arial"/>
          <w:bCs/>
          <w:iCs/>
          <w:szCs w:val="24"/>
        </w:rPr>
        <w:t>.</w:t>
      </w:r>
    </w:p>
    <w:p w:rsidR="00226D5F" w:rsidRPr="00AC486E" w:rsidRDefault="00226D5F" w:rsidP="00F017BF">
      <w:pPr>
        <w:spacing w:line="276" w:lineRule="auto"/>
        <w:ind w:firstLine="851"/>
        <w:jc w:val="both"/>
        <w:rPr>
          <w:rFonts w:ascii="Arial" w:hAnsi="Arial" w:cs="Arial"/>
          <w:bCs/>
          <w:iCs/>
          <w:szCs w:val="24"/>
        </w:rPr>
      </w:pPr>
    </w:p>
    <w:p w:rsidR="00226D5F" w:rsidRPr="00AC486E" w:rsidRDefault="00226D5F" w:rsidP="00F017BF">
      <w:pPr>
        <w:shd w:val="clear" w:color="auto" w:fill="FFFFFF"/>
        <w:spacing w:line="276" w:lineRule="auto"/>
        <w:jc w:val="both"/>
        <w:rPr>
          <w:rFonts w:ascii="Arial" w:hAnsi="Arial" w:cs="Arial"/>
          <w:b/>
          <w:bCs/>
          <w:i/>
          <w:color w:val="000000"/>
          <w:szCs w:val="24"/>
          <w:lang w:eastAsia="es-CO"/>
        </w:rPr>
      </w:pPr>
    </w:p>
    <w:p w:rsidR="00502691" w:rsidRPr="00502691" w:rsidRDefault="00226D5F" w:rsidP="00F017BF">
      <w:pPr>
        <w:spacing w:line="276" w:lineRule="auto"/>
        <w:ind w:firstLine="851"/>
        <w:rPr>
          <w:rFonts w:ascii="Arial" w:hAnsi="Arial" w:cs="Arial"/>
          <w:b/>
          <w:szCs w:val="24"/>
        </w:rPr>
      </w:pPr>
      <w:r w:rsidRPr="00502691">
        <w:rPr>
          <w:rFonts w:ascii="Arial" w:hAnsi="Arial" w:cs="Arial"/>
          <w:b/>
          <w:szCs w:val="24"/>
        </w:rPr>
        <w:t xml:space="preserve">I. </w:t>
      </w:r>
      <w:r w:rsidR="00502691"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502691" w:rsidRDefault="00502691" w:rsidP="00F017BF">
      <w:pPr>
        <w:spacing w:line="276" w:lineRule="auto"/>
        <w:ind w:firstLine="851"/>
        <w:rPr>
          <w:rFonts w:ascii="Arial" w:hAnsi="Arial" w:cs="Arial"/>
          <w:szCs w:val="24"/>
        </w:rPr>
      </w:pPr>
      <w:r>
        <w:rPr>
          <w:rFonts w:ascii="Arial" w:hAnsi="Arial" w:cs="Arial"/>
          <w:szCs w:val="24"/>
        </w:rPr>
        <w:t>Demandante y su apodera</w:t>
      </w:r>
      <w:r w:rsidR="005E0ED1">
        <w:rPr>
          <w:rFonts w:ascii="Arial" w:hAnsi="Arial" w:cs="Arial"/>
          <w:szCs w:val="24"/>
        </w:rPr>
        <w:t xml:space="preserve">do: </w:t>
      </w:r>
      <w:r w:rsidR="005E0ED1">
        <w:rPr>
          <w:rFonts w:ascii="Arial" w:hAnsi="Arial" w:cs="Arial"/>
          <w:szCs w:val="24"/>
        </w:rPr>
        <w:tab/>
      </w:r>
      <w:r w:rsidR="005E0ED1">
        <w:rPr>
          <w:rFonts w:ascii="Arial" w:hAnsi="Arial" w:cs="Arial"/>
          <w:szCs w:val="24"/>
        </w:rPr>
        <w:tab/>
        <w:t>Demandado y su apoderado:</w:t>
      </w:r>
    </w:p>
    <w:p w:rsidR="00272C8B" w:rsidRDefault="00272C8B" w:rsidP="00F017BF">
      <w:pPr>
        <w:spacing w:line="276" w:lineRule="auto"/>
        <w:ind w:firstLine="851"/>
        <w:rPr>
          <w:rFonts w:ascii="Arial" w:hAnsi="Arial" w:cs="Arial"/>
          <w:szCs w:val="24"/>
        </w:rPr>
      </w:pPr>
    </w:p>
    <w:p w:rsidR="00272C8B" w:rsidRPr="001A1834" w:rsidRDefault="00272C8B" w:rsidP="00272C8B">
      <w:pPr>
        <w:spacing w:line="276" w:lineRule="auto"/>
        <w:ind w:left="709" w:firstLine="142"/>
        <w:contextualSpacing/>
        <w:jc w:val="both"/>
        <w:rPr>
          <w:rFonts w:ascii="Arial" w:hAnsi="Arial" w:cs="Arial"/>
          <w:szCs w:val="24"/>
        </w:rPr>
      </w:pPr>
    </w:p>
    <w:p w:rsidR="00272C8B" w:rsidRPr="00272C8B" w:rsidRDefault="00272C8B" w:rsidP="00272C8B">
      <w:pPr>
        <w:pStyle w:val="Prrafodelista"/>
        <w:numPr>
          <w:ilvl w:val="0"/>
          <w:numId w:val="5"/>
        </w:numPr>
        <w:spacing w:line="276" w:lineRule="auto"/>
        <w:jc w:val="both"/>
        <w:rPr>
          <w:rFonts w:ascii="Arial" w:hAnsi="Arial" w:cs="Arial"/>
          <w:b/>
          <w:szCs w:val="24"/>
        </w:rPr>
      </w:pPr>
      <w:r w:rsidRPr="00272C8B">
        <w:rPr>
          <w:rFonts w:ascii="Arial" w:hAnsi="Arial" w:cs="Arial"/>
          <w:b/>
          <w:szCs w:val="24"/>
        </w:rPr>
        <w:t>TRASLADO A LAS PARTES</w:t>
      </w:r>
    </w:p>
    <w:p w:rsidR="00272C8B" w:rsidRPr="001A1834" w:rsidRDefault="00272C8B" w:rsidP="00272C8B">
      <w:pPr>
        <w:spacing w:line="276" w:lineRule="auto"/>
        <w:contextualSpacing/>
        <w:jc w:val="both"/>
        <w:rPr>
          <w:rFonts w:ascii="Arial" w:hAnsi="Arial" w:cs="Arial"/>
          <w:szCs w:val="24"/>
        </w:rPr>
      </w:pPr>
      <w:r w:rsidRPr="001A1834">
        <w:rPr>
          <w:rFonts w:ascii="Arial" w:hAnsi="Arial" w:cs="Arial"/>
          <w:szCs w:val="24"/>
        </w:rPr>
        <w:t xml:space="preserve"> </w:t>
      </w:r>
    </w:p>
    <w:p w:rsidR="00272C8B" w:rsidRDefault="00272C8B" w:rsidP="00272C8B">
      <w:pPr>
        <w:spacing w:line="276" w:lineRule="auto"/>
        <w:ind w:firstLine="708"/>
        <w:contextualSpacing/>
        <w:jc w:val="both"/>
        <w:rPr>
          <w:rFonts w:ascii="Arial" w:hAnsi="Arial" w:cs="Arial"/>
          <w:szCs w:val="24"/>
        </w:rPr>
      </w:pPr>
      <w:r w:rsidRPr="001A1834">
        <w:rPr>
          <w:rFonts w:ascii="Arial" w:hAnsi="Arial" w:cs="Arial"/>
          <w:szCs w:val="24"/>
        </w:rPr>
        <w:t>En este estado se corre traslado a los asistentes para que presenten sus alegatos.</w:t>
      </w:r>
    </w:p>
    <w:p w:rsidR="00272C8B" w:rsidRPr="00502691" w:rsidRDefault="00272C8B" w:rsidP="00F017BF">
      <w:pPr>
        <w:spacing w:line="276" w:lineRule="auto"/>
        <w:ind w:firstLine="851"/>
        <w:rPr>
          <w:rFonts w:ascii="Arial" w:hAnsi="Arial" w:cs="Arial"/>
          <w:szCs w:val="24"/>
        </w:rPr>
      </w:pPr>
    </w:p>
    <w:p w:rsidR="00502691" w:rsidRDefault="00502691" w:rsidP="00F017BF">
      <w:pPr>
        <w:spacing w:line="276" w:lineRule="auto"/>
        <w:ind w:firstLine="851"/>
        <w:rPr>
          <w:rFonts w:ascii="Arial" w:hAnsi="Arial" w:cs="Arial"/>
          <w:szCs w:val="24"/>
        </w:rPr>
      </w:pPr>
    </w:p>
    <w:p w:rsidR="00226D5F" w:rsidRPr="00637118" w:rsidRDefault="00272C8B" w:rsidP="00F017BF">
      <w:pPr>
        <w:spacing w:line="276" w:lineRule="auto"/>
        <w:ind w:firstLine="851"/>
        <w:rPr>
          <w:rFonts w:ascii="Arial" w:hAnsi="Arial" w:cs="Arial"/>
          <w:b/>
          <w:szCs w:val="24"/>
        </w:rPr>
      </w:pPr>
      <w:r>
        <w:rPr>
          <w:rFonts w:ascii="Arial" w:hAnsi="Arial" w:cs="Arial"/>
          <w:b/>
          <w:szCs w:val="24"/>
        </w:rPr>
        <w:t>I</w:t>
      </w:r>
      <w:r w:rsidR="00637118" w:rsidRPr="00637118">
        <w:rPr>
          <w:rFonts w:ascii="Arial" w:hAnsi="Arial" w:cs="Arial"/>
          <w:b/>
          <w:szCs w:val="24"/>
        </w:rPr>
        <w:t>II. ANTECEDENTES:</w:t>
      </w:r>
    </w:p>
    <w:p w:rsidR="00226D5F" w:rsidRPr="00AC486E" w:rsidRDefault="00226D5F" w:rsidP="00F017BF">
      <w:pPr>
        <w:pStyle w:val="Sinespaciado"/>
        <w:spacing w:line="276" w:lineRule="auto"/>
        <w:rPr>
          <w:rFonts w:ascii="Arial" w:hAnsi="Arial" w:cs="Arial"/>
          <w:sz w:val="24"/>
          <w:szCs w:val="24"/>
        </w:rPr>
      </w:pPr>
    </w:p>
    <w:p w:rsidR="00226D5F" w:rsidRDefault="00A957FB" w:rsidP="00F017BF">
      <w:pPr>
        <w:spacing w:line="276" w:lineRule="auto"/>
        <w:ind w:firstLine="900"/>
        <w:jc w:val="both"/>
        <w:rPr>
          <w:rFonts w:ascii="Arial" w:hAnsi="Arial" w:cs="Arial"/>
          <w:szCs w:val="24"/>
        </w:rPr>
      </w:pPr>
      <w:r>
        <w:rPr>
          <w:rFonts w:ascii="Arial" w:hAnsi="Arial" w:cs="Arial"/>
          <w:szCs w:val="24"/>
        </w:rPr>
        <w:lastRenderedPageBreak/>
        <w:t>Pretende la señora Doralba Jiménez Vélez</w:t>
      </w:r>
      <w:r w:rsidR="00226D5F" w:rsidRPr="00AC486E">
        <w:rPr>
          <w:rFonts w:ascii="Arial" w:hAnsi="Arial" w:cs="Arial"/>
          <w:b/>
          <w:szCs w:val="24"/>
        </w:rPr>
        <w:t>,</w:t>
      </w:r>
      <w:r w:rsidR="00226D5F" w:rsidRPr="00AC486E">
        <w:rPr>
          <w:rFonts w:ascii="Arial" w:hAnsi="Arial" w:cs="Arial"/>
          <w:szCs w:val="24"/>
        </w:rPr>
        <w:t xml:space="preserve"> que en aplicación del principio de condición más beneficiosa, se declare que tiene derecho a la pensión de sobrevivientes causada </w:t>
      </w:r>
      <w:r>
        <w:rPr>
          <w:rFonts w:ascii="Arial" w:hAnsi="Arial" w:cs="Arial"/>
          <w:szCs w:val="24"/>
        </w:rPr>
        <w:t xml:space="preserve">por </w:t>
      </w:r>
      <w:r w:rsidR="00226D5F" w:rsidRPr="00AC486E">
        <w:rPr>
          <w:rFonts w:ascii="Arial" w:hAnsi="Arial" w:cs="Arial"/>
          <w:szCs w:val="24"/>
        </w:rPr>
        <w:t xml:space="preserve">el deceso del señor </w:t>
      </w:r>
      <w:r>
        <w:rPr>
          <w:rFonts w:ascii="Arial" w:hAnsi="Arial" w:cs="Arial"/>
          <w:szCs w:val="24"/>
        </w:rPr>
        <w:t>Henry Alberto López Gómez</w:t>
      </w:r>
      <w:r w:rsidR="00226D5F" w:rsidRPr="00AC486E">
        <w:rPr>
          <w:rFonts w:ascii="Arial" w:hAnsi="Arial" w:cs="Arial"/>
          <w:szCs w:val="24"/>
        </w:rPr>
        <w:t xml:space="preserve">; en consecuencia, pide que se condene a la entidad demandada a reconocer y pagar la prestación económica </w:t>
      </w:r>
      <w:r>
        <w:rPr>
          <w:rFonts w:ascii="Arial" w:hAnsi="Arial" w:cs="Arial"/>
          <w:szCs w:val="24"/>
        </w:rPr>
        <w:t>desde el 8 de julio de 2007</w:t>
      </w:r>
      <w:r w:rsidR="00226D5F" w:rsidRPr="00AC486E">
        <w:rPr>
          <w:rFonts w:ascii="Arial" w:hAnsi="Arial" w:cs="Arial"/>
          <w:szCs w:val="24"/>
        </w:rPr>
        <w:t xml:space="preserve">, </w:t>
      </w:r>
      <w:r>
        <w:rPr>
          <w:rFonts w:ascii="Arial" w:hAnsi="Arial" w:cs="Arial"/>
          <w:szCs w:val="24"/>
        </w:rPr>
        <w:t>incluyendo las me</w:t>
      </w:r>
      <w:r w:rsidR="006516CA">
        <w:rPr>
          <w:rFonts w:ascii="Arial" w:hAnsi="Arial" w:cs="Arial"/>
          <w:szCs w:val="24"/>
        </w:rPr>
        <w:t>sadas adicionales respectivas,</w:t>
      </w:r>
      <w:r>
        <w:rPr>
          <w:rFonts w:ascii="Arial" w:hAnsi="Arial" w:cs="Arial"/>
          <w:szCs w:val="24"/>
        </w:rPr>
        <w:t xml:space="preserve"> el retroactivo generado, </w:t>
      </w:r>
      <w:r w:rsidR="00226D5F" w:rsidRPr="00AC486E">
        <w:rPr>
          <w:rFonts w:ascii="Arial" w:hAnsi="Arial" w:cs="Arial"/>
          <w:szCs w:val="24"/>
        </w:rPr>
        <w:t>los intereses moratorios</w:t>
      </w:r>
      <w:r>
        <w:rPr>
          <w:rFonts w:ascii="Arial" w:hAnsi="Arial" w:cs="Arial"/>
          <w:szCs w:val="24"/>
        </w:rPr>
        <w:t>, lo que se encuentre probado conforme a las facultades ultra y extra petita y,</w:t>
      </w:r>
      <w:r w:rsidR="00226D5F" w:rsidRPr="00AC486E">
        <w:rPr>
          <w:rFonts w:ascii="Arial" w:hAnsi="Arial" w:cs="Arial"/>
          <w:szCs w:val="24"/>
        </w:rPr>
        <w:t xml:space="preserve"> las costas procesales.  </w:t>
      </w:r>
    </w:p>
    <w:p w:rsidR="00A957FB" w:rsidRPr="00AC486E" w:rsidRDefault="00A957FB" w:rsidP="00F017BF">
      <w:pPr>
        <w:spacing w:line="276" w:lineRule="auto"/>
        <w:ind w:firstLine="900"/>
        <w:jc w:val="both"/>
        <w:rPr>
          <w:rFonts w:ascii="Arial" w:hAnsi="Arial" w:cs="Arial"/>
          <w:szCs w:val="24"/>
        </w:rPr>
      </w:pPr>
    </w:p>
    <w:p w:rsidR="00F11410" w:rsidRPr="00AC486E" w:rsidRDefault="00A957FB" w:rsidP="00F017BF">
      <w:pPr>
        <w:spacing w:line="276" w:lineRule="auto"/>
        <w:ind w:firstLine="708"/>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915EE3">
        <w:rPr>
          <w:rFonts w:ascii="Arial" w:hAnsi="Arial" w:cs="Arial"/>
          <w:szCs w:val="24"/>
        </w:rPr>
        <w:t xml:space="preserve"> </w:t>
      </w:r>
      <w:r w:rsidR="002A02BA">
        <w:rPr>
          <w:rFonts w:ascii="Arial" w:hAnsi="Arial" w:cs="Arial"/>
          <w:szCs w:val="24"/>
        </w:rPr>
        <w:t xml:space="preserve">contrajo matrimonio civil con el señor Henry Alberto López Gómez el día 30 de </w:t>
      </w:r>
      <w:r w:rsidR="00B9600C">
        <w:rPr>
          <w:rFonts w:ascii="Arial" w:hAnsi="Arial" w:cs="Arial"/>
          <w:szCs w:val="24"/>
        </w:rPr>
        <w:t xml:space="preserve">mayo de 1987, conviviendo con él bajo el mismo techo hasta el día 10 de noviembre de 2000 cuando </w:t>
      </w:r>
      <w:r w:rsidR="00EC3C6F">
        <w:rPr>
          <w:rFonts w:ascii="Arial" w:hAnsi="Arial" w:cs="Arial"/>
          <w:szCs w:val="24"/>
        </w:rPr>
        <w:t>este decidió irse para España, no obstante, continuaron con su relación, prodigándose amor, afecto y ayuda mutua y económica</w:t>
      </w:r>
      <w:r w:rsidR="006E2F01">
        <w:rPr>
          <w:rFonts w:ascii="Arial" w:hAnsi="Arial" w:cs="Arial"/>
          <w:szCs w:val="24"/>
        </w:rPr>
        <w:t xml:space="preserve"> hasta el día 08 de julio de 2007 que ocurrió su deceso; </w:t>
      </w:r>
      <w:r w:rsidR="00567B33">
        <w:rPr>
          <w:rFonts w:ascii="Arial" w:hAnsi="Arial" w:cs="Arial"/>
          <w:szCs w:val="24"/>
        </w:rPr>
        <w:t xml:space="preserve">que el 18 de octubre de 2000 viajó junto con sus hijos a España para reunirse con su esposo, </w:t>
      </w:r>
      <w:r w:rsidR="006E2F01">
        <w:rPr>
          <w:rFonts w:ascii="Arial" w:hAnsi="Arial" w:cs="Arial"/>
          <w:szCs w:val="24"/>
        </w:rPr>
        <w:t xml:space="preserve">que el señor López Gómez se </w:t>
      </w:r>
      <w:r w:rsidR="00567B33">
        <w:rPr>
          <w:rFonts w:ascii="Arial" w:hAnsi="Arial" w:cs="Arial"/>
          <w:szCs w:val="24"/>
        </w:rPr>
        <w:t xml:space="preserve">encontraba </w:t>
      </w:r>
      <w:r w:rsidR="006E2F01">
        <w:rPr>
          <w:rFonts w:ascii="Arial" w:hAnsi="Arial" w:cs="Arial"/>
          <w:szCs w:val="24"/>
        </w:rPr>
        <w:t>afili</w:t>
      </w:r>
      <w:r w:rsidR="00567B33">
        <w:rPr>
          <w:rFonts w:ascii="Arial" w:hAnsi="Arial" w:cs="Arial"/>
          <w:szCs w:val="24"/>
        </w:rPr>
        <w:t xml:space="preserve">ado </w:t>
      </w:r>
      <w:r w:rsidR="006E2F01">
        <w:rPr>
          <w:rFonts w:ascii="Arial" w:hAnsi="Arial" w:cs="Arial"/>
          <w:szCs w:val="24"/>
        </w:rPr>
        <w:t xml:space="preserve">al </w:t>
      </w:r>
      <w:r w:rsidR="00F11410" w:rsidRPr="00AC486E">
        <w:rPr>
          <w:rFonts w:ascii="Arial" w:hAnsi="Arial" w:cs="Arial"/>
          <w:szCs w:val="24"/>
        </w:rPr>
        <w:t>RPM administrado por el ISS; que para el momento de su fallecimiento, el causante tenía cotizadas 7</w:t>
      </w:r>
      <w:r w:rsidR="00567B33">
        <w:rPr>
          <w:rFonts w:ascii="Arial" w:hAnsi="Arial" w:cs="Arial"/>
          <w:szCs w:val="24"/>
        </w:rPr>
        <w:t>97,43</w:t>
      </w:r>
      <w:r w:rsidR="00F11410" w:rsidRPr="00AC486E">
        <w:rPr>
          <w:rFonts w:ascii="Arial" w:hAnsi="Arial" w:cs="Arial"/>
          <w:szCs w:val="24"/>
        </w:rPr>
        <w:t xml:space="preserve"> semanas al Sistema General de Pensiones; que tales aportes los efectuó </w:t>
      </w:r>
      <w:r w:rsidR="00567B33">
        <w:rPr>
          <w:rFonts w:ascii="Arial" w:hAnsi="Arial" w:cs="Arial"/>
          <w:szCs w:val="24"/>
        </w:rPr>
        <w:t>entre el 26 de agosto de 1979 y el 31 de octubre de 2000</w:t>
      </w:r>
      <w:r w:rsidR="00F11410" w:rsidRPr="00AC486E">
        <w:rPr>
          <w:rFonts w:ascii="Arial" w:hAnsi="Arial" w:cs="Arial"/>
          <w:szCs w:val="24"/>
        </w:rPr>
        <w:t>, y que elevó la reclamación administrativa ante la entidad de seguridad social el 2</w:t>
      </w:r>
      <w:r w:rsidR="00567B33">
        <w:rPr>
          <w:rFonts w:ascii="Arial" w:hAnsi="Arial" w:cs="Arial"/>
          <w:szCs w:val="24"/>
        </w:rPr>
        <w:t>8</w:t>
      </w:r>
      <w:r w:rsidR="00F11410" w:rsidRPr="00AC486E">
        <w:rPr>
          <w:rFonts w:ascii="Arial" w:hAnsi="Arial" w:cs="Arial"/>
          <w:szCs w:val="24"/>
        </w:rPr>
        <w:t xml:space="preserve"> de </w:t>
      </w:r>
      <w:r w:rsidR="00567B33">
        <w:rPr>
          <w:rFonts w:ascii="Arial" w:hAnsi="Arial" w:cs="Arial"/>
          <w:szCs w:val="24"/>
        </w:rPr>
        <w:t xml:space="preserve">octubre </w:t>
      </w:r>
      <w:r w:rsidR="00F11410" w:rsidRPr="00AC486E">
        <w:rPr>
          <w:rFonts w:ascii="Arial" w:hAnsi="Arial" w:cs="Arial"/>
          <w:szCs w:val="24"/>
        </w:rPr>
        <w:t xml:space="preserve">de 2013, </w:t>
      </w:r>
      <w:r w:rsidR="00567B33">
        <w:rPr>
          <w:rFonts w:ascii="Arial" w:hAnsi="Arial" w:cs="Arial"/>
          <w:szCs w:val="24"/>
        </w:rPr>
        <w:t>misma que le fue negada mediante Resolución GNR-129939 de 2014</w:t>
      </w:r>
      <w:r w:rsidR="00F11410" w:rsidRPr="00AC486E">
        <w:rPr>
          <w:rFonts w:ascii="Arial" w:hAnsi="Arial" w:cs="Arial"/>
          <w:szCs w:val="24"/>
        </w:rPr>
        <w:t>.</w:t>
      </w:r>
    </w:p>
    <w:p w:rsidR="00226D5F" w:rsidRPr="00AC486E" w:rsidRDefault="00226D5F" w:rsidP="00F017BF">
      <w:pPr>
        <w:pStyle w:val="Sinespaciado"/>
        <w:spacing w:line="276" w:lineRule="auto"/>
        <w:rPr>
          <w:rFonts w:ascii="Arial" w:hAnsi="Arial" w:cs="Arial"/>
          <w:sz w:val="24"/>
          <w:szCs w:val="24"/>
        </w:rPr>
      </w:pPr>
    </w:p>
    <w:p w:rsidR="006D0816" w:rsidRPr="00AC486E" w:rsidRDefault="00226D5F" w:rsidP="00F017BF">
      <w:pPr>
        <w:spacing w:line="276" w:lineRule="auto"/>
        <w:ind w:firstLine="708"/>
        <w:jc w:val="both"/>
        <w:rPr>
          <w:rFonts w:ascii="Arial" w:hAnsi="Arial" w:cs="Arial"/>
          <w:szCs w:val="24"/>
        </w:rPr>
      </w:pPr>
      <w:r w:rsidRPr="00AC486E">
        <w:rPr>
          <w:rFonts w:ascii="Arial" w:hAnsi="Arial" w:cs="Arial"/>
          <w:szCs w:val="24"/>
        </w:rPr>
        <w:t xml:space="preserve">La </w:t>
      </w:r>
      <w:r w:rsidRPr="00915EE3">
        <w:rPr>
          <w:rFonts w:ascii="Arial" w:hAnsi="Arial" w:cs="Arial"/>
          <w:b/>
          <w:szCs w:val="24"/>
        </w:rPr>
        <w:t xml:space="preserve">Administradora Colombiana de Pensiones </w:t>
      </w:r>
      <w:r w:rsidR="00915EE3">
        <w:rPr>
          <w:rFonts w:ascii="Arial" w:hAnsi="Arial" w:cs="Arial"/>
          <w:b/>
          <w:szCs w:val="24"/>
        </w:rPr>
        <w:t>-</w:t>
      </w:r>
      <w:r w:rsidR="00915EE3" w:rsidRPr="00915EE3">
        <w:rPr>
          <w:rFonts w:ascii="Arial" w:hAnsi="Arial" w:cs="Arial"/>
          <w:b/>
          <w:bCs/>
          <w:szCs w:val="24"/>
        </w:rPr>
        <w:t>COLPENSIONES</w:t>
      </w:r>
      <w:r w:rsidR="00915EE3">
        <w:rPr>
          <w:rFonts w:ascii="Arial" w:hAnsi="Arial" w:cs="Arial"/>
          <w:b/>
          <w:bCs/>
          <w:szCs w:val="24"/>
        </w:rPr>
        <w:t>-</w:t>
      </w:r>
      <w:r w:rsidRPr="00AC486E">
        <w:rPr>
          <w:rFonts w:ascii="Arial" w:hAnsi="Arial" w:cs="Arial"/>
          <w:b/>
          <w:i/>
          <w:szCs w:val="24"/>
        </w:rPr>
        <w:t>,</w:t>
      </w:r>
      <w:r w:rsidRPr="00AC486E">
        <w:rPr>
          <w:rFonts w:ascii="Arial" w:hAnsi="Arial" w:cs="Arial"/>
          <w:szCs w:val="24"/>
        </w:rPr>
        <w:t xml:space="preserve"> </w:t>
      </w:r>
      <w:r w:rsidR="006D0816" w:rsidRPr="00AC486E">
        <w:rPr>
          <w:rFonts w:ascii="Arial" w:hAnsi="Arial" w:cs="Arial"/>
          <w:szCs w:val="24"/>
        </w:rPr>
        <w:t>se opuso a las pretensiones de la demanda, argumentando que el asegurado fallecido no dejó cau</w:t>
      </w:r>
      <w:r w:rsidR="00567B33">
        <w:rPr>
          <w:rFonts w:ascii="Arial" w:hAnsi="Arial" w:cs="Arial"/>
          <w:szCs w:val="24"/>
        </w:rPr>
        <w:t>sado el derecho</w:t>
      </w:r>
      <w:r w:rsidR="006D0816" w:rsidRPr="00AC486E">
        <w:rPr>
          <w:rFonts w:ascii="Arial" w:hAnsi="Arial" w:cs="Arial"/>
          <w:szCs w:val="24"/>
        </w:rPr>
        <w:t>. Propuso como excepciones de mérito las que denominó “</w:t>
      </w:r>
      <w:r w:rsidR="00567B33">
        <w:rPr>
          <w:rFonts w:ascii="Arial" w:hAnsi="Arial" w:cs="Arial"/>
          <w:szCs w:val="24"/>
        </w:rPr>
        <w:t>Inexistencia de la Obligación demandada</w:t>
      </w:r>
      <w:r w:rsidR="006D0816" w:rsidRPr="00AC486E">
        <w:rPr>
          <w:rFonts w:ascii="Arial" w:hAnsi="Arial" w:cs="Arial"/>
          <w:szCs w:val="24"/>
        </w:rPr>
        <w:t>” y “Prescripción”.</w:t>
      </w:r>
    </w:p>
    <w:p w:rsidR="00226D5F" w:rsidRPr="00AC486E" w:rsidRDefault="00226D5F" w:rsidP="00F017BF">
      <w:pPr>
        <w:pStyle w:val="Sinespaciado"/>
        <w:spacing w:line="276" w:lineRule="auto"/>
        <w:rPr>
          <w:rFonts w:ascii="Arial" w:hAnsi="Arial" w:cs="Arial"/>
          <w:sz w:val="24"/>
          <w:szCs w:val="24"/>
        </w:rPr>
      </w:pPr>
    </w:p>
    <w:p w:rsidR="00226D5F" w:rsidRPr="009740CF" w:rsidRDefault="00272C8B" w:rsidP="00F017BF">
      <w:pPr>
        <w:spacing w:line="276" w:lineRule="auto"/>
        <w:ind w:firstLine="900"/>
        <w:rPr>
          <w:rFonts w:ascii="Arial" w:hAnsi="Arial" w:cs="Arial"/>
          <w:b/>
          <w:szCs w:val="24"/>
        </w:rPr>
      </w:pPr>
      <w:r>
        <w:rPr>
          <w:rFonts w:ascii="Arial" w:hAnsi="Arial" w:cs="Arial"/>
          <w:b/>
          <w:szCs w:val="24"/>
        </w:rPr>
        <w:t>IV</w:t>
      </w:r>
      <w:r w:rsidR="00226D5F" w:rsidRPr="009740CF">
        <w:rPr>
          <w:rFonts w:ascii="Arial" w:hAnsi="Arial" w:cs="Arial"/>
          <w:b/>
          <w:szCs w:val="24"/>
        </w:rPr>
        <w:t>. SENTENCIA DEL JUZGADO</w:t>
      </w:r>
    </w:p>
    <w:p w:rsidR="00226D5F" w:rsidRPr="00AC486E" w:rsidRDefault="00226D5F" w:rsidP="00F017BF">
      <w:pPr>
        <w:pStyle w:val="Sinespaciado"/>
        <w:spacing w:line="276" w:lineRule="auto"/>
        <w:rPr>
          <w:rFonts w:ascii="Arial" w:hAnsi="Arial" w:cs="Arial"/>
          <w:sz w:val="24"/>
          <w:szCs w:val="24"/>
        </w:rPr>
      </w:pPr>
    </w:p>
    <w:p w:rsidR="0053562A" w:rsidRPr="00AC486E" w:rsidRDefault="00226D5F" w:rsidP="00F017BF">
      <w:pPr>
        <w:spacing w:line="276" w:lineRule="auto"/>
        <w:ind w:firstLine="708"/>
        <w:jc w:val="both"/>
        <w:rPr>
          <w:rFonts w:ascii="Arial" w:hAnsi="Arial" w:cs="Arial"/>
          <w:szCs w:val="24"/>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740CF">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Pereira </w:t>
      </w:r>
      <w:r w:rsidR="00567B33">
        <w:rPr>
          <w:rFonts w:ascii="Arial" w:hAnsi="Arial" w:cs="Arial"/>
          <w:color w:val="000000"/>
          <w:szCs w:val="24"/>
          <w:lang w:eastAsia="es-CO"/>
        </w:rPr>
        <w:t xml:space="preserve">reconoció a favor de la actora la pensión de sobrevivientes a partir del </w:t>
      </w:r>
      <w:r w:rsidR="00EA4765">
        <w:rPr>
          <w:rFonts w:ascii="Arial" w:hAnsi="Arial" w:cs="Arial"/>
          <w:color w:val="000000"/>
          <w:szCs w:val="24"/>
          <w:lang w:eastAsia="es-CO"/>
        </w:rPr>
        <w:t xml:space="preserve">28 de octubre de 2010, al considerar que si bien el causante no </w:t>
      </w:r>
      <w:r w:rsidR="0053562A" w:rsidRPr="00AC486E">
        <w:rPr>
          <w:rFonts w:ascii="Arial" w:hAnsi="Arial" w:cs="Arial"/>
          <w:szCs w:val="24"/>
        </w:rPr>
        <w:t xml:space="preserve">dejó causado el derecho </w:t>
      </w:r>
      <w:r w:rsidR="00EA4765">
        <w:rPr>
          <w:rFonts w:ascii="Arial" w:hAnsi="Arial" w:cs="Arial"/>
          <w:szCs w:val="24"/>
        </w:rPr>
        <w:t>con base en la legislación vigente a la fecha de su fallecimiento, en aplicación del principio de la condición más beneficiosa c</w:t>
      </w:r>
      <w:r w:rsidR="0053562A" w:rsidRPr="00AC486E">
        <w:rPr>
          <w:rFonts w:ascii="Arial" w:hAnsi="Arial" w:cs="Arial"/>
          <w:szCs w:val="24"/>
        </w:rPr>
        <w:t>oncluy</w:t>
      </w:r>
      <w:r w:rsidR="00EA4765">
        <w:rPr>
          <w:rFonts w:ascii="Arial" w:hAnsi="Arial" w:cs="Arial"/>
          <w:szCs w:val="24"/>
        </w:rPr>
        <w:t xml:space="preserve">ó </w:t>
      </w:r>
      <w:r w:rsidR="0053562A" w:rsidRPr="00AC486E">
        <w:rPr>
          <w:rFonts w:ascii="Arial" w:hAnsi="Arial" w:cs="Arial"/>
          <w:szCs w:val="24"/>
        </w:rPr>
        <w:t xml:space="preserve">que </w:t>
      </w:r>
      <w:r w:rsidR="00EA4765">
        <w:rPr>
          <w:rFonts w:ascii="Arial" w:hAnsi="Arial" w:cs="Arial"/>
          <w:szCs w:val="24"/>
        </w:rPr>
        <w:t xml:space="preserve">era posible acudir al </w:t>
      </w:r>
      <w:r w:rsidR="0053562A" w:rsidRPr="00AC486E">
        <w:rPr>
          <w:rFonts w:ascii="Arial" w:hAnsi="Arial" w:cs="Arial"/>
          <w:szCs w:val="24"/>
        </w:rPr>
        <w:t>Acuerdo 049 de 1990.</w:t>
      </w:r>
    </w:p>
    <w:p w:rsidR="00226D5F" w:rsidRPr="00AC486E" w:rsidRDefault="00226D5F" w:rsidP="00F017BF">
      <w:pPr>
        <w:pStyle w:val="Sinespaciado"/>
        <w:spacing w:line="276" w:lineRule="auto"/>
        <w:rPr>
          <w:rFonts w:ascii="Arial" w:hAnsi="Arial" w:cs="Arial"/>
          <w:sz w:val="24"/>
          <w:szCs w:val="24"/>
        </w:rPr>
      </w:pPr>
    </w:p>
    <w:p w:rsidR="0061484D" w:rsidRPr="0061484D" w:rsidRDefault="0061484D" w:rsidP="00F017BF">
      <w:pPr>
        <w:shd w:val="clear" w:color="auto" w:fill="FFFFFF"/>
        <w:spacing w:line="276" w:lineRule="auto"/>
        <w:ind w:firstLine="851"/>
        <w:jc w:val="both"/>
        <w:rPr>
          <w:rFonts w:ascii="Arial" w:hAnsi="Arial" w:cs="Arial"/>
          <w:color w:val="000000"/>
          <w:szCs w:val="24"/>
          <w:lang w:eastAsia="es-CO"/>
        </w:rPr>
      </w:pPr>
      <w:r w:rsidRPr="0061484D">
        <w:rPr>
          <w:rFonts w:ascii="Arial" w:hAnsi="Arial" w:cs="Arial"/>
          <w:color w:val="000000"/>
          <w:szCs w:val="24"/>
          <w:lang w:eastAsia="es-CO"/>
        </w:rPr>
        <w:t>Contra la anterior decisión no se presentó recurso de apelación, por lo tanto, se ordenó tramitar el grado jurisdiccional de consulta en favor de la Administradora Colombiana de Pensiones, atendiendo lo establecido en la providencia unificadora de la Sala de Casación Laboral del órgano de cierre de la jurisdicción ordinaria, radicada bajo el número T-34552 del 26 de noviembre de 2013.</w:t>
      </w:r>
    </w:p>
    <w:p w:rsidR="00226D5F" w:rsidRPr="00AC486E" w:rsidRDefault="00226D5F" w:rsidP="00F017BF">
      <w:pPr>
        <w:pStyle w:val="Sinespaciado"/>
        <w:spacing w:line="276" w:lineRule="auto"/>
        <w:rPr>
          <w:rFonts w:ascii="Arial" w:hAnsi="Arial" w:cs="Arial"/>
          <w:sz w:val="24"/>
          <w:szCs w:val="24"/>
        </w:rPr>
      </w:pPr>
    </w:p>
    <w:p w:rsidR="00FF24FA" w:rsidRDefault="00FF24FA" w:rsidP="00F017BF">
      <w:pPr>
        <w:spacing w:line="276" w:lineRule="auto"/>
        <w:ind w:firstLine="708"/>
        <w:contextualSpacing/>
        <w:jc w:val="both"/>
        <w:rPr>
          <w:rFonts w:ascii="Arial" w:hAnsi="Arial" w:cs="Arial"/>
          <w:szCs w:val="24"/>
        </w:rPr>
      </w:pPr>
    </w:p>
    <w:p w:rsidR="0061484D" w:rsidRPr="00272C8B" w:rsidRDefault="0061484D" w:rsidP="00272C8B">
      <w:pPr>
        <w:pStyle w:val="Prrafodelista"/>
        <w:numPr>
          <w:ilvl w:val="0"/>
          <w:numId w:val="6"/>
        </w:numPr>
        <w:shd w:val="clear" w:color="auto" w:fill="FFFFFF"/>
        <w:tabs>
          <w:tab w:val="left" w:pos="5197"/>
        </w:tabs>
        <w:spacing w:line="276" w:lineRule="auto"/>
        <w:jc w:val="both"/>
        <w:rPr>
          <w:rFonts w:ascii="Arial" w:hAnsi="Arial" w:cs="Arial"/>
          <w:b/>
          <w:szCs w:val="24"/>
        </w:rPr>
      </w:pPr>
      <w:r w:rsidRPr="00272C8B">
        <w:rPr>
          <w:rFonts w:ascii="Arial" w:hAnsi="Arial" w:cs="Arial"/>
          <w:b/>
          <w:szCs w:val="24"/>
        </w:rPr>
        <w:t>CONSIDERACIONES</w:t>
      </w:r>
      <w:r w:rsidR="00226D5F" w:rsidRPr="00272C8B">
        <w:rPr>
          <w:rFonts w:ascii="Arial" w:hAnsi="Arial" w:cs="Arial"/>
          <w:b/>
          <w:szCs w:val="24"/>
        </w:rPr>
        <w:t>.</w:t>
      </w:r>
    </w:p>
    <w:p w:rsidR="00FF24FA" w:rsidRPr="00FF24FA" w:rsidRDefault="00FF24FA" w:rsidP="00F017BF">
      <w:pPr>
        <w:pStyle w:val="Prrafodelista"/>
        <w:shd w:val="clear" w:color="auto" w:fill="FFFFFF"/>
        <w:tabs>
          <w:tab w:val="left" w:pos="5197"/>
        </w:tabs>
        <w:spacing w:line="276" w:lineRule="auto"/>
        <w:ind w:left="1800"/>
        <w:jc w:val="both"/>
        <w:rPr>
          <w:rFonts w:ascii="Arial" w:hAnsi="Arial" w:cs="Arial"/>
          <w:b/>
          <w:szCs w:val="24"/>
        </w:rPr>
      </w:pPr>
    </w:p>
    <w:p w:rsidR="00226D5F" w:rsidRPr="0061484D" w:rsidRDefault="00226D5F" w:rsidP="00F017BF">
      <w:pPr>
        <w:shd w:val="clear" w:color="auto" w:fill="FFFFFF"/>
        <w:tabs>
          <w:tab w:val="left" w:pos="5197"/>
        </w:tabs>
        <w:spacing w:line="276" w:lineRule="auto"/>
        <w:ind w:firstLine="851"/>
        <w:jc w:val="both"/>
        <w:rPr>
          <w:rFonts w:ascii="Arial" w:hAnsi="Arial" w:cs="Arial"/>
          <w:szCs w:val="24"/>
        </w:rPr>
      </w:pPr>
      <w:r w:rsidRPr="009740CF">
        <w:rPr>
          <w:rFonts w:ascii="Arial" w:hAnsi="Arial" w:cs="Arial"/>
          <w:szCs w:val="24"/>
        </w:rPr>
        <w:t xml:space="preserve"> </w:t>
      </w:r>
      <w:r w:rsidRPr="009740CF">
        <w:rPr>
          <w:rFonts w:ascii="Arial" w:hAnsi="Arial" w:cs="Arial"/>
          <w:b/>
          <w:szCs w:val="24"/>
        </w:rPr>
        <w:t>Del problema jurídico.</w:t>
      </w:r>
    </w:p>
    <w:p w:rsidR="00226D5F" w:rsidRPr="00AC486E" w:rsidRDefault="00226D5F" w:rsidP="00F017BF">
      <w:pPr>
        <w:pStyle w:val="Sinespaciado"/>
        <w:spacing w:line="276" w:lineRule="auto"/>
        <w:rPr>
          <w:rFonts w:ascii="Arial" w:hAnsi="Arial" w:cs="Arial"/>
          <w:sz w:val="24"/>
          <w:szCs w:val="24"/>
        </w:rPr>
      </w:pPr>
    </w:p>
    <w:p w:rsidR="00226D5F" w:rsidRPr="00AC486E" w:rsidRDefault="00226D5F" w:rsidP="00F017BF">
      <w:pPr>
        <w:shd w:val="clear" w:color="auto" w:fill="FFFFFF"/>
        <w:tabs>
          <w:tab w:val="left" w:pos="5197"/>
        </w:tabs>
        <w:spacing w:line="276" w:lineRule="auto"/>
        <w:ind w:firstLine="851"/>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el problema jurídico en los siguientes términos:</w:t>
      </w:r>
    </w:p>
    <w:p w:rsidR="00226D5F" w:rsidRPr="009740CF" w:rsidRDefault="00226D5F" w:rsidP="00287140">
      <w:pPr>
        <w:tabs>
          <w:tab w:val="left" w:pos="0"/>
          <w:tab w:val="left" w:pos="8647"/>
        </w:tabs>
        <w:suppressAutoHyphens/>
        <w:spacing w:line="276" w:lineRule="auto"/>
        <w:ind w:left="1134" w:right="1134" w:firstLine="426"/>
        <w:jc w:val="both"/>
        <w:rPr>
          <w:rFonts w:ascii="Arial" w:hAnsi="Arial" w:cs="Arial"/>
          <w:iCs/>
          <w:szCs w:val="24"/>
        </w:rPr>
      </w:pPr>
      <w:r w:rsidRPr="009740CF">
        <w:rPr>
          <w:rFonts w:ascii="Arial" w:hAnsi="Arial" w:cs="Arial"/>
          <w:szCs w:val="24"/>
        </w:rPr>
        <w:t>¿Resuelta procedente la pensión de sobrevivientes conforme al Acuerdo 049 de 1990, en aplicación de la condición más beneficiosa cuando el óbito del asegurado se produjo en vigencia de la Ley 797 de 2003</w:t>
      </w:r>
      <w:r w:rsidRPr="009740CF">
        <w:rPr>
          <w:rFonts w:ascii="Arial" w:hAnsi="Arial" w:cs="Arial"/>
          <w:iCs/>
          <w:szCs w:val="24"/>
        </w:rPr>
        <w:t>?</w:t>
      </w:r>
    </w:p>
    <w:p w:rsidR="00226D5F" w:rsidRPr="009740CF" w:rsidRDefault="00226D5F" w:rsidP="00287140">
      <w:pPr>
        <w:pStyle w:val="Sinespaciado"/>
        <w:spacing w:line="276" w:lineRule="auto"/>
        <w:ind w:left="1134" w:right="1134"/>
        <w:rPr>
          <w:rFonts w:ascii="Arial" w:hAnsi="Arial" w:cs="Arial"/>
          <w:sz w:val="24"/>
          <w:szCs w:val="24"/>
        </w:rPr>
      </w:pPr>
    </w:p>
    <w:p w:rsidR="00226D5F" w:rsidRPr="009740CF" w:rsidRDefault="00226D5F" w:rsidP="00287140">
      <w:pPr>
        <w:tabs>
          <w:tab w:val="left" w:pos="0"/>
          <w:tab w:val="left" w:pos="8647"/>
        </w:tabs>
        <w:suppressAutoHyphens/>
        <w:spacing w:line="276" w:lineRule="auto"/>
        <w:ind w:left="1134" w:right="1134" w:firstLine="426"/>
        <w:jc w:val="both"/>
        <w:rPr>
          <w:rFonts w:ascii="Arial" w:hAnsi="Arial" w:cs="Arial"/>
          <w:iCs/>
          <w:szCs w:val="24"/>
        </w:rPr>
      </w:pPr>
      <w:r w:rsidRPr="009740CF">
        <w:rPr>
          <w:rFonts w:ascii="Arial" w:hAnsi="Arial" w:cs="Arial"/>
          <w:szCs w:val="24"/>
        </w:rPr>
        <w:t xml:space="preserve"> ¿</w:t>
      </w:r>
      <w:r w:rsidRPr="009740CF">
        <w:rPr>
          <w:rFonts w:ascii="Arial" w:hAnsi="Arial" w:cs="Arial"/>
          <w:iCs/>
          <w:szCs w:val="24"/>
        </w:rPr>
        <w:t>Demostró la demandante ser beneficiaria de la pensión de sobrevivientes que reclama?</w:t>
      </w:r>
    </w:p>
    <w:p w:rsidR="00226D5F" w:rsidRPr="009740CF" w:rsidRDefault="00226D5F" w:rsidP="00F017BF">
      <w:pPr>
        <w:tabs>
          <w:tab w:val="left" w:pos="0"/>
          <w:tab w:val="left" w:pos="8647"/>
        </w:tabs>
        <w:suppressAutoHyphens/>
        <w:spacing w:line="276" w:lineRule="auto"/>
        <w:ind w:firstLine="900"/>
        <w:jc w:val="both"/>
        <w:rPr>
          <w:rFonts w:ascii="Arial" w:hAnsi="Arial" w:cs="Arial"/>
          <w:iCs/>
          <w:szCs w:val="24"/>
        </w:rPr>
      </w:pPr>
    </w:p>
    <w:p w:rsidR="002A55E3" w:rsidRDefault="002A55E3" w:rsidP="00E368B2">
      <w:pPr>
        <w:pStyle w:val="Textoindependiente"/>
        <w:spacing w:line="276" w:lineRule="auto"/>
        <w:ind w:firstLine="708"/>
        <w:contextualSpacing/>
        <w:rPr>
          <w:iCs/>
          <w:szCs w:val="24"/>
        </w:rPr>
      </w:pPr>
      <w:r>
        <w:rPr>
          <w:iCs/>
          <w:szCs w:val="24"/>
        </w:rPr>
        <w:t xml:space="preserve">Antes del proceder a dar solución al problema jurídico enunciado, es pertinente aclarar que si bien es cierto, con la antigua conformación de la Sala de decisión laboral de este Tribunal, por mayoría y con salvamento de voto del doctor Julio César Salazar Muñoz, se tenía definida la procedencia de la aplicación del principio de la condición más beneficiosa acudiendo a cualquier disposición del pasado, la verdad es que con la llegada de un nuevo integrante, que aquí funge como Ponente, en las salas de decisión laboral 2 y 4 se adopta el criterio de que solo es viable su aplicación para acudir a la norma inmediatamente anterior, </w:t>
      </w:r>
      <w:r w:rsidR="005132A4">
        <w:rPr>
          <w:iCs/>
          <w:szCs w:val="24"/>
        </w:rPr>
        <w:t xml:space="preserve">ello como consecuencia </w:t>
      </w:r>
      <w:r>
        <w:rPr>
          <w:iCs/>
          <w:szCs w:val="24"/>
        </w:rPr>
        <w:t>de la función unificadora de la jurisprudencia de la Sala de Casación Laboral de la Corte Suprema de Justicia, teniendo es</w:t>
      </w:r>
      <w:r w:rsidR="005132A4">
        <w:rPr>
          <w:iCs/>
          <w:szCs w:val="24"/>
        </w:rPr>
        <w:t>t</w:t>
      </w:r>
      <w:r>
        <w:rPr>
          <w:iCs/>
          <w:szCs w:val="24"/>
        </w:rPr>
        <w:t>a Corporación una línea constante y definida, sobre el punto que aquí se debate, es del caso seguir sus lineamientos como en efecto se hará.</w:t>
      </w:r>
    </w:p>
    <w:p w:rsidR="002A55E3" w:rsidRDefault="002A55E3" w:rsidP="00E368B2">
      <w:pPr>
        <w:pStyle w:val="Textoindependiente"/>
        <w:spacing w:line="276" w:lineRule="auto"/>
        <w:ind w:firstLine="708"/>
        <w:contextualSpacing/>
        <w:rPr>
          <w:iCs/>
          <w:szCs w:val="24"/>
        </w:rPr>
      </w:pPr>
    </w:p>
    <w:p w:rsidR="00712CFC" w:rsidRDefault="002A55E3" w:rsidP="00F017BF">
      <w:pPr>
        <w:autoSpaceDE w:val="0"/>
        <w:autoSpaceDN w:val="0"/>
        <w:adjustRightInd w:val="0"/>
        <w:spacing w:line="276" w:lineRule="auto"/>
        <w:ind w:firstLine="858"/>
        <w:jc w:val="both"/>
        <w:rPr>
          <w:rFonts w:ascii="Arial" w:hAnsi="Arial" w:cs="Arial"/>
          <w:szCs w:val="24"/>
        </w:rPr>
      </w:pPr>
      <w:r>
        <w:rPr>
          <w:rFonts w:ascii="Arial" w:hAnsi="Arial" w:cs="Arial"/>
          <w:szCs w:val="24"/>
        </w:rPr>
        <w:t>P</w:t>
      </w:r>
      <w:r w:rsidR="00A24F8A">
        <w:rPr>
          <w:rFonts w:ascii="Arial" w:hAnsi="Arial" w:cs="Arial"/>
          <w:szCs w:val="24"/>
        </w:rPr>
        <w:t xml:space="preserve">recisado lo anterior, se </w:t>
      </w:r>
      <w:r w:rsidR="00E665CA">
        <w:rPr>
          <w:rFonts w:ascii="Arial" w:hAnsi="Arial" w:cs="Arial"/>
          <w:szCs w:val="24"/>
        </w:rPr>
        <w:t>encuentra probado</w:t>
      </w:r>
      <w:r w:rsidR="00226D5F" w:rsidRPr="00AC486E">
        <w:rPr>
          <w:rFonts w:ascii="Arial" w:hAnsi="Arial" w:cs="Arial"/>
          <w:szCs w:val="24"/>
        </w:rPr>
        <w:t xml:space="preserve"> que el </w:t>
      </w:r>
      <w:r w:rsidR="00E665CA">
        <w:rPr>
          <w:rFonts w:ascii="Arial" w:hAnsi="Arial" w:cs="Arial"/>
          <w:szCs w:val="24"/>
        </w:rPr>
        <w:t xml:space="preserve">deceso </w:t>
      </w:r>
      <w:r w:rsidR="00226D5F" w:rsidRPr="00AC486E">
        <w:rPr>
          <w:rFonts w:ascii="Arial" w:hAnsi="Arial" w:cs="Arial"/>
          <w:szCs w:val="24"/>
        </w:rPr>
        <w:t>de</w:t>
      </w:r>
      <w:r w:rsidR="00E665CA">
        <w:rPr>
          <w:rFonts w:ascii="Arial" w:hAnsi="Arial" w:cs="Arial"/>
          <w:szCs w:val="24"/>
        </w:rPr>
        <w:t xml:space="preserve">l señor Henry Alberto López Gómez </w:t>
      </w:r>
      <w:r w:rsidR="00712CFC" w:rsidRPr="00AC486E">
        <w:rPr>
          <w:rFonts w:ascii="Arial" w:hAnsi="Arial" w:cs="Arial"/>
          <w:szCs w:val="24"/>
        </w:rPr>
        <w:t xml:space="preserve">ocurrió el </w:t>
      </w:r>
      <w:r w:rsidR="00E665CA">
        <w:rPr>
          <w:rFonts w:ascii="Arial" w:hAnsi="Arial" w:cs="Arial"/>
          <w:szCs w:val="24"/>
        </w:rPr>
        <w:t xml:space="preserve">08 </w:t>
      </w:r>
      <w:r w:rsidR="00712CFC" w:rsidRPr="00AC486E">
        <w:rPr>
          <w:rFonts w:ascii="Arial" w:hAnsi="Arial" w:cs="Arial"/>
          <w:szCs w:val="24"/>
        </w:rPr>
        <w:t xml:space="preserve">de </w:t>
      </w:r>
      <w:r w:rsidR="00E665CA">
        <w:rPr>
          <w:rFonts w:ascii="Arial" w:hAnsi="Arial" w:cs="Arial"/>
          <w:szCs w:val="24"/>
        </w:rPr>
        <w:t>julio de 2007</w:t>
      </w:r>
      <w:r w:rsidR="00712CFC" w:rsidRPr="00AC486E">
        <w:rPr>
          <w:rFonts w:ascii="Arial" w:hAnsi="Arial" w:cs="Arial"/>
          <w:szCs w:val="24"/>
        </w:rPr>
        <w:t xml:space="preserve">, según se colige del Registro Civil de defunción expedido por </w:t>
      </w:r>
      <w:r w:rsidR="00E665CA">
        <w:rPr>
          <w:rFonts w:ascii="Arial" w:hAnsi="Arial" w:cs="Arial"/>
          <w:szCs w:val="24"/>
        </w:rPr>
        <w:t>el Consulado de Colombia en Madrid, (fl.16</w:t>
      </w:r>
      <w:r w:rsidR="00712CFC" w:rsidRPr="00AC486E">
        <w:rPr>
          <w:rFonts w:ascii="Arial" w:hAnsi="Arial" w:cs="Arial"/>
          <w:szCs w:val="24"/>
        </w:rPr>
        <w:t xml:space="preserve">); que la demandante y el afiliado fallecido contrajeron matrimonio </w:t>
      </w:r>
      <w:r w:rsidR="00E665CA">
        <w:rPr>
          <w:rFonts w:ascii="Arial" w:hAnsi="Arial" w:cs="Arial"/>
          <w:szCs w:val="24"/>
        </w:rPr>
        <w:t xml:space="preserve">civil </w:t>
      </w:r>
      <w:r w:rsidR="00712CFC" w:rsidRPr="00AC486E">
        <w:rPr>
          <w:rFonts w:ascii="Arial" w:hAnsi="Arial" w:cs="Arial"/>
          <w:szCs w:val="24"/>
        </w:rPr>
        <w:t xml:space="preserve">el </w:t>
      </w:r>
      <w:r w:rsidR="00E665CA">
        <w:rPr>
          <w:rFonts w:ascii="Arial" w:hAnsi="Arial" w:cs="Arial"/>
          <w:szCs w:val="24"/>
        </w:rPr>
        <w:t>30</w:t>
      </w:r>
      <w:r w:rsidR="00712CFC" w:rsidRPr="00AC486E">
        <w:rPr>
          <w:rFonts w:ascii="Arial" w:hAnsi="Arial" w:cs="Arial"/>
          <w:szCs w:val="24"/>
        </w:rPr>
        <w:t xml:space="preserve"> de </w:t>
      </w:r>
      <w:r w:rsidR="00E665CA">
        <w:rPr>
          <w:rFonts w:ascii="Arial" w:hAnsi="Arial" w:cs="Arial"/>
          <w:szCs w:val="24"/>
        </w:rPr>
        <w:t xml:space="preserve">mayo </w:t>
      </w:r>
      <w:r w:rsidR="00712CFC" w:rsidRPr="00AC486E">
        <w:rPr>
          <w:rFonts w:ascii="Arial" w:hAnsi="Arial" w:cs="Arial"/>
          <w:szCs w:val="24"/>
        </w:rPr>
        <w:t>de 19</w:t>
      </w:r>
      <w:r w:rsidR="00E665CA">
        <w:rPr>
          <w:rFonts w:ascii="Arial" w:hAnsi="Arial" w:cs="Arial"/>
          <w:szCs w:val="24"/>
        </w:rPr>
        <w:t>87,</w:t>
      </w:r>
      <w:r w:rsidR="00712CFC" w:rsidRPr="00AC486E">
        <w:rPr>
          <w:rFonts w:ascii="Arial" w:hAnsi="Arial" w:cs="Arial"/>
          <w:szCs w:val="24"/>
        </w:rPr>
        <w:t xml:space="preserve"> (fl.13); </w:t>
      </w:r>
      <w:r w:rsidR="00E70A48" w:rsidRPr="00AC486E">
        <w:rPr>
          <w:rFonts w:ascii="Arial" w:hAnsi="Arial" w:cs="Arial"/>
          <w:szCs w:val="24"/>
        </w:rPr>
        <w:t xml:space="preserve">y </w:t>
      </w:r>
      <w:r w:rsidR="00712CFC" w:rsidRPr="00AC486E">
        <w:rPr>
          <w:rFonts w:ascii="Arial" w:hAnsi="Arial" w:cs="Arial"/>
          <w:szCs w:val="24"/>
        </w:rPr>
        <w:t xml:space="preserve">que aquel cotizó al sistema pensional un total de </w:t>
      </w:r>
      <w:r w:rsidR="00E665CA">
        <w:rPr>
          <w:rFonts w:ascii="Arial" w:hAnsi="Arial" w:cs="Arial"/>
          <w:szCs w:val="24"/>
        </w:rPr>
        <w:t xml:space="preserve">676,29 </w:t>
      </w:r>
      <w:r w:rsidR="00712CFC" w:rsidRPr="00AC486E">
        <w:rPr>
          <w:rFonts w:ascii="Arial" w:hAnsi="Arial" w:cs="Arial"/>
          <w:szCs w:val="24"/>
        </w:rPr>
        <w:t>semanas</w:t>
      </w:r>
      <w:r w:rsidR="00E665CA">
        <w:rPr>
          <w:rFonts w:ascii="Arial" w:hAnsi="Arial" w:cs="Arial"/>
          <w:szCs w:val="24"/>
        </w:rPr>
        <w:t xml:space="preserve"> hasta el 31 de octubre de 2000, tal y como se extracta de la historia laboral válida para prestaciones sociales allegada por la entidad demandada </w:t>
      </w:r>
      <w:r w:rsidR="007E5F18" w:rsidRPr="00AC486E">
        <w:rPr>
          <w:rFonts w:ascii="Arial" w:hAnsi="Arial" w:cs="Arial"/>
          <w:szCs w:val="24"/>
        </w:rPr>
        <w:t>(fl.</w:t>
      </w:r>
      <w:r w:rsidR="00E665CA">
        <w:rPr>
          <w:rFonts w:ascii="Arial" w:hAnsi="Arial" w:cs="Arial"/>
          <w:szCs w:val="24"/>
        </w:rPr>
        <w:t>126 vto.</w:t>
      </w:r>
      <w:r w:rsidR="007E5F18" w:rsidRPr="00AC486E">
        <w:rPr>
          <w:rFonts w:ascii="Arial" w:hAnsi="Arial" w:cs="Arial"/>
          <w:szCs w:val="24"/>
        </w:rPr>
        <w:t>).</w:t>
      </w:r>
    </w:p>
    <w:p w:rsidR="00E368B2" w:rsidRPr="00AC486E" w:rsidRDefault="00E368B2" w:rsidP="00F017BF">
      <w:pPr>
        <w:autoSpaceDE w:val="0"/>
        <w:autoSpaceDN w:val="0"/>
        <w:adjustRightInd w:val="0"/>
        <w:spacing w:line="276" w:lineRule="auto"/>
        <w:ind w:firstLine="858"/>
        <w:jc w:val="both"/>
        <w:rPr>
          <w:rFonts w:ascii="Arial" w:hAnsi="Arial" w:cs="Arial"/>
          <w:szCs w:val="24"/>
        </w:rPr>
      </w:pPr>
    </w:p>
    <w:p w:rsidR="00226D5F" w:rsidRDefault="00226D5F" w:rsidP="00F017BF">
      <w:pPr>
        <w:autoSpaceDE w:val="0"/>
        <w:autoSpaceDN w:val="0"/>
        <w:adjustRightInd w:val="0"/>
        <w:spacing w:line="276" w:lineRule="auto"/>
        <w:ind w:firstLine="858"/>
        <w:jc w:val="both"/>
        <w:rPr>
          <w:rFonts w:ascii="Arial" w:hAnsi="Arial" w:cs="Arial"/>
          <w:szCs w:val="24"/>
        </w:rPr>
      </w:pPr>
      <w:r w:rsidRPr="00AC486E">
        <w:rPr>
          <w:rFonts w:ascii="Arial" w:hAnsi="Arial" w:cs="Arial"/>
          <w:szCs w:val="24"/>
        </w:rPr>
        <w:t xml:space="preserve">Así las cosas, teniendo en cuenta la fecha del óbito de </w:t>
      </w:r>
      <w:r w:rsidR="00E665CA">
        <w:rPr>
          <w:rFonts w:ascii="Arial" w:hAnsi="Arial" w:cs="Arial"/>
          <w:szCs w:val="24"/>
        </w:rPr>
        <w:t>señor López Gómez</w:t>
      </w:r>
      <w:r w:rsidRPr="00AC486E">
        <w:rPr>
          <w:rFonts w:ascii="Arial" w:hAnsi="Arial" w:cs="Arial"/>
          <w:szCs w:val="24"/>
        </w:rPr>
        <w:t xml:space="preserve">, la normativa </w:t>
      </w:r>
      <w:r w:rsidR="00F7229A">
        <w:rPr>
          <w:rFonts w:ascii="Arial" w:hAnsi="Arial" w:cs="Arial"/>
          <w:szCs w:val="24"/>
        </w:rPr>
        <w:t xml:space="preserve">aplicable </w:t>
      </w:r>
      <w:r w:rsidRPr="00AC486E">
        <w:rPr>
          <w:rFonts w:ascii="Arial" w:hAnsi="Arial" w:cs="Arial"/>
          <w:szCs w:val="24"/>
        </w:rPr>
        <w:t xml:space="preserve">en esta actuación es el artículo </w:t>
      </w:r>
      <w:r w:rsidR="00F7229A">
        <w:rPr>
          <w:rFonts w:ascii="Arial" w:hAnsi="Arial" w:cs="Arial"/>
          <w:szCs w:val="24"/>
        </w:rPr>
        <w:t xml:space="preserve">12 de </w:t>
      </w:r>
      <w:r w:rsidRPr="00AC486E">
        <w:rPr>
          <w:rFonts w:ascii="Arial" w:hAnsi="Arial" w:cs="Arial"/>
          <w:szCs w:val="24"/>
        </w:rPr>
        <w:t xml:space="preserve">la Ley 797 de 2003, que para los afiliados al sistema de  seguridad social, exige </w:t>
      </w:r>
      <w:r w:rsidR="007E5F18" w:rsidRPr="00AC486E">
        <w:rPr>
          <w:rFonts w:ascii="Arial" w:hAnsi="Arial" w:cs="Arial"/>
          <w:szCs w:val="24"/>
        </w:rPr>
        <w:t>haber</w:t>
      </w:r>
      <w:r w:rsidRPr="00AC486E">
        <w:rPr>
          <w:rFonts w:ascii="Arial" w:hAnsi="Arial" w:cs="Arial"/>
          <w:szCs w:val="24"/>
        </w:rPr>
        <w:t xml:space="preserve"> cotizado 50 semanas dentro de los 3 años anteriores a su deceso y</w:t>
      </w:r>
      <w:r w:rsidR="00F7229A">
        <w:rPr>
          <w:rFonts w:ascii="Arial" w:hAnsi="Arial" w:cs="Arial"/>
          <w:szCs w:val="24"/>
        </w:rPr>
        <w:t xml:space="preserve">, conforme al artículo 13 de esa misma normativa, </w:t>
      </w:r>
      <w:r w:rsidRPr="00AC486E">
        <w:rPr>
          <w:rFonts w:ascii="Arial" w:hAnsi="Arial" w:cs="Arial"/>
          <w:szCs w:val="24"/>
        </w:rPr>
        <w:t xml:space="preserve"> </w:t>
      </w:r>
      <w:r w:rsidR="00764C9B" w:rsidRPr="00AC486E">
        <w:rPr>
          <w:rFonts w:ascii="Arial" w:hAnsi="Arial" w:cs="Arial"/>
          <w:szCs w:val="24"/>
        </w:rPr>
        <w:t xml:space="preserve">para </w:t>
      </w:r>
      <w:r w:rsidRPr="00AC486E">
        <w:rPr>
          <w:rFonts w:ascii="Arial" w:hAnsi="Arial" w:cs="Arial"/>
          <w:szCs w:val="24"/>
        </w:rPr>
        <w:t>quien reclame la prestación en calidad de cónyuge o compañera</w:t>
      </w:r>
      <w:r w:rsidR="00764C9B" w:rsidRPr="00AC486E">
        <w:rPr>
          <w:rFonts w:ascii="Arial" w:hAnsi="Arial" w:cs="Arial"/>
          <w:szCs w:val="24"/>
        </w:rPr>
        <w:t xml:space="preserve"> supérstite, </w:t>
      </w:r>
      <w:r w:rsidR="007E5F18" w:rsidRPr="00AC486E">
        <w:rPr>
          <w:rFonts w:ascii="Arial" w:hAnsi="Arial" w:cs="Arial"/>
          <w:szCs w:val="24"/>
        </w:rPr>
        <w:t xml:space="preserve">una convivencia </w:t>
      </w:r>
      <w:r w:rsidRPr="00AC486E">
        <w:rPr>
          <w:rFonts w:ascii="Arial" w:hAnsi="Arial" w:cs="Arial"/>
          <w:szCs w:val="24"/>
        </w:rPr>
        <w:t>con el causante por espacio no inferior a los 5 años anteriores al deceso.</w:t>
      </w:r>
    </w:p>
    <w:p w:rsidR="00F7229A" w:rsidRDefault="00F7229A" w:rsidP="00F017BF">
      <w:pPr>
        <w:autoSpaceDE w:val="0"/>
        <w:autoSpaceDN w:val="0"/>
        <w:adjustRightInd w:val="0"/>
        <w:spacing w:line="276" w:lineRule="auto"/>
        <w:ind w:firstLine="858"/>
        <w:jc w:val="both"/>
        <w:rPr>
          <w:rFonts w:ascii="Arial" w:hAnsi="Arial" w:cs="Arial"/>
          <w:szCs w:val="24"/>
        </w:rPr>
      </w:pPr>
    </w:p>
    <w:p w:rsidR="00F7229A" w:rsidRDefault="00F7229A" w:rsidP="00F017BF">
      <w:pPr>
        <w:autoSpaceDE w:val="0"/>
        <w:autoSpaceDN w:val="0"/>
        <w:adjustRightInd w:val="0"/>
        <w:spacing w:line="276" w:lineRule="auto"/>
        <w:ind w:firstLine="858"/>
        <w:jc w:val="both"/>
        <w:rPr>
          <w:rFonts w:ascii="Arial" w:hAnsi="Arial" w:cs="Arial"/>
          <w:szCs w:val="24"/>
        </w:rPr>
      </w:pPr>
      <w:r>
        <w:rPr>
          <w:rFonts w:ascii="Arial" w:hAnsi="Arial" w:cs="Arial"/>
          <w:szCs w:val="24"/>
        </w:rPr>
        <w:t xml:space="preserve">Conforme a lo anterior, debe determinarse en primer lugar si dentro de los 3 años anteriores al deceso del señor López Gómez, es decir, en el periodo comprendido entre el 08 de julio de 2004 y la misma fecha de 2007, alcanzó a reunir 50 semanas de cotización, para lo cual debe acudirse a la historia laboral válida para prestaciones económicas visible a folios 124 y s.s. del cuaderno de primer grado, de donde se evidencia que dentro de ese lapso no registra alguna cotización, con lo cual resulta fácil colegir que no satisfizo </w:t>
      </w:r>
      <w:r w:rsidR="004348AB" w:rsidRPr="00AC486E">
        <w:rPr>
          <w:rFonts w:ascii="Arial" w:hAnsi="Arial" w:cs="Arial"/>
          <w:szCs w:val="24"/>
        </w:rPr>
        <w:t>las exigencias del artículo 12 de la Ley 797 de 2003</w:t>
      </w:r>
      <w:r>
        <w:rPr>
          <w:rFonts w:ascii="Arial" w:hAnsi="Arial" w:cs="Arial"/>
          <w:szCs w:val="24"/>
        </w:rPr>
        <w:t>.</w:t>
      </w:r>
    </w:p>
    <w:p w:rsidR="00F7229A" w:rsidRDefault="00F7229A" w:rsidP="00F017BF">
      <w:pPr>
        <w:autoSpaceDE w:val="0"/>
        <w:autoSpaceDN w:val="0"/>
        <w:adjustRightInd w:val="0"/>
        <w:spacing w:line="276" w:lineRule="auto"/>
        <w:ind w:firstLine="858"/>
        <w:jc w:val="both"/>
        <w:rPr>
          <w:rFonts w:ascii="Arial" w:hAnsi="Arial" w:cs="Arial"/>
          <w:szCs w:val="24"/>
        </w:rPr>
      </w:pPr>
    </w:p>
    <w:p w:rsidR="00F7229A" w:rsidRDefault="00F7229A" w:rsidP="00F017BF">
      <w:pPr>
        <w:autoSpaceDE w:val="0"/>
        <w:autoSpaceDN w:val="0"/>
        <w:adjustRightInd w:val="0"/>
        <w:spacing w:line="276" w:lineRule="auto"/>
        <w:ind w:firstLine="858"/>
        <w:jc w:val="both"/>
        <w:rPr>
          <w:rFonts w:ascii="Arial" w:hAnsi="Arial" w:cs="Arial"/>
          <w:szCs w:val="24"/>
        </w:rPr>
      </w:pPr>
      <w:r>
        <w:rPr>
          <w:rFonts w:ascii="Arial" w:hAnsi="Arial" w:cs="Arial"/>
          <w:szCs w:val="24"/>
        </w:rPr>
        <w:t xml:space="preserve">No obstante, teniendo en cuenta que </w:t>
      </w:r>
      <w:r w:rsidR="00A27137">
        <w:rPr>
          <w:rFonts w:ascii="Arial" w:hAnsi="Arial" w:cs="Arial"/>
          <w:szCs w:val="24"/>
        </w:rPr>
        <w:t>en el libelo introductorio se depreca la aplicación del principio de la condición más beneficiosa, se analizará su procedibilidad en el caso concreto.</w:t>
      </w:r>
    </w:p>
    <w:p w:rsidR="00A27137" w:rsidRDefault="00A27137" w:rsidP="00F017BF">
      <w:pPr>
        <w:autoSpaceDE w:val="0"/>
        <w:autoSpaceDN w:val="0"/>
        <w:adjustRightInd w:val="0"/>
        <w:spacing w:line="276" w:lineRule="auto"/>
        <w:ind w:firstLine="858"/>
        <w:jc w:val="both"/>
        <w:rPr>
          <w:rFonts w:ascii="Arial" w:hAnsi="Arial" w:cs="Arial"/>
          <w:szCs w:val="24"/>
        </w:rPr>
      </w:pPr>
    </w:p>
    <w:p w:rsidR="00A27137" w:rsidRDefault="00A27137" w:rsidP="00F017BF">
      <w:pPr>
        <w:autoSpaceDE w:val="0"/>
        <w:autoSpaceDN w:val="0"/>
        <w:adjustRightInd w:val="0"/>
        <w:spacing w:line="276" w:lineRule="auto"/>
        <w:ind w:firstLine="858"/>
        <w:jc w:val="both"/>
        <w:rPr>
          <w:rFonts w:ascii="Arial" w:hAnsi="Arial" w:cs="Arial"/>
          <w:szCs w:val="24"/>
        </w:rPr>
      </w:pPr>
      <w:r>
        <w:rPr>
          <w:rFonts w:ascii="Arial" w:hAnsi="Arial" w:cs="Arial"/>
          <w:szCs w:val="24"/>
        </w:rPr>
        <w:t>Así pues, frente a este aspecto, ha sostenido la Sala de Casación Laboral de Corte Suprema de Justicia lo siguiente</w:t>
      </w:r>
      <w:r>
        <w:rPr>
          <w:rStyle w:val="Refdenotaalpie"/>
          <w:rFonts w:ascii="Arial" w:hAnsi="Arial" w:cs="Arial"/>
          <w:szCs w:val="24"/>
        </w:rPr>
        <w:footnoteReference w:id="1"/>
      </w:r>
      <w:r>
        <w:rPr>
          <w:rFonts w:ascii="Arial" w:hAnsi="Arial" w:cs="Arial"/>
          <w:szCs w:val="24"/>
        </w:rPr>
        <w:t>:</w:t>
      </w:r>
    </w:p>
    <w:p w:rsidR="00A27137" w:rsidRDefault="00A27137" w:rsidP="00F017BF">
      <w:pPr>
        <w:autoSpaceDE w:val="0"/>
        <w:autoSpaceDN w:val="0"/>
        <w:adjustRightInd w:val="0"/>
        <w:spacing w:line="276" w:lineRule="auto"/>
        <w:ind w:firstLine="858"/>
        <w:jc w:val="both"/>
        <w:rPr>
          <w:rFonts w:ascii="Arial" w:hAnsi="Arial" w:cs="Arial"/>
          <w:szCs w:val="24"/>
        </w:rPr>
      </w:pPr>
    </w:p>
    <w:p w:rsidR="00A27137" w:rsidRPr="007B1977" w:rsidRDefault="007B1977" w:rsidP="007B1977">
      <w:pPr>
        <w:autoSpaceDE w:val="0"/>
        <w:autoSpaceDN w:val="0"/>
        <w:adjustRightInd w:val="0"/>
        <w:spacing w:line="276" w:lineRule="auto"/>
        <w:ind w:left="1134" w:right="1134"/>
        <w:jc w:val="both"/>
        <w:rPr>
          <w:rFonts w:ascii="Arial" w:hAnsi="Arial" w:cs="Arial"/>
          <w:i/>
          <w:sz w:val="20"/>
        </w:rPr>
      </w:pPr>
      <w:r w:rsidRPr="007B1977">
        <w:rPr>
          <w:rFonts w:ascii="Arial" w:hAnsi="Arial" w:cs="Arial"/>
          <w:i/>
          <w:color w:val="000000"/>
          <w:sz w:val="20"/>
          <w:lang w:val="es-ES"/>
        </w:rPr>
        <w:t>En otras palabras, no es admisible aducir, como parámetro para la aplicación de la condición más beneficiosa, cualquier norma legal que haya regulado el asunto en algún momento pretérito en que se ha desarrollado la vinculación de la persona con el sistema de la seguridad social, sino la que regía inmediatamente antes de adquirir plena eficacia y validez el precepto aplicable conforme a las reglas generales del derecho. Más explícitamente, un asunto al que ha de aplicarse la Ley 797 de 2003, o la 860 del mismo año, si se considera más rigurosa ésta frente a la norma remplazada, es preciso establecer si se satisficieron los requisitos y condiciones de la derogada disposición para, en caso afirmativo, hacer valer la condición más beneficiosa. Lo que no puede el juez es desplegar un ejercicio histórico, a fin de encontrar alguna otra legislación, más allá de la Ley 100 de 1993 que haya precedido –a su vez- a la norma anteriormente derogada por la que viene al caso,  para darle un[a] especie de efectos “plusultractivos”, que resquebraja el valor de la seguridad jurídica. He allí la razón por la cual la Corte se ha negado a aplicar la condición más beneficiosa en los procesos decididos por las sentencias del 3 de diciembre de 2007 (rad. 28876) y 20 de febrero de 2008 (rad. 3264[9]</w:t>
      </w:r>
      <w:r>
        <w:rPr>
          <w:rFonts w:ascii="Arial" w:hAnsi="Arial" w:cs="Arial"/>
          <w:i/>
          <w:color w:val="000000"/>
          <w:sz w:val="20"/>
          <w:lang w:val="es-ES"/>
        </w:rPr>
        <w:t>.</w:t>
      </w:r>
    </w:p>
    <w:p w:rsidR="007B1977" w:rsidRDefault="007B1977" w:rsidP="00F017BF">
      <w:pPr>
        <w:autoSpaceDE w:val="0"/>
        <w:autoSpaceDN w:val="0"/>
        <w:adjustRightInd w:val="0"/>
        <w:spacing w:line="276" w:lineRule="auto"/>
        <w:ind w:firstLine="858"/>
        <w:jc w:val="both"/>
        <w:rPr>
          <w:rFonts w:ascii="Arial" w:hAnsi="Arial" w:cs="Arial"/>
          <w:szCs w:val="24"/>
        </w:rPr>
      </w:pPr>
    </w:p>
    <w:p w:rsidR="007B1977" w:rsidRPr="00D578CB" w:rsidRDefault="007B1977" w:rsidP="00F017BF">
      <w:pPr>
        <w:autoSpaceDE w:val="0"/>
        <w:autoSpaceDN w:val="0"/>
        <w:adjustRightInd w:val="0"/>
        <w:spacing w:line="276" w:lineRule="auto"/>
        <w:ind w:firstLine="858"/>
        <w:jc w:val="both"/>
        <w:rPr>
          <w:rFonts w:ascii="Arial" w:hAnsi="Arial" w:cs="Arial"/>
          <w:szCs w:val="24"/>
        </w:rPr>
      </w:pPr>
    </w:p>
    <w:p w:rsidR="00450903" w:rsidRPr="00D578CB" w:rsidRDefault="00A27137" w:rsidP="00F017BF">
      <w:pPr>
        <w:autoSpaceDE w:val="0"/>
        <w:autoSpaceDN w:val="0"/>
        <w:adjustRightInd w:val="0"/>
        <w:spacing w:line="276" w:lineRule="auto"/>
        <w:ind w:firstLine="858"/>
        <w:jc w:val="both"/>
        <w:rPr>
          <w:rFonts w:ascii="Arial" w:hAnsi="Arial" w:cs="Arial"/>
          <w:szCs w:val="24"/>
        </w:rPr>
      </w:pPr>
      <w:r w:rsidRPr="00D578CB">
        <w:rPr>
          <w:rFonts w:ascii="Arial" w:hAnsi="Arial" w:cs="Arial"/>
          <w:szCs w:val="24"/>
        </w:rPr>
        <w:t>Del extracto jurisprudencial transcrito, puede</w:t>
      </w:r>
      <w:r w:rsidR="00450903" w:rsidRPr="00D578CB">
        <w:rPr>
          <w:rFonts w:ascii="Arial" w:hAnsi="Arial" w:cs="Arial"/>
          <w:szCs w:val="24"/>
        </w:rPr>
        <w:t xml:space="preserve"> concluirse que</w:t>
      </w:r>
      <w:r w:rsidRPr="00D578CB">
        <w:rPr>
          <w:rFonts w:ascii="Arial" w:hAnsi="Arial" w:cs="Arial"/>
          <w:szCs w:val="24"/>
        </w:rPr>
        <w:t xml:space="preserve"> </w:t>
      </w:r>
      <w:r w:rsidR="00450903" w:rsidRPr="007B1977">
        <w:rPr>
          <w:rFonts w:ascii="Arial" w:hAnsi="Arial" w:cs="Arial"/>
          <w:color w:val="000000"/>
          <w:szCs w:val="24"/>
          <w:lang w:val="es-ES"/>
        </w:rPr>
        <w:t>el principio de la condición más beneficiosa no le permite al juzgador aplicar a un caso en particular cualquier norma legal que en el pasado haya regulado el asunto, sino que, de darse las condiciones necesarias para su aplicación, ello sería respecto a la norma inmediatamente anterior a la vigente en el momento en que se estructuró el derecho</w:t>
      </w:r>
      <w:r w:rsidR="00450903" w:rsidRPr="00D578CB">
        <w:rPr>
          <w:rFonts w:ascii="Arial" w:hAnsi="Arial" w:cs="Arial"/>
          <w:color w:val="000000"/>
          <w:szCs w:val="24"/>
          <w:lang w:val="es-ES"/>
        </w:rPr>
        <w:t xml:space="preserve">. </w:t>
      </w:r>
    </w:p>
    <w:p w:rsidR="00450903" w:rsidRPr="00D578CB" w:rsidRDefault="00450903" w:rsidP="00F017BF">
      <w:pPr>
        <w:autoSpaceDE w:val="0"/>
        <w:autoSpaceDN w:val="0"/>
        <w:adjustRightInd w:val="0"/>
        <w:spacing w:line="276" w:lineRule="auto"/>
        <w:ind w:firstLine="858"/>
        <w:jc w:val="both"/>
        <w:rPr>
          <w:rFonts w:ascii="Arial" w:hAnsi="Arial" w:cs="Arial"/>
          <w:szCs w:val="24"/>
        </w:rPr>
      </w:pPr>
    </w:p>
    <w:p w:rsidR="00A27137" w:rsidRPr="00D578CB" w:rsidRDefault="00450903" w:rsidP="00F017BF">
      <w:pPr>
        <w:autoSpaceDE w:val="0"/>
        <w:autoSpaceDN w:val="0"/>
        <w:adjustRightInd w:val="0"/>
        <w:spacing w:line="276" w:lineRule="auto"/>
        <w:ind w:firstLine="858"/>
        <w:jc w:val="both"/>
        <w:rPr>
          <w:rFonts w:ascii="Arial" w:hAnsi="Arial" w:cs="Arial"/>
          <w:szCs w:val="24"/>
        </w:rPr>
      </w:pPr>
      <w:r w:rsidRPr="00D578CB">
        <w:rPr>
          <w:rFonts w:ascii="Arial" w:hAnsi="Arial" w:cs="Arial"/>
          <w:szCs w:val="24"/>
        </w:rPr>
        <w:t>Dicho en otros términos</w:t>
      </w:r>
      <w:r w:rsidR="0000581C" w:rsidRPr="00D578CB">
        <w:rPr>
          <w:rFonts w:ascii="Arial" w:hAnsi="Arial" w:cs="Arial"/>
          <w:szCs w:val="24"/>
        </w:rPr>
        <w:t>,</w:t>
      </w:r>
      <w:r w:rsidRPr="00D578CB">
        <w:rPr>
          <w:rFonts w:ascii="Arial" w:hAnsi="Arial" w:cs="Arial"/>
          <w:color w:val="000000"/>
          <w:szCs w:val="24"/>
          <w:lang w:val="es-ES"/>
        </w:rPr>
        <w:t xml:space="preserve"> </w:t>
      </w:r>
      <w:r w:rsidRPr="00D578CB">
        <w:rPr>
          <w:rFonts w:ascii="Arial" w:hAnsi="Arial" w:cs="Arial"/>
          <w:szCs w:val="24"/>
        </w:rPr>
        <w:t>la aplicación del principio de la condición más beneficiosa tiene aplicación para acudir a la legislación inmediatamente anterior a aquella en que haya ocurrido el hecho generador de la subvención, que en el caso particular de las pensiones de sobrevivientes lo sería el deceso del afiliado.</w:t>
      </w:r>
    </w:p>
    <w:p w:rsidR="00F7229A" w:rsidRPr="00D578CB" w:rsidRDefault="00F7229A" w:rsidP="00F017BF">
      <w:pPr>
        <w:autoSpaceDE w:val="0"/>
        <w:autoSpaceDN w:val="0"/>
        <w:adjustRightInd w:val="0"/>
        <w:spacing w:line="276" w:lineRule="auto"/>
        <w:ind w:firstLine="858"/>
        <w:jc w:val="both"/>
        <w:rPr>
          <w:rFonts w:ascii="Arial" w:hAnsi="Arial" w:cs="Arial"/>
          <w:szCs w:val="24"/>
        </w:rPr>
      </w:pPr>
    </w:p>
    <w:p w:rsidR="00F7229A" w:rsidRPr="00D578CB" w:rsidRDefault="00966F23" w:rsidP="00F017BF">
      <w:pPr>
        <w:autoSpaceDE w:val="0"/>
        <w:autoSpaceDN w:val="0"/>
        <w:adjustRightInd w:val="0"/>
        <w:spacing w:line="276" w:lineRule="auto"/>
        <w:ind w:firstLine="858"/>
        <w:jc w:val="both"/>
        <w:rPr>
          <w:rFonts w:ascii="Arial" w:hAnsi="Arial" w:cs="Arial"/>
          <w:szCs w:val="24"/>
        </w:rPr>
      </w:pPr>
      <w:r w:rsidRPr="00D578CB">
        <w:rPr>
          <w:rFonts w:ascii="Arial" w:hAnsi="Arial" w:cs="Arial"/>
          <w:szCs w:val="24"/>
        </w:rPr>
        <w:t xml:space="preserve">En este orden de ideas, para el 08 de julio de 2007, la norma vigente era la Ley 797 de 2003, por lo que la disposición inmediatamente anterior </w:t>
      </w:r>
      <w:r w:rsidR="000A397D" w:rsidRPr="00D578CB">
        <w:rPr>
          <w:rFonts w:ascii="Arial" w:hAnsi="Arial" w:cs="Arial"/>
          <w:szCs w:val="24"/>
        </w:rPr>
        <w:t xml:space="preserve">resulta ser la Ley 100 de 1993 en su versión original, </w:t>
      </w:r>
      <w:r w:rsidR="00B63804" w:rsidRPr="007B1977">
        <w:rPr>
          <w:rFonts w:ascii="Arial" w:hAnsi="Arial" w:cs="Arial"/>
          <w:color w:val="000000"/>
          <w:szCs w:val="24"/>
          <w:lang w:val="es-ES"/>
        </w:rPr>
        <w:t>cuyas exigencias tampoco se reunirían en este caso, pues según la historia laboral del afiliado fallecido allegada al proceso</w:t>
      </w:r>
      <w:r w:rsidR="00B63804" w:rsidRPr="00D578CB">
        <w:rPr>
          <w:rFonts w:ascii="Arial" w:hAnsi="Arial" w:cs="Arial"/>
          <w:color w:val="000000"/>
          <w:szCs w:val="24"/>
          <w:lang w:val="es-ES"/>
        </w:rPr>
        <w:t xml:space="preserve"> –fls. 124 y s.s.-</w:t>
      </w:r>
      <w:r w:rsidR="00B63804" w:rsidRPr="007B1977">
        <w:rPr>
          <w:rFonts w:ascii="Arial" w:hAnsi="Arial" w:cs="Arial"/>
          <w:color w:val="000000"/>
          <w:szCs w:val="24"/>
          <w:lang w:val="es-ES"/>
        </w:rPr>
        <w:t>, al momento de producirse la muerte, no se encontraba cotizando ni, tampoco, reportaba aportes por 26 semanas dentro del año inmediatamente anterior a esa fecha, como lo exigía la norma en cuestión</w:t>
      </w:r>
      <w:r w:rsidR="0000581C" w:rsidRPr="00D578CB">
        <w:rPr>
          <w:rFonts w:ascii="Arial" w:hAnsi="Arial" w:cs="Arial"/>
          <w:color w:val="000000"/>
          <w:szCs w:val="24"/>
          <w:lang w:val="es-ES"/>
        </w:rPr>
        <w:t>, toda vez que la última cotización realizada fue la del periodo de octubre de 2000</w:t>
      </w:r>
      <w:r w:rsidR="00B63804" w:rsidRPr="007B1977">
        <w:rPr>
          <w:rFonts w:ascii="Arial" w:hAnsi="Arial" w:cs="Arial"/>
          <w:color w:val="000000"/>
          <w:szCs w:val="24"/>
          <w:lang w:val="es-ES"/>
        </w:rPr>
        <w:t>.</w:t>
      </w:r>
    </w:p>
    <w:p w:rsidR="00146784" w:rsidRPr="00D578CB" w:rsidRDefault="00565E83" w:rsidP="00565E83">
      <w:pPr>
        <w:shd w:val="clear" w:color="auto" w:fill="FFFFFF"/>
        <w:spacing w:after="150" w:line="300" w:lineRule="atLeast"/>
        <w:jc w:val="both"/>
        <w:rPr>
          <w:rFonts w:ascii="Arial" w:hAnsi="Arial" w:cs="Arial"/>
          <w:szCs w:val="24"/>
        </w:rPr>
      </w:pPr>
      <w:r w:rsidRPr="00D578CB">
        <w:rPr>
          <w:rFonts w:ascii="Arial" w:hAnsi="Arial" w:cs="Arial"/>
          <w:color w:val="000000"/>
          <w:szCs w:val="24"/>
          <w:lang w:val="es-ES"/>
        </w:rPr>
        <w:tab/>
        <w:t xml:space="preserve">Con base en lo anterior, concluye la Sala, que el señor Henry Alberto López Gómez </w:t>
      </w:r>
      <w:r w:rsidRPr="00D578CB">
        <w:rPr>
          <w:rFonts w:ascii="Arial" w:hAnsi="Arial" w:cs="Arial"/>
          <w:szCs w:val="24"/>
        </w:rPr>
        <w:t xml:space="preserve">no </w:t>
      </w:r>
      <w:r w:rsidR="00226D5F" w:rsidRPr="00D578CB">
        <w:rPr>
          <w:rFonts w:ascii="Arial" w:hAnsi="Arial" w:cs="Arial"/>
          <w:szCs w:val="24"/>
        </w:rPr>
        <w:t>dejó causado el derecho para que sus posibles beneficiarios adquirier</w:t>
      </w:r>
      <w:r w:rsidR="00810397" w:rsidRPr="00D578CB">
        <w:rPr>
          <w:rFonts w:ascii="Arial" w:hAnsi="Arial" w:cs="Arial"/>
          <w:szCs w:val="24"/>
        </w:rPr>
        <w:t>a</w:t>
      </w:r>
      <w:r w:rsidR="00146784" w:rsidRPr="00D578CB">
        <w:rPr>
          <w:rFonts w:ascii="Arial" w:hAnsi="Arial" w:cs="Arial"/>
          <w:szCs w:val="24"/>
        </w:rPr>
        <w:t>n la pens</w:t>
      </w:r>
      <w:r w:rsidRPr="00D578CB">
        <w:rPr>
          <w:rFonts w:ascii="Arial" w:hAnsi="Arial" w:cs="Arial"/>
          <w:szCs w:val="24"/>
        </w:rPr>
        <w:t xml:space="preserve">ión de sobrevivientes, por lo que por sustracción de materia se torna innecesario efectuar el análisis correspondiente frente al aspecto de la convivencia entre la demandante y el </w:t>
      </w:r>
      <w:r w:rsidRPr="00D578CB">
        <w:rPr>
          <w:rFonts w:ascii="Arial" w:hAnsi="Arial" w:cs="Arial"/>
          <w:i/>
          <w:szCs w:val="24"/>
        </w:rPr>
        <w:t>de cujus.</w:t>
      </w:r>
    </w:p>
    <w:p w:rsidR="00A5024C" w:rsidRPr="00D578CB" w:rsidRDefault="00A5024C" w:rsidP="00F017BF">
      <w:pPr>
        <w:pStyle w:val="Sinespaciado"/>
        <w:spacing w:line="276" w:lineRule="auto"/>
        <w:rPr>
          <w:rFonts w:ascii="Arial" w:hAnsi="Arial" w:cs="Arial"/>
          <w:sz w:val="24"/>
          <w:szCs w:val="24"/>
        </w:rPr>
      </w:pPr>
    </w:p>
    <w:p w:rsidR="00A5024C" w:rsidRPr="00D578CB" w:rsidRDefault="00565E83" w:rsidP="00F017BF">
      <w:pPr>
        <w:spacing w:line="276" w:lineRule="auto"/>
        <w:ind w:firstLine="708"/>
        <w:jc w:val="both"/>
        <w:rPr>
          <w:rFonts w:ascii="Arial" w:hAnsi="Arial" w:cs="Arial"/>
          <w:szCs w:val="24"/>
        </w:rPr>
      </w:pPr>
      <w:r w:rsidRPr="00D578CB">
        <w:rPr>
          <w:rFonts w:ascii="Arial" w:hAnsi="Arial" w:cs="Arial"/>
          <w:szCs w:val="24"/>
        </w:rPr>
        <w:t xml:space="preserve">A tono con lo expuesto, se declarará probada la </w:t>
      </w:r>
      <w:r w:rsidR="004A2468" w:rsidRPr="00D578CB">
        <w:rPr>
          <w:rFonts w:ascii="Arial" w:hAnsi="Arial" w:cs="Arial"/>
          <w:szCs w:val="24"/>
        </w:rPr>
        <w:t xml:space="preserve">excepción de </w:t>
      </w:r>
      <w:r w:rsidRPr="00D578CB">
        <w:rPr>
          <w:rFonts w:ascii="Arial" w:hAnsi="Arial" w:cs="Arial"/>
          <w:szCs w:val="24"/>
        </w:rPr>
        <w:t xml:space="preserve">“Inexistencia de la obligación demandada” </w:t>
      </w:r>
      <w:r w:rsidR="004A2468" w:rsidRPr="00D578CB">
        <w:rPr>
          <w:rFonts w:ascii="Arial" w:hAnsi="Arial" w:cs="Arial"/>
          <w:szCs w:val="24"/>
        </w:rPr>
        <w:t xml:space="preserve">propuesta por </w:t>
      </w:r>
      <w:r w:rsidR="00A5024C" w:rsidRPr="00D578CB">
        <w:rPr>
          <w:rFonts w:ascii="Arial" w:hAnsi="Arial" w:cs="Arial"/>
          <w:szCs w:val="24"/>
        </w:rPr>
        <w:t>la entidad accionada</w:t>
      </w:r>
      <w:r w:rsidR="004A2468" w:rsidRPr="00D578CB">
        <w:rPr>
          <w:rFonts w:ascii="Arial" w:hAnsi="Arial" w:cs="Arial"/>
          <w:szCs w:val="24"/>
        </w:rPr>
        <w:t>.</w:t>
      </w:r>
    </w:p>
    <w:p w:rsidR="00A5024C" w:rsidRPr="00D578CB" w:rsidRDefault="00A5024C" w:rsidP="00F017BF">
      <w:pPr>
        <w:pStyle w:val="Sinespaciado"/>
        <w:spacing w:line="276" w:lineRule="auto"/>
        <w:rPr>
          <w:rFonts w:ascii="Arial" w:hAnsi="Arial" w:cs="Arial"/>
          <w:sz w:val="24"/>
          <w:szCs w:val="24"/>
        </w:rPr>
      </w:pPr>
    </w:p>
    <w:p w:rsidR="00134C86" w:rsidRPr="00D578CB" w:rsidRDefault="00134C86" w:rsidP="00F017BF">
      <w:pPr>
        <w:spacing w:line="276" w:lineRule="auto"/>
        <w:ind w:firstLine="708"/>
        <w:jc w:val="both"/>
        <w:rPr>
          <w:rFonts w:ascii="Arial" w:eastAsia="MS Mincho" w:hAnsi="Arial" w:cs="Arial"/>
          <w:szCs w:val="24"/>
        </w:rPr>
      </w:pPr>
      <w:r w:rsidRPr="00D578CB">
        <w:rPr>
          <w:rFonts w:ascii="Arial" w:hAnsi="Arial" w:cs="Arial"/>
          <w:spacing w:val="-3"/>
          <w:szCs w:val="24"/>
        </w:rPr>
        <w:t xml:space="preserve">En consecuencia, se revocará la decisión impugnada, </w:t>
      </w:r>
      <w:r w:rsidRPr="00D578CB">
        <w:rPr>
          <w:rFonts w:ascii="Arial" w:eastAsia="MS Mincho" w:hAnsi="Arial" w:cs="Arial"/>
          <w:szCs w:val="24"/>
        </w:rPr>
        <w:t xml:space="preserve">para en su lugar </w:t>
      </w:r>
      <w:r w:rsidR="00565E83" w:rsidRPr="00D578CB">
        <w:rPr>
          <w:rFonts w:ascii="Arial" w:eastAsia="MS Mincho" w:hAnsi="Arial" w:cs="Arial"/>
          <w:szCs w:val="24"/>
        </w:rPr>
        <w:t>absolver a la Administradora Colombiana de Pensiones –COLPENSIONES- de las pretensiones formuladas en su contra.</w:t>
      </w:r>
    </w:p>
    <w:p w:rsidR="00134C86" w:rsidRPr="00D578CB" w:rsidRDefault="00134C86" w:rsidP="00F017BF">
      <w:pPr>
        <w:autoSpaceDE w:val="0"/>
        <w:autoSpaceDN w:val="0"/>
        <w:adjustRightInd w:val="0"/>
        <w:spacing w:line="276" w:lineRule="auto"/>
        <w:ind w:firstLine="858"/>
        <w:jc w:val="both"/>
        <w:rPr>
          <w:rFonts w:ascii="Arial" w:hAnsi="Arial" w:cs="Arial"/>
          <w:szCs w:val="24"/>
        </w:rPr>
      </w:pPr>
    </w:p>
    <w:p w:rsidR="00EF2074" w:rsidRPr="00D578CB" w:rsidRDefault="00565E83" w:rsidP="00F017BF">
      <w:pPr>
        <w:spacing w:line="276" w:lineRule="auto"/>
        <w:ind w:firstLine="708"/>
        <w:jc w:val="both"/>
        <w:rPr>
          <w:rFonts w:ascii="Arial" w:hAnsi="Arial" w:cs="Arial"/>
          <w:szCs w:val="24"/>
        </w:rPr>
      </w:pPr>
      <w:r w:rsidRPr="00D578CB">
        <w:rPr>
          <w:rFonts w:ascii="Arial" w:hAnsi="Arial" w:cs="Arial"/>
          <w:szCs w:val="24"/>
        </w:rPr>
        <w:t>Costas en ambas instancias a cargo de la parte actora</w:t>
      </w:r>
      <w:r w:rsidR="00134C86" w:rsidRPr="00D578CB">
        <w:rPr>
          <w:rFonts w:ascii="Arial" w:hAnsi="Arial" w:cs="Arial"/>
          <w:szCs w:val="24"/>
        </w:rPr>
        <w:t xml:space="preserve">. </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F017BF">
      <w:pPr>
        <w:pStyle w:val="Prrafodelista2"/>
        <w:spacing w:after="0"/>
        <w:ind w:left="0" w:firstLine="708"/>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 Laboral,</w:t>
      </w:r>
      <w:r w:rsidRPr="00D578CB">
        <w:rPr>
          <w:rFonts w:ascii="Arial" w:hAnsi="Arial" w:cs="Arial"/>
          <w:sz w:val="24"/>
          <w:szCs w:val="24"/>
        </w:rPr>
        <w:t xml:space="preserve"> administrando justicia en nombre de la República y por autoridad de la ley,</w:t>
      </w:r>
    </w:p>
    <w:p w:rsidR="00D578CB" w:rsidRPr="00D578CB" w:rsidRDefault="00D578CB" w:rsidP="00F017BF">
      <w:pPr>
        <w:pStyle w:val="Prrafodelista2"/>
        <w:spacing w:after="0"/>
        <w:ind w:left="0" w:firstLine="708"/>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226D5F" w:rsidP="00F017BF">
      <w:pPr>
        <w:pStyle w:val="Sinespaciado"/>
        <w:spacing w:line="276" w:lineRule="auto"/>
        <w:rPr>
          <w:rFonts w:ascii="Arial" w:hAnsi="Arial" w:cs="Arial"/>
          <w:sz w:val="24"/>
          <w:szCs w:val="24"/>
        </w:rPr>
      </w:pPr>
    </w:p>
    <w:p w:rsidR="00134C86" w:rsidRPr="00D578CB" w:rsidRDefault="00572BE9" w:rsidP="005132A4">
      <w:pPr>
        <w:spacing w:line="276" w:lineRule="auto"/>
        <w:ind w:firstLine="708"/>
        <w:jc w:val="both"/>
        <w:rPr>
          <w:rFonts w:ascii="Arial" w:hAnsi="Arial" w:cs="Arial"/>
          <w:bCs/>
          <w:iCs/>
          <w:szCs w:val="24"/>
        </w:rPr>
      </w:pPr>
      <w:r w:rsidRPr="00D578CB">
        <w:rPr>
          <w:rFonts w:ascii="Arial" w:hAnsi="Arial" w:cs="Arial"/>
          <w:b/>
          <w:spacing w:val="-2"/>
          <w:szCs w:val="24"/>
        </w:rPr>
        <w:t xml:space="preserve">PRIMERO: </w:t>
      </w:r>
      <w:r w:rsidR="00D578CB" w:rsidRPr="00D578CB">
        <w:rPr>
          <w:rFonts w:ascii="Arial" w:hAnsi="Arial" w:cs="Arial"/>
          <w:b/>
          <w:spacing w:val="-2"/>
          <w:szCs w:val="24"/>
        </w:rPr>
        <w:t xml:space="preserve">REVOCAR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565E83" w:rsidRPr="00D578CB">
        <w:rPr>
          <w:rFonts w:ascii="Arial" w:hAnsi="Arial" w:cs="Arial"/>
          <w:szCs w:val="24"/>
        </w:rPr>
        <w:t xml:space="preserve">09 </w:t>
      </w:r>
      <w:r w:rsidR="00134C86" w:rsidRPr="00D578CB">
        <w:rPr>
          <w:rFonts w:ascii="Arial" w:hAnsi="Arial" w:cs="Arial"/>
          <w:szCs w:val="24"/>
        </w:rPr>
        <w:t xml:space="preserve">de </w:t>
      </w:r>
      <w:r w:rsidR="00565E83" w:rsidRPr="00D578CB">
        <w:rPr>
          <w:rFonts w:ascii="Arial" w:hAnsi="Arial" w:cs="Arial"/>
          <w:szCs w:val="24"/>
        </w:rPr>
        <w:t xml:space="preserve">diciembre </w:t>
      </w:r>
      <w:r w:rsidR="00134C86" w:rsidRPr="00D578CB">
        <w:rPr>
          <w:rFonts w:ascii="Arial" w:hAnsi="Arial" w:cs="Arial"/>
          <w:szCs w:val="24"/>
        </w:rPr>
        <w:t>de 201</w:t>
      </w:r>
      <w:r w:rsidR="00565E83" w:rsidRPr="00D578CB">
        <w:rPr>
          <w:rFonts w:ascii="Arial" w:hAnsi="Arial" w:cs="Arial"/>
          <w:szCs w:val="24"/>
        </w:rPr>
        <w:t xml:space="preserve">5 </w:t>
      </w:r>
      <w:r w:rsidR="00134C86" w:rsidRPr="00D578CB">
        <w:rPr>
          <w:rFonts w:ascii="Arial" w:hAnsi="Arial" w:cs="Arial"/>
          <w:szCs w:val="24"/>
        </w:rPr>
        <w:t xml:space="preserve">por el Juzgado </w:t>
      </w:r>
      <w:r w:rsidR="00565E83" w:rsidRPr="00D578CB">
        <w:rPr>
          <w:rFonts w:ascii="Arial" w:hAnsi="Arial" w:cs="Arial"/>
          <w:szCs w:val="24"/>
        </w:rPr>
        <w:t xml:space="preserve">Quinto </w:t>
      </w:r>
      <w:r w:rsidR="00134C86" w:rsidRPr="00D578CB">
        <w:rPr>
          <w:rFonts w:ascii="Arial" w:hAnsi="Arial" w:cs="Arial"/>
          <w:szCs w:val="24"/>
        </w:rPr>
        <w:t xml:space="preserve">Laboral del Circuito de Pereira, dentro del proceso ordinario laboral </w:t>
      </w:r>
      <w:r w:rsidR="001667FB" w:rsidRPr="00D578CB">
        <w:rPr>
          <w:rFonts w:ascii="Arial" w:hAnsi="Arial" w:cs="Arial"/>
          <w:szCs w:val="24"/>
        </w:rPr>
        <w:t xml:space="preserve">propuesto por la señora </w:t>
      </w:r>
      <w:r w:rsidR="00D578CB" w:rsidRPr="00D578CB">
        <w:rPr>
          <w:rFonts w:ascii="Arial" w:hAnsi="Arial" w:cs="Arial"/>
          <w:b/>
          <w:iCs/>
          <w:szCs w:val="24"/>
        </w:rPr>
        <w:t xml:space="preserve">DORALBA JIMÉNEZ VÉLEZ </w:t>
      </w:r>
      <w:r w:rsidR="00134C86" w:rsidRPr="00D578CB">
        <w:rPr>
          <w:rFonts w:ascii="Arial" w:hAnsi="Arial" w:cs="Arial"/>
          <w:szCs w:val="24"/>
        </w:rPr>
        <w:t xml:space="preserve">contra la </w:t>
      </w:r>
      <w:r w:rsidR="00134C86" w:rsidRPr="00D578CB">
        <w:rPr>
          <w:rFonts w:ascii="Arial" w:hAnsi="Arial" w:cs="Arial"/>
          <w:b/>
          <w:szCs w:val="24"/>
        </w:rPr>
        <w:t>Administradora Colombiana de Pensiones</w:t>
      </w:r>
      <w:r w:rsidR="00134C86" w:rsidRPr="00D578CB">
        <w:rPr>
          <w:rFonts w:ascii="Arial" w:hAnsi="Arial" w:cs="Arial"/>
          <w:szCs w:val="24"/>
        </w:rPr>
        <w:t xml:space="preserve"> </w:t>
      </w:r>
      <w:r w:rsidRPr="00D578CB">
        <w:rPr>
          <w:rFonts w:ascii="Arial" w:hAnsi="Arial" w:cs="Arial"/>
          <w:b/>
          <w:bCs/>
          <w:szCs w:val="24"/>
        </w:rPr>
        <w:t>COLPENSIONES</w:t>
      </w:r>
      <w:r w:rsidR="00134C86" w:rsidRPr="00D578CB">
        <w:rPr>
          <w:rFonts w:ascii="Arial" w:hAnsi="Arial" w:cs="Arial"/>
          <w:bCs/>
          <w:iCs/>
          <w:szCs w:val="24"/>
        </w:rPr>
        <w:t>, en su lugar</w:t>
      </w:r>
      <w:r w:rsidRPr="00D578CB">
        <w:rPr>
          <w:rFonts w:ascii="Arial" w:hAnsi="Arial" w:cs="Arial"/>
          <w:bCs/>
          <w:iCs/>
          <w:szCs w:val="24"/>
        </w:rPr>
        <w:t>, absuelve a esta entid</w:t>
      </w:r>
      <w:r w:rsidR="00D578CB" w:rsidRPr="00D578CB">
        <w:rPr>
          <w:rFonts w:ascii="Arial" w:hAnsi="Arial" w:cs="Arial"/>
          <w:bCs/>
          <w:iCs/>
          <w:szCs w:val="24"/>
        </w:rPr>
        <w:t>a</w:t>
      </w:r>
      <w:r w:rsidRPr="00D578CB">
        <w:rPr>
          <w:rFonts w:ascii="Arial" w:hAnsi="Arial" w:cs="Arial"/>
          <w:bCs/>
          <w:iCs/>
          <w:szCs w:val="24"/>
        </w:rPr>
        <w:t xml:space="preserve">d </w:t>
      </w:r>
      <w:r w:rsidR="00D578CB" w:rsidRPr="00D578CB">
        <w:rPr>
          <w:rFonts w:ascii="Arial" w:hAnsi="Arial" w:cs="Arial"/>
          <w:bCs/>
          <w:iCs/>
          <w:szCs w:val="24"/>
        </w:rPr>
        <w:t>d</w:t>
      </w:r>
      <w:r w:rsidRPr="00D578CB">
        <w:rPr>
          <w:rFonts w:ascii="Arial" w:hAnsi="Arial" w:cs="Arial"/>
          <w:bCs/>
          <w:iCs/>
          <w:szCs w:val="24"/>
        </w:rPr>
        <w:t>e todas las pretensiones formuladas en su contra</w:t>
      </w:r>
      <w:r w:rsidR="00134C86" w:rsidRPr="00D578CB">
        <w:rPr>
          <w:rFonts w:ascii="Arial" w:hAnsi="Arial" w:cs="Arial"/>
          <w:bCs/>
          <w:iCs/>
          <w:szCs w:val="24"/>
        </w:rPr>
        <w:t xml:space="preserve">: </w:t>
      </w:r>
    </w:p>
    <w:p w:rsidR="00134C86" w:rsidRPr="00D578CB" w:rsidRDefault="00134C86" w:rsidP="00F017BF">
      <w:pPr>
        <w:pStyle w:val="Sinespaciado"/>
        <w:spacing w:line="276" w:lineRule="auto"/>
        <w:rPr>
          <w:rFonts w:ascii="Arial" w:hAnsi="Arial" w:cs="Arial"/>
          <w:sz w:val="24"/>
          <w:szCs w:val="24"/>
        </w:rPr>
      </w:pPr>
    </w:p>
    <w:p w:rsidR="003465C4" w:rsidRPr="00D578CB" w:rsidRDefault="00572BE9" w:rsidP="005132A4">
      <w:pPr>
        <w:autoSpaceDE w:val="0"/>
        <w:autoSpaceDN w:val="0"/>
        <w:adjustRightInd w:val="0"/>
        <w:spacing w:line="276" w:lineRule="auto"/>
        <w:ind w:firstLine="708"/>
        <w:jc w:val="both"/>
        <w:rPr>
          <w:rFonts w:ascii="Arial" w:hAnsi="Arial" w:cs="Arial"/>
          <w:szCs w:val="24"/>
          <w:lang w:val="es-ES"/>
        </w:rPr>
      </w:pPr>
      <w:r w:rsidRPr="00D578CB">
        <w:rPr>
          <w:rFonts w:ascii="Arial" w:hAnsi="Arial" w:cs="Arial"/>
          <w:b/>
          <w:szCs w:val="24"/>
          <w:lang w:val="es-ES"/>
        </w:rPr>
        <w:t xml:space="preserve">SEGUNDO: </w:t>
      </w:r>
      <w:r w:rsidR="00D578CB" w:rsidRPr="00D578CB">
        <w:rPr>
          <w:rFonts w:ascii="Arial" w:hAnsi="Arial" w:cs="Arial"/>
          <w:b/>
          <w:szCs w:val="24"/>
          <w:lang w:val="es-ES"/>
        </w:rPr>
        <w:t>DECLARAR</w:t>
      </w:r>
      <w:r w:rsidR="003465C4" w:rsidRPr="00D578CB">
        <w:rPr>
          <w:rFonts w:ascii="Arial" w:hAnsi="Arial" w:cs="Arial"/>
          <w:szCs w:val="24"/>
          <w:lang w:val="es-ES"/>
        </w:rPr>
        <w:t xml:space="preserve"> probada la excepción de </w:t>
      </w:r>
      <w:r w:rsidR="00D578CB" w:rsidRPr="00D578CB">
        <w:rPr>
          <w:rFonts w:ascii="Arial" w:hAnsi="Arial" w:cs="Arial"/>
          <w:szCs w:val="24"/>
          <w:lang w:val="es-ES"/>
        </w:rPr>
        <w:t xml:space="preserve">“Inexistencia de la Obligación demandada”, propuesta por la </w:t>
      </w:r>
      <w:r w:rsidR="00D578CB" w:rsidRPr="00D578CB">
        <w:rPr>
          <w:rFonts w:ascii="Arial" w:hAnsi="Arial" w:cs="Arial"/>
          <w:b/>
          <w:szCs w:val="24"/>
          <w:lang w:val="es-ES"/>
        </w:rPr>
        <w:t>Administradora Colombiana de Pensiones –COLPENSIONES-</w:t>
      </w:r>
      <w:r w:rsidR="003465C4" w:rsidRPr="00D578CB">
        <w:rPr>
          <w:rFonts w:ascii="Arial" w:hAnsi="Arial" w:cs="Arial"/>
          <w:szCs w:val="24"/>
          <w:lang w:val="es-ES"/>
        </w:rPr>
        <w:t xml:space="preserve">. </w:t>
      </w:r>
    </w:p>
    <w:p w:rsidR="003465C4" w:rsidRPr="00D578CB" w:rsidRDefault="003465C4" w:rsidP="00F017BF">
      <w:pPr>
        <w:pStyle w:val="Sinespaciado"/>
        <w:spacing w:line="276" w:lineRule="auto"/>
        <w:rPr>
          <w:rFonts w:ascii="Arial" w:hAnsi="Arial" w:cs="Arial"/>
          <w:sz w:val="24"/>
          <w:szCs w:val="24"/>
        </w:rPr>
      </w:pPr>
    </w:p>
    <w:p w:rsidR="003465C4" w:rsidRPr="00D578CB" w:rsidRDefault="00D578CB" w:rsidP="005132A4">
      <w:pPr>
        <w:spacing w:line="276" w:lineRule="auto"/>
        <w:ind w:firstLine="708"/>
        <w:jc w:val="both"/>
        <w:rPr>
          <w:rFonts w:ascii="Arial" w:hAnsi="Arial" w:cs="Arial"/>
          <w:szCs w:val="24"/>
        </w:rPr>
      </w:pPr>
      <w:r w:rsidRPr="00D578CB">
        <w:rPr>
          <w:rFonts w:ascii="Arial" w:hAnsi="Arial" w:cs="Arial"/>
          <w:b/>
          <w:szCs w:val="24"/>
        </w:rPr>
        <w:t>TERCERO:</w:t>
      </w:r>
      <w:r w:rsidRPr="00D578CB">
        <w:rPr>
          <w:rFonts w:ascii="Arial" w:hAnsi="Arial" w:cs="Arial"/>
          <w:szCs w:val="24"/>
        </w:rPr>
        <w:t xml:space="preserve"> </w:t>
      </w:r>
      <w:r w:rsidRPr="00D578CB">
        <w:rPr>
          <w:rFonts w:ascii="Arial" w:hAnsi="Arial" w:cs="Arial"/>
          <w:b/>
          <w:szCs w:val="24"/>
        </w:rPr>
        <w:t>CONDENAR</w:t>
      </w:r>
      <w:r w:rsidRPr="00D578CB">
        <w:rPr>
          <w:rFonts w:ascii="Arial" w:hAnsi="Arial" w:cs="Arial"/>
          <w:szCs w:val="24"/>
        </w:rPr>
        <w:t xml:space="preserve"> en </w:t>
      </w:r>
      <w:r w:rsidR="003465C4" w:rsidRPr="00D578CB">
        <w:rPr>
          <w:rFonts w:ascii="Arial" w:hAnsi="Arial" w:cs="Arial"/>
          <w:szCs w:val="24"/>
        </w:rPr>
        <w:t xml:space="preserve">costas en </w:t>
      </w:r>
      <w:r w:rsidRPr="00D578CB">
        <w:rPr>
          <w:rFonts w:ascii="Arial" w:hAnsi="Arial" w:cs="Arial"/>
          <w:szCs w:val="24"/>
        </w:rPr>
        <w:t xml:space="preserve">ambas </w:t>
      </w:r>
      <w:r w:rsidR="003465C4" w:rsidRPr="00D578CB">
        <w:rPr>
          <w:rFonts w:ascii="Arial" w:hAnsi="Arial" w:cs="Arial"/>
          <w:szCs w:val="24"/>
        </w:rPr>
        <w:t>instancia</w:t>
      </w:r>
      <w:r w:rsidRPr="00D578CB">
        <w:rPr>
          <w:rFonts w:ascii="Arial" w:hAnsi="Arial" w:cs="Arial"/>
          <w:szCs w:val="24"/>
        </w:rPr>
        <w:t xml:space="preserve"> a la parte actora</w:t>
      </w:r>
      <w:r w:rsidR="003465C4" w:rsidRPr="00D578CB">
        <w:rPr>
          <w:rFonts w:ascii="Arial" w:hAnsi="Arial" w:cs="Arial"/>
          <w:szCs w:val="24"/>
        </w:rPr>
        <w:t xml:space="preserve">. </w:t>
      </w:r>
    </w:p>
    <w:p w:rsidR="00D578CB" w:rsidRPr="00D578CB" w:rsidRDefault="00D578CB" w:rsidP="00D578CB">
      <w:pPr>
        <w:spacing w:line="276" w:lineRule="auto"/>
        <w:jc w:val="both"/>
        <w:rPr>
          <w:rFonts w:ascii="Arial" w:hAnsi="Arial" w:cs="Arial"/>
          <w:szCs w:val="24"/>
        </w:rPr>
      </w:pPr>
    </w:p>
    <w:p w:rsidR="00134C86" w:rsidRPr="00D578CB" w:rsidRDefault="00134C86" w:rsidP="00F017BF">
      <w:pPr>
        <w:pStyle w:val="Sinespaciado"/>
        <w:spacing w:line="276" w:lineRule="auto"/>
        <w:rPr>
          <w:rFonts w:ascii="Arial" w:hAnsi="Arial" w:cs="Arial"/>
          <w:sz w:val="24"/>
          <w:szCs w:val="24"/>
          <w:lang w:val="es-CO"/>
        </w:rPr>
      </w:pPr>
    </w:p>
    <w:p w:rsidR="00134C86" w:rsidRPr="00D578CB" w:rsidRDefault="00134C86" w:rsidP="00F017BF">
      <w:pPr>
        <w:spacing w:line="276" w:lineRule="auto"/>
        <w:ind w:firstLine="900"/>
        <w:jc w:val="both"/>
        <w:rPr>
          <w:rFonts w:ascii="Arial" w:hAnsi="Arial" w:cs="Arial"/>
          <w:b/>
          <w:bCs/>
          <w:i/>
          <w:iCs/>
          <w:szCs w:val="24"/>
          <w:lang w:val="es-ES"/>
        </w:rPr>
      </w:pPr>
      <w:r w:rsidRPr="00D578CB">
        <w:rPr>
          <w:rFonts w:ascii="Arial" w:hAnsi="Arial" w:cs="Arial"/>
          <w:b/>
          <w:bCs/>
          <w:i/>
          <w:iCs/>
          <w:szCs w:val="24"/>
          <w:lang w:val="es-ES"/>
        </w:rPr>
        <w:t>NOTIFÍQUESE, CÚMPLASE Y DEVUÉLVASE.</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spacing w:line="276" w:lineRule="auto"/>
        <w:ind w:firstLine="900"/>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134C86" w:rsidRPr="00D578CB" w:rsidRDefault="00134C86" w:rsidP="00F017BF">
      <w:pPr>
        <w:pStyle w:val="Sinespaciado"/>
        <w:spacing w:line="276" w:lineRule="auto"/>
        <w:rPr>
          <w:rFonts w:ascii="Arial" w:hAnsi="Arial" w:cs="Arial"/>
          <w:sz w:val="24"/>
          <w:szCs w:val="24"/>
          <w:lang w:val="es-ES"/>
        </w:rPr>
      </w:pPr>
    </w:p>
    <w:p w:rsidR="00134C86" w:rsidRPr="00D578CB" w:rsidRDefault="00134C86" w:rsidP="00F017BF">
      <w:pPr>
        <w:pStyle w:val="Sinespaciado"/>
        <w:spacing w:line="276" w:lineRule="auto"/>
        <w:rPr>
          <w:rFonts w:ascii="Arial" w:hAnsi="Arial" w:cs="Arial"/>
          <w:sz w:val="24"/>
          <w:szCs w:val="24"/>
        </w:rPr>
      </w:pPr>
    </w:p>
    <w:p w:rsidR="00134C86" w:rsidRPr="00D578CB" w:rsidRDefault="00134C86" w:rsidP="00F017BF">
      <w:pPr>
        <w:pStyle w:val="Sinespaciado"/>
        <w:spacing w:line="276" w:lineRule="auto"/>
        <w:jc w:val="center"/>
        <w:rPr>
          <w:rFonts w:ascii="Arial" w:hAnsi="Arial" w:cs="Arial"/>
          <w:sz w:val="24"/>
          <w:szCs w:val="24"/>
          <w:lang w:val="es-ES"/>
        </w:rPr>
      </w:pPr>
    </w:p>
    <w:p w:rsidR="00134C86" w:rsidRPr="00D578CB" w:rsidRDefault="001B03FA" w:rsidP="00F017BF">
      <w:pPr>
        <w:pStyle w:val="Sinespaciado"/>
        <w:spacing w:line="276" w:lineRule="auto"/>
        <w:jc w:val="center"/>
        <w:rPr>
          <w:rFonts w:ascii="Arial" w:hAnsi="Arial" w:cs="Arial"/>
          <w:b/>
          <w:sz w:val="24"/>
          <w:szCs w:val="24"/>
          <w:lang w:val="es-ES"/>
        </w:rPr>
      </w:pPr>
      <w:r w:rsidRPr="00D578CB">
        <w:rPr>
          <w:rFonts w:ascii="Arial" w:hAnsi="Arial" w:cs="Arial"/>
          <w:b/>
          <w:sz w:val="24"/>
          <w:szCs w:val="24"/>
          <w:lang w:val="es-ES"/>
        </w:rPr>
        <w:t>ISSA RAFAEL ULLOQUE TOSCANO</w:t>
      </w:r>
    </w:p>
    <w:p w:rsidR="00134C86" w:rsidRPr="00D578CB" w:rsidRDefault="00134C86" w:rsidP="00F017BF">
      <w:pPr>
        <w:pStyle w:val="Sinespaciado"/>
        <w:spacing w:line="276" w:lineRule="auto"/>
        <w:jc w:val="center"/>
        <w:rPr>
          <w:rFonts w:ascii="Arial" w:hAnsi="Arial" w:cs="Arial"/>
          <w:sz w:val="24"/>
          <w:szCs w:val="24"/>
          <w:lang w:val="es-ES"/>
        </w:rPr>
      </w:pPr>
      <w:r w:rsidRPr="00D578CB">
        <w:rPr>
          <w:rFonts w:ascii="Arial" w:hAnsi="Arial" w:cs="Arial"/>
          <w:sz w:val="24"/>
          <w:szCs w:val="24"/>
          <w:lang w:val="es-ES"/>
        </w:rPr>
        <w:t>Magistrado Ponente</w:t>
      </w:r>
    </w:p>
    <w:p w:rsidR="00134C86" w:rsidRPr="00D578CB" w:rsidRDefault="00134C86" w:rsidP="00F017BF">
      <w:pPr>
        <w:spacing w:line="276" w:lineRule="auto"/>
        <w:ind w:firstLine="900"/>
        <w:jc w:val="center"/>
        <w:rPr>
          <w:rFonts w:ascii="Arial" w:hAnsi="Arial" w:cs="Arial"/>
          <w:b/>
          <w:szCs w:val="24"/>
          <w:lang w:val="es-ES"/>
        </w:rPr>
      </w:pPr>
    </w:p>
    <w:p w:rsidR="00134C86" w:rsidRPr="0045273B" w:rsidRDefault="00134C86" w:rsidP="00F017BF">
      <w:pPr>
        <w:pStyle w:val="Sinespaciado"/>
        <w:spacing w:line="276" w:lineRule="auto"/>
        <w:rPr>
          <w:rFonts w:ascii="Arial" w:hAnsi="Arial" w:cs="Arial"/>
          <w:sz w:val="23"/>
          <w:szCs w:val="23"/>
          <w:lang w:val="es-ES"/>
        </w:rPr>
      </w:pPr>
    </w:p>
    <w:p w:rsidR="001E0313" w:rsidRPr="0045273B" w:rsidRDefault="001E0313" w:rsidP="00F017BF">
      <w:pPr>
        <w:spacing w:line="276" w:lineRule="auto"/>
        <w:jc w:val="both"/>
        <w:rPr>
          <w:rFonts w:ascii="Arial" w:hAnsi="Arial" w:cs="Arial"/>
          <w:b/>
          <w:bCs/>
          <w:iCs/>
          <w:sz w:val="23"/>
          <w:szCs w:val="23"/>
          <w:lang w:val="es-ES"/>
        </w:rPr>
      </w:pPr>
    </w:p>
    <w:p w:rsidR="00134C86" w:rsidRPr="0045273B" w:rsidRDefault="00134C86" w:rsidP="00F017BF">
      <w:pPr>
        <w:spacing w:line="276" w:lineRule="auto"/>
        <w:jc w:val="both"/>
        <w:rPr>
          <w:rFonts w:ascii="Arial" w:hAnsi="Arial" w:cs="Arial"/>
          <w:sz w:val="23"/>
          <w:szCs w:val="23"/>
          <w:lang w:val="es-ES"/>
        </w:rPr>
      </w:pPr>
      <w:r w:rsidRPr="0045273B">
        <w:rPr>
          <w:rFonts w:ascii="Arial" w:hAnsi="Arial" w:cs="Arial"/>
          <w:b/>
          <w:bCs/>
          <w:iCs/>
          <w:sz w:val="23"/>
          <w:szCs w:val="23"/>
          <w:lang w:val="es-ES"/>
        </w:rPr>
        <w:t xml:space="preserve">ANA LUCÍA CAICEDO CALDERÓN                </w:t>
      </w:r>
      <w:r w:rsidR="001E0313" w:rsidRPr="0045273B">
        <w:rPr>
          <w:rFonts w:ascii="Arial" w:hAnsi="Arial" w:cs="Arial"/>
          <w:b/>
          <w:bCs/>
          <w:iCs/>
          <w:sz w:val="23"/>
          <w:szCs w:val="23"/>
          <w:lang w:val="es-ES"/>
        </w:rPr>
        <w:t xml:space="preserve">        </w:t>
      </w:r>
      <w:r w:rsidRPr="0045273B">
        <w:rPr>
          <w:rFonts w:ascii="Arial" w:hAnsi="Arial" w:cs="Arial"/>
          <w:b/>
          <w:bCs/>
          <w:iCs/>
          <w:sz w:val="23"/>
          <w:szCs w:val="23"/>
          <w:lang w:val="es-ES"/>
        </w:rPr>
        <w:t xml:space="preserve"> JULIO CÉSAR SALAZAR MUÑOZ</w:t>
      </w:r>
      <w:r w:rsidRPr="0045273B">
        <w:rPr>
          <w:rFonts w:ascii="Arial" w:hAnsi="Arial" w:cs="Arial"/>
          <w:sz w:val="23"/>
          <w:szCs w:val="23"/>
          <w:lang w:val="es-ES"/>
        </w:rPr>
        <w:t xml:space="preserve"> </w:t>
      </w:r>
    </w:p>
    <w:p w:rsidR="00134C86" w:rsidRDefault="00134C86" w:rsidP="00F017BF">
      <w:pPr>
        <w:spacing w:line="276" w:lineRule="auto"/>
        <w:jc w:val="both"/>
        <w:rPr>
          <w:rFonts w:ascii="Arial" w:hAnsi="Arial" w:cs="Arial"/>
          <w:sz w:val="23"/>
          <w:szCs w:val="23"/>
          <w:lang w:val="es-ES"/>
        </w:rPr>
      </w:pPr>
      <w:r w:rsidRPr="0045273B">
        <w:rPr>
          <w:rFonts w:ascii="Arial" w:hAnsi="Arial" w:cs="Arial"/>
          <w:sz w:val="23"/>
          <w:szCs w:val="23"/>
          <w:lang w:val="es-ES"/>
        </w:rPr>
        <w:t xml:space="preserve">                   Magistrada                                                           </w:t>
      </w:r>
      <w:r w:rsidR="001E0313" w:rsidRPr="0045273B">
        <w:rPr>
          <w:rFonts w:ascii="Arial" w:hAnsi="Arial" w:cs="Arial"/>
          <w:sz w:val="23"/>
          <w:szCs w:val="23"/>
          <w:lang w:val="es-ES"/>
        </w:rPr>
        <w:t xml:space="preserve">   </w:t>
      </w:r>
      <w:r w:rsidRPr="0045273B">
        <w:rPr>
          <w:rFonts w:ascii="Arial" w:hAnsi="Arial" w:cs="Arial"/>
          <w:sz w:val="23"/>
          <w:szCs w:val="23"/>
          <w:lang w:val="es-ES"/>
        </w:rPr>
        <w:t xml:space="preserve">   Magistrado </w:t>
      </w:r>
    </w:p>
    <w:p w:rsidR="005132A4" w:rsidRPr="005132A4" w:rsidRDefault="005132A4" w:rsidP="00F017BF">
      <w:pPr>
        <w:spacing w:line="276" w:lineRule="auto"/>
        <w:jc w:val="both"/>
        <w:rPr>
          <w:rFonts w:ascii="Arial" w:hAnsi="Arial" w:cs="Arial"/>
          <w:sz w:val="18"/>
          <w:szCs w:val="18"/>
          <w:lang w:val="es-ES"/>
        </w:rPr>
      </w:pPr>
      <w:r>
        <w:rPr>
          <w:rFonts w:ascii="Arial" w:hAnsi="Arial" w:cs="Arial"/>
          <w:sz w:val="18"/>
          <w:szCs w:val="18"/>
          <w:lang w:val="es-ES"/>
        </w:rPr>
        <w:t xml:space="preserve">                  </w:t>
      </w:r>
      <w:r w:rsidRPr="005132A4">
        <w:rPr>
          <w:rFonts w:ascii="Arial" w:hAnsi="Arial" w:cs="Arial"/>
          <w:sz w:val="18"/>
          <w:szCs w:val="18"/>
          <w:lang w:val="es-ES"/>
        </w:rPr>
        <w:t>(En uso de permiso)</w:t>
      </w:r>
    </w:p>
    <w:p w:rsidR="00134C86" w:rsidRDefault="00134C86" w:rsidP="005132A4">
      <w:pPr>
        <w:spacing w:line="276" w:lineRule="auto"/>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sidR="001E0313" w:rsidRPr="0045273B">
        <w:rPr>
          <w:rFonts w:ascii="Arial" w:hAnsi="Arial" w:cs="Arial"/>
          <w:bCs/>
          <w:iCs/>
          <w:sz w:val="23"/>
          <w:szCs w:val="23"/>
          <w:lang w:val="es-ES"/>
        </w:rPr>
        <w:t xml:space="preserve">  </w:t>
      </w:r>
      <w:r w:rsidR="005132A4">
        <w:rPr>
          <w:rFonts w:ascii="Arial" w:hAnsi="Arial" w:cs="Arial"/>
          <w:bCs/>
          <w:iCs/>
          <w:sz w:val="23"/>
          <w:szCs w:val="23"/>
          <w:lang w:val="es-ES"/>
        </w:rPr>
        <w:t xml:space="preserve">    </w:t>
      </w:r>
    </w:p>
    <w:p w:rsidR="00BD00C4" w:rsidRPr="00AC486E" w:rsidRDefault="00BD00C4" w:rsidP="005132A4">
      <w:pPr>
        <w:spacing w:line="276" w:lineRule="auto"/>
        <w:jc w:val="both"/>
        <w:rPr>
          <w:rFonts w:ascii="Arial" w:hAnsi="Arial" w:cs="Arial"/>
          <w:bCs/>
          <w:iCs/>
          <w:szCs w:val="24"/>
          <w:lang w:val="es-ES"/>
        </w:rPr>
      </w:pPr>
    </w:p>
    <w:p w:rsidR="00134C86" w:rsidRPr="00AC486E" w:rsidRDefault="00134C86" w:rsidP="00F017BF">
      <w:pPr>
        <w:spacing w:line="276" w:lineRule="auto"/>
        <w:ind w:firstLine="900"/>
        <w:jc w:val="both"/>
        <w:rPr>
          <w:rFonts w:ascii="Arial" w:hAnsi="Arial" w:cs="Arial"/>
          <w:bCs/>
          <w:iCs/>
          <w:szCs w:val="24"/>
          <w:lang w:val="es-ES"/>
        </w:rPr>
      </w:pPr>
    </w:p>
    <w:p w:rsidR="00134C86" w:rsidRPr="00AC486E" w:rsidRDefault="0045273B" w:rsidP="00F017BF">
      <w:pPr>
        <w:spacing w:line="276" w:lineRule="auto"/>
        <w:ind w:firstLine="900"/>
        <w:jc w:val="center"/>
        <w:rPr>
          <w:rFonts w:ascii="Arial" w:hAnsi="Arial" w:cs="Arial"/>
          <w:b/>
          <w:bCs/>
          <w:iCs/>
          <w:szCs w:val="24"/>
          <w:lang w:val="es-ES"/>
        </w:rPr>
      </w:pPr>
      <w:r>
        <w:rPr>
          <w:rFonts w:ascii="Arial" w:hAnsi="Arial" w:cs="Arial"/>
          <w:b/>
          <w:bCs/>
          <w:iCs/>
          <w:szCs w:val="24"/>
          <w:lang w:val="es-ES"/>
        </w:rPr>
        <w:t xml:space="preserve">LEONARDO CORTÉS PÉREZ </w:t>
      </w:r>
    </w:p>
    <w:p w:rsidR="00134C86" w:rsidRPr="00AC486E" w:rsidRDefault="00D578CB" w:rsidP="00F017BF">
      <w:pPr>
        <w:spacing w:line="276" w:lineRule="auto"/>
        <w:ind w:firstLine="900"/>
        <w:jc w:val="center"/>
        <w:rPr>
          <w:rFonts w:ascii="Arial" w:hAnsi="Arial" w:cs="Arial"/>
          <w:szCs w:val="24"/>
        </w:rPr>
      </w:pPr>
      <w:r>
        <w:rPr>
          <w:rFonts w:ascii="Arial" w:hAnsi="Arial" w:cs="Arial"/>
          <w:iCs/>
          <w:szCs w:val="24"/>
          <w:lang w:val="es-ES"/>
        </w:rPr>
        <w:t>Secretario</w:t>
      </w:r>
    </w:p>
    <w:p w:rsidR="00226D5F" w:rsidRPr="00AC486E" w:rsidRDefault="00226D5F" w:rsidP="00F017BF">
      <w:pPr>
        <w:spacing w:line="276" w:lineRule="auto"/>
        <w:jc w:val="both"/>
        <w:rPr>
          <w:rFonts w:ascii="Arial" w:hAnsi="Arial" w:cs="Arial"/>
          <w:szCs w:val="24"/>
        </w:rPr>
      </w:pPr>
    </w:p>
    <w:sectPr w:rsidR="00226D5F" w:rsidRPr="00AC486E" w:rsidSect="002E4F47">
      <w:footerReference w:type="even" r:id="rId8"/>
      <w:footerReference w:type="default" r:id="rId9"/>
      <w:pgSz w:w="12242" w:h="18722" w:code="14"/>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CEC" w:rsidRDefault="00C80CEC" w:rsidP="00226D5F">
      <w:r>
        <w:separator/>
      </w:r>
    </w:p>
  </w:endnote>
  <w:endnote w:type="continuationSeparator" w:id="0">
    <w:p w:rsidR="00C80CEC" w:rsidRDefault="00C80CE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C80CEC"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80CEC">
      <w:rPr>
        <w:rStyle w:val="Nmerodepgina"/>
        <w:noProof/>
      </w:rPr>
      <w:t>1</w:t>
    </w:r>
    <w:r>
      <w:rPr>
        <w:rStyle w:val="Nmerodepgina"/>
      </w:rPr>
      <w:fldChar w:fldCharType="end"/>
    </w:r>
  </w:p>
  <w:p w:rsidR="009B4A56" w:rsidRDefault="00C80CEC"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CEC" w:rsidRDefault="00C80CEC" w:rsidP="00226D5F">
      <w:r>
        <w:separator/>
      </w:r>
    </w:p>
  </w:footnote>
  <w:footnote w:type="continuationSeparator" w:id="0">
    <w:p w:rsidR="00C80CEC" w:rsidRDefault="00C80CEC" w:rsidP="00226D5F">
      <w:r>
        <w:continuationSeparator/>
      </w:r>
    </w:p>
  </w:footnote>
  <w:footnote w:id="1">
    <w:p w:rsidR="007B1977" w:rsidRPr="007B1977" w:rsidRDefault="00A27137" w:rsidP="007B1977">
      <w:pPr>
        <w:shd w:val="clear" w:color="auto" w:fill="FFFFFF"/>
        <w:spacing w:after="150" w:line="300" w:lineRule="atLeast"/>
        <w:jc w:val="both"/>
        <w:rPr>
          <w:rFonts w:ascii="Arial" w:hAnsi="Arial" w:cs="Arial"/>
          <w:color w:val="000000"/>
          <w:sz w:val="23"/>
          <w:szCs w:val="23"/>
          <w:lang w:val="es-ES"/>
        </w:rPr>
      </w:pPr>
      <w:r>
        <w:rPr>
          <w:rStyle w:val="Refdenotaalpie"/>
        </w:rPr>
        <w:footnoteRef/>
      </w:r>
      <w:r w:rsidR="007B1977">
        <w:rPr>
          <w:rFonts w:ascii="Arial" w:hAnsi="Arial" w:cs="Arial"/>
          <w:color w:val="000000"/>
          <w:sz w:val="23"/>
          <w:szCs w:val="23"/>
          <w:lang w:val="es-ES"/>
        </w:rPr>
        <w:t>Corte Suprema de Justicia. M.P. Dra. Elsy del Pilar Cuello Calderón. S</w:t>
      </w:r>
      <w:r w:rsidR="007B1977" w:rsidRPr="007B1977">
        <w:rPr>
          <w:rFonts w:ascii="Arial" w:hAnsi="Arial" w:cs="Arial"/>
          <w:color w:val="000000"/>
          <w:sz w:val="23"/>
          <w:szCs w:val="23"/>
          <w:lang w:val="es-ES"/>
        </w:rPr>
        <w:t>entenc</w:t>
      </w:r>
      <w:r w:rsidR="007B1977">
        <w:rPr>
          <w:rFonts w:ascii="Arial" w:hAnsi="Arial" w:cs="Arial"/>
          <w:color w:val="000000"/>
          <w:sz w:val="23"/>
          <w:szCs w:val="23"/>
          <w:lang w:val="es-ES"/>
        </w:rPr>
        <w:t>ia del 9 de diciembre de 2008. R</w:t>
      </w:r>
      <w:r w:rsidR="007B1977" w:rsidRPr="007B1977">
        <w:rPr>
          <w:rFonts w:ascii="Arial" w:hAnsi="Arial" w:cs="Arial"/>
          <w:color w:val="000000"/>
          <w:sz w:val="23"/>
          <w:szCs w:val="23"/>
          <w:lang w:val="es-ES"/>
        </w:rPr>
        <w:t>adicación 32642</w:t>
      </w:r>
    </w:p>
    <w:p w:rsidR="00A27137" w:rsidRPr="00A27137" w:rsidRDefault="00A27137">
      <w:pPr>
        <w:pStyle w:val="Textonotapie"/>
        <w:rPr>
          <w:lang w:val="es-A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581C"/>
    <w:rsid w:val="00007B72"/>
    <w:rsid w:val="00040E9A"/>
    <w:rsid w:val="000429E7"/>
    <w:rsid w:val="000A397D"/>
    <w:rsid w:val="000C08B1"/>
    <w:rsid w:val="000C0A51"/>
    <w:rsid w:val="000E70EB"/>
    <w:rsid w:val="000E7F42"/>
    <w:rsid w:val="000F5775"/>
    <w:rsid w:val="00101DEB"/>
    <w:rsid w:val="00122A57"/>
    <w:rsid w:val="00127390"/>
    <w:rsid w:val="00134C86"/>
    <w:rsid w:val="00146784"/>
    <w:rsid w:val="001667FB"/>
    <w:rsid w:val="00171C56"/>
    <w:rsid w:val="00172834"/>
    <w:rsid w:val="00183477"/>
    <w:rsid w:val="001A4D21"/>
    <w:rsid w:val="001B03FA"/>
    <w:rsid w:val="001C3A76"/>
    <w:rsid w:val="001C4D7F"/>
    <w:rsid w:val="001E0313"/>
    <w:rsid w:val="00226D5F"/>
    <w:rsid w:val="00231C21"/>
    <w:rsid w:val="002320EB"/>
    <w:rsid w:val="00242152"/>
    <w:rsid w:val="00247BBE"/>
    <w:rsid w:val="00272C8B"/>
    <w:rsid w:val="00287140"/>
    <w:rsid w:val="002A02BA"/>
    <w:rsid w:val="002A4CB9"/>
    <w:rsid w:val="002A55E3"/>
    <w:rsid w:val="002D6807"/>
    <w:rsid w:val="002E4F47"/>
    <w:rsid w:val="003440CA"/>
    <w:rsid w:val="003463CD"/>
    <w:rsid w:val="003465C4"/>
    <w:rsid w:val="003922FA"/>
    <w:rsid w:val="004348AB"/>
    <w:rsid w:val="00450598"/>
    <w:rsid w:val="00450903"/>
    <w:rsid w:val="004519EB"/>
    <w:rsid w:val="0045273B"/>
    <w:rsid w:val="004A2468"/>
    <w:rsid w:val="004C4AF7"/>
    <w:rsid w:val="004D01C5"/>
    <w:rsid w:val="004E4CC6"/>
    <w:rsid w:val="00501034"/>
    <w:rsid w:val="00502691"/>
    <w:rsid w:val="005132A4"/>
    <w:rsid w:val="00515BDC"/>
    <w:rsid w:val="0053562A"/>
    <w:rsid w:val="0055465D"/>
    <w:rsid w:val="00563496"/>
    <w:rsid w:val="00565E83"/>
    <w:rsid w:val="00567B33"/>
    <w:rsid w:val="00572BE9"/>
    <w:rsid w:val="005E0ED1"/>
    <w:rsid w:val="005F5E82"/>
    <w:rsid w:val="006126C2"/>
    <w:rsid w:val="006135E9"/>
    <w:rsid w:val="0061484D"/>
    <w:rsid w:val="00637118"/>
    <w:rsid w:val="006516CA"/>
    <w:rsid w:val="00675E25"/>
    <w:rsid w:val="006A0D48"/>
    <w:rsid w:val="006D0816"/>
    <w:rsid w:val="006E11A2"/>
    <w:rsid w:val="006E2F01"/>
    <w:rsid w:val="006F2FF3"/>
    <w:rsid w:val="006F3D12"/>
    <w:rsid w:val="006F68BC"/>
    <w:rsid w:val="00712CFC"/>
    <w:rsid w:val="00713558"/>
    <w:rsid w:val="00716474"/>
    <w:rsid w:val="007258A6"/>
    <w:rsid w:val="007308D1"/>
    <w:rsid w:val="007465BA"/>
    <w:rsid w:val="007632AA"/>
    <w:rsid w:val="00764C9B"/>
    <w:rsid w:val="00777D9C"/>
    <w:rsid w:val="00795237"/>
    <w:rsid w:val="007A2D40"/>
    <w:rsid w:val="007B1977"/>
    <w:rsid w:val="007B5499"/>
    <w:rsid w:val="007C5A02"/>
    <w:rsid w:val="007E5F18"/>
    <w:rsid w:val="00810397"/>
    <w:rsid w:val="0083061B"/>
    <w:rsid w:val="0083155E"/>
    <w:rsid w:val="008751D8"/>
    <w:rsid w:val="008778BA"/>
    <w:rsid w:val="00895036"/>
    <w:rsid w:val="008A04F6"/>
    <w:rsid w:val="008F003B"/>
    <w:rsid w:val="00907A5F"/>
    <w:rsid w:val="00915EE3"/>
    <w:rsid w:val="00922DCA"/>
    <w:rsid w:val="00966F23"/>
    <w:rsid w:val="009740CF"/>
    <w:rsid w:val="00995393"/>
    <w:rsid w:val="009E5A8E"/>
    <w:rsid w:val="009F1835"/>
    <w:rsid w:val="00A23CFA"/>
    <w:rsid w:val="00A24F8A"/>
    <w:rsid w:val="00A27137"/>
    <w:rsid w:val="00A5024C"/>
    <w:rsid w:val="00A5713F"/>
    <w:rsid w:val="00A928D2"/>
    <w:rsid w:val="00A93DCA"/>
    <w:rsid w:val="00A957FB"/>
    <w:rsid w:val="00AC486E"/>
    <w:rsid w:val="00B0466B"/>
    <w:rsid w:val="00B22E56"/>
    <w:rsid w:val="00B56E76"/>
    <w:rsid w:val="00B63804"/>
    <w:rsid w:val="00B67118"/>
    <w:rsid w:val="00B9600C"/>
    <w:rsid w:val="00BA0C20"/>
    <w:rsid w:val="00BC31C8"/>
    <w:rsid w:val="00BD00C4"/>
    <w:rsid w:val="00BE0373"/>
    <w:rsid w:val="00C1062A"/>
    <w:rsid w:val="00C1591F"/>
    <w:rsid w:val="00C80CEC"/>
    <w:rsid w:val="00C91182"/>
    <w:rsid w:val="00CF576A"/>
    <w:rsid w:val="00D320B2"/>
    <w:rsid w:val="00D578CB"/>
    <w:rsid w:val="00D747E2"/>
    <w:rsid w:val="00DA3E57"/>
    <w:rsid w:val="00DF30A5"/>
    <w:rsid w:val="00DF5D8F"/>
    <w:rsid w:val="00E062F9"/>
    <w:rsid w:val="00E27B52"/>
    <w:rsid w:val="00E368B2"/>
    <w:rsid w:val="00E665CA"/>
    <w:rsid w:val="00E70A48"/>
    <w:rsid w:val="00EA34ED"/>
    <w:rsid w:val="00EA4765"/>
    <w:rsid w:val="00EC3C6F"/>
    <w:rsid w:val="00EF2074"/>
    <w:rsid w:val="00F017BF"/>
    <w:rsid w:val="00F11410"/>
    <w:rsid w:val="00F500A7"/>
    <w:rsid w:val="00F65645"/>
    <w:rsid w:val="00F7229A"/>
    <w:rsid w:val="00FA6675"/>
    <w:rsid w:val="00FA7FA8"/>
    <w:rsid w:val="00FE059A"/>
    <w:rsid w:val="00FE52E6"/>
    <w:rsid w:val="00FF24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276302">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EDB9-DFF3-4B38-9512-0D2801C3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Pages>
  <Words>1938</Words>
  <Characters>10662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48</cp:revision>
  <cp:lastPrinted>2016-02-23T18:17:00Z</cp:lastPrinted>
  <dcterms:created xsi:type="dcterms:W3CDTF">2016-02-18T16:24:00Z</dcterms:created>
  <dcterms:modified xsi:type="dcterms:W3CDTF">2016-07-21T19:31:00Z</dcterms:modified>
</cp:coreProperties>
</file>