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244DF0">
        <w:rPr>
          <w:rFonts w:ascii="Tahoma" w:hAnsi="Tahoma" w:cs="Tahoma"/>
          <w:sz w:val="18"/>
          <w:szCs w:val="18"/>
        </w:rPr>
        <w:t>21</w:t>
      </w:r>
      <w:r w:rsidR="00716955">
        <w:rPr>
          <w:rFonts w:ascii="Tahoma" w:hAnsi="Tahoma" w:cs="Tahoma"/>
          <w:sz w:val="18"/>
          <w:szCs w:val="18"/>
        </w:rPr>
        <w:t xml:space="preserve"> de </w:t>
      </w:r>
      <w:r w:rsidR="00244DF0">
        <w:rPr>
          <w:rFonts w:ascii="Tahoma" w:hAnsi="Tahoma" w:cs="Tahoma"/>
          <w:sz w:val="18"/>
          <w:szCs w:val="18"/>
        </w:rPr>
        <w:t>abril</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095791">
        <w:rPr>
          <w:rFonts w:ascii="Tahoma" w:hAnsi="Tahoma" w:cs="Tahoma"/>
          <w:sz w:val="18"/>
          <w:szCs w:val="18"/>
        </w:rPr>
        <w:t>0</w:t>
      </w:r>
      <w:r w:rsidR="000F466A">
        <w:rPr>
          <w:rFonts w:ascii="Tahoma" w:hAnsi="Tahoma" w:cs="Tahoma"/>
          <w:sz w:val="18"/>
          <w:szCs w:val="18"/>
        </w:rPr>
        <w:t>7</w:t>
      </w:r>
      <w:r w:rsidR="00244DF0">
        <w:rPr>
          <w:rFonts w:ascii="Tahoma" w:hAnsi="Tahoma" w:cs="Tahoma"/>
          <w:sz w:val="18"/>
          <w:szCs w:val="18"/>
        </w:rPr>
        <w:t>8</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244DF0">
        <w:rPr>
          <w:rFonts w:ascii="Tahoma" w:hAnsi="Tahoma" w:cs="Tahoma"/>
          <w:sz w:val="18"/>
          <w:szCs w:val="18"/>
        </w:rPr>
        <w:t>Miriam Elizabeth Cortés Romero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244DF0">
        <w:rPr>
          <w:rFonts w:ascii="Tahoma" w:hAnsi="Tahoma" w:cs="Tahoma"/>
          <w:sz w:val="18"/>
          <w:szCs w:val="18"/>
        </w:rPr>
        <w:t>Superintendencia de Notariado y Registro</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310772" w:rsidRPr="00F9468F" w:rsidRDefault="00F242D4" w:rsidP="00F9468F">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450C3A" w:rsidRDefault="00450C3A" w:rsidP="00310772">
      <w:pPr>
        <w:ind w:left="2832" w:hanging="2832"/>
        <w:jc w:val="both"/>
        <w:rPr>
          <w:rFonts w:ascii="Tahoma" w:hAnsi="Tahoma" w:cs="Tahoma"/>
          <w:sz w:val="18"/>
          <w:szCs w:val="18"/>
          <w:lang w:val="es-ES"/>
        </w:rPr>
      </w:pPr>
    </w:p>
    <w:p w:rsidR="00450C3A" w:rsidRDefault="00450C3A" w:rsidP="00450C3A">
      <w:pPr>
        <w:pStyle w:val="Sinespaciado"/>
        <w:rPr>
          <w:rFonts w:ascii="Arial" w:hAnsi="Arial" w:cs="Arial"/>
          <w:spacing w:val="-6"/>
          <w:sz w:val="18"/>
          <w:szCs w:val="18"/>
        </w:rPr>
      </w:pPr>
      <w:r>
        <w:rPr>
          <w:rFonts w:ascii="Arial" w:hAnsi="Arial" w:cs="Arial"/>
          <w:spacing w:val="-6"/>
          <w:sz w:val="18"/>
          <w:szCs w:val="18"/>
        </w:rPr>
        <w:t xml:space="preserve">DERECHO DE PETICIÓN/ </w:t>
      </w:r>
      <w:r w:rsidR="002C4FC4">
        <w:rPr>
          <w:rFonts w:ascii="Arial" w:hAnsi="Arial" w:cs="Arial"/>
          <w:spacing w:val="-6"/>
          <w:sz w:val="18"/>
          <w:szCs w:val="18"/>
        </w:rPr>
        <w:t>Vulneración por respuesta incompleta</w:t>
      </w:r>
    </w:p>
    <w:p w:rsidR="00450C3A" w:rsidRDefault="00450C3A" w:rsidP="00450C3A">
      <w:pPr>
        <w:jc w:val="both"/>
        <w:rPr>
          <w:rFonts w:ascii="Arial" w:hAnsi="Arial" w:cs="Arial"/>
          <w:spacing w:val="-6"/>
          <w:sz w:val="18"/>
          <w:szCs w:val="18"/>
        </w:rPr>
      </w:pPr>
    </w:p>
    <w:p w:rsidR="000747D4" w:rsidRPr="000747D4" w:rsidRDefault="00450C3A" w:rsidP="000747D4">
      <w:pPr>
        <w:jc w:val="both"/>
        <w:rPr>
          <w:rFonts w:ascii="Arial" w:hAnsi="Arial" w:cs="Arial"/>
          <w:spacing w:val="-6"/>
          <w:sz w:val="18"/>
          <w:szCs w:val="18"/>
        </w:rPr>
      </w:pPr>
      <w:r>
        <w:rPr>
          <w:rFonts w:ascii="Arial" w:hAnsi="Arial" w:cs="Arial"/>
          <w:spacing w:val="-6"/>
          <w:sz w:val="18"/>
          <w:szCs w:val="18"/>
        </w:rPr>
        <w:t>“</w:t>
      </w:r>
      <w:r w:rsidR="002C4FC4">
        <w:rPr>
          <w:rFonts w:ascii="Arial" w:hAnsi="Arial" w:cs="Arial"/>
          <w:spacing w:val="-6"/>
          <w:sz w:val="18"/>
          <w:szCs w:val="18"/>
        </w:rPr>
        <w:t>(…)</w:t>
      </w:r>
      <w:r w:rsidR="000747D4" w:rsidRPr="000747D4">
        <w:rPr>
          <w:rFonts w:ascii="Arial" w:hAnsi="Arial" w:cs="Arial"/>
          <w:spacing w:val="-6"/>
          <w:sz w:val="18"/>
          <w:szCs w:val="18"/>
        </w:rPr>
        <w:t xml:space="preserve"> se presenta una evidente vulneración del derecho fundamental de la accionante por parte de la Superintendencia de Notariado y Registro, toda vez que la violación al derecho de petición se materializó al recibir una respuesta incompleta a la solicitud del certificado salarios devengados durante todo el tiempo servido, sin que pueda excusarse la entidad en que el artículo 21 de la ley 100 de 1993 establece que el IBL se obtiene con el promedio de los últimos 10 años laborados, toda vez que en la misma normatividad está contemplada la posibilidad de liquidar la prestación con el promedio de los salarios de toda la vida laboral.</w:t>
      </w:r>
      <w:r w:rsidR="00A230C0">
        <w:rPr>
          <w:rFonts w:ascii="Arial" w:hAnsi="Arial" w:cs="Arial"/>
          <w:spacing w:val="-6"/>
          <w:sz w:val="18"/>
          <w:szCs w:val="18"/>
        </w:rPr>
        <w:t>”</w:t>
      </w:r>
      <w:bookmarkStart w:id="1" w:name="_GoBack"/>
      <w:bookmarkEnd w:id="1"/>
    </w:p>
    <w:p w:rsidR="000747D4" w:rsidRDefault="000747D4" w:rsidP="000747D4">
      <w:pPr>
        <w:jc w:val="both"/>
        <w:rPr>
          <w:rFonts w:ascii="Arial" w:hAnsi="Arial" w:cs="Arial"/>
          <w:spacing w:val="-6"/>
          <w:sz w:val="18"/>
          <w:szCs w:val="18"/>
        </w:rPr>
      </w:pPr>
    </w:p>
    <w:p w:rsidR="00450C3A" w:rsidRPr="002C4FC4" w:rsidRDefault="00450C3A" w:rsidP="002C4FC4">
      <w:pPr>
        <w:jc w:val="both"/>
        <w:rPr>
          <w:rFonts w:ascii="Arial" w:hAnsi="Arial" w:cs="Arial"/>
          <w:spacing w:val="-6"/>
          <w:sz w:val="16"/>
          <w:szCs w:val="18"/>
        </w:rPr>
      </w:pPr>
      <w:r>
        <w:rPr>
          <w:rFonts w:ascii="Arial" w:hAnsi="Arial" w:cs="Arial"/>
          <w:spacing w:val="-6"/>
          <w:sz w:val="16"/>
          <w:szCs w:val="18"/>
        </w:rPr>
        <w:t>Cita</w:t>
      </w:r>
      <w:r>
        <w:rPr>
          <w:rFonts w:ascii="Arial" w:hAnsi="Arial" w:cs="Arial"/>
          <w:spacing w:val="-6"/>
          <w:sz w:val="16"/>
          <w:szCs w:val="18"/>
        </w:rPr>
        <w:t>s</w:t>
      </w:r>
      <w:r>
        <w:rPr>
          <w:rFonts w:ascii="Arial" w:hAnsi="Arial" w:cs="Arial"/>
          <w:spacing w:val="-6"/>
          <w:sz w:val="16"/>
          <w:szCs w:val="18"/>
        </w:rPr>
        <w:t>: Corte Constitucional, sentencia</w:t>
      </w:r>
      <w:r>
        <w:rPr>
          <w:rFonts w:ascii="Arial" w:hAnsi="Arial" w:cs="Arial"/>
          <w:spacing w:val="-6"/>
          <w:sz w:val="16"/>
          <w:szCs w:val="18"/>
        </w:rPr>
        <w:t>s</w:t>
      </w:r>
      <w:r>
        <w:rPr>
          <w:rFonts w:ascii="Arial" w:hAnsi="Arial" w:cs="Arial"/>
          <w:spacing w:val="-6"/>
          <w:sz w:val="16"/>
          <w:szCs w:val="18"/>
        </w:rPr>
        <w:t xml:space="preserve"> T-667 de 2011</w:t>
      </w:r>
      <w:r>
        <w:rPr>
          <w:rFonts w:ascii="Arial" w:hAnsi="Arial" w:cs="Arial"/>
          <w:spacing w:val="-6"/>
          <w:sz w:val="16"/>
          <w:szCs w:val="18"/>
        </w:rPr>
        <w:t xml:space="preserve"> y</w:t>
      </w:r>
      <w:r w:rsidRPr="00450C3A">
        <w:t xml:space="preserve"> </w:t>
      </w:r>
      <w:r w:rsidRPr="00450C3A">
        <w:rPr>
          <w:rFonts w:ascii="Arial" w:hAnsi="Arial" w:cs="Arial"/>
          <w:spacing w:val="-6"/>
          <w:sz w:val="16"/>
          <w:szCs w:val="18"/>
        </w:rPr>
        <w:t>T-172 de 2013</w:t>
      </w:r>
      <w:r>
        <w:rPr>
          <w:rFonts w:ascii="Arial" w:hAnsi="Arial" w:cs="Arial"/>
          <w:spacing w:val="-6"/>
          <w:sz w:val="16"/>
          <w:szCs w:val="18"/>
        </w:rPr>
        <w:t>.</w:t>
      </w:r>
    </w:p>
    <w:p w:rsidR="001544BD" w:rsidRDefault="001544BD" w:rsidP="00310772">
      <w:pPr>
        <w:pStyle w:val="Sinespaciado"/>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244DF0">
        <w:rPr>
          <w:rFonts w:ascii="Tahoma" w:hAnsi="Tahoma" w:cs="Tahoma"/>
          <w:b/>
          <w:bCs/>
          <w:sz w:val="24"/>
          <w:szCs w:val="24"/>
        </w:rPr>
        <w:t>Abril 21</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Pr="00244DF0" w:rsidRDefault="00F242D4" w:rsidP="00244DF0">
      <w:pPr>
        <w:spacing w:line="276" w:lineRule="auto"/>
        <w:ind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244DF0">
        <w:rPr>
          <w:rFonts w:ascii="Tahoma" w:hAnsi="Tahoma" w:cs="Tahoma"/>
          <w:sz w:val="24"/>
          <w:szCs w:val="24"/>
        </w:rPr>
        <w:t xml:space="preserve">la señora </w:t>
      </w:r>
      <w:r w:rsidR="00244DF0">
        <w:rPr>
          <w:rFonts w:ascii="Tahoma" w:hAnsi="Tahoma" w:cs="Tahoma"/>
          <w:b/>
          <w:sz w:val="24"/>
          <w:szCs w:val="24"/>
        </w:rPr>
        <w:t>Miriam Elizabeth Cortés Romero</w:t>
      </w:r>
      <w:r w:rsidR="005A0884">
        <w:rPr>
          <w:rFonts w:ascii="Tahoma" w:hAnsi="Tahoma" w:cs="Tahoma"/>
          <w:b/>
          <w:sz w:val="24"/>
          <w:szCs w:val="24"/>
        </w:rPr>
        <w:t xml:space="preserve">, </w:t>
      </w:r>
      <w:r w:rsidR="005A0884" w:rsidRPr="005A0884">
        <w:rPr>
          <w:rFonts w:ascii="Tahoma" w:hAnsi="Tahoma" w:cs="Tahoma"/>
          <w:sz w:val="24"/>
          <w:szCs w:val="24"/>
        </w:rPr>
        <w:t>por intermedio de apoderado judicial</w:t>
      </w:r>
      <w:r w:rsidR="005A0884">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437373">
        <w:rPr>
          <w:rFonts w:ascii="Tahoma" w:hAnsi="Tahoma" w:cs="Tahoma"/>
          <w:sz w:val="24"/>
          <w:szCs w:val="24"/>
        </w:rPr>
        <w:t>de</w:t>
      </w:r>
      <w:r w:rsidR="00244DF0">
        <w:rPr>
          <w:rFonts w:ascii="Tahoma" w:hAnsi="Tahoma" w:cs="Tahoma"/>
          <w:sz w:val="24"/>
          <w:szCs w:val="24"/>
        </w:rPr>
        <w:t xml:space="preserve"> </w:t>
      </w:r>
      <w:r w:rsidR="00437373">
        <w:rPr>
          <w:rFonts w:ascii="Tahoma" w:hAnsi="Tahoma" w:cs="Tahoma"/>
          <w:sz w:val="24"/>
          <w:szCs w:val="24"/>
        </w:rPr>
        <w:t>l</w:t>
      </w:r>
      <w:r w:rsidR="00244DF0">
        <w:rPr>
          <w:rFonts w:ascii="Tahoma" w:hAnsi="Tahoma" w:cs="Tahoma"/>
          <w:sz w:val="24"/>
          <w:szCs w:val="24"/>
        </w:rPr>
        <w:t>a</w:t>
      </w:r>
      <w:r w:rsidR="00437373">
        <w:rPr>
          <w:rFonts w:ascii="Tahoma" w:hAnsi="Tahoma" w:cs="Tahoma"/>
          <w:sz w:val="24"/>
          <w:szCs w:val="24"/>
        </w:rPr>
        <w:t xml:space="preserve"> </w:t>
      </w:r>
      <w:r w:rsidR="00244DF0">
        <w:rPr>
          <w:rFonts w:ascii="Tahoma" w:hAnsi="Tahoma" w:cs="Tahoma"/>
          <w:b/>
          <w:sz w:val="24"/>
          <w:szCs w:val="24"/>
        </w:rPr>
        <w:t>Superintendencia de Notariado y Registro</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del derecho fundamental de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El proyecto, una vez revisado y discutido, fue aprobado por el resto de integrantes de </w:t>
      </w:r>
      <w:smartTag w:uri="urn:schemas-microsoft-com:office:smarttags" w:element="PersonName">
        <w:smartTagPr>
          <w:attr w:name="ProductID" w:val="la Sala"/>
        </w:smartTagPr>
        <w:r w:rsidRPr="00F63518">
          <w:rPr>
            <w:rFonts w:ascii="Tahoma" w:hAnsi="Tahoma" w:cs="Tahoma"/>
            <w:sz w:val="24"/>
            <w:szCs w:val="24"/>
          </w:rPr>
          <w:t>la Sala</w:t>
        </w:r>
      </w:smartTag>
      <w:r w:rsidRPr="00F63518">
        <w:rPr>
          <w:rFonts w:ascii="Tahoma" w:hAnsi="Tahoma" w:cs="Tahoma"/>
          <w:sz w:val="24"/>
          <w:szCs w:val="24"/>
        </w:rPr>
        <w:t>,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E7296C" w:rsidRDefault="00AF685F" w:rsidP="00E7296C">
      <w:pPr>
        <w:pStyle w:val="Sinespaciado"/>
      </w:pPr>
    </w:p>
    <w:p w:rsidR="00220009" w:rsidRDefault="000E0A69" w:rsidP="001C59B5">
      <w:pPr>
        <w:spacing w:line="276" w:lineRule="auto"/>
        <w:ind w:firstLine="709"/>
        <w:jc w:val="both"/>
        <w:rPr>
          <w:rFonts w:ascii="Tahoma" w:hAnsi="Tahoma" w:cs="Tahoma"/>
          <w:sz w:val="24"/>
          <w:szCs w:val="24"/>
        </w:rPr>
      </w:pPr>
      <w:r>
        <w:rPr>
          <w:rFonts w:ascii="Tahoma" w:hAnsi="Tahoma" w:cs="Tahoma"/>
          <w:sz w:val="24"/>
          <w:szCs w:val="24"/>
        </w:rPr>
        <w:t xml:space="preserve">Manifiesta el </w:t>
      </w:r>
      <w:r w:rsidR="005A0884">
        <w:rPr>
          <w:rFonts w:ascii="Tahoma" w:hAnsi="Tahoma" w:cs="Tahoma"/>
          <w:sz w:val="24"/>
          <w:szCs w:val="24"/>
        </w:rPr>
        <w:t>apoderado judicial que elevó derecho de petición en nombre de</w:t>
      </w:r>
      <w:r w:rsidR="00244DF0">
        <w:rPr>
          <w:rFonts w:ascii="Tahoma" w:hAnsi="Tahoma" w:cs="Tahoma"/>
          <w:sz w:val="24"/>
          <w:szCs w:val="24"/>
        </w:rPr>
        <w:t xml:space="preserve"> </w:t>
      </w:r>
      <w:r w:rsidR="005A0884">
        <w:rPr>
          <w:rFonts w:ascii="Tahoma" w:hAnsi="Tahoma" w:cs="Tahoma"/>
          <w:sz w:val="24"/>
          <w:szCs w:val="24"/>
        </w:rPr>
        <w:t>l</w:t>
      </w:r>
      <w:r w:rsidR="00244DF0">
        <w:rPr>
          <w:rFonts w:ascii="Tahoma" w:hAnsi="Tahoma" w:cs="Tahoma"/>
          <w:sz w:val="24"/>
          <w:szCs w:val="24"/>
        </w:rPr>
        <w:t>a</w:t>
      </w:r>
      <w:r w:rsidR="005A0884">
        <w:rPr>
          <w:rFonts w:ascii="Tahoma" w:hAnsi="Tahoma" w:cs="Tahoma"/>
          <w:sz w:val="24"/>
          <w:szCs w:val="24"/>
        </w:rPr>
        <w:t xml:space="preserve"> actor</w:t>
      </w:r>
      <w:r w:rsidR="00244DF0">
        <w:rPr>
          <w:rFonts w:ascii="Tahoma" w:hAnsi="Tahoma" w:cs="Tahoma"/>
          <w:sz w:val="24"/>
          <w:szCs w:val="24"/>
        </w:rPr>
        <w:t>a</w:t>
      </w:r>
      <w:r w:rsidR="005A0884">
        <w:rPr>
          <w:rFonts w:ascii="Tahoma" w:hAnsi="Tahoma" w:cs="Tahoma"/>
          <w:sz w:val="24"/>
          <w:szCs w:val="24"/>
        </w:rPr>
        <w:t xml:space="preserve"> el </w:t>
      </w:r>
      <w:r w:rsidR="00244DF0">
        <w:rPr>
          <w:rFonts w:ascii="Tahoma" w:hAnsi="Tahoma" w:cs="Tahoma"/>
          <w:sz w:val="24"/>
          <w:szCs w:val="24"/>
        </w:rPr>
        <w:t xml:space="preserve">13 de noviembre de 2015 ante la Oficina de Registro de Instrumentos Públicos de Riohacha, </w:t>
      </w:r>
      <w:r w:rsidR="005A0884">
        <w:rPr>
          <w:rFonts w:ascii="Tahoma" w:hAnsi="Tahoma" w:cs="Tahoma"/>
          <w:sz w:val="24"/>
          <w:szCs w:val="24"/>
        </w:rPr>
        <w:t>con el objeto de que expidieran la certificación</w:t>
      </w:r>
      <w:r w:rsidR="00244DF0">
        <w:rPr>
          <w:rFonts w:ascii="Tahoma" w:hAnsi="Tahoma" w:cs="Tahoma"/>
          <w:sz w:val="24"/>
          <w:szCs w:val="24"/>
        </w:rPr>
        <w:t xml:space="preserve"> de tiempos laborados en esa entidad, en los formatos CLEPB para fines prestacionales, con los sa</w:t>
      </w:r>
      <w:r w:rsidR="002906C0">
        <w:rPr>
          <w:rFonts w:ascii="Tahoma" w:hAnsi="Tahoma" w:cs="Tahoma"/>
          <w:sz w:val="24"/>
          <w:szCs w:val="24"/>
        </w:rPr>
        <w:t>larios devengados cada mes</w:t>
      </w:r>
      <w:r w:rsidR="00244DF0">
        <w:rPr>
          <w:rFonts w:ascii="Tahoma" w:hAnsi="Tahoma" w:cs="Tahoma"/>
          <w:sz w:val="24"/>
          <w:szCs w:val="24"/>
        </w:rPr>
        <w:t>, y la constancia de que ostentaba la calidad de empleada pública.</w:t>
      </w:r>
    </w:p>
    <w:p w:rsidR="00220009" w:rsidRPr="00E7296C" w:rsidRDefault="00220009" w:rsidP="00E7296C">
      <w:pPr>
        <w:pStyle w:val="Sinespaciado"/>
      </w:pPr>
    </w:p>
    <w:p w:rsidR="00443701" w:rsidRDefault="00DC298C" w:rsidP="001C59B5">
      <w:pPr>
        <w:spacing w:line="276" w:lineRule="auto"/>
        <w:ind w:firstLine="709"/>
        <w:jc w:val="both"/>
        <w:rPr>
          <w:rFonts w:ascii="Tahoma" w:hAnsi="Tahoma" w:cs="Tahoma"/>
          <w:sz w:val="24"/>
          <w:szCs w:val="24"/>
        </w:rPr>
      </w:pPr>
      <w:r>
        <w:rPr>
          <w:rFonts w:ascii="Tahoma" w:hAnsi="Tahoma" w:cs="Tahoma"/>
          <w:sz w:val="24"/>
          <w:szCs w:val="24"/>
        </w:rPr>
        <w:t xml:space="preserve">Enuncia que </w:t>
      </w:r>
      <w:r w:rsidR="00244DF0">
        <w:rPr>
          <w:rFonts w:ascii="Tahoma" w:hAnsi="Tahoma" w:cs="Tahoma"/>
          <w:sz w:val="24"/>
          <w:szCs w:val="24"/>
        </w:rPr>
        <w:t>a la fecha de interposición de la acción de tutela la Superintendencia de Notariado y Registro no ha dado respuesta concreta, clara y de fondo a su solicitud, toda vez que mediante oficio SNR2015EE035640 del 17 de noviembre de 2015 respondió evasivamente la solicitud, al anexar 7 folios con los certificados salariales incompletos, puesto que en uno de los formatos se observa que laboró desde 1974 hasta el 2015 y en</w:t>
      </w:r>
      <w:r w:rsidR="002901F4">
        <w:rPr>
          <w:rFonts w:ascii="Tahoma" w:hAnsi="Tahoma" w:cs="Tahoma"/>
          <w:sz w:val="24"/>
          <w:szCs w:val="24"/>
        </w:rPr>
        <w:t xml:space="preserve"> otro solo certifica</w:t>
      </w:r>
      <w:r w:rsidR="00244DF0">
        <w:rPr>
          <w:rFonts w:ascii="Tahoma" w:hAnsi="Tahoma" w:cs="Tahoma"/>
          <w:sz w:val="24"/>
          <w:szCs w:val="24"/>
        </w:rPr>
        <w:t xml:space="preserve"> el tiempo desde el 2005, </w:t>
      </w:r>
      <w:r w:rsidR="002901F4">
        <w:rPr>
          <w:rFonts w:ascii="Tahoma" w:hAnsi="Tahoma" w:cs="Tahoma"/>
          <w:sz w:val="24"/>
          <w:szCs w:val="24"/>
        </w:rPr>
        <w:t>dejando por fuera</w:t>
      </w:r>
      <w:r w:rsidR="00244DF0">
        <w:rPr>
          <w:rFonts w:ascii="Tahoma" w:hAnsi="Tahoma" w:cs="Tahoma"/>
          <w:sz w:val="24"/>
          <w:szCs w:val="24"/>
        </w:rPr>
        <w:t xml:space="preserve"> los años anteriores</w:t>
      </w:r>
      <w:r w:rsidR="002901F4">
        <w:rPr>
          <w:rFonts w:ascii="Tahoma" w:hAnsi="Tahoma" w:cs="Tahoma"/>
          <w:sz w:val="24"/>
          <w:szCs w:val="24"/>
        </w:rPr>
        <w:t>.</w:t>
      </w:r>
    </w:p>
    <w:p w:rsidR="00173E13" w:rsidRPr="00BF60A7" w:rsidRDefault="00173E13" w:rsidP="00BF60A7">
      <w:pPr>
        <w:pStyle w:val="Sinespaciado"/>
      </w:pPr>
    </w:p>
    <w:p w:rsidR="00173E13" w:rsidRDefault="00173E13" w:rsidP="001C59B5">
      <w:pPr>
        <w:spacing w:line="276" w:lineRule="auto"/>
        <w:ind w:firstLine="709"/>
        <w:jc w:val="both"/>
        <w:rPr>
          <w:rFonts w:ascii="Tahoma" w:hAnsi="Tahoma" w:cs="Tahoma"/>
          <w:sz w:val="24"/>
          <w:szCs w:val="24"/>
        </w:rPr>
      </w:pPr>
      <w:r>
        <w:rPr>
          <w:rFonts w:ascii="Tahoma" w:hAnsi="Tahoma" w:cs="Tahoma"/>
          <w:sz w:val="24"/>
          <w:szCs w:val="24"/>
        </w:rPr>
        <w:lastRenderedPageBreak/>
        <w:t>En consecuencia, solicita que se ordene a la entidad accionada que dé respuesta de fondo a su solicitud de expedición de tiempos públicos servidos en el formato CLEPB para fines prestacionales, expidiendo los formatos 1</w:t>
      </w:r>
      <w:r w:rsidR="00BF60A7">
        <w:rPr>
          <w:rFonts w:ascii="Tahoma" w:hAnsi="Tahoma" w:cs="Tahoma"/>
          <w:sz w:val="24"/>
          <w:szCs w:val="24"/>
        </w:rPr>
        <w:t>, 2 y 3B</w:t>
      </w:r>
      <w:r>
        <w:rPr>
          <w:rFonts w:ascii="Tahoma" w:hAnsi="Tahoma" w:cs="Tahoma"/>
          <w:sz w:val="24"/>
          <w:szCs w:val="24"/>
        </w:rPr>
        <w:t xml:space="preserve"> CLEPB con l</w:t>
      </w:r>
      <w:r w:rsidR="002906C0">
        <w:rPr>
          <w:rFonts w:ascii="Tahoma" w:hAnsi="Tahoma" w:cs="Tahoma"/>
          <w:sz w:val="24"/>
          <w:szCs w:val="24"/>
        </w:rPr>
        <w:t>os salarios devengados cada mes.</w:t>
      </w:r>
    </w:p>
    <w:p w:rsidR="00FF5C32" w:rsidRPr="00BF60A7" w:rsidRDefault="00FF5C32" w:rsidP="00BF60A7">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Default="00B30A33" w:rsidP="00231167">
      <w:pPr>
        <w:pStyle w:val="Sinespaciado"/>
      </w:pPr>
    </w:p>
    <w:p w:rsidR="00443701" w:rsidRDefault="002906C0" w:rsidP="001C59B5">
      <w:pPr>
        <w:spacing w:line="276" w:lineRule="auto"/>
        <w:ind w:firstLine="709"/>
        <w:jc w:val="both"/>
        <w:rPr>
          <w:rFonts w:ascii="Tahoma" w:hAnsi="Tahoma" w:cs="Tahoma"/>
          <w:sz w:val="24"/>
          <w:szCs w:val="24"/>
        </w:rPr>
      </w:pPr>
      <w:r>
        <w:rPr>
          <w:rFonts w:ascii="Tahoma" w:hAnsi="Tahoma" w:cs="Tahoma"/>
          <w:sz w:val="24"/>
          <w:szCs w:val="24"/>
        </w:rPr>
        <w:t>La Superintendencia de Notariado y Registro</w:t>
      </w:r>
      <w:r w:rsidR="00654265">
        <w:rPr>
          <w:rFonts w:ascii="Tahoma" w:hAnsi="Tahoma" w:cs="Tahoma"/>
          <w:sz w:val="24"/>
          <w:szCs w:val="24"/>
        </w:rPr>
        <w:t xml:space="preserve"> </w:t>
      </w:r>
      <w:r w:rsidR="0001317B">
        <w:rPr>
          <w:rFonts w:ascii="Tahoma" w:hAnsi="Tahoma" w:cs="Tahoma"/>
          <w:sz w:val="24"/>
          <w:szCs w:val="24"/>
        </w:rPr>
        <w:t>aseguró que</w:t>
      </w:r>
      <w:r w:rsidR="00E723D5">
        <w:rPr>
          <w:rFonts w:ascii="Tahoma" w:hAnsi="Tahoma" w:cs="Tahoma"/>
          <w:sz w:val="24"/>
          <w:szCs w:val="24"/>
        </w:rPr>
        <w:t xml:space="preserve"> la Oficina de Registro de Instrumentos Públicos de Riohacha dio respuesta de fondo al derecho de petición mediante el oficio SNR2015EE035640 del 17 de noviembre de 2015, al cual se anexaron los formaros legalmente establecidos para certificar los tiempos de servicios y los salarios devengados, mismos que corresponden a los últimos 10 años laborados, de acuerdo al artículo 21 de la ley 100 de 1993 y en cumplimiento de los campos ubicados en los formaros 1,2 y 3B.</w:t>
      </w:r>
    </w:p>
    <w:p w:rsidR="00E723D5" w:rsidRDefault="00E723D5" w:rsidP="00E723D5">
      <w:pPr>
        <w:pStyle w:val="Sinespaciado"/>
      </w:pPr>
    </w:p>
    <w:p w:rsidR="00E723D5" w:rsidRDefault="00E723D5" w:rsidP="001C59B5">
      <w:pPr>
        <w:spacing w:line="276" w:lineRule="auto"/>
        <w:ind w:firstLine="709"/>
        <w:jc w:val="both"/>
        <w:rPr>
          <w:rFonts w:ascii="Tahoma" w:hAnsi="Tahoma" w:cs="Tahoma"/>
          <w:sz w:val="24"/>
          <w:szCs w:val="24"/>
        </w:rPr>
      </w:pPr>
      <w:r>
        <w:rPr>
          <w:rFonts w:ascii="Tahoma" w:hAnsi="Tahoma" w:cs="Tahoma"/>
          <w:sz w:val="24"/>
          <w:szCs w:val="24"/>
        </w:rPr>
        <w:t xml:space="preserve">Agregó que en las certificaciones remitidas a la actora se refleja </w:t>
      </w:r>
      <w:r w:rsidR="004478BA">
        <w:rPr>
          <w:rFonts w:ascii="Tahoma" w:hAnsi="Tahoma" w:cs="Tahoma"/>
          <w:sz w:val="24"/>
          <w:szCs w:val="24"/>
        </w:rPr>
        <w:t xml:space="preserve">en el formato No. 1 </w:t>
      </w:r>
      <w:r>
        <w:rPr>
          <w:rFonts w:ascii="Tahoma" w:hAnsi="Tahoma" w:cs="Tahoma"/>
          <w:sz w:val="24"/>
          <w:szCs w:val="24"/>
        </w:rPr>
        <w:t>que estuvo vinculada desde el 1º de agosto de 1974 al 30 de septiembre de 2015</w:t>
      </w:r>
      <w:r w:rsidR="004478BA">
        <w:rPr>
          <w:rFonts w:ascii="Tahoma" w:hAnsi="Tahoma" w:cs="Tahoma"/>
          <w:sz w:val="24"/>
          <w:szCs w:val="24"/>
        </w:rPr>
        <w:t xml:space="preserve"> y los fondos a los que cotizó; en el formato No. 2 se certificó el salario base y; en el formato 3B se incluyeron los salarios devengados cada mes de los últimos 10 años de servicio.</w:t>
      </w:r>
    </w:p>
    <w:p w:rsidR="00DE45E1" w:rsidRPr="00502D8C" w:rsidRDefault="00DE45E1" w:rsidP="00502D8C">
      <w:pPr>
        <w:pStyle w:val="Sinespaciado"/>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BF60A7" w:rsidP="00BF60A7">
      <w:pPr>
        <w:pStyle w:val="Sinespaciado"/>
        <w:tabs>
          <w:tab w:val="left" w:pos="1320"/>
        </w:tabs>
      </w:pPr>
      <w:r>
        <w:tab/>
      </w: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231167">
      <w:pPr>
        <w:pStyle w:val="Sinespaciado"/>
      </w:pPr>
    </w:p>
    <w:p w:rsidR="00052C84" w:rsidRPr="00B30A33" w:rsidRDefault="00052C84" w:rsidP="001C59B5">
      <w:pPr>
        <w:spacing w:line="276" w:lineRule="auto"/>
        <w:ind w:firstLine="709"/>
        <w:jc w:val="both"/>
        <w:rPr>
          <w:rFonts w:ascii="Tahoma" w:hAnsi="Tahoma" w:cs="Tahoma"/>
          <w:b/>
          <w:spacing w:val="-2"/>
          <w:sz w:val="24"/>
          <w:szCs w:val="24"/>
        </w:rPr>
      </w:pPr>
      <w:r w:rsidRPr="00B30A33">
        <w:rPr>
          <w:rFonts w:ascii="Tahoma" w:hAnsi="Tahoma" w:cs="Tahoma"/>
          <w:spacing w:val="-2"/>
          <w:sz w:val="24"/>
          <w:szCs w:val="24"/>
        </w:rPr>
        <w:t>¿</w:t>
      </w:r>
      <w:r w:rsidR="00173E13" w:rsidRPr="00173E13">
        <w:rPr>
          <w:rFonts w:ascii="Tahoma" w:hAnsi="Tahoma" w:cs="Tahoma"/>
          <w:spacing w:val="-2"/>
          <w:sz w:val="24"/>
          <w:szCs w:val="24"/>
        </w:rPr>
        <w:t xml:space="preserve">La respuesta emitida por </w:t>
      </w:r>
      <w:r w:rsidR="00173E13">
        <w:rPr>
          <w:rFonts w:ascii="Tahoma" w:hAnsi="Tahoma" w:cs="Tahoma"/>
          <w:spacing w:val="-2"/>
          <w:sz w:val="24"/>
          <w:szCs w:val="24"/>
        </w:rPr>
        <w:t>la Superintendencia de Notariado y Registro</w:t>
      </w:r>
      <w:r w:rsidR="00173E13" w:rsidRPr="00173E13">
        <w:rPr>
          <w:rFonts w:ascii="Tahoma" w:hAnsi="Tahoma" w:cs="Tahoma"/>
          <w:spacing w:val="-2"/>
          <w:sz w:val="24"/>
          <w:szCs w:val="24"/>
        </w:rPr>
        <w:t xml:space="preserve"> al derecho de petición elevado por la actora, cumple los parámetros de la ley estatutaria 1755 de 2015 y el alcance dado por la Corte Constitucional</w:t>
      </w:r>
      <w:r w:rsidR="00354382">
        <w:rPr>
          <w:rFonts w:ascii="Tahoma" w:hAnsi="Tahoma" w:cs="Tahoma"/>
          <w:spacing w:val="-2"/>
          <w:sz w:val="24"/>
          <w:szCs w:val="24"/>
        </w:rPr>
        <w:t>?</w:t>
      </w:r>
      <w:r w:rsidRPr="00B30A33">
        <w:rPr>
          <w:rFonts w:ascii="Tahoma" w:hAnsi="Tahoma" w:cs="Tahoma"/>
          <w:spacing w:val="-2"/>
          <w:sz w:val="24"/>
          <w:szCs w:val="24"/>
        </w:rPr>
        <w:t xml:space="preserve"> </w:t>
      </w:r>
    </w:p>
    <w:p w:rsidR="00052C84" w:rsidRPr="00173E13" w:rsidRDefault="00052C84" w:rsidP="00173E13">
      <w:pPr>
        <w:pStyle w:val="Sinespaciado"/>
      </w:pPr>
    </w:p>
    <w:p w:rsidR="00D0404A" w:rsidRDefault="00D0404A"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B7DB1">
        <w:rPr>
          <w:rFonts w:ascii="Tahoma" w:hAnsi="Tahoma" w:cs="Tahoma"/>
          <w:b/>
          <w:sz w:val="24"/>
          <w:szCs w:val="24"/>
        </w:rPr>
        <w:t>Alcances del derecho fundamental de petición</w:t>
      </w:r>
    </w:p>
    <w:p w:rsidR="00A36A0F" w:rsidRDefault="00A36A0F" w:rsidP="001C59B5">
      <w:pPr>
        <w:pStyle w:val="Sinespaciado"/>
      </w:pPr>
    </w:p>
    <w:p w:rsidR="00A36A0F" w:rsidRPr="00E6336D"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1"/>
      </w:r>
      <w:r w:rsidRPr="00E6336D">
        <w:rPr>
          <w:rFonts w:ascii="Tahoma" w:eastAsia="Times New Roman" w:hAnsi="Tahoma" w:cs="Tahoma"/>
          <w:sz w:val="24"/>
          <w:szCs w:val="24"/>
          <w:lang w:val="es-ES"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E6336D" w:rsidRDefault="00A36A0F" w:rsidP="001C59B5">
      <w:pPr>
        <w:pStyle w:val="Sinespaciado"/>
      </w:pPr>
    </w:p>
    <w:p w:rsidR="00A36A0F"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w:t>
      </w:r>
      <w:r w:rsidRPr="00585577">
        <w:rPr>
          <w:rFonts w:ascii="Tahoma" w:eastAsia="Times New Roman" w:hAnsi="Tahoma" w:cs="Tahoma"/>
          <w:sz w:val="24"/>
          <w:szCs w:val="24"/>
          <w:lang w:val="es-ES" w:eastAsia="es-ES"/>
        </w:rPr>
        <w:t>on relación</w:t>
      </w:r>
      <w:r>
        <w:rPr>
          <w:rFonts w:ascii="Tahoma" w:eastAsia="Times New Roman" w:hAnsi="Tahoma" w:cs="Tahoma"/>
          <w:sz w:val="24"/>
          <w:szCs w:val="24"/>
          <w:lang w:val="es-ES" w:eastAsia="es-ES"/>
        </w:rPr>
        <w:t xml:space="preserve"> al derecho del solicitante de recibir una </w:t>
      </w:r>
      <w:r w:rsidRPr="00585577">
        <w:rPr>
          <w:rFonts w:ascii="Tahoma" w:eastAsia="Times New Roman" w:hAnsi="Tahoma" w:cs="Tahoma"/>
          <w:sz w:val="24"/>
          <w:szCs w:val="24"/>
          <w:lang w:val="es-ES" w:eastAsia="es-ES"/>
        </w:rPr>
        <w:t xml:space="preserve">respuesta, </w:t>
      </w:r>
      <w:r>
        <w:rPr>
          <w:rFonts w:ascii="Tahoma" w:eastAsia="Times New Roman" w:hAnsi="Tahoma" w:cs="Tahoma"/>
          <w:sz w:val="24"/>
          <w:szCs w:val="24"/>
          <w:lang w:val="es-ES" w:eastAsia="es-ES"/>
        </w:rPr>
        <w:t>el Alto Tribunal</w:t>
      </w:r>
      <w:r w:rsidRPr="00585577">
        <w:rPr>
          <w:rFonts w:ascii="Tahoma" w:eastAsia="Times New Roman" w:hAnsi="Tahoma" w:cs="Tahoma"/>
          <w:sz w:val="24"/>
          <w:szCs w:val="24"/>
          <w:lang w:val="es-ES" w:eastAsia="es-ES"/>
        </w:rPr>
        <w:t>, en Sentencia T-172 de 2013, Magistrado Ponente Jorge Iván Palacio Palacio</w:t>
      </w:r>
      <w:r>
        <w:rPr>
          <w:rFonts w:ascii="Tahoma" w:eastAsia="Times New Roman" w:hAnsi="Tahoma" w:cs="Tahoma"/>
          <w:sz w:val="24"/>
          <w:szCs w:val="24"/>
          <w:lang w:val="es-ES" w:eastAsia="es-ES"/>
        </w:rPr>
        <w:t xml:space="preserve"> ha conceptuado</w:t>
      </w:r>
      <w:r w:rsidRPr="00585577">
        <w:rPr>
          <w:rFonts w:ascii="Tahoma" w:eastAsia="Times New Roman" w:hAnsi="Tahoma" w:cs="Tahoma"/>
          <w:sz w:val="24"/>
          <w:szCs w:val="24"/>
          <w:lang w:val="es-ES" w:eastAsia="es-ES"/>
        </w:rPr>
        <w:t>:</w:t>
      </w:r>
    </w:p>
    <w:p w:rsidR="00A36A0F" w:rsidRPr="00E7296C" w:rsidRDefault="00A36A0F" w:rsidP="009F4F47">
      <w:pPr>
        <w:pStyle w:val="Sinespaciado"/>
        <w:rPr>
          <w:sz w:val="16"/>
          <w:szCs w:val="16"/>
        </w:rPr>
      </w:pPr>
    </w:p>
    <w:p w:rsidR="00A36A0F" w:rsidRDefault="00A36A0F" w:rsidP="00E7296C">
      <w:pPr>
        <w:pStyle w:val="Textoindependiente"/>
        <w:tabs>
          <w:tab w:val="left" w:pos="3570"/>
        </w:tabs>
        <w:spacing w:after="0"/>
        <w:ind w:left="720"/>
        <w:jc w:val="both"/>
        <w:rPr>
          <w:rFonts w:ascii="Arial Narrow" w:hAnsi="Arial Narrow" w:cs="Tahoma"/>
          <w:i/>
        </w:rPr>
      </w:pPr>
      <w:r>
        <w:rPr>
          <w:rFonts w:ascii="Arial Narrow" w:hAnsi="Arial Narrow" w:cs="Tahoma"/>
          <w:i/>
        </w:rPr>
        <w:t>“</w:t>
      </w:r>
      <w:r w:rsidRPr="00585577">
        <w:rPr>
          <w:rFonts w:ascii="Arial Narrow" w:hAnsi="Arial Narrow" w:cs="Tahoma"/>
          <w:i/>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 El incumplimiento de cualquiera de estos ingredientes conllevará a la vulneración del goce efectivo de la petición, lo que en términos de la jurisprudencia conlleva a una infracción seria al principio democrático. El derecho fundamental de petición propende por la interacción eficaz entre los particulares y las entidades públicas o privadas, obligando a éstas a responder de manera oportuna, suficiente, efectiva y congruente las solicitudes hechas por aquellos. Faltar a alguna de estas características se traduce  en la vulneración de esta garantía constitucional.</w:t>
      </w:r>
      <w:r>
        <w:rPr>
          <w:rFonts w:ascii="Arial Narrow" w:hAnsi="Arial Narrow" w:cs="Tahoma"/>
          <w:i/>
        </w:rPr>
        <w:t>”</w:t>
      </w:r>
      <w:r w:rsidRPr="00585577">
        <w:rPr>
          <w:rFonts w:ascii="Arial Narrow" w:hAnsi="Arial Narrow" w:cs="Tahoma"/>
          <w:i/>
        </w:rPr>
        <w:tab/>
      </w:r>
    </w:p>
    <w:p w:rsidR="00CD36F2" w:rsidRDefault="00CD36F2" w:rsidP="00E7296C">
      <w:pPr>
        <w:pStyle w:val="Textoindependiente"/>
        <w:tabs>
          <w:tab w:val="left" w:pos="3570"/>
        </w:tabs>
        <w:spacing w:after="0"/>
        <w:ind w:left="720"/>
        <w:jc w:val="both"/>
        <w:rPr>
          <w:rFonts w:ascii="Arial Narrow" w:hAnsi="Arial Narrow" w:cs="Tahoma"/>
          <w:i/>
        </w:rPr>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CD36F2" w:rsidRDefault="00CD36F2" w:rsidP="00CD36F2">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CD36F2" w:rsidRPr="00C4032A"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2. Las peticiones mediante las cuales se eleva una consulta a las autoridades en relación con las materias a su cargo deberán resolverse dentro de los treinta (30) días siguientes a su recepción.</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441C87" w:rsidRDefault="00D0404A" w:rsidP="00441C87">
      <w:pPr>
        <w:pStyle w:val="Sinespaciado"/>
      </w:pPr>
      <w:r>
        <w:tab/>
      </w:r>
    </w:p>
    <w:p w:rsidR="00CD36F2" w:rsidRDefault="009F4F47" w:rsidP="009F4F47">
      <w:pPr>
        <w:spacing w:line="276" w:lineRule="auto"/>
        <w:ind w:firstLine="709"/>
        <w:jc w:val="both"/>
        <w:rPr>
          <w:rFonts w:ascii="Tahoma" w:hAnsi="Tahoma" w:cs="Tahoma"/>
          <w:sz w:val="24"/>
          <w:szCs w:val="24"/>
        </w:rPr>
      </w:pPr>
      <w:r w:rsidRPr="009F4F47">
        <w:rPr>
          <w:rFonts w:ascii="Tahoma" w:hAnsi="Tahoma" w:cs="Tahoma"/>
          <w:sz w:val="24"/>
          <w:szCs w:val="24"/>
        </w:rPr>
        <w:t xml:space="preserve">En el caso </w:t>
      </w:r>
      <w:r>
        <w:rPr>
          <w:rFonts w:ascii="Tahoma" w:hAnsi="Tahoma" w:cs="Tahoma"/>
          <w:sz w:val="24"/>
          <w:szCs w:val="24"/>
        </w:rPr>
        <w:t xml:space="preserve">sub-exámine </w:t>
      </w:r>
      <w:r w:rsidR="00CD36F2">
        <w:rPr>
          <w:rFonts w:ascii="Tahoma" w:hAnsi="Tahoma" w:cs="Tahoma"/>
          <w:sz w:val="24"/>
          <w:szCs w:val="24"/>
        </w:rPr>
        <w:t>l</w:t>
      </w:r>
      <w:r w:rsidR="00925FC0">
        <w:rPr>
          <w:rFonts w:ascii="Tahoma" w:hAnsi="Tahoma" w:cs="Tahoma"/>
          <w:sz w:val="24"/>
          <w:szCs w:val="24"/>
        </w:rPr>
        <w:t>a</w:t>
      </w:r>
      <w:r w:rsidR="00CD36F2">
        <w:rPr>
          <w:rFonts w:ascii="Tahoma" w:hAnsi="Tahoma" w:cs="Tahoma"/>
          <w:sz w:val="24"/>
          <w:szCs w:val="24"/>
        </w:rPr>
        <w:t xml:space="preserve"> actor</w:t>
      </w:r>
      <w:r w:rsidR="00925FC0">
        <w:rPr>
          <w:rFonts w:ascii="Tahoma" w:hAnsi="Tahoma" w:cs="Tahoma"/>
          <w:sz w:val="24"/>
          <w:szCs w:val="24"/>
        </w:rPr>
        <w:t>a</w:t>
      </w:r>
      <w:r w:rsidR="00CD36F2">
        <w:rPr>
          <w:rFonts w:ascii="Tahoma" w:hAnsi="Tahoma" w:cs="Tahoma"/>
          <w:sz w:val="24"/>
          <w:szCs w:val="24"/>
        </w:rPr>
        <w:t xml:space="preserve"> presentó derecho de petición solicitando</w:t>
      </w:r>
      <w:r w:rsidR="002E357D">
        <w:rPr>
          <w:rFonts w:ascii="Tahoma" w:hAnsi="Tahoma" w:cs="Tahoma"/>
          <w:sz w:val="24"/>
          <w:szCs w:val="24"/>
        </w:rPr>
        <w:t xml:space="preserve"> la certificación del tiempo servido en la </w:t>
      </w:r>
      <w:r w:rsidR="004478BA">
        <w:rPr>
          <w:rFonts w:ascii="Tahoma" w:hAnsi="Tahoma" w:cs="Tahoma"/>
          <w:sz w:val="24"/>
          <w:szCs w:val="24"/>
        </w:rPr>
        <w:t>Oficina de Registro e Instrumentos Públicos de Riohacha</w:t>
      </w:r>
      <w:r w:rsidR="002E357D">
        <w:rPr>
          <w:rFonts w:ascii="Tahoma" w:hAnsi="Tahoma" w:cs="Tahoma"/>
          <w:sz w:val="24"/>
          <w:szCs w:val="24"/>
        </w:rPr>
        <w:t>, incluyendo los salarios devengados cada mes</w:t>
      </w:r>
      <w:r w:rsidR="004478BA">
        <w:rPr>
          <w:rFonts w:ascii="Tahoma" w:hAnsi="Tahoma" w:cs="Tahoma"/>
          <w:sz w:val="24"/>
          <w:szCs w:val="24"/>
        </w:rPr>
        <w:t xml:space="preserve"> durante toda la vida laboral</w:t>
      </w:r>
      <w:r w:rsidR="002E357D">
        <w:rPr>
          <w:rFonts w:ascii="Tahoma" w:hAnsi="Tahoma" w:cs="Tahoma"/>
          <w:sz w:val="24"/>
          <w:szCs w:val="24"/>
        </w:rPr>
        <w:t>.</w:t>
      </w:r>
      <w:r w:rsidR="00CD36F2">
        <w:rPr>
          <w:rFonts w:ascii="Tahoma" w:hAnsi="Tahoma" w:cs="Tahoma"/>
          <w:sz w:val="24"/>
          <w:szCs w:val="24"/>
        </w:rPr>
        <w:t xml:space="preserve"> </w:t>
      </w:r>
      <w:r w:rsidR="002E357D">
        <w:rPr>
          <w:rFonts w:ascii="Tahoma" w:hAnsi="Tahoma" w:cs="Tahoma"/>
          <w:sz w:val="24"/>
          <w:szCs w:val="24"/>
        </w:rPr>
        <w:t xml:space="preserve">La accionada </w:t>
      </w:r>
      <w:r w:rsidR="004478BA">
        <w:rPr>
          <w:rFonts w:ascii="Tahoma" w:hAnsi="Tahoma" w:cs="Tahoma"/>
          <w:sz w:val="24"/>
          <w:szCs w:val="24"/>
        </w:rPr>
        <w:t>contestó a la solicitud certificando la calidad de servidora pública de la accionante, su vinculación desde el 1º de agosto de 1974 al 17 de noviembre de 2015 y los salarios devengados en los últimos 10 años de servicios.</w:t>
      </w:r>
    </w:p>
    <w:p w:rsidR="00CD36F2" w:rsidRDefault="00CD36F2" w:rsidP="00441C87">
      <w:pPr>
        <w:pStyle w:val="Sinespaciado"/>
      </w:pPr>
    </w:p>
    <w:p w:rsidR="00441C87" w:rsidRDefault="004478BA" w:rsidP="009F4F47">
      <w:pPr>
        <w:spacing w:line="276" w:lineRule="auto"/>
        <w:ind w:firstLine="709"/>
        <w:jc w:val="both"/>
        <w:rPr>
          <w:rFonts w:ascii="Tahoma" w:hAnsi="Tahoma" w:cs="Tahoma"/>
          <w:sz w:val="24"/>
          <w:szCs w:val="24"/>
        </w:rPr>
      </w:pPr>
      <w:r>
        <w:rPr>
          <w:rFonts w:ascii="Tahoma" w:hAnsi="Tahoma" w:cs="Tahoma"/>
          <w:sz w:val="24"/>
          <w:szCs w:val="24"/>
        </w:rPr>
        <w:t xml:space="preserve">En efecto, en la contestación, la accionada aportó el oficio SNR2015EE035640 del 17 de noviembre de 2015, al cual se anexaron las constancias No. 1491,1492 y 1493 del mismo año (fls. 20 al 23), mediante las cuales se certificó el empleo público, la duración del servicio y el salario de los </w:t>
      </w:r>
      <w:r w:rsidR="003A6924">
        <w:rPr>
          <w:rFonts w:ascii="Tahoma" w:hAnsi="Tahoma" w:cs="Tahoma"/>
          <w:sz w:val="24"/>
          <w:szCs w:val="24"/>
        </w:rPr>
        <w:t>últimos 10 años. No obstante, de acuerdo a la petición radicada el 13 de noviembre de 2015 (fl. 6), la actora solicitó expresamente la certificación de los salarios devengados en toda la vida laboral pues fue requerido por Colpensiones para fines prestacionales, por lo que la accionada al certificar el salario de la última década de servicios, respondió parcialmente la solicitud.</w:t>
      </w:r>
    </w:p>
    <w:p w:rsidR="00441C87" w:rsidRDefault="00441C87" w:rsidP="00441C87">
      <w:pPr>
        <w:pStyle w:val="Sinespaciado"/>
      </w:pPr>
    </w:p>
    <w:p w:rsidR="00D41CD0" w:rsidRDefault="00441C87" w:rsidP="00D41CD0">
      <w:pPr>
        <w:spacing w:line="276" w:lineRule="auto"/>
        <w:ind w:firstLine="709"/>
        <w:jc w:val="both"/>
        <w:rPr>
          <w:rFonts w:ascii="Tahoma" w:hAnsi="Tahoma" w:cs="Tahoma"/>
          <w:sz w:val="24"/>
          <w:szCs w:val="24"/>
        </w:rPr>
      </w:pPr>
      <w:r>
        <w:rPr>
          <w:rFonts w:ascii="Tahoma" w:hAnsi="Tahoma" w:cs="Tahoma"/>
          <w:sz w:val="24"/>
          <w:szCs w:val="24"/>
        </w:rPr>
        <w:t xml:space="preserve">En consecuencia, </w:t>
      </w:r>
      <w:r w:rsidR="009F4F47">
        <w:rPr>
          <w:rFonts w:ascii="Tahoma" w:hAnsi="Tahoma" w:cs="Tahoma"/>
          <w:sz w:val="24"/>
          <w:szCs w:val="24"/>
        </w:rPr>
        <w:t xml:space="preserve">se presenta una evidente </w:t>
      </w:r>
      <w:r w:rsidR="009F4F47" w:rsidRPr="00D16146">
        <w:rPr>
          <w:rFonts w:ascii="Tahoma" w:hAnsi="Tahoma" w:cs="Tahoma"/>
          <w:sz w:val="24"/>
          <w:szCs w:val="24"/>
        </w:rPr>
        <w:t>v</w:t>
      </w:r>
      <w:r w:rsidR="009F4F47">
        <w:rPr>
          <w:rFonts w:ascii="Tahoma" w:hAnsi="Tahoma" w:cs="Tahoma"/>
          <w:sz w:val="24"/>
          <w:szCs w:val="24"/>
        </w:rPr>
        <w:t>ulneración</w:t>
      </w:r>
      <w:r w:rsidR="009F4F47" w:rsidRPr="00D16146">
        <w:rPr>
          <w:rFonts w:ascii="Tahoma" w:hAnsi="Tahoma" w:cs="Tahoma"/>
          <w:sz w:val="24"/>
          <w:szCs w:val="24"/>
        </w:rPr>
        <w:t xml:space="preserve"> del derecho fundamental </w:t>
      </w:r>
      <w:r w:rsidR="009F4F47">
        <w:rPr>
          <w:rFonts w:ascii="Tahoma" w:hAnsi="Tahoma" w:cs="Tahoma"/>
          <w:sz w:val="24"/>
          <w:szCs w:val="24"/>
        </w:rPr>
        <w:t>de</w:t>
      </w:r>
      <w:r w:rsidR="00D41CD0">
        <w:rPr>
          <w:rFonts w:ascii="Tahoma" w:hAnsi="Tahoma" w:cs="Tahoma"/>
          <w:sz w:val="24"/>
          <w:szCs w:val="24"/>
        </w:rPr>
        <w:t xml:space="preserve"> </w:t>
      </w:r>
      <w:r w:rsidR="009F4F47">
        <w:rPr>
          <w:rFonts w:ascii="Tahoma" w:hAnsi="Tahoma" w:cs="Tahoma"/>
          <w:sz w:val="24"/>
          <w:szCs w:val="24"/>
        </w:rPr>
        <w:t>l</w:t>
      </w:r>
      <w:r w:rsidR="00D41CD0">
        <w:rPr>
          <w:rFonts w:ascii="Tahoma" w:hAnsi="Tahoma" w:cs="Tahoma"/>
          <w:sz w:val="24"/>
          <w:szCs w:val="24"/>
        </w:rPr>
        <w:t>a accionante por parte de la Superintendencia de Notariado y Registro</w:t>
      </w:r>
      <w:r w:rsidR="009F4F47" w:rsidRPr="00D16146">
        <w:rPr>
          <w:rFonts w:ascii="Tahoma" w:hAnsi="Tahoma" w:cs="Tahoma"/>
          <w:sz w:val="24"/>
          <w:szCs w:val="24"/>
        </w:rPr>
        <w:t>, toda</w:t>
      </w:r>
      <w:r w:rsidR="009F4F47">
        <w:rPr>
          <w:rFonts w:ascii="Tahoma" w:hAnsi="Tahoma" w:cs="Tahoma"/>
          <w:sz w:val="24"/>
          <w:szCs w:val="24"/>
        </w:rPr>
        <w:t xml:space="preserve"> vez que</w:t>
      </w:r>
      <w:r w:rsidR="009F4F47" w:rsidRPr="00D16146">
        <w:rPr>
          <w:rFonts w:ascii="Tahoma" w:hAnsi="Tahoma" w:cs="Tahoma"/>
          <w:sz w:val="24"/>
          <w:szCs w:val="24"/>
        </w:rPr>
        <w:t xml:space="preserve"> </w:t>
      </w:r>
      <w:r w:rsidR="009F4F47">
        <w:rPr>
          <w:rFonts w:ascii="Tahoma" w:hAnsi="Tahoma" w:cs="Tahoma"/>
          <w:sz w:val="24"/>
          <w:szCs w:val="24"/>
        </w:rPr>
        <w:t>la violación al derecho de petición se materializó al recibir</w:t>
      </w:r>
      <w:r w:rsidR="00925FC0">
        <w:rPr>
          <w:rFonts w:ascii="Tahoma" w:hAnsi="Tahoma" w:cs="Tahoma"/>
          <w:sz w:val="24"/>
          <w:szCs w:val="24"/>
        </w:rPr>
        <w:t xml:space="preserve"> una</w:t>
      </w:r>
      <w:r w:rsidR="009F4F47">
        <w:rPr>
          <w:rFonts w:ascii="Tahoma" w:hAnsi="Tahoma" w:cs="Tahoma"/>
          <w:sz w:val="24"/>
          <w:szCs w:val="24"/>
        </w:rPr>
        <w:t xml:space="preserve"> respuesta </w:t>
      </w:r>
      <w:r w:rsidR="00925FC0">
        <w:rPr>
          <w:rFonts w:ascii="Tahoma" w:hAnsi="Tahoma" w:cs="Tahoma"/>
          <w:sz w:val="24"/>
          <w:szCs w:val="24"/>
        </w:rPr>
        <w:t xml:space="preserve">incompleta a </w:t>
      </w:r>
      <w:r w:rsidR="00C86946">
        <w:rPr>
          <w:rFonts w:ascii="Tahoma" w:hAnsi="Tahoma" w:cs="Tahoma"/>
          <w:sz w:val="24"/>
          <w:szCs w:val="24"/>
        </w:rPr>
        <w:t xml:space="preserve">la solicitud </w:t>
      </w:r>
      <w:r>
        <w:rPr>
          <w:rFonts w:ascii="Tahoma" w:hAnsi="Tahoma" w:cs="Tahoma"/>
          <w:sz w:val="24"/>
          <w:szCs w:val="24"/>
        </w:rPr>
        <w:t xml:space="preserve">del certificado </w:t>
      </w:r>
      <w:r w:rsidR="00D41CD0">
        <w:rPr>
          <w:rFonts w:ascii="Tahoma" w:hAnsi="Tahoma" w:cs="Tahoma"/>
          <w:sz w:val="24"/>
          <w:szCs w:val="24"/>
        </w:rPr>
        <w:t>salari</w:t>
      </w:r>
      <w:r w:rsidR="00AB15D4">
        <w:rPr>
          <w:rFonts w:ascii="Tahoma" w:hAnsi="Tahoma" w:cs="Tahoma"/>
          <w:sz w:val="24"/>
          <w:szCs w:val="24"/>
        </w:rPr>
        <w:t>os devengados durante todo el tiempo servido,</w:t>
      </w:r>
      <w:r>
        <w:rPr>
          <w:rFonts w:ascii="Tahoma" w:hAnsi="Tahoma" w:cs="Tahoma"/>
          <w:sz w:val="24"/>
          <w:szCs w:val="24"/>
        </w:rPr>
        <w:t xml:space="preserve"> </w:t>
      </w:r>
      <w:r w:rsidR="003A6924">
        <w:rPr>
          <w:rFonts w:ascii="Tahoma" w:hAnsi="Tahoma" w:cs="Tahoma"/>
          <w:sz w:val="24"/>
          <w:szCs w:val="24"/>
        </w:rPr>
        <w:t>sin que pueda excusarse la entidad en que el artículo 21 de la ley 100 de 1993 establece que el IBL se obtiene con el promedio de los últimos 10 años laborados, toda vez que en la misma normatividad está contemplada la posibilidad de liquidar la prestación con el promedio de los salarios de toda la vida laboral.</w:t>
      </w:r>
    </w:p>
    <w:p w:rsidR="00CD36F2" w:rsidRDefault="00CD36F2" w:rsidP="00441C87">
      <w:pPr>
        <w:pStyle w:val="Sinespaciado"/>
      </w:pPr>
    </w:p>
    <w:p w:rsidR="00D16146"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En este orden de ideas </w:t>
      </w:r>
      <w:r w:rsidR="00441C87">
        <w:rPr>
          <w:rFonts w:ascii="Tahoma" w:hAnsi="Tahoma" w:cs="Tahoma"/>
          <w:sz w:val="24"/>
          <w:szCs w:val="24"/>
        </w:rPr>
        <w:t xml:space="preserve">se </w:t>
      </w:r>
      <w:r w:rsidR="001121B4">
        <w:rPr>
          <w:rFonts w:ascii="Tahoma" w:hAnsi="Tahoma" w:cs="Tahoma"/>
          <w:sz w:val="24"/>
          <w:szCs w:val="24"/>
        </w:rPr>
        <w:t>tutelará el derecho de petición</w:t>
      </w:r>
      <w:r w:rsidR="00441C87">
        <w:rPr>
          <w:rFonts w:ascii="Tahoma" w:hAnsi="Tahoma" w:cs="Tahoma"/>
          <w:sz w:val="24"/>
          <w:szCs w:val="24"/>
        </w:rPr>
        <w:t>, ordenando</w:t>
      </w:r>
      <w:r w:rsidR="001121B4" w:rsidRPr="001121B4">
        <w:rPr>
          <w:rFonts w:ascii="Tahoma" w:hAnsi="Tahoma" w:cs="Tahoma"/>
          <w:sz w:val="24"/>
          <w:szCs w:val="24"/>
        </w:rPr>
        <w:t xml:space="preserve"> a la Superintendencia de Notariado y Registro, a través de su Director de Talento Humano, Dr. Oscar Andrés Núñez Parra o quien haga sus veces, que en el término improrrogable de cuarenta y ocho (48) horas contadas a partir del día siguiente a la notificación de la presente providencia, proceda a emitir el certificado de salarios devengados mes a mes de la Señora Miriam Elizabeth Cortés Romero desde el 1º de agosto de 1974 al 30 de septiembre de 2015, como respuesta de fondo al derecho de petición elevado el 13 de noviembre de 2015.</w:t>
      </w:r>
    </w:p>
    <w:p w:rsidR="00C4032A" w:rsidRDefault="00C4032A" w:rsidP="00C4032A">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502D8C" w:rsidRDefault="00D16146" w:rsidP="00502D8C">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FF5702" w:rsidRDefault="00464B77" w:rsidP="00FF5702">
      <w:pPr>
        <w:pStyle w:val="Sinespaciado"/>
      </w:pPr>
    </w:p>
    <w:p w:rsidR="00095791" w:rsidRDefault="002A012C" w:rsidP="00AB15D4">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sidR="00AB15D4" w:rsidRPr="00AC4134">
        <w:rPr>
          <w:rFonts w:ascii="Tahoma" w:hAnsi="Tahoma" w:cs="Tahoma"/>
          <w:b/>
          <w:sz w:val="24"/>
          <w:szCs w:val="24"/>
        </w:rPr>
        <w:t xml:space="preserve">TUTELAR </w:t>
      </w:r>
      <w:r w:rsidR="00AB15D4" w:rsidRPr="00AC4134">
        <w:rPr>
          <w:rFonts w:ascii="Tahoma" w:hAnsi="Tahoma" w:cs="Tahoma"/>
          <w:sz w:val="24"/>
          <w:szCs w:val="24"/>
        </w:rPr>
        <w:t>el derecho d</w:t>
      </w:r>
      <w:r w:rsidR="00AB15D4">
        <w:rPr>
          <w:rFonts w:ascii="Tahoma" w:hAnsi="Tahoma" w:cs="Tahoma"/>
          <w:sz w:val="24"/>
          <w:szCs w:val="24"/>
        </w:rPr>
        <w:t xml:space="preserve">e petición del cual es titular </w:t>
      </w:r>
      <w:r w:rsidR="00AB15D4" w:rsidRPr="00AC4134">
        <w:rPr>
          <w:rFonts w:ascii="Tahoma" w:hAnsi="Tahoma" w:cs="Tahoma"/>
          <w:sz w:val="24"/>
          <w:szCs w:val="24"/>
        </w:rPr>
        <w:t>l</w:t>
      </w:r>
      <w:r w:rsidR="00AB15D4">
        <w:rPr>
          <w:rFonts w:ascii="Tahoma" w:hAnsi="Tahoma" w:cs="Tahoma"/>
          <w:sz w:val="24"/>
          <w:szCs w:val="24"/>
        </w:rPr>
        <w:t>a</w:t>
      </w:r>
      <w:r w:rsidR="00AB15D4" w:rsidRPr="00AC4134">
        <w:rPr>
          <w:rFonts w:ascii="Tahoma" w:hAnsi="Tahoma" w:cs="Tahoma"/>
          <w:sz w:val="24"/>
          <w:szCs w:val="24"/>
        </w:rPr>
        <w:t xml:space="preserve"> señor</w:t>
      </w:r>
      <w:r w:rsidR="00AB15D4">
        <w:rPr>
          <w:rFonts w:ascii="Tahoma" w:hAnsi="Tahoma" w:cs="Tahoma"/>
          <w:sz w:val="24"/>
          <w:szCs w:val="24"/>
        </w:rPr>
        <w:t>a</w:t>
      </w:r>
      <w:r w:rsidR="00AB15D4" w:rsidRPr="00AC4134">
        <w:rPr>
          <w:rFonts w:ascii="Tahoma" w:hAnsi="Tahoma" w:cs="Tahoma"/>
          <w:sz w:val="24"/>
          <w:szCs w:val="24"/>
        </w:rPr>
        <w:t xml:space="preserve"> </w:t>
      </w:r>
      <w:r w:rsidR="00AB15D4">
        <w:rPr>
          <w:rFonts w:ascii="Tahoma" w:hAnsi="Tahoma" w:cs="Tahoma"/>
          <w:b/>
          <w:sz w:val="24"/>
          <w:szCs w:val="24"/>
        </w:rPr>
        <w:t xml:space="preserve">Miriam Elizabeth Cortés Romero, </w:t>
      </w:r>
      <w:r w:rsidR="00AB15D4">
        <w:rPr>
          <w:rFonts w:ascii="Tahoma" w:hAnsi="Tahoma" w:cs="Tahoma"/>
          <w:sz w:val="24"/>
          <w:szCs w:val="24"/>
        </w:rPr>
        <w:t>con relación al certificado de salarios devengados en todo el tiempo servido como empleada pública en la Superintendencia de Notariado y Registro.</w:t>
      </w:r>
    </w:p>
    <w:p w:rsidR="00AB15D4" w:rsidRPr="00E7296C" w:rsidRDefault="00AB15D4" w:rsidP="00AB15D4">
      <w:pPr>
        <w:widowControl w:val="0"/>
        <w:spacing w:line="276" w:lineRule="auto"/>
        <w:ind w:firstLine="709"/>
        <w:jc w:val="both"/>
        <w:rPr>
          <w:sz w:val="20"/>
          <w:szCs w:val="20"/>
        </w:rPr>
      </w:pPr>
    </w:p>
    <w:p w:rsidR="00C86946" w:rsidRDefault="002A012C" w:rsidP="00C86946">
      <w:pPr>
        <w:spacing w:line="276" w:lineRule="auto"/>
        <w:ind w:firstLine="709"/>
        <w:jc w:val="both"/>
        <w:rPr>
          <w:rFonts w:ascii="Tahoma" w:hAnsi="Tahoma" w:cs="Tahoma"/>
          <w:sz w:val="24"/>
          <w:szCs w:val="24"/>
        </w:rPr>
      </w:pPr>
      <w:r w:rsidRPr="00AC4134">
        <w:rPr>
          <w:rFonts w:ascii="Tahoma" w:hAnsi="Tahoma" w:cs="Tahoma"/>
          <w:b/>
          <w:sz w:val="24"/>
          <w:szCs w:val="24"/>
        </w:rPr>
        <w:t>SEGUNDO: ORDENAR</w:t>
      </w:r>
      <w:r w:rsidR="001A25EA">
        <w:rPr>
          <w:rFonts w:ascii="Tahoma" w:hAnsi="Tahoma" w:cs="Tahoma"/>
          <w:sz w:val="24"/>
          <w:szCs w:val="24"/>
        </w:rPr>
        <w:t xml:space="preserve"> </w:t>
      </w:r>
      <w:r w:rsidR="00BA0791">
        <w:rPr>
          <w:rFonts w:ascii="Tahoma" w:hAnsi="Tahoma" w:cs="Tahoma"/>
          <w:bCs/>
          <w:sz w:val="24"/>
          <w:szCs w:val="24"/>
        </w:rPr>
        <w:t>a</w:t>
      </w:r>
      <w:r w:rsidR="00AB15D4">
        <w:rPr>
          <w:rFonts w:ascii="Tahoma" w:hAnsi="Tahoma" w:cs="Tahoma"/>
          <w:bCs/>
          <w:sz w:val="24"/>
          <w:szCs w:val="24"/>
        </w:rPr>
        <w:t xml:space="preserve"> la Superintendencia de Notariado y Registro, a través de su</w:t>
      </w:r>
      <w:r w:rsidR="00095791">
        <w:rPr>
          <w:rFonts w:ascii="Tahoma" w:hAnsi="Tahoma" w:cs="Tahoma"/>
          <w:bCs/>
          <w:sz w:val="24"/>
          <w:szCs w:val="24"/>
        </w:rPr>
        <w:t xml:space="preserve"> </w:t>
      </w:r>
      <w:r w:rsidR="00AB15D4">
        <w:rPr>
          <w:rFonts w:ascii="Tahoma" w:hAnsi="Tahoma" w:cs="Tahoma"/>
          <w:bCs/>
          <w:sz w:val="24"/>
          <w:szCs w:val="24"/>
        </w:rPr>
        <w:t>Director de Talento Humano, Dr. Oscar Andrés Núñez Parra o quien haga sus veces, que en el término</w:t>
      </w:r>
      <w:r w:rsidR="00A752CE" w:rsidRPr="00A752CE">
        <w:rPr>
          <w:rFonts w:ascii="Tahoma" w:hAnsi="Tahoma" w:cs="Tahoma"/>
          <w:sz w:val="24"/>
          <w:szCs w:val="24"/>
        </w:rPr>
        <w:t xml:space="preserve"> improrrogable de cuarenta y ocho (48) horas contadas a partir del día siguiente a la notificación de la presente provide</w:t>
      </w:r>
      <w:r w:rsidR="00A752CE">
        <w:rPr>
          <w:rFonts w:ascii="Tahoma" w:hAnsi="Tahoma" w:cs="Tahoma"/>
          <w:sz w:val="24"/>
          <w:szCs w:val="24"/>
        </w:rPr>
        <w:t>ncia, proceda</w:t>
      </w:r>
      <w:r w:rsidR="00363525">
        <w:rPr>
          <w:rFonts w:ascii="Tahoma" w:hAnsi="Tahoma" w:cs="Tahoma"/>
          <w:sz w:val="24"/>
          <w:szCs w:val="24"/>
        </w:rPr>
        <w:t xml:space="preserve"> a emitir el certificado de</w:t>
      </w:r>
      <w:r w:rsidR="00FF5702">
        <w:rPr>
          <w:rFonts w:ascii="Tahoma" w:hAnsi="Tahoma" w:cs="Tahoma"/>
          <w:sz w:val="24"/>
          <w:szCs w:val="24"/>
        </w:rPr>
        <w:t xml:space="preserve"> salarios devengados mes a mes de la Señora Miriam Elizabeth Cortés Romero desde el 1º de agosto de 1974 al 30 de septiembre de 2015</w:t>
      </w:r>
      <w:r w:rsidR="00C86946">
        <w:rPr>
          <w:rFonts w:ascii="Tahoma" w:hAnsi="Tahoma" w:cs="Tahoma"/>
          <w:sz w:val="24"/>
          <w:szCs w:val="24"/>
        </w:rPr>
        <w:t>,</w:t>
      </w:r>
      <w:r w:rsidR="00363525">
        <w:rPr>
          <w:rFonts w:ascii="Tahoma" w:hAnsi="Tahoma" w:cs="Tahoma"/>
          <w:sz w:val="24"/>
          <w:szCs w:val="24"/>
        </w:rPr>
        <w:t xml:space="preserve"> como respuesta de fondo al derecho de petición elevado el </w:t>
      </w:r>
      <w:r w:rsidR="00FF5702">
        <w:rPr>
          <w:rFonts w:ascii="Tahoma" w:hAnsi="Tahoma" w:cs="Tahoma"/>
          <w:sz w:val="24"/>
          <w:szCs w:val="24"/>
        </w:rPr>
        <w:t>13</w:t>
      </w:r>
      <w:r w:rsidR="00C86946">
        <w:rPr>
          <w:rFonts w:ascii="Tahoma" w:hAnsi="Tahoma" w:cs="Tahoma"/>
          <w:sz w:val="24"/>
          <w:szCs w:val="24"/>
        </w:rPr>
        <w:t xml:space="preserve"> de </w:t>
      </w:r>
      <w:r w:rsidR="00FF5702">
        <w:rPr>
          <w:rFonts w:ascii="Tahoma" w:hAnsi="Tahoma" w:cs="Tahoma"/>
          <w:sz w:val="24"/>
          <w:szCs w:val="24"/>
        </w:rPr>
        <w:t>noviembre</w:t>
      </w:r>
      <w:r w:rsidR="00095791">
        <w:rPr>
          <w:rFonts w:ascii="Tahoma" w:hAnsi="Tahoma" w:cs="Tahoma"/>
          <w:sz w:val="24"/>
          <w:szCs w:val="24"/>
        </w:rPr>
        <w:t xml:space="preserve"> de 2015</w:t>
      </w:r>
      <w:r w:rsidR="00CE773E">
        <w:rPr>
          <w:rFonts w:ascii="Tahoma" w:hAnsi="Tahoma" w:cs="Tahoma"/>
          <w:sz w:val="24"/>
          <w:szCs w:val="24"/>
        </w:rPr>
        <w:t>.</w:t>
      </w:r>
    </w:p>
    <w:p w:rsidR="00BD3DDA" w:rsidRPr="00E7296C" w:rsidRDefault="00BD3DDA" w:rsidP="003657CE">
      <w:pPr>
        <w:pStyle w:val="Sinespaciado"/>
        <w:spacing w:line="276" w:lineRule="auto"/>
        <w:rPr>
          <w:sz w:val="20"/>
          <w:szCs w:val="20"/>
        </w:rPr>
      </w:pPr>
    </w:p>
    <w:p w:rsidR="00BD3DDA" w:rsidRDefault="00FF5702" w:rsidP="003657CE">
      <w:pPr>
        <w:pStyle w:val="NormalWeb"/>
        <w:spacing w:before="0" w:beforeAutospacing="0" w:after="0" w:afterAutospacing="0" w:line="276" w:lineRule="auto"/>
        <w:ind w:firstLine="708"/>
        <w:jc w:val="both"/>
        <w:rPr>
          <w:rFonts w:ascii="Tahoma" w:hAnsi="Tahoma" w:cs="Tahoma" w:hint="default"/>
          <w:bCs/>
        </w:rPr>
      </w:pPr>
      <w:r>
        <w:rPr>
          <w:rFonts w:ascii="Tahoma" w:hAnsi="Tahoma" w:cs="Tahoma" w:hint="default"/>
          <w:b/>
        </w:rPr>
        <w:t>TERCERO</w:t>
      </w:r>
      <w:r w:rsidR="002A012C" w:rsidRPr="00AC4134">
        <w:rPr>
          <w:rFonts w:ascii="Tahoma" w:hAnsi="Tahoma" w:cs="Tahoma" w:hint="default"/>
          <w:b/>
        </w:rPr>
        <w:t xml:space="preserve">: NOTIFÍQUESE </w:t>
      </w:r>
      <w:r w:rsidR="002A012C" w:rsidRPr="00AC4134">
        <w:rPr>
          <w:rFonts w:ascii="Tahoma" w:hAnsi="Tahoma" w:cs="Tahoma" w:hint="default"/>
          <w:bCs/>
        </w:rPr>
        <w:t>esta decisión a las partes por el medio más expedito.</w:t>
      </w:r>
    </w:p>
    <w:p w:rsidR="00A36A0F" w:rsidRPr="00E7296C" w:rsidRDefault="00A36A0F" w:rsidP="001C59B5">
      <w:pPr>
        <w:pStyle w:val="Sinespaciado"/>
        <w:rPr>
          <w:sz w:val="20"/>
          <w:szCs w:val="20"/>
        </w:rPr>
      </w:pPr>
    </w:p>
    <w:p w:rsidR="00464B77" w:rsidRDefault="00FF5702"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w:t>
      </w:r>
      <w:r w:rsidR="00363525">
        <w:rPr>
          <w:rFonts w:ascii="Tahoma" w:hAnsi="Tahoma" w:cs="Tahoma"/>
          <w:b/>
          <w:sz w:val="24"/>
          <w:szCs w:val="24"/>
        </w:rPr>
        <w:t>TO</w:t>
      </w:r>
      <w:r w:rsidR="00464B77" w:rsidRPr="00AC4134">
        <w:rPr>
          <w:rFonts w:ascii="Tahoma" w:hAnsi="Tahoma" w:cs="Tahoma"/>
          <w:b/>
          <w:sz w:val="24"/>
          <w:szCs w:val="24"/>
        </w:rPr>
        <w:t xml:space="preserve">: </w:t>
      </w:r>
      <w:r w:rsidR="001C59B5" w:rsidRPr="001C59B5">
        <w:rPr>
          <w:rFonts w:ascii="Tahoma" w:hAnsi="Tahoma" w:cs="Tahoma"/>
          <w:sz w:val="24"/>
          <w:szCs w:val="24"/>
        </w:rPr>
        <w:t>Si no se impugnase, r</w:t>
      </w:r>
      <w:r w:rsidR="00464B77" w:rsidRPr="00AC4134">
        <w:rPr>
          <w:rFonts w:ascii="Tahoma" w:hAnsi="Tahoma" w:cs="Tahoma"/>
          <w:spacing w:val="-2"/>
          <w:sz w:val="24"/>
          <w:szCs w:val="24"/>
        </w:rPr>
        <w:t>emítase el expediente a la Corte Constitucional para su eventual revisión, conforme al artículo 31 del Decreto 2591 de 1991.</w:t>
      </w:r>
    </w:p>
    <w:p w:rsidR="00E7296C" w:rsidRPr="00E7296C" w:rsidRDefault="00E7296C" w:rsidP="00E7296C">
      <w:pPr>
        <w:pStyle w:val="Sinespaciado"/>
        <w:rPr>
          <w:sz w:val="20"/>
          <w:szCs w:val="20"/>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Default="00E7296C" w:rsidP="00E7296C">
      <w:pPr>
        <w:pStyle w:val="Sinespaciado"/>
        <w:rPr>
          <w:sz w:val="20"/>
          <w:szCs w:val="20"/>
        </w:rPr>
      </w:pPr>
    </w:p>
    <w:p w:rsidR="00FF5702" w:rsidRPr="00E7296C" w:rsidRDefault="00FF5702" w:rsidP="00E7296C">
      <w:pPr>
        <w:pStyle w:val="Sinespaciado"/>
        <w:rPr>
          <w:sz w:val="20"/>
          <w:szCs w:val="20"/>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FF5702" w:rsidRDefault="00FF5702" w:rsidP="00A36A0F">
      <w:pPr>
        <w:spacing w:line="276" w:lineRule="auto"/>
        <w:ind w:left="785"/>
        <w:jc w:val="both"/>
        <w:rPr>
          <w:rFonts w:ascii="Tahoma" w:hAnsi="Tahoma" w:cs="Tahoma"/>
          <w:sz w:val="24"/>
          <w:szCs w:val="24"/>
        </w:rPr>
      </w:pPr>
    </w:p>
    <w:p w:rsidR="00464B77" w:rsidRPr="00E7296C" w:rsidRDefault="00464B77" w:rsidP="00E7296C">
      <w:pPr>
        <w:pStyle w:val="Sinespaciado"/>
        <w:rPr>
          <w:sz w:val="20"/>
          <w:szCs w:val="20"/>
        </w:rPr>
      </w:pPr>
      <w:r w:rsidRPr="00AC4134">
        <w:t xml:space="preserve"> </w:t>
      </w:r>
    </w:p>
    <w:p w:rsidR="00BA0791" w:rsidRPr="00E7296C" w:rsidRDefault="00BA0791" w:rsidP="00E7296C">
      <w:pPr>
        <w:pStyle w:val="Sinespaciado"/>
        <w:rPr>
          <w:sz w:val="20"/>
          <w:szCs w:val="20"/>
        </w:rPr>
      </w:pPr>
    </w:p>
    <w:p w:rsidR="00A36A0F" w:rsidRDefault="00A36A0F" w:rsidP="00E7296C">
      <w:pPr>
        <w:pStyle w:val="Sinespaciado"/>
        <w:rPr>
          <w:sz w:val="20"/>
          <w:szCs w:val="20"/>
        </w:rPr>
      </w:pPr>
    </w:p>
    <w:p w:rsidR="00E7296C" w:rsidRPr="00E7296C" w:rsidRDefault="00E7296C"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Default="00BA0791" w:rsidP="00E7296C">
      <w:pPr>
        <w:pStyle w:val="Sinespaciado"/>
        <w:rPr>
          <w:sz w:val="18"/>
          <w:szCs w:val="18"/>
        </w:rPr>
      </w:pPr>
    </w:p>
    <w:p w:rsidR="00FF5702" w:rsidRPr="00CE773E" w:rsidRDefault="00FF5702" w:rsidP="00E7296C">
      <w:pPr>
        <w:pStyle w:val="Sinespaciado"/>
        <w:rPr>
          <w:sz w:val="18"/>
          <w:szCs w:val="18"/>
        </w:rPr>
      </w:pPr>
    </w:p>
    <w:p w:rsidR="00BA0791" w:rsidRPr="00CE773E" w:rsidRDefault="00BA0791" w:rsidP="00E7296C">
      <w:pPr>
        <w:pStyle w:val="Sinespaciado"/>
        <w:rPr>
          <w:sz w:val="18"/>
          <w:szCs w:val="18"/>
        </w:rPr>
      </w:pPr>
    </w:p>
    <w:p w:rsidR="00E7296C" w:rsidRPr="00CE773E" w:rsidRDefault="00E7296C" w:rsidP="00E7296C">
      <w:pPr>
        <w:pStyle w:val="Sinespaciado"/>
        <w:rPr>
          <w:sz w:val="18"/>
          <w:szCs w:val="18"/>
        </w:rPr>
      </w:pPr>
    </w:p>
    <w:p w:rsidR="00464B77" w:rsidRPr="00CE773E" w:rsidRDefault="00464B77"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Pr="00CE773E" w:rsidRDefault="00E7296C" w:rsidP="00E7296C">
      <w:pPr>
        <w:pStyle w:val="Sinespaciado"/>
        <w:rPr>
          <w:sz w:val="18"/>
          <w:szCs w:val="18"/>
        </w:rPr>
      </w:pPr>
    </w:p>
    <w:p w:rsidR="00CE773E" w:rsidRPr="00CE773E" w:rsidRDefault="00CE773E"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FF5702" w:rsidP="003657CE">
      <w:pPr>
        <w:spacing w:line="276" w:lineRule="auto"/>
        <w:jc w:val="center"/>
        <w:rPr>
          <w:rFonts w:ascii="Tahoma" w:hAnsi="Tahoma" w:cs="Tahoma"/>
          <w:b/>
          <w:sz w:val="24"/>
          <w:szCs w:val="24"/>
        </w:rPr>
      </w:pPr>
      <w:r>
        <w:rPr>
          <w:rFonts w:ascii="Tahoma" w:hAnsi="Tahoma" w:cs="Tahoma"/>
          <w:b/>
          <w:sz w:val="24"/>
          <w:szCs w:val="24"/>
        </w:rPr>
        <w:t>ALONSO</w:t>
      </w:r>
      <w:r w:rsidRPr="00FF5702">
        <w:rPr>
          <w:rFonts w:ascii="Tahoma" w:hAnsi="Tahoma" w:cs="Tahoma"/>
          <w:b/>
          <w:sz w:val="24"/>
          <w:szCs w:val="24"/>
        </w:rPr>
        <w:t xml:space="preserve"> GAVIRIA OCAMPO</w:t>
      </w:r>
    </w:p>
    <w:p w:rsidR="00AA7D5E" w:rsidRPr="00BA0791" w:rsidRDefault="00854400"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99" w:rsidRDefault="00317F99" w:rsidP="00F242D4">
      <w:r>
        <w:separator/>
      </w:r>
    </w:p>
  </w:endnote>
  <w:endnote w:type="continuationSeparator" w:id="0">
    <w:p w:rsidR="00317F99" w:rsidRDefault="00317F99"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A230C0" w:rsidRPr="00A230C0">
      <w:rPr>
        <w:noProof/>
        <w:lang w:val="es-ES"/>
      </w:rPr>
      <w:t>5</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317F99" w:rsidRPr="00317F99">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99" w:rsidRDefault="00317F99" w:rsidP="00F242D4">
      <w:r>
        <w:separator/>
      </w:r>
    </w:p>
  </w:footnote>
  <w:footnote w:type="continuationSeparator" w:id="0">
    <w:p w:rsidR="00317F99" w:rsidRDefault="00317F99"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BF60A7">
      <w:rPr>
        <w:rFonts w:ascii="Tahoma" w:hAnsi="Tahoma" w:cs="Tahoma"/>
        <w:sz w:val="16"/>
        <w:szCs w:val="16"/>
      </w:rPr>
      <w:t>66001-22-05-000-2016-00078</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BF60A7">
      <w:rPr>
        <w:rFonts w:ascii="Tahoma" w:hAnsi="Tahoma" w:cs="Tahoma"/>
        <w:sz w:val="16"/>
        <w:szCs w:val="16"/>
      </w:rPr>
      <w:t>Miriam Elizabeth Cortés Romero</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BF60A7">
      <w:rPr>
        <w:rFonts w:ascii="Tahoma" w:hAnsi="Tahoma" w:cs="Tahoma"/>
        <w:sz w:val="16"/>
        <w:szCs w:val="16"/>
      </w:rPr>
      <w:t>Superintendencia de Notariado y Registro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317B"/>
    <w:rsid w:val="00021AAC"/>
    <w:rsid w:val="00021B6A"/>
    <w:rsid w:val="0002215F"/>
    <w:rsid w:val="00040949"/>
    <w:rsid w:val="000452D2"/>
    <w:rsid w:val="00051D30"/>
    <w:rsid w:val="00052C84"/>
    <w:rsid w:val="000747D4"/>
    <w:rsid w:val="000779DB"/>
    <w:rsid w:val="00090887"/>
    <w:rsid w:val="00095791"/>
    <w:rsid w:val="000A0C0B"/>
    <w:rsid w:val="000C1BA8"/>
    <w:rsid w:val="000E0A69"/>
    <w:rsid w:val="000E6E37"/>
    <w:rsid w:val="000F466A"/>
    <w:rsid w:val="001121B4"/>
    <w:rsid w:val="00114137"/>
    <w:rsid w:val="0011552A"/>
    <w:rsid w:val="00136781"/>
    <w:rsid w:val="0015271A"/>
    <w:rsid w:val="001544BD"/>
    <w:rsid w:val="00173E13"/>
    <w:rsid w:val="001771C5"/>
    <w:rsid w:val="0018131F"/>
    <w:rsid w:val="00196372"/>
    <w:rsid w:val="001A25EA"/>
    <w:rsid w:val="001A5665"/>
    <w:rsid w:val="001B3AAD"/>
    <w:rsid w:val="001B7731"/>
    <w:rsid w:val="001C3FC5"/>
    <w:rsid w:val="001C59B5"/>
    <w:rsid w:val="001D4589"/>
    <w:rsid w:val="001F1405"/>
    <w:rsid w:val="002032EE"/>
    <w:rsid w:val="00213994"/>
    <w:rsid w:val="00220009"/>
    <w:rsid w:val="00220B2F"/>
    <w:rsid w:val="00222636"/>
    <w:rsid w:val="00231167"/>
    <w:rsid w:val="0023661A"/>
    <w:rsid w:val="00244DF0"/>
    <w:rsid w:val="00250C7B"/>
    <w:rsid w:val="00252D15"/>
    <w:rsid w:val="00257E8F"/>
    <w:rsid w:val="002805B7"/>
    <w:rsid w:val="00283EE8"/>
    <w:rsid w:val="002901F4"/>
    <w:rsid w:val="002906C0"/>
    <w:rsid w:val="00296F2D"/>
    <w:rsid w:val="002A012C"/>
    <w:rsid w:val="002A7FEF"/>
    <w:rsid w:val="002C4FC4"/>
    <w:rsid w:val="002C5A74"/>
    <w:rsid w:val="002D22A3"/>
    <w:rsid w:val="002E357D"/>
    <w:rsid w:val="003032A8"/>
    <w:rsid w:val="00310772"/>
    <w:rsid w:val="00315CD4"/>
    <w:rsid w:val="00317F99"/>
    <w:rsid w:val="00352002"/>
    <w:rsid w:val="00354382"/>
    <w:rsid w:val="00363525"/>
    <w:rsid w:val="003657CE"/>
    <w:rsid w:val="00380457"/>
    <w:rsid w:val="003A6924"/>
    <w:rsid w:val="003A72E8"/>
    <w:rsid w:val="003B0E3D"/>
    <w:rsid w:val="003B4351"/>
    <w:rsid w:val="0040704E"/>
    <w:rsid w:val="00412C14"/>
    <w:rsid w:val="00420468"/>
    <w:rsid w:val="00421F5F"/>
    <w:rsid w:val="00425953"/>
    <w:rsid w:val="00437373"/>
    <w:rsid w:val="00441C87"/>
    <w:rsid w:val="00443701"/>
    <w:rsid w:val="004478BA"/>
    <w:rsid w:val="00450C3A"/>
    <w:rsid w:val="00456484"/>
    <w:rsid w:val="00464B77"/>
    <w:rsid w:val="004723C4"/>
    <w:rsid w:val="0047643E"/>
    <w:rsid w:val="004840A4"/>
    <w:rsid w:val="004A45B7"/>
    <w:rsid w:val="004C4D4C"/>
    <w:rsid w:val="00502D8C"/>
    <w:rsid w:val="00527911"/>
    <w:rsid w:val="00530873"/>
    <w:rsid w:val="00531D2D"/>
    <w:rsid w:val="00534EC5"/>
    <w:rsid w:val="0053759D"/>
    <w:rsid w:val="0054410C"/>
    <w:rsid w:val="0055178F"/>
    <w:rsid w:val="00584D05"/>
    <w:rsid w:val="00585577"/>
    <w:rsid w:val="00587D2A"/>
    <w:rsid w:val="005A0884"/>
    <w:rsid w:val="005F19EE"/>
    <w:rsid w:val="0061742D"/>
    <w:rsid w:val="00623C2E"/>
    <w:rsid w:val="0063781B"/>
    <w:rsid w:val="0064417C"/>
    <w:rsid w:val="00654265"/>
    <w:rsid w:val="00667A4C"/>
    <w:rsid w:val="00670D04"/>
    <w:rsid w:val="006730E8"/>
    <w:rsid w:val="006D0C3A"/>
    <w:rsid w:val="006D66D2"/>
    <w:rsid w:val="006E213D"/>
    <w:rsid w:val="00700D9D"/>
    <w:rsid w:val="00716955"/>
    <w:rsid w:val="00720F1C"/>
    <w:rsid w:val="00727C2B"/>
    <w:rsid w:val="00756C6E"/>
    <w:rsid w:val="00761B0D"/>
    <w:rsid w:val="007A6D18"/>
    <w:rsid w:val="007B7D0C"/>
    <w:rsid w:val="007D22E9"/>
    <w:rsid w:val="007D7478"/>
    <w:rsid w:val="007E0E0E"/>
    <w:rsid w:val="007E124C"/>
    <w:rsid w:val="007E2A90"/>
    <w:rsid w:val="0081395D"/>
    <w:rsid w:val="00814535"/>
    <w:rsid w:val="00833966"/>
    <w:rsid w:val="0083708E"/>
    <w:rsid w:val="00843CEA"/>
    <w:rsid w:val="00845F83"/>
    <w:rsid w:val="00854400"/>
    <w:rsid w:val="00857CA5"/>
    <w:rsid w:val="00875845"/>
    <w:rsid w:val="0089694F"/>
    <w:rsid w:val="008A75CE"/>
    <w:rsid w:val="008B3FC1"/>
    <w:rsid w:val="008C0F32"/>
    <w:rsid w:val="008D46FF"/>
    <w:rsid w:val="008D6081"/>
    <w:rsid w:val="008E4EC2"/>
    <w:rsid w:val="00905111"/>
    <w:rsid w:val="00925FC0"/>
    <w:rsid w:val="00941CDF"/>
    <w:rsid w:val="009475CB"/>
    <w:rsid w:val="00965E3F"/>
    <w:rsid w:val="0097306C"/>
    <w:rsid w:val="009763B4"/>
    <w:rsid w:val="00990991"/>
    <w:rsid w:val="009C5011"/>
    <w:rsid w:val="009F2D7E"/>
    <w:rsid w:val="009F4F47"/>
    <w:rsid w:val="00A021BB"/>
    <w:rsid w:val="00A0247B"/>
    <w:rsid w:val="00A0535E"/>
    <w:rsid w:val="00A14A79"/>
    <w:rsid w:val="00A230C0"/>
    <w:rsid w:val="00A36A0F"/>
    <w:rsid w:val="00A5132B"/>
    <w:rsid w:val="00A55BA7"/>
    <w:rsid w:val="00A62B53"/>
    <w:rsid w:val="00A64CAC"/>
    <w:rsid w:val="00A70ADD"/>
    <w:rsid w:val="00A752CE"/>
    <w:rsid w:val="00AA7D5E"/>
    <w:rsid w:val="00AB15D4"/>
    <w:rsid w:val="00AB2F7D"/>
    <w:rsid w:val="00AC4134"/>
    <w:rsid w:val="00AE3F54"/>
    <w:rsid w:val="00AF676B"/>
    <w:rsid w:val="00AF685F"/>
    <w:rsid w:val="00B25CD4"/>
    <w:rsid w:val="00B27023"/>
    <w:rsid w:val="00B30A33"/>
    <w:rsid w:val="00B3410D"/>
    <w:rsid w:val="00B561E8"/>
    <w:rsid w:val="00B60A0E"/>
    <w:rsid w:val="00B635E5"/>
    <w:rsid w:val="00B758BE"/>
    <w:rsid w:val="00B77766"/>
    <w:rsid w:val="00B85F3D"/>
    <w:rsid w:val="00BA0791"/>
    <w:rsid w:val="00BD3DDA"/>
    <w:rsid w:val="00BE7725"/>
    <w:rsid w:val="00BF60A7"/>
    <w:rsid w:val="00C13653"/>
    <w:rsid w:val="00C4032A"/>
    <w:rsid w:val="00C47656"/>
    <w:rsid w:val="00C53B4F"/>
    <w:rsid w:val="00C648DB"/>
    <w:rsid w:val="00C86946"/>
    <w:rsid w:val="00C922FD"/>
    <w:rsid w:val="00C9738C"/>
    <w:rsid w:val="00CC747B"/>
    <w:rsid w:val="00CD36F2"/>
    <w:rsid w:val="00CD3BAB"/>
    <w:rsid w:val="00CD4E59"/>
    <w:rsid w:val="00CE51A1"/>
    <w:rsid w:val="00CE773E"/>
    <w:rsid w:val="00D0316A"/>
    <w:rsid w:val="00D033AE"/>
    <w:rsid w:val="00D0404A"/>
    <w:rsid w:val="00D116C2"/>
    <w:rsid w:val="00D16146"/>
    <w:rsid w:val="00D23696"/>
    <w:rsid w:val="00D25B93"/>
    <w:rsid w:val="00D348AC"/>
    <w:rsid w:val="00D41CD0"/>
    <w:rsid w:val="00D512D9"/>
    <w:rsid w:val="00D553BE"/>
    <w:rsid w:val="00D90C16"/>
    <w:rsid w:val="00D92F3B"/>
    <w:rsid w:val="00D971B0"/>
    <w:rsid w:val="00DC298C"/>
    <w:rsid w:val="00DE04C1"/>
    <w:rsid w:val="00DE45E1"/>
    <w:rsid w:val="00E30CBF"/>
    <w:rsid w:val="00E3169D"/>
    <w:rsid w:val="00E31E53"/>
    <w:rsid w:val="00E4096B"/>
    <w:rsid w:val="00E438CD"/>
    <w:rsid w:val="00E70B1E"/>
    <w:rsid w:val="00E723D5"/>
    <w:rsid w:val="00E7296C"/>
    <w:rsid w:val="00E76A37"/>
    <w:rsid w:val="00E90F82"/>
    <w:rsid w:val="00E93B73"/>
    <w:rsid w:val="00EA3437"/>
    <w:rsid w:val="00EB0AE2"/>
    <w:rsid w:val="00EB2209"/>
    <w:rsid w:val="00EB3126"/>
    <w:rsid w:val="00EB7DB1"/>
    <w:rsid w:val="00EC4D73"/>
    <w:rsid w:val="00ED78C9"/>
    <w:rsid w:val="00EE1C5E"/>
    <w:rsid w:val="00EF16AE"/>
    <w:rsid w:val="00EF36F7"/>
    <w:rsid w:val="00F074AB"/>
    <w:rsid w:val="00F1662A"/>
    <w:rsid w:val="00F242D4"/>
    <w:rsid w:val="00F715E1"/>
    <w:rsid w:val="00F85116"/>
    <w:rsid w:val="00F9468F"/>
    <w:rsid w:val="00FB1245"/>
    <w:rsid w:val="00FC7D54"/>
    <w:rsid w:val="00FD1FBA"/>
    <w:rsid w:val="00FE104D"/>
    <w:rsid w:val="00FF1A6F"/>
    <w:rsid w:val="00FF4AB9"/>
    <w:rsid w:val="00FF5702"/>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A59D880-B2F6-47A7-996D-CCEEF97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18</cp:revision>
  <cp:lastPrinted>2015-05-15T23:00:00Z</cp:lastPrinted>
  <dcterms:created xsi:type="dcterms:W3CDTF">2016-04-14T13:27:00Z</dcterms:created>
  <dcterms:modified xsi:type="dcterms:W3CDTF">2016-09-05T20:34:00Z</dcterms:modified>
</cp:coreProperties>
</file>