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D72AB6">
        <w:rPr>
          <w:rFonts w:ascii="Tahoma" w:hAnsi="Tahoma" w:cs="Tahoma"/>
          <w:sz w:val="18"/>
          <w:szCs w:val="18"/>
        </w:rPr>
        <w:t>5</w:t>
      </w:r>
      <w:r w:rsidR="00716955">
        <w:rPr>
          <w:rFonts w:ascii="Tahoma" w:hAnsi="Tahoma" w:cs="Tahoma"/>
          <w:sz w:val="18"/>
          <w:szCs w:val="18"/>
        </w:rPr>
        <w:t xml:space="preserve"> de </w:t>
      </w:r>
      <w:r w:rsidR="00DF0D95">
        <w:rPr>
          <w:rFonts w:ascii="Tahoma" w:hAnsi="Tahoma" w:cs="Tahoma"/>
          <w:sz w:val="18"/>
          <w:szCs w:val="18"/>
        </w:rPr>
        <w:t xml:space="preserve">abril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DF0D95">
        <w:rPr>
          <w:rFonts w:ascii="Tahoma" w:hAnsi="Tahoma" w:cs="Tahoma"/>
          <w:sz w:val="18"/>
          <w:szCs w:val="18"/>
        </w:rPr>
        <w:t>08</w:t>
      </w:r>
      <w:r w:rsidR="00DE4BF3">
        <w:rPr>
          <w:rFonts w:ascii="Tahoma" w:hAnsi="Tahoma" w:cs="Tahoma"/>
          <w:sz w:val="18"/>
          <w:szCs w:val="18"/>
        </w:rPr>
        <w:t>7</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DE4BF3">
        <w:rPr>
          <w:rFonts w:ascii="Tahoma" w:hAnsi="Tahoma" w:cs="Tahoma"/>
          <w:sz w:val="18"/>
          <w:szCs w:val="18"/>
        </w:rPr>
        <w:t>Maryen Toro Hernández</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624F36">
        <w:rPr>
          <w:rFonts w:ascii="Tahoma" w:hAnsi="Tahoma" w:cs="Tahoma"/>
          <w:sz w:val="18"/>
          <w:szCs w:val="18"/>
        </w:rPr>
        <w:t>Ministerio de Educación Nacional y otro</w:t>
      </w:r>
      <w:r w:rsidR="00C359D9">
        <w:rPr>
          <w:rFonts w:ascii="Tahoma" w:hAnsi="Tahoma" w:cs="Tahoma"/>
          <w:sz w:val="18"/>
          <w:szCs w:val="18"/>
        </w:rPr>
        <w:t>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6928D2" w:rsidRDefault="006928D2" w:rsidP="0040214F">
      <w:pPr>
        <w:ind w:left="2832" w:hanging="2832"/>
        <w:jc w:val="both"/>
        <w:rPr>
          <w:rFonts w:ascii="Tahoma" w:hAnsi="Tahoma" w:cs="Tahoma"/>
          <w:iCs/>
          <w:sz w:val="18"/>
          <w:szCs w:val="18"/>
        </w:rPr>
      </w:pPr>
    </w:p>
    <w:p w:rsidR="00D5036D" w:rsidRPr="003B0FF3" w:rsidRDefault="005E0017" w:rsidP="003B0FF3">
      <w:pPr>
        <w:pStyle w:val="Sinespaciado"/>
        <w:rPr>
          <w:rFonts w:ascii="Arial" w:hAnsi="Arial" w:cs="Arial"/>
          <w:spacing w:val="-6"/>
          <w:sz w:val="18"/>
          <w:szCs w:val="18"/>
        </w:rPr>
      </w:pPr>
      <w:r w:rsidRPr="003B0FF3">
        <w:rPr>
          <w:rFonts w:ascii="Arial" w:hAnsi="Arial" w:cs="Arial"/>
          <w:spacing w:val="-6"/>
          <w:sz w:val="18"/>
          <w:szCs w:val="18"/>
        </w:rPr>
        <w:t xml:space="preserve">DERECHO DE PETICIÓN/ Aunque el fondo de la solicitud se relacione con un trámite que debe surtirse por la vía ordinaria, la tutela procede para remediar la vulneración al derecho fundamental a presentar peticiones respetuosas  </w:t>
      </w:r>
    </w:p>
    <w:p w:rsidR="003B0FF3" w:rsidRPr="003B0FF3" w:rsidRDefault="003B0FF3" w:rsidP="003B0FF3">
      <w:pPr>
        <w:jc w:val="both"/>
        <w:rPr>
          <w:rFonts w:ascii="Arial" w:hAnsi="Arial" w:cs="Arial"/>
          <w:spacing w:val="-6"/>
          <w:sz w:val="18"/>
          <w:szCs w:val="18"/>
        </w:rPr>
      </w:pPr>
    </w:p>
    <w:p w:rsidR="003B0FF3" w:rsidRPr="003B0FF3" w:rsidRDefault="002B5BBD" w:rsidP="003B0FF3">
      <w:pPr>
        <w:jc w:val="both"/>
        <w:rPr>
          <w:rFonts w:ascii="Arial" w:hAnsi="Arial" w:cs="Arial"/>
          <w:spacing w:val="-6"/>
          <w:sz w:val="18"/>
          <w:szCs w:val="18"/>
        </w:rPr>
      </w:pPr>
      <w:r w:rsidRPr="003B0FF3">
        <w:rPr>
          <w:rFonts w:ascii="Arial" w:hAnsi="Arial" w:cs="Arial"/>
          <w:spacing w:val="-6"/>
          <w:sz w:val="18"/>
          <w:szCs w:val="18"/>
        </w:rPr>
        <w:t>“(…)</w:t>
      </w:r>
      <w:r w:rsidRPr="003B0FF3">
        <w:rPr>
          <w:rFonts w:ascii="Arial" w:hAnsi="Arial" w:cs="Arial"/>
          <w:spacing w:val="-6"/>
          <w:sz w:val="18"/>
          <w:szCs w:val="18"/>
        </w:rPr>
        <w:t xml:space="preserve"> atendiendo el contenido de la solicitud objeto de la presente acción, en principio, dicho requerimiento, no sería válido, toda vez que </w:t>
      </w:r>
      <w:r w:rsidR="005E0017" w:rsidRPr="003B0FF3">
        <w:rPr>
          <w:rFonts w:ascii="Arial" w:hAnsi="Arial" w:cs="Arial"/>
          <w:spacing w:val="-6"/>
          <w:sz w:val="18"/>
          <w:szCs w:val="18"/>
        </w:rPr>
        <w:t xml:space="preserve">la actora </w:t>
      </w:r>
      <w:r w:rsidRPr="003B0FF3">
        <w:rPr>
          <w:rFonts w:ascii="Arial" w:hAnsi="Arial" w:cs="Arial"/>
          <w:spacing w:val="-6"/>
          <w:sz w:val="18"/>
          <w:szCs w:val="18"/>
        </w:rPr>
        <w:t>cuenta con un mecanismo principal para acceder al pago de esos emolumentos, como es el proceso ejecutivo. No obstante, teniendo en cuenta que la accionante no ha recibido respuesta alguna; se estima que, independientemente del contenido de su petitum, a la señora Maryen Toro Hernández le asiste derecho a obtener una respuesta clara, oportuna y de fondo a lo pretendido.</w:t>
      </w:r>
      <w:r w:rsidR="003B0FF3" w:rsidRPr="003B0FF3">
        <w:rPr>
          <w:rFonts w:ascii="Arial" w:hAnsi="Arial" w:cs="Arial"/>
          <w:spacing w:val="-6"/>
          <w:sz w:val="18"/>
          <w:szCs w:val="18"/>
        </w:rPr>
        <w:t>”</w:t>
      </w:r>
    </w:p>
    <w:p w:rsidR="00D5036D" w:rsidRPr="003B0FF3" w:rsidRDefault="00D5036D" w:rsidP="003B0FF3">
      <w:pPr>
        <w:jc w:val="both"/>
        <w:rPr>
          <w:rFonts w:ascii="Arial" w:hAnsi="Arial" w:cs="Arial"/>
          <w:spacing w:val="-6"/>
          <w:sz w:val="18"/>
          <w:szCs w:val="18"/>
        </w:rPr>
      </w:pPr>
    </w:p>
    <w:p w:rsidR="0040214F" w:rsidRPr="003B0FF3" w:rsidRDefault="00D5036D" w:rsidP="003B0FF3">
      <w:pPr>
        <w:jc w:val="both"/>
        <w:rPr>
          <w:rFonts w:ascii="Arial" w:hAnsi="Arial" w:cs="Arial"/>
          <w:spacing w:val="-6"/>
          <w:sz w:val="16"/>
          <w:szCs w:val="18"/>
        </w:rPr>
      </w:pPr>
      <w:r w:rsidRPr="003B0FF3">
        <w:rPr>
          <w:rFonts w:ascii="Arial" w:hAnsi="Arial" w:cs="Arial"/>
          <w:spacing w:val="-6"/>
          <w:sz w:val="16"/>
          <w:szCs w:val="18"/>
        </w:rPr>
        <w:t>Cita</w:t>
      </w:r>
      <w:r w:rsidRPr="003B0FF3">
        <w:rPr>
          <w:rFonts w:ascii="Arial" w:hAnsi="Arial" w:cs="Arial"/>
          <w:spacing w:val="-6"/>
          <w:sz w:val="16"/>
          <w:szCs w:val="18"/>
        </w:rPr>
        <w:t>: Corte Constitucional</w:t>
      </w:r>
      <w:r w:rsidR="003B0FF3">
        <w:rPr>
          <w:rFonts w:ascii="Arial" w:hAnsi="Arial" w:cs="Arial"/>
          <w:spacing w:val="-6"/>
          <w:sz w:val="16"/>
          <w:szCs w:val="18"/>
        </w:rPr>
        <w:t>,</w:t>
      </w:r>
      <w:r w:rsidRPr="003B0FF3">
        <w:rPr>
          <w:rFonts w:ascii="Arial" w:hAnsi="Arial" w:cs="Arial"/>
          <w:spacing w:val="-6"/>
          <w:sz w:val="16"/>
          <w:szCs w:val="18"/>
        </w:rPr>
        <w:t xml:space="preserve"> sentencia T-667 de 2011.</w:t>
      </w:r>
    </w:p>
    <w:p w:rsidR="0040214F" w:rsidRDefault="0040214F"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6A346A">
        <w:rPr>
          <w:rFonts w:ascii="Tahoma" w:hAnsi="Tahoma" w:cs="Tahoma"/>
          <w:b/>
          <w:bCs/>
          <w:sz w:val="24"/>
          <w:szCs w:val="24"/>
        </w:rPr>
        <w:t xml:space="preserve"> No. 1</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D72AB6" w:rsidP="003657C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(Abril 25</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4C1D27">
        <w:rPr>
          <w:rFonts w:ascii="Tahoma" w:hAnsi="Tahoma" w:cs="Tahoma"/>
          <w:sz w:val="24"/>
          <w:szCs w:val="24"/>
        </w:rPr>
        <w:t>la señora</w:t>
      </w:r>
      <w:r>
        <w:rPr>
          <w:rFonts w:ascii="Tahoma" w:hAnsi="Tahoma" w:cs="Tahoma"/>
          <w:sz w:val="24"/>
          <w:szCs w:val="24"/>
        </w:rPr>
        <w:t xml:space="preserve"> </w:t>
      </w:r>
      <w:r w:rsidR="000D7F8A">
        <w:rPr>
          <w:rFonts w:ascii="Tahoma" w:hAnsi="Tahoma" w:cs="Tahoma"/>
          <w:b/>
          <w:sz w:val="24"/>
          <w:szCs w:val="24"/>
        </w:rPr>
        <w:t>Maryen Toro</w:t>
      </w:r>
      <w:r w:rsidR="00DE4BF3">
        <w:rPr>
          <w:rFonts w:ascii="Tahoma" w:hAnsi="Tahoma" w:cs="Tahoma"/>
          <w:b/>
          <w:sz w:val="24"/>
          <w:szCs w:val="24"/>
        </w:rPr>
        <w:t xml:space="preserve"> Hernández</w:t>
      </w:r>
      <w:r w:rsidR="00BA1038">
        <w:rPr>
          <w:rFonts w:ascii="Tahoma" w:hAnsi="Tahoma" w:cs="Tahoma"/>
          <w:b/>
          <w:sz w:val="24"/>
          <w:szCs w:val="24"/>
        </w:rPr>
        <w:t xml:space="preserve">, </w:t>
      </w:r>
      <w:r w:rsidR="00BA1038" w:rsidRPr="00BA1038">
        <w:rPr>
          <w:rFonts w:ascii="Tahoma" w:hAnsi="Tahoma" w:cs="Tahoma"/>
          <w:sz w:val="24"/>
          <w:szCs w:val="24"/>
        </w:rPr>
        <w:t>por intermedio de apoderado judicial</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8F360F">
        <w:rPr>
          <w:rFonts w:ascii="Tahoma" w:hAnsi="Tahoma" w:cs="Tahoma"/>
          <w:sz w:val="24"/>
          <w:szCs w:val="24"/>
        </w:rPr>
        <w:t>de</w:t>
      </w:r>
      <w:r w:rsidR="00523DB5">
        <w:rPr>
          <w:rFonts w:ascii="Tahoma" w:hAnsi="Tahoma" w:cs="Tahoma"/>
          <w:sz w:val="24"/>
          <w:szCs w:val="24"/>
        </w:rPr>
        <w:t>l</w:t>
      </w:r>
      <w:r w:rsidR="00437373">
        <w:rPr>
          <w:rFonts w:ascii="Tahoma" w:hAnsi="Tahoma" w:cs="Tahoma"/>
          <w:sz w:val="24"/>
          <w:szCs w:val="24"/>
        </w:rPr>
        <w:t xml:space="preserve"> </w:t>
      </w:r>
      <w:r w:rsidR="00523DB5">
        <w:rPr>
          <w:rFonts w:ascii="Tahoma" w:hAnsi="Tahoma" w:cs="Tahoma"/>
          <w:b/>
          <w:sz w:val="24"/>
          <w:szCs w:val="24"/>
        </w:rPr>
        <w:t>Mi</w:t>
      </w:r>
      <w:r w:rsidR="00C359D9">
        <w:rPr>
          <w:rFonts w:ascii="Tahoma" w:hAnsi="Tahoma" w:cs="Tahoma"/>
          <w:b/>
          <w:sz w:val="24"/>
          <w:szCs w:val="24"/>
        </w:rPr>
        <w:t xml:space="preserve">nisterio de Educación Nacional, </w:t>
      </w:r>
      <w:r w:rsidR="00C359D9" w:rsidRPr="00C359D9">
        <w:rPr>
          <w:rFonts w:ascii="Tahoma" w:hAnsi="Tahoma" w:cs="Tahoma"/>
          <w:sz w:val="24"/>
          <w:szCs w:val="24"/>
        </w:rPr>
        <w:t>el</w:t>
      </w:r>
      <w:r w:rsidR="00523DB5">
        <w:rPr>
          <w:rFonts w:ascii="Tahoma" w:hAnsi="Tahoma" w:cs="Tahoma"/>
          <w:b/>
          <w:sz w:val="24"/>
          <w:szCs w:val="24"/>
        </w:rPr>
        <w:t xml:space="preserve"> Fondo Nacional</w:t>
      </w:r>
      <w:r w:rsidR="009A0165">
        <w:rPr>
          <w:rFonts w:ascii="Tahoma" w:hAnsi="Tahoma" w:cs="Tahoma"/>
          <w:b/>
          <w:sz w:val="24"/>
          <w:szCs w:val="24"/>
        </w:rPr>
        <w:t xml:space="preserve"> de Prestaciones Sociales del Magisterio</w:t>
      </w:r>
      <w:r w:rsidR="00C359D9">
        <w:rPr>
          <w:rFonts w:ascii="Tahoma" w:hAnsi="Tahoma" w:cs="Tahoma"/>
          <w:b/>
          <w:sz w:val="24"/>
          <w:szCs w:val="24"/>
        </w:rPr>
        <w:t xml:space="preserve">, </w:t>
      </w:r>
      <w:r w:rsidR="00DF0D95">
        <w:rPr>
          <w:rFonts w:ascii="Tahoma" w:hAnsi="Tahoma" w:cs="Tahoma"/>
          <w:b/>
          <w:sz w:val="24"/>
          <w:szCs w:val="24"/>
        </w:rPr>
        <w:t>Secretaria de Educación</w:t>
      </w:r>
      <w:r w:rsidR="00C359D9">
        <w:rPr>
          <w:rFonts w:ascii="Tahoma" w:hAnsi="Tahoma" w:cs="Tahoma"/>
          <w:b/>
          <w:sz w:val="24"/>
          <w:szCs w:val="24"/>
        </w:rPr>
        <w:t xml:space="preserve"> </w:t>
      </w:r>
      <w:r w:rsidR="00DF0D95">
        <w:rPr>
          <w:rFonts w:ascii="Tahoma" w:hAnsi="Tahoma" w:cs="Tahoma"/>
          <w:b/>
          <w:sz w:val="24"/>
          <w:szCs w:val="24"/>
        </w:rPr>
        <w:t xml:space="preserve">Municipal </w:t>
      </w:r>
      <w:r w:rsidR="00C359D9">
        <w:rPr>
          <w:rFonts w:ascii="Tahoma" w:hAnsi="Tahoma" w:cs="Tahoma"/>
          <w:b/>
          <w:sz w:val="24"/>
          <w:szCs w:val="24"/>
        </w:rPr>
        <w:t xml:space="preserve">de </w:t>
      </w:r>
      <w:r w:rsidR="00DF0D95">
        <w:rPr>
          <w:rFonts w:ascii="Tahoma" w:hAnsi="Tahoma" w:cs="Tahoma"/>
          <w:b/>
          <w:sz w:val="24"/>
          <w:szCs w:val="24"/>
        </w:rPr>
        <w:t>Pereira</w:t>
      </w:r>
      <w:r w:rsidR="00C359D9">
        <w:rPr>
          <w:rFonts w:ascii="Tahoma" w:hAnsi="Tahoma" w:cs="Tahoma"/>
          <w:b/>
          <w:sz w:val="24"/>
          <w:szCs w:val="24"/>
        </w:rPr>
        <w:t xml:space="preserve"> </w:t>
      </w:r>
      <w:r w:rsidR="00523DB5" w:rsidRPr="00523DB5">
        <w:rPr>
          <w:rFonts w:ascii="Tahoma" w:hAnsi="Tahoma" w:cs="Tahoma"/>
          <w:sz w:val="24"/>
          <w:szCs w:val="24"/>
        </w:rPr>
        <w:t>y</w:t>
      </w:r>
      <w:r w:rsidR="00523DB5">
        <w:rPr>
          <w:rFonts w:ascii="Tahoma" w:hAnsi="Tahoma" w:cs="Tahoma"/>
          <w:b/>
          <w:sz w:val="24"/>
          <w:szCs w:val="24"/>
        </w:rPr>
        <w:t xml:space="preserve"> </w:t>
      </w:r>
      <w:r w:rsidR="00C359D9">
        <w:rPr>
          <w:rFonts w:ascii="Tahoma" w:hAnsi="Tahoma" w:cs="Tahoma"/>
          <w:b/>
          <w:sz w:val="24"/>
          <w:szCs w:val="24"/>
        </w:rPr>
        <w:t>Fiduprevisora S.A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D72AB6" w:rsidRDefault="00D72AB6" w:rsidP="00D72AB6">
      <w:pPr>
        <w:pStyle w:val="Sinespaciado"/>
      </w:pPr>
    </w:p>
    <w:p w:rsidR="00D72AB6" w:rsidRDefault="00D72AB6" w:rsidP="001C59B5">
      <w:pPr>
        <w:spacing w:line="276" w:lineRule="auto"/>
        <w:ind w:firstLine="709"/>
        <w:jc w:val="both"/>
        <w:rPr>
          <w:rFonts w:ascii="Tahoma" w:hAnsi="Tahoma" w:cs="Tahoma"/>
          <w:sz w:val="24"/>
          <w:szCs w:val="24"/>
        </w:rPr>
      </w:pPr>
      <w:r>
        <w:rPr>
          <w:rFonts w:ascii="Tahoma" w:hAnsi="Tahoma" w:cs="Tahoma"/>
          <w:sz w:val="24"/>
          <w:szCs w:val="24"/>
        </w:rPr>
        <w:t xml:space="preserve">Se vinculó a la </w:t>
      </w:r>
      <w:r w:rsidRPr="00D72AB6">
        <w:rPr>
          <w:rFonts w:ascii="Tahoma" w:hAnsi="Tahoma" w:cs="Tahoma"/>
          <w:b/>
          <w:sz w:val="24"/>
          <w:szCs w:val="24"/>
        </w:rPr>
        <w:t>Secretaria de Educación Departamental de Risaralda</w:t>
      </w:r>
      <w:r>
        <w:rPr>
          <w:rFonts w:ascii="Tahoma" w:hAnsi="Tahoma" w:cs="Tahoma"/>
          <w:sz w:val="24"/>
          <w:szCs w:val="24"/>
        </w:rPr>
        <w:t>.</w:t>
      </w:r>
    </w:p>
    <w:p w:rsidR="00F242D4" w:rsidRPr="00D72AB6" w:rsidRDefault="00F242D4" w:rsidP="00D72AB6">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D72AB6" w:rsidRDefault="00310772" w:rsidP="00D72AB6">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BD683A" w:rsidRDefault="00AF685F" w:rsidP="00E7296C">
      <w:pPr>
        <w:pStyle w:val="Sinespaciado"/>
        <w:rPr>
          <w:sz w:val="20"/>
          <w:szCs w:val="20"/>
        </w:rPr>
      </w:pPr>
    </w:p>
    <w:p w:rsidR="00C50D5E"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l</w:t>
      </w:r>
      <w:r w:rsidR="004C1D27">
        <w:rPr>
          <w:rFonts w:ascii="Tahoma" w:hAnsi="Tahoma" w:cs="Tahoma"/>
          <w:sz w:val="24"/>
          <w:szCs w:val="24"/>
        </w:rPr>
        <w:t>a</w:t>
      </w:r>
      <w:r w:rsidR="00D32EDE">
        <w:rPr>
          <w:rFonts w:ascii="Tahoma" w:hAnsi="Tahoma" w:cs="Tahoma"/>
          <w:sz w:val="24"/>
          <w:szCs w:val="24"/>
        </w:rPr>
        <w:t xml:space="preserve"> actor</w:t>
      </w:r>
      <w:r w:rsidR="004C1D27">
        <w:rPr>
          <w:rFonts w:ascii="Tahoma" w:hAnsi="Tahoma" w:cs="Tahoma"/>
          <w:sz w:val="24"/>
          <w:szCs w:val="24"/>
        </w:rPr>
        <w:t>a</w:t>
      </w:r>
      <w:r w:rsidR="00D32EDE">
        <w:rPr>
          <w:rFonts w:ascii="Tahoma" w:hAnsi="Tahoma" w:cs="Tahoma"/>
          <w:sz w:val="24"/>
          <w:szCs w:val="24"/>
        </w:rPr>
        <w:t xml:space="preserve"> que</w:t>
      </w:r>
      <w:r w:rsidR="008E2533">
        <w:rPr>
          <w:rFonts w:ascii="Tahoma" w:hAnsi="Tahoma" w:cs="Tahoma"/>
          <w:sz w:val="24"/>
          <w:szCs w:val="24"/>
        </w:rPr>
        <w:t xml:space="preserve"> </w:t>
      </w:r>
      <w:r w:rsidR="00D32EDE">
        <w:rPr>
          <w:rFonts w:ascii="Tahoma" w:hAnsi="Tahoma" w:cs="Tahoma"/>
          <w:sz w:val="24"/>
          <w:szCs w:val="24"/>
        </w:rPr>
        <w:t xml:space="preserve">el Juzgado </w:t>
      </w:r>
      <w:r w:rsidR="00DE4BF3">
        <w:rPr>
          <w:rFonts w:ascii="Tahoma" w:hAnsi="Tahoma" w:cs="Tahoma"/>
          <w:sz w:val="24"/>
          <w:szCs w:val="24"/>
        </w:rPr>
        <w:t>Tercero</w:t>
      </w:r>
      <w:r w:rsidR="00DF0D95">
        <w:rPr>
          <w:rFonts w:ascii="Tahoma" w:hAnsi="Tahoma" w:cs="Tahoma"/>
          <w:sz w:val="24"/>
          <w:szCs w:val="24"/>
        </w:rPr>
        <w:t xml:space="preserve"> </w:t>
      </w:r>
      <w:r w:rsidR="00D32EDE">
        <w:rPr>
          <w:rFonts w:ascii="Tahoma" w:hAnsi="Tahoma" w:cs="Tahoma"/>
          <w:sz w:val="24"/>
          <w:szCs w:val="24"/>
        </w:rPr>
        <w:t xml:space="preserve">Administrativo del Circuito de </w:t>
      </w:r>
      <w:r w:rsidR="00DF0D95">
        <w:rPr>
          <w:rFonts w:ascii="Tahoma" w:hAnsi="Tahoma" w:cs="Tahoma"/>
          <w:sz w:val="24"/>
          <w:szCs w:val="24"/>
        </w:rPr>
        <w:t>Pereira profirió sentencia</w:t>
      </w:r>
      <w:r w:rsidR="00722495">
        <w:rPr>
          <w:rFonts w:ascii="Tahoma" w:hAnsi="Tahoma" w:cs="Tahoma"/>
          <w:sz w:val="24"/>
          <w:szCs w:val="24"/>
        </w:rPr>
        <w:t xml:space="preserve"> condenatoria e</w:t>
      </w:r>
      <w:r w:rsidR="00DF0D95">
        <w:rPr>
          <w:rFonts w:ascii="Tahoma" w:hAnsi="Tahoma" w:cs="Tahoma"/>
          <w:sz w:val="24"/>
          <w:szCs w:val="24"/>
        </w:rPr>
        <w:t xml:space="preserve">l </w:t>
      </w:r>
      <w:r w:rsidR="00DE4BF3">
        <w:rPr>
          <w:rFonts w:ascii="Tahoma" w:hAnsi="Tahoma" w:cs="Tahoma"/>
          <w:sz w:val="24"/>
          <w:szCs w:val="24"/>
        </w:rPr>
        <w:t>5</w:t>
      </w:r>
      <w:r w:rsidR="00DF0D95">
        <w:rPr>
          <w:rFonts w:ascii="Tahoma" w:hAnsi="Tahoma" w:cs="Tahoma"/>
          <w:sz w:val="24"/>
          <w:szCs w:val="24"/>
        </w:rPr>
        <w:t xml:space="preserve"> de </w:t>
      </w:r>
      <w:r w:rsidR="00DE4BF3">
        <w:rPr>
          <w:rFonts w:ascii="Tahoma" w:hAnsi="Tahoma" w:cs="Tahoma"/>
          <w:sz w:val="24"/>
          <w:szCs w:val="24"/>
        </w:rPr>
        <w:t>junio</w:t>
      </w:r>
      <w:r w:rsidR="00D32EDE">
        <w:rPr>
          <w:rFonts w:ascii="Tahoma" w:hAnsi="Tahoma" w:cs="Tahoma"/>
          <w:sz w:val="24"/>
          <w:szCs w:val="24"/>
        </w:rPr>
        <w:t xml:space="preserve"> de 201</w:t>
      </w:r>
      <w:r w:rsidR="00DF0D95">
        <w:rPr>
          <w:rFonts w:ascii="Tahoma" w:hAnsi="Tahoma" w:cs="Tahoma"/>
          <w:sz w:val="24"/>
          <w:szCs w:val="24"/>
        </w:rPr>
        <w:t>4</w:t>
      </w:r>
      <w:r w:rsidR="00D32EDE">
        <w:rPr>
          <w:rFonts w:ascii="Tahoma" w:hAnsi="Tahoma" w:cs="Tahoma"/>
          <w:sz w:val="24"/>
          <w:szCs w:val="24"/>
        </w:rPr>
        <w:t>, confirmada por el Tribunal Contencioso</w:t>
      </w:r>
      <w:r w:rsidR="00DE4BF3">
        <w:rPr>
          <w:rFonts w:ascii="Tahoma" w:hAnsi="Tahoma" w:cs="Tahoma"/>
          <w:sz w:val="24"/>
          <w:szCs w:val="24"/>
        </w:rPr>
        <w:t xml:space="preserve"> Administrativo de Risaralda el 27 de marzo de 2015</w:t>
      </w:r>
      <w:r w:rsidR="00DF0D95">
        <w:rPr>
          <w:rFonts w:ascii="Tahoma" w:hAnsi="Tahoma" w:cs="Tahoma"/>
          <w:sz w:val="24"/>
          <w:szCs w:val="24"/>
        </w:rPr>
        <w:t>,</w:t>
      </w:r>
      <w:r w:rsidR="00722495">
        <w:rPr>
          <w:rFonts w:ascii="Tahoma" w:hAnsi="Tahoma" w:cs="Tahoma"/>
          <w:sz w:val="24"/>
          <w:szCs w:val="24"/>
        </w:rPr>
        <w:t xml:space="preserve"> dentro del proceso de nulidad y restablecimiento del derecho</w:t>
      </w:r>
      <w:r w:rsidR="007A01A5" w:rsidRPr="007A01A5">
        <w:rPr>
          <w:rFonts w:ascii="Tahoma" w:hAnsi="Tahoma" w:cs="Tahoma"/>
          <w:sz w:val="24"/>
          <w:szCs w:val="24"/>
        </w:rPr>
        <w:t xml:space="preserve"> </w:t>
      </w:r>
      <w:r w:rsidR="007A01A5">
        <w:rPr>
          <w:rFonts w:ascii="Tahoma" w:hAnsi="Tahoma" w:cs="Tahoma"/>
          <w:sz w:val="24"/>
          <w:szCs w:val="24"/>
        </w:rPr>
        <w:t>para la liquidació</w:t>
      </w:r>
      <w:r w:rsidR="00047559">
        <w:rPr>
          <w:rFonts w:ascii="Tahoma" w:hAnsi="Tahoma" w:cs="Tahoma"/>
          <w:sz w:val="24"/>
          <w:szCs w:val="24"/>
        </w:rPr>
        <w:t>n de su</w:t>
      </w:r>
      <w:r w:rsidR="007A01A5">
        <w:rPr>
          <w:rFonts w:ascii="Tahoma" w:hAnsi="Tahoma" w:cs="Tahoma"/>
          <w:sz w:val="24"/>
          <w:szCs w:val="24"/>
        </w:rPr>
        <w:t xml:space="preserve"> pensión de jubilación a cargo de las entidades accionadas.</w:t>
      </w:r>
      <w:r w:rsidR="00047559">
        <w:rPr>
          <w:rFonts w:ascii="Tahoma" w:hAnsi="Tahoma" w:cs="Tahoma"/>
          <w:sz w:val="24"/>
          <w:szCs w:val="24"/>
        </w:rPr>
        <w:t xml:space="preserve"> </w:t>
      </w:r>
    </w:p>
    <w:p w:rsidR="008E2533" w:rsidRPr="00BD683A" w:rsidRDefault="008E2533" w:rsidP="008E2533">
      <w:pPr>
        <w:pStyle w:val="Sinespaciado"/>
        <w:rPr>
          <w:sz w:val="20"/>
          <w:szCs w:val="20"/>
        </w:rPr>
      </w:pP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w:t>
      </w:r>
      <w:r w:rsidR="00D32EDE">
        <w:rPr>
          <w:rFonts w:ascii="Tahoma" w:hAnsi="Tahoma" w:cs="Tahoma"/>
          <w:sz w:val="24"/>
          <w:szCs w:val="24"/>
        </w:rPr>
        <w:t xml:space="preserve">el </w:t>
      </w:r>
      <w:r w:rsidR="00DE4BF3">
        <w:rPr>
          <w:rFonts w:ascii="Tahoma" w:hAnsi="Tahoma" w:cs="Tahoma"/>
          <w:sz w:val="24"/>
          <w:szCs w:val="24"/>
        </w:rPr>
        <w:t>27</w:t>
      </w:r>
      <w:r w:rsidR="00722495">
        <w:rPr>
          <w:rFonts w:ascii="Tahoma" w:hAnsi="Tahoma" w:cs="Tahoma"/>
          <w:sz w:val="24"/>
          <w:szCs w:val="24"/>
        </w:rPr>
        <w:t xml:space="preserve"> de </w:t>
      </w:r>
      <w:r w:rsidR="00DE4BF3">
        <w:rPr>
          <w:rFonts w:ascii="Tahoma" w:hAnsi="Tahoma" w:cs="Tahoma"/>
          <w:sz w:val="24"/>
          <w:szCs w:val="24"/>
        </w:rPr>
        <w:t>octubre</w:t>
      </w:r>
      <w:r w:rsidR="00722495">
        <w:rPr>
          <w:rFonts w:ascii="Tahoma" w:hAnsi="Tahoma" w:cs="Tahoma"/>
          <w:sz w:val="24"/>
          <w:szCs w:val="24"/>
        </w:rPr>
        <w:t xml:space="preserve"> de 2015 solicitó el cumplimiento de las referidas providencias, requiriendo a las accionadas para que le proporcionaran información concreta sobre el pago de las sentencias judiciales proferidas por la Jurisdicción Contencioso Administrativo.</w:t>
      </w:r>
      <w:r w:rsidR="00D32EDE">
        <w:rPr>
          <w:rFonts w:ascii="Tahoma" w:hAnsi="Tahoma" w:cs="Tahoma"/>
          <w:sz w:val="24"/>
          <w:szCs w:val="24"/>
        </w:rPr>
        <w:t xml:space="preserve"> </w:t>
      </w:r>
    </w:p>
    <w:p w:rsidR="00220009" w:rsidRPr="00BD683A" w:rsidRDefault="00220009" w:rsidP="00400B6A">
      <w:pPr>
        <w:pStyle w:val="Sinespaciado"/>
        <w:rPr>
          <w:sz w:val="20"/>
          <w:szCs w:val="20"/>
        </w:rPr>
      </w:pPr>
    </w:p>
    <w:p w:rsidR="00400B6A" w:rsidRDefault="00DC298C" w:rsidP="0017616F">
      <w:pPr>
        <w:spacing w:line="276" w:lineRule="auto"/>
        <w:ind w:firstLine="709"/>
        <w:jc w:val="both"/>
        <w:rPr>
          <w:rFonts w:ascii="Tahoma" w:hAnsi="Tahoma" w:cs="Tahoma"/>
          <w:sz w:val="24"/>
          <w:szCs w:val="24"/>
        </w:rPr>
      </w:pPr>
      <w:r>
        <w:rPr>
          <w:rFonts w:ascii="Tahoma" w:hAnsi="Tahoma" w:cs="Tahoma"/>
          <w:sz w:val="24"/>
          <w:szCs w:val="24"/>
        </w:rPr>
        <w:lastRenderedPageBreak/>
        <w:t xml:space="preserve">Enuncia que </w:t>
      </w:r>
      <w:r w:rsidR="00722495">
        <w:rPr>
          <w:rFonts w:ascii="Tahoma" w:hAnsi="Tahoma" w:cs="Tahoma"/>
          <w:sz w:val="24"/>
          <w:szCs w:val="24"/>
        </w:rPr>
        <w:t>a la fecha de la presentación de la tutela ha transcurrido el término legal para obtener una respuesta adecuada, efectiva y oportuna a su petición</w:t>
      </w:r>
      <w:r w:rsidR="003D61FC">
        <w:rPr>
          <w:rFonts w:ascii="Tahoma" w:hAnsi="Tahoma" w:cs="Tahoma"/>
          <w:sz w:val="24"/>
          <w:szCs w:val="24"/>
        </w:rPr>
        <w:t>, por lo que depreca que en respuesta de su petición, las accionadas expidan el acto administrativo que dé cumplimiento a las sentencias judiciales.</w:t>
      </w:r>
    </w:p>
    <w:p w:rsidR="00C707A1" w:rsidRDefault="00C707A1" w:rsidP="0017616F">
      <w:pPr>
        <w:spacing w:line="276" w:lineRule="auto"/>
        <w:ind w:firstLine="709"/>
        <w:jc w:val="both"/>
        <w:rPr>
          <w:rFonts w:ascii="Tahoma" w:hAnsi="Tahoma" w:cs="Tahoma"/>
          <w:sz w:val="24"/>
          <w:szCs w:val="24"/>
        </w:rPr>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BD683A" w:rsidRDefault="00B30A33" w:rsidP="00231167">
      <w:pPr>
        <w:pStyle w:val="Sinespaciado"/>
        <w:rPr>
          <w:sz w:val="20"/>
          <w:szCs w:val="20"/>
        </w:rPr>
      </w:pPr>
    </w:p>
    <w:p w:rsidR="00E43B93" w:rsidRPr="007132E3" w:rsidRDefault="00E43B93" w:rsidP="00E43B93">
      <w:pPr>
        <w:spacing w:line="276" w:lineRule="auto"/>
        <w:ind w:firstLine="709"/>
        <w:jc w:val="both"/>
        <w:rPr>
          <w:rFonts w:ascii="Tahoma" w:hAnsi="Tahoma" w:cs="Tahoma"/>
          <w:sz w:val="24"/>
          <w:szCs w:val="24"/>
        </w:rPr>
      </w:pPr>
      <w:r w:rsidRPr="007132E3">
        <w:rPr>
          <w:rFonts w:ascii="Tahoma" w:hAnsi="Tahoma" w:cs="Tahoma"/>
          <w:sz w:val="24"/>
          <w:szCs w:val="24"/>
        </w:rPr>
        <w:t>El Ministerio de Educación Nacional manifestó que el derecho de petición objeto de la acción no fue radicado en sus instalaciones, por lo que se configura una falta de legitimación en la causa por pasiva, toda vez que no atiende solicitudes a cargo de las Secretarias de Educación, entidades que hacen parte de las administraciones territoriales y su superior jerárquico es el alcalde municipal o gobernador departamental, según sea el caso, y del Fondo de Prestaciones Sociales del Magisterio pues este último es administrado bajo la figura de patrimonio autónomo por Fiduprevisora S.A, entidad que tiene la vocería y representación judicial y extrajudicial del fondo.</w:t>
      </w:r>
    </w:p>
    <w:p w:rsidR="00E43B93" w:rsidRPr="007322AC" w:rsidRDefault="00E43B93" w:rsidP="0099113D">
      <w:pPr>
        <w:pStyle w:val="Sinespaciado"/>
        <w:rPr>
          <w:sz w:val="20"/>
          <w:szCs w:val="20"/>
          <w:highlight w:val="darkCyan"/>
        </w:rPr>
      </w:pPr>
    </w:p>
    <w:p w:rsidR="00D113B8" w:rsidRDefault="00D113B8" w:rsidP="00D113B8">
      <w:pPr>
        <w:spacing w:line="276" w:lineRule="auto"/>
        <w:ind w:firstLine="709"/>
        <w:jc w:val="both"/>
        <w:rPr>
          <w:rFonts w:ascii="Tahoma" w:hAnsi="Tahoma" w:cs="Tahoma"/>
          <w:sz w:val="24"/>
          <w:szCs w:val="24"/>
        </w:rPr>
      </w:pPr>
      <w:r w:rsidRPr="007322AC">
        <w:rPr>
          <w:rFonts w:ascii="Tahoma" w:hAnsi="Tahoma" w:cs="Tahoma"/>
          <w:sz w:val="24"/>
          <w:szCs w:val="24"/>
        </w:rPr>
        <w:t xml:space="preserve">La Secretaría de Educación de </w:t>
      </w:r>
      <w:r w:rsidR="005A3C95" w:rsidRPr="007322AC">
        <w:rPr>
          <w:rFonts w:ascii="Tahoma" w:hAnsi="Tahoma" w:cs="Tahoma"/>
          <w:sz w:val="24"/>
          <w:szCs w:val="24"/>
        </w:rPr>
        <w:t>Pereira</w:t>
      </w:r>
      <w:r w:rsidRPr="007322AC">
        <w:rPr>
          <w:rFonts w:ascii="Tahoma" w:hAnsi="Tahoma" w:cs="Tahoma"/>
          <w:sz w:val="24"/>
          <w:szCs w:val="24"/>
        </w:rPr>
        <w:t xml:space="preserve"> aseguró que </w:t>
      </w:r>
      <w:r w:rsidR="005A3C95" w:rsidRPr="007322AC">
        <w:rPr>
          <w:rFonts w:ascii="Tahoma" w:hAnsi="Tahoma" w:cs="Tahoma"/>
          <w:sz w:val="24"/>
          <w:szCs w:val="24"/>
        </w:rPr>
        <w:t>revisada la base de datos de la entidad constató que no ha sido radicada</w:t>
      </w:r>
      <w:r w:rsidR="00C67FA0" w:rsidRPr="007322AC">
        <w:rPr>
          <w:rFonts w:ascii="Tahoma" w:hAnsi="Tahoma" w:cs="Tahoma"/>
          <w:sz w:val="24"/>
          <w:szCs w:val="24"/>
        </w:rPr>
        <w:t xml:space="preserve"> petición por parte del</w:t>
      </w:r>
      <w:r w:rsidR="005A3C95" w:rsidRPr="007322AC">
        <w:rPr>
          <w:rFonts w:ascii="Tahoma" w:hAnsi="Tahoma" w:cs="Tahoma"/>
          <w:sz w:val="24"/>
          <w:szCs w:val="24"/>
        </w:rPr>
        <w:t xml:space="preserve"> apoderado </w:t>
      </w:r>
      <w:r w:rsidR="00C67FA0" w:rsidRPr="007322AC">
        <w:rPr>
          <w:rFonts w:ascii="Tahoma" w:hAnsi="Tahoma" w:cs="Tahoma"/>
          <w:sz w:val="24"/>
          <w:szCs w:val="24"/>
        </w:rPr>
        <w:t>de la actora, por lo que no se ha iniciado</w:t>
      </w:r>
      <w:r w:rsidR="005A3C95" w:rsidRPr="007322AC">
        <w:rPr>
          <w:rFonts w:ascii="Tahoma" w:hAnsi="Tahoma" w:cs="Tahoma"/>
          <w:sz w:val="24"/>
          <w:szCs w:val="24"/>
        </w:rPr>
        <w:t xml:space="preserve"> el trámite consagrado en el </w:t>
      </w:r>
      <w:r w:rsidR="00C67FA0" w:rsidRPr="007322AC">
        <w:rPr>
          <w:rFonts w:ascii="Tahoma" w:hAnsi="Tahoma" w:cs="Tahoma"/>
          <w:sz w:val="24"/>
          <w:szCs w:val="24"/>
        </w:rPr>
        <w:t>Decreto 2831 del 2005 y tampoco se ha vulnerado derecho fundamental alguno.</w:t>
      </w:r>
    </w:p>
    <w:p w:rsidR="00177340" w:rsidRDefault="00177340" w:rsidP="00D113B8">
      <w:pPr>
        <w:spacing w:line="276" w:lineRule="auto"/>
        <w:ind w:firstLine="709"/>
        <w:jc w:val="both"/>
        <w:rPr>
          <w:rFonts w:ascii="Tahoma" w:hAnsi="Tahoma" w:cs="Tahoma"/>
          <w:sz w:val="24"/>
          <w:szCs w:val="24"/>
        </w:rPr>
      </w:pPr>
    </w:p>
    <w:p w:rsidR="00177340" w:rsidRPr="007322AC" w:rsidRDefault="00177340" w:rsidP="00D113B8">
      <w:pPr>
        <w:spacing w:line="276" w:lineRule="auto"/>
        <w:ind w:firstLine="709"/>
        <w:jc w:val="both"/>
        <w:rPr>
          <w:rFonts w:ascii="Tahoma" w:hAnsi="Tahoma" w:cs="Tahoma"/>
          <w:sz w:val="24"/>
          <w:szCs w:val="24"/>
        </w:rPr>
      </w:pPr>
      <w:r>
        <w:rPr>
          <w:rFonts w:ascii="Tahoma" w:hAnsi="Tahoma" w:cs="Tahoma"/>
          <w:sz w:val="24"/>
          <w:szCs w:val="24"/>
        </w:rPr>
        <w:t xml:space="preserve">La Fiduprevisora S.A., en calidad de administradora del </w:t>
      </w:r>
      <w:r w:rsidRPr="00177340">
        <w:rPr>
          <w:rFonts w:ascii="Tahoma" w:hAnsi="Tahoma" w:cs="Tahoma"/>
          <w:sz w:val="24"/>
          <w:szCs w:val="24"/>
        </w:rPr>
        <w:t>Fondo Nacional de Prestaciones Sociales del Magisterio</w:t>
      </w:r>
      <w:r>
        <w:rPr>
          <w:rFonts w:ascii="Tahoma" w:hAnsi="Tahoma" w:cs="Tahoma"/>
          <w:sz w:val="24"/>
          <w:szCs w:val="24"/>
        </w:rPr>
        <w:t>, afirmó que el 8 de abril de 2016, la Secretaria de Educación le remitió el proyecto del acto administrativo de pensión de jubilación, por lo que la prestación se encuentra asignada para estudio.</w:t>
      </w:r>
    </w:p>
    <w:p w:rsidR="004C1D27" w:rsidRPr="00AB7D0F" w:rsidRDefault="004C1D27" w:rsidP="00C707A1">
      <w:pPr>
        <w:pStyle w:val="Sinespaciado"/>
        <w:rPr>
          <w:sz w:val="16"/>
          <w:szCs w:val="16"/>
          <w:highlight w:val="darkCyan"/>
        </w:rPr>
      </w:pPr>
    </w:p>
    <w:p w:rsidR="00826750" w:rsidRDefault="004C1D27" w:rsidP="008C5D27">
      <w:pPr>
        <w:spacing w:line="276" w:lineRule="auto"/>
        <w:ind w:firstLine="709"/>
        <w:jc w:val="both"/>
        <w:rPr>
          <w:rFonts w:ascii="Tahoma" w:hAnsi="Tahoma" w:cs="Tahoma"/>
          <w:sz w:val="24"/>
          <w:szCs w:val="24"/>
        </w:rPr>
      </w:pPr>
      <w:r w:rsidRPr="005D626B">
        <w:rPr>
          <w:rFonts w:ascii="Tahoma" w:hAnsi="Tahoma" w:cs="Tahoma"/>
          <w:sz w:val="24"/>
          <w:szCs w:val="24"/>
        </w:rPr>
        <w:t xml:space="preserve">La Secretaria </w:t>
      </w:r>
      <w:r w:rsidR="005D626B" w:rsidRPr="005D626B">
        <w:rPr>
          <w:rFonts w:ascii="Tahoma" w:hAnsi="Tahoma" w:cs="Tahoma"/>
          <w:sz w:val="24"/>
          <w:szCs w:val="24"/>
        </w:rPr>
        <w:t>de Educación de Risaralda, pese a ser vinculada a tiempo al trámite de la acción (fls</w:t>
      </w:r>
      <w:r w:rsidR="00455B26">
        <w:rPr>
          <w:rFonts w:ascii="Tahoma" w:hAnsi="Tahoma" w:cs="Tahoma"/>
          <w:sz w:val="24"/>
          <w:szCs w:val="24"/>
        </w:rPr>
        <w:t>.</w:t>
      </w:r>
      <w:r w:rsidR="005D626B" w:rsidRPr="005D626B">
        <w:rPr>
          <w:rFonts w:ascii="Tahoma" w:hAnsi="Tahoma" w:cs="Tahoma"/>
          <w:sz w:val="24"/>
          <w:szCs w:val="24"/>
        </w:rPr>
        <w:t xml:space="preserve"> 31 y 32), guard</w:t>
      </w:r>
      <w:r w:rsidR="005D626B">
        <w:rPr>
          <w:rFonts w:ascii="Tahoma" w:hAnsi="Tahoma" w:cs="Tahoma"/>
          <w:sz w:val="24"/>
          <w:szCs w:val="24"/>
        </w:rPr>
        <w:t xml:space="preserve">ó silencio. </w:t>
      </w:r>
    </w:p>
    <w:p w:rsidR="008C5D27" w:rsidRPr="00AB7D0F" w:rsidRDefault="008C5D27" w:rsidP="00BD683A">
      <w:pPr>
        <w:pStyle w:val="Sinespaciado"/>
        <w:rPr>
          <w:sz w:val="16"/>
          <w:szCs w:val="16"/>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BD683A">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AB7D0F" w:rsidRDefault="00231167" w:rsidP="00BD683A">
      <w:pPr>
        <w:pStyle w:val="Sinespaciado"/>
        <w:rPr>
          <w:sz w:val="16"/>
          <w:szCs w:val="16"/>
        </w:rPr>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B44144">
        <w:rPr>
          <w:rFonts w:ascii="Tahoma" w:hAnsi="Tahoma" w:cs="Tahoma"/>
          <w:spacing w:val="-2"/>
          <w:sz w:val="24"/>
          <w:szCs w:val="24"/>
        </w:rPr>
        <w:t xml:space="preserve">an vulnerado las accionadas el derecho fundamental de petición del que es titular </w:t>
      </w:r>
      <w:r w:rsidR="003D61FC">
        <w:rPr>
          <w:rFonts w:ascii="Tahoma" w:hAnsi="Tahoma" w:cs="Tahoma"/>
          <w:spacing w:val="-2"/>
          <w:sz w:val="24"/>
          <w:szCs w:val="24"/>
        </w:rPr>
        <w:t>l</w:t>
      </w:r>
      <w:r w:rsidR="00DE4BF3">
        <w:rPr>
          <w:rFonts w:ascii="Tahoma" w:hAnsi="Tahoma" w:cs="Tahoma"/>
          <w:spacing w:val="-2"/>
          <w:sz w:val="24"/>
          <w:szCs w:val="24"/>
        </w:rPr>
        <w:t>a</w:t>
      </w:r>
      <w:r w:rsidR="003D61FC">
        <w:rPr>
          <w:rFonts w:ascii="Tahoma" w:hAnsi="Tahoma" w:cs="Tahoma"/>
          <w:spacing w:val="-2"/>
          <w:sz w:val="24"/>
          <w:szCs w:val="24"/>
        </w:rPr>
        <w:t xml:space="preserve"> señor</w:t>
      </w:r>
      <w:r w:rsidR="00DE4BF3">
        <w:rPr>
          <w:rFonts w:ascii="Tahoma" w:hAnsi="Tahoma" w:cs="Tahoma"/>
          <w:spacing w:val="-2"/>
          <w:sz w:val="24"/>
          <w:szCs w:val="24"/>
        </w:rPr>
        <w:t>a</w:t>
      </w:r>
      <w:r w:rsidR="003D61FC">
        <w:rPr>
          <w:rFonts w:ascii="Tahoma" w:hAnsi="Tahoma" w:cs="Tahoma"/>
          <w:spacing w:val="-2"/>
          <w:sz w:val="24"/>
          <w:szCs w:val="24"/>
        </w:rPr>
        <w:t xml:space="preserve"> </w:t>
      </w:r>
      <w:r w:rsidR="00DE4BF3">
        <w:rPr>
          <w:rFonts w:ascii="Tahoma" w:hAnsi="Tahoma" w:cs="Tahoma"/>
          <w:spacing w:val="-2"/>
          <w:sz w:val="24"/>
          <w:szCs w:val="24"/>
        </w:rPr>
        <w:t>Maryen Toro Hernández</w:t>
      </w:r>
      <w:r w:rsidR="003D61FC">
        <w:rPr>
          <w:rFonts w:ascii="Tahoma" w:hAnsi="Tahoma" w:cs="Tahoma"/>
          <w:spacing w:val="-2"/>
          <w:sz w:val="24"/>
          <w:szCs w:val="24"/>
        </w:rPr>
        <w:t xml:space="preserve"> a</w:t>
      </w:r>
      <w:r w:rsidR="00B44144">
        <w:rPr>
          <w:rFonts w:ascii="Tahoma" w:hAnsi="Tahoma" w:cs="Tahoma"/>
          <w:spacing w:val="-2"/>
          <w:sz w:val="24"/>
          <w:szCs w:val="24"/>
        </w:rPr>
        <w:t xml:space="preserve">l no dar respuesta </w:t>
      </w:r>
      <w:r w:rsidR="00032E8D">
        <w:rPr>
          <w:rFonts w:ascii="Tahoma" w:hAnsi="Tahoma" w:cs="Tahoma"/>
          <w:spacing w:val="-2"/>
          <w:sz w:val="24"/>
          <w:szCs w:val="24"/>
        </w:rPr>
        <w:t>a</w:t>
      </w:r>
      <w:r w:rsidR="00B44144">
        <w:rPr>
          <w:rFonts w:ascii="Tahoma" w:hAnsi="Tahoma" w:cs="Tahoma"/>
          <w:spacing w:val="-2"/>
          <w:sz w:val="24"/>
          <w:szCs w:val="24"/>
        </w:rPr>
        <w:t xml:space="preserve"> la</w:t>
      </w:r>
      <w:r w:rsidR="00BD683A">
        <w:rPr>
          <w:rFonts w:ascii="Tahoma" w:hAnsi="Tahoma" w:cs="Tahoma"/>
          <w:spacing w:val="-2"/>
          <w:sz w:val="24"/>
          <w:szCs w:val="24"/>
        </w:rPr>
        <w:t xml:space="preserve"> </w:t>
      </w:r>
      <w:r w:rsidR="00B44144">
        <w:rPr>
          <w:rFonts w:ascii="Tahoma" w:hAnsi="Tahoma" w:cs="Tahoma"/>
          <w:spacing w:val="-2"/>
          <w:sz w:val="24"/>
          <w:szCs w:val="24"/>
        </w:rPr>
        <w:t>solicitud</w:t>
      </w:r>
      <w:r w:rsidR="00BD683A">
        <w:rPr>
          <w:rFonts w:ascii="Tahoma" w:hAnsi="Tahoma" w:cs="Tahoma"/>
          <w:spacing w:val="-2"/>
          <w:sz w:val="24"/>
          <w:szCs w:val="24"/>
        </w:rPr>
        <w:t xml:space="preserve"> elevada</w:t>
      </w:r>
      <w:r w:rsidR="00B44144">
        <w:rPr>
          <w:rFonts w:ascii="Tahoma" w:hAnsi="Tahoma" w:cs="Tahoma"/>
          <w:spacing w:val="-2"/>
          <w:sz w:val="24"/>
          <w:szCs w:val="24"/>
        </w:rPr>
        <w:t xml:space="preserve"> el </w:t>
      </w:r>
      <w:r w:rsidR="00DE4BF3">
        <w:rPr>
          <w:rFonts w:ascii="Tahoma" w:hAnsi="Tahoma" w:cs="Tahoma"/>
          <w:spacing w:val="-2"/>
          <w:sz w:val="24"/>
          <w:szCs w:val="24"/>
        </w:rPr>
        <w:t>27 de octubre</w:t>
      </w:r>
      <w:r w:rsidR="003D61FC">
        <w:rPr>
          <w:rFonts w:ascii="Tahoma" w:hAnsi="Tahoma" w:cs="Tahoma"/>
          <w:spacing w:val="-2"/>
          <w:sz w:val="24"/>
          <w:szCs w:val="24"/>
        </w:rPr>
        <w:t xml:space="preserve"> </w:t>
      </w:r>
      <w:r w:rsidR="002464D3">
        <w:rPr>
          <w:rFonts w:ascii="Tahoma" w:hAnsi="Tahoma" w:cs="Tahoma"/>
          <w:spacing w:val="-2"/>
          <w:sz w:val="24"/>
          <w:szCs w:val="24"/>
        </w:rPr>
        <w:t>de 2015</w:t>
      </w:r>
      <w:r w:rsidR="009E0485">
        <w:rPr>
          <w:rFonts w:ascii="Tahoma" w:hAnsi="Tahoma" w:cs="Tahoma"/>
          <w:spacing w:val="-2"/>
          <w:sz w:val="24"/>
          <w:szCs w:val="24"/>
        </w:rPr>
        <w:t xml:space="preserve">, con el propósito de dar cumplimiento a una sentencia judicial </w:t>
      </w:r>
      <w:r w:rsidR="00854CCA">
        <w:rPr>
          <w:rFonts w:ascii="Tahoma" w:hAnsi="Tahoma" w:cs="Tahoma"/>
          <w:spacing w:val="-2"/>
          <w:sz w:val="24"/>
          <w:szCs w:val="24"/>
        </w:rPr>
        <w:t xml:space="preserve">ejecutoriada? </w:t>
      </w:r>
    </w:p>
    <w:p w:rsidR="00BD683A" w:rsidRPr="00AB7D0F" w:rsidRDefault="00BD683A" w:rsidP="00BD683A">
      <w:pPr>
        <w:pStyle w:val="Sinespaciado"/>
        <w:rPr>
          <w:sz w:val="16"/>
          <w:szCs w:val="16"/>
        </w:rPr>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Pr="00AB7D0F" w:rsidRDefault="00BD683A" w:rsidP="00AB7D0F">
      <w:pPr>
        <w:pStyle w:val="Sinespaciado"/>
        <w:rPr>
          <w:sz w:val="16"/>
          <w:szCs w:val="16"/>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E7296C" w:rsidRDefault="00A36A0F" w:rsidP="00A36A0F">
      <w:pPr>
        <w:pStyle w:val="Sinespaciado"/>
        <w:spacing w:line="276" w:lineRule="auto"/>
        <w:rPr>
          <w:sz w:val="16"/>
          <w:szCs w:val="16"/>
        </w:rPr>
      </w:pPr>
    </w:p>
    <w:p w:rsidR="00E7296C" w:rsidRPr="00AB7D0F" w:rsidRDefault="00A36A0F" w:rsidP="00AB7D0F">
      <w:pPr>
        <w:pStyle w:val="Textoindependiente"/>
        <w:tabs>
          <w:tab w:val="left" w:pos="3570"/>
        </w:tabs>
        <w:spacing w:after="0"/>
        <w:jc w:val="both"/>
        <w:rPr>
          <w:rFonts w:ascii="Arial Narrow" w:hAnsi="Arial Narrow" w:cs="Tahoma"/>
          <w:i/>
          <w:sz w:val="22"/>
          <w:szCs w:val="22"/>
        </w:rPr>
      </w:pPr>
      <w:r w:rsidRPr="00AB7D0F">
        <w:rPr>
          <w:rFonts w:ascii="Arial Narrow" w:hAnsi="Arial Narrow" w:cs="Tahoma"/>
          <w:i/>
          <w:sz w:val="22"/>
          <w:szCs w:val="22"/>
        </w:rPr>
        <w:t>“(1) El derecho a presentar, en términos respetuosos, solicitudes ante las autoridades, sin que éstas puedan negarse a recibirlas o tramitarlas.</w:t>
      </w:r>
    </w:p>
    <w:p w:rsidR="00E7296C" w:rsidRPr="00AB7D0F" w:rsidRDefault="00E7296C" w:rsidP="00AB7D0F">
      <w:pPr>
        <w:pStyle w:val="Textoindependiente"/>
        <w:tabs>
          <w:tab w:val="left" w:pos="3570"/>
        </w:tabs>
        <w:spacing w:after="0"/>
        <w:jc w:val="both"/>
        <w:rPr>
          <w:rFonts w:ascii="Arial Narrow" w:hAnsi="Arial Narrow" w:cs="Tahoma"/>
          <w:i/>
          <w:sz w:val="10"/>
          <w:szCs w:val="10"/>
        </w:rPr>
      </w:pPr>
    </w:p>
    <w:p w:rsidR="00E7296C" w:rsidRPr="00AB7D0F" w:rsidRDefault="00A36A0F" w:rsidP="00AB7D0F">
      <w:pPr>
        <w:pStyle w:val="Textoindependiente"/>
        <w:tabs>
          <w:tab w:val="left" w:pos="3570"/>
        </w:tabs>
        <w:spacing w:after="0"/>
        <w:jc w:val="both"/>
        <w:rPr>
          <w:rFonts w:ascii="Arial Narrow" w:hAnsi="Arial Narrow" w:cs="Tahoma"/>
          <w:i/>
          <w:sz w:val="22"/>
          <w:szCs w:val="22"/>
        </w:rPr>
      </w:pPr>
      <w:r w:rsidRPr="00AB7D0F">
        <w:rPr>
          <w:sz w:val="22"/>
          <w:szCs w:val="22"/>
        </w:rPr>
        <w:t> </w:t>
      </w:r>
      <w:r w:rsidRPr="00AB7D0F">
        <w:rPr>
          <w:rFonts w:ascii="Arial Narrow" w:hAnsi="Arial Narrow" w:cs="Tahoma"/>
          <w:i/>
          <w:sz w:val="22"/>
          <w:szCs w:val="22"/>
        </w:rPr>
        <w:t>(2) El derecho a obtener una respuesta oportuna, es decir, dentro de los términos establecidos en las normas correspondientes.</w:t>
      </w:r>
    </w:p>
    <w:p w:rsidR="00E7296C" w:rsidRPr="00AB7D0F" w:rsidRDefault="00E7296C" w:rsidP="00AB7D0F">
      <w:pPr>
        <w:pStyle w:val="Textoindependiente"/>
        <w:tabs>
          <w:tab w:val="left" w:pos="3570"/>
        </w:tabs>
        <w:spacing w:after="0"/>
        <w:jc w:val="both"/>
        <w:rPr>
          <w:rFonts w:ascii="Arial Narrow" w:hAnsi="Arial Narrow" w:cs="Tahoma"/>
          <w:i/>
          <w:sz w:val="10"/>
          <w:szCs w:val="10"/>
        </w:rPr>
      </w:pPr>
    </w:p>
    <w:p w:rsidR="00E7296C" w:rsidRPr="00AB7D0F" w:rsidRDefault="00A36A0F" w:rsidP="00AB7D0F">
      <w:pPr>
        <w:pStyle w:val="Textoindependiente"/>
        <w:tabs>
          <w:tab w:val="left" w:pos="3570"/>
        </w:tabs>
        <w:spacing w:after="0"/>
        <w:jc w:val="both"/>
        <w:rPr>
          <w:rFonts w:ascii="Arial Narrow" w:hAnsi="Arial Narrow" w:cs="Tahoma"/>
          <w:i/>
          <w:sz w:val="22"/>
          <w:szCs w:val="22"/>
        </w:rPr>
      </w:pPr>
      <w:r w:rsidRPr="00AB7D0F">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AB7D0F" w:rsidRDefault="00E7296C" w:rsidP="00AB7D0F">
      <w:pPr>
        <w:pStyle w:val="Textoindependiente"/>
        <w:tabs>
          <w:tab w:val="left" w:pos="3570"/>
        </w:tabs>
        <w:spacing w:after="0"/>
        <w:jc w:val="both"/>
        <w:rPr>
          <w:rFonts w:ascii="Arial Narrow" w:hAnsi="Arial Narrow" w:cs="Tahoma"/>
          <w:i/>
          <w:sz w:val="10"/>
          <w:szCs w:val="10"/>
        </w:rPr>
      </w:pPr>
    </w:p>
    <w:p w:rsidR="00A36A0F" w:rsidRPr="00AB7D0F" w:rsidRDefault="00A36A0F" w:rsidP="00AB7D0F">
      <w:pPr>
        <w:pStyle w:val="Textoindependiente"/>
        <w:tabs>
          <w:tab w:val="left" w:pos="3570"/>
        </w:tabs>
        <w:spacing w:after="0"/>
        <w:jc w:val="both"/>
        <w:rPr>
          <w:rFonts w:ascii="Arial Narrow" w:hAnsi="Arial Narrow" w:cs="Tahoma"/>
          <w:i/>
          <w:sz w:val="22"/>
          <w:szCs w:val="22"/>
        </w:rPr>
      </w:pPr>
      <w:r w:rsidRPr="00AB7D0F">
        <w:rPr>
          <w:rFonts w:ascii="Arial Narrow" w:hAnsi="Arial Narrow" w:cs="Tahoma"/>
          <w:i/>
          <w:sz w:val="22"/>
          <w:szCs w:val="22"/>
        </w:rPr>
        <w:t>(4) El derecho a obtener la pronta comunicación de la respuesta.”</w:t>
      </w:r>
    </w:p>
    <w:p w:rsidR="00A36A0F" w:rsidRPr="00E6336D" w:rsidRDefault="00A36A0F" w:rsidP="001C59B5">
      <w:pPr>
        <w:pStyle w:val="Sinespaciado"/>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AB7D0F" w:rsidRDefault="00CD36F2" w:rsidP="00AB7D0F">
      <w:pPr>
        <w:jc w:val="both"/>
        <w:rPr>
          <w:rFonts w:ascii="Arial Narrow" w:hAnsi="Arial Narrow"/>
          <w:i/>
        </w:rPr>
      </w:pPr>
      <w:r w:rsidRPr="00AB7D0F">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AB7D0F" w:rsidRDefault="00CD36F2" w:rsidP="00AB7D0F">
      <w:pPr>
        <w:jc w:val="both"/>
        <w:rPr>
          <w:rFonts w:ascii="Arial Narrow" w:hAnsi="Arial Narrow"/>
          <w:i/>
          <w:sz w:val="10"/>
          <w:szCs w:val="10"/>
        </w:rPr>
      </w:pPr>
      <w:r w:rsidRPr="00AB7D0F">
        <w:rPr>
          <w:rFonts w:ascii="Arial Narrow" w:hAnsi="Arial Narrow"/>
          <w:i/>
        </w:rPr>
        <w:t xml:space="preserve"> </w:t>
      </w:r>
    </w:p>
    <w:p w:rsidR="00CD36F2" w:rsidRPr="00AB7D0F" w:rsidRDefault="00CD36F2" w:rsidP="00AB7D0F">
      <w:pPr>
        <w:jc w:val="both"/>
        <w:rPr>
          <w:rFonts w:ascii="Arial Narrow" w:hAnsi="Arial Narrow"/>
          <w:i/>
        </w:rPr>
      </w:pPr>
      <w:r w:rsidRPr="00AB7D0F">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AB7D0F" w:rsidRDefault="00CD36F2" w:rsidP="00AB7D0F">
      <w:pPr>
        <w:jc w:val="both"/>
        <w:rPr>
          <w:rFonts w:ascii="Arial Narrow" w:hAnsi="Arial Narrow"/>
          <w:i/>
          <w:sz w:val="10"/>
          <w:szCs w:val="10"/>
        </w:rPr>
      </w:pPr>
      <w:r w:rsidRPr="00AB7D0F">
        <w:rPr>
          <w:rFonts w:ascii="Arial Narrow" w:hAnsi="Arial Narrow"/>
          <w:i/>
        </w:rPr>
        <w:t xml:space="preserve"> </w:t>
      </w:r>
    </w:p>
    <w:p w:rsidR="00CD36F2" w:rsidRPr="00AB7D0F" w:rsidRDefault="00CD36F2" w:rsidP="00AB7D0F">
      <w:pPr>
        <w:jc w:val="both"/>
        <w:rPr>
          <w:rFonts w:ascii="Arial Narrow" w:hAnsi="Arial Narrow"/>
          <w:i/>
        </w:rPr>
      </w:pPr>
      <w:r w:rsidRPr="00AB7D0F">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AB7D0F" w:rsidRDefault="00CD36F2" w:rsidP="00AB7D0F">
      <w:pPr>
        <w:jc w:val="both"/>
        <w:rPr>
          <w:rFonts w:ascii="Arial Narrow" w:hAnsi="Arial Narrow"/>
          <w:i/>
          <w:sz w:val="10"/>
          <w:szCs w:val="10"/>
        </w:rPr>
      </w:pPr>
      <w:r w:rsidRPr="00AB7D0F">
        <w:rPr>
          <w:rFonts w:ascii="Arial Narrow" w:hAnsi="Arial Narrow"/>
          <w:i/>
        </w:rPr>
        <w:t xml:space="preserve"> </w:t>
      </w:r>
    </w:p>
    <w:p w:rsidR="00CD36F2" w:rsidRPr="00AB7D0F" w:rsidRDefault="00CD36F2" w:rsidP="00AB7D0F">
      <w:pPr>
        <w:jc w:val="both"/>
        <w:rPr>
          <w:rFonts w:ascii="Arial Narrow" w:hAnsi="Arial Narrow"/>
          <w:i/>
        </w:rPr>
      </w:pPr>
      <w:r w:rsidRPr="00AB7D0F">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DA4669" w:rsidRDefault="00D0404A" w:rsidP="00DA4669">
      <w:pPr>
        <w:pStyle w:val="Sinespaciado"/>
      </w:pPr>
      <w:r>
        <w:tab/>
      </w:r>
    </w:p>
    <w:p w:rsidR="00FC6B93" w:rsidRDefault="00FC6B93" w:rsidP="00FC6B93">
      <w:pPr>
        <w:spacing w:line="276" w:lineRule="auto"/>
        <w:ind w:firstLine="709"/>
        <w:jc w:val="both"/>
        <w:rPr>
          <w:rFonts w:ascii="Tahoma" w:hAnsi="Tahoma" w:cs="Tahoma"/>
          <w:sz w:val="24"/>
          <w:szCs w:val="24"/>
        </w:rPr>
      </w:pPr>
      <w:r>
        <w:rPr>
          <w:rFonts w:ascii="Tahoma" w:hAnsi="Tahoma" w:cs="Tahoma"/>
          <w:sz w:val="24"/>
          <w:szCs w:val="24"/>
        </w:rPr>
        <w:t>En el caso que</w:t>
      </w:r>
      <w:r w:rsidR="007E7350">
        <w:rPr>
          <w:rFonts w:ascii="Tahoma" w:hAnsi="Tahoma" w:cs="Tahoma"/>
          <w:sz w:val="24"/>
          <w:szCs w:val="24"/>
        </w:rPr>
        <w:t xml:space="preserve"> ocupa la atención de la Sala, </w:t>
      </w:r>
      <w:r w:rsidR="003D61FC">
        <w:rPr>
          <w:rFonts w:ascii="Tahoma" w:hAnsi="Tahoma" w:cs="Tahoma"/>
          <w:sz w:val="24"/>
          <w:szCs w:val="24"/>
        </w:rPr>
        <w:t>l</w:t>
      </w:r>
      <w:r w:rsidR="007E7350">
        <w:rPr>
          <w:rFonts w:ascii="Tahoma" w:hAnsi="Tahoma" w:cs="Tahoma"/>
          <w:sz w:val="24"/>
          <w:szCs w:val="24"/>
        </w:rPr>
        <w:t>a</w:t>
      </w:r>
      <w:r w:rsidR="003D61FC">
        <w:rPr>
          <w:rFonts w:ascii="Tahoma" w:hAnsi="Tahoma" w:cs="Tahoma"/>
          <w:sz w:val="24"/>
          <w:szCs w:val="24"/>
        </w:rPr>
        <w:t xml:space="preserve"> señor</w:t>
      </w:r>
      <w:r w:rsidR="007E7350">
        <w:rPr>
          <w:rFonts w:ascii="Tahoma" w:hAnsi="Tahoma" w:cs="Tahoma"/>
          <w:sz w:val="24"/>
          <w:szCs w:val="24"/>
        </w:rPr>
        <w:t>a</w:t>
      </w:r>
      <w:r w:rsidR="003D61FC">
        <w:rPr>
          <w:rFonts w:ascii="Tahoma" w:hAnsi="Tahoma" w:cs="Tahoma"/>
          <w:sz w:val="24"/>
          <w:szCs w:val="24"/>
        </w:rPr>
        <w:t xml:space="preserve"> </w:t>
      </w:r>
      <w:r w:rsidR="007E7350">
        <w:rPr>
          <w:rFonts w:ascii="Tahoma" w:hAnsi="Tahoma" w:cs="Tahoma"/>
          <w:sz w:val="24"/>
          <w:szCs w:val="24"/>
        </w:rPr>
        <w:t>Maryen Toro Hernández</w:t>
      </w:r>
      <w:r>
        <w:rPr>
          <w:rFonts w:ascii="Tahoma" w:hAnsi="Tahoma" w:cs="Tahoma"/>
          <w:sz w:val="24"/>
          <w:szCs w:val="24"/>
        </w:rPr>
        <w:t xml:space="preserve"> </w:t>
      </w:r>
      <w:r w:rsidRPr="00B44144">
        <w:rPr>
          <w:rFonts w:ascii="Tahoma" w:hAnsi="Tahoma" w:cs="Tahoma"/>
          <w:sz w:val="24"/>
          <w:szCs w:val="24"/>
        </w:rPr>
        <w:t>presentó derecho de petición solicitando</w:t>
      </w:r>
      <w:r>
        <w:rPr>
          <w:rFonts w:ascii="Tahoma" w:hAnsi="Tahoma" w:cs="Tahoma"/>
          <w:sz w:val="24"/>
          <w:szCs w:val="24"/>
        </w:rPr>
        <w:t xml:space="preserve"> el cumplimiento de la sentencia judicial emitida por el Juzgado </w:t>
      </w:r>
      <w:r w:rsidR="007E7350">
        <w:rPr>
          <w:rFonts w:ascii="Tahoma" w:hAnsi="Tahoma" w:cs="Tahoma"/>
          <w:sz w:val="24"/>
          <w:szCs w:val="24"/>
        </w:rPr>
        <w:t>Tercero</w:t>
      </w:r>
      <w:r>
        <w:rPr>
          <w:rFonts w:ascii="Tahoma" w:hAnsi="Tahoma" w:cs="Tahoma"/>
          <w:sz w:val="24"/>
          <w:szCs w:val="24"/>
        </w:rPr>
        <w:t xml:space="preserve"> Administrativo de Pereira el </w:t>
      </w:r>
      <w:r w:rsidR="007E7350">
        <w:rPr>
          <w:rFonts w:ascii="Tahoma" w:hAnsi="Tahoma" w:cs="Tahoma"/>
          <w:sz w:val="24"/>
          <w:szCs w:val="24"/>
        </w:rPr>
        <w:t xml:space="preserve">5 de junio </w:t>
      </w:r>
      <w:r w:rsidR="003D61FC">
        <w:rPr>
          <w:rFonts w:ascii="Tahoma" w:hAnsi="Tahoma" w:cs="Tahoma"/>
          <w:sz w:val="24"/>
          <w:szCs w:val="24"/>
        </w:rPr>
        <w:t>de 2014</w:t>
      </w:r>
      <w:r>
        <w:rPr>
          <w:rFonts w:ascii="Tahoma" w:hAnsi="Tahoma" w:cs="Tahoma"/>
          <w:sz w:val="24"/>
          <w:szCs w:val="24"/>
        </w:rPr>
        <w:t xml:space="preserve"> y confirmada por el Tribunal de lo Contencioso Administrativo de Risaralda el </w:t>
      </w:r>
      <w:r w:rsidR="007E7350">
        <w:rPr>
          <w:rFonts w:ascii="Tahoma" w:hAnsi="Tahoma" w:cs="Tahoma"/>
          <w:sz w:val="24"/>
          <w:szCs w:val="24"/>
        </w:rPr>
        <w:t>27 de marzo</w:t>
      </w:r>
      <w:r w:rsidR="003D61FC">
        <w:rPr>
          <w:rFonts w:ascii="Tahoma" w:hAnsi="Tahoma" w:cs="Tahoma"/>
          <w:sz w:val="24"/>
          <w:szCs w:val="24"/>
        </w:rPr>
        <w:t xml:space="preserve"> de 201</w:t>
      </w:r>
      <w:r w:rsidR="007E7350">
        <w:rPr>
          <w:rFonts w:ascii="Tahoma" w:hAnsi="Tahoma" w:cs="Tahoma"/>
          <w:sz w:val="24"/>
          <w:szCs w:val="24"/>
        </w:rPr>
        <w:t>5</w:t>
      </w:r>
      <w:r w:rsidR="003D61FC">
        <w:rPr>
          <w:rFonts w:ascii="Tahoma" w:hAnsi="Tahoma" w:cs="Tahoma"/>
          <w:sz w:val="24"/>
          <w:szCs w:val="24"/>
        </w:rPr>
        <w:t>.</w:t>
      </w:r>
      <w:r>
        <w:rPr>
          <w:rFonts w:ascii="Tahoma" w:hAnsi="Tahoma" w:cs="Tahoma"/>
          <w:sz w:val="24"/>
          <w:szCs w:val="24"/>
        </w:rPr>
        <w:t xml:space="preserve"> La petición fue elevada el </w:t>
      </w:r>
      <w:r w:rsidR="007E7350">
        <w:rPr>
          <w:rFonts w:ascii="Tahoma" w:hAnsi="Tahoma" w:cs="Tahoma"/>
          <w:sz w:val="24"/>
          <w:szCs w:val="24"/>
        </w:rPr>
        <w:t>27 de octu</w:t>
      </w:r>
      <w:r w:rsidR="003D61FC">
        <w:rPr>
          <w:rFonts w:ascii="Tahoma" w:hAnsi="Tahoma" w:cs="Tahoma"/>
          <w:sz w:val="24"/>
          <w:szCs w:val="24"/>
        </w:rPr>
        <w:t>bre</w:t>
      </w:r>
      <w:r>
        <w:rPr>
          <w:rFonts w:ascii="Tahoma" w:hAnsi="Tahoma" w:cs="Tahoma"/>
          <w:sz w:val="24"/>
          <w:szCs w:val="24"/>
        </w:rPr>
        <w:t xml:space="preserve"> de 2015 </w:t>
      </w:r>
      <w:r w:rsidR="00022F5F">
        <w:rPr>
          <w:rFonts w:ascii="Tahoma" w:hAnsi="Tahoma" w:cs="Tahoma"/>
          <w:sz w:val="24"/>
          <w:szCs w:val="24"/>
        </w:rPr>
        <w:t xml:space="preserve">ante </w:t>
      </w:r>
      <w:r>
        <w:rPr>
          <w:rFonts w:ascii="Tahoma" w:hAnsi="Tahoma" w:cs="Tahoma"/>
          <w:sz w:val="24"/>
          <w:szCs w:val="24"/>
        </w:rPr>
        <w:t xml:space="preserve">la Secretaria de Educación de </w:t>
      </w:r>
      <w:r w:rsidR="004C1D27">
        <w:rPr>
          <w:rFonts w:ascii="Tahoma" w:hAnsi="Tahoma" w:cs="Tahoma"/>
          <w:sz w:val="24"/>
          <w:szCs w:val="24"/>
        </w:rPr>
        <w:t>Risaralda</w:t>
      </w:r>
      <w:r w:rsidR="002173B9">
        <w:rPr>
          <w:rFonts w:ascii="Tahoma" w:hAnsi="Tahoma" w:cs="Tahoma"/>
          <w:sz w:val="24"/>
          <w:szCs w:val="24"/>
        </w:rPr>
        <w:t xml:space="preserve"> </w:t>
      </w:r>
      <w:r w:rsidR="00022F5F">
        <w:rPr>
          <w:rFonts w:ascii="Tahoma" w:hAnsi="Tahoma" w:cs="Tahoma"/>
          <w:sz w:val="24"/>
          <w:szCs w:val="24"/>
        </w:rPr>
        <w:t>(fls. 7 y 8</w:t>
      </w:r>
      <w:r>
        <w:rPr>
          <w:rFonts w:ascii="Tahoma" w:hAnsi="Tahoma" w:cs="Tahoma"/>
          <w:sz w:val="24"/>
          <w:szCs w:val="24"/>
        </w:rPr>
        <w:t>).</w:t>
      </w:r>
    </w:p>
    <w:p w:rsidR="00597DF3" w:rsidRDefault="00597DF3" w:rsidP="00FC6B93">
      <w:pPr>
        <w:spacing w:line="276" w:lineRule="auto"/>
        <w:ind w:firstLine="709"/>
        <w:jc w:val="both"/>
        <w:rPr>
          <w:rFonts w:ascii="Tahoma" w:hAnsi="Tahoma" w:cs="Tahoma"/>
          <w:sz w:val="24"/>
          <w:szCs w:val="24"/>
        </w:rPr>
      </w:pPr>
    </w:p>
    <w:p w:rsidR="00597DF3" w:rsidRPr="00DE3D27" w:rsidRDefault="00597DF3" w:rsidP="00597DF3">
      <w:pPr>
        <w:spacing w:line="276" w:lineRule="auto"/>
        <w:ind w:firstLine="709"/>
        <w:jc w:val="both"/>
        <w:rPr>
          <w:rFonts w:ascii="Tahoma" w:hAnsi="Tahoma" w:cs="Tahoma"/>
          <w:sz w:val="24"/>
          <w:szCs w:val="24"/>
        </w:rPr>
      </w:pPr>
      <w:r>
        <w:rPr>
          <w:rFonts w:ascii="Tahoma" w:hAnsi="Tahoma" w:cs="Tahoma"/>
          <w:sz w:val="24"/>
          <w:szCs w:val="24"/>
        </w:rPr>
        <w:t xml:space="preserve">Sea lo primero aclarar que </w:t>
      </w:r>
      <w:r w:rsidRPr="00DE3D27">
        <w:rPr>
          <w:rFonts w:ascii="Tahoma" w:hAnsi="Tahoma" w:cs="Tahoma"/>
          <w:sz w:val="24"/>
          <w:szCs w:val="24"/>
        </w:rPr>
        <w:t xml:space="preserve">atendiendo el contenido de la solicitud objeto de la presente acción, en principio, dicho requerimiento, no sería válido, toda vez que </w:t>
      </w:r>
      <w:r>
        <w:rPr>
          <w:rFonts w:ascii="Tahoma" w:hAnsi="Tahoma" w:cs="Tahoma"/>
          <w:sz w:val="24"/>
          <w:szCs w:val="24"/>
        </w:rPr>
        <w:t xml:space="preserve">la actora  </w:t>
      </w:r>
      <w:r w:rsidRPr="00DE3D27">
        <w:rPr>
          <w:rFonts w:ascii="Tahoma" w:hAnsi="Tahoma" w:cs="Tahoma"/>
          <w:sz w:val="24"/>
          <w:szCs w:val="24"/>
        </w:rPr>
        <w:t>cuenta con un mecanismo principal para acceder al pago de esos emolumento</w:t>
      </w:r>
      <w:r>
        <w:rPr>
          <w:rFonts w:ascii="Tahoma" w:hAnsi="Tahoma" w:cs="Tahoma"/>
          <w:sz w:val="24"/>
          <w:szCs w:val="24"/>
        </w:rPr>
        <w:t>s, como es el proceso ejecutivo. N</w:t>
      </w:r>
      <w:r w:rsidRPr="00DE3D27">
        <w:rPr>
          <w:rFonts w:ascii="Tahoma" w:hAnsi="Tahoma" w:cs="Tahoma"/>
          <w:sz w:val="24"/>
          <w:szCs w:val="24"/>
        </w:rPr>
        <w:t>o obst</w:t>
      </w:r>
      <w:r>
        <w:rPr>
          <w:rFonts w:ascii="Tahoma" w:hAnsi="Tahoma" w:cs="Tahoma"/>
          <w:sz w:val="24"/>
          <w:szCs w:val="24"/>
        </w:rPr>
        <w:t xml:space="preserve">ante, teniendo en cuenta que la accionante </w:t>
      </w:r>
      <w:r w:rsidRPr="00DE3D27">
        <w:rPr>
          <w:rFonts w:ascii="Tahoma" w:hAnsi="Tahoma" w:cs="Tahoma"/>
          <w:sz w:val="24"/>
          <w:szCs w:val="24"/>
        </w:rPr>
        <w:t>no ha recibido respuesta alguna;</w:t>
      </w:r>
      <w:r>
        <w:rPr>
          <w:rFonts w:ascii="Tahoma" w:hAnsi="Tahoma" w:cs="Tahoma"/>
          <w:sz w:val="24"/>
          <w:szCs w:val="24"/>
        </w:rPr>
        <w:t xml:space="preserve"> se estima</w:t>
      </w:r>
      <w:r w:rsidRPr="00DE3D27">
        <w:rPr>
          <w:rFonts w:ascii="Tahoma" w:hAnsi="Tahoma" w:cs="Tahoma"/>
          <w:sz w:val="24"/>
          <w:szCs w:val="24"/>
        </w:rPr>
        <w:t xml:space="preserve"> que, independientemente del contenido de su petitum, a</w:t>
      </w:r>
      <w:r>
        <w:rPr>
          <w:rFonts w:ascii="Tahoma" w:hAnsi="Tahoma" w:cs="Tahoma"/>
          <w:sz w:val="24"/>
          <w:szCs w:val="24"/>
        </w:rPr>
        <w:t xml:space="preserve"> la señora Maryen Toro Hernández</w:t>
      </w:r>
      <w:r w:rsidRPr="00DE3D27">
        <w:rPr>
          <w:rFonts w:ascii="Tahoma" w:hAnsi="Tahoma" w:cs="Tahoma"/>
          <w:sz w:val="24"/>
          <w:szCs w:val="24"/>
        </w:rPr>
        <w:t xml:space="preserve"> le asiste derecho a obtener una respuesta clara, oportuna y de fondo a lo pretendido.</w:t>
      </w:r>
    </w:p>
    <w:p w:rsidR="00BD683A" w:rsidRDefault="00BD683A" w:rsidP="00BD683A">
      <w:pPr>
        <w:pStyle w:val="Sinespaciado"/>
      </w:pPr>
    </w:p>
    <w:p w:rsidR="001634E4" w:rsidRDefault="00597DF3" w:rsidP="001634E4">
      <w:pPr>
        <w:spacing w:line="276" w:lineRule="auto"/>
        <w:ind w:firstLine="709"/>
        <w:jc w:val="both"/>
        <w:rPr>
          <w:rFonts w:ascii="Tahoma" w:hAnsi="Tahoma" w:cs="Tahoma"/>
          <w:sz w:val="24"/>
          <w:szCs w:val="24"/>
        </w:rPr>
      </w:pPr>
      <w:r>
        <w:rPr>
          <w:rFonts w:ascii="Tahoma" w:hAnsi="Tahoma" w:cs="Tahoma"/>
          <w:sz w:val="24"/>
          <w:szCs w:val="24"/>
        </w:rPr>
        <w:t>Ahora,</w:t>
      </w:r>
      <w:r w:rsidR="001634E4">
        <w:rPr>
          <w:rFonts w:ascii="Tahoma" w:hAnsi="Tahoma" w:cs="Tahoma"/>
          <w:sz w:val="24"/>
          <w:szCs w:val="24"/>
        </w:rPr>
        <w:t xml:space="preserve"> siguiendo el artículo 4º del Decreto 2831 de 2005, una vez recibido por parte de la Secretaria de Educación, el proyecto de acto administrativo, la Fiduprevisora cuenta con un término de 15 días para </w:t>
      </w:r>
      <w:r w:rsidR="001634E4" w:rsidRPr="00177340">
        <w:rPr>
          <w:rFonts w:ascii="Tahoma" w:hAnsi="Tahoma" w:cs="Tahoma"/>
          <w:sz w:val="24"/>
          <w:szCs w:val="24"/>
        </w:rPr>
        <w:t>impartir su aprobación o indicar de manera precisa las razones de</w:t>
      </w:r>
      <w:r w:rsidR="001634E4">
        <w:rPr>
          <w:rFonts w:ascii="Tahoma" w:hAnsi="Tahoma" w:cs="Tahoma"/>
          <w:sz w:val="24"/>
          <w:szCs w:val="24"/>
        </w:rPr>
        <w:t xml:space="preserve"> </w:t>
      </w:r>
      <w:r w:rsidR="001634E4" w:rsidRPr="00177340">
        <w:rPr>
          <w:rFonts w:ascii="Tahoma" w:hAnsi="Tahoma" w:cs="Tahoma"/>
          <w:sz w:val="24"/>
          <w:szCs w:val="24"/>
        </w:rPr>
        <w:t>su decisión de no hacerlo, e informar de ello a</w:t>
      </w:r>
      <w:r w:rsidR="001634E4">
        <w:rPr>
          <w:rFonts w:ascii="Tahoma" w:hAnsi="Tahoma" w:cs="Tahoma"/>
          <w:sz w:val="24"/>
          <w:szCs w:val="24"/>
        </w:rPr>
        <w:t>l respectivo ente territorial, que deberá ajustar la resolución y proferirla, una vez avalada por la vocera del Fondo.</w:t>
      </w:r>
    </w:p>
    <w:p w:rsidR="001634E4" w:rsidRDefault="001634E4" w:rsidP="00AA78FF">
      <w:pPr>
        <w:spacing w:line="276" w:lineRule="auto"/>
        <w:ind w:firstLine="709"/>
        <w:jc w:val="both"/>
        <w:rPr>
          <w:rFonts w:ascii="Tahoma" w:hAnsi="Tahoma" w:cs="Tahoma"/>
          <w:sz w:val="24"/>
          <w:szCs w:val="24"/>
        </w:rPr>
      </w:pPr>
    </w:p>
    <w:p w:rsidR="0039709E" w:rsidRDefault="00597DF3" w:rsidP="00DE3D27">
      <w:pPr>
        <w:spacing w:line="276" w:lineRule="auto"/>
        <w:ind w:firstLine="709"/>
        <w:jc w:val="both"/>
        <w:rPr>
          <w:rFonts w:ascii="Tahoma" w:hAnsi="Tahoma" w:cs="Tahoma"/>
          <w:sz w:val="24"/>
          <w:szCs w:val="24"/>
        </w:rPr>
      </w:pPr>
      <w:r>
        <w:rPr>
          <w:rFonts w:ascii="Tahoma" w:hAnsi="Tahoma" w:cs="Tahoma"/>
          <w:sz w:val="24"/>
          <w:szCs w:val="24"/>
        </w:rPr>
        <w:t>En ese orden de ideas,</w:t>
      </w:r>
      <w:r w:rsidR="001634E4">
        <w:rPr>
          <w:rFonts w:ascii="Tahoma" w:hAnsi="Tahoma" w:cs="Tahoma"/>
          <w:sz w:val="24"/>
          <w:szCs w:val="24"/>
        </w:rPr>
        <w:t xml:space="preserve"> de acuerdo a la contestación de la Fiduprevisora S.A., el proyecto de acto administrativo fue recibido en sus dependencias el 8 de abril de 2016, por lo que los 15 días hábiles con los que cuenta para emitir un concepto sobre el mismo, vencen el 29 de los cursantes mes y año, por lo en amparo del derecho de petición, </w:t>
      </w:r>
      <w:r w:rsidR="00DE3D27" w:rsidRPr="00DE3D27">
        <w:rPr>
          <w:rFonts w:ascii="Tahoma" w:hAnsi="Tahoma" w:cs="Tahoma"/>
          <w:sz w:val="24"/>
          <w:szCs w:val="24"/>
        </w:rPr>
        <w:t>se ordenará al</w:t>
      </w:r>
      <w:r w:rsidR="00915CB4">
        <w:rPr>
          <w:rFonts w:ascii="Tahoma" w:hAnsi="Tahoma" w:cs="Tahoma"/>
          <w:sz w:val="24"/>
          <w:szCs w:val="24"/>
        </w:rPr>
        <w:t xml:space="preserve"> Director de Prestaciones Sociales del Fondo del Magisterio-Fiduprevisora S.A., Dr. Ismael Hernández Herrera o quien haga sus veces, </w:t>
      </w:r>
      <w:r w:rsidR="00DE3D27" w:rsidRPr="00DE3D27">
        <w:rPr>
          <w:rFonts w:ascii="Tahoma" w:hAnsi="Tahoma" w:cs="Tahoma"/>
          <w:sz w:val="24"/>
          <w:szCs w:val="24"/>
        </w:rPr>
        <w:t>que</w:t>
      </w:r>
      <w:r w:rsidR="001634E4">
        <w:rPr>
          <w:rFonts w:ascii="Tahoma" w:hAnsi="Tahoma" w:cs="Tahoma"/>
          <w:sz w:val="24"/>
          <w:szCs w:val="24"/>
        </w:rPr>
        <w:t xml:space="preserve"> dentro de las 48 horas contadas a partir del 29 de abril de 2016, </w:t>
      </w:r>
      <w:r>
        <w:rPr>
          <w:rFonts w:ascii="Tahoma" w:hAnsi="Tahoma" w:cs="Tahoma"/>
          <w:sz w:val="24"/>
          <w:szCs w:val="24"/>
        </w:rPr>
        <w:t>si no lo ha hecho, emita</w:t>
      </w:r>
      <w:r w:rsidR="001634E4">
        <w:rPr>
          <w:rFonts w:ascii="Tahoma" w:hAnsi="Tahoma" w:cs="Tahoma"/>
          <w:sz w:val="24"/>
          <w:szCs w:val="24"/>
        </w:rPr>
        <w:t xml:space="preserve"> la aprobación </w:t>
      </w:r>
      <w:r>
        <w:rPr>
          <w:rFonts w:ascii="Tahoma" w:hAnsi="Tahoma" w:cs="Tahoma"/>
          <w:sz w:val="24"/>
          <w:szCs w:val="24"/>
        </w:rPr>
        <w:t>del</w:t>
      </w:r>
      <w:r w:rsidR="001634E4">
        <w:rPr>
          <w:rFonts w:ascii="Tahoma" w:hAnsi="Tahoma" w:cs="Tahoma"/>
          <w:sz w:val="24"/>
          <w:szCs w:val="24"/>
        </w:rPr>
        <w:t xml:space="preserve"> acto administrativo </w:t>
      </w:r>
      <w:r>
        <w:rPr>
          <w:rFonts w:ascii="Tahoma" w:hAnsi="Tahoma" w:cs="Tahoma"/>
          <w:sz w:val="24"/>
          <w:szCs w:val="24"/>
        </w:rPr>
        <w:t>o indique</w:t>
      </w:r>
      <w:r w:rsidR="001634E4" w:rsidRPr="00177340">
        <w:rPr>
          <w:rFonts w:ascii="Tahoma" w:hAnsi="Tahoma" w:cs="Tahoma"/>
          <w:sz w:val="24"/>
          <w:szCs w:val="24"/>
        </w:rPr>
        <w:t xml:space="preserve"> de manera precisa las razones de</w:t>
      </w:r>
      <w:r w:rsidR="001634E4">
        <w:rPr>
          <w:rFonts w:ascii="Tahoma" w:hAnsi="Tahoma" w:cs="Tahoma"/>
          <w:sz w:val="24"/>
          <w:szCs w:val="24"/>
        </w:rPr>
        <w:t xml:space="preserve"> </w:t>
      </w:r>
      <w:r w:rsidR="001634E4" w:rsidRPr="00177340">
        <w:rPr>
          <w:rFonts w:ascii="Tahoma" w:hAnsi="Tahoma" w:cs="Tahoma"/>
          <w:sz w:val="24"/>
          <w:szCs w:val="24"/>
        </w:rPr>
        <w:t>su decisión de no hacerlo,</w:t>
      </w:r>
      <w:r w:rsidR="001634E4">
        <w:rPr>
          <w:rFonts w:ascii="Tahoma" w:hAnsi="Tahoma" w:cs="Tahoma"/>
          <w:sz w:val="24"/>
          <w:szCs w:val="24"/>
        </w:rPr>
        <w:t xml:space="preserve"> con destino a la Secretaria de Educación de Risaralda, la cual, si hay lugar a ello, dentro de las 48 siguientes a recibir la aprobación por parte de la Fiduprevisora S.A., deberá expedir la resolución correspondiente, o en todo caso,</w:t>
      </w:r>
      <w:r w:rsidR="001634E4" w:rsidRPr="00177340">
        <w:rPr>
          <w:rFonts w:ascii="Tahoma" w:hAnsi="Tahoma" w:cs="Tahoma"/>
          <w:sz w:val="24"/>
          <w:szCs w:val="24"/>
        </w:rPr>
        <w:t xml:space="preserve"> informar </w:t>
      </w:r>
      <w:r w:rsidR="001634E4">
        <w:rPr>
          <w:rFonts w:ascii="Tahoma" w:hAnsi="Tahoma" w:cs="Tahoma"/>
          <w:sz w:val="24"/>
          <w:szCs w:val="24"/>
        </w:rPr>
        <w:t>lo pertinente</w:t>
      </w:r>
      <w:r w:rsidR="001634E4" w:rsidRPr="00177340">
        <w:rPr>
          <w:rFonts w:ascii="Tahoma" w:hAnsi="Tahoma" w:cs="Tahoma"/>
          <w:sz w:val="24"/>
          <w:szCs w:val="24"/>
        </w:rPr>
        <w:t xml:space="preserve"> a</w:t>
      </w:r>
      <w:r w:rsidR="001634E4">
        <w:rPr>
          <w:rFonts w:ascii="Tahoma" w:hAnsi="Tahoma" w:cs="Tahoma"/>
          <w:sz w:val="24"/>
          <w:szCs w:val="24"/>
        </w:rPr>
        <w:t xml:space="preserve"> la accionante.</w:t>
      </w:r>
    </w:p>
    <w:p w:rsidR="00FC6B93" w:rsidRPr="008509B5" w:rsidRDefault="00FC6B93" w:rsidP="008509B5">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B6405C">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p>
    <w:p w:rsidR="00D16146" w:rsidRPr="0063728E" w:rsidRDefault="00D16146" w:rsidP="0063728E">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3728E" w:rsidRDefault="00464B77" w:rsidP="0063728E">
      <w:pPr>
        <w:pStyle w:val="Sinespaciado"/>
      </w:pPr>
    </w:p>
    <w:p w:rsidR="002A012C" w:rsidRPr="00164FCE"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43AED">
        <w:rPr>
          <w:rFonts w:ascii="Tahoma" w:hAnsi="Tahoma" w:cs="Tahoma"/>
          <w:b/>
          <w:sz w:val="24"/>
          <w:szCs w:val="24"/>
        </w:rPr>
        <w:t xml:space="preserve">AMPARAR </w:t>
      </w:r>
      <w:r w:rsidR="00D43AED">
        <w:rPr>
          <w:rFonts w:ascii="Tahoma" w:hAnsi="Tahoma" w:cs="Tahoma"/>
          <w:sz w:val="24"/>
          <w:szCs w:val="24"/>
        </w:rPr>
        <w:t>el derecho fundamental de petición del que es titular la señora</w:t>
      </w:r>
      <w:r w:rsidR="00B5764D" w:rsidRPr="00164FCE">
        <w:rPr>
          <w:rFonts w:ascii="Tahoma" w:hAnsi="Tahoma" w:cs="Tahoma"/>
          <w:sz w:val="24"/>
          <w:szCs w:val="24"/>
        </w:rPr>
        <w:t xml:space="preserve"> </w:t>
      </w:r>
      <w:r w:rsidR="00705327">
        <w:rPr>
          <w:rFonts w:ascii="Tahoma" w:hAnsi="Tahoma" w:cs="Tahoma"/>
          <w:sz w:val="24"/>
          <w:szCs w:val="24"/>
        </w:rPr>
        <w:t>Maryen Toro Hernández</w:t>
      </w:r>
      <w:r w:rsidR="00B5764D" w:rsidRPr="00164FCE">
        <w:rPr>
          <w:rFonts w:ascii="Tahoma" w:hAnsi="Tahoma" w:cs="Tahoma"/>
          <w:sz w:val="24"/>
          <w:szCs w:val="24"/>
        </w:rPr>
        <w:t>.</w:t>
      </w:r>
    </w:p>
    <w:p w:rsidR="00095791" w:rsidRPr="0063728E" w:rsidRDefault="00095791" w:rsidP="0063728E">
      <w:pPr>
        <w:pStyle w:val="Sinespaciado"/>
      </w:pPr>
    </w:p>
    <w:p w:rsidR="00D43AED" w:rsidRDefault="002A012C" w:rsidP="00180598">
      <w:pPr>
        <w:spacing w:line="276" w:lineRule="auto"/>
        <w:ind w:firstLine="709"/>
        <w:jc w:val="both"/>
        <w:rPr>
          <w:rFonts w:ascii="Tahoma" w:hAnsi="Tahoma" w:cs="Tahoma"/>
          <w:sz w:val="24"/>
          <w:szCs w:val="24"/>
        </w:rPr>
      </w:pPr>
      <w:r w:rsidRPr="00164FCE">
        <w:rPr>
          <w:rFonts w:ascii="Tahoma" w:hAnsi="Tahoma" w:cs="Tahoma"/>
          <w:b/>
          <w:sz w:val="24"/>
          <w:szCs w:val="24"/>
        </w:rPr>
        <w:t xml:space="preserve">SEGUNDO: </w:t>
      </w:r>
      <w:r w:rsidR="00D43AED" w:rsidRPr="00AC4134">
        <w:rPr>
          <w:rFonts w:ascii="Tahoma" w:hAnsi="Tahoma" w:cs="Tahoma"/>
          <w:b/>
          <w:sz w:val="24"/>
          <w:szCs w:val="24"/>
        </w:rPr>
        <w:t>ORDENAR</w:t>
      </w:r>
      <w:r w:rsidR="00D43AED">
        <w:rPr>
          <w:rFonts w:ascii="Tahoma" w:hAnsi="Tahoma" w:cs="Tahoma"/>
          <w:sz w:val="24"/>
          <w:szCs w:val="24"/>
        </w:rPr>
        <w:t xml:space="preserve"> </w:t>
      </w:r>
      <w:r w:rsidR="001634E4" w:rsidRPr="00DE3D27">
        <w:rPr>
          <w:rFonts w:ascii="Tahoma" w:hAnsi="Tahoma" w:cs="Tahoma"/>
          <w:sz w:val="24"/>
          <w:szCs w:val="24"/>
        </w:rPr>
        <w:t>al</w:t>
      </w:r>
      <w:r w:rsidR="001634E4">
        <w:rPr>
          <w:rFonts w:ascii="Tahoma" w:hAnsi="Tahoma" w:cs="Tahoma"/>
          <w:sz w:val="24"/>
          <w:szCs w:val="24"/>
        </w:rPr>
        <w:t xml:space="preserve"> Director de Prestaciones Sociales del Fondo del Magisterio-Fiduprevisora S.A., Dr. Ismael Hernández Herrera o quien haga sus veces, </w:t>
      </w:r>
      <w:r w:rsidR="001634E4" w:rsidRPr="00DE3D27">
        <w:rPr>
          <w:rFonts w:ascii="Tahoma" w:hAnsi="Tahoma" w:cs="Tahoma"/>
          <w:sz w:val="24"/>
          <w:szCs w:val="24"/>
        </w:rPr>
        <w:t>que</w:t>
      </w:r>
      <w:r w:rsidR="001634E4">
        <w:rPr>
          <w:rFonts w:ascii="Tahoma" w:hAnsi="Tahoma" w:cs="Tahoma"/>
          <w:sz w:val="24"/>
          <w:szCs w:val="24"/>
        </w:rPr>
        <w:t xml:space="preserve"> dentro de las 48 horas contadas a partir del 29 de abril de 2016, debe emitir la aprobación al acto administrativo </w:t>
      </w:r>
      <w:r w:rsidR="001634E4" w:rsidRPr="00177340">
        <w:rPr>
          <w:rFonts w:ascii="Tahoma" w:hAnsi="Tahoma" w:cs="Tahoma"/>
          <w:sz w:val="24"/>
          <w:szCs w:val="24"/>
        </w:rPr>
        <w:t>o indicar de manera precisa las razones de</w:t>
      </w:r>
      <w:r w:rsidR="001634E4">
        <w:rPr>
          <w:rFonts w:ascii="Tahoma" w:hAnsi="Tahoma" w:cs="Tahoma"/>
          <w:sz w:val="24"/>
          <w:szCs w:val="24"/>
        </w:rPr>
        <w:t xml:space="preserve"> </w:t>
      </w:r>
      <w:r w:rsidR="001634E4" w:rsidRPr="00177340">
        <w:rPr>
          <w:rFonts w:ascii="Tahoma" w:hAnsi="Tahoma" w:cs="Tahoma"/>
          <w:sz w:val="24"/>
          <w:szCs w:val="24"/>
        </w:rPr>
        <w:t>su decisión de no hacerlo,</w:t>
      </w:r>
      <w:r w:rsidR="001634E4">
        <w:rPr>
          <w:rFonts w:ascii="Tahoma" w:hAnsi="Tahoma" w:cs="Tahoma"/>
          <w:sz w:val="24"/>
          <w:szCs w:val="24"/>
        </w:rPr>
        <w:t xml:space="preserve"> con destino a la Secretaria de Educación de Risaralda, la cual, si hay lugar a ello, dentro de las 48 siguientes a recibir la aprobación por parte de la Fiduprevisora S.A., deberá expedir la resolución correspondiente, o en todo caso,</w:t>
      </w:r>
      <w:r w:rsidR="001634E4" w:rsidRPr="00177340">
        <w:rPr>
          <w:rFonts w:ascii="Tahoma" w:hAnsi="Tahoma" w:cs="Tahoma"/>
          <w:sz w:val="24"/>
          <w:szCs w:val="24"/>
        </w:rPr>
        <w:t xml:space="preserve"> informar </w:t>
      </w:r>
      <w:r w:rsidR="001634E4">
        <w:rPr>
          <w:rFonts w:ascii="Tahoma" w:hAnsi="Tahoma" w:cs="Tahoma"/>
          <w:sz w:val="24"/>
          <w:szCs w:val="24"/>
        </w:rPr>
        <w:t>lo pertinente</w:t>
      </w:r>
      <w:r w:rsidR="001634E4" w:rsidRPr="00177340">
        <w:rPr>
          <w:rFonts w:ascii="Tahoma" w:hAnsi="Tahoma" w:cs="Tahoma"/>
          <w:sz w:val="24"/>
          <w:szCs w:val="24"/>
        </w:rPr>
        <w:t xml:space="preserve"> a</w:t>
      </w:r>
      <w:r w:rsidR="001634E4">
        <w:rPr>
          <w:rFonts w:ascii="Tahoma" w:hAnsi="Tahoma" w:cs="Tahoma"/>
          <w:sz w:val="24"/>
          <w:szCs w:val="24"/>
        </w:rPr>
        <w:t xml:space="preserve"> la accionante.</w:t>
      </w:r>
    </w:p>
    <w:p w:rsidR="00180598" w:rsidRDefault="00180598" w:rsidP="00180598">
      <w:pPr>
        <w:pStyle w:val="Sinespaciado"/>
      </w:pPr>
    </w:p>
    <w:p w:rsidR="00BD3DDA" w:rsidRPr="00164FCE" w:rsidRDefault="00D43AED" w:rsidP="00400B6A">
      <w:pPr>
        <w:spacing w:line="276" w:lineRule="auto"/>
        <w:ind w:firstLine="709"/>
        <w:jc w:val="both"/>
        <w:rPr>
          <w:rFonts w:ascii="Tahoma" w:hAnsi="Tahoma" w:cs="Tahoma"/>
          <w:bCs/>
          <w:sz w:val="24"/>
          <w:szCs w:val="24"/>
        </w:rPr>
      </w:pPr>
      <w:r>
        <w:rPr>
          <w:rFonts w:ascii="Tahoma" w:hAnsi="Tahoma" w:cs="Tahoma"/>
          <w:b/>
          <w:sz w:val="24"/>
          <w:szCs w:val="24"/>
        </w:rPr>
        <w:t xml:space="preserve">TERCERO: </w:t>
      </w:r>
      <w:r w:rsidR="002A012C" w:rsidRPr="00164FCE">
        <w:rPr>
          <w:rFonts w:ascii="Tahoma" w:hAnsi="Tahoma" w:cs="Tahoma"/>
          <w:b/>
          <w:sz w:val="24"/>
          <w:szCs w:val="24"/>
        </w:rPr>
        <w:t xml:space="preserve">NOTIFÍQUESE </w:t>
      </w:r>
      <w:r w:rsidR="002A012C" w:rsidRPr="00164FCE">
        <w:rPr>
          <w:rFonts w:ascii="Tahoma" w:hAnsi="Tahoma" w:cs="Tahoma"/>
          <w:bCs/>
          <w:sz w:val="24"/>
          <w:szCs w:val="24"/>
        </w:rPr>
        <w:t>esta decisión a las partes por el medio más expedito.</w:t>
      </w:r>
    </w:p>
    <w:p w:rsidR="00A36A0F" w:rsidRPr="0063728E" w:rsidRDefault="00A36A0F" w:rsidP="0063728E">
      <w:pPr>
        <w:pStyle w:val="Sinespaciado"/>
      </w:pPr>
    </w:p>
    <w:p w:rsidR="00464B77" w:rsidRPr="00164FCE" w:rsidRDefault="00D43AED"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w:t>
      </w:r>
      <w:r w:rsidR="00400B6A" w:rsidRPr="00164FCE">
        <w:rPr>
          <w:rFonts w:ascii="Tahoma" w:hAnsi="Tahoma" w:cs="Tahoma"/>
          <w:b/>
          <w:sz w:val="24"/>
          <w:szCs w:val="24"/>
        </w:rPr>
        <w:t>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63728E" w:rsidRDefault="00E7296C" w:rsidP="0063728E">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63728E" w:rsidRDefault="00E7296C" w:rsidP="0063728E">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Default="00464B77" w:rsidP="00E7296C">
      <w:pPr>
        <w:pStyle w:val="Sinespaciado"/>
      </w:pPr>
      <w:r w:rsidRPr="00AC4134">
        <w:t xml:space="preserve"> </w:t>
      </w:r>
    </w:p>
    <w:p w:rsidR="00AB7D0F" w:rsidRPr="00E7296C" w:rsidRDefault="00AB7D0F" w:rsidP="00E7296C">
      <w:pPr>
        <w:pStyle w:val="Sinespaciado"/>
        <w:rPr>
          <w:sz w:val="20"/>
          <w:szCs w:val="20"/>
        </w:rPr>
      </w:pPr>
    </w:p>
    <w:p w:rsidR="00BA0791" w:rsidRDefault="00BA0791" w:rsidP="00E7296C">
      <w:pPr>
        <w:pStyle w:val="Sinespaciado"/>
        <w:rPr>
          <w:sz w:val="20"/>
          <w:szCs w:val="20"/>
        </w:rPr>
      </w:pP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Default="00BA0791" w:rsidP="00E7296C">
      <w:pPr>
        <w:pStyle w:val="Sinespaciado"/>
        <w:rPr>
          <w:sz w:val="18"/>
          <w:szCs w:val="18"/>
        </w:rPr>
      </w:pPr>
    </w:p>
    <w:p w:rsidR="008509B5" w:rsidRPr="00CE773E" w:rsidRDefault="008509B5" w:rsidP="00E7296C">
      <w:pPr>
        <w:pStyle w:val="Sinespaciado"/>
        <w:rPr>
          <w:sz w:val="18"/>
          <w:szCs w:val="18"/>
        </w:rPr>
      </w:pPr>
    </w:p>
    <w:p w:rsidR="00400B6A" w:rsidRPr="00CE773E" w:rsidRDefault="00400B6A"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BA0791" w:rsidRDefault="00BA0791" w:rsidP="00E7296C">
      <w:pPr>
        <w:pStyle w:val="Sinespaciado"/>
        <w:rPr>
          <w:sz w:val="18"/>
          <w:szCs w:val="18"/>
        </w:rPr>
      </w:pPr>
    </w:p>
    <w:p w:rsidR="008509B5" w:rsidRDefault="008509B5" w:rsidP="00E7296C">
      <w:pPr>
        <w:pStyle w:val="Sinespaciado"/>
        <w:rPr>
          <w:sz w:val="18"/>
          <w:szCs w:val="18"/>
        </w:rPr>
      </w:pPr>
    </w:p>
    <w:p w:rsidR="008509B5" w:rsidRDefault="008509B5" w:rsidP="00E7296C">
      <w:pPr>
        <w:pStyle w:val="Sinespaciado"/>
        <w:rPr>
          <w:sz w:val="18"/>
          <w:szCs w:val="18"/>
        </w:rPr>
      </w:pPr>
      <w:bookmarkStart w:id="1" w:name="_GoBack"/>
      <w:bookmarkEnd w:id="1"/>
    </w:p>
    <w:p w:rsidR="00363525" w:rsidRPr="00CE773E" w:rsidRDefault="00363525" w:rsidP="00E7296C">
      <w:pPr>
        <w:pStyle w:val="Sinespaciado"/>
        <w:rPr>
          <w:sz w:val="18"/>
          <w:szCs w:val="18"/>
        </w:rPr>
      </w:pPr>
    </w:p>
    <w:p w:rsidR="00464B77" w:rsidRPr="002243F1" w:rsidRDefault="00705327" w:rsidP="00AB7D0F">
      <w:pPr>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AB7D0F">
      <w:pPr>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80" w:rsidRDefault="00E50480" w:rsidP="00F242D4">
      <w:r>
        <w:separator/>
      </w:r>
    </w:p>
  </w:endnote>
  <w:endnote w:type="continuationSeparator" w:id="0">
    <w:p w:rsidR="00E50480" w:rsidRDefault="00E50480"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514BE0" w:rsidRPr="00514BE0">
      <w:rPr>
        <w:noProof/>
        <w:lang w:val="es-ES"/>
      </w:rPr>
      <w:t>2</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E50480" w:rsidRPr="00E50480">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80" w:rsidRDefault="00E50480" w:rsidP="00F242D4">
      <w:r>
        <w:separator/>
      </w:r>
    </w:p>
  </w:footnote>
  <w:footnote w:type="continuationSeparator" w:id="0">
    <w:p w:rsidR="00E50480" w:rsidRDefault="00E50480"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w:t>
    </w:r>
    <w:r w:rsidR="003D61FC">
      <w:rPr>
        <w:rFonts w:ascii="Tahoma" w:hAnsi="Tahoma" w:cs="Tahoma"/>
        <w:sz w:val="16"/>
        <w:szCs w:val="16"/>
      </w:rPr>
      <w:t>8</w:t>
    </w:r>
    <w:r w:rsidR="00BD64FA">
      <w:rPr>
        <w:rFonts w:ascii="Tahoma" w:hAnsi="Tahoma" w:cs="Tahoma"/>
        <w:sz w:val="16"/>
        <w:szCs w:val="16"/>
      </w:rPr>
      <w:t>7</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BD64FA">
      <w:rPr>
        <w:rFonts w:ascii="Tahoma" w:hAnsi="Tahoma" w:cs="Tahoma"/>
        <w:sz w:val="16"/>
        <w:szCs w:val="16"/>
      </w:rPr>
      <w:t>Maryen Toro Hernández</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17616F">
      <w:rPr>
        <w:rFonts w:ascii="Tahoma" w:hAnsi="Tahoma" w:cs="Tahoma"/>
        <w:sz w:val="16"/>
        <w:szCs w:val="16"/>
      </w:rPr>
      <w:t>Educación Nacional-Fondo Nacional de Prestaciones Sociales del Magisterio y otro</w:t>
    </w:r>
    <w:r w:rsidR="003D61FC">
      <w:rPr>
        <w:rFonts w:ascii="Tahoma" w:hAnsi="Tahoma" w:cs="Tahoma"/>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AAC"/>
    <w:rsid w:val="00021B6A"/>
    <w:rsid w:val="0002215F"/>
    <w:rsid w:val="00022CC8"/>
    <w:rsid w:val="00022F5F"/>
    <w:rsid w:val="00032E8D"/>
    <w:rsid w:val="000340D3"/>
    <w:rsid w:val="00040949"/>
    <w:rsid w:val="000452D2"/>
    <w:rsid w:val="00047559"/>
    <w:rsid w:val="00051D30"/>
    <w:rsid w:val="00052C84"/>
    <w:rsid w:val="00053D97"/>
    <w:rsid w:val="00065371"/>
    <w:rsid w:val="000779DB"/>
    <w:rsid w:val="00077A94"/>
    <w:rsid w:val="00090887"/>
    <w:rsid w:val="000948ED"/>
    <w:rsid w:val="00095791"/>
    <w:rsid w:val="000A0C0B"/>
    <w:rsid w:val="000C1BA8"/>
    <w:rsid w:val="000D5EA0"/>
    <w:rsid w:val="000D7F8A"/>
    <w:rsid w:val="000E0A69"/>
    <w:rsid w:val="000E4D70"/>
    <w:rsid w:val="000E6E37"/>
    <w:rsid w:val="000E74F7"/>
    <w:rsid w:val="000F466A"/>
    <w:rsid w:val="00112DC7"/>
    <w:rsid w:val="00114137"/>
    <w:rsid w:val="00114B8F"/>
    <w:rsid w:val="0011552A"/>
    <w:rsid w:val="001243B9"/>
    <w:rsid w:val="00136781"/>
    <w:rsid w:val="00136BD3"/>
    <w:rsid w:val="00136E93"/>
    <w:rsid w:val="00150510"/>
    <w:rsid w:val="0015271A"/>
    <w:rsid w:val="001544BD"/>
    <w:rsid w:val="001634E4"/>
    <w:rsid w:val="00164FCE"/>
    <w:rsid w:val="0017616F"/>
    <w:rsid w:val="001771C5"/>
    <w:rsid w:val="00177340"/>
    <w:rsid w:val="00180598"/>
    <w:rsid w:val="0018131F"/>
    <w:rsid w:val="001923FA"/>
    <w:rsid w:val="00196372"/>
    <w:rsid w:val="001A25EA"/>
    <w:rsid w:val="001A5665"/>
    <w:rsid w:val="001B3AAD"/>
    <w:rsid w:val="001B7731"/>
    <w:rsid w:val="001C3FC5"/>
    <w:rsid w:val="001C4AE3"/>
    <w:rsid w:val="001C59B5"/>
    <w:rsid w:val="001D4589"/>
    <w:rsid w:val="001F1405"/>
    <w:rsid w:val="002032EE"/>
    <w:rsid w:val="00213994"/>
    <w:rsid w:val="002173B9"/>
    <w:rsid w:val="00220009"/>
    <w:rsid w:val="00220B2F"/>
    <w:rsid w:val="00222636"/>
    <w:rsid w:val="00224C11"/>
    <w:rsid w:val="00231167"/>
    <w:rsid w:val="0023661A"/>
    <w:rsid w:val="002464D3"/>
    <w:rsid w:val="00250C7B"/>
    <w:rsid w:val="00252D15"/>
    <w:rsid w:val="002535E2"/>
    <w:rsid w:val="00257E8F"/>
    <w:rsid w:val="002805B7"/>
    <w:rsid w:val="00283EE8"/>
    <w:rsid w:val="00296F2D"/>
    <w:rsid w:val="002A012C"/>
    <w:rsid w:val="002A7FEF"/>
    <w:rsid w:val="002B5BBD"/>
    <w:rsid w:val="002C5A74"/>
    <w:rsid w:val="002D22A3"/>
    <w:rsid w:val="002E2E68"/>
    <w:rsid w:val="003032A8"/>
    <w:rsid w:val="00306386"/>
    <w:rsid w:val="00310772"/>
    <w:rsid w:val="00315CD4"/>
    <w:rsid w:val="00352002"/>
    <w:rsid w:val="00354382"/>
    <w:rsid w:val="00363525"/>
    <w:rsid w:val="003657CE"/>
    <w:rsid w:val="00380457"/>
    <w:rsid w:val="00381B28"/>
    <w:rsid w:val="00392299"/>
    <w:rsid w:val="0039709E"/>
    <w:rsid w:val="003A3E9C"/>
    <w:rsid w:val="003A72E8"/>
    <w:rsid w:val="003B0E3D"/>
    <w:rsid w:val="003B0FF3"/>
    <w:rsid w:val="003B4351"/>
    <w:rsid w:val="003B4C07"/>
    <w:rsid w:val="003D61FC"/>
    <w:rsid w:val="00400B6A"/>
    <w:rsid w:val="0040214F"/>
    <w:rsid w:val="0040704E"/>
    <w:rsid w:val="00412C14"/>
    <w:rsid w:val="00420468"/>
    <w:rsid w:val="00421F5F"/>
    <w:rsid w:val="00425953"/>
    <w:rsid w:val="00427291"/>
    <w:rsid w:val="00437373"/>
    <w:rsid w:val="00441C87"/>
    <w:rsid w:val="00443701"/>
    <w:rsid w:val="00455B26"/>
    <w:rsid w:val="00456484"/>
    <w:rsid w:val="00464B77"/>
    <w:rsid w:val="004723C4"/>
    <w:rsid w:val="0047643E"/>
    <w:rsid w:val="004840A4"/>
    <w:rsid w:val="00486FA5"/>
    <w:rsid w:val="004A45B7"/>
    <w:rsid w:val="004C1D27"/>
    <w:rsid w:val="004C4D4C"/>
    <w:rsid w:val="00507BC9"/>
    <w:rsid w:val="00514BE0"/>
    <w:rsid w:val="00523DB5"/>
    <w:rsid w:val="00527911"/>
    <w:rsid w:val="00531D2D"/>
    <w:rsid w:val="00534EC5"/>
    <w:rsid w:val="0053759D"/>
    <w:rsid w:val="0054410C"/>
    <w:rsid w:val="0055178F"/>
    <w:rsid w:val="00577BB9"/>
    <w:rsid w:val="00583C9F"/>
    <w:rsid w:val="00585577"/>
    <w:rsid w:val="00587D2A"/>
    <w:rsid w:val="00597DF3"/>
    <w:rsid w:val="005A0884"/>
    <w:rsid w:val="005A3C95"/>
    <w:rsid w:val="005C249C"/>
    <w:rsid w:val="005D626B"/>
    <w:rsid w:val="005D7DE4"/>
    <w:rsid w:val="005E0017"/>
    <w:rsid w:val="005E2999"/>
    <w:rsid w:val="0061742D"/>
    <w:rsid w:val="00623C2E"/>
    <w:rsid w:val="00624F36"/>
    <w:rsid w:val="0063728E"/>
    <w:rsid w:val="0063781B"/>
    <w:rsid w:val="0064417C"/>
    <w:rsid w:val="00654265"/>
    <w:rsid w:val="00660902"/>
    <w:rsid w:val="00667A4C"/>
    <w:rsid w:val="00670D04"/>
    <w:rsid w:val="006730E8"/>
    <w:rsid w:val="00685149"/>
    <w:rsid w:val="00690CDC"/>
    <w:rsid w:val="006928D2"/>
    <w:rsid w:val="006A045A"/>
    <w:rsid w:val="006A346A"/>
    <w:rsid w:val="006D0C3A"/>
    <w:rsid w:val="006D66D2"/>
    <w:rsid w:val="006E213D"/>
    <w:rsid w:val="006E3650"/>
    <w:rsid w:val="00700D9D"/>
    <w:rsid w:val="00705327"/>
    <w:rsid w:val="007132E3"/>
    <w:rsid w:val="00716955"/>
    <w:rsid w:val="00717281"/>
    <w:rsid w:val="00720F1C"/>
    <w:rsid w:val="00722495"/>
    <w:rsid w:val="00727C2B"/>
    <w:rsid w:val="007322AC"/>
    <w:rsid w:val="00756C6E"/>
    <w:rsid w:val="00761B0D"/>
    <w:rsid w:val="00783928"/>
    <w:rsid w:val="007901FA"/>
    <w:rsid w:val="007A01A5"/>
    <w:rsid w:val="007A6D18"/>
    <w:rsid w:val="007B7D0C"/>
    <w:rsid w:val="007D22E9"/>
    <w:rsid w:val="007D7478"/>
    <w:rsid w:val="007E0E0E"/>
    <w:rsid w:val="007E124C"/>
    <w:rsid w:val="007E2A90"/>
    <w:rsid w:val="007E7350"/>
    <w:rsid w:val="0081395D"/>
    <w:rsid w:val="00814535"/>
    <w:rsid w:val="00826750"/>
    <w:rsid w:val="00833966"/>
    <w:rsid w:val="0083708E"/>
    <w:rsid w:val="008421F9"/>
    <w:rsid w:val="00843CEA"/>
    <w:rsid w:val="00845F83"/>
    <w:rsid w:val="008509B5"/>
    <w:rsid w:val="00854CCA"/>
    <w:rsid w:val="00857CA5"/>
    <w:rsid w:val="008745A2"/>
    <w:rsid w:val="00875845"/>
    <w:rsid w:val="0089694F"/>
    <w:rsid w:val="008A0A80"/>
    <w:rsid w:val="008A75CE"/>
    <w:rsid w:val="008B3FC1"/>
    <w:rsid w:val="008C0F32"/>
    <w:rsid w:val="008C5D27"/>
    <w:rsid w:val="008D46FF"/>
    <w:rsid w:val="008D6081"/>
    <w:rsid w:val="008E2533"/>
    <w:rsid w:val="008E4EC2"/>
    <w:rsid w:val="008F360F"/>
    <w:rsid w:val="00905111"/>
    <w:rsid w:val="00915CB4"/>
    <w:rsid w:val="009260DB"/>
    <w:rsid w:val="00941CDF"/>
    <w:rsid w:val="009475CB"/>
    <w:rsid w:val="00965E3F"/>
    <w:rsid w:val="0097306C"/>
    <w:rsid w:val="009763B4"/>
    <w:rsid w:val="009856F9"/>
    <w:rsid w:val="00990991"/>
    <w:rsid w:val="0099113D"/>
    <w:rsid w:val="009940BC"/>
    <w:rsid w:val="009A0165"/>
    <w:rsid w:val="009C5011"/>
    <w:rsid w:val="009E0485"/>
    <w:rsid w:val="009E797A"/>
    <w:rsid w:val="009F2D7E"/>
    <w:rsid w:val="009F4F47"/>
    <w:rsid w:val="00A021BB"/>
    <w:rsid w:val="00A0247B"/>
    <w:rsid w:val="00A0535E"/>
    <w:rsid w:val="00A14A79"/>
    <w:rsid w:val="00A22431"/>
    <w:rsid w:val="00A36A0F"/>
    <w:rsid w:val="00A5132B"/>
    <w:rsid w:val="00A55BA7"/>
    <w:rsid w:val="00A62B53"/>
    <w:rsid w:val="00A64CAC"/>
    <w:rsid w:val="00A70ADD"/>
    <w:rsid w:val="00A752CE"/>
    <w:rsid w:val="00AA78FF"/>
    <w:rsid w:val="00AA7D5E"/>
    <w:rsid w:val="00AB2F7D"/>
    <w:rsid w:val="00AB7D0F"/>
    <w:rsid w:val="00AC4134"/>
    <w:rsid w:val="00AE3F54"/>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6405C"/>
    <w:rsid w:val="00B758BE"/>
    <w:rsid w:val="00B77766"/>
    <w:rsid w:val="00B85F3D"/>
    <w:rsid w:val="00BA0791"/>
    <w:rsid w:val="00BA1038"/>
    <w:rsid w:val="00BC2389"/>
    <w:rsid w:val="00BD3DDA"/>
    <w:rsid w:val="00BD64FA"/>
    <w:rsid w:val="00BD683A"/>
    <w:rsid w:val="00BE7725"/>
    <w:rsid w:val="00C01F0C"/>
    <w:rsid w:val="00C06995"/>
    <w:rsid w:val="00C13653"/>
    <w:rsid w:val="00C359D9"/>
    <w:rsid w:val="00C4032A"/>
    <w:rsid w:val="00C42D1A"/>
    <w:rsid w:val="00C47656"/>
    <w:rsid w:val="00C50D5E"/>
    <w:rsid w:val="00C53B4F"/>
    <w:rsid w:val="00C648DB"/>
    <w:rsid w:val="00C67FA0"/>
    <w:rsid w:val="00C707A1"/>
    <w:rsid w:val="00C86946"/>
    <w:rsid w:val="00C922FD"/>
    <w:rsid w:val="00C9738C"/>
    <w:rsid w:val="00CB1AF8"/>
    <w:rsid w:val="00CC747B"/>
    <w:rsid w:val="00CD36F2"/>
    <w:rsid w:val="00CD3BAB"/>
    <w:rsid w:val="00CD4E59"/>
    <w:rsid w:val="00CE0E3D"/>
    <w:rsid w:val="00CE51A1"/>
    <w:rsid w:val="00CE773E"/>
    <w:rsid w:val="00D0316A"/>
    <w:rsid w:val="00D033AE"/>
    <w:rsid w:val="00D0404A"/>
    <w:rsid w:val="00D113B8"/>
    <w:rsid w:val="00D116C2"/>
    <w:rsid w:val="00D16146"/>
    <w:rsid w:val="00D21A1F"/>
    <w:rsid w:val="00D23696"/>
    <w:rsid w:val="00D25B93"/>
    <w:rsid w:val="00D32EDE"/>
    <w:rsid w:val="00D348AC"/>
    <w:rsid w:val="00D43AED"/>
    <w:rsid w:val="00D5036D"/>
    <w:rsid w:val="00D512D9"/>
    <w:rsid w:val="00D553BE"/>
    <w:rsid w:val="00D72AB6"/>
    <w:rsid w:val="00D90C16"/>
    <w:rsid w:val="00D92F3B"/>
    <w:rsid w:val="00D971B0"/>
    <w:rsid w:val="00DA4669"/>
    <w:rsid w:val="00DC298C"/>
    <w:rsid w:val="00DE04C1"/>
    <w:rsid w:val="00DE3D27"/>
    <w:rsid w:val="00DE4BF3"/>
    <w:rsid w:val="00DE532B"/>
    <w:rsid w:val="00DF0D95"/>
    <w:rsid w:val="00E30CBF"/>
    <w:rsid w:val="00E3169D"/>
    <w:rsid w:val="00E31E53"/>
    <w:rsid w:val="00E4096B"/>
    <w:rsid w:val="00E438CD"/>
    <w:rsid w:val="00E43B93"/>
    <w:rsid w:val="00E50480"/>
    <w:rsid w:val="00E70B1E"/>
    <w:rsid w:val="00E7296C"/>
    <w:rsid w:val="00E76A37"/>
    <w:rsid w:val="00E90F82"/>
    <w:rsid w:val="00E93B73"/>
    <w:rsid w:val="00EA3437"/>
    <w:rsid w:val="00EB0AE2"/>
    <w:rsid w:val="00EB2209"/>
    <w:rsid w:val="00EB3126"/>
    <w:rsid w:val="00EB7DB1"/>
    <w:rsid w:val="00EC4D73"/>
    <w:rsid w:val="00ED78C9"/>
    <w:rsid w:val="00EE1C5E"/>
    <w:rsid w:val="00EF16AE"/>
    <w:rsid w:val="00EF36F7"/>
    <w:rsid w:val="00F047E0"/>
    <w:rsid w:val="00F074AB"/>
    <w:rsid w:val="00F1662A"/>
    <w:rsid w:val="00F242D4"/>
    <w:rsid w:val="00F715E1"/>
    <w:rsid w:val="00F85116"/>
    <w:rsid w:val="00FA6D47"/>
    <w:rsid w:val="00FB1245"/>
    <w:rsid w:val="00FC6B93"/>
    <w:rsid w:val="00FC7D54"/>
    <w:rsid w:val="00FD1FBA"/>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29</cp:revision>
  <cp:lastPrinted>2015-05-15T23:00:00Z</cp:lastPrinted>
  <dcterms:created xsi:type="dcterms:W3CDTF">2016-04-14T20:39:00Z</dcterms:created>
  <dcterms:modified xsi:type="dcterms:W3CDTF">2016-09-05T19:47:00Z</dcterms:modified>
</cp:coreProperties>
</file>