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C50D0" w:rsidRPr="003D36AB" w:rsidRDefault="009C50D0" w:rsidP="009C50D0">
      <w:pPr>
        <w:pStyle w:val="Puesto"/>
        <w:pBdr>
          <w:top w:val="single" w:sz="4" w:space="1" w:color="auto"/>
          <w:left w:val="single" w:sz="4" w:space="4" w:color="auto"/>
          <w:bottom w:val="single" w:sz="4" w:space="1" w:color="auto"/>
          <w:right w:val="single" w:sz="4" w:space="4" w:color="auto"/>
        </w:pBdr>
        <w:spacing w:line="240" w:lineRule="auto"/>
        <w:jc w:val="both"/>
        <w:rPr>
          <w:rFonts w:ascii="Arial Narrow" w:hAnsi="Arial Narrow" w:cs="Tahoma"/>
          <w:b w:val="0"/>
          <w:sz w:val="18"/>
          <w:szCs w:val="18"/>
        </w:rPr>
      </w:pPr>
      <w:r w:rsidRPr="003D36AB">
        <w:rPr>
          <w:rFonts w:ascii="Arial Narrow" w:hAnsi="Arial Narrow" w:cs="Tahoma"/>
          <w:b w:val="0"/>
          <w:sz w:val="18"/>
          <w:szCs w:val="18"/>
        </w:rPr>
        <w:t xml:space="preserve">El siguiente es el documento presentado por la Magistrada ponente que sirvió de base para proferir en audiencia la sentencia de segunda instancia dentro del presente proceso. El contenido total y fiel de la decisión debe ser verificado en el audio que reposa en </w:t>
      </w:r>
      <w:smartTag w:uri="urn:schemas-microsoft-com:office:smarttags" w:element="PersonName">
        <w:smartTagPr>
          <w:attr w:name="ProductID" w:val="la Secretar￭a"/>
        </w:smartTagPr>
        <w:r w:rsidRPr="003D36AB">
          <w:rPr>
            <w:rFonts w:ascii="Arial Narrow" w:hAnsi="Arial Narrow" w:cs="Tahoma"/>
            <w:b w:val="0"/>
            <w:sz w:val="18"/>
            <w:szCs w:val="18"/>
          </w:rPr>
          <w:t>la Secretaría</w:t>
        </w:r>
      </w:smartTag>
      <w:r w:rsidRPr="003D36AB">
        <w:rPr>
          <w:rFonts w:ascii="Arial Narrow" w:hAnsi="Arial Narrow" w:cs="Tahoma"/>
          <w:b w:val="0"/>
          <w:sz w:val="18"/>
          <w:szCs w:val="18"/>
        </w:rPr>
        <w:t xml:space="preserve"> de esta Corporación. </w:t>
      </w:r>
    </w:p>
    <w:p w:rsidR="009C50D0" w:rsidRPr="003D36AB" w:rsidRDefault="009C50D0" w:rsidP="009C50D0">
      <w:pPr>
        <w:pStyle w:val="Puesto"/>
        <w:spacing w:line="240" w:lineRule="auto"/>
        <w:jc w:val="both"/>
        <w:rPr>
          <w:rFonts w:ascii="Tahoma" w:hAnsi="Tahoma" w:cs="Tahoma"/>
          <w:b w:val="0"/>
          <w:sz w:val="18"/>
          <w:szCs w:val="18"/>
        </w:rPr>
      </w:pP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Providencia:</w:t>
      </w:r>
      <w:r w:rsidRPr="003D36AB">
        <w:rPr>
          <w:rFonts w:ascii="Tahoma" w:hAnsi="Tahoma" w:cs="Tahoma"/>
          <w:b w:val="0"/>
          <w:sz w:val="18"/>
          <w:szCs w:val="18"/>
        </w:rPr>
        <w:t xml:space="preserve"> </w:t>
      </w:r>
      <w:r w:rsidRPr="003D36AB">
        <w:rPr>
          <w:rFonts w:ascii="Tahoma" w:hAnsi="Tahoma" w:cs="Tahoma"/>
          <w:b w:val="0"/>
          <w:sz w:val="18"/>
          <w:szCs w:val="18"/>
        </w:rPr>
        <w:tab/>
      </w:r>
      <w:r w:rsidRPr="003D36AB">
        <w:rPr>
          <w:rFonts w:ascii="Tahoma" w:hAnsi="Tahoma" w:cs="Tahoma"/>
          <w:b w:val="0"/>
          <w:sz w:val="18"/>
          <w:szCs w:val="18"/>
        </w:rPr>
        <w:tab/>
      </w:r>
      <w:r w:rsidRPr="003D36AB">
        <w:rPr>
          <w:rFonts w:ascii="Tahoma" w:hAnsi="Tahoma" w:cs="Tahoma"/>
          <w:b w:val="0"/>
          <w:bCs/>
          <w:sz w:val="18"/>
          <w:szCs w:val="18"/>
        </w:rPr>
        <w:t xml:space="preserve">Sentencia del </w:t>
      </w:r>
      <w:r w:rsidR="00956DEB">
        <w:rPr>
          <w:rFonts w:ascii="Tahoma" w:hAnsi="Tahoma" w:cs="Tahoma"/>
          <w:b w:val="0"/>
          <w:bCs/>
          <w:sz w:val="18"/>
          <w:szCs w:val="18"/>
        </w:rPr>
        <w:t>15 de abril de 2016</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Radicación No.:</w:t>
      </w:r>
      <w:r w:rsidR="00A90700">
        <w:rPr>
          <w:rFonts w:ascii="Tahoma" w:hAnsi="Tahoma" w:cs="Tahoma"/>
          <w:b w:val="0"/>
          <w:sz w:val="18"/>
          <w:szCs w:val="18"/>
        </w:rPr>
        <w:tab/>
      </w:r>
      <w:r w:rsidR="00A90700">
        <w:rPr>
          <w:rFonts w:ascii="Tahoma" w:hAnsi="Tahoma" w:cs="Tahoma"/>
          <w:b w:val="0"/>
          <w:sz w:val="18"/>
          <w:szCs w:val="18"/>
        </w:rPr>
        <w:tab/>
        <w:t>66001-31-05-00</w:t>
      </w:r>
      <w:r w:rsidR="00956DEB">
        <w:rPr>
          <w:rFonts w:ascii="Tahoma" w:hAnsi="Tahoma" w:cs="Tahoma"/>
          <w:b w:val="0"/>
          <w:sz w:val="18"/>
          <w:szCs w:val="18"/>
        </w:rPr>
        <w:t>2-2013</w:t>
      </w:r>
      <w:r w:rsidR="00A90700">
        <w:rPr>
          <w:rFonts w:ascii="Tahoma" w:hAnsi="Tahoma" w:cs="Tahoma"/>
          <w:b w:val="0"/>
          <w:sz w:val="18"/>
          <w:szCs w:val="18"/>
        </w:rPr>
        <w:t>-00</w:t>
      </w:r>
      <w:r w:rsidR="00956DEB">
        <w:rPr>
          <w:rFonts w:ascii="Tahoma" w:hAnsi="Tahoma" w:cs="Tahoma"/>
          <w:b w:val="0"/>
          <w:sz w:val="18"/>
          <w:szCs w:val="18"/>
        </w:rPr>
        <w:t>275</w:t>
      </w:r>
      <w:r w:rsidRPr="003D36AB">
        <w:rPr>
          <w:rFonts w:ascii="Tahoma" w:hAnsi="Tahoma" w:cs="Tahoma"/>
          <w:b w:val="0"/>
          <w:sz w:val="18"/>
          <w:szCs w:val="18"/>
        </w:rPr>
        <w:t>-01</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Proceso:</w:t>
      </w:r>
      <w:r w:rsidRPr="003D36AB">
        <w:rPr>
          <w:rFonts w:ascii="Tahoma" w:hAnsi="Tahoma" w:cs="Tahoma"/>
          <w:b w:val="0"/>
          <w:sz w:val="18"/>
          <w:szCs w:val="18"/>
        </w:rPr>
        <w:tab/>
      </w:r>
      <w:r w:rsidRPr="003D36AB">
        <w:rPr>
          <w:rFonts w:ascii="Tahoma" w:hAnsi="Tahoma" w:cs="Tahoma"/>
          <w:b w:val="0"/>
          <w:sz w:val="18"/>
          <w:szCs w:val="18"/>
        </w:rPr>
        <w:tab/>
        <w:t xml:space="preserve">Ordinario laboral </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Demandante:</w:t>
      </w:r>
      <w:r w:rsidRPr="003D36AB">
        <w:rPr>
          <w:rFonts w:ascii="Tahoma" w:hAnsi="Tahoma" w:cs="Tahoma"/>
          <w:b w:val="0"/>
          <w:sz w:val="18"/>
          <w:szCs w:val="18"/>
        </w:rPr>
        <w:tab/>
      </w:r>
      <w:r w:rsidRPr="003D36AB">
        <w:rPr>
          <w:rFonts w:ascii="Tahoma" w:hAnsi="Tahoma" w:cs="Tahoma"/>
          <w:b w:val="0"/>
          <w:sz w:val="18"/>
          <w:szCs w:val="18"/>
        </w:rPr>
        <w:tab/>
      </w:r>
      <w:r w:rsidR="00956DEB">
        <w:rPr>
          <w:rFonts w:ascii="Tahoma" w:hAnsi="Tahoma" w:cs="Tahoma"/>
          <w:b w:val="0"/>
          <w:sz w:val="18"/>
          <w:szCs w:val="18"/>
        </w:rPr>
        <w:t>José Jairo Castaño Rincón</w:t>
      </w:r>
    </w:p>
    <w:p w:rsidR="009C50D0" w:rsidRPr="003D36AB" w:rsidRDefault="009C50D0" w:rsidP="009C50D0">
      <w:pPr>
        <w:pStyle w:val="Puesto"/>
        <w:spacing w:line="240" w:lineRule="auto"/>
        <w:ind w:left="708" w:hanging="708"/>
        <w:jc w:val="both"/>
        <w:rPr>
          <w:rFonts w:ascii="Tahoma" w:hAnsi="Tahoma" w:cs="Tahoma"/>
          <w:b w:val="0"/>
          <w:sz w:val="18"/>
          <w:szCs w:val="18"/>
        </w:rPr>
      </w:pPr>
      <w:r w:rsidRPr="003D36AB">
        <w:rPr>
          <w:rFonts w:ascii="Tahoma" w:hAnsi="Tahoma" w:cs="Tahoma"/>
          <w:sz w:val="18"/>
          <w:szCs w:val="18"/>
        </w:rPr>
        <w:t>Demandado:</w:t>
      </w:r>
      <w:r w:rsidRPr="003D36AB">
        <w:rPr>
          <w:rFonts w:ascii="Tahoma" w:hAnsi="Tahoma" w:cs="Tahoma"/>
          <w:b w:val="0"/>
          <w:sz w:val="18"/>
          <w:szCs w:val="18"/>
        </w:rPr>
        <w:tab/>
      </w:r>
      <w:r w:rsidRPr="003D36AB">
        <w:rPr>
          <w:rFonts w:ascii="Tahoma" w:hAnsi="Tahoma" w:cs="Tahoma"/>
          <w:b w:val="0"/>
          <w:sz w:val="18"/>
          <w:szCs w:val="18"/>
        </w:rPr>
        <w:tab/>
      </w:r>
      <w:r w:rsidR="00956DEB">
        <w:rPr>
          <w:rFonts w:ascii="Tahoma" w:hAnsi="Tahoma" w:cs="Tahoma"/>
          <w:b w:val="0"/>
          <w:sz w:val="18"/>
          <w:szCs w:val="18"/>
        </w:rPr>
        <w:t>Provenir S.A.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Juzgado de origen:</w:t>
      </w:r>
      <w:r w:rsidRPr="003D36AB">
        <w:rPr>
          <w:rFonts w:ascii="Tahoma" w:hAnsi="Tahoma" w:cs="Tahoma"/>
          <w:b w:val="0"/>
          <w:sz w:val="18"/>
          <w:szCs w:val="18"/>
        </w:rPr>
        <w:t xml:space="preserve"> </w:t>
      </w:r>
      <w:r w:rsidRPr="003D36AB">
        <w:rPr>
          <w:rFonts w:ascii="Tahoma" w:hAnsi="Tahoma" w:cs="Tahoma"/>
          <w:b w:val="0"/>
          <w:sz w:val="18"/>
          <w:szCs w:val="18"/>
        </w:rPr>
        <w:tab/>
      </w:r>
      <w:r w:rsidR="00956DEB">
        <w:rPr>
          <w:rFonts w:ascii="Tahoma" w:hAnsi="Tahoma" w:cs="Tahoma"/>
          <w:b w:val="0"/>
          <w:sz w:val="18"/>
          <w:szCs w:val="18"/>
        </w:rPr>
        <w:t>Segundo</w:t>
      </w:r>
      <w:r w:rsidRPr="003D36AB">
        <w:rPr>
          <w:rFonts w:ascii="Tahoma" w:hAnsi="Tahoma" w:cs="Tahoma"/>
          <w:b w:val="0"/>
          <w:sz w:val="18"/>
          <w:szCs w:val="18"/>
        </w:rPr>
        <w:t xml:space="preserve"> Laboral del Circuito de Pereira</w:t>
      </w:r>
    </w:p>
    <w:p w:rsidR="009C50D0" w:rsidRPr="003D36AB" w:rsidRDefault="009C50D0" w:rsidP="009C50D0">
      <w:pPr>
        <w:pStyle w:val="Puesto"/>
        <w:spacing w:line="240" w:lineRule="auto"/>
        <w:jc w:val="both"/>
        <w:rPr>
          <w:rFonts w:ascii="Tahoma" w:hAnsi="Tahoma" w:cs="Tahoma"/>
          <w:b w:val="0"/>
          <w:sz w:val="18"/>
          <w:szCs w:val="18"/>
        </w:rPr>
      </w:pPr>
      <w:r w:rsidRPr="003D36AB">
        <w:rPr>
          <w:rFonts w:ascii="Tahoma" w:hAnsi="Tahoma" w:cs="Tahoma"/>
          <w:sz w:val="18"/>
          <w:szCs w:val="18"/>
        </w:rPr>
        <w:t>Magistrada ponente:</w:t>
      </w:r>
      <w:r w:rsidRPr="003D36AB">
        <w:rPr>
          <w:rFonts w:ascii="Tahoma" w:hAnsi="Tahoma" w:cs="Tahoma"/>
          <w:b w:val="0"/>
          <w:sz w:val="18"/>
          <w:szCs w:val="18"/>
        </w:rPr>
        <w:tab/>
        <w:t>Dra. Ana Lucía Caicedo Calderón</w:t>
      </w:r>
      <w:bookmarkStart w:id="0" w:name="_GoBack"/>
      <w:bookmarkEnd w:id="0"/>
    </w:p>
    <w:p w:rsidR="009C50D0" w:rsidRDefault="009C50D0" w:rsidP="009C50D0">
      <w:pPr>
        <w:pStyle w:val="Puesto"/>
        <w:spacing w:line="240" w:lineRule="auto"/>
        <w:ind w:left="2805" w:hanging="2805"/>
        <w:jc w:val="both"/>
        <w:rPr>
          <w:rFonts w:ascii="Tahoma" w:hAnsi="Tahoma" w:cs="Tahoma"/>
          <w:sz w:val="18"/>
          <w:szCs w:val="18"/>
        </w:rPr>
      </w:pPr>
      <w:r w:rsidRPr="003D36AB">
        <w:rPr>
          <w:rFonts w:ascii="Tahoma" w:hAnsi="Tahoma" w:cs="Tahoma"/>
          <w:sz w:val="18"/>
          <w:szCs w:val="18"/>
        </w:rPr>
        <w:t>Tema:</w:t>
      </w:r>
      <w:r w:rsidRPr="003D36AB">
        <w:rPr>
          <w:rFonts w:ascii="Tahoma" w:hAnsi="Tahoma" w:cs="Tahoma"/>
          <w:sz w:val="18"/>
          <w:szCs w:val="18"/>
        </w:rPr>
        <w:tab/>
      </w:r>
    </w:p>
    <w:p w:rsidR="00C85BA4" w:rsidRDefault="00C85BA4" w:rsidP="00011F78">
      <w:pPr>
        <w:pStyle w:val="Puesto"/>
        <w:spacing w:line="240" w:lineRule="auto"/>
        <w:ind w:left="2127" w:right="51"/>
        <w:jc w:val="both"/>
        <w:rPr>
          <w:rFonts w:ascii="Tahoma" w:hAnsi="Tahoma" w:cs="Tahoma"/>
          <w:b w:val="0"/>
          <w:bCs/>
          <w:sz w:val="18"/>
          <w:szCs w:val="18"/>
        </w:rPr>
      </w:pPr>
    </w:p>
    <w:p w:rsidR="0046400B" w:rsidRPr="00982D57" w:rsidRDefault="00C85BA4" w:rsidP="008C10B4">
      <w:pPr>
        <w:pStyle w:val="Puesto"/>
        <w:spacing w:line="240" w:lineRule="auto"/>
        <w:ind w:right="51"/>
        <w:jc w:val="both"/>
        <w:rPr>
          <w:b w:val="0"/>
          <w:bCs/>
          <w:spacing w:val="-7"/>
          <w:sz w:val="19"/>
          <w:szCs w:val="19"/>
        </w:rPr>
      </w:pPr>
      <w:r w:rsidRPr="00982D57">
        <w:rPr>
          <w:b w:val="0"/>
          <w:bCs/>
          <w:spacing w:val="-7"/>
          <w:sz w:val="19"/>
          <w:szCs w:val="19"/>
        </w:rPr>
        <w:t>PENSI</w:t>
      </w:r>
      <w:r w:rsidR="0046400B" w:rsidRPr="00982D57">
        <w:rPr>
          <w:b w:val="0"/>
          <w:bCs/>
          <w:spacing w:val="-7"/>
          <w:sz w:val="19"/>
          <w:szCs w:val="19"/>
        </w:rPr>
        <w:t>ÓN DE INVA</w:t>
      </w:r>
      <w:r w:rsidRPr="00982D57">
        <w:rPr>
          <w:b w:val="0"/>
          <w:bCs/>
          <w:spacing w:val="-7"/>
          <w:sz w:val="19"/>
          <w:szCs w:val="19"/>
        </w:rPr>
        <w:t xml:space="preserve">LIDEZ/ </w:t>
      </w:r>
      <w:r w:rsidR="00471914" w:rsidRPr="00982D57">
        <w:rPr>
          <w:b w:val="0"/>
          <w:bCs/>
          <w:spacing w:val="-7"/>
          <w:sz w:val="19"/>
          <w:szCs w:val="19"/>
        </w:rPr>
        <w:t>Correcta incorporación</w:t>
      </w:r>
      <w:r w:rsidR="00982D57" w:rsidRPr="00982D57">
        <w:rPr>
          <w:b w:val="0"/>
          <w:bCs/>
          <w:spacing w:val="-7"/>
          <w:sz w:val="19"/>
          <w:szCs w:val="19"/>
        </w:rPr>
        <w:t xml:space="preserve"> al proceso</w:t>
      </w:r>
      <w:r w:rsidR="00471914" w:rsidRPr="00982D57">
        <w:rPr>
          <w:b w:val="0"/>
          <w:bCs/>
          <w:spacing w:val="-7"/>
          <w:sz w:val="19"/>
          <w:szCs w:val="19"/>
        </w:rPr>
        <w:t xml:space="preserve"> de los reportes de pago</w:t>
      </w:r>
      <w:r w:rsidR="005C6EE4" w:rsidRPr="00982D57">
        <w:rPr>
          <w:b w:val="0"/>
          <w:bCs/>
          <w:spacing w:val="-7"/>
          <w:sz w:val="19"/>
          <w:szCs w:val="19"/>
        </w:rPr>
        <w:t>,</w:t>
      </w:r>
      <w:r w:rsidR="00471914" w:rsidRPr="00982D57">
        <w:rPr>
          <w:b w:val="0"/>
          <w:bCs/>
          <w:spacing w:val="-7"/>
          <w:sz w:val="19"/>
          <w:szCs w:val="19"/>
        </w:rPr>
        <w:t xml:space="preserve"> con los cuales se acredita </w:t>
      </w:r>
      <w:r w:rsidR="005C6EE4" w:rsidRPr="00982D57">
        <w:rPr>
          <w:b w:val="0"/>
          <w:bCs/>
          <w:spacing w:val="-7"/>
          <w:sz w:val="19"/>
          <w:szCs w:val="19"/>
        </w:rPr>
        <w:t>la densidad de semanas necesaria</w:t>
      </w:r>
      <w:r w:rsidR="00471914" w:rsidRPr="00982D57">
        <w:rPr>
          <w:b w:val="0"/>
          <w:bCs/>
          <w:spacing w:val="-7"/>
          <w:sz w:val="19"/>
          <w:szCs w:val="19"/>
        </w:rPr>
        <w:t xml:space="preserve"> </w:t>
      </w:r>
      <w:r w:rsidR="008C10B4" w:rsidRPr="00982D57">
        <w:rPr>
          <w:b w:val="0"/>
          <w:bCs/>
          <w:spacing w:val="-7"/>
          <w:sz w:val="19"/>
          <w:szCs w:val="19"/>
        </w:rPr>
        <w:t>para obtener la prestación</w:t>
      </w:r>
      <w:r w:rsidR="00597F15" w:rsidRPr="00982D57">
        <w:rPr>
          <w:b w:val="0"/>
          <w:bCs/>
          <w:spacing w:val="-7"/>
          <w:sz w:val="19"/>
          <w:szCs w:val="19"/>
        </w:rPr>
        <w:t>/ Reconocimiento pensional a partir de la fecha de la estructuraci</w:t>
      </w:r>
      <w:r w:rsidR="00112244" w:rsidRPr="00982D57">
        <w:rPr>
          <w:b w:val="0"/>
          <w:bCs/>
          <w:spacing w:val="-7"/>
          <w:sz w:val="19"/>
          <w:szCs w:val="19"/>
        </w:rPr>
        <w:t>ón de la invalidez</w:t>
      </w:r>
    </w:p>
    <w:p w:rsidR="00112244" w:rsidRPr="00112244" w:rsidRDefault="00112244" w:rsidP="008C10B4">
      <w:pPr>
        <w:pStyle w:val="Puesto"/>
        <w:spacing w:line="240" w:lineRule="auto"/>
        <w:ind w:right="51"/>
        <w:jc w:val="both"/>
        <w:rPr>
          <w:b w:val="0"/>
          <w:bCs/>
          <w:spacing w:val="-6"/>
          <w:sz w:val="19"/>
          <w:szCs w:val="19"/>
        </w:rPr>
      </w:pPr>
    </w:p>
    <w:p w:rsidR="0046400B" w:rsidRPr="00112244" w:rsidRDefault="005940E1" w:rsidP="008C10B4">
      <w:pPr>
        <w:pStyle w:val="Textoindependiente"/>
        <w:spacing w:after="0"/>
        <w:ind w:right="51"/>
        <w:jc w:val="both"/>
        <w:rPr>
          <w:rFonts w:ascii="Arial" w:hAnsi="Arial" w:cs="Arial"/>
          <w:bCs/>
          <w:color w:val="FF0000"/>
          <w:spacing w:val="-6"/>
          <w:sz w:val="19"/>
          <w:szCs w:val="19"/>
        </w:rPr>
      </w:pPr>
      <w:r w:rsidRPr="00112244">
        <w:rPr>
          <w:rFonts w:ascii="Arial" w:hAnsi="Arial" w:cs="Arial"/>
          <w:bCs/>
          <w:spacing w:val="-6"/>
          <w:sz w:val="19"/>
          <w:szCs w:val="19"/>
        </w:rPr>
        <w:t xml:space="preserve">“(…) </w:t>
      </w:r>
      <w:r w:rsidR="0046400B" w:rsidRPr="00112244">
        <w:rPr>
          <w:rFonts w:ascii="Arial" w:hAnsi="Arial" w:cs="Arial"/>
          <w:bCs/>
          <w:spacing w:val="-6"/>
          <w:sz w:val="19"/>
          <w:szCs w:val="19"/>
        </w:rPr>
        <w:t>la Sala encuentra que los reportes de pago allegados al proceso obran válidamente en el plenario, por lo que tienen pleno valor probatorio para producir los efectos perseguidos por el demandante; siendo del caso avalar la valoración que de los mismos hiciera la operadora jurídica de instancia, toda vez que en ellos se observa no solo el sello de la Alcaldía de Pereira, que da cuenta de su autenticidad, sino el del Banco AV Villas, donde se llevó a cabo el recaudo, y el membrete de Porvenir, donde se plasma que son comprobantes de consignación a nombre del señor José Jairo Castaño, individualizados por los meses de julio a diciembre de 2007.</w:t>
      </w:r>
    </w:p>
    <w:p w:rsidR="0046400B" w:rsidRPr="00112244" w:rsidRDefault="0046400B" w:rsidP="008C10B4">
      <w:pPr>
        <w:pStyle w:val="Sinespaciado"/>
        <w:ind w:right="51"/>
        <w:rPr>
          <w:rFonts w:ascii="Arial" w:hAnsi="Arial" w:cs="Arial"/>
          <w:color w:val="FF0000"/>
          <w:spacing w:val="-6"/>
          <w:sz w:val="19"/>
          <w:szCs w:val="19"/>
        </w:rPr>
      </w:pPr>
    </w:p>
    <w:p w:rsidR="0046400B" w:rsidRPr="00112244" w:rsidRDefault="0046400B" w:rsidP="003D3ACF">
      <w:pPr>
        <w:pStyle w:val="Textoindependiente"/>
        <w:spacing w:after="0"/>
        <w:ind w:right="51"/>
        <w:jc w:val="both"/>
        <w:rPr>
          <w:rFonts w:ascii="Arial" w:hAnsi="Arial" w:cs="Arial"/>
          <w:bCs/>
          <w:spacing w:val="-6"/>
          <w:sz w:val="19"/>
          <w:szCs w:val="19"/>
        </w:rPr>
      </w:pPr>
      <w:r w:rsidRPr="00112244">
        <w:rPr>
          <w:rFonts w:ascii="Arial" w:hAnsi="Arial" w:cs="Arial"/>
          <w:bCs/>
          <w:spacing w:val="-6"/>
          <w:sz w:val="19"/>
          <w:szCs w:val="19"/>
        </w:rPr>
        <w:t xml:space="preserve">En ese orden de ideas, con los periodos referidos se acreditan un total de 60,71 semanas cotizadas dentro de los 3 años anteriores a la fecha de invalidez, resultado de sumar las 39 certificadas por Porvenir S.A. en ese lapso y las 21,71 que se desprenden de los comprobantes de pago aludidos </w:t>
      </w:r>
      <w:r w:rsidR="00FA0251" w:rsidRPr="00112244">
        <w:rPr>
          <w:rFonts w:ascii="Arial" w:hAnsi="Arial" w:cs="Arial"/>
          <w:bCs/>
          <w:spacing w:val="-6"/>
          <w:sz w:val="19"/>
          <w:szCs w:val="19"/>
        </w:rPr>
        <w:t>(…)</w:t>
      </w:r>
      <w:r w:rsidRPr="00112244">
        <w:rPr>
          <w:rFonts w:ascii="Arial" w:hAnsi="Arial" w:cs="Arial"/>
          <w:bCs/>
          <w:spacing w:val="-6"/>
          <w:sz w:val="19"/>
          <w:szCs w:val="19"/>
        </w:rPr>
        <w:t xml:space="preserve"> situación que permite a esta Corporación coincidir con el discernimiento de primera instancia, frente al derecho que le asiste al señor José Jairo Castaño Rincón de percibir la pensión de invalidez desde el 28 de julio d</w:t>
      </w:r>
      <w:r w:rsidR="003D3ACF" w:rsidRPr="00112244">
        <w:rPr>
          <w:rFonts w:ascii="Arial" w:hAnsi="Arial" w:cs="Arial"/>
          <w:bCs/>
          <w:spacing w:val="-6"/>
          <w:sz w:val="19"/>
          <w:szCs w:val="19"/>
        </w:rPr>
        <w:t>e 2010, fecha de estructuración.”</w:t>
      </w:r>
    </w:p>
    <w:p w:rsidR="009C50D0" w:rsidRPr="003D36AB" w:rsidRDefault="009C50D0" w:rsidP="00F77FF8">
      <w:pPr>
        <w:pStyle w:val="Puesto"/>
        <w:spacing w:line="240" w:lineRule="auto"/>
        <w:jc w:val="both"/>
        <w:rPr>
          <w:rFonts w:ascii="Tahoma" w:hAnsi="Tahoma" w:cs="Tahoma"/>
          <w:b w:val="0"/>
          <w:sz w:val="18"/>
          <w:szCs w:val="18"/>
        </w:rPr>
      </w:pPr>
    </w:p>
    <w:p w:rsidR="009C50D0" w:rsidRPr="003D36AB" w:rsidRDefault="009C50D0" w:rsidP="00D82894">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TRIBUNAL SUPERIOR DEL DISTRITO JUDICIAL DE PEREIRA</w:t>
      </w:r>
    </w:p>
    <w:p w:rsidR="009C50D0" w:rsidRPr="003D36AB" w:rsidRDefault="009C50D0" w:rsidP="00D82894">
      <w:pPr>
        <w:pStyle w:val="Ttulo4"/>
        <w:widowControl w:val="0"/>
        <w:tabs>
          <w:tab w:val="clear" w:pos="0"/>
        </w:tabs>
        <w:rPr>
          <w:rFonts w:ascii="Tahoma" w:hAnsi="Tahoma" w:cs="Tahoma"/>
          <w:bCs/>
          <w:szCs w:val="24"/>
          <w:lang w:eastAsia="es-MX"/>
        </w:rPr>
      </w:pPr>
      <w:r w:rsidRPr="003D36AB">
        <w:rPr>
          <w:rFonts w:ascii="Tahoma" w:hAnsi="Tahoma" w:cs="Tahoma"/>
          <w:bCs/>
          <w:szCs w:val="24"/>
          <w:lang w:eastAsia="es-MX"/>
        </w:rPr>
        <w:t>SALA LABORAL</w:t>
      </w:r>
      <w:r w:rsidR="009F3C74">
        <w:rPr>
          <w:rFonts w:ascii="Tahoma" w:hAnsi="Tahoma" w:cs="Tahoma"/>
          <w:bCs/>
          <w:szCs w:val="24"/>
          <w:lang w:eastAsia="es-MX"/>
        </w:rPr>
        <w:t xml:space="preserve"> No. 1</w:t>
      </w:r>
    </w:p>
    <w:p w:rsidR="009C50D0" w:rsidRPr="003D36AB" w:rsidRDefault="009C50D0" w:rsidP="00D82894">
      <w:pPr>
        <w:jc w:val="center"/>
        <w:rPr>
          <w:rFonts w:ascii="Tahoma" w:hAnsi="Tahoma" w:cs="Tahoma"/>
          <w:bCs/>
        </w:rPr>
      </w:pPr>
    </w:p>
    <w:p w:rsidR="009C50D0" w:rsidRPr="003D36AB" w:rsidRDefault="009C50D0" w:rsidP="00D82894">
      <w:pPr>
        <w:jc w:val="center"/>
        <w:rPr>
          <w:rFonts w:ascii="Tahoma" w:hAnsi="Tahoma" w:cs="Tahoma"/>
          <w:b/>
          <w:bCs/>
        </w:rPr>
      </w:pPr>
      <w:r w:rsidRPr="003D36AB">
        <w:rPr>
          <w:rFonts w:ascii="Tahoma" w:hAnsi="Tahoma" w:cs="Tahoma"/>
          <w:bCs/>
        </w:rPr>
        <w:t>Magistrada Ponente:</w:t>
      </w:r>
      <w:r w:rsidRPr="003D36AB">
        <w:rPr>
          <w:rFonts w:ascii="Tahoma" w:hAnsi="Tahoma" w:cs="Tahoma"/>
          <w:b/>
          <w:bCs/>
        </w:rPr>
        <w:t xml:space="preserve"> Ana Lucía Caicedo Calderón</w:t>
      </w:r>
    </w:p>
    <w:p w:rsidR="009C50D0" w:rsidRPr="003D36AB" w:rsidRDefault="009C50D0" w:rsidP="00D82894">
      <w:pPr>
        <w:jc w:val="center"/>
        <w:rPr>
          <w:rFonts w:ascii="Tahoma" w:hAnsi="Tahoma" w:cs="Tahoma"/>
          <w:b/>
        </w:rPr>
      </w:pPr>
    </w:p>
    <w:p w:rsidR="009C50D0" w:rsidRPr="003D36AB" w:rsidRDefault="009C50D0" w:rsidP="00D82894">
      <w:pPr>
        <w:jc w:val="center"/>
        <w:rPr>
          <w:rFonts w:ascii="Tahoma" w:hAnsi="Tahoma" w:cs="Tahoma"/>
          <w:b/>
        </w:rPr>
      </w:pPr>
      <w:r w:rsidRPr="003D36AB">
        <w:rPr>
          <w:rFonts w:ascii="Tahoma" w:hAnsi="Tahoma" w:cs="Tahoma"/>
          <w:b/>
        </w:rPr>
        <w:t>Acta No. ____</w:t>
      </w:r>
    </w:p>
    <w:p w:rsidR="009C50D0" w:rsidRPr="003D36AB" w:rsidRDefault="00BC5571" w:rsidP="00D82894">
      <w:pPr>
        <w:jc w:val="center"/>
        <w:rPr>
          <w:rFonts w:ascii="Tahoma" w:hAnsi="Tahoma" w:cs="Tahoma"/>
          <w:b/>
        </w:rPr>
      </w:pPr>
      <w:r>
        <w:rPr>
          <w:rFonts w:ascii="Tahoma" w:hAnsi="Tahoma" w:cs="Tahoma"/>
          <w:b/>
        </w:rPr>
        <w:t>(</w:t>
      </w:r>
      <w:r w:rsidR="00956DEB">
        <w:rPr>
          <w:rFonts w:ascii="Tahoma" w:hAnsi="Tahoma" w:cs="Tahoma"/>
          <w:b/>
        </w:rPr>
        <w:t>Abril 15 de 2016</w:t>
      </w:r>
      <w:r w:rsidR="009C50D0" w:rsidRPr="003D36AB">
        <w:rPr>
          <w:rFonts w:ascii="Tahoma" w:hAnsi="Tahoma" w:cs="Tahoma"/>
          <w:b/>
        </w:rPr>
        <w:t>)</w:t>
      </w:r>
    </w:p>
    <w:p w:rsidR="009C50D0" w:rsidRPr="003D36AB" w:rsidRDefault="009C50D0" w:rsidP="00D82894">
      <w:pPr>
        <w:pStyle w:val="Sinespaciado"/>
      </w:pPr>
    </w:p>
    <w:p w:rsidR="009C50D0" w:rsidRPr="003D36AB" w:rsidRDefault="009C50D0" w:rsidP="00D82894">
      <w:pPr>
        <w:pStyle w:val="Ttulo5"/>
        <w:spacing w:line="240" w:lineRule="auto"/>
        <w:ind w:firstLine="0"/>
        <w:jc w:val="center"/>
        <w:rPr>
          <w:rFonts w:ascii="Tahoma" w:hAnsi="Tahoma" w:cs="Tahoma"/>
        </w:rPr>
      </w:pPr>
      <w:r w:rsidRPr="003D36AB">
        <w:rPr>
          <w:rFonts w:ascii="Tahoma" w:hAnsi="Tahoma" w:cs="Tahoma"/>
        </w:rPr>
        <w:t>Sistema oral - Audiencia de juzgamiento</w:t>
      </w:r>
    </w:p>
    <w:p w:rsidR="009C50D0" w:rsidRPr="003D36AB" w:rsidRDefault="009C50D0" w:rsidP="00D11B76">
      <w:pPr>
        <w:pStyle w:val="Sinespaciado"/>
        <w:rPr>
          <w:lang w:val="es-ES_tradnl"/>
        </w:rPr>
      </w:pPr>
      <w:r w:rsidRPr="003D36AB">
        <w:tab/>
      </w:r>
    </w:p>
    <w:p w:rsidR="009C50D0" w:rsidRPr="00D82894" w:rsidRDefault="00272C7A" w:rsidP="00617E8F">
      <w:pPr>
        <w:spacing w:line="276" w:lineRule="auto"/>
        <w:ind w:firstLine="708"/>
        <w:jc w:val="both"/>
        <w:rPr>
          <w:rFonts w:ascii="Tahoma" w:hAnsi="Tahoma" w:cs="Tahoma"/>
          <w:sz w:val="23"/>
          <w:szCs w:val="23"/>
          <w:lang w:val="es-ES_tradnl"/>
        </w:rPr>
      </w:pPr>
      <w:r w:rsidRPr="00D82894">
        <w:rPr>
          <w:rFonts w:ascii="Tahoma" w:hAnsi="Tahoma" w:cs="Tahoma"/>
          <w:sz w:val="23"/>
          <w:szCs w:val="23"/>
          <w:lang w:val="es-ES_tradnl"/>
        </w:rPr>
        <w:t xml:space="preserve">Siendo </w:t>
      </w:r>
      <w:r w:rsidR="009C50D0" w:rsidRPr="00D82894">
        <w:rPr>
          <w:rFonts w:ascii="Tahoma" w:hAnsi="Tahoma" w:cs="Tahoma"/>
          <w:sz w:val="23"/>
          <w:szCs w:val="23"/>
          <w:lang w:val="es-ES_tradnl"/>
        </w:rPr>
        <w:t xml:space="preserve">las </w:t>
      </w:r>
      <w:r w:rsidR="00956DEB" w:rsidRPr="00D82894">
        <w:rPr>
          <w:rFonts w:ascii="Tahoma" w:hAnsi="Tahoma" w:cs="Tahoma"/>
          <w:sz w:val="23"/>
          <w:szCs w:val="23"/>
          <w:lang w:val="es-ES_tradnl"/>
        </w:rPr>
        <w:t>10:0</w:t>
      </w:r>
      <w:r w:rsidR="00A90700" w:rsidRPr="00D82894">
        <w:rPr>
          <w:rFonts w:ascii="Tahoma" w:hAnsi="Tahoma" w:cs="Tahoma"/>
          <w:sz w:val="23"/>
          <w:szCs w:val="23"/>
          <w:lang w:val="es-ES_tradnl"/>
        </w:rPr>
        <w:t>0</w:t>
      </w:r>
      <w:r w:rsidR="009C50D0" w:rsidRPr="00D82894">
        <w:rPr>
          <w:rFonts w:ascii="Tahoma" w:hAnsi="Tahoma" w:cs="Tahoma"/>
          <w:sz w:val="23"/>
          <w:szCs w:val="23"/>
          <w:lang w:val="es-ES_tradnl"/>
        </w:rPr>
        <w:t xml:space="preserve"> </w:t>
      </w:r>
      <w:r w:rsidR="00956DEB" w:rsidRPr="00D82894">
        <w:rPr>
          <w:rFonts w:ascii="Tahoma" w:hAnsi="Tahoma" w:cs="Tahoma"/>
          <w:sz w:val="23"/>
          <w:szCs w:val="23"/>
          <w:lang w:val="es-ES_tradnl"/>
        </w:rPr>
        <w:t>a</w:t>
      </w:r>
      <w:r w:rsidR="009C50D0" w:rsidRPr="00D82894">
        <w:rPr>
          <w:rFonts w:ascii="Tahoma" w:hAnsi="Tahoma" w:cs="Tahoma"/>
          <w:sz w:val="23"/>
          <w:szCs w:val="23"/>
          <w:lang w:val="es-ES_tradnl"/>
        </w:rPr>
        <w:t xml:space="preserve">.m. de hoy, viernes </w:t>
      </w:r>
      <w:r w:rsidR="00956DEB" w:rsidRPr="00D82894">
        <w:rPr>
          <w:rFonts w:ascii="Tahoma" w:hAnsi="Tahoma" w:cs="Tahoma"/>
          <w:sz w:val="23"/>
          <w:szCs w:val="23"/>
          <w:lang w:val="es-ES_tradnl"/>
        </w:rPr>
        <w:t>15</w:t>
      </w:r>
      <w:r w:rsidR="0049366E" w:rsidRPr="00D82894">
        <w:rPr>
          <w:rFonts w:ascii="Tahoma" w:hAnsi="Tahoma" w:cs="Tahoma"/>
          <w:sz w:val="23"/>
          <w:szCs w:val="23"/>
          <w:lang w:val="es-ES_tradnl"/>
        </w:rPr>
        <w:t xml:space="preserve"> </w:t>
      </w:r>
      <w:r w:rsidR="009C50D0" w:rsidRPr="00D82894">
        <w:rPr>
          <w:rFonts w:ascii="Tahoma" w:hAnsi="Tahoma" w:cs="Tahoma"/>
          <w:sz w:val="23"/>
          <w:szCs w:val="23"/>
          <w:lang w:val="es-ES_tradnl"/>
        </w:rPr>
        <w:t xml:space="preserve">de </w:t>
      </w:r>
      <w:r w:rsidR="00956DEB" w:rsidRPr="00D82894">
        <w:rPr>
          <w:rFonts w:ascii="Tahoma" w:hAnsi="Tahoma" w:cs="Tahoma"/>
          <w:sz w:val="23"/>
          <w:szCs w:val="23"/>
          <w:lang w:val="es-ES_tradnl"/>
        </w:rPr>
        <w:t>abril</w:t>
      </w:r>
      <w:r w:rsidR="00452A15" w:rsidRPr="00D82894">
        <w:rPr>
          <w:rFonts w:ascii="Tahoma" w:hAnsi="Tahoma" w:cs="Tahoma"/>
          <w:sz w:val="23"/>
          <w:szCs w:val="23"/>
          <w:lang w:val="es-ES_tradnl"/>
        </w:rPr>
        <w:t xml:space="preserve"> </w:t>
      </w:r>
      <w:r w:rsidR="009C50D0" w:rsidRPr="00D82894">
        <w:rPr>
          <w:rFonts w:ascii="Tahoma" w:hAnsi="Tahoma" w:cs="Tahoma"/>
          <w:sz w:val="23"/>
          <w:szCs w:val="23"/>
          <w:lang w:val="es-ES_tradnl"/>
        </w:rPr>
        <w:t>de 201</w:t>
      </w:r>
      <w:r w:rsidR="00956DEB" w:rsidRPr="00D82894">
        <w:rPr>
          <w:rFonts w:ascii="Tahoma" w:hAnsi="Tahoma" w:cs="Tahoma"/>
          <w:sz w:val="23"/>
          <w:szCs w:val="23"/>
          <w:lang w:val="es-ES_tradnl"/>
        </w:rPr>
        <w:t>6</w:t>
      </w:r>
      <w:r w:rsidR="009C50D0" w:rsidRPr="00D82894">
        <w:rPr>
          <w:rFonts w:ascii="Tahoma" w:hAnsi="Tahoma" w:cs="Tahoma"/>
          <w:sz w:val="23"/>
          <w:szCs w:val="23"/>
          <w:lang w:val="es-ES_tradnl"/>
        </w:rPr>
        <w:t xml:space="preserve">, la Sala de Decisión Laboral </w:t>
      </w:r>
      <w:r w:rsidR="00956DEB" w:rsidRPr="00D82894">
        <w:rPr>
          <w:rFonts w:ascii="Tahoma" w:hAnsi="Tahoma" w:cs="Tahoma"/>
          <w:sz w:val="23"/>
          <w:szCs w:val="23"/>
          <w:lang w:val="es-ES_tradnl"/>
        </w:rPr>
        <w:t xml:space="preserve">No. 1 </w:t>
      </w:r>
      <w:r w:rsidR="009C50D0" w:rsidRPr="00D82894">
        <w:rPr>
          <w:rFonts w:ascii="Tahoma" w:hAnsi="Tahoma" w:cs="Tahoma"/>
          <w:sz w:val="23"/>
          <w:szCs w:val="23"/>
          <w:lang w:val="es-ES_tradnl"/>
        </w:rPr>
        <w:t xml:space="preserve">del Tribunal Superior de Pereira se constituye en audiencia pública de juzgamiento en el proceso ordinario laboral instaurado por </w:t>
      </w:r>
      <w:r w:rsidR="00956DEB" w:rsidRPr="00D82894">
        <w:rPr>
          <w:rFonts w:ascii="Tahoma" w:hAnsi="Tahoma" w:cs="Tahoma"/>
          <w:b/>
          <w:sz w:val="23"/>
          <w:szCs w:val="23"/>
          <w:lang w:val="es-ES_tradnl"/>
        </w:rPr>
        <w:t>José Jairo Castaño Rincón</w:t>
      </w:r>
      <w:r w:rsidR="009C50D0" w:rsidRPr="00D82894">
        <w:rPr>
          <w:rFonts w:ascii="Tahoma" w:hAnsi="Tahoma" w:cs="Tahoma"/>
          <w:b/>
          <w:sz w:val="23"/>
          <w:szCs w:val="23"/>
          <w:lang w:val="es-ES_tradnl"/>
        </w:rPr>
        <w:t xml:space="preserve"> </w:t>
      </w:r>
      <w:r w:rsidR="009C50D0" w:rsidRPr="00D82894">
        <w:rPr>
          <w:rFonts w:ascii="Tahoma" w:hAnsi="Tahoma" w:cs="Tahoma"/>
          <w:sz w:val="23"/>
          <w:szCs w:val="23"/>
          <w:lang w:val="es-ES_tradnl"/>
        </w:rPr>
        <w:t xml:space="preserve">en contra de la </w:t>
      </w:r>
      <w:r w:rsidR="009C50D0" w:rsidRPr="00D82894">
        <w:rPr>
          <w:rFonts w:ascii="Tahoma" w:hAnsi="Tahoma" w:cs="Tahoma"/>
          <w:b/>
          <w:sz w:val="23"/>
          <w:szCs w:val="23"/>
          <w:lang w:val="es-ES_tradnl"/>
        </w:rPr>
        <w:t>Administradora Colombiana de Pensiones “Colpensiones”</w:t>
      </w:r>
      <w:r w:rsidR="009C50D0" w:rsidRPr="00D82894">
        <w:rPr>
          <w:rFonts w:ascii="Tahoma" w:hAnsi="Tahoma" w:cs="Tahoma"/>
          <w:sz w:val="23"/>
          <w:szCs w:val="23"/>
          <w:lang w:val="es-ES_tradnl"/>
        </w:rPr>
        <w:t>.</w:t>
      </w:r>
    </w:p>
    <w:p w:rsidR="009C50D0" w:rsidRPr="00D82894" w:rsidRDefault="009C50D0" w:rsidP="00D11B76">
      <w:pPr>
        <w:pStyle w:val="Sinespaciado"/>
        <w:rPr>
          <w:sz w:val="23"/>
          <w:szCs w:val="23"/>
        </w:rPr>
      </w:pPr>
    </w:p>
    <w:p w:rsidR="009C50D0" w:rsidRPr="00D82894" w:rsidRDefault="009C50D0" w:rsidP="00617E8F">
      <w:pPr>
        <w:spacing w:line="276" w:lineRule="auto"/>
        <w:ind w:firstLine="708"/>
        <w:jc w:val="both"/>
        <w:rPr>
          <w:rFonts w:ascii="Tahoma" w:hAnsi="Tahoma" w:cs="Tahoma"/>
          <w:sz w:val="23"/>
          <w:szCs w:val="23"/>
          <w:lang w:val="es-ES_tradnl"/>
        </w:rPr>
      </w:pPr>
      <w:r w:rsidRPr="00D82894">
        <w:rPr>
          <w:rFonts w:ascii="Tahoma" w:hAnsi="Tahoma" w:cs="Tahoma"/>
          <w:sz w:val="23"/>
          <w:szCs w:val="23"/>
          <w:lang w:val="es-ES_tradnl"/>
        </w:rPr>
        <w:t>Para el efecto, se verifica la asistencia de las partes a la presente diligencia: Por la parte demandante… Por la demandada…</w:t>
      </w:r>
    </w:p>
    <w:p w:rsidR="009C50D0" w:rsidRPr="00D82894" w:rsidRDefault="009C50D0" w:rsidP="00D11B76">
      <w:pPr>
        <w:pStyle w:val="Sinespaciado"/>
        <w:rPr>
          <w:sz w:val="23"/>
          <w:szCs w:val="23"/>
        </w:rPr>
      </w:pPr>
    </w:p>
    <w:p w:rsidR="009C50D0" w:rsidRPr="00D82894" w:rsidRDefault="009C50D0" w:rsidP="00617E8F">
      <w:pPr>
        <w:widowControl w:val="0"/>
        <w:autoSpaceDE w:val="0"/>
        <w:autoSpaceDN w:val="0"/>
        <w:adjustRightInd w:val="0"/>
        <w:spacing w:line="276" w:lineRule="auto"/>
        <w:jc w:val="center"/>
        <w:rPr>
          <w:rFonts w:ascii="Tahoma" w:hAnsi="Tahoma" w:cs="Tahoma"/>
          <w:b/>
          <w:sz w:val="23"/>
          <w:szCs w:val="23"/>
        </w:rPr>
      </w:pPr>
      <w:r w:rsidRPr="00D82894">
        <w:rPr>
          <w:rFonts w:ascii="Tahoma" w:hAnsi="Tahoma" w:cs="Tahoma"/>
          <w:b/>
          <w:sz w:val="23"/>
          <w:szCs w:val="23"/>
        </w:rPr>
        <w:t>Alegatos de conclusión</w:t>
      </w:r>
    </w:p>
    <w:p w:rsidR="009C50D0" w:rsidRPr="00D82894" w:rsidRDefault="009C50D0" w:rsidP="00D11B76">
      <w:pPr>
        <w:pStyle w:val="Sinespaciado"/>
        <w:rPr>
          <w:sz w:val="23"/>
          <w:szCs w:val="23"/>
        </w:rPr>
      </w:pPr>
    </w:p>
    <w:p w:rsidR="009C50D0" w:rsidRPr="00D82894" w:rsidRDefault="009C50D0" w:rsidP="00617E8F">
      <w:pPr>
        <w:spacing w:line="276" w:lineRule="auto"/>
        <w:ind w:firstLine="708"/>
        <w:jc w:val="both"/>
        <w:rPr>
          <w:rFonts w:ascii="Tahoma" w:hAnsi="Tahoma" w:cs="Tahoma"/>
          <w:sz w:val="23"/>
          <w:szCs w:val="23"/>
          <w:lang w:val="es-ES_tradnl"/>
        </w:rPr>
      </w:pPr>
      <w:r w:rsidRPr="00D82894">
        <w:rPr>
          <w:rFonts w:ascii="Tahoma" w:hAnsi="Tahoma" w:cs="Tahoma"/>
          <w:sz w:val="23"/>
          <w:szCs w:val="23"/>
          <w:lang w:val="es-ES_tradnl"/>
        </w:rPr>
        <w:t>De conformidad con el artículo 82 del C.P.T y de la s.s., modificado por el artículo 13 de la Ley 1149 de 2007, se concede el uso de la palabra a las partes para que presenten sus alegatos de conclusión. Por la parte demandante… Por la parte demandada…</w:t>
      </w:r>
    </w:p>
    <w:p w:rsidR="009C50D0" w:rsidRPr="00D82894" w:rsidRDefault="009C50D0" w:rsidP="00D11B76">
      <w:pPr>
        <w:pStyle w:val="Sinespaciado"/>
        <w:rPr>
          <w:sz w:val="23"/>
          <w:szCs w:val="23"/>
        </w:rPr>
      </w:pPr>
    </w:p>
    <w:p w:rsidR="009C50D0" w:rsidRPr="00D82894" w:rsidRDefault="009C50D0" w:rsidP="00617E8F">
      <w:pPr>
        <w:widowControl w:val="0"/>
        <w:autoSpaceDE w:val="0"/>
        <w:autoSpaceDN w:val="0"/>
        <w:adjustRightInd w:val="0"/>
        <w:spacing w:line="276" w:lineRule="auto"/>
        <w:jc w:val="center"/>
        <w:rPr>
          <w:rFonts w:ascii="Tahoma" w:hAnsi="Tahoma" w:cs="Tahoma"/>
          <w:b/>
          <w:sz w:val="23"/>
          <w:szCs w:val="23"/>
        </w:rPr>
      </w:pPr>
      <w:r w:rsidRPr="00D82894">
        <w:rPr>
          <w:rFonts w:ascii="Tahoma" w:hAnsi="Tahoma" w:cs="Tahoma"/>
          <w:b/>
          <w:sz w:val="23"/>
          <w:szCs w:val="23"/>
        </w:rPr>
        <w:t>SENTENCIA</w:t>
      </w:r>
    </w:p>
    <w:p w:rsidR="009C50D0" w:rsidRPr="00D82894" w:rsidRDefault="009C50D0" w:rsidP="00D11B76">
      <w:pPr>
        <w:pStyle w:val="Sinespaciado"/>
        <w:rPr>
          <w:sz w:val="23"/>
          <w:szCs w:val="23"/>
        </w:rPr>
      </w:pPr>
    </w:p>
    <w:p w:rsidR="009C50D0" w:rsidRPr="00D82894" w:rsidRDefault="009C50D0" w:rsidP="00617E8F">
      <w:pPr>
        <w:widowControl w:val="0"/>
        <w:autoSpaceDE w:val="0"/>
        <w:autoSpaceDN w:val="0"/>
        <w:adjustRightInd w:val="0"/>
        <w:spacing w:line="276" w:lineRule="auto"/>
        <w:ind w:firstLine="708"/>
        <w:jc w:val="both"/>
        <w:rPr>
          <w:rFonts w:ascii="Tahoma" w:hAnsi="Tahoma" w:cs="Tahoma"/>
          <w:sz w:val="23"/>
          <w:szCs w:val="23"/>
        </w:rPr>
      </w:pPr>
      <w:r w:rsidRPr="00D82894">
        <w:rPr>
          <w:rFonts w:ascii="Tahoma" w:hAnsi="Tahoma" w:cs="Tahoma"/>
          <w:sz w:val="23"/>
          <w:szCs w:val="23"/>
        </w:rPr>
        <w:t xml:space="preserve">Como quiera que los fundamentos de los argumentos expuestos en las alegaciones se tuvieron en cuenta en la discusión del proyecto, procede la Sala a resolver </w:t>
      </w:r>
      <w:r w:rsidR="00A90700" w:rsidRPr="00D82894">
        <w:rPr>
          <w:rFonts w:ascii="Tahoma" w:hAnsi="Tahoma" w:cs="Tahoma"/>
          <w:sz w:val="23"/>
          <w:szCs w:val="23"/>
        </w:rPr>
        <w:t>la apelación interpuesta por la parte demanda</w:t>
      </w:r>
      <w:r w:rsidR="00317A77" w:rsidRPr="00D82894">
        <w:rPr>
          <w:rFonts w:ascii="Tahoma" w:hAnsi="Tahoma" w:cs="Tahoma"/>
          <w:sz w:val="23"/>
          <w:szCs w:val="23"/>
        </w:rPr>
        <w:t>da</w:t>
      </w:r>
      <w:r w:rsidR="00B66992" w:rsidRPr="00D82894">
        <w:rPr>
          <w:rFonts w:ascii="Tahoma" w:hAnsi="Tahoma" w:cs="Tahoma"/>
          <w:sz w:val="23"/>
          <w:szCs w:val="23"/>
        </w:rPr>
        <w:t xml:space="preserve"> contra </w:t>
      </w:r>
      <w:r w:rsidRPr="00D82894">
        <w:rPr>
          <w:rFonts w:ascii="Tahoma" w:hAnsi="Tahoma" w:cs="Tahoma"/>
          <w:sz w:val="23"/>
          <w:szCs w:val="23"/>
        </w:rPr>
        <w:t xml:space="preserve">la sentencia emitida por el Juzgado </w:t>
      </w:r>
      <w:r w:rsidR="00956DEB" w:rsidRPr="00D82894">
        <w:rPr>
          <w:rFonts w:ascii="Tahoma" w:hAnsi="Tahoma" w:cs="Tahoma"/>
          <w:sz w:val="23"/>
          <w:szCs w:val="23"/>
        </w:rPr>
        <w:t>Segundo</w:t>
      </w:r>
      <w:r w:rsidR="00452A15" w:rsidRPr="00D82894">
        <w:rPr>
          <w:rFonts w:ascii="Tahoma" w:hAnsi="Tahoma" w:cs="Tahoma"/>
          <w:sz w:val="23"/>
          <w:szCs w:val="23"/>
        </w:rPr>
        <w:t xml:space="preserve"> </w:t>
      </w:r>
      <w:r w:rsidRPr="00D82894">
        <w:rPr>
          <w:rFonts w:ascii="Tahoma" w:hAnsi="Tahoma" w:cs="Tahoma"/>
          <w:sz w:val="23"/>
          <w:szCs w:val="23"/>
        </w:rPr>
        <w:t>Labora</w:t>
      </w:r>
      <w:r w:rsidR="00A90700" w:rsidRPr="00D82894">
        <w:rPr>
          <w:rFonts w:ascii="Tahoma" w:hAnsi="Tahoma" w:cs="Tahoma"/>
          <w:sz w:val="23"/>
          <w:szCs w:val="23"/>
        </w:rPr>
        <w:t xml:space="preserve">l del Circuito de Pereira el </w:t>
      </w:r>
      <w:r w:rsidR="00956DEB" w:rsidRPr="00D82894">
        <w:rPr>
          <w:rFonts w:ascii="Tahoma" w:hAnsi="Tahoma" w:cs="Tahoma"/>
          <w:sz w:val="23"/>
          <w:szCs w:val="23"/>
        </w:rPr>
        <w:t>9 de diciembre de 2014</w:t>
      </w:r>
      <w:r w:rsidR="00925F27" w:rsidRPr="00D82894">
        <w:rPr>
          <w:rFonts w:ascii="Tahoma" w:hAnsi="Tahoma" w:cs="Tahoma"/>
          <w:sz w:val="23"/>
          <w:szCs w:val="23"/>
        </w:rPr>
        <w:t>,</w:t>
      </w:r>
      <w:r w:rsidR="00A90700" w:rsidRPr="00D82894">
        <w:rPr>
          <w:rFonts w:ascii="Tahoma" w:hAnsi="Tahoma" w:cs="Tahoma"/>
          <w:sz w:val="23"/>
          <w:szCs w:val="23"/>
        </w:rPr>
        <w:t xml:space="preserve"> </w:t>
      </w:r>
      <w:r w:rsidRPr="00D82894">
        <w:rPr>
          <w:rFonts w:ascii="Tahoma" w:hAnsi="Tahoma" w:cs="Tahoma"/>
          <w:sz w:val="23"/>
          <w:szCs w:val="23"/>
        </w:rPr>
        <w:t xml:space="preserve">dentro del proceso ordinario laboral reseñado con anterioridad. </w:t>
      </w:r>
    </w:p>
    <w:p w:rsidR="0049366E" w:rsidRPr="00D82894" w:rsidRDefault="0049366E" w:rsidP="00D11B76">
      <w:pPr>
        <w:pStyle w:val="Sinespaciado"/>
        <w:rPr>
          <w:sz w:val="23"/>
          <w:szCs w:val="23"/>
        </w:rPr>
      </w:pPr>
    </w:p>
    <w:p w:rsidR="009C50D0" w:rsidRPr="00D82894" w:rsidRDefault="009C50D0" w:rsidP="00617E8F">
      <w:pPr>
        <w:widowControl w:val="0"/>
        <w:autoSpaceDE w:val="0"/>
        <w:autoSpaceDN w:val="0"/>
        <w:adjustRightInd w:val="0"/>
        <w:spacing w:line="276" w:lineRule="auto"/>
        <w:jc w:val="center"/>
        <w:rPr>
          <w:rFonts w:ascii="Tahoma" w:hAnsi="Tahoma" w:cs="Tahoma"/>
          <w:b/>
          <w:bCs/>
          <w:sz w:val="23"/>
          <w:szCs w:val="23"/>
        </w:rPr>
      </w:pPr>
      <w:r w:rsidRPr="00D82894">
        <w:rPr>
          <w:rFonts w:ascii="Tahoma" w:hAnsi="Tahoma" w:cs="Tahoma"/>
          <w:b/>
          <w:bCs/>
          <w:sz w:val="23"/>
          <w:szCs w:val="23"/>
        </w:rPr>
        <w:t>Problema jurídico por resolver</w:t>
      </w:r>
    </w:p>
    <w:p w:rsidR="009C50D0" w:rsidRPr="00D82894" w:rsidRDefault="009C50D0" w:rsidP="00D11B76">
      <w:pPr>
        <w:pStyle w:val="Sinespaciado"/>
        <w:rPr>
          <w:sz w:val="23"/>
          <w:szCs w:val="23"/>
        </w:rPr>
      </w:pPr>
    </w:p>
    <w:p w:rsidR="00C33F1D" w:rsidRPr="00D82894" w:rsidRDefault="009C50D0" w:rsidP="00857421">
      <w:pPr>
        <w:tabs>
          <w:tab w:val="left" w:pos="567"/>
        </w:tabs>
        <w:spacing w:line="276" w:lineRule="auto"/>
        <w:jc w:val="both"/>
        <w:rPr>
          <w:rFonts w:ascii="Tahoma" w:hAnsi="Tahoma" w:cs="Tahoma"/>
          <w:sz w:val="23"/>
          <w:szCs w:val="23"/>
        </w:rPr>
      </w:pPr>
      <w:r w:rsidRPr="00D82894">
        <w:rPr>
          <w:rFonts w:ascii="Tahoma" w:hAnsi="Tahoma" w:cs="Tahoma"/>
          <w:sz w:val="23"/>
          <w:szCs w:val="23"/>
        </w:rPr>
        <w:lastRenderedPageBreak/>
        <w:tab/>
      </w:r>
      <w:r w:rsidRPr="00D82894">
        <w:rPr>
          <w:rFonts w:ascii="Tahoma" w:hAnsi="Tahoma" w:cs="Tahoma"/>
          <w:sz w:val="23"/>
          <w:szCs w:val="23"/>
        </w:rPr>
        <w:tab/>
      </w:r>
      <w:r w:rsidR="00A90700" w:rsidRPr="00D82894">
        <w:rPr>
          <w:rFonts w:ascii="Tahoma" w:hAnsi="Tahoma" w:cs="Tahoma"/>
          <w:sz w:val="23"/>
          <w:szCs w:val="23"/>
        </w:rPr>
        <w:t>De acuerdo</w:t>
      </w:r>
      <w:r w:rsidR="00F51DD2" w:rsidRPr="00D82894">
        <w:rPr>
          <w:rFonts w:ascii="Tahoma" w:hAnsi="Tahoma" w:cs="Tahoma"/>
          <w:sz w:val="23"/>
          <w:szCs w:val="23"/>
        </w:rPr>
        <w:t xml:space="preserve"> a</w:t>
      </w:r>
      <w:r w:rsidR="00A90700" w:rsidRPr="00D82894">
        <w:rPr>
          <w:rFonts w:ascii="Tahoma" w:hAnsi="Tahoma" w:cs="Tahoma"/>
          <w:sz w:val="23"/>
          <w:szCs w:val="23"/>
        </w:rPr>
        <w:t xml:space="preserve"> los argumentos de la apelación, le corresponde a la Sala determinar</w:t>
      </w:r>
      <w:r w:rsidRPr="00D82894">
        <w:rPr>
          <w:rFonts w:ascii="Tahoma" w:hAnsi="Tahoma" w:cs="Tahoma"/>
          <w:sz w:val="23"/>
          <w:szCs w:val="23"/>
        </w:rPr>
        <w:t xml:space="preserve"> </w:t>
      </w:r>
      <w:r w:rsidR="00004073" w:rsidRPr="00D82894">
        <w:rPr>
          <w:rFonts w:ascii="Tahoma" w:hAnsi="Tahoma" w:cs="Tahoma"/>
          <w:sz w:val="23"/>
          <w:szCs w:val="23"/>
        </w:rPr>
        <w:t>si</w:t>
      </w:r>
      <w:r w:rsidR="005A2E2F" w:rsidRPr="00D82894">
        <w:rPr>
          <w:rFonts w:ascii="Tahoma" w:hAnsi="Tahoma" w:cs="Tahoma"/>
          <w:sz w:val="23"/>
          <w:szCs w:val="23"/>
        </w:rPr>
        <w:t xml:space="preserve"> </w:t>
      </w:r>
      <w:r w:rsidR="00C33F1D" w:rsidRPr="00D82894">
        <w:rPr>
          <w:rFonts w:ascii="Tahoma" w:hAnsi="Tahoma" w:cs="Tahoma"/>
          <w:sz w:val="23"/>
          <w:szCs w:val="23"/>
        </w:rPr>
        <w:t>al demandante le asiste derecho a percibir la pensión de invalidez deprecada.</w:t>
      </w:r>
    </w:p>
    <w:p w:rsidR="009C50D0" w:rsidRPr="00D82894" w:rsidRDefault="009C50D0" w:rsidP="00D11B76">
      <w:pPr>
        <w:pStyle w:val="Sinespaciado"/>
        <w:rPr>
          <w:sz w:val="23"/>
          <w:szCs w:val="23"/>
        </w:rPr>
      </w:pPr>
    </w:p>
    <w:p w:rsidR="009C50D0" w:rsidRPr="00D82894" w:rsidRDefault="009C50D0" w:rsidP="00857421">
      <w:pPr>
        <w:widowControl w:val="0"/>
        <w:numPr>
          <w:ilvl w:val="0"/>
          <w:numId w:val="1"/>
        </w:numPr>
        <w:tabs>
          <w:tab w:val="clear" w:pos="1080"/>
          <w:tab w:val="num" w:pos="374"/>
          <w:tab w:val="left" w:pos="561"/>
          <w:tab w:val="left" w:pos="935"/>
        </w:tabs>
        <w:autoSpaceDE w:val="0"/>
        <w:autoSpaceDN w:val="0"/>
        <w:adjustRightInd w:val="0"/>
        <w:spacing w:line="276" w:lineRule="auto"/>
        <w:ind w:left="0" w:firstLine="0"/>
        <w:jc w:val="center"/>
        <w:rPr>
          <w:rFonts w:ascii="Tahoma" w:hAnsi="Tahoma" w:cs="Tahoma"/>
          <w:b/>
          <w:sz w:val="23"/>
          <w:szCs w:val="23"/>
        </w:rPr>
      </w:pPr>
      <w:r w:rsidRPr="00D82894">
        <w:rPr>
          <w:rFonts w:ascii="Tahoma" w:hAnsi="Tahoma" w:cs="Tahoma"/>
          <w:b/>
          <w:sz w:val="23"/>
          <w:szCs w:val="23"/>
        </w:rPr>
        <w:t>La demanda y su contestación</w:t>
      </w:r>
    </w:p>
    <w:p w:rsidR="009C50D0" w:rsidRPr="00D82894" w:rsidRDefault="009C50D0" w:rsidP="00D11B76">
      <w:pPr>
        <w:pStyle w:val="Sinespaciado"/>
        <w:rPr>
          <w:sz w:val="23"/>
          <w:szCs w:val="23"/>
        </w:rPr>
      </w:pPr>
    </w:p>
    <w:p w:rsidR="005D2BB5" w:rsidRPr="00D82894" w:rsidRDefault="00954C30" w:rsidP="00857421">
      <w:pPr>
        <w:widowControl w:val="0"/>
        <w:autoSpaceDE w:val="0"/>
        <w:autoSpaceDN w:val="0"/>
        <w:adjustRightInd w:val="0"/>
        <w:spacing w:line="276" w:lineRule="auto"/>
        <w:ind w:firstLine="708"/>
        <w:jc w:val="both"/>
        <w:rPr>
          <w:rFonts w:ascii="Tahoma" w:hAnsi="Tahoma" w:cs="Tahoma"/>
          <w:sz w:val="23"/>
          <w:szCs w:val="23"/>
        </w:rPr>
      </w:pPr>
      <w:r w:rsidRPr="00D82894">
        <w:rPr>
          <w:rFonts w:ascii="Tahoma" w:hAnsi="Tahoma" w:cs="Tahoma"/>
          <w:sz w:val="23"/>
          <w:szCs w:val="23"/>
        </w:rPr>
        <w:t>El citado</w:t>
      </w:r>
      <w:r w:rsidR="00C44C1C" w:rsidRPr="00D82894">
        <w:rPr>
          <w:rFonts w:ascii="Tahoma" w:hAnsi="Tahoma" w:cs="Tahoma"/>
          <w:sz w:val="23"/>
          <w:szCs w:val="23"/>
        </w:rPr>
        <w:t xml:space="preserve"> demandante solicita que</w:t>
      </w:r>
      <w:r w:rsidR="006B66C9" w:rsidRPr="00D82894">
        <w:rPr>
          <w:rFonts w:ascii="Tahoma" w:hAnsi="Tahoma" w:cs="Tahoma"/>
          <w:sz w:val="23"/>
          <w:szCs w:val="23"/>
        </w:rPr>
        <w:t xml:space="preserve"> se declare que tiene derecho a que se le reconozca y pague la pensión de invalidez desde el 28 de julio de 20</w:t>
      </w:r>
      <w:r w:rsidR="005158FF" w:rsidRPr="00D82894">
        <w:rPr>
          <w:rFonts w:ascii="Tahoma" w:hAnsi="Tahoma" w:cs="Tahoma"/>
          <w:sz w:val="23"/>
          <w:szCs w:val="23"/>
        </w:rPr>
        <w:t>10</w:t>
      </w:r>
      <w:r w:rsidR="00F51DD2" w:rsidRPr="00D82894">
        <w:rPr>
          <w:rFonts w:ascii="Tahoma" w:hAnsi="Tahoma" w:cs="Tahoma"/>
          <w:sz w:val="23"/>
          <w:szCs w:val="23"/>
        </w:rPr>
        <w:t xml:space="preserve"> y</w:t>
      </w:r>
      <w:r w:rsidR="00C92939" w:rsidRPr="00D82894">
        <w:rPr>
          <w:rFonts w:ascii="Tahoma" w:hAnsi="Tahoma" w:cs="Tahoma"/>
          <w:sz w:val="23"/>
          <w:szCs w:val="23"/>
        </w:rPr>
        <w:t>,</w:t>
      </w:r>
      <w:r w:rsidR="00F51DD2" w:rsidRPr="00D82894">
        <w:rPr>
          <w:rFonts w:ascii="Tahoma" w:hAnsi="Tahoma" w:cs="Tahoma"/>
          <w:sz w:val="23"/>
          <w:szCs w:val="23"/>
        </w:rPr>
        <w:t xml:space="preserve"> en consecuencia, </w:t>
      </w:r>
      <w:r w:rsidR="006B66C9" w:rsidRPr="00D82894">
        <w:rPr>
          <w:rFonts w:ascii="Tahoma" w:hAnsi="Tahoma" w:cs="Tahoma"/>
          <w:sz w:val="23"/>
          <w:szCs w:val="23"/>
        </w:rPr>
        <w:t xml:space="preserve">se condene a Porvenir S.A. a reconocer </w:t>
      </w:r>
      <w:r w:rsidR="00C92939" w:rsidRPr="00D82894">
        <w:rPr>
          <w:rFonts w:ascii="Tahoma" w:hAnsi="Tahoma" w:cs="Tahoma"/>
          <w:sz w:val="23"/>
          <w:szCs w:val="23"/>
        </w:rPr>
        <w:t>como</w:t>
      </w:r>
      <w:r w:rsidR="006B66C9" w:rsidRPr="00D82894">
        <w:rPr>
          <w:rFonts w:ascii="Tahoma" w:hAnsi="Tahoma" w:cs="Tahoma"/>
          <w:sz w:val="23"/>
          <w:szCs w:val="23"/>
        </w:rPr>
        <w:t xml:space="preserve"> retroactivo pensional la suma de $22.402.000, incluyendo las mesadas 13 y 14</w:t>
      </w:r>
      <w:r w:rsidR="005158FF" w:rsidRPr="00D82894">
        <w:rPr>
          <w:rFonts w:ascii="Tahoma" w:hAnsi="Tahoma" w:cs="Tahoma"/>
          <w:sz w:val="23"/>
          <w:szCs w:val="23"/>
        </w:rPr>
        <w:t xml:space="preserve">, así como </w:t>
      </w:r>
      <w:r w:rsidR="006B66C9" w:rsidRPr="00D82894">
        <w:rPr>
          <w:rFonts w:ascii="Tahoma" w:hAnsi="Tahoma" w:cs="Tahoma"/>
          <w:sz w:val="23"/>
          <w:szCs w:val="23"/>
        </w:rPr>
        <w:t>los intereses moratorios del artículo 141 de la ley 100 de 1993, las costas procesales y lo que resulte probado en virtud de las facultades ultra y extra petita</w:t>
      </w:r>
      <w:r w:rsidR="00CE00DC" w:rsidRPr="00D82894">
        <w:rPr>
          <w:rFonts w:ascii="Tahoma" w:hAnsi="Tahoma" w:cs="Tahoma"/>
          <w:sz w:val="23"/>
          <w:szCs w:val="23"/>
        </w:rPr>
        <w:t>.</w:t>
      </w:r>
      <w:r w:rsidR="00C44C1C" w:rsidRPr="00D82894">
        <w:rPr>
          <w:rFonts w:ascii="Tahoma" w:hAnsi="Tahoma" w:cs="Tahoma"/>
          <w:sz w:val="23"/>
          <w:szCs w:val="23"/>
        </w:rPr>
        <w:t xml:space="preserve"> </w:t>
      </w:r>
    </w:p>
    <w:p w:rsidR="009F3C74" w:rsidRPr="00D82894" w:rsidRDefault="009F3C74" w:rsidP="00C92939">
      <w:pPr>
        <w:pStyle w:val="Sinespaciado"/>
        <w:rPr>
          <w:sz w:val="23"/>
          <w:szCs w:val="23"/>
        </w:rPr>
      </w:pPr>
    </w:p>
    <w:p w:rsidR="00CC1743" w:rsidRPr="00D82894" w:rsidRDefault="009C50D0" w:rsidP="00857421">
      <w:pPr>
        <w:widowControl w:val="0"/>
        <w:autoSpaceDE w:val="0"/>
        <w:autoSpaceDN w:val="0"/>
        <w:adjustRightInd w:val="0"/>
        <w:spacing w:line="276" w:lineRule="auto"/>
        <w:ind w:firstLine="708"/>
        <w:jc w:val="both"/>
        <w:rPr>
          <w:rFonts w:ascii="Tahoma" w:hAnsi="Tahoma" w:cs="Tahoma"/>
          <w:sz w:val="23"/>
          <w:szCs w:val="23"/>
        </w:rPr>
      </w:pPr>
      <w:r w:rsidRPr="00D82894">
        <w:rPr>
          <w:rFonts w:ascii="Tahoma" w:hAnsi="Tahoma" w:cs="Tahoma"/>
          <w:sz w:val="23"/>
          <w:szCs w:val="23"/>
        </w:rPr>
        <w:t>Para fundar dichas pretensiones manifiesta que</w:t>
      </w:r>
      <w:r w:rsidR="001E0567" w:rsidRPr="00D82894">
        <w:rPr>
          <w:rFonts w:ascii="Tahoma" w:hAnsi="Tahoma" w:cs="Tahoma"/>
          <w:sz w:val="23"/>
          <w:szCs w:val="23"/>
        </w:rPr>
        <w:t xml:space="preserve"> </w:t>
      </w:r>
      <w:r w:rsidR="00CE00DC" w:rsidRPr="00D82894">
        <w:rPr>
          <w:rFonts w:ascii="Tahoma" w:hAnsi="Tahoma" w:cs="Tahoma"/>
          <w:sz w:val="23"/>
          <w:szCs w:val="23"/>
        </w:rPr>
        <w:t>nació el 15 de julio de 1965</w:t>
      </w:r>
      <w:r w:rsidR="00C33F1D" w:rsidRPr="00D82894">
        <w:rPr>
          <w:rFonts w:ascii="Tahoma" w:hAnsi="Tahoma" w:cs="Tahoma"/>
          <w:sz w:val="23"/>
          <w:szCs w:val="23"/>
        </w:rPr>
        <w:t>;</w:t>
      </w:r>
      <w:r w:rsidR="00CE00DC" w:rsidRPr="00D82894">
        <w:rPr>
          <w:rFonts w:ascii="Tahoma" w:hAnsi="Tahoma" w:cs="Tahoma"/>
          <w:sz w:val="23"/>
          <w:szCs w:val="23"/>
        </w:rPr>
        <w:t xml:space="preserve"> que está afiliado al sistema de seguridad social en pensiones desde mayo de 1988 y a la Sociedad Administradora de Fondos de Pensiones y Cesantías Porvenir S.A desde marzo de 2004</w:t>
      </w:r>
      <w:r w:rsidR="00C92939" w:rsidRPr="00D82894">
        <w:rPr>
          <w:rFonts w:ascii="Tahoma" w:hAnsi="Tahoma" w:cs="Tahoma"/>
          <w:sz w:val="23"/>
          <w:szCs w:val="23"/>
        </w:rPr>
        <w:t>. Asimismo, refiere</w:t>
      </w:r>
      <w:r w:rsidR="00CE00DC" w:rsidRPr="00D82894">
        <w:rPr>
          <w:rFonts w:ascii="Tahoma" w:hAnsi="Tahoma" w:cs="Tahoma"/>
          <w:sz w:val="23"/>
          <w:szCs w:val="23"/>
        </w:rPr>
        <w:t xml:space="preserve"> que laboró </w:t>
      </w:r>
      <w:r w:rsidR="00C33F1D" w:rsidRPr="00D82894">
        <w:rPr>
          <w:rFonts w:ascii="Tahoma" w:hAnsi="Tahoma" w:cs="Tahoma"/>
          <w:sz w:val="23"/>
          <w:szCs w:val="23"/>
        </w:rPr>
        <w:t xml:space="preserve">como ayudante </w:t>
      </w:r>
      <w:r w:rsidR="00CE00DC" w:rsidRPr="00D82894">
        <w:rPr>
          <w:rFonts w:ascii="Tahoma" w:hAnsi="Tahoma" w:cs="Tahoma"/>
          <w:sz w:val="23"/>
          <w:szCs w:val="23"/>
        </w:rPr>
        <w:t>para e</w:t>
      </w:r>
      <w:r w:rsidR="00F51DD2" w:rsidRPr="00D82894">
        <w:rPr>
          <w:rFonts w:ascii="Tahoma" w:hAnsi="Tahoma" w:cs="Tahoma"/>
          <w:sz w:val="23"/>
          <w:szCs w:val="23"/>
        </w:rPr>
        <w:t xml:space="preserve">mpresas de construcción </w:t>
      </w:r>
      <w:r w:rsidR="00CE00DC" w:rsidRPr="00D82894">
        <w:rPr>
          <w:rFonts w:ascii="Tahoma" w:hAnsi="Tahoma" w:cs="Tahoma"/>
          <w:sz w:val="23"/>
          <w:szCs w:val="23"/>
        </w:rPr>
        <w:t>y para la Secretar</w:t>
      </w:r>
      <w:r w:rsidR="00C92939" w:rsidRPr="00D82894">
        <w:rPr>
          <w:rFonts w:ascii="Tahoma" w:hAnsi="Tahoma" w:cs="Tahoma"/>
          <w:sz w:val="23"/>
          <w:szCs w:val="23"/>
        </w:rPr>
        <w:t>í</w:t>
      </w:r>
      <w:r w:rsidR="00CE00DC" w:rsidRPr="00D82894">
        <w:rPr>
          <w:rFonts w:ascii="Tahoma" w:hAnsi="Tahoma" w:cs="Tahoma"/>
          <w:sz w:val="23"/>
          <w:szCs w:val="23"/>
        </w:rPr>
        <w:t>a de Gobierno del Municipio de Pereira</w:t>
      </w:r>
      <w:r w:rsidR="00C92939" w:rsidRPr="00D82894">
        <w:rPr>
          <w:rFonts w:ascii="Tahoma" w:hAnsi="Tahoma" w:cs="Tahoma"/>
          <w:sz w:val="23"/>
          <w:szCs w:val="23"/>
        </w:rPr>
        <w:t>,</w:t>
      </w:r>
      <w:r w:rsidR="00CE00DC" w:rsidRPr="00D82894">
        <w:rPr>
          <w:rFonts w:ascii="Tahoma" w:hAnsi="Tahoma" w:cs="Tahoma"/>
          <w:sz w:val="23"/>
          <w:szCs w:val="23"/>
        </w:rPr>
        <w:t xml:space="preserve"> bajo la modalidad de contratos de prestación de servicios entre el 23 de abril de 2004 y el 15 de julio de 2008.</w:t>
      </w:r>
    </w:p>
    <w:p w:rsidR="00CC1743" w:rsidRPr="00D82894" w:rsidRDefault="00CC1743" w:rsidP="00D11B76">
      <w:pPr>
        <w:pStyle w:val="Sinespaciado"/>
        <w:rPr>
          <w:sz w:val="23"/>
          <w:szCs w:val="23"/>
        </w:rPr>
      </w:pPr>
    </w:p>
    <w:p w:rsidR="001E0567" w:rsidRPr="00D82894" w:rsidRDefault="00FF64D0" w:rsidP="00857421">
      <w:pPr>
        <w:autoSpaceDE w:val="0"/>
        <w:autoSpaceDN w:val="0"/>
        <w:adjustRightInd w:val="0"/>
        <w:spacing w:line="276" w:lineRule="auto"/>
        <w:jc w:val="both"/>
        <w:rPr>
          <w:rFonts w:ascii="Tahoma" w:hAnsi="Tahoma" w:cs="Tahoma"/>
          <w:i/>
          <w:iCs/>
          <w:sz w:val="23"/>
          <w:szCs w:val="23"/>
        </w:rPr>
      </w:pPr>
      <w:r w:rsidRPr="00D82894">
        <w:rPr>
          <w:rFonts w:ascii="Tahoma" w:hAnsi="Tahoma" w:cs="Tahoma"/>
          <w:sz w:val="23"/>
          <w:szCs w:val="23"/>
        </w:rPr>
        <w:tab/>
      </w:r>
      <w:r w:rsidR="00C92939" w:rsidRPr="00D82894">
        <w:rPr>
          <w:rFonts w:ascii="Tahoma" w:hAnsi="Tahoma" w:cs="Tahoma"/>
          <w:sz w:val="23"/>
          <w:szCs w:val="23"/>
        </w:rPr>
        <w:t xml:space="preserve">Señala que </w:t>
      </w:r>
      <w:r w:rsidR="00501132" w:rsidRPr="00D82894">
        <w:rPr>
          <w:rFonts w:ascii="Tahoma" w:hAnsi="Tahoma" w:cs="Tahoma"/>
          <w:sz w:val="23"/>
          <w:szCs w:val="23"/>
        </w:rPr>
        <w:t xml:space="preserve">estando incapacitado por un accidente de trabajo, </w:t>
      </w:r>
      <w:r w:rsidR="00CE00DC" w:rsidRPr="00D82894">
        <w:rPr>
          <w:rFonts w:ascii="Tahoma" w:hAnsi="Tahoma" w:cs="Tahoma"/>
          <w:sz w:val="23"/>
          <w:szCs w:val="23"/>
        </w:rPr>
        <w:t>padeció una trombosis que lo incapacitó por más de 180 días, motivo por el cual</w:t>
      </w:r>
      <w:r w:rsidR="00C92939" w:rsidRPr="00D82894">
        <w:rPr>
          <w:rFonts w:ascii="Tahoma" w:hAnsi="Tahoma" w:cs="Tahoma"/>
          <w:sz w:val="23"/>
          <w:szCs w:val="23"/>
        </w:rPr>
        <w:t xml:space="preserve"> </w:t>
      </w:r>
      <w:r w:rsidR="00CE00DC" w:rsidRPr="00D82894">
        <w:rPr>
          <w:rFonts w:ascii="Tahoma" w:hAnsi="Tahoma" w:cs="Tahoma"/>
          <w:sz w:val="23"/>
          <w:szCs w:val="23"/>
        </w:rPr>
        <w:t xml:space="preserve">fue valorado por la Junta Regional de Calificación de Invalidez de Risaralda con una pérdida de capacidad laboral de 64.40%, estructurada para </w:t>
      </w:r>
      <w:r w:rsidR="00C971C6" w:rsidRPr="00D82894">
        <w:rPr>
          <w:rFonts w:ascii="Tahoma" w:hAnsi="Tahoma" w:cs="Tahoma"/>
          <w:sz w:val="23"/>
          <w:szCs w:val="23"/>
        </w:rPr>
        <w:t>el 28 de julio de 2010.</w:t>
      </w:r>
    </w:p>
    <w:p w:rsidR="001E0567" w:rsidRPr="00D82894" w:rsidRDefault="001E0567" w:rsidP="00D11B76">
      <w:pPr>
        <w:pStyle w:val="Sinespaciado"/>
        <w:rPr>
          <w:sz w:val="23"/>
          <w:szCs w:val="23"/>
        </w:rPr>
      </w:pPr>
    </w:p>
    <w:p w:rsidR="001E0567" w:rsidRPr="00D82894" w:rsidRDefault="001E0567" w:rsidP="00857421">
      <w:pPr>
        <w:autoSpaceDE w:val="0"/>
        <w:autoSpaceDN w:val="0"/>
        <w:adjustRightInd w:val="0"/>
        <w:spacing w:line="276" w:lineRule="auto"/>
        <w:jc w:val="both"/>
        <w:rPr>
          <w:rFonts w:ascii="Tahoma" w:hAnsi="Tahoma" w:cs="Tahoma"/>
          <w:sz w:val="23"/>
          <w:szCs w:val="23"/>
        </w:rPr>
      </w:pPr>
      <w:r w:rsidRPr="00D82894">
        <w:rPr>
          <w:rFonts w:ascii="Tahoma" w:hAnsi="Tahoma" w:cs="Tahoma"/>
          <w:sz w:val="23"/>
          <w:szCs w:val="23"/>
        </w:rPr>
        <w:tab/>
      </w:r>
      <w:r w:rsidR="00C971C6" w:rsidRPr="00D82894">
        <w:rPr>
          <w:rFonts w:ascii="Tahoma" w:hAnsi="Tahoma" w:cs="Tahoma"/>
          <w:sz w:val="23"/>
          <w:szCs w:val="23"/>
        </w:rPr>
        <w:t>Indica que</w:t>
      </w:r>
      <w:r w:rsidR="00C33F1D" w:rsidRPr="00D82894">
        <w:rPr>
          <w:rFonts w:ascii="Tahoma" w:hAnsi="Tahoma" w:cs="Tahoma"/>
          <w:sz w:val="23"/>
          <w:szCs w:val="23"/>
        </w:rPr>
        <w:t xml:space="preserve"> </w:t>
      </w:r>
      <w:r w:rsidR="00C971C6" w:rsidRPr="00D82894">
        <w:rPr>
          <w:rFonts w:ascii="Tahoma" w:hAnsi="Tahoma" w:cs="Tahoma"/>
          <w:sz w:val="23"/>
          <w:szCs w:val="23"/>
        </w:rPr>
        <w:t>el 22 de mayo de 2012 radicó ante Porvenir S.A</w:t>
      </w:r>
      <w:r w:rsidR="00C92939" w:rsidRPr="00D82894">
        <w:rPr>
          <w:rFonts w:ascii="Tahoma" w:hAnsi="Tahoma" w:cs="Tahoma"/>
          <w:sz w:val="23"/>
          <w:szCs w:val="23"/>
        </w:rPr>
        <w:t>.</w:t>
      </w:r>
      <w:r w:rsidR="00C971C6" w:rsidRPr="00D82894">
        <w:rPr>
          <w:rFonts w:ascii="Tahoma" w:hAnsi="Tahoma" w:cs="Tahoma"/>
          <w:sz w:val="23"/>
          <w:szCs w:val="23"/>
        </w:rPr>
        <w:t xml:space="preserve"> solicitud para el reconocimiento y pago de la pensión de invalidez</w:t>
      </w:r>
      <w:r w:rsidR="00C92939" w:rsidRPr="00D82894">
        <w:rPr>
          <w:rFonts w:ascii="Tahoma" w:hAnsi="Tahoma" w:cs="Tahoma"/>
          <w:sz w:val="23"/>
          <w:szCs w:val="23"/>
        </w:rPr>
        <w:t xml:space="preserve">, misma que </w:t>
      </w:r>
      <w:r w:rsidR="00200317" w:rsidRPr="00D82894">
        <w:rPr>
          <w:rFonts w:ascii="Tahoma" w:hAnsi="Tahoma" w:cs="Tahoma"/>
          <w:sz w:val="23"/>
          <w:szCs w:val="23"/>
        </w:rPr>
        <w:t xml:space="preserve">le </w:t>
      </w:r>
      <w:r w:rsidR="00C92939" w:rsidRPr="00D82894">
        <w:rPr>
          <w:rFonts w:ascii="Tahoma" w:hAnsi="Tahoma" w:cs="Tahoma"/>
          <w:sz w:val="23"/>
          <w:szCs w:val="23"/>
        </w:rPr>
        <w:t>fue negada por dicha sociedad e</w:t>
      </w:r>
      <w:r w:rsidR="00C971C6" w:rsidRPr="00D82894">
        <w:rPr>
          <w:rFonts w:ascii="Tahoma" w:hAnsi="Tahoma" w:cs="Tahoma"/>
          <w:sz w:val="23"/>
          <w:szCs w:val="23"/>
        </w:rPr>
        <w:t xml:space="preserve">l 16 de noviembre de 2012, </w:t>
      </w:r>
      <w:r w:rsidR="00C92939" w:rsidRPr="00D82894">
        <w:rPr>
          <w:rFonts w:ascii="Tahoma" w:hAnsi="Tahoma" w:cs="Tahoma"/>
          <w:sz w:val="23"/>
          <w:szCs w:val="23"/>
        </w:rPr>
        <w:t xml:space="preserve">bajo el argumento de que </w:t>
      </w:r>
      <w:r w:rsidR="00C971C6" w:rsidRPr="00D82894">
        <w:rPr>
          <w:rFonts w:ascii="Tahoma" w:hAnsi="Tahoma" w:cs="Tahoma"/>
          <w:sz w:val="23"/>
          <w:szCs w:val="23"/>
        </w:rPr>
        <w:t>no acredita</w:t>
      </w:r>
      <w:r w:rsidR="00C92939" w:rsidRPr="00D82894">
        <w:rPr>
          <w:rFonts w:ascii="Tahoma" w:hAnsi="Tahoma" w:cs="Tahoma"/>
          <w:sz w:val="23"/>
          <w:szCs w:val="23"/>
        </w:rPr>
        <w:t>ba</w:t>
      </w:r>
      <w:r w:rsidR="00C971C6" w:rsidRPr="00D82894">
        <w:rPr>
          <w:rFonts w:ascii="Tahoma" w:hAnsi="Tahoma" w:cs="Tahoma"/>
          <w:sz w:val="23"/>
          <w:szCs w:val="23"/>
        </w:rPr>
        <w:t xml:space="preserve"> 50 semanas en los </w:t>
      </w:r>
      <w:r w:rsidR="00D32932" w:rsidRPr="00D82894">
        <w:rPr>
          <w:rFonts w:ascii="Tahoma" w:hAnsi="Tahoma" w:cs="Tahoma"/>
          <w:sz w:val="23"/>
          <w:szCs w:val="23"/>
        </w:rPr>
        <w:t>t</w:t>
      </w:r>
      <w:r w:rsidR="00C971C6" w:rsidRPr="00D82894">
        <w:rPr>
          <w:rFonts w:ascii="Tahoma" w:hAnsi="Tahoma" w:cs="Tahoma"/>
          <w:sz w:val="23"/>
          <w:szCs w:val="23"/>
        </w:rPr>
        <w:t xml:space="preserve">res años </w:t>
      </w:r>
      <w:r w:rsidR="00D32932" w:rsidRPr="00D82894">
        <w:rPr>
          <w:rFonts w:ascii="Tahoma" w:hAnsi="Tahoma" w:cs="Tahoma"/>
          <w:sz w:val="23"/>
          <w:szCs w:val="23"/>
        </w:rPr>
        <w:t xml:space="preserve">anteriores </w:t>
      </w:r>
      <w:r w:rsidR="00C971C6" w:rsidRPr="00D82894">
        <w:rPr>
          <w:rFonts w:ascii="Tahoma" w:hAnsi="Tahoma" w:cs="Tahoma"/>
          <w:sz w:val="23"/>
          <w:szCs w:val="23"/>
        </w:rPr>
        <w:t xml:space="preserve">a la fecha de estructuración, </w:t>
      </w:r>
      <w:r w:rsidR="00D32932" w:rsidRPr="00D82894">
        <w:rPr>
          <w:rFonts w:ascii="Tahoma" w:hAnsi="Tahoma" w:cs="Tahoma"/>
          <w:sz w:val="23"/>
          <w:szCs w:val="23"/>
        </w:rPr>
        <w:t xml:space="preserve">aclarándole que podía </w:t>
      </w:r>
      <w:r w:rsidR="00C971C6" w:rsidRPr="00D82894">
        <w:rPr>
          <w:rFonts w:ascii="Tahoma" w:hAnsi="Tahoma" w:cs="Tahoma"/>
          <w:sz w:val="23"/>
          <w:szCs w:val="23"/>
        </w:rPr>
        <w:t xml:space="preserve">optar por la devolución del saldo o continuar cotizando hasta alcanzar una pensión de vejez. </w:t>
      </w:r>
    </w:p>
    <w:p w:rsidR="000141E4" w:rsidRPr="00D82894" w:rsidRDefault="000141E4" w:rsidP="00D11B76">
      <w:pPr>
        <w:pStyle w:val="Sinespaciado"/>
        <w:rPr>
          <w:sz w:val="23"/>
          <w:szCs w:val="23"/>
        </w:rPr>
      </w:pPr>
      <w:r w:rsidRPr="00D82894">
        <w:rPr>
          <w:sz w:val="23"/>
          <w:szCs w:val="23"/>
        </w:rPr>
        <w:t xml:space="preserve"> </w:t>
      </w:r>
    </w:p>
    <w:p w:rsidR="001E0567" w:rsidRPr="00D82894" w:rsidRDefault="000141E4" w:rsidP="003577C3">
      <w:pPr>
        <w:autoSpaceDE w:val="0"/>
        <w:autoSpaceDN w:val="0"/>
        <w:adjustRightInd w:val="0"/>
        <w:spacing w:line="276" w:lineRule="auto"/>
        <w:jc w:val="both"/>
        <w:rPr>
          <w:rFonts w:ascii="Tahoma" w:hAnsi="Tahoma" w:cs="Tahoma"/>
          <w:sz w:val="23"/>
          <w:szCs w:val="23"/>
        </w:rPr>
      </w:pPr>
      <w:r w:rsidRPr="00D82894">
        <w:rPr>
          <w:rFonts w:ascii="Tahoma" w:hAnsi="Tahoma" w:cs="Tahoma"/>
          <w:sz w:val="23"/>
          <w:szCs w:val="23"/>
        </w:rPr>
        <w:tab/>
      </w:r>
      <w:r w:rsidR="00641685" w:rsidRPr="00D82894">
        <w:rPr>
          <w:rFonts w:ascii="Tahoma" w:hAnsi="Tahoma" w:cs="Tahoma"/>
          <w:sz w:val="23"/>
          <w:szCs w:val="23"/>
        </w:rPr>
        <w:t>Agrega que</w:t>
      </w:r>
      <w:r w:rsidR="00B956C7" w:rsidRPr="00D82894">
        <w:rPr>
          <w:rFonts w:ascii="Tahoma" w:hAnsi="Tahoma" w:cs="Tahoma"/>
          <w:sz w:val="23"/>
          <w:szCs w:val="23"/>
        </w:rPr>
        <w:t xml:space="preserve"> de acuerdo a la historia laboral emitida por Porvenir S.A, entre el 18 de julio de 2007 y la fecha de estructuración de la invalidez cuenta con 60 semanas aportadas al sistema, </w:t>
      </w:r>
      <w:r w:rsidR="00CC12ED" w:rsidRPr="00D82894">
        <w:rPr>
          <w:rFonts w:ascii="Tahoma" w:hAnsi="Tahoma" w:cs="Tahoma"/>
          <w:sz w:val="23"/>
          <w:szCs w:val="23"/>
        </w:rPr>
        <w:t>y que la Secretaría de Gobierno del Municipio de Pereira certificó que él tuvo contratos de prestación de servicios en junio de 2007 y febrero de 2008, por 6 y 5 meses respectivamente, lo que significa que al menos 17 semanas deben aparecer imputadas en su historia laboral</w:t>
      </w:r>
      <w:r w:rsidR="003577C3" w:rsidRPr="00D82894">
        <w:rPr>
          <w:rFonts w:ascii="Tahoma" w:hAnsi="Tahoma" w:cs="Tahoma"/>
          <w:sz w:val="23"/>
          <w:szCs w:val="23"/>
        </w:rPr>
        <w:t xml:space="preserve">, pues de conformidad con </w:t>
      </w:r>
      <w:r w:rsidR="00F87146" w:rsidRPr="00D82894">
        <w:rPr>
          <w:rFonts w:ascii="Tahoma" w:hAnsi="Tahoma" w:cs="Tahoma"/>
          <w:sz w:val="23"/>
          <w:szCs w:val="23"/>
        </w:rPr>
        <w:t xml:space="preserve">el </w:t>
      </w:r>
      <w:r w:rsidR="009E11F1" w:rsidRPr="00D82894">
        <w:rPr>
          <w:rFonts w:ascii="Tahoma" w:hAnsi="Tahoma" w:cs="Tahoma"/>
          <w:sz w:val="23"/>
          <w:szCs w:val="23"/>
        </w:rPr>
        <w:t xml:space="preserve">Decreto </w:t>
      </w:r>
      <w:r w:rsidR="00F87146" w:rsidRPr="00D82894">
        <w:rPr>
          <w:rFonts w:ascii="Tahoma" w:hAnsi="Tahoma" w:cs="Tahoma"/>
          <w:sz w:val="23"/>
          <w:szCs w:val="23"/>
        </w:rPr>
        <w:t>510 de 2003</w:t>
      </w:r>
      <w:r w:rsidR="003577C3" w:rsidRPr="00D82894">
        <w:rPr>
          <w:rFonts w:ascii="Tahoma" w:hAnsi="Tahoma" w:cs="Tahoma"/>
          <w:sz w:val="23"/>
          <w:szCs w:val="23"/>
        </w:rPr>
        <w:t xml:space="preserve">, </w:t>
      </w:r>
      <w:r w:rsidR="00F87146" w:rsidRPr="00D82894">
        <w:rPr>
          <w:rFonts w:ascii="Tahoma" w:hAnsi="Tahoma" w:cs="Tahoma"/>
          <w:sz w:val="23"/>
          <w:szCs w:val="23"/>
        </w:rPr>
        <w:t>la</w:t>
      </w:r>
      <w:r w:rsidR="0091112F" w:rsidRPr="00D82894">
        <w:rPr>
          <w:rFonts w:ascii="Tahoma" w:hAnsi="Tahoma" w:cs="Tahoma"/>
          <w:sz w:val="23"/>
          <w:szCs w:val="23"/>
        </w:rPr>
        <w:t>s</w:t>
      </w:r>
      <w:r w:rsidR="00F87146" w:rsidRPr="00D82894">
        <w:rPr>
          <w:rFonts w:ascii="Tahoma" w:hAnsi="Tahoma" w:cs="Tahoma"/>
          <w:sz w:val="23"/>
          <w:szCs w:val="23"/>
        </w:rPr>
        <w:t xml:space="preserve"> personas que se vinculen mediante contrato de prestación de servicios con las entidades estatales deben afiliarse al sistema de seguridad social, siendo obligación del interventor del contrato verificar tanto la afiliación como los </w:t>
      </w:r>
      <w:r w:rsidR="0091112F" w:rsidRPr="00D82894">
        <w:rPr>
          <w:rFonts w:ascii="Tahoma" w:hAnsi="Tahoma" w:cs="Tahoma"/>
          <w:sz w:val="23"/>
          <w:szCs w:val="23"/>
        </w:rPr>
        <w:t xml:space="preserve">aportes </w:t>
      </w:r>
      <w:r w:rsidR="00F87146" w:rsidRPr="00D82894">
        <w:rPr>
          <w:rFonts w:ascii="Tahoma" w:hAnsi="Tahoma" w:cs="Tahoma"/>
          <w:sz w:val="23"/>
          <w:szCs w:val="23"/>
        </w:rPr>
        <w:t>mensuales, para así autorizar los pagos al contratista.</w:t>
      </w:r>
    </w:p>
    <w:p w:rsidR="00F87146" w:rsidRPr="00D82894" w:rsidRDefault="00F87146" w:rsidP="003577C3">
      <w:pPr>
        <w:pStyle w:val="Sinespaciado"/>
        <w:rPr>
          <w:sz w:val="23"/>
          <w:szCs w:val="23"/>
          <w:lang w:val="es-ES"/>
        </w:rPr>
      </w:pPr>
    </w:p>
    <w:p w:rsidR="00F87146" w:rsidRPr="00D82894" w:rsidRDefault="00F87146" w:rsidP="00641685">
      <w:pPr>
        <w:autoSpaceDE w:val="0"/>
        <w:autoSpaceDN w:val="0"/>
        <w:adjustRightInd w:val="0"/>
        <w:spacing w:line="276" w:lineRule="auto"/>
        <w:ind w:firstLine="709"/>
        <w:jc w:val="both"/>
        <w:rPr>
          <w:rFonts w:ascii="Tahoma" w:hAnsi="Tahoma" w:cs="Tahoma"/>
          <w:sz w:val="23"/>
          <w:szCs w:val="23"/>
        </w:rPr>
      </w:pPr>
      <w:r w:rsidRPr="00D82894">
        <w:rPr>
          <w:rFonts w:ascii="Tahoma" w:hAnsi="Tahoma" w:cs="Tahoma"/>
          <w:sz w:val="23"/>
          <w:szCs w:val="23"/>
        </w:rPr>
        <w:t>Finalmente aduce que no puede desarrollar ningún tipo de actividad laboral, pues su condición de salud desmejora cada día, viéndose afectado su mínimo vital al no contar con los ingresos para sufragar sus gastos y los de su familia.</w:t>
      </w:r>
    </w:p>
    <w:p w:rsidR="009C50D0" w:rsidRPr="00D82894" w:rsidRDefault="009C50D0" w:rsidP="003577C3">
      <w:pPr>
        <w:pStyle w:val="Sinespaciado"/>
        <w:rPr>
          <w:sz w:val="23"/>
          <w:szCs w:val="23"/>
        </w:rPr>
      </w:pPr>
    </w:p>
    <w:p w:rsidR="00FF64D0" w:rsidRPr="00D82894" w:rsidRDefault="000141E4" w:rsidP="00857421">
      <w:pPr>
        <w:autoSpaceDE w:val="0"/>
        <w:autoSpaceDN w:val="0"/>
        <w:adjustRightInd w:val="0"/>
        <w:spacing w:line="276" w:lineRule="auto"/>
        <w:jc w:val="both"/>
        <w:rPr>
          <w:rFonts w:ascii="Tahoma" w:hAnsi="Tahoma" w:cs="Tahoma"/>
          <w:sz w:val="23"/>
          <w:szCs w:val="23"/>
        </w:rPr>
      </w:pPr>
      <w:r w:rsidRPr="00D82894">
        <w:rPr>
          <w:rFonts w:ascii="Tahoma" w:hAnsi="Tahoma" w:cs="Tahoma"/>
          <w:sz w:val="23"/>
          <w:szCs w:val="23"/>
        </w:rPr>
        <w:tab/>
      </w:r>
      <w:r w:rsidR="009F3C74" w:rsidRPr="00D82894">
        <w:rPr>
          <w:rFonts w:ascii="Tahoma" w:hAnsi="Tahoma" w:cs="Tahoma"/>
          <w:sz w:val="23"/>
          <w:szCs w:val="23"/>
        </w:rPr>
        <w:t>Provenir S.A</w:t>
      </w:r>
      <w:r w:rsidR="009C50D0" w:rsidRPr="00D82894">
        <w:rPr>
          <w:rFonts w:ascii="Tahoma" w:hAnsi="Tahoma" w:cs="Tahoma"/>
          <w:sz w:val="23"/>
          <w:szCs w:val="23"/>
        </w:rPr>
        <w:t xml:space="preserve"> </w:t>
      </w:r>
      <w:r w:rsidRPr="00D82894">
        <w:rPr>
          <w:rFonts w:ascii="Tahoma" w:hAnsi="Tahoma" w:cs="Tahoma"/>
          <w:sz w:val="23"/>
          <w:szCs w:val="23"/>
        </w:rPr>
        <w:t>contestó la demanda aceptando como cierto</w:t>
      </w:r>
      <w:r w:rsidR="0095489E" w:rsidRPr="00D82894">
        <w:rPr>
          <w:rFonts w:ascii="Tahoma" w:hAnsi="Tahoma" w:cs="Tahoma"/>
          <w:sz w:val="23"/>
          <w:szCs w:val="23"/>
        </w:rPr>
        <w:t>s los hechos relacionados con</w:t>
      </w:r>
      <w:r w:rsidR="00501132" w:rsidRPr="00D82894">
        <w:rPr>
          <w:rFonts w:ascii="Tahoma" w:hAnsi="Tahoma" w:cs="Tahoma"/>
          <w:sz w:val="23"/>
          <w:szCs w:val="23"/>
        </w:rPr>
        <w:t xml:space="preserve"> la fecha de nacimiento del actor</w:t>
      </w:r>
      <w:r w:rsidR="003577C3" w:rsidRPr="00D82894">
        <w:rPr>
          <w:rFonts w:ascii="Tahoma" w:hAnsi="Tahoma" w:cs="Tahoma"/>
          <w:sz w:val="23"/>
          <w:szCs w:val="23"/>
        </w:rPr>
        <w:t>;</w:t>
      </w:r>
      <w:r w:rsidR="00501132" w:rsidRPr="00D82894">
        <w:rPr>
          <w:rFonts w:ascii="Tahoma" w:hAnsi="Tahoma" w:cs="Tahoma"/>
          <w:sz w:val="23"/>
          <w:szCs w:val="23"/>
        </w:rPr>
        <w:t xml:space="preserve"> la afiliación a la administradora pensional en el 2004</w:t>
      </w:r>
      <w:r w:rsidR="003577C3" w:rsidRPr="00D82894">
        <w:rPr>
          <w:rFonts w:ascii="Tahoma" w:hAnsi="Tahoma" w:cs="Tahoma"/>
          <w:sz w:val="23"/>
          <w:szCs w:val="23"/>
        </w:rPr>
        <w:t>;</w:t>
      </w:r>
      <w:r w:rsidR="00501132" w:rsidRPr="00D82894">
        <w:rPr>
          <w:rFonts w:ascii="Tahoma" w:hAnsi="Tahoma" w:cs="Tahoma"/>
          <w:sz w:val="23"/>
          <w:szCs w:val="23"/>
        </w:rPr>
        <w:t xml:space="preserve"> la calificación de la Junta Regional de Calificación</w:t>
      </w:r>
      <w:r w:rsidR="003577C3" w:rsidRPr="00D82894">
        <w:rPr>
          <w:rFonts w:ascii="Tahoma" w:hAnsi="Tahoma" w:cs="Tahoma"/>
          <w:sz w:val="23"/>
          <w:szCs w:val="23"/>
        </w:rPr>
        <w:t xml:space="preserve"> y</w:t>
      </w:r>
      <w:r w:rsidR="00501132" w:rsidRPr="00D82894">
        <w:rPr>
          <w:rFonts w:ascii="Tahoma" w:hAnsi="Tahoma" w:cs="Tahoma"/>
          <w:sz w:val="23"/>
          <w:szCs w:val="23"/>
        </w:rPr>
        <w:t xml:space="preserve"> el motivo de la invalidez</w:t>
      </w:r>
      <w:r w:rsidR="003577C3" w:rsidRPr="00D82894">
        <w:rPr>
          <w:rFonts w:ascii="Tahoma" w:hAnsi="Tahoma" w:cs="Tahoma"/>
          <w:sz w:val="23"/>
          <w:szCs w:val="23"/>
        </w:rPr>
        <w:t>;</w:t>
      </w:r>
      <w:r w:rsidR="00501132" w:rsidRPr="00D82894">
        <w:rPr>
          <w:rFonts w:ascii="Tahoma" w:hAnsi="Tahoma" w:cs="Tahoma"/>
          <w:sz w:val="23"/>
          <w:szCs w:val="23"/>
        </w:rPr>
        <w:t xml:space="preserve"> la reclamaci</w:t>
      </w:r>
      <w:r w:rsidR="003577C3" w:rsidRPr="00D82894">
        <w:rPr>
          <w:rFonts w:ascii="Tahoma" w:hAnsi="Tahoma" w:cs="Tahoma"/>
          <w:sz w:val="23"/>
          <w:szCs w:val="23"/>
        </w:rPr>
        <w:t>ón</w:t>
      </w:r>
      <w:r w:rsidR="00501132" w:rsidRPr="00D82894">
        <w:rPr>
          <w:rFonts w:ascii="Tahoma" w:hAnsi="Tahoma" w:cs="Tahoma"/>
          <w:sz w:val="23"/>
          <w:szCs w:val="23"/>
        </w:rPr>
        <w:t xml:space="preserve"> administrativa</w:t>
      </w:r>
      <w:r w:rsidR="003577C3" w:rsidRPr="00D82894">
        <w:rPr>
          <w:rFonts w:ascii="Tahoma" w:hAnsi="Tahoma" w:cs="Tahoma"/>
          <w:sz w:val="23"/>
          <w:szCs w:val="23"/>
        </w:rPr>
        <w:t xml:space="preserve"> </w:t>
      </w:r>
      <w:r w:rsidR="00501132" w:rsidRPr="00D82894">
        <w:rPr>
          <w:rFonts w:ascii="Tahoma" w:hAnsi="Tahoma" w:cs="Tahoma"/>
          <w:sz w:val="23"/>
          <w:szCs w:val="23"/>
        </w:rPr>
        <w:t>del 22 de mayo de 2012</w:t>
      </w:r>
      <w:r w:rsidR="003577C3" w:rsidRPr="00D82894">
        <w:rPr>
          <w:rFonts w:ascii="Tahoma" w:hAnsi="Tahoma" w:cs="Tahoma"/>
          <w:sz w:val="23"/>
          <w:szCs w:val="23"/>
        </w:rPr>
        <w:t xml:space="preserve"> y </w:t>
      </w:r>
      <w:r w:rsidR="00501132" w:rsidRPr="00D82894">
        <w:rPr>
          <w:rFonts w:ascii="Tahoma" w:hAnsi="Tahoma" w:cs="Tahoma"/>
          <w:sz w:val="23"/>
          <w:szCs w:val="23"/>
        </w:rPr>
        <w:t>la respuesta negativa de la entidad</w:t>
      </w:r>
      <w:r w:rsidR="00FF64D0" w:rsidRPr="00D82894">
        <w:rPr>
          <w:rFonts w:ascii="Tahoma" w:hAnsi="Tahoma" w:cs="Tahoma"/>
          <w:sz w:val="23"/>
          <w:szCs w:val="23"/>
        </w:rPr>
        <w:t>.</w:t>
      </w:r>
      <w:r w:rsidR="004A5D32" w:rsidRPr="00D82894">
        <w:rPr>
          <w:rFonts w:ascii="Tahoma" w:hAnsi="Tahoma" w:cs="Tahoma"/>
          <w:sz w:val="23"/>
          <w:szCs w:val="23"/>
        </w:rPr>
        <w:t xml:space="preserve"> </w:t>
      </w:r>
      <w:r w:rsidR="00FF64D0" w:rsidRPr="00D82894">
        <w:rPr>
          <w:rFonts w:ascii="Tahoma" w:hAnsi="Tahoma" w:cs="Tahoma"/>
          <w:sz w:val="23"/>
          <w:szCs w:val="23"/>
        </w:rPr>
        <w:t>Frente a los demás hechos manifest</w:t>
      </w:r>
      <w:r w:rsidR="004A5D32" w:rsidRPr="00D82894">
        <w:rPr>
          <w:rFonts w:ascii="Tahoma" w:hAnsi="Tahoma" w:cs="Tahoma"/>
          <w:sz w:val="23"/>
          <w:szCs w:val="23"/>
        </w:rPr>
        <w:t>ó que no le constaban</w:t>
      </w:r>
      <w:r w:rsidR="00126BB2" w:rsidRPr="00D82894">
        <w:rPr>
          <w:rFonts w:ascii="Tahoma" w:hAnsi="Tahoma" w:cs="Tahoma"/>
          <w:sz w:val="23"/>
          <w:szCs w:val="23"/>
        </w:rPr>
        <w:t>.</w:t>
      </w:r>
    </w:p>
    <w:p w:rsidR="004A5D32" w:rsidRPr="00D82894" w:rsidRDefault="004A5D32" w:rsidP="00D82894">
      <w:pPr>
        <w:pStyle w:val="Sinespaciado"/>
        <w:rPr>
          <w:sz w:val="23"/>
          <w:szCs w:val="23"/>
        </w:rPr>
      </w:pPr>
    </w:p>
    <w:p w:rsidR="004A5D32" w:rsidRPr="00D82894" w:rsidRDefault="004A5D32" w:rsidP="00857421">
      <w:pPr>
        <w:autoSpaceDE w:val="0"/>
        <w:autoSpaceDN w:val="0"/>
        <w:adjustRightInd w:val="0"/>
        <w:spacing w:line="276" w:lineRule="auto"/>
        <w:jc w:val="both"/>
        <w:rPr>
          <w:rFonts w:ascii="Tahoma" w:hAnsi="Tahoma" w:cs="Tahoma"/>
          <w:sz w:val="23"/>
          <w:szCs w:val="23"/>
        </w:rPr>
      </w:pPr>
      <w:r w:rsidRPr="00D82894">
        <w:rPr>
          <w:rFonts w:ascii="Tahoma" w:hAnsi="Tahoma" w:cs="Tahoma"/>
          <w:sz w:val="23"/>
          <w:szCs w:val="23"/>
        </w:rPr>
        <w:tab/>
        <w:t>Seguidamente se opuso a la totalidad de las pretensiones y propuso como excepciones de mérito las que denominó “</w:t>
      </w:r>
      <w:r w:rsidR="005E4650" w:rsidRPr="00D82894">
        <w:rPr>
          <w:rFonts w:ascii="Tahoma" w:hAnsi="Tahoma" w:cs="Tahoma"/>
          <w:sz w:val="23"/>
          <w:szCs w:val="23"/>
        </w:rPr>
        <w:t xml:space="preserve">Inexistencia </w:t>
      </w:r>
      <w:r w:rsidRPr="00D82894">
        <w:rPr>
          <w:rFonts w:ascii="Tahoma" w:hAnsi="Tahoma" w:cs="Tahoma"/>
          <w:sz w:val="23"/>
          <w:szCs w:val="23"/>
        </w:rPr>
        <w:t>de la obligación</w:t>
      </w:r>
      <w:r w:rsidR="009100C5" w:rsidRPr="00D82894">
        <w:rPr>
          <w:rFonts w:ascii="Tahoma" w:hAnsi="Tahoma" w:cs="Tahoma"/>
          <w:sz w:val="23"/>
          <w:szCs w:val="23"/>
        </w:rPr>
        <w:t xml:space="preserve"> y/o cobro de lo no adeudado</w:t>
      </w:r>
      <w:r w:rsidRPr="00D82894">
        <w:rPr>
          <w:rFonts w:ascii="Tahoma" w:hAnsi="Tahoma" w:cs="Tahoma"/>
          <w:sz w:val="23"/>
          <w:szCs w:val="23"/>
        </w:rPr>
        <w:t>”</w:t>
      </w:r>
      <w:r w:rsidR="003577C3" w:rsidRPr="00D82894">
        <w:rPr>
          <w:rFonts w:ascii="Tahoma" w:hAnsi="Tahoma" w:cs="Tahoma"/>
          <w:sz w:val="23"/>
          <w:szCs w:val="23"/>
        </w:rPr>
        <w:t>;</w:t>
      </w:r>
      <w:r w:rsidR="009100C5" w:rsidRPr="00D82894">
        <w:rPr>
          <w:rFonts w:ascii="Tahoma" w:hAnsi="Tahoma" w:cs="Tahoma"/>
          <w:sz w:val="23"/>
          <w:szCs w:val="23"/>
        </w:rPr>
        <w:t xml:space="preserve"> “Inexistencia de la causa por insuficiente densidad de semanas cotizadas”, “Compensación”, “Culpa exclusiva del accionante”, </w:t>
      </w:r>
      <w:r w:rsidRPr="00D82894">
        <w:rPr>
          <w:rFonts w:ascii="Tahoma" w:hAnsi="Tahoma" w:cs="Tahoma"/>
          <w:sz w:val="23"/>
          <w:szCs w:val="23"/>
        </w:rPr>
        <w:t xml:space="preserve"> </w:t>
      </w:r>
      <w:r w:rsidR="009100C5" w:rsidRPr="00D82894">
        <w:rPr>
          <w:rFonts w:ascii="Tahoma" w:hAnsi="Tahoma" w:cs="Tahoma"/>
          <w:sz w:val="23"/>
          <w:szCs w:val="23"/>
        </w:rPr>
        <w:t xml:space="preserve">“Buena fe”, </w:t>
      </w:r>
      <w:r w:rsidRPr="00D82894">
        <w:rPr>
          <w:rFonts w:ascii="Tahoma" w:hAnsi="Tahoma" w:cs="Tahoma"/>
          <w:sz w:val="23"/>
          <w:szCs w:val="23"/>
        </w:rPr>
        <w:t>“Prescripción” y “Genéricas”.</w:t>
      </w:r>
    </w:p>
    <w:p w:rsidR="004A5D32" w:rsidRPr="00D82894" w:rsidRDefault="004A5D32" w:rsidP="00DF0D88">
      <w:pPr>
        <w:pStyle w:val="Sinespaciado"/>
        <w:rPr>
          <w:sz w:val="23"/>
          <w:szCs w:val="23"/>
          <w:lang w:val="es-ES"/>
        </w:rPr>
      </w:pPr>
    </w:p>
    <w:p w:rsidR="009C50D0" w:rsidRPr="00D82894" w:rsidRDefault="009C50D0" w:rsidP="00857421">
      <w:pPr>
        <w:widowControl w:val="0"/>
        <w:numPr>
          <w:ilvl w:val="0"/>
          <w:numId w:val="1"/>
        </w:numPr>
        <w:tabs>
          <w:tab w:val="clear" w:pos="1080"/>
          <w:tab w:val="num" w:pos="561"/>
        </w:tabs>
        <w:autoSpaceDE w:val="0"/>
        <w:autoSpaceDN w:val="0"/>
        <w:adjustRightInd w:val="0"/>
        <w:spacing w:line="276" w:lineRule="auto"/>
        <w:ind w:left="0" w:firstLine="0"/>
        <w:jc w:val="center"/>
        <w:rPr>
          <w:rFonts w:ascii="Tahoma" w:hAnsi="Tahoma" w:cs="Tahoma"/>
          <w:b/>
          <w:sz w:val="23"/>
          <w:szCs w:val="23"/>
        </w:rPr>
      </w:pPr>
      <w:r w:rsidRPr="00D82894">
        <w:rPr>
          <w:rFonts w:ascii="Tahoma" w:hAnsi="Tahoma" w:cs="Tahoma"/>
          <w:b/>
          <w:sz w:val="23"/>
          <w:szCs w:val="23"/>
        </w:rPr>
        <w:t>La sentencia de primera instancia</w:t>
      </w:r>
    </w:p>
    <w:p w:rsidR="009C50D0" w:rsidRPr="00D82894" w:rsidRDefault="009C50D0" w:rsidP="00DF0D88">
      <w:pPr>
        <w:pStyle w:val="Sinespaciado"/>
        <w:rPr>
          <w:sz w:val="23"/>
          <w:szCs w:val="23"/>
        </w:rPr>
      </w:pPr>
    </w:p>
    <w:p w:rsidR="006F6471" w:rsidRPr="00D82894" w:rsidRDefault="009C50D0" w:rsidP="00857421">
      <w:pPr>
        <w:tabs>
          <w:tab w:val="left" w:pos="748"/>
        </w:tabs>
        <w:spacing w:line="276" w:lineRule="auto"/>
        <w:jc w:val="both"/>
        <w:rPr>
          <w:rFonts w:ascii="Tahoma" w:hAnsi="Tahoma" w:cs="Tahoma"/>
          <w:sz w:val="23"/>
          <w:szCs w:val="23"/>
        </w:rPr>
      </w:pPr>
      <w:r w:rsidRPr="00D82894">
        <w:rPr>
          <w:rFonts w:ascii="Tahoma" w:hAnsi="Tahoma" w:cs="Tahoma"/>
          <w:sz w:val="23"/>
          <w:szCs w:val="23"/>
        </w:rPr>
        <w:tab/>
        <w:t>La Jueza de conocimiento</w:t>
      </w:r>
      <w:r w:rsidR="00A90700" w:rsidRPr="00D82894">
        <w:rPr>
          <w:rFonts w:ascii="Tahoma" w:hAnsi="Tahoma" w:cs="Tahoma"/>
          <w:sz w:val="23"/>
          <w:szCs w:val="23"/>
        </w:rPr>
        <w:t xml:space="preserve"> </w:t>
      </w:r>
      <w:r w:rsidR="00FF64D0" w:rsidRPr="00D82894">
        <w:rPr>
          <w:rFonts w:ascii="Tahoma" w:hAnsi="Tahoma" w:cs="Tahoma"/>
          <w:sz w:val="23"/>
          <w:szCs w:val="23"/>
        </w:rPr>
        <w:t xml:space="preserve">declaró </w:t>
      </w:r>
      <w:r w:rsidR="00FC7D7C" w:rsidRPr="00D82894">
        <w:rPr>
          <w:rFonts w:ascii="Tahoma" w:hAnsi="Tahoma" w:cs="Tahoma"/>
          <w:sz w:val="23"/>
          <w:szCs w:val="23"/>
        </w:rPr>
        <w:t>que el señor José Jairo Castaño</w:t>
      </w:r>
      <w:r w:rsidR="001F5962" w:rsidRPr="00D82894">
        <w:rPr>
          <w:rFonts w:ascii="Tahoma" w:hAnsi="Tahoma" w:cs="Tahoma"/>
          <w:sz w:val="23"/>
          <w:szCs w:val="23"/>
        </w:rPr>
        <w:t xml:space="preserve"> Rincón</w:t>
      </w:r>
      <w:r w:rsidR="00FC7D7C" w:rsidRPr="00D82894">
        <w:rPr>
          <w:rFonts w:ascii="Tahoma" w:hAnsi="Tahoma" w:cs="Tahoma"/>
          <w:sz w:val="23"/>
          <w:szCs w:val="23"/>
        </w:rPr>
        <w:t xml:space="preserve"> tiene derecho a que se le reconozca y pague la pensión de invalidez</w:t>
      </w:r>
      <w:r w:rsidR="00F51DD2" w:rsidRPr="00D82894">
        <w:rPr>
          <w:rFonts w:ascii="Tahoma" w:hAnsi="Tahoma" w:cs="Tahoma"/>
          <w:sz w:val="23"/>
          <w:szCs w:val="23"/>
        </w:rPr>
        <w:t xml:space="preserve"> </w:t>
      </w:r>
      <w:r w:rsidR="00FC7D7C" w:rsidRPr="00D82894">
        <w:rPr>
          <w:rFonts w:ascii="Tahoma" w:hAnsi="Tahoma" w:cs="Tahoma"/>
          <w:sz w:val="23"/>
          <w:szCs w:val="23"/>
        </w:rPr>
        <w:t>desde el 28 de julio de 2010, fecha de estructuración, hasta que subsistan las causas que le dieron origen</w:t>
      </w:r>
      <w:r w:rsidR="00DF0D88" w:rsidRPr="00D82894">
        <w:rPr>
          <w:rFonts w:ascii="Tahoma" w:hAnsi="Tahoma" w:cs="Tahoma"/>
          <w:sz w:val="23"/>
          <w:szCs w:val="23"/>
        </w:rPr>
        <w:t>,</w:t>
      </w:r>
      <w:r w:rsidR="00FC7D7C" w:rsidRPr="00D82894">
        <w:rPr>
          <w:rFonts w:ascii="Tahoma" w:hAnsi="Tahoma" w:cs="Tahoma"/>
          <w:sz w:val="23"/>
          <w:szCs w:val="23"/>
        </w:rPr>
        <w:t xml:space="preserve"> y en cuantía de un salario mínimo mensual legal vigente</w:t>
      </w:r>
      <w:r w:rsidR="00DF0D88" w:rsidRPr="00D82894">
        <w:rPr>
          <w:rFonts w:ascii="Tahoma" w:hAnsi="Tahoma" w:cs="Tahoma"/>
          <w:sz w:val="23"/>
          <w:szCs w:val="23"/>
        </w:rPr>
        <w:t xml:space="preserve">. En ese sentido, </w:t>
      </w:r>
      <w:r w:rsidR="00FC7D7C" w:rsidRPr="00D82894">
        <w:rPr>
          <w:rFonts w:ascii="Tahoma" w:hAnsi="Tahoma" w:cs="Tahoma"/>
          <w:sz w:val="23"/>
          <w:szCs w:val="23"/>
        </w:rPr>
        <w:t xml:space="preserve">condenó a la Sociedad Administradora de Fondos de Pensiones y Cesantías- Porvenir S.A, al reconocimiento retroactivo </w:t>
      </w:r>
      <w:r w:rsidR="00DF0D88" w:rsidRPr="00D82894">
        <w:rPr>
          <w:rFonts w:ascii="Tahoma" w:hAnsi="Tahoma" w:cs="Tahoma"/>
          <w:sz w:val="23"/>
          <w:szCs w:val="23"/>
        </w:rPr>
        <w:t xml:space="preserve">de dicha prestación </w:t>
      </w:r>
      <w:r w:rsidR="00FC7D7C" w:rsidRPr="00D82894">
        <w:rPr>
          <w:rFonts w:ascii="Tahoma" w:hAnsi="Tahoma" w:cs="Tahoma"/>
          <w:sz w:val="23"/>
          <w:szCs w:val="23"/>
        </w:rPr>
        <w:t xml:space="preserve">desde el 28 de julio de 2010, </w:t>
      </w:r>
      <w:r w:rsidR="005668A7" w:rsidRPr="00D82894">
        <w:rPr>
          <w:rFonts w:ascii="Tahoma" w:hAnsi="Tahoma" w:cs="Tahoma"/>
          <w:sz w:val="23"/>
          <w:szCs w:val="23"/>
        </w:rPr>
        <w:t>incluyendo las mesadas 13 y 14,</w:t>
      </w:r>
      <w:r w:rsidR="00BD3ACC" w:rsidRPr="00D82894">
        <w:rPr>
          <w:rFonts w:ascii="Tahoma" w:hAnsi="Tahoma" w:cs="Tahoma"/>
          <w:sz w:val="23"/>
          <w:szCs w:val="23"/>
        </w:rPr>
        <w:t xml:space="preserve"> así como a pagar los intereses moratorios previstos en el artículo 141 de la ley 100 de 1993 desde el 22 de noviembre de 2012, hasta que se cumpla con el pago total de la obligación y</w:t>
      </w:r>
      <w:r w:rsidR="00DF0D88" w:rsidRPr="00D82894">
        <w:rPr>
          <w:rFonts w:ascii="Tahoma" w:hAnsi="Tahoma" w:cs="Tahoma"/>
          <w:sz w:val="23"/>
          <w:szCs w:val="23"/>
        </w:rPr>
        <w:t>,</w:t>
      </w:r>
      <w:r w:rsidR="00BD3ACC" w:rsidRPr="00D82894">
        <w:rPr>
          <w:rFonts w:ascii="Tahoma" w:hAnsi="Tahoma" w:cs="Tahoma"/>
          <w:sz w:val="23"/>
          <w:szCs w:val="23"/>
        </w:rPr>
        <w:t xml:space="preserve"> las costas procesales.</w:t>
      </w:r>
    </w:p>
    <w:p w:rsidR="00FC7D7C" w:rsidRPr="00D82894" w:rsidRDefault="00FC7D7C" w:rsidP="005668A7">
      <w:pPr>
        <w:pStyle w:val="Sinespaciado"/>
        <w:rPr>
          <w:sz w:val="23"/>
          <w:szCs w:val="23"/>
        </w:rPr>
      </w:pPr>
    </w:p>
    <w:p w:rsidR="005E0E24" w:rsidRPr="00D82894" w:rsidRDefault="006F6471" w:rsidP="00857421">
      <w:pPr>
        <w:tabs>
          <w:tab w:val="left" w:pos="748"/>
        </w:tabs>
        <w:spacing w:line="276" w:lineRule="auto"/>
        <w:jc w:val="both"/>
        <w:rPr>
          <w:rFonts w:ascii="Tahoma" w:hAnsi="Tahoma" w:cs="Tahoma"/>
          <w:sz w:val="23"/>
          <w:szCs w:val="23"/>
        </w:rPr>
      </w:pPr>
      <w:r w:rsidRPr="00D82894">
        <w:rPr>
          <w:rFonts w:ascii="Tahoma" w:hAnsi="Tahoma" w:cs="Tahoma"/>
          <w:sz w:val="23"/>
          <w:szCs w:val="23"/>
        </w:rPr>
        <w:tab/>
      </w:r>
      <w:r w:rsidR="001847C0" w:rsidRPr="00D82894">
        <w:rPr>
          <w:rFonts w:ascii="Tahoma" w:hAnsi="Tahoma" w:cs="Tahoma"/>
          <w:sz w:val="23"/>
          <w:szCs w:val="23"/>
        </w:rPr>
        <w:t>P</w:t>
      </w:r>
      <w:r w:rsidR="00574DF8" w:rsidRPr="00D82894">
        <w:rPr>
          <w:rFonts w:ascii="Tahoma" w:hAnsi="Tahoma" w:cs="Tahoma"/>
          <w:sz w:val="23"/>
          <w:szCs w:val="23"/>
        </w:rPr>
        <w:t>ara llegar a tal determinación la A-quo consideró, en síntesis, que</w:t>
      </w:r>
      <w:r w:rsidR="00074D71" w:rsidRPr="00D82894">
        <w:rPr>
          <w:rFonts w:ascii="Tahoma" w:hAnsi="Tahoma" w:cs="Tahoma"/>
          <w:sz w:val="23"/>
          <w:szCs w:val="23"/>
        </w:rPr>
        <w:t xml:space="preserve"> </w:t>
      </w:r>
      <w:r w:rsidR="005668A7" w:rsidRPr="00D82894">
        <w:rPr>
          <w:rFonts w:ascii="Tahoma" w:hAnsi="Tahoma" w:cs="Tahoma"/>
          <w:sz w:val="23"/>
          <w:szCs w:val="23"/>
        </w:rPr>
        <w:t>a las 39 semanas reconocidas por Porvenir S.A. en los 3 años anteriores a la estructuración de la invalidez debían sumarse las 21.86 plasmadas en l</w:t>
      </w:r>
      <w:r w:rsidR="00074D71" w:rsidRPr="00D82894">
        <w:rPr>
          <w:rFonts w:ascii="Tahoma" w:hAnsi="Tahoma" w:cs="Tahoma"/>
          <w:sz w:val="23"/>
          <w:szCs w:val="23"/>
        </w:rPr>
        <w:t xml:space="preserve">os comprobantes de pago allegados por el </w:t>
      </w:r>
      <w:r w:rsidR="005668A7" w:rsidRPr="00D82894">
        <w:rPr>
          <w:rFonts w:ascii="Tahoma" w:hAnsi="Tahoma" w:cs="Tahoma"/>
          <w:sz w:val="23"/>
          <w:szCs w:val="23"/>
        </w:rPr>
        <w:t xml:space="preserve">Municipio </w:t>
      </w:r>
      <w:r w:rsidR="00074D71" w:rsidRPr="00D82894">
        <w:rPr>
          <w:rFonts w:ascii="Tahoma" w:hAnsi="Tahoma" w:cs="Tahoma"/>
          <w:sz w:val="23"/>
          <w:szCs w:val="23"/>
        </w:rPr>
        <w:t>de Pereira</w:t>
      </w:r>
      <w:r w:rsidR="005668A7" w:rsidRPr="00D82894">
        <w:rPr>
          <w:rFonts w:ascii="Tahoma" w:hAnsi="Tahoma" w:cs="Tahoma"/>
          <w:sz w:val="23"/>
          <w:szCs w:val="23"/>
        </w:rPr>
        <w:t xml:space="preserve"> en ese mismo lapso</w:t>
      </w:r>
      <w:r w:rsidR="005668A7" w:rsidRPr="00D82894">
        <w:rPr>
          <w:rFonts w:ascii="Tahoma" w:hAnsi="Tahoma" w:cs="Tahoma"/>
          <w:i/>
          <w:sz w:val="23"/>
          <w:szCs w:val="23"/>
        </w:rPr>
        <w:t xml:space="preserve">-con ocasión de los </w:t>
      </w:r>
      <w:r w:rsidR="00074D71" w:rsidRPr="00D82894">
        <w:rPr>
          <w:rFonts w:ascii="Tahoma" w:hAnsi="Tahoma" w:cs="Tahoma"/>
          <w:i/>
          <w:sz w:val="23"/>
          <w:szCs w:val="23"/>
        </w:rPr>
        <w:t>contratos de prestación de servicios que uni</w:t>
      </w:r>
      <w:r w:rsidR="005668A7" w:rsidRPr="00D82894">
        <w:rPr>
          <w:rFonts w:ascii="Tahoma" w:hAnsi="Tahoma" w:cs="Tahoma"/>
          <w:i/>
          <w:sz w:val="23"/>
          <w:szCs w:val="23"/>
        </w:rPr>
        <w:t xml:space="preserve">eron </w:t>
      </w:r>
      <w:r w:rsidR="00074D71" w:rsidRPr="00D82894">
        <w:rPr>
          <w:rFonts w:ascii="Tahoma" w:hAnsi="Tahoma" w:cs="Tahoma"/>
          <w:i/>
          <w:sz w:val="23"/>
          <w:szCs w:val="23"/>
        </w:rPr>
        <w:t>al demandante con ese ente territorial</w:t>
      </w:r>
      <w:r w:rsidR="005668A7" w:rsidRPr="00D82894">
        <w:rPr>
          <w:rFonts w:ascii="Tahoma" w:hAnsi="Tahoma" w:cs="Tahoma"/>
          <w:i/>
          <w:sz w:val="23"/>
          <w:szCs w:val="23"/>
        </w:rPr>
        <w:t>-</w:t>
      </w:r>
      <w:r w:rsidR="00074D71" w:rsidRPr="00D82894">
        <w:rPr>
          <w:rFonts w:ascii="Tahoma" w:hAnsi="Tahoma" w:cs="Tahoma"/>
          <w:sz w:val="23"/>
          <w:szCs w:val="23"/>
        </w:rPr>
        <w:t xml:space="preserve">, </w:t>
      </w:r>
      <w:r w:rsidR="005668A7" w:rsidRPr="00D82894">
        <w:rPr>
          <w:rFonts w:ascii="Tahoma" w:hAnsi="Tahoma" w:cs="Tahoma"/>
          <w:sz w:val="23"/>
          <w:szCs w:val="23"/>
        </w:rPr>
        <w:t xml:space="preserve">obteniendo un total de </w:t>
      </w:r>
      <w:r w:rsidR="00074D71" w:rsidRPr="00D82894">
        <w:rPr>
          <w:rFonts w:ascii="Tahoma" w:hAnsi="Tahoma" w:cs="Tahoma"/>
          <w:sz w:val="23"/>
          <w:szCs w:val="23"/>
        </w:rPr>
        <w:t xml:space="preserve">60.86 semanas, </w:t>
      </w:r>
      <w:r w:rsidR="005668A7" w:rsidRPr="00D82894">
        <w:rPr>
          <w:rFonts w:ascii="Tahoma" w:hAnsi="Tahoma" w:cs="Tahoma"/>
          <w:sz w:val="23"/>
          <w:szCs w:val="23"/>
        </w:rPr>
        <w:t xml:space="preserve">con </w:t>
      </w:r>
      <w:r w:rsidR="00074D71" w:rsidRPr="00D82894">
        <w:rPr>
          <w:rFonts w:ascii="Tahoma" w:hAnsi="Tahoma" w:cs="Tahoma"/>
          <w:sz w:val="23"/>
          <w:szCs w:val="23"/>
        </w:rPr>
        <w:t>las cuales s</w:t>
      </w:r>
      <w:r w:rsidR="005668A7" w:rsidRPr="00D82894">
        <w:rPr>
          <w:rFonts w:ascii="Tahoma" w:hAnsi="Tahoma" w:cs="Tahoma"/>
          <w:sz w:val="23"/>
          <w:szCs w:val="23"/>
        </w:rPr>
        <w:t xml:space="preserve">upera </w:t>
      </w:r>
      <w:r w:rsidR="00074D71" w:rsidRPr="00D82894">
        <w:rPr>
          <w:rFonts w:ascii="Tahoma" w:hAnsi="Tahoma" w:cs="Tahoma"/>
          <w:sz w:val="23"/>
          <w:szCs w:val="23"/>
        </w:rPr>
        <w:t xml:space="preserve">el requisito </w:t>
      </w:r>
      <w:r w:rsidR="00E019F9" w:rsidRPr="00D82894">
        <w:rPr>
          <w:rFonts w:ascii="Tahoma" w:hAnsi="Tahoma" w:cs="Tahoma"/>
          <w:sz w:val="23"/>
          <w:szCs w:val="23"/>
        </w:rPr>
        <w:t xml:space="preserve">de 50 semanas </w:t>
      </w:r>
      <w:r w:rsidR="00074D71" w:rsidRPr="00D82894">
        <w:rPr>
          <w:rFonts w:ascii="Tahoma" w:hAnsi="Tahoma" w:cs="Tahoma"/>
          <w:sz w:val="23"/>
          <w:szCs w:val="23"/>
        </w:rPr>
        <w:t xml:space="preserve">establecido en la </w:t>
      </w:r>
      <w:r w:rsidR="005668A7" w:rsidRPr="00D82894">
        <w:rPr>
          <w:rFonts w:ascii="Tahoma" w:hAnsi="Tahoma" w:cs="Tahoma"/>
          <w:sz w:val="23"/>
          <w:szCs w:val="23"/>
        </w:rPr>
        <w:t xml:space="preserve">Ley </w:t>
      </w:r>
      <w:r w:rsidR="00074D71" w:rsidRPr="00D82894">
        <w:rPr>
          <w:rFonts w:ascii="Tahoma" w:hAnsi="Tahoma" w:cs="Tahoma"/>
          <w:sz w:val="23"/>
          <w:szCs w:val="23"/>
        </w:rPr>
        <w:t xml:space="preserve">100 de 1993, modificada por la </w:t>
      </w:r>
      <w:r w:rsidR="00E019F9" w:rsidRPr="00D82894">
        <w:rPr>
          <w:rFonts w:ascii="Tahoma" w:hAnsi="Tahoma" w:cs="Tahoma"/>
          <w:sz w:val="23"/>
          <w:szCs w:val="23"/>
        </w:rPr>
        <w:t xml:space="preserve">Ley </w:t>
      </w:r>
      <w:r w:rsidR="00074D71" w:rsidRPr="00D82894">
        <w:rPr>
          <w:rFonts w:ascii="Tahoma" w:hAnsi="Tahoma" w:cs="Tahoma"/>
          <w:sz w:val="23"/>
          <w:szCs w:val="23"/>
        </w:rPr>
        <w:t>860 de 2003</w:t>
      </w:r>
      <w:r w:rsidR="00E019F9" w:rsidRPr="00D82894">
        <w:rPr>
          <w:rFonts w:ascii="Tahoma" w:hAnsi="Tahoma" w:cs="Tahoma"/>
          <w:sz w:val="23"/>
          <w:szCs w:val="23"/>
        </w:rPr>
        <w:t xml:space="preserve">, sin que hubiera </w:t>
      </w:r>
      <w:r w:rsidR="00074D71" w:rsidRPr="00D82894">
        <w:rPr>
          <w:rFonts w:ascii="Tahoma" w:hAnsi="Tahoma" w:cs="Tahoma"/>
          <w:sz w:val="23"/>
          <w:szCs w:val="23"/>
        </w:rPr>
        <w:t>motivo</w:t>
      </w:r>
      <w:r w:rsidR="00E045A2" w:rsidRPr="00D82894">
        <w:rPr>
          <w:rFonts w:ascii="Tahoma" w:hAnsi="Tahoma" w:cs="Tahoma"/>
          <w:sz w:val="23"/>
          <w:szCs w:val="23"/>
        </w:rPr>
        <w:t xml:space="preserve"> para que</w:t>
      </w:r>
      <w:r w:rsidR="00074D71" w:rsidRPr="00D82894">
        <w:rPr>
          <w:rFonts w:ascii="Tahoma" w:hAnsi="Tahoma" w:cs="Tahoma"/>
          <w:sz w:val="23"/>
          <w:szCs w:val="23"/>
        </w:rPr>
        <w:t xml:space="preserve"> Porvenir no hubiera computado los periodos reseñados</w:t>
      </w:r>
      <w:r w:rsidR="00E019F9" w:rsidRPr="00D82894">
        <w:rPr>
          <w:rFonts w:ascii="Tahoma" w:hAnsi="Tahoma" w:cs="Tahoma"/>
          <w:sz w:val="23"/>
          <w:szCs w:val="23"/>
        </w:rPr>
        <w:t>.</w:t>
      </w:r>
    </w:p>
    <w:p w:rsidR="002E4876" w:rsidRPr="00D82894" w:rsidRDefault="002E4876" w:rsidP="00D11B76">
      <w:pPr>
        <w:pStyle w:val="Sinespaciado"/>
        <w:rPr>
          <w:sz w:val="23"/>
          <w:szCs w:val="23"/>
        </w:rPr>
      </w:pPr>
    </w:p>
    <w:p w:rsidR="002E4876" w:rsidRPr="00D82894" w:rsidRDefault="002E4876" w:rsidP="00857421">
      <w:pPr>
        <w:tabs>
          <w:tab w:val="left" w:pos="748"/>
        </w:tabs>
        <w:spacing w:line="276" w:lineRule="auto"/>
        <w:jc w:val="both"/>
        <w:rPr>
          <w:rFonts w:ascii="Tahoma" w:hAnsi="Tahoma" w:cs="Tahoma"/>
          <w:sz w:val="23"/>
          <w:szCs w:val="23"/>
        </w:rPr>
      </w:pPr>
      <w:r w:rsidRPr="00D82894">
        <w:rPr>
          <w:rFonts w:ascii="Tahoma" w:hAnsi="Tahoma" w:cs="Tahoma"/>
          <w:sz w:val="23"/>
          <w:szCs w:val="23"/>
        </w:rPr>
        <w:tab/>
        <w:t>Por último indicó que</w:t>
      </w:r>
      <w:r w:rsidR="00E019F9" w:rsidRPr="00D82894">
        <w:rPr>
          <w:rFonts w:ascii="Tahoma" w:hAnsi="Tahoma" w:cs="Tahoma"/>
          <w:sz w:val="23"/>
          <w:szCs w:val="23"/>
        </w:rPr>
        <w:t xml:space="preserve"> si en gracia de discusión </w:t>
      </w:r>
      <w:r w:rsidR="007C716D" w:rsidRPr="00D82894">
        <w:rPr>
          <w:rFonts w:ascii="Tahoma" w:hAnsi="Tahoma" w:cs="Tahoma"/>
          <w:sz w:val="23"/>
          <w:szCs w:val="23"/>
        </w:rPr>
        <w:t xml:space="preserve">no se tuvieran en cuenta las semanas certificadas por </w:t>
      </w:r>
      <w:r w:rsidR="00E019F9" w:rsidRPr="00D82894">
        <w:rPr>
          <w:rFonts w:ascii="Tahoma" w:hAnsi="Tahoma" w:cs="Tahoma"/>
          <w:sz w:val="23"/>
          <w:szCs w:val="23"/>
        </w:rPr>
        <w:t>el Municipio de</w:t>
      </w:r>
      <w:r w:rsidR="007C716D" w:rsidRPr="00D82894">
        <w:rPr>
          <w:rFonts w:ascii="Tahoma" w:hAnsi="Tahoma" w:cs="Tahoma"/>
          <w:sz w:val="23"/>
          <w:szCs w:val="23"/>
        </w:rPr>
        <w:t xml:space="preserve"> Pereira</w:t>
      </w:r>
      <w:r w:rsidR="003F5D97" w:rsidRPr="00D82894">
        <w:rPr>
          <w:rFonts w:ascii="Tahoma" w:hAnsi="Tahoma" w:cs="Tahoma"/>
          <w:sz w:val="23"/>
          <w:szCs w:val="23"/>
        </w:rPr>
        <w:t xml:space="preserve">, en aplicación de la condición </w:t>
      </w:r>
      <w:r w:rsidR="00E019F9" w:rsidRPr="00D82894">
        <w:rPr>
          <w:rFonts w:ascii="Tahoma" w:hAnsi="Tahoma" w:cs="Tahoma"/>
          <w:sz w:val="23"/>
          <w:szCs w:val="23"/>
        </w:rPr>
        <w:t xml:space="preserve">más beneficiosa podría remitirse al contenido del artículo 46 de la Ley 100 original, respecto del cual </w:t>
      </w:r>
      <w:r w:rsidR="007C716D" w:rsidRPr="00D82894">
        <w:rPr>
          <w:rFonts w:ascii="Tahoma" w:hAnsi="Tahoma" w:cs="Tahoma"/>
          <w:sz w:val="23"/>
          <w:szCs w:val="23"/>
        </w:rPr>
        <w:t>el actor</w:t>
      </w:r>
      <w:r w:rsidR="003F5D97" w:rsidRPr="00D82894">
        <w:rPr>
          <w:rFonts w:ascii="Tahoma" w:hAnsi="Tahoma" w:cs="Tahoma"/>
          <w:sz w:val="23"/>
          <w:szCs w:val="23"/>
        </w:rPr>
        <w:t xml:space="preserve"> </w:t>
      </w:r>
      <w:r w:rsidR="00E019F9" w:rsidRPr="00D82894">
        <w:rPr>
          <w:rFonts w:ascii="Tahoma" w:hAnsi="Tahoma" w:cs="Tahoma"/>
          <w:sz w:val="23"/>
          <w:szCs w:val="23"/>
        </w:rPr>
        <w:t xml:space="preserve">también </w:t>
      </w:r>
      <w:r w:rsidR="003F5D97" w:rsidRPr="00D82894">
        <w:rPr>
          <w:rFonts w:ascii="Tahoma" w:hAnsi="Tahoma" w:cs="Tahoma"/>
          <w:sz w:val="23"/>
          <w:szCs w:val="23"/>
        </w:rPr>
        <w:t xml:space="preserve">cumple los requisitos, </w:t>
      </w:r>
      <w:r w:rsidR="00E019F9" w:rsidRPr="00D82894">
        <w:rPr>
          <w:rFonts w:ascii="Tahoma" w:hAnsi="Tahoma" w:cs="Tahoma"/>
          <w:sz w:val="23"/>
          <w:szCs w:val="23"/>
        </w:rPr>
        <w:t>y que</w:t>
      </w:r>
      <w:r w:rsidR="00A35343" w:rsidRPr="00D82894">
        <w:rPr>
          <w:rFonts w:ascii="Tahoma" w:hAnsi="Tahoma" w:cs="Tahoma"/>
          <w:sz w:val="23"/>
          <w:szCs w:val="23"/>
        </w:rPr>
        <w:t xml:space="preserve"> también fue citada por </w:t>
      </w:r>
      <w:r w:rsidR="00E019F9" w:rsidRPr="00D82894">
        <w:rPr>
          <w:rFonts w:ascii="Tahoma" w:hAnsi="Tahoma" w:cs="Tahoma"/>
          <w:sz w:val="23"/>
          <w:szCs w:val="23"/>
        </w:rPr>
        <w:t>é</w:t>
      </w:r>
      <w:r w:rsidR="00A35343" w:rsidRPr="00D82894">
        <w:rPr>
          <w:rFonts w:ascii="Tahoma" w:hAnsi="Tahoma" w:cs="Tahoma"/>
          <w:sz w:val="23"/>
          <w:szCs w:val="23"/>
        </w:rPr>
        <w:t xml:space="preserve">l </w:t>
      </w:r>
      <w:r w:rsidR="00E019F9" w:rsidRPr="00D82894">
        <w:rPr>
          <w:rFonts w:ascii="Tahoma" w:hAnsi="Tahoma" w:cs="Tahoma"/>
          <w:sz w:val="23"/>
          <w:szCs w:val="23"/>
        </w:rPr>
        <w:t>en la demanda</w:t>
      </w:r>
      <w:r w:rsidR="00A35343" w:rsidRPr="00D82894">
        <w:rPr>
          <w:rFonts w:ascii="Tahoma" w:hAnsi="Tahoma" w:cs="Tahoma"/>
          <w:sz w:val="23"/>
          <w:szCs w:val="23"/>
        </w:rPr>
        <w:t>.</w:t>
      </w:r>
    </w:p>
    <w:p w:rsidR="007C716D" w:rsidRPr="00D82894" w:rsidRDefault="007C716D" w:rsidP="00B70F9E">
      <w:pPr>
        <w:pStyle w:val="Sinespaciado"/>
        <w:rPr>
          <w:sz w:val="23"/>
          <w:szCs w:val="23"/>
        </w:rPr>
      </w:pPr>
    </w:p>
    <w:p w:rsidR="007C716D" w:rsidRPr="00D82894" w:rsidRDefault="00E045A2" w:rsidP="007C716D">
      <w:pPr>
        <w:tabs>
          <w:tab w:val="left" w:pos="748"/>
        </w:tabs>
        <w:spacing w:line="276" w:lineRule="auto"/>
        <w:ind w:firstLine="709"/>
        <w:jc w:val="both"/>
        <w:rPr>
          <w:rFonts w:ascii="Tahoma" w:hAnsi="Tahoma" w:cs="Tahoma"/>
          <w:sz w:val="23"/>
          <w:szCs w:val="23"/>
        </w:rPr>
      </w:pPr>
      <w:r w:rsidRPr="00D82894">
        <w:rPr>
          <w:rFonts w:ascii="Tahoma" w:hAnsi="Tahoma" w:cs="Tahoma"/>
          <w:sz w:val="23"/>
          <w:szCs w:val="23"/>
        </w:rPr>
        <w:t xml:space="preserve">En consecuencia, concluyó que </w:t>
      </w:r>
      <w:r w:rsidR="007C716D" w:rsidRPr="00D82894">
        <w:rPr>
          <w:rFonts w:ascii="Tahoma" w:hAnsi="Tahoma" w:cs="Tahoma"/>
          <w:sz w:val="23"/>
          <w:szCs w:val="23"/>
        </w:rPr>
        <w:t xml:space="preserve">debe pagarse la </w:t>
      </w:r>
      <w:r w:rsidR="00C72735" w:rsidRPr="00D82894">
        <w:rPr>
          <w:rFonts w:ascii="Tahoma" w:hAnsi="Tahoma" w:cs="Tahoma"/>
          <w:sz w:val="23"/>
          <w:szCs w:val="23"/>
        </w:rPr>
        <w:t xml:space="preserve">prestación </w:t>
      </w:r>
      <w:r w:rsidR="007C716D" w:rsidRPr="00D82894">
        <w:rPr>
          <w:rFonts w:ascii="Tahoma" w:hAnsi="Tahoma" w:cs="Tahoma"/>
          <w:sz w:val="23"/>
          <w:szCs w:val="23"/>
        </w:rPr>
        <w:t>retroactivamente</w:t>
      </w:r>
      <w:r w:rsidR="00C72735" w:rsidRPr="00D82894">
        <w:rPr>
          <w:rFonts w:ascii="Tahoma" w:hAnsi="Tahoma" w:cs="Tahoma"/>
          <w:sz w:val="23"/>
          <w:szCs w:val="23"/>
        </w:rPr>
        <w:t xml:space="preserve"> desde la fecha en que se produjo la invalidez, 28 de julio de 2010</w:t>
      </w:r>
      <w:r w:rsidR="00B70F9E" w:rsidRPr="00D82894">
        <w:rPr>
          <w:rFonts w:ascii="Tahoma" w:hAnsi="Tahoma" w:cs="Tahoma"/>
          <w:sz w:val="23"/>
          <w:szCs w:val="23"/>
        </w:rPr>
        <w:t xml:space="preserve"> y</w:t>
      </w:r>
      <w:r w:rsidR="00C72735" w:rsidRPr="00D82894">
        <w:rPr>
          <w:rFonts w:ascii="Tahoma" w:hAnsi="Tahoma" w:cs="Tahoma"/>
          <w:sz w:val="23"/>
          <w:szCs w:val="23"/>
        </w:rPr>
        <w:t xml:space="preserve"> </w:t>
      </w:r>
      <w:r w:rsidR="007C716D" w:rsidRPr="00D82894">
        <w:rPr>
          <w:rFonts w:ascii="Tahoma" w:hAnsi="Tahoma" w:cs="Tahoma"/>
          <w:sz w:val="23"/>
          <w:szCs w:val="23"/>
        </w:rPr>
        <w:t>por 14 mesadas anuales por haberse causado el derecho con anterioridad al 31 de julio de 2011</w:t>
      </w:r>
      <w:r w:rsidR="00B70F9E" w:rsidRPr="00D82894">
        <w:rPr>
          <w:rFonts w:ascii="Tahoma" w:hAnsi="Tahoma" w:cs="Tahoma"/>
          <w:sz w:val="23"/>
          <w:szCs w:val="23"/>
        </w:rPr>
        <w:t>;</w:t>
      </w:r>
      <w:r w:rsidR="00C72735" w:rsidRPr="00D82894">
        <w:rPr>
          <w:rFonts w:ascii="Tahoma" w:hAnsi="Tahoma" w:cs="Tahoma"/>
          <w:sz w:val="23"/>
          <w:szCs w:val="23"/>
        </w:rPr>
        <w:t xml:space="preserve"> sin que hubiera prescrito </w:t>
      </w:r>
      <w:r w:rsidR="00B70F9E" w:rsidRPr="00D82894">
        <w:rPr>
          <w:rFonts w:ascii="Tahoma" w:hAnsi="Tahoma" w:cs="Tahoma"/>
          <w:sz w:val="23"/>
          <w:szCs w:val="23"/>
        </w:rPr>
        <w:t>mesada alguna</w:t>
      </w:r>
      <w:r w:rsidR="00C72735" w:rsidRPr="00D82894">
        <w:rPr>
          <w:rFonts w:ascii="Tahoma" w:hAnsi="Tahoma" w:cs="Tahoma"/>
          <w:sz w:val="23"/>
          <w:szCs w:val="23"/>
        </w:rPr>
        <w:t>, por cuanto el primer dictamen emitido data del 26 de enero de 2012. Por otra parte</w:t>
      </w:r>
      <w:r w:rsidR="00B70F9E" w:rsidRPr="00D82894">
        <w:rPr>
          <w:rFonts w:ascii="Tahoma" w:hAnsi="Tahoma" w:cs="Tahoma"/>
          <w:sz w:val="23"/>
          <w:szCs w:val="23"/>
        </w:rPr>
        <w:t>, señaló que los intereses moratorios corrían</w:t>
      </w:r>
      <w:r w:rsidR="00C72735" w:rsidRPr="00D82894">
        <w:rPr>
          <w:rFonts w:ascii="Tahoma" w:hAnsi="Tahoma" w:cs="Tahoma"/>
          <w:sz w:val="23"/>
          <w:szCs w:val="23"/>
        </w:rPr>
        <w:t xml:space="preserve"> desde el 22 de noviembre de 2012, cuando venció el término de </w:t>
      </w:r>
      <w:r w:rsidR="00B70F9E" w:rsidRPr="00D82894">
        <w:rPr>
          <w:rFonts w:ascii="Tahoma" w:hAnsi="Tahoma" w:cs="Tahoma"/>
          <w:sz w:val="23"/>
          <w:szCs w:val="23"/>
        </w:rPr>
        <w:t>6</w:t>
      </w:r>
      <w:r w:rsidR="00C72735" w:rsidRPr="00D82894">
        <w:rPr>
          <w:rFonts w:ascii="Tahoma" w:hAnsi="Tahoma" w:cs="Tahoma"/>
          <w:sz w:val="23"/>
          <w:szCs w:val="23"/>
        </w:rPr>
        <w:t xml:space="preserve"> meses con los que contaba Porvenir para </w:t>
      </w:r>
      <w:r w:rsidR="00B70F9E" w:rsidRPr="00D82894">
        <w:rPr>
          <w:rFonts w:ascii="Tahoma" w:hAnsi="Tahoma" w:cs="Tahoma"/>
          <w:sz w:val="23"/>
          <w:szCs w:val="23"/>
        </w:rPr>
        <w:t>reconocer y pagar el derecho</w:t>
      </w:r>
      <w:r w:rsidR="00C72735" w:rsidRPr="00D82894">
        <w:rPr>
          <w:rFonts w:ascii="Tahoma" w:hAnsi="Tahoma" w:cs="Tahoma"/>
          <w:sz w:val="23"/>
          <w:szCs w:val="23"/>
        </w:rPr>
        <w:t>.</w:t>
      </w:r>
    </w:p>
    <w:p w:rsidR="002B0775" w:rsidRPr="00D82894" w:rsidRDefault="00F648F0" w:rsidP="00B70F9E">
      <w:pPr>
        <w:pStyle w:val="Sinespaciado"/>
        <w:rPr>
          <w:sz w:val="23"/>
          <w:szCs w:val="23"/>
        </w:rPr>
      </w:pPr>
      <w:r w:rsidRPr="00D82894">
        <w:rPr>
          <w:sz w:val="23"/>
          <w:szCs w:val="23"/>
        </w:rPr>
        <w:tab/>
      </w:r>
    </w:p>
    <w:p w:rsidR="009C50D0" w:rsidRPr="00D82894" w:rsidRDefault="00024DB6" w:rsidP="0085742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3"/>
          <w:szCs w:val="23"/>
        </w:rPr>
      </w:pPr>
      <w:r w:rsidRPr="00D82894">
        <w:rPr>
          <w:rFonts w:ascii="Tahoma" w:hAnsi="Tahoma" w:cs="Tahoma"/>
          <w:b/>
          <w:sz w:val="23"/>
          <w:szCs w:val="23"/>
        </w:rPr>
        <w:t>Recurso de Apelación</w:t>
      </w:r>
      <w:r w:rsidR="00AA2CFC" w:rsidRPr="00D82894">
        <w:rPr>
          <w:rFonts w:ascii="Tahoma" w:hAnsi="Tahoma" w:cs="Tahoma"/>
          <w:b/>
          <w:sz w:val="23"/>
          <w:szCs w:val="23"/>
        </w:rPr>
        <w:t xml:space="preserve"> </w:t>
      </w:r>
    </w:p>
    <w:p w:rsidR="009C50D0" w:rsidRPr="00D82894" w:rsidRDefault="009C50D0" w:rsidP="001F5962">
      <w:pPr>
        <w:pStyle w:val="Sinespaciado"/>
        <w:rPr>
          <w:sz w:val="23"/>
          <w:szCs w:val="23"/>
        </w:rPr>
      </w:pPr>
    </w:p>
    <w:p w:rsidR="002E4876" w:rsidRPr="00D82894" w:rsidRDefault="0078690A" w:rsidP="00857421">
      <w:pPr>
        <w:pStyle w:val="Sangradetextonormal"/>
        <w:spacing w:line="276" w:lineRule="auto"/>
        <w:ind w:firstLine="561"/>
        <w:rPr>
          <w:sz w:val="23"/>
          <w:szCs w:val="23"/>
        </w:rPr>
      </w:pPr>
      <w:r w:rsidRPr="00D82894">
        <w:rPr>
          <w:sz w:val="23"/>
          <w:szCs w:val="23"/>
        </w:rPr>
        <w:t>El apoderado de la entida</w:t>
      </w:r>
      <w:r w:rsidR="009F3C74" w:rsidRPr="00D82894">
        <w:rPr>
          <w:sz w:val="23"/>
          <w:szCs w:val="23"/>
        </w:rPr>
        <w:t xml:space="preserve">d demandada fundó su alzada </w:t>
      </w:r>
      <w:r w:rsidR="005A2E2F" w:rsidRPr="00D82894">
        <w:rPr>
          <w:sz w:val="23"/>
          <w:szCs w:val="23"/>
        </w:rPr>
        <w:t>bajo el argumento</w:t>
      </w:r>
      <w:r w:rsidR="00B70F9E" w:rsidRPr="00D82894">
        <w:rPr>
          <w:sz w:val="23"/>
          <w:szCs w:val="23"/>
        </w:rPr>
        <w:t xml:space="preserve"> de</w:t>
      </w:r>
      <w:r w:rsidR="005A2E2F" w:rsidRPr="00D82894">
        <w:rPr>
          <w:sz w:val="23"/>
          <w:szCs w:val="23"/>
        </w:rPr>
        <w:t xml:space="preserve"> que</w:t>
      </w:r>
      <w:r w:rsidRPr="00D82894">
        <w:rPr>
          <w:sz w:val="23"/>
          <w:szCs w:val="23"/>
        </w:rPr>
        <w:t xml:space="preserve"> </w:t>
      </w:r>
      <w:r w:rsidR="00041AF5" w:rsidRPr="00D82894">
        <w:rPr>
          <w:sz w:val="23"/>
          <w:szCs w:val="23"/>
        </w:rPr>
        <w:t xml:space="preserve">los documentos mediante los cuales se probaron los aportes echados de menos por el actor, y </w:t>
      </w:r>
      <w:r w:rsidR="00B70F9E" w:rsidRPr="00D82894">
        <w:rPr>
          <w:sz w:val="23"/>
          <w:szCs w:val="23"/>
        </w:rPr>
        <w:t xml:space="preserve">por los cuales dicha </w:t>
      </w:r>
      <w:r w:rsidR="00041AF5" w:rsidRPr="00D82894">
        <w:rPr>
          <w:sz w:val="23"/>
          <w:szCs w:val="23"/>
        </w:rPr>
        <w:t xml:space="preserve">administradora en su momento negó la prestación, fueron allegados tan solo </w:t>
      </w:r>
      <w:r w:rsidR="00F952DE" w:rsidRPr="00D82894">
        <w:rPr>
          <w:sz w:val="23"/>
          <w:szCs w:val="23"/>
        </w:rPr>
        <w:t xml:space="preserve">en la etapa final del trámite de primera instancia, </w:t>
      </w:r>
      <w:r w:rsidR="00B70F9E" w:rsidRPr="00D82894">
        <w:rPr>
          <w:sz w:val="23"/>
          <w:szCs w:val="23"/>
        </w:rPr>
        <w:t xml:space="preserve">por lo que al no conocerlos en el momento de la reclamación negó el derecho </w:t>
      </w:r>
      <w:r w:rsidR="003B0B03" w:rsidRPr="00D82894">
        <w:rPr>
          <w:sz w:val="23"/>
          <w:szCs w:val="23"/>
        </w:rPr>
        <w:t>bajo una convicción errada pero invencible,</w:t>
      </w:r>
      <w:r w:rsidR="00B70F9E" w:rsidRPr="00D82894">
        <w:rPr>
          <w:sz w:val="23"/>
          <w:szCs w:val="23"/>
        </w:rPr>
        <w:t xml:space="preserve"> que pudo evitarse por parte del promotor del litigio</w:t>
      </w:r>
      <w:r w:rsidR="00F952DE" w:rsidRPr="00D82894">
        <w:rPr>
          <w:sz w:val="23"/>
          <w:szCs w:val="23"/>
        </w:rPr>
        <w:t>.</w:t>
      </w:r>
    </w:p>
    <w:p w:rsidR="00321D9C" w:rsidRPr="00D82894" w:rsidRDefault="00321D9C" w:rsidP="001F5962">
      <w:pPr>
        <w:pStyle w:val="Sinespaciado"/>
        <w:rPr>
          <w:sz w:val="23"/>
          <w:szCs w:val="23"/>
        </w:rPr>
      </w:pPr>
    </w:p>
    <w:p w:rsidR="00321D9C" w:rsidRPr="00D82894" w:rsidRDefault="005A2E2F" w:rsidP="00857421">
      <w:pPr>
        <w:pStyle w:val="Sangradetextonormal"/>
        <w:spacing w:line="276" w:lineRule="auto"/>
        <w:ind w:firstLine="561"/>
        <w:rPr>
          <w:sz w:val="23"/>
          <w:szCs w:val="23"/>
        </w:rPr>
      </w:pPr>
      <w:r w:rsidRPr="00D82894">
        <w:rPr>
          <w:sz w:val="23"/>
          <w:szCs w:val="23"/>
        </w:rPr>
        <w:t>Finalmente</w:t>
      </w:r>
      <w:r w:rsidR="00EC037E" w:rsidRPr="00D82894">
        <w:rPr>
          <w:sz w:val="23"/>
          <w:szCs w:val="23"/>
        </w:rPr>
        <w:t>,</w:t>
      </w:r>
      <w:r w:rsidRPr="00D82894">
        <w:rPr>
          <w:sz w:val="23"/>
          <w:szCs w:val="23"/>
        </w:rPr>
        <w:t xml:space="preserve"> arguyó que </w:t>
      </w:r>
      <w:r w:rsidR="00EC037E" w:rsidRPr="00D82894">
        <w:rPr>
          <w:sz w:val="23"/>
          <w:szCs w:val="23"/>
        </w:rPr>
        <w:t xml:space="preserve">los aludidos </w:t>
      </w:r>
      <w:r w:rsidRPr="00D82894">
        <w:rPr>
          <w:sz w:val="23"/>
          <w:szCs w:val="23"/>
        </w:rPr>
        <w:t>comprobantes de pago</w:t>
      </w:r>
      <w:r w:rsidR="00F952DE" w:rsidRPr="00D82894">
        <w:rPr>
          <w:sz w:val="23"/>
          <w:szCs w:val="23"/>
        </w:rPr>
        <w:t xml:space="preserve"> no son </w:t>
      </w:r>
      <w:r w:rsidR="003B0B03" w:rsidRPr="00D82894">
        <w:rPr>
          <w:sz w:val="23"/>
          <w:szCs w:val="23"/>
        </w:rPr>
        <w:t>originales sino unas fotocopias autenticadas por la entidad</w:t>
      </w:r>
      <w:r w:rsidR="00F952DE" w:rsidRPr="00D82894">
        <w:rPr>
          <w:sz w:val="23"/>
          <w:szCs w:val="23"/>
        </w:rPr>
        <w:t xml:space="preserve"> territorial, por lo que</w:t>
      </w:r>
      <w:r w:rsidRPr="00D82894">
        <w:rPr>
          <w:sz w:val="23"/>
          <w:szCs w:val="23"/>
        </w:rPr>
        <w:t xml:space="preserve"> resultan inconvenientes como</w:t>
      </w:r>
      <w:r w:rsidR="00F952DE" w:rsidRPr="00D82894">
        <w:rPr>
          <w:sz w:val="23"/>
          <w:szCs w:val="23"/>
        </w:rPr>
        <w:t xml:space="preserve"> medio probatorio</w:t>
      </w:r>
      <w:r w:rsidR="003B0B03" w:rsidRPr="00D82894">
        <w:rPr>
          <w:sz w:val="23"/>
          <w:szCs w:val="23"/>
        </w:rPr>
        <w:t>, p</w:t>
      </w:r>
      <w:r w:rsidR="00FF182C" w:rsidRPr="00D82894">
        <w:rPr>
          <w:sz w:val="23"/>
          <w:szCs w:val="23"/>
        </w:rPr>
        <w:t xml:space="preserve">udiendo </w:t>
      </w:r>
      <w:r w:rsidR="003B0B03" w:rsidRPr="00D82894">
        <w:rPr>
          <w:sz w:val="23"/>
          <w:szCs w:val="23"/>
        </w:rPr>
        <w:t xml:space="preserve">el municipio de Pereira </w:t>
      </w:r>
      <w:r w:rsidR="00FF182C" w:rsidRPr="00D82894">
        <w:rPr>
          <w:sz w:val="23"/>
          <w:szCs w:val="23"/>
        </w:rPr>
        <w:t xml:space="preserve">haber allegado </w:t>
      </w:r>
      <w:r w:rsidR="003B0B03" w:rsidRPr="00D82894">
        <w:rPr>
          <w:sz w:val="23"/>
          <w:szCs w:val="23"/>
        </w:rPr>
        <w:t>las</w:t>
      </w:r>
      <w:r w:rsidRPr="00D82894">
        <w:rPr>
          <w:sz w:val="23"/>
          <w:szCs w:val="23"/>
        </w:rPr>
        <w:t xml:space="preserve"> copias en originales que tiene</w:t>
      </w:r>
      <w:r w:rsidR="003B0B03" w:rsidRPr="00D82894">
        <w:rPr>
          <w:sz w:val="23"/>
          <w:szCs w:val="23"/>
        </w:rPr>
        <w:t xml:space="preserve"> en su poder.</w:t>
      </w:r>
    </w:p>
    <w:p w:rsidR="00AA2CFC" w:rsidRPr="00D82894" w:rsidRDefault="00AA2CFC" w:rsidP="00FF182C">
      <w:pPr>
        <w:pStyle w:val="Sinespaciado"/>
        <w:rPr>
          <w:sz w:val="23"/>
          <w:szCs w:val="23"/>
          <w:lang w:val="es-ES"/>
        </w:rPr>
      </w:pPr>
    </w:p>
    <w:p w:rsidR="009C50D0" w:rsidRPr="00D82894" w:rsidRDefault="009C50D0" w:rsidP="00857421">
      <w:pPr>
        <w:widowControl w:val="0"/>
        <w:numPr>
          <w:ilvl w:val="0"/>
          <w:numId w:val="1"/>
        </w:numPr>
        <w:tabs>
          <w:tab w:val="clear" w:pos="1080"/>
          <w:tab w:val="num" w:pos="374"/>
        </w:tabs>
        <w:autoSpaceDE w:val="0"/>
        <w:autoSpaceDN w:val="0"/>
        <w:adjustRightInd w:val="0"/>
        <w:spacing w:line="276" w:lineRule="auto"/>
        <w:ind w:left="0" w:firstLine="0"/>
        <w:jc w:val="center"/>
        <w:rPr>
          <w:rFonts w:ascii="Tahoma" w:hAnsi="Tahoma" w:cs="Tahoma"/>
          <w:b/>
          <w:sz w:val="23"/>
          <w:szCs w:val="23"/>
        </w:rPr>
      </w:pPr>
      <w:r w:rsidRPr="00D82894">
        <w:rPr>
          <w:rFonts w:ascii="Tahoma" w:hAnsi="Tahoma" w:cs="Tahoma"/>
          <w:b/>
          <w:sz w:val="23"/>
          <w:szCs w:val="23"/>
        </w:rPr>
        <w:t>Consideraciones</w:t>
      </w:r>
    </w:p>
    <w:p w:rsidR="009C50D0" w:rsidRPr="00D82894" w:rsidRDefault="009C50D0" w:rsidP="00D82894">
      <w:pPr>
        <w:pStyle w:val="Sinespaciado"/>
        <w:rPr>
          <w:sz w:val="23"/>
          <w:szCs w:val="23"/>
        </w:rPr>
      </w:pPr>
      <w:r w:rsidRPr="00D82894">
        <w:rPr>
          <w:sz w:val="23"/>
          <w:szCs w:val="23"/>
        </w:rPr>
        <w:tab/>
      </w:r>
    </w:p>
    <w:p w:rsidR="009C50D0" w:rsidRPr="00D82894" w:rsidRDefault="00D82894" w:rsidP="00857421">
      <w:pPr>
        <w:pStyle w:val="Textoindependiente"/>
        <w:numPr>
          <w:ilvl w:val="1"/>
          <w:numId w:val="1"/>
        </w:numPr>
        <w:spacing w:after="0" w:line="276" w:lineRule="auto"/>
        <w:ind w:right="51" w:hanging="371"/>
        <w:jc w:val="both"/>
        <w:rPr>
          <w:rFonts w:ascii="Tahoma" w:hAnsi="Tahoma" w:cs="Tahoma"/>
          <w:b/>
          <w:sz w:val="23"/>
          <w:szCs w:val="23"/>
        </w:rPr>
      </w:pPr>
      <w:r>
        <w:rPr>
          <w:rFonts w:ascii="Tahoma" w:hAnsi="Tahoma" w:cs="Tahoma"/>
          <w:b/>
          <w:sz w:val="23"/>
          <w:szCs w:val="23"/>
        </w:rPr>
        <w:t xml:space="preserve"> </w:t>
      </w:r>
      <w:r w:rsidR="009C50D0" w:rsidRPr="00D82894">
        <w:rPr>
          <w:rFonts w:ascii="Tahoma" w:hAnsi="Tahoma" w:cs="Tahoma"/>
          <w:b/>
          <w:sz w:val="23"/>
          <w:szCs w:val="23"/>
        </w:rPr>
        <w:t>Caso concreto</w:t>
      </w:r>
    </w:p>
    <w:p w:rsidR="009C50D0" w:rsidRPr="00D82894" w:rsidRDefault="009C50D0" w:rsidP="00ED6919">
      <w:pPr>
        <w:pStyle w:val="Sinespaciado"/>
        <w:rPr>
          <w:sz w:val="23"/>
          <w:szCs w:val="23"/>
        </w:rPr>
      </w:pPr>
    </w:p>
    <w:p w:rsidR="00CA06B3" w:rsidRPr="00D82894" w:rsidRDefault="00857421" w:rsidP="009B5A13">
      <w:pPr>
        <w:pStyle w:val="Textoindependiente"/>
        <w:spacing w:after="0" w:line="276" w:lineRule="auto"/>
        <w:ind w:right="51" w:firstLine="708"/>
        <w:jc w:val="both"/>
        <w:rPr>
          <w:rFonts w:ascii="Tahoma" w:hAnsi="Tahoma" w:cs="Tahoma"/>
          <w:bCs/>
          <w:sz w:val="23"/>
          <w:szCs w:val="23"/>
        </w:rPr>
      </w:pPr>
      <w:r w:rsidRPr="00D82894">
        <w:rPr>
          <w:rFonts w:ascii="Tahoma" w:hAnsi="Tahoma" w:cs="Tahoma"/>
          <w:bCs/>
          <w:sz w:val="23"/>
          <w:szCs w:val="23"/>
        </w:rPr>
        <w:t xml:space="preserve">A efectos de resolver la censura del apelante se dirá, como primera medida, que </w:t>
      </w:r>
      <w:r w:rsidR="005A2E2F" w:rsidRPr="00D82894">
        <w:rPr>
          <w:rFonts w:ascii="Tahoma" w:hAnsi="Tahoma" w:cs="Tahoma"/>
          <w:bCs/>
          <w:sz w:val="23"/>
          <w:szCs w:val="23"/>
        </w:rPr>
        <w:t xml:space="preserve">en la audiencia de trámite </w:t>
      </w:r>
      <w:r w:rsidR="000C5163" w:rsidRPr="00D82894">
        <w:rPr>
          <w:rFonts w:ascii="Tahoma" w:hAnsi="Tahoma" w:cs="Tahoma"/>
          <w:bCs/>
          <w:sz w:val="23"/>
          <w:szCs w:val="23"/>
        </w:rPr>
        <w:t xml:space="preserve">establecida en artículo 80 del CPT y la s.s., se le </w:t>
      </w:r>
      <w:r w:rsidR="005A2E2F" w:rsidRPr="00D82894">
        <w:rPr>
          <w:rFonts w:ascii="Tahoma" w:hAnsi="Tahoma" w:cs="Tahoma"/>
          <w:bCs/>
          <w:sz w:val="23"/>
          <w:szCs w:val="23"/>
        </w:rPr>
        <w:t>corrió traslado de l</w:t>
      </w:r>
      <w:r w:rsidR="00CA06B3" w:rsidRPr="00D82894">
        <w:rPr>
          <w:rFonts w:ascii="Tahoma" w:hAnsi="Tahoma" w:cs="Tahoma"/>
          <w:bCs/>
          <w:sz w:val="23"/>
          <w:szCs w:val="23"/>
        </w:rPr>
        <w:t>os</w:t>
      </w:r>
      <w:r w:rsidR="005A2E2F" w:rsidRPr="00D82894">
        <w:rPr>
          <w:rFonts w:ascii="Tahoma" w:hAnsi="Tahoma" w:cs="Tahoma"/>
          <w:bCs/>
          <w:sz w:val="23"/>
          <w:szCs w:val="23"/>
        </w:rPr>
        <w:t xml:space="preserve"> </w:t>
      </w:r>
      <w:r w:rsidR="00CA06B3" w:rsidRPr="00D82894">
        <w:rPr>
          <w:rFonts w:ascii="Tahoma" w:hAnsi="Tahoma" w:cs="Tahoma"/>
          <w:bCs/>
          <w:sz w:val="23"/>
          <w:szCs w:val="23"/>
        </w:rPr>
        <w:t xml:space="preserve">documentos </w:t>
      </w:r>
      <w:r w:rsidR="005A2E2F" w:rsidRPr="00D82894">
        <w:rPr>
          <w:rFonts w:ascii="Tahoma" w:hAnsi="Tahoma" w:cs="Tahoma"/>
          <w:bCs/>
          <w:sz w:val="23"/>
          <w:szCs w:val="23"/>
        </w:rPr>
        <w:t>allegad</w:t>
      </w:r>
      <w:r w:rsidR="00CA06B3" w:rsidRPr="00D82894">
        <w:rPr>
          <w:rFonts w:ascii="Tahoma" w:hAnsi="Tahoma" w:cs="Tahoma"/>
          <w:bCs/>
          <w:sz w:val="23"/>
          <w:szCs w:val="23"/>
        </w:rPr>
        <w:t>o</w:t>
      </w:r>
      <w:r w:rsidR="005A2E2F" w:rsidRPr="00D82894">
        <w:rPr>
          <w:rFonts w:ascii="Tahoma" w:hAnsi="Tahoma" w:cs="Tahoma"/>
          <w:bCs/>
          <w:sz w:val="23"/>
          <w:szCs w:val="23"/>
        </w:rPr>
        <w:t>s al proceso</w:t>
      </w:r>
      <w:r w:rsidR="00CA06B3" w:rsidRPr="00D82894">
        <w:rPr>
          <w:rFonts w:ascii="Tahoma" w:hAnsi="Tahoma" w:cs="Tahoma"/>
          <w:bCs/>
          <w:sz w:val="23"/>
          <w:szCs w:val="23"/>
        </w:rPr>
        <w:t xml:space="preserve"> por el Municipio de Pereira (fls. 148 a 186 y 201 a 216)</w:t>
      </w:r>
      <w:r w:rsidR="005A2E2F" w:rsidRPr="00D82894">
        <w:rPr>
          <w:rFonts w:ascii="Tahoma" w:hAnsi="Tahoma" w:cs="Tahoma"/>
          <w:bCs/>
          <w:sz w:val="23"/>
          <w:szCs w:val="23"/>
        </w:rPr>
        <w:t>,</w:t>
      </w:r>
      <w:r w:rsidR="006C084F" w:rsidRPr="00D82894">
        <w:rPr>
          <w:rFonts w:ascii="Tahoma" w:hAnsi="Tahoma" w:cs="Tahoma"/>
          <w:bCs/>
          <w:sz w:val="23"/>
          <w:szCs w:val="23"/>
        </w:rPr>
        <w:t xml:space="preserve"> </w:t>
      </w:r>
      <w:r w:rsidR="00CA06B3" w:rsidRPr="00D82894">
        <w:rPr>
          <w:rFonts w:ascii="Tahoma" w:hAnsi="Tahoma" w:cs="Tahoma"/>
          <w:bCs/>
          <w:sz w:val="23"/>
          <w:szCs w:val="23"/>
        </w:rPr>
        <w:t>sin que en ese momento hiciera manifestación alguna o presentara objeción respecto de ellos, por lo que resulta extemporáneo que en la alzada ponga en tela de juicio su autenticidad.</w:t>
      </w:r>
    </w:p>
    <w:p w:rsidR="00CA06B3" w:rsidRPr="00D82894" w:rsidRDefault="00CA06B3" w:rsidP="009B5A13">
      <w:pPr>
        <w:pStyle w:val="Textoindependiente"/>
        <w:spacing w:after="0" w:line="276" w:lineRule="auto"/>
        <w:ind w:right="51" w:firstLine="708"/>
        <w:jc w:val="both"/>
        <w:rPr>
          <w:rFonts w:ascii="Tahoma" w:hAnsi="Tahoma" w:cs="Tahoma"/>
          <w:bCs/>
          <w:sz w:val="23"/>
          <w:szCs w:val="23"/>
        </w:rPr>
      </w:pPr>
    </w:p>
    <w:p w:rsidR="008B226E" w:rsidRPr="00D82894" w:rsidRDefault="009B5A13" w:rsidP="009B5A13">
      <w:pPr>
        <w:pStyle w:val="Textoindependiente"/>
        <w:spacing w:after="0" w:line="276" w:lineRule="auto"/>
        <w:ind w:right="51" w:firstLine="708"/>
        <w:jc w:val="both"/>
        <w:rPr>
          <w:rFonts w:ascii="Tahoma" w:hAnsi="Tahoma" w:cs="Tahoma"/>
          <w:bCs/>
          <w:sz w:val="23"/>
          <w:szCs w:val="23"/>
        </w:rPr>
      </w:pPr>
      <w:r w:rsidRPr="00D82894">
        <w:rPr>
          <w:rFonts w:ascii="Tahoma" w:hAnsi="Tahoma" w:cs="Tahoma"/>
          <w:bCs/>
          <w:sz w:val="23"/>
          <w:szCs w:val="23"/>
        </w:rPr>
        <w:t xml:space="preserve">Ahora, en cuanto al reproche del recurrente en el sentido </w:t>
      </w:r>
      <w:r w:rsidR="00140725" w:rsidRPr="00D82894">
        <w:rPr>
          <w:rFonts w:ascii="Tahoma" w:hAnsi="Tahoma" w:cs="Tahoma"/>
          <w:bCs/>
          <w:sz w:val="23"/>
          <w:szCs w:val="23"/>
        </w:rPr>
        <w:t xml:space="preserve">de </w:t>
      </w:r>
      <w:r w:rsidRPr="00D82894">
        <w:rPr>
          <w:rFonts w:ascii="Tahoma" w:hAnsi="Tahoma" w:cs="Tahoma"/>
          <w:bCs/>
          <w:sz w:val="23"/>
          <w:szCs w:val="23"/>
        </w:rPr>
        <w:t xml:space="preserve">que el demandante no aportó la totalidad de los reportes de pago al momento de radicar la reclamación administrativa el </w:t>
      </w:r>
      <w:r w:rsidR="007C692F" w:rsidRPr="00D82894">
        <w:rPr>
          <w:rFonts w:ascii="Tahoma" w:hAnsi="Tahoma" w:cs="Tahoma"/>
          <w:bCs/>
          <w:sz w:val="23"/>
          <w:szCs w:val="23"/>
        </w:rPr>
        <w:t xml:space="preserve">22 de mayo de 2012, </w:t>
      </w:r>
      <w:r w:rsidR="00140725" w:rsidRPr="00D82894">
        <w:rPr>
          <w:rFonts w:ascii="Tahoma" w:hAnsi="Tahoma" w:cs="Tahoma"/>
          <w:bCs/>
          <w:sz w:val="23"/>
          <w:szCs w:val="23"/>
        </w:rPr>
        <w:t xml:space="preserve">considera </w:t>
      </w:r>
      <w:r w:rsidR="007C692F" w:rsidRPr="00D82894">
        <w:rPr>
          <w:rFonts w:ascii="Tahoma" w:hAnsi="Tahoma" w:cs="Tahoma"/>
          <w:bCs/>
          <w:sz w:val="23"/>
          <w:szCs w:val="23"/>
        </w:rPr>
        <w:t>la Sala que tal argumento no puede encontrar respaldo, toda vez que el señor Castaño Rincón al momento de elevar la sol</w:t>
      </w:r>
      <w:r w:rsidR="00140725" w:rsidRPr="00D82894">
        <w:rPr>
          <w:rFonts w:ascii="Tahoma" w:hAnsi="Tahoma" w:cs="Tahoma"/>
          <w:bCs/>
          <w:sz w:val="23"/>
          <w:szCs w:val="23"/>
        </w:rPr>
        <w:t>icitud de pensión de invalidez</w:t>
      </w:r>
      <w:r w:rsidR="007C692F" w:rsidRPr="00D82894">
        <w:rPr>
          <w:rFonts w:ascii="Tahoma" w:hAnsi="Tahoma" w:cs="Tahoma"/>
          <w:bCs/>
          <w:sz w:val="23"/>
          <w:szCs w:val="23"/>
        </w:rPr>
        <w:t xml:space="preserve"> </w:t>
      </w:r>
      <w:r w:rsidR="00864D77" w:rsidRPr="00D82894">
        <w:rPr>
          <w:rFonts w:ascii="Tahoma" w:hAnsi="Tahoma" w:cs="Tahoma"/>
          <w:bCs/>
          <w:sz w:val="23"/>
          <w:szCs w:val="23"/>
        </w:rPr>
        <w:t xml:space="preserve">actuó con la absoluta convicción de que el fondo pensional al que venía afiliado había manejado correctamente los aportes que a lo largo de su vida realizó, sin que fuera su obligación </w:t>
      </w:r>
      <w:r w:rsidR="00011F78" w:rsidRPr="00D82894">
        <w:rPr>
          <w:rFonts w:ascii="Tahoma" w:hAnsi="Tahoma" w:cs="Tahoma"/>
          <w:bCs/>
          <w:sz w:val="23"/>
          <w:szCs w:val="23"/>
        </w:rPr>
        <w:t xml:space="preserve">aportar los comprobantes de pago </w:t>
      </w:r>
      <w:r w:rsidR="00864D77" w:rsidRPr="00D82894">
        <w:rPr>
          <w:rFonts w:ascii="Tahoma" w:hAnsi="Tahoma" w:cs="Tahoma"/>
          <w:bCs/>
          <w:sz w:val="23"/>
          <w:szCs w:val="23"/>
        </w:rPr>
        <w:t>presumi</w:t>
      </w:r>
      <w:r w:rsidR="00011F78" w:rsidRPr="00D82894">
        <w:rPr>
          <w:rFonts w:ascii="Tahoma" w:hAnsi="Tahoma" w:cs="Tahoma"/>
          <w:bCs/>
          <w:sz w:val="23"/>
          <w:szCs w:val="23"/>
        </w:rPr>
        <w:t xml:space="preserve">endo la mala fe de la demandada e </w:t>
      </w:r>
      <w:r w:rsidR="00864D77" w:rsidRPr="00D82894">
        <w:rPr>
          <w:rFonts w:ascii="Tahoma" w:hAnsi="Tahoma" w:cs="Tahoma"/>
          <w:bCs/>
          <w:sz w:val="23"/>
          <w:szCs w:val="23"/>
        </w:rPr>
        <w:t xml:space="preserve">inconsistencias </w:t>
      </w:r>
      <w:r w:rsidR="008B226E" w:rsidRPr="00D82894">
        <w:rPr>
          <w:rFonts w:ascii="Tahoma" w:hAnsi="Tahoma" w:cs="Tahoma"/>
          <w:bCs/>
          <w:sz w:val="23"/>
          <w:szCs w:val="23"/>
        </w:rPr>
        <w:t xml:space="preserve">en </w:t>
      </w:r>
      <w:r w:rsidR="00011F78" w:rsidRPr="00D82894">
        <w:rPr>
          <w:rFonts w:ascii="Tahoma" w:hAnsi="Tahoma" w:cs="Tahoma"/>
          <w:bCs/>
          <w:sz w:val="23"/>
          <w:szCs w:val="23"/>
        </w:rPr>
        <w:t>su  plataforma q</w:t>
      </w:r>
      <w:r w:rsidR="008B226E" w:rsidRPr="00D82894">
        <w:rPr>
          <w:rFonts w:ascii="Tahoma" w:hAnsi="Tahoma" w:cs="Tahoma"/>
          <w:bCs/>
          <w:sz w:val="23"/>
          <w:szCs w:val="23"/>
        </w:rPr>
        <w:t xml:space="preserve">ue daban al traste con su </w:t>
      </w:r>
      <w:r w:rsidR="00864D77" w:rsidRPr="00D82894">
        <w:rPr>
          <w:rFonts w:ascii="Tahoma" w:hAnsi="Tahoma" w:cs="Tahoma"/>
          <w:bCs/>
          <w:sz w:val="23"/>
          <w:szCs w:val="23"/>
        </w:rPr>
        <w:t>historia laboral.</w:t>
      </w:r>
      <w:r w:rsidR="005F1B5F" w:rsidRPr="00D82894">
        <w:rPr>
          <w:rFonts w:ascii="Tahoma" w:hAnsi="Tahoma" w:cs="Tahoma"/>
          <w:bCs/>
          <w:sz w:val="23"/>
          <w:szCs w:val="23"/>
        </w:rPr>
        <w:t xml:space="preserve"> </w:t>
      </w:r>
    </w:p>
    <w:p w:rsidR="008B226E" w:rsidRPr="00D82894" w:rsidRDefault="008B226E" w:rsidP="009B5A13">
      <w:pPr>
        <w:pStyle w:val="Textoindependiente"/>
        <w:spacing w:after="0" w:line="276" w:lineRule="auto"/>
        <w:ind w:right="51" w:firstLine="708"/>
        <w:jc w:val="both"/>
        <w:rPr>
          <w:rFonts w:ascii="Tahoma" w:hAnsi="Tahoma" w:cs="Tahoma"/>
          <w:bCs/>
          <w:sz w:val="23"/>
          <w:szCs w:val="23"/>
        </w:rPr>
      </w:pPr>
    </w:p>
    <w:p w:rsidR="009B5A13" w:rsidRPr="00D82894" w:rsidRDefault="003923D8" w:rsidP="009B5A13">
      <w:pPr>
        <w:pStyle w:val="Textoindependiente"/>
        <w:spacing w:after="0" w:line="276" w:lineRule="auto"/>
        <w:ind w:right="51" w:firstLine="708"/>
        <w:jc w:val="both"/>
        <w:rPr>
          <w:rFonts w:ascii="Tahoma" w:hAnsi="Tahoma" w:cs="Tahoma"/>
          <w:bCs/>
          <w:sz w:val="23"/>
          <w:szCs w:val="23"/>
        </w:rPr>
      </w:pPr>
      <w:r w:rsidRPr="00D82894">
        <w:rPr>
          <w:rFonts w:ascii="Tahoma" w:hAnsi="Tahoma" w:cs="Tahoma"/>
          <w:bCs/>
          <w:sz w:val="23"/>
          <w:szCs w:val="23"/>
        </w:rPr>
        <w:t>Por otra parte</w:t>
      </w:r>
      <w:r w:rsidR="009B5A13" w:rsidRPr="00D82894">
        <w:rPr>
          <w:rFonts w:ascii="Tahoma" w:hAnsi="Tahoma" w:cs="Tahoma"/>
          <w:bCs/>
          <w:sz w:val="23"/>
          <w:szCs w:val="23"/>
        </w:rPr>
        <w:t xml:space="preserve">, debe recordar el censor que la prueba </w:t>
      </w:r>
      <w:r w:rsidR="00864D77" w:rsidRPr="00D82894">
        <w:rPr>
          <w:rFonts w:ascii="Tahoma" w:hAnsi="Tahoma" w:cs="Tahoma"/>
          <w:bCs/>
          <w:sz w:val="23"/>
          <w:szCs w:val="23"/>
        </w:rPr>
        <w:t xml:space="preserve">fue </w:t>
      </w:r>
      <w:r w:rsidR="009B5A13" w:rsidRPr="00D82894">
        <w:rPr>
          <w:rFonts w:ascii="Tahoma" w:hAnsi="Tahoma" w:cs="Tahoma"/>
          <w:bCs/>
          <w:sz w:val="23"/>
          <w:szCs w:val="23"/>
        </w:rPr>
        <w:t>decretada</w:t>
      </w:r>
      <w:r w:rsidR="00864D77" w:rsidRPr="00D82894">
        <w:rPr>
          <w:rFonts w:ascii="Tahoma" w:hAnsi="Tahoma" w:cs="Tahoma"/>
          <w:bCs/>
          <w:sz w:val="23"/>
          <w:szCs w:val="23"/>
        </w:rPr>
        <w:t xml:space="preserve"> por la Jueza de instancia previa solicitud del actor al no recibir respuesta por parte del municipio de Pereira </w:t>
      </w:r>
      <w:r w:rsidR="008B226E" w:rsidRPr="00D82894">
        <w:rPr>
          <w:rFonts w:ascii="Tahoma" w:hAnsi="Tahoma" w:cs="Tahoma"/>
          <w:bCs/>
          <w:sz w:val="23"/>
          <w:szCs w:val="23"/>
        </w:rPr>
        <w:t>a</w:t>
      </w:r>
      <w:r w:rsidR="00864D77" w:rsidRPr="00D82894">
        <w:rPr>
          <w:rFonts w:ascii="Tahoma" w:hAnsi="Tahoma" w:cs="Tahoma"/>
          <w:bCs/>
          <w:sz w:val="23"/>
          <w:szCs w:val="23"/>
        </w:rPr>
        <w:t xml:space="preserve"> la petición elevada el 3 de diciembre de 2012, en el sentido de que expidier</w:t>
      </w:r>
      <w:r w:rsidR="007E736D" w:rsidRPr="00D82894">
        <w:rPr>
          <w:rFonts w:ascii="Tahoma" w:hAnsi="Tahoma" w:cs="Tahoma"/>
          <w:bCs/>
          <w:sz w:val="23"/>
          <w:szCs w:val="23"/>
        </w:rPr>
        <w:t>a copias de los comprobantes de pago al sistema de seguridad social</w:t>
      </w:r>
      <w:r w:rsidR="008B226E" w:rsidRPr="00D82894">
        <w:rPr>
          <w:rFonts w:ascii="Tahoma" w:hAnsi="Tahoma" w:cs="Tahoma"/>
          <w:bCs/>
          <w:sz w:val="23"/>
          <w:szCs w:val="23"/>
        </w:rPr>
        <w:t xml:space="preserve">, de </w:t>
      </w:r>
      <w:r w:rsidR="007E736D" w:rsidRPr="00D82894">
        <w:rPr>
          <w:rFonts w:ascii="Tahoma" w:hAnsi="Tahoma" w:cs="Tahoma"/>
          <w:bCs/>
          <w:sz w:val="23"/>
          <w:szCs w:val="23"/>
        </w:rPr>
        <w:t>los periodos en los que estuvo vinculado con la entidad territorial mediante contrato de prestación de servicios;</w:t>
      </w:r>
      <w:r w:rsidR="009B5A13" w:rsidRPr="00D82894">
        <w:rPr>
          <w:rFonts w:ascii="Tahoma" w:hAnsi="Tahoma" w:cs="Tahoma"/>
          <w:bCs/>
          <w:sz w:val="23"/>
          <w:szCs w:val="23"/>
        </w:rPr>
        <w:t xml:space="preserve"> </w:t>
      </w:r>
      <w:r w:rsidR="007E736D" w:rsidRPr="00D82894">
        <w:rPr>
          <w:rFonts w:ascii="Tahoma" w:hAnsi="Tahoma" w:cs="Tahoma"/>
          <w:bCs/>
          <w:sz w:val="23"/>
          <w:szCs w:val="23"/>
        </w:rPr>
        <w:t>lo que significa que tales documentos no estaban en poder de</w:t>
      </w:r>
      <w:r w:rsidR="008B226E" w:rsidRPr="00D82894">
        <w:rPr>
          <w:rFonts w:ascii="Tahoma" w:hAnsi="Tahoma" w:cs="Tahoma"/>
          <w:bCs/>
          <w:sz w:val="23"/>
          <w:szCs w:val="23"/>
        </w:rPr>
        <w:t xml:space="preserve"> actor </w:t>
      </w:r>
      <w:r w:rsidR="007E736D" w:rsidRPr="00D82894">
        <w:rPr>
          <w:rFonts w:ascii="Tahoma" w:hAnsi="Tahoma" w:cs="Tahoma"/>
          <w:bCs/>
          <w:sz w:val="23"/>
          <w:szCs w:val="23"/>
        </w:rPr>
        <w:t>al momento de el</w:t>
      </w:r>
      <w:r w:rsidR="004D4EC7" w:rsidRPr="00D82894">
        <w:rPr>
          <w:rFonts w:ascii="Tahoma" w:hAnsi="Tahoma" w:cs="Tahoma"/>
          <w:bCs/>
          <w:sz w:val="23"/>
          <w:szCs w:val="23"/>
        </w:rPr>
        <w:t>evar la reclamación administrativa</w:t>
      </w:r>
      <w:r w:rsidR="007E736D" w:rsidRPr="00D82894">
        <w:rPr>
          <w:rFonts w:ascii="Tahoma" w:hAnsi="Tahoma" w:cs="Tahoma"/>
          <w:bCs/>
          <w:sz w:val="23"/>
          <w:szCs w:val="23"/>
        </w:rPr>
        <w:t xml:space="preserve">, ni cuando presentó la demanda, siendo necesaria la intervención </w:t>
      </w:r>
      <w:r w:rsidR="008B226E" w:rsidRPr="00D82894">
        <w:rPr>
          <w:rFonts w:ascii="Tahoma" w:hAnsi="Tahoma" w:cs="Tahoma"/>
          <w:bCs/>
          <w:sz w:val="23"/>
          <w:szCs w:val="23"/>
        </w:rPr>
        <w:t xml:space="preserve">insistente </w:t>
      </w:r>
      <w:r w:rsidR="007E736D" w:rsidRPr="00D82894">
        <w:rPr>
          <w:rFonts w:ascii="Tahoma" w:hAnsi="Tahoma" w:cs="Tahoma"/>
          <w:bCs/>
          <w:sz w:val="23"/>
          <w:szCs w:val="23"/>
        </w:rPr>
        <w:t xml:space="preserve">de la </w:t>
      </w:r>
      <w:r w:rsidR="008B226E" w:rsidRPr="00D82894">
        <w:rPr>
          <w:rFonts w:ascii="Tahoma" w:hAnsi="Tahoma" w:cs="Tahoma"/>
          <w:bCs/>
          <w:sz w:val="23"/>
          <w:szCs w:val="23"/>
        </w:rPr>
        <w:t xml:space="preserve">Jueza de primer grado </w:t>
      </w:r>
      <w:r w:rsidR="007E736D" w:rsidRPr="00D82894">
        <w:rPr>
          <w:rFonts w:ascii="Tahoma" w:hAnsi="Tahoma" w:cs="Tahoma"/>
          <w:bCs/>
          <w:sz w:val="23"/>
          <w:szCs w:val="23"/>
        </w:rPr>
        <w:t>para que los mismos fueran allegados</w:t>
      </w:r>
      <w:r w:rsidR="008B226E" w:rsidRPr="00D82894">
        <w:rPr>
          <w:rFonts w:ascii="Tahoma" w:hAnsi="Tahoma" w:cs="Tahoma"/>
          <w:bCs/>
          <w:sz w:val="23"/>
          <w:szCs w:val="23"/>
        </w:rPr>
        <w:t xml:space="preserve"> íntegramente (fl. 187)</w:t>
      </w:r>
      <w:r w:rsidR="0010524F" w:rsidRPr="00D82894">
        <w:rPr>
          <w:rFonts w:ascii="Tahoma" w:hAnsi="Tahoma" w:cs="Tahoma"/>
          <w:bCs/>
          <w:sz w:val="23"/>
          <w:szCs w:val="23"/>
        </w:rPr>
        <w:t>, los cuales</w:t>
      </w:r>
      <w:r w:rsidR="008B226E" w:rsidRPr="00D82894">
        <w:rPr>
          <w:rFonts w:ascii="Tahoma" w:hAnsi="Tahoma" w:cs="Tahoma"/>
          <w:bCs/>
          <w:sz w:val="23"/>
          <w:szCs w:val="23"/>
        </w:rPr>
        <w:t>,</w:t>
      </w:r>
      <w:r w:rsidR="0010524F" w:rsidRPr="00D82894">
        <w:rPr>
          <w:rFonts w:ascii="Tahoma" w:hAnsi="Tahoma" w:cs="Tahoma"/>
          <w:bCs/>
          <w:sz w:val="23"/>
          <w:szCs w:val="23"/>
        </w:rPr>
        <w:t xml:space="preserve"> dicho sea de paso, </w:t>
      </w:r>
      <w:r w:rsidR="009F4B0E" w:rsidRPr="00D82894">
        <w:rPr>
          <w:rFonts w:ascii="Tahoma" w:hAnsi="Tahoma" w:cs="Tahoma"/>
          <w:bCs/>
          <w:sz w:val="23"/>
          <w:szCs w:val="23"/>
        </w:rPr>
        <w:t xml:space="preserve">solamente </w:t>
      </w:r>
      <w:r w:rsidR="0010524F" w:rsidRPr="00D82894">
        <w:rPr>
          <w:rFonts w:ascii="Tahoma" w:hAnsi="Tahoma" w:cs="Tahoma"/>
          <w:bCs/>
          <w:sz w:val="23"/>
          <w:szCs w:val="23"/>
        </w:rPr>
        <w:t>resultaron necesarios para el actor cuando Porvenir le negó el derecho bajo el argumento de no contar con 50 semanas en los últimos 3 años a partir de la fecha de estructuración de la invalidez.</w:t>
      </w:r>
      <w:r w:rsidR="009B5A13" w:rsidRPr="00D82894">
        <w:rPr>
          <w:rFonts w:ascii="Tahoma" w:hAnsi="Tahoma" w:cs="Tahoma"/>
          <w:bCs/>
          <w:sz w:val="23"/>
          <w:szCs w:val="23"/>
        </w:rPr>
        <w:t xml:space="preserve"> </w:t>
      </w:r>
    </w:p>
    <w:p w:rsidR="009B5A13" w:rsidRPr="00D82894" w:rsidRDefault="00975CA1" w:rsidP="001F5962">
      <w:pPr>
        <w:pStyle w:val="Sinespaciado"/>
        <w:rPr>
          <w:sz w:val="23"/>
          <w:szCs w:val="23"/>
        </w:rPr>
      </w:pPr>
      <w:r>
        <w:rPr>
          <w:sz w:val="23"/>
          <w:szCs w:val="23"/>
        </w:rPr>
        <w:tab/>
      </w:r>
    </w:p>
    <w:p w:rsidR="009E28F8" w:rsidRPr="00D82894" w:rsidRDefault="003923D8" w:rsidP="00AC7842">
      <w:pPr>
        <w:pStyle w:val="Textoindependiente"/>
        <w:spacing w:after="0" w:line="276" w:lineRule="auto"/>
        <w:ind w:right="51" w:firstLine="708"/>
        <w:jc w:val="both"/>
        <w:rPr>
          <w:rFonts w:ascii="Tahoma" w:hAnsi="Tahoma" w:cs="Tahoma"/>
          <w:bCs/>
          <w:color w:val="FF0000"/>
          <w:sz w:val="23"/>
          <w:szCs w:val="23"/>
        </w:rPr>
      </w:pPr>
      <w:r w:rsidRPr="00D82894">
        <w:rPr>
          <w:rFonts w:ascii="Tahoma" w:hAnsi="Tahoma" w:cs="Tahoma"/>
          <w:bCs/>
          <w:sz w:val="23"/>
          <w:szCs w:val="23"/>
        </w:rPr>
        <w:t>Superado lo anterior</w:t>
      </w:r>
      <w:r w:rsidR="0010524F" w:rsidRPr="00D82894">
        <w:rPr>
          <w:rFonts w:ascii="Tahoma" w:hAnsi="Tahoma" w:cs="Tahoma"/>
          <w:bCs/>
          <w:sz w:val="23"/>
          <w:szCs w:val="23"/>
        </w:rPr>
        <w:t>, la Sala encuentra que los report</w:t>
      </w:r>
      <w:r w:rsidR="008B226E" w:rsidRPr="00D82894">
        <w:rPr>
          <w:rFonts w:ascii="Tahoma" w:hAnsi="Tahoma" w:cs="Tahoma"/>
          <w:bCs/>
          <w:sz w:val="23"/>
          <w:szCs w:val="23"/>
        </w:rPr>
        <w:t>es de pago allegados al proceso</w:t>
      </w:r>
      <w:r w:rsidR="0010524F" w:rsidRPr="00D82894">
        <w:rPr>
          <w:rFonts w:ascii="Tahoma" w:hAnsi="Tahoma" w:cs="Tahoma"/>
          <w:bCs/>
          <w:sz w:val="23"/>
          <w:szCs w:val="23"/>
        </w:rPr>
        <w:t xml:space="preserve"> obran válidamente en el plenario, por lo que tienen pleno valor probatorio para producir los efectos perseguidos por el demandante</w:t>
      </w:r>
      <w:r w:rsidR="008B226E" w:rsidRPr="00D82894">
        <w:rPr>
          <w:rFonts w:ascii="Tahoma" w:hAnsi="Tahoma" w:cs="Tahoma"/>
          <w:bCs/>
          <w:sz w:val="23"/>
          <w:szCs w:val="23"/>
        </w:rPr>
        <w:t xml:space="preserve">; siendo del caso </w:t>
      </w:r>
      <w:r w:rsidR="0010524F" w:rsidRPr="00D82894">
        <w:rPr>
          <w:rFonts w:ascii="Tahoma" w:hAnsi="Tahoma" w:cs="Tahoma"/>
          <w:bCs/>
          <w:sz w:val="23"/>
          <w:szCs w:val="23"/>
        </w:rPr>
        <w:t>avala</w:t>
      </w:r>
      <w:r w:rsidR="008B226E" w:rsidRPr="00D82894">
        <w:rPr>
          <w:rFonts w:ascii="Tahoma" w:hAnsi="Tahoma" w:cs="Tahoma"/>
          <w:bCs/>
          <w:sz w:val="23"/>
          <w:szCs w:val="23"/>
        </w:rPr>
        <w:t xml:space="preserve">r </w:t>
      </w:r>
      <w:r w:rsidR="0010524F" w:rsidRPr="00D82894">
        <w:rPr>
          <w:rFonts w:ascii="Tahoma" w:hAnsi="Tahoma" w:cs="Tahoma"/>
          <w:bCs/>
          <w:sz w:val="23"/>
          <w:szCs w:val="23"/>
        </w:rPr>
        <w:t xml:space="preserve">la valoración que de los mismos hiciera la </w:t>
      </w:r>
      <w:r w:rsidR="008B226E" w:rsidRPr="00D82894">
        <w:rPr>
          <w:rFonts w:ascii="Tahoma" w:hAnsi="Tahoma" w:cs="Tahoma"/>
          <w:bCs/>
          <w:sz w:val="23"/>
          <w:szCs w:val="23"/>
        </w:rPr>
        <w:t xml:space="preserve">operadora jurídica de </w:t>
      </w:r>
      <w:r w:rsidR="0010524F" w:rsidRPr="00D82894">
        <w:rPr>
          <w:rFonts w:ascii="Tahoma" w:hAnsi="Tahoma" w:cs="Tahoma"/>
          <w:bCs/>
          <w:sz w:val="23"/>
          <w:szCs w:val="23"/>
        </w:rPr>
        <w:t>instancia, toda vez que en ellos se observa no solo el sello de la Alcaldía de Pereira</w:t>
      </w:r>
      <w:r w:rsidR="00AC7842" w:rsidRPr="00D82894">
        <w:rPr>
          <w:rFonts w:ascii="Tahoma" w:hAnsi="Tahoma" w:cs="Tahoma"/>
          <w:bCs/>
          <w:sz w:val="23"/>
          <w:szCs w:val="23"/>
        </w:rPr>
        <w:t>,</w:t>
      </w:r>
      <w:r w:rsidR="0010524F" w:rsidRPr="00D82894">
        <w:rPr>
          <w:rFonts w:ascii="Tahoma" w:hAnsi="Tahoma" w:cs="Tahoma"/>
          <w:bCs/>
          <w:sz w:val="23"/>
          <w:szCs w:val="23"/>
        </w:rPr>
        <w:t xml:space="preserve"> que da cuenta de su autenticidad, sino </w:t>
      </w:r>
      <w:r w:rsidR="00AC7842" w:rsidRPr="00D82894">
        <w:rPr>
          <w:rFonts w:ascii="Tahoma" w:hAnsi="Tahoma" w:cs="Tahoma"/>
          <w:bCs/>
          <w:sz w:val="23"/>
          <w:szCs w:val="23"/>
        </w:rPr>
        <w:t xml:space="preserve">el del </w:t>
      </w:r>
      <w:r w:rsidR="0010524F" w:rsidRPr="00D82894">
        <w:rPr>
          <w:rFonts w:ascii="Tahoma" w:hAnsi="Tahoma" w:cs="Tahoma"/>
          <w:bCs/>
          <w:sz w:val="23"/>
          <w:szCs w:val="23"/>
        </w:rPr>
        <w:t xml:space="preserve">Banco AV Villas, donde se llevó a cabo el recaudo, y el membrete de Porvenir, donde se </w:t>
      </w:r>
      <w:r w:rsidR="008B226E" w:rsidRPr="00D82894">
        <w:rPr>
          <w:rFonts w:ascii="Tahoma" w:hAnsi="Tahoma" w:cs="Tahoma"/>
          <w:bCs/>
          <w:sz w:val="23"/>
          <w:szCs w:val="23"/>
        </w:rPr>
        <w:t xml:space="preserve">plasma </w:t>
      </w:r>
      <w:r w:rsidR="0010524F" w:rsidRPr="00D82894">
        <w:rPr>
          <w:rFonts w:ascii="Tahoma" w:hAnsi="Tahoma" w:cs="Tahoma"/>
          <w:bCs/>
          <w:sz w:val="23"/>
          <w:szCs w:val="23"/>
        </w:rPr>
        <w:t xml:space="preserve">que </w:t>
      </w:r>
      <w:r w:rsidR="00AC7842" w:rsidRPr="00D82894">
        <w:rPr>
          <w:rFonts w:ascii="Tahoma" w:hAnsi="Tahoma" w:cs="Tahoma"/>
          <w:bCs/>
          <w:sz w:val="23"/>
          <w:szCs w:val="23"/>
        </w:rPr>
        <w:t xml:space="preserve">son </w:t>
      </w:r>
      <w:r w:rsidR="0010524F" w:rsidRPr="00D82894">
        <w:rPr>
          <w:rFonts w:ascii="Tahoma" w:hAnsi="Tahoma" w:cs="Tahoma"/>
          <w:bCs/>
          <w:sz w:val="23"/>
          <w:szCs w:val="23"/>
        </w:rPr>
        <w:t>comprobante</w:t>
      </w:r>
      <w:r w:rsidR="00AC7842" w:rsidRPr="00D82894">
        <w:rPr>
          <w:rFonts w:ascii="Tahoma" w:hAnsi="Tahoma" w:cs="Tahoma"/>
          <w:bCs/>
          <w:sz w:val="23"/>
          <w:szCs w:val="23"/>
        </w:rPr>
        <w:t>s</w:t>
      </w:r>
      <w:r w:rsidR="0010524F" w:rsidRPr="00D82894">
        <w:rPr>
          <w:rFonts w:ascii="Tahoma" w:hAnsi="Tahoma" w:cs="Tahoma"/>
          <w:bCs/>
          <w:sz w:val="23"/>
          <w:szCs w:val="23"/>
        </w:rPr>
        <w:t xml:space="preserve"> de consignación a nombre del señor José Jairo Castaño</w:t>
      </w:r>
      <w:r w:rsidRPr="00D82894">
        <w:rPr>
          <w:rFonts w:ascii="Tahoma" w:hAnsi="Tahoma" w:cs="Tahoma"/>
          <w:bCs/>
          <w:sz w:val="23"/>
          <w:szCs w:val="23"/>
        </w:rPr>
        <w:t xml:space="preserve">, </w:t>
      </w:r>
      <w:r w:rsidR="00AC7842" w:rsidRPr="00D82894">
        <w:rPr>
          <w:rFonts w:ascii="Tahoma" w:hAnsi="Tahoma" w:cs="Tahoma"/>
          <w:bCs/>
          <w:sz w:val="23"/>
          <w:szCs w:val="23"/>
        </w:rPr>
        <w:t>individualizados por los meses de julio a diciembre de 2007.</w:t>
      </w:r>
    </w:p>
    <w:p w:rsidR="003923D8" w:rsidRPr="00D82894" w:rsidRDefault="003923D8" w:rsidP="009F4B0E">
      <w:pPr>
        <w:pStyle w:val="Sinespaciado"/>
        <w:rPr>
          <w:color w:val="FF0000"/>
          <w:sz w:val="23"/>
          <w:szCs w:val="23"/>
        </w:rPr>
      </w:pPr>
    </w:p>
    <w:p w:rsidR="003923D8" w:rsidRPr="00D82894" w:rsidRDefault="003923D8" w:rsidP="009E4771">
      <w:pPr>
        <w:pStyle w:val="Textoindependiente"/>
        <w:spacing w:after="0" w:line="276" w:lineRule="auto"/>
        <w:ind w:right="51" w:firstLine="708"/>
        <w:jc w:val="both"/>
        <w:rPr>
          <w:rFonts w:ascii="Tahoma" w:hAnsi="Tahoma" w:cs="Tahoma"/>
          <w:bCs/>
          <w:sz w:val="23"/>
          <w:szCs w:val="23"/>
        </w:rPr>
      </w:pPr>
      <w:r w:rsidRPr="00D82894">
        <w:rPr>
          <w:rFonts w:ascii="Tahoma" w:hAnsi="Tahoma" w:cs="Tahoma"/>
          <w:bCs/>
          <w:sz w:val="23"/>
          <w:szCs w:val="23"/>
        </w:rPr>
        <w:t xml:space="preserve">En ese orden de ideas, con los periodos referidos </w:t>
      </w:r>
      <w:r w:rsidR="002A259E" w:rsidRPr="00D82894">
        <w:rPr>
          <w:rFonts w:ascii="Tahoma" w:hAnsi="Tahoma" w:cs="Tahoma"/>
          <w:bCs/>
          <w:sz w:val="23"/>
          <w:szCs w:val="23"/>
        </w:rPr>
        <w:t xml:space="preserve">se acreditan un total de 60,71 semanas cotizadas dentro de los 3 años anteriores a la fecha de invalidez, </w:t>
      </w:r>
      <w:r w:rsidR="00BC52FE" w:rsidRPr="00D82894">
        <w:rPr>
          <w:rFonts w:ascii="Tahoma" w:hAnsi="Tahoma" w:cs="Tahoma"/>
          <w:bCs/>
          <w:sz w:val="23"/>
          <w:szCs w:val="23"/>
        </w:rPr>
        <w:t xml:space="preserve">resultado de sumar las 39 certificadas por Porvenir S.A. en ese lapso y las </w:t>
      </w:r>
      <w:r w:rsidR="002A259E" w:rsidRPr="00D82894">
        <w:rPr>
          <w:rFonts w:ascii="Tahoma" w:hAnsi="Tahoma" w:cs="Tahoma"/>
          <w:bCs/>
          <w:sz w:val="23"/>
          <w:szCs w:val="23"/>
        </w:rPr>
        <w:t xml:space="preserve">21,71 que se desprenden de los comprobantes de pago </w:t>
      </w:r>
      <w:r w:rsidR="00BC52FE" w:rsidRPr="00D82894">
        <w:rPr>
          <w:rFonts w:ascii="Tahoma" w:hAnsi="Tahoma" w:cs="Tahoma"/>
          <w:bCs/>
          <w:sz w:val="23"/>
          <w:szCs w:val="23"/>
        </w:rPr>
        <w:t>aludidos</w:t>
      </w:r>
      <w:r w:rsidR="00E23428" w:rsidRPr="00D82894">
        <w:rPr>
          <w:rFonts w:ascii="Tahoma" w:hAnsi="Tahoma" w:cs="Tahoma"/>
          <w:bCs/>
          <w:sz w:val="23"/>
          <w:szCs w:val="23"/>
        </w:rPr>
        <w:t xml:space="preserve"> </w:t>
      </w:r>
      <w:r w:rsidR="00D64B97" w:rsidRPr="00D82894">
        <w:rPr>
          <w:rFonts w:ascii="Tahoma" w:hAnsi="Tahoma" w:cs="Tahoma"/>
          <w:bCs/>
          <w:sz w:val="23"/>
          <w:szCs w:val="23"/>
        </w:rPr>
        <w:t>-</w:t>
      </w:r>
      <w:r w:rsidR="00E23428" w:rsidRPr="00D82894">
        <w:rPr>
          <w:rFonts w:ascii="Tahoma" w:hAnsi="Tahoma" w:cs="Tahoma"/>
          <w:bCs/>
          <w:i/>
          <w:sz w:val="23"/>
          <w:szCs w:val="23"/>
        </w:rPr>
        <w:t xml:space="preserve">y de las cuales sólo aparece reportado 1 día en </w:t>
      </w:r>
      <w:r w:rsidR="002A259E" w:rsidRPr="00D82894">
        <w:rPr>
          <w:rFonts w:ascii="Tahoma" w:hAnsi="Tahoma" w:cs="Tahoma"/>
          <w:bCs/>
          <w:i/>
          <w:sz w:val="23"/>
          <w:szCs w:val="23"/>
        </w:rPr>
        <w:t>el fondo pensional</w:t>
      </w:r>
      <w:r w:rsidR="00D64B97" w:rsidRPr="00D82894">
        <w:rPr>
          <w:rFonts w:ascii="Tahoma" w:hAnsi="Tahoma" w:cs="Tahoma"/>
          <w:bCs/>
          <w:i/>
          <w:sz w:val="23"/>
          <w:szCs w:val="23"/>
        </w:rPr>
        <w:t>-</w:t>
      </w:r>
      <w:r w:rsidR="00E23428" w:rsidRPr="00D82894">
        <w:rPr>
          <w:rFonts w:ascii="Tahoma" w:hAnsi="Tahoma" w:cs="Tahoma"/>
          <w:bCs/>
          <w:i/>
          <w:sz w:val="23"/>
          <w:szCs w:val="23"/>
        </w:rPr>
        <w:t>,</w:t>
      </w:r>
      <w:r w:rsidR="002A259E" w:rsidRPr="00D82894">
        <w:rPr>
          <w:rFonts w:ascii="Tahoma" w:hAnsi="Tahoma" w:cs="Tahoma"/>
          <w:bCs/>
          <w:sz w:val="23"/>
          <w:szCs w:val="23"/>
        </w:rPr>
        <w:t xml:space="preserve"> situación que permite a esta Corporación coincidir con el discernimiento de primera instancia, frente al derecho que le asiste al señor José Jairo Castaño Rincón de percibir </w:t>
      </w:r>
      <w:r w:rsidR="00651EF3" w:rsidRPr="00D82894">
        <w:rPr>
          <w:rFonts w:ascii="Tahoma" w:hAnsi="Tahoma" w:cs="Tahoma"/>
          <w:bCs/>
          <w:sz w:val="23"/>
          <w:szCs w:val="23"/>
        </w:rPr>
        <w:t>la pensión de invalidez desde el 28 de julio de 2010, fecha de estructuración.</w:t>
      </w:r>
    </w:p>
    <w:p w:rsidR="0010524F" w:rsidRPr="00D82894" w:rsidRDefault="0010524F" w:rsidP="001F5962">
      <w:pPr>
        <w:pStyle w:val="Sinespaciado"/>
        <w:rPr>
          <w:sz w:val="23"/>
          <w:szCs w:val="23"/>
        </w:rPr>
      </w:pPr>
    </w:p>
    <w:p w:rsidR="00ED586C" w:rsidRPr="00D82894" w:rsidRDefault="00ED586C" w:rsidP="009E4771">
      <w:pPr>
        <w:pStyle w:val="Textoindependiente"/>
        <w:spacing w:after="0" w:line="276" w:lineRule="auto"/>
        <w:ind w:right="51" w:firstLine="708"/>
        <w:jc w:val="both"/>
        <w:rPr>
          <w:rFonts w:ascii="Tahoma" w:hAnsi="Tahoma" w:cs="Tahoma"/>
          <w:bCs/>
          <w:sz w:val="23"/>
          <w:szCs w:val="23"/>
        </w:rPr>
      </w:pPr>
      <w:r w:rsidRPr="00D82894">
        <w:rPr>
          <w:rFonts w:ascii="Tahoma" w:hAnsi="Tahoma" w:cs="Tahoma"/>
          <w:bCs/>
          <w:sz w:val="23"/>
          <w:szCs w:val="23"/>
        </w:rPr>
        <w:t xml:space="preserve">Por otra parte, </w:t>
      </w:r>
      <w:r w:rsidR="0075591F" w:rsidRPr="00D82894">
        <w:rPr>
          <w:rFonts w:ascii="Tahoma" w:hAnsi="Tahoma" w:cs="Tahoma"/>
          <w:bCs/>
          <w:sz w:val="23"/>
          <w:szCs w:val="23"/>
        </w:rPr>
        <w:t xml:space="preserve">se encuentra acertado </w:t>
      </w:r>
      <w:r w:rsidRPr="00D82894">
        <w:rPr>
          <w:rFonts w:ascii="Tahoma" w:hAnsi="Tahoma" w:cs="Tahoma"/>
          <w:bCs/>
          <w:sz w:val="23"/>
          <w:szCs w:val="23"/>
        </w:rPr>
        <w:t>el valor de la mesada a la que tiene derecho el actor por tratarse del salario mínimo legal</w:t>
      </w:r>
      <w:r w:rsidR="003C1DB4" w:rsidRPr="00D82894">
        <w:rPr>
          <w:rFonts w:ascii="Tahoma" w:hAnsi="Tahoma" w:cs="Tahoma"/>
          <w:bCs/>
          <w:sz w:val="23"/>
          <w:szCs w:val="23"/>
        </w:rPr>
        <w:t xml:space="preserve"> mensua</w:t>
      </w:r>
      <w:r w:rsidR="009E28F8" w:rsidRPr="00D82894">
        <w:rPr>
          <w:rFonts w:ascii="Tahoma" w:hAnsi="Tahoma" w:cs="Tahoma"/>
          <w:bCs/>
          <w:sz w:val="23"/>
          <w:szCs w:val="23"/>
        </w:rPr>
        <w:t>l, así como que tiene derecho a percibir</w:t>
      </w:r>
      <w:r w:rsidR="003C1DB4" w:rsidRPr="00D82894">
        <w:rPr>
          <w:rFonts w:ascii="Tahoma" w:hAnsi="Tahoma" w:cs="Tahoma"/>
          <w:bCs/>
          <w:sz w:val="23"/>
          <w:szCs w:val="23"/>
        </w:rPr>
        <w:t xml:space="preserve"> dos mesadas adicionales por haberse causado</w:t>
      </w:r>
      <w:r w:rsidR="009E28F8" w:rsidRPr="00D82894">
        <w:rPr>
          <w:rFonts w:ascii="Tahoma" w:hAnsi="Tahoma" w:cs="Tahoma"/>
          <w:bCs/>
          <w:sz w:val="23"/>
          <w:szCs w:val="23"/>
        </w:rPr>
        <w:t xml:space="preserve"> la prestación</w:t>
      </w:r>
      <w:r w:rsidR="00651EF3" w:rsidRPr="00D82894">
        <w:rPr>
          <w:rFonts w:ascii="Tahoma" w:hAnsi="Tahoma" w:cs="Tahoma"/>
          <w:bCs/>
          <w:sz w:val="23"/>
          <w:szCs w:val="23"/>
        </w:rPr>
        <w:t xml:space="preserve"> antes del 31 de julio de 2011, sin que a la fecha de presentación de la demanda se hubiera visto afectada ninguna </w:t>
      </w:r>
      <w:r w:rsidR="009F4B0E" w:rsidRPr="00D82894">
        <w:rPr>
          <w:rFonts w:ascii="Tahoma" w:hAnsi="Tahoma" w:cs="Tahoma"/>
          <w:bCs/>
          <w:sz w:val="23"/>
          <w:szCs w:val="23"/>
        </w:rPr>
        <w:t xml:space="preserve">suma </w:t>
      </w:r>
      <w:r w:rsidR="00651EF3" w:rsidRPr="00D82894">
        <w:rPr>
          <w:rFonts w:ascii="Tahoma" w:hAnsi="Tahoma" w:cs="Tahoma"/>
          <w:bCs/>
          <w:sz w:val="23"/>
          <w:szCs w:val="23"/>
        </w:rPr>
        <w:t>por el fenómeno extintivo de la prescripción, por cuanto la calificación de pérdida de capacidad laboral se llevó a cabo el 16 de enero de 2012 (fl. 16), la reclamación administrativa que interrumpió la prescripción el 22 de mayo de 2012, el 16 de noviembre de</w:t>
      </w:r>
      <w:r w:rsidR="00BD554C" w:rsidRPr="00D82894">
        <w:rPr>
          <w:rFonts w:ascii="Tahoma" w:hAnsi="Tahoma" w:cs="Tahoma"/>
          <w:bCs/>
          <w:sz w:val="23"/>
          <w:szCs w:val="23"/>
        </w:rPr>
        <w:t>l mismo año fue resuelta desfavorablemente la solicitud pensional (f. 15) y finalmente la demanda se interpuso el 5 de agosto de 2013.</w:t>
      </w:r>
    </w:p>
    <w:p w:rsidR="00BD554C" w:rsidRPr="00D82894" w:rsidRDefault="00BD554C" w:rsidP="001F5962">
      <w:pPr>
        <w:pStyle w:val="Sinespaciado"/>
        <w:rPr>
          <w:sz w:val="23"/>
          <w:szCs w:val="23"/>
        </w:rPr>
      </w:pPr>
    </w:p>
    <w:p w:rsidR="00ED586C" w:rsidRPr="00D82894" w:rsidRDefault="00011F78" w:rsidP="009E4771">
      <w:pPr>
        <w:pStyle w:val="Textoindependiente"/>
        <w:spacing w:after="0" w:line="276" w:lineRule="auto"/>
        <w:ind w:right="51" w:firstLine="708"/>
        <w:jc w:val="both"/>
        <w:rPr>
          <w:rFonts w:ascii="Tahoma" w:hAnsi="Tahoma" w:cs="Tahoma"/>
          <w:bCs/>
          <w:sz w:val="23"/>
          <w:szCs w:val="23"/>
        </w:rPr>
      </w:pPr>
      <w:r w:rsidRPr="00D82894">
        <w:rPr>
          <w:rFonts w:ascii="Tahoma" w:hAnsi="Tahoma" w:cs="Tahoma"/>
          <w:bCs/>
          <w:sz w:val="23"/>
          <w:szCs w:val="23"/>
        </w:rPr>
        <w:t>Finalmente</w:t>
      </w:r>
      <w:r w:rsidR="00ED586C" w:rsidRPr="00D82894">
        <w:rPr>
          <w:rFonts w:ascii="Tahoma" w:hAnsi="Tahoma" w:cs="Tahoma"/>
          <w:bCs/>
          <w:sz w:val="23"/>
          <w:szCs w:val="23"/>
        </w:rPr>
        <w:t xml:space="preserve">, para efectos del cumplimiento efectivo de la </w:t>
      </w:r>
      <w:r w:rsidR="003C1DB4" w:rsidRPr="00D82894">
        <w:rPr>
          <w:rFonts w:ascii="Tahoma" w:hAnsi="Tahoma" w:cs="Tahoma"/>
          <w:bCs/>
          <w:sz w:val="23"/>
          <w:szCs w:val="23"/>
        </w:rPr>
        <w:t xml:space="preserve">condena la Sala procedió a actualizar el valor adeudado del </w:t>
      </w:r>
      <w:r w:rsidR="004A28C3" w:rsidRPr="00D82894">
        <w:rPr>
          <w:rFonts w:ascii="Tahoma" w:hAnsi="Tahoma" w:cs="Tahoma"/>
          <w:bCs/>
          <w:sz w:val="23"/>
          <w:szCs w:val="23"/>
        </w:rPr>
        <w:t>28 de julio de 2010</w:t>
      </w:r>
      <w:r w:rsidR="003C1DB4" w:rsidRPr="00D82894">
        <w:rPr>
          <w:rFonts w:ascii="Tahoma" w:hAnsi="Tahoma" w:cs="Tahoma"/>
          <w:bCs/>
          <w:sz w:val="23"/>
          <w:szCs w:val="23"/>
        </w:rPr>
        <w:t xml:space="preserve"> al 31 de </w:t>
      </w:r>
      <w:r w:rsidR="004A28C3" w:rsidRPr="00D82894">
        <w:rPr>
          <w:rFonts w:ascii="Tahoma" w:hAnsi="Tahoma" w:cs="Tahoma"/>
          <w:bCs/>
          <w:sz w:val="23"/>
          <w:szCs w:val="23"/>
        </w:rPr>
        <w:t xml:space="preserve">marzo de </w:t>
      </w:r>
      <w:r w:rsidR="003C1DB4" w:rsidRPr="00D82894">
        <w:rPr>
          <w:rFonts w:ascii="Tahoma" w:hAnsi="Tahoma" w:cs="Tahoma"/>
          <w:bCs/>
          <w:sz w:val="23"/>
          <w:szCs w:val="23"/>
        </w:rPr>
        <w:t>201</w:t>
      </w:r>
      <w:r w:rsidR="004A28C3" w:rsidRPr="00D82894">
        <w:rPr>
          <w:rFonts w:ascii="Tahoma" w:hAnsi="Tahoma" w:cs="Tahoma"/>
          <w:bCs/>
          <w:sz w:val="23"/>
          <w:szCs w:val="23"/>
        </w:rPr>
        <w:t>6</w:t>
      </w:r>
      <w:r w:rsidR="003C1DB4" w:rsidRPr="00D82894">
        <w:rPr>
          <w:rFonts w:ascii="Tahoma" w:hAnsi="Tahoma" w:cs="Tahoma"/>
          <w:bCs/>
          <w:sz w:val="23"/>
          <w:szCs w:val="23"/>
        </w:rPr>
        <w:t>, encontrando que el mismo asciende a $</w:t>
      </w:r>
      <w:r w:rsidR="004A28C3" w:rsidRPr="00D82894">
        <w:rPr>
          <w:rFonts w:ascii="Tahoma" w:hAnsi="Tahoma" w:cs="Tahoma"/>
          <w:bCs/>
          <w:sz w:val="23"/>
          <w:szCs w:val="23"/>
        </w:rPr>
        <w:t>46.493.615</w:t>
      </w:r>
      <w:r w:rsidR="003C1DB4" w:rsidRPr="00D82894">
        <w:rPr>
          <w:rFonts w:ascii="Tahoma" w:hAnsi="Tahoma" w:cs="Tahoma"/>
          <w:bCs/>
          <w:sz w:val="23"/>
          <w:szCs w:val="23"/>
        </w:rPr>
        <w:t xml:space="preserve">, tal como se observa en la liquidación que se pone de presente a las partes y que hará parte integral del acta que se levante con </w:t>
      </w:r>
      <w:r w:rsidR="009E28F8" w:rsidRPr="00D82894">
        <w:rPr>
          <w:rFonts w:ascii="Tahoma" w:hAnsi="Tahoma" w:cs="Tahoma"/>
          <w:bCs/>
          <w:sz w:val="23"/>
          <w:szCs w:val="23"/>
        </w:rPr>
        <w:t>ocasión</w:t>
      </w:r>
      <w:r w:rsidR="003C1DB4" w:rsidRPr="00D82894">
        <w:rPr>
          <w:rFonts w:ascii="Tahoma" w:hAnsi="Tahoma" w:cs="Tahoma"/>
          <w:bCs/>
          <w:sz w:val="23"/>
          <w:szCs w:val="23"/>
        </w:rPr>
        <w:t xml:space="preserve"> de la presente diligencia.</w:t>
      </w:r>
      <w:r w:rsidR="00BC6721" w:rsidRPr="00D82894">
        <w:rPr>
          <w:rFonts w:ascii="Tahoma" w:hAnsi="Tahoma" w:cs="Tahoma"/>
          <w:bCs/>
          <w:sz w:val="23"/>
          <w:szCs w:val="23"/>
        </w:rPr>
        <w:t xml:space="preserve"> En ese s</w:t>
      </w:r>
      <w:r w:rsidR="004A28C3" w:rsidRPr="00D82894">
        <w:rPr>
          <w:rFonts w:ascii="Tahoma" w:hAnsi="Tahoma" w:cs="Tahoma"/>
          <w:bCs/>
          <w:sz w:val="23"/>
          <w:szCs w:val="23"/>
        </w:rPr>
        <w:t>entido se modificará el ordinal segundo</w:t>
      </w:r>
      <w:r w:rsidR="00BC6721" w:rsidRPr="00D82894">
        <w:rPr>
          <w:rFonts w:ascii="Tahoma" w:hAnsi="Tahoma" w:cs="Tahoma"/>
          <w:bCs/>
          <w:sz w:val="23"/>
          <w:szCs w:val="23"/>
        </w:rPr>
        <w:t xml:space="preserve"> de la</w:t>
      </w:r>
      <w:r w:rsidR="00BD554C" w:rsidRPr="00D82894">
        <w:rPr>
          <w:rFonts w:ascii="Tahoma" w:hAnsi="Tahoma" w:cs="Tahoma"/>
          <w:bCs/>
          <w:sz w:val="23"/>
          <w:szCs w:val="23"/>
        </w:rPr>
        <w:t xml:space="preserve"> sentencia de primera instancia.</w:t>
      </w:r>
    </w:p>
    <w:p w:rsidR="009E4771" w:rsidRPr="00D82894" w:rsidRDefault="009E4771" w:rsidP="009E4771">
      <w:pPr>
        <w:tabs>
          <w:tab w:val="left" w:pos="748"/>
        </w:tabs>
        <w:spacing w:line="276" w:lineRule="auto"/>
        <w:ind w:firstLine="709"/>
        <w:jc w:val="both"/>
        <w:rPr>
          <w:rFonts w:ascii="Tahoma" w:hAnsi="Tahoma" w:cs="Tahoma"/>
          <w:bCs/>
          <w:sz w:val="23"/>
          <w:szCs w:val="23"/>
        </w:rPr>
      </w:pPr>
      <w:r w:rsidRPr="00D82894">
        <w:rPr>
          <w:rFonts w:ascii="Tahoma" w:hAnsi="Tahoma" w:cs="Tahoma"/>
          <w:bCs/>
          <w:sz w:val="23"/>
          <w:szCs w:val="23"/>
        </w:rPr>
        <w:t>Las costas en primera instancia no variarán</w:t>
      </w:r>
      <w:r w:rsidR="00BC6721" w:rsidRPr="00D82894">
        <w:rPr>
          <w:rFonts w:ascii="Tahoma" w:hAnsi="Tahoma" w:cs="Tahoma"/>
          <w:bCs/>
          <w:sz w:val="23"/>
          <w:szCs w:val="23"/>
        </w:rPr>
        <w:t>.</w:t>
      </w:r>
      <w:r w:rsidRPr="00D82894">
        <w:rPr>
          <w:rFonts w:ascii="Tahoma" w:hAnsi="Tahoma" w:cs="Tahoma"/>
          <w:bCs/>
          <w:sz w:val="23"/>
          <w:szCs w:val="23"/>
        </w:rPr>
        <w:t xml:space="preserve"> </w:t>
      </w:r>
      <w:r w:rsidR="009E28F8" w:rsidRPr="00D82894">
        <w:rPr>
          <w:rFonts w:ascii="Tahoma" w:hAnsi="Tahoma" w:cs="Tahoma"/>
          <w:bCs/>
          <w:sz w:val="23"/>
          <w:szCs w:val="23"/>
        </w:rPr>
        <w:t>En</w:t>
      </w:r>
      <w:r w:rsidRPr="00D82894">
        <w:rPr>
          <w:rFonts w:ascii="Tahoma" w:hAnsi="Tahoma" w:cs="Tahoma"/>
          <w:bCs/>
          <w:sz w:val="23"/>
          <w:szCs w:val="23"/>
        </w:rPr>
        <w:t xml:space="preserve"> esta instancia </w:t>
      </w:r>
      <w:r w:rsidR="00BC6721" w:rsidRPr="00D82894">
        <w:rPr>
          <w:rFonts w:ascii="Tahoma" w:hAnsi="Tahoma" w:cs="Tahoma"/>
          <w:bCs/>
          <w:sz w:val="23"/>
          <w:szCs w:val="23"/>
        </w:rPr>
        <w:t xml:space="preserve">se causan en un 100% en contra de la entidad apelante y a favor del </w:t>
      </w:r>
      <w:r w:rsidR="009E28F8" w:rsidRPr="00D82894">
        <w:rPr>
          <w:rFonts w:ascii="Tahoma" w:hAnsi="Tahoma" w:cs="Tahoma"/>
          <w:bCs/>
          <w:sz w:val="23"/>
          <w:szCs w:val="23"/>
        </w:rPr>
        <w:t>demandante</w:t>
      </w:r>
      <w:r w:rsidR="00956DEB" w:rsidRPr="00D82894">
        <w:rPr>
          <w:rFonts w:ascii="Tahoma" w:hAnsi="Tahoma" w:cs="Tahoma"/>
          <w:bCs/>
          <w:sz w:val="23"/>
          <w:szCs w:val="23"/>
        </w:rPr>
        <w:t xml:space="preserve">. </w:t>
      </w:r>
      <w:r w:rsidR="00011F78" w:rsidRPr="00D82894">
        <w:rPr>
          <w:rFonts w:ascii="Tahoma" w:hAnsi="Tahoma" w:cs="Tahoma"/>
          <w:bCs/>
          <w:sz w:val="23"/>
          <w:szCs w:val="23"/>
        </w:rPr>
        <w:t xml:space="preserve">Liquídense </w:t>
      </w:r>
      <w:r w:rsidR="00956DEB" w:rsidRPr="00D82894">
        <w:rPr>
          <w:rFonts w:ascii="Tahoma" w:hAnsi="Tahoma" w:cs="Tahoma"/>
          <w:bCs/>
          <w:sz w:val="23"/>
          <w:szCs w:val="23"/>
        </w:rPr>
        <w:t>por la secretaria del juzgado de origen</w:t>
      </w:r>
      <w:r w:rsidR="00011F78" w:rsidRPr="00D82894">
        <w:rPr>
          <w:rFonts w:ascii="Tahoma" w:hAnsi="Tahoma" w:cs="Tahoma"/>
          <w:bCs/>
          <w:sz w:val="23"/>
          <w:szCs w:val="23"/>
        </w:rPr>
        <w:t xml:space="preserve"> de conformidad con el artículo 366 del CGP</w:t>
      </w:r>
      <w:r w:rsidR="00956DEB" w:rsidRPr="00D82894">
        <w:rPr>
          <w:rFonts w:ascii="Tahoma" w:hAnsi="Tahoma" w:cs="Tahoma"/>
          <w:bCs/>
          <w:sz w:val="23"/>
          <w:szCs w:val="23"/>
        </w:rPr>
        <w:t>.</w:t>
      </w:r>
    </w:p>
    <w:p w:rsidR="009E4771" w:rsidRPr="00D82894" w:rsidRDefault="009E4771" w:rsidP="001F5962">
      <w:pPr>
        <w:pStyle w:val="Sinespaciado"/>
        <w:rPr>
          <w:sz w:val="23"/>
          <w:szCs w:val="23"/>
        </w:rPr>
      </w:pPr>
    </w:p>
    <w:p w:rsidR="009E4771" w:rsidRPr="00D82894" w:rsidRDefault="009E4771" w:rsidP="009E4771">
      <w:pPr>
        <w:pStyle w:val="Sangradetextonormal"/>
        <w:spacing w:line="276" w:lineRule="auto"/>
        <w:rPr>
          <w:sz w:val="23"/>
          <w:szCs w:val="23"/>
        </w:rPr>
      </w:pPr>
      <w:r w:rsidRPr="00D82894">
        <w:rPr>
          <w:sz w:val="23"/>
          <w:szCs w:val="23"/>
        </w:rPr>
        <w:t xml:space="preserve">En mérito de lo expuesto, el </w:t>
      </w:r>
      <w:r w:rsidRPr="00D82894">
        <w:rPr>
          <w:b/>
          <w:sz w:val="23"/>
          <w:szCs w:val="23"/>
        </w:rPr>
        <w:t>Tribunal Superior del Distrito Judicial de Pereira (Risaralda)</w:t>
      </w:r>
      <w:r w:rsidRPr="00D82894">
        <w:rPr>
          <w:sz w:val="23"/>
          <w:szCs w:val="23"/>
        </w:rPr>
        <w:t xml:space="preserve">, </w:t>
      </w:r>
      <w:r w:rsidRPr="00D82894">
        <w:rPr>
          <w:b/>
          <w:sz w:val="23"/>
          <w:szCs w:val="23"/>
        </w:rPr>
        <w:t>Sala</w:t>
      </w:r>
      <w:r w:rsidR="00956DEB" w:rsidRPr="00D82894">
        <w:rPr>
          <w:b/>
          <w:sz w:val="23"/>
          <w:szCs w:val="23"/>
        </w:rPr>
        <w:t xml:space="preserve"> de Decisión </w:t>
      </w:r>
      <w:r w:rsidRPr="00D82894">
        <w:rPr>
          <w:b/>
          <w:sz w:val="23"/>
          <w:szCs w:val="23"/>
        </w:rPr>
        <w:t>Laboral</w:t>
      </w:r>
      <w:r w:rsidR="00956DEB" w:rsidRPr="00D82894">
        <w:rPr>
          <w:b/>
          <w:sz w:val="23"/>
          <w:szCs w:val="23"/>
        </w:rPr>
        <w:t xml:space="preserve"> No. 1</w:t>
      </w:r>
      <w:r w:rsidRPr="00D82894">
        <w:rPr>
          <w:sz w:val="23"/>
          <w:szCs w:val="23"/>
        </w:rPr>
        <w:t>, administrando justicia en nombre de la República y por autoridad de la Ley,</w:t>
      </w:r>
    </w:p>
    <w:p w:rsidR="00F621B8" w:rsidRPr="00D82894" w:rsidRDefault="00D83964" w:rsidP="009E28F8">
      <w:pPr>
        <w:pStyle w:val="Textoindependiente"/>
        <w:spacing w:after="0"/>
        <w:ind w:right="51"/>
        <w:jc w:val="both"/>
        <w:rPr>
          <w:rFonts w:ascii="Tahoma" w:hAnsi="Tahoma" w:cs="Tahoma"/>
          <w:sz w:val="23"/>
          <w:szCs w:val="23"/>
        </w:rPr>
      </w:pPr>
      <w:r w:rsidRPr="00D82894">
        <w:rPr>
          <w:rFonts w:ascii="Tahoma" w:hAnsi="Tahoma" w:cs="Tahoma"/>
          <w:sz w:val="23"/>
          <w:szCs w:val="23"/>
        </w:rPr>
        <w:t xml:space="preserve"> </w:t>
      </w:r>
    </w:p>
    <w:p w:rsidR="009C50D0" w:rsidRPr="00D82894" w:rsidRDefault="009C50D0" w:rsidP="00617E8F">
      <w:pPr>
        <w:widowControl w:val="0"/>
        <w:autoSpaceDE w:val="0"/>
        <w:autoSpaceDN w:val="0"/>
        <w:adjustRightInd w:val="0"/>
        <w:spacing w:line="276" w:lineRule="auto"/>
        <w:jc w:val="center"/>
        <w:rPr>
          <w:rFonts w:ascii="Tahoma" w:hAnsi="Tahoma" w:cs="Tahoma"/>
          <w:b/>
          <w:sz w:val="23"/>
          <w:szCs w:val="23"/>
        </w:rPr>
      </w:pPr>
      <w:r w:rsidRPr="00D82894">
        <w:rPr>
          <w:rFonts w:ascii="Tahoma" w:hAnsi="Tahoma" w:cs="Tahoma"/>
          <w:b/>
          <w:sz w:val="23"/>
          <w:szCs w:val="23"/>
        </w:rPr>
        <w:t>RESUELVE:</w:t>
      </w:r>
    </w:p>
    <w:p w:rsidR="009C50D0" w:rsidRPr="00D82894" w:rsidRDefault="009C50D0" w:rsidP="009E28F8">
      <w:pPr>
        <w:widowControl w:val="0"/>
        <w:autoSpaceDE w:val="0"/>
        <w:autoSpaceDN w:val="0"/>
        <w:adjustRightInd w:val="0"/>
        <w:jc w:val="both"/>
        <w:rPr>
          <w:rFonts w:ascii="Tahoma" w:hAnsi="Tahoma" w:cs="Tahoma"/>
          <w:sz w:val="23"/>
          <w:szCs w:val="23"/>
        </w:rPr>
      </w:pPr>
    </w:p>
    <w:p w:rsidR="009A5C68" w:rsidRPr="00D82894" w:rsidRDefault="009C50D0" w:rsidP="009A5C68">
      <w:pPr>
        <w:spacing w:line="276" w:lineRule="auto"/>
        <w:ind w:firstLine="708"/>
        <w:jc w:val="both"/>
        <w:rPr>
          <w:rFonts w:ascii="Tahoma" w:hAnsi="Tahoma" w:cs="Tahoma"/>
          <w:sz w:val="23"/>
          <w:szCs w:val="23"/>
        </w:rPr>
      </w:pPr>
      <w:r w:rsidRPr="00D82894">
        <w:rPr>
          <w:rFonts w:ascii="Tahoma" w:hAnsi="Tahoma" w:cs="Tahoma"/>
          <w:b/>
          <w:sz w:val="23"/>
          <w:szCs w:val="23"/>
          <w:u w:val="single"/>
        </w:rPr>
        <w:t>PRIMERO</w:t>
      </w:r>
      <w:r w:rsidRPr="00D82894">
        <w:rPr>
          <w:rFonts w:ascii="Tahoma" w:hAnsi="Tahoma" w:cs="Tahoma"/>
          <w:sz w:val="23"/>
          <w:szCs w:val="23"/>
        </w:rPr>
        <w:t xml:space="preserve">.- </w:t>
      </w:r>
      <w:r w:rsidR="009A5C68" w:rsidRPr="00D82894">
        <w:rPr>
          <w:rFonts w:ascii="Tahoma" w:hAnsi="Tahoma" w:cs="Tahoma"/>
          <w:b/>
          <w:sz w:val="23"/>
          <w:szCs w:val="23"/>
        </w:rPr>
        <w:t>MODIFICAR</w:t>
      </w:r>
      <w:r w:rsidR="009A5C68" w:rsidRPr="00D82894">
        <w:rPr>
          <w:rFonts w:ascii="Tahoma" w:hAnsi="Tahoma" w:cs="Tahoma"/>
          <w:sz w:val="23"/>
          <w:szCs w:val="23"/>
        </w:rPr>
        <w:t xml:space="preserve"> </w:t>
      </w:r>
      <w:r w:rsidR="000F46E9" w:rsidRPr="00D82894">
        <w:rPr>
          <w:rFonts w:ascii="Tahoma" w:hAnsi="Tahoma" w:cs="Tahoma"/>
          <w:sz w:val="23"/>
          <w:szCs w:val="23"/>
        </w:rPr>
        <w:t xml:space="preserve">los ordinales </w:t>
      </w:r>
      <w:r w:rsidR="004A28C3" w:rsidRPr="00D82894">
        <w:rPr>
          <w:rFonts w:ascii="Tahoma" w:hAnsi="Tahoma" w:cs="Tahoma"/>
          <w:sz w:val="23"/>
          <w:szCs w:val="23"/>
        </w:rPr>
        <w:t>segundo</w:t>
      </w:r>
      <w:r w:rsidR="009A5C68" w:rsidRPr="00D82894">
        <w:rPr>
          <w:rFonts w:ascii="Tahoma" w:hAnsi="Tahoma" w:cs="Tahoma"/>
          <w:sz w:val="23"/>
          <w:szCs w:val="23"/>
        </w:rPr>
        <w:t xml:space="preserve"> </w:t>
      </w:r>
      <w:r w:rsidR="000F46E9" w:rsidRPr="00D82894">
        <w:rPr>
          <w:rFonts w:ascii="Tahoma" w:hAnsi="Tahoma" w:cs="Tahoma"/>
          <w:sz w:val="23"/>
          <w:szCs w:val="23"/>
        </w:rPr>
        <w:t xml:space="preserve">y tercero </w:t>
      </w:r>
      <w:r w:rsidR="009A5C68" w:rsidRPr="00D82894">
        <w:rPr>
          <w:rFonts w:ascii="Tahoma" w:hAnsi="Tahoma" w:cs="Tahoma"/>
          <w:sz w:val="23"/>
          <w:szCs w:val="23"/>
        </w:rPr>
        <w:t>de la sentencia proferida el 9 de diciembre de 2014 por el Juzgado Segundo Laboral del Circuito de Pereira, dentro del proceso ordinario laboral promovido por</w:t>
      </w:r>
      <w:r w:rsidR="009A5C68" w:rsidRPr="00D82894">
        <w:rPr>
          <w:rFonts w:ascii="Tahoma" w:hAnsi="Tahoma" w:cs="Tahoma"/>
          <w:b/>
          <w:sz w:val="23"/>
          <w:szCs w:val="23"/>
        </w:rPr>
        <w:t xml:space="preserve"> José Jairo Castaño Rincón </w:t>
      </w:r>
      <w:r w:rsidR="009A5C68" w:rsidRPr="00D82894">
        <w:rPr>
          <w:rFonts w:ascii="Tahoma" w:hAnsi="Tahoma" w:cs="Tahoma"/>
          <w:sz w:val="23"/>
          <w:szCs w:val="23"/>
          <w:lang w:val="es-ES_tradnl"/>
        </w:rPr>
        <w:t>en</w:t>
      </w:r>
      <w:r w:rsidR="009A5C68" w:rsidRPr="00D82894">
        <w:rPr>
          <w:rFonts w:ascii="Tahoma" w:hAnsi="Tahoma" w:cs="Tahoma"/>
          <w:b/>
          <w:sz w:val="23"/>
          <w:szCs w:val="23"/>
        </w:rPr>
        <w:t xml:space="preserve"> </w:t>
      </w:r>
      <w:r w:rsidR="009A5C68" w:rsidRPr="00D82894">
        <w:rPr>
          <w:rFonts w:ascii="Tahoma" w:hAnsi="Tahoma" w:cs="Tahoma"/>
          <w:sz w:val="23"/>
          <w:szCs w:val="23"/>
        </w:rPr>
        <w:t xml:space="preserve">contra de </w:t>
      </w:r>
      <w:r w:rsidR="009A5C68" w:rsidRPr="00D82894">
        <w:rPr>
          <w:rFonts w:ascii="Tahoma" w:hAnsi="Tahoma" w:cs="Tahoma"/>
          <w:b/>
          <w:sz w:val="23"/>
          <w:szCs w:val="23"/>
        </w:rPr>
        <w:t>Porvenir S.A.</w:t>
      </w:r>
      <w:r w:rsidR="009A5C68" w:rsidRPr="00D82894">
        <w:rPr>
          <w:rFonts w:ascii="Tahoma" w:hAnsi="Tahoma" w:cs="Tahoma"/>
          <w:sz w:val="23"/>
          <w:szCs w:val="23"/>
        </w:rPr>
        <w:t xml:space="preserve">, en el sentido de que el retroactivo causado entre el 28 de julio de 2010 y el 31 de marzo de 2016 asciende a </w:t>
      </w:r>
      <w:r w:rsidR="009A5C68" w:rsidRPr="00D82894">
        <w:rPr>
          <w:rFonts w:ascii="Tahoma" w:hAnsi="Tahoma" w:cs="Tahoma"/>
          <w:bCs/>
          <w:sz w:val="23"/>
          <w:szCs w:val="23"/>
        </w:rPr>
        <w:t>$</w:t>
      </w:r>
      <w:r w:rsidR="004A28C3" w:rsidRPr="00D82894">
        <w:rPr>
          <w:rFonts w:ascii="Tahoma" w:hAnsi="Tahoma" w:cs="Tahoma"/>
          <w:bCs/>
          <w:sz w:val="23"/>
          <w:szCs w:val="23"/>
        </w:rPr>
        <w:t>46.493.615</w:t>
      </w:r>
      <w:r w:rsidR="00D607DE" w:rsidRPr="00D82894">
        <w:rPr>
          <w:rFonts w:ascii="Tahoma" w:hAnsi="Tahoma" w:cs="Tahoma"/>
          <w:bCs/>
          <w:sz w:val="23"/>
          <w:szCs w:val="23"/>
        </w:rPr>
        <w:t>.</w:t>
      </w:r>
    </w:p>
    <w:p w:rsidR="009A5C68" w:rsidRPr="00D82894" w:rsidRDefault="009A5C68" w:rsidP="009A5C68">
      <w:pPr>
        <w:spacing w:line="276" w:lineRule="auto"/>
        <w:ind w:firstLine="708"/>
        <w:jc w:val="both"/>
        <w:rPr>
          <w:rFonts w:ascii="Tahoma" w:hAnsi="Tahoma" w:cs="Tahoma"/>
          <w:i/>
          <w:sz w:val="23"/>
          <w:szCs w:val="23"/>
        </w:rPr>
      </w:pPr>
    </w:p>
    <w:p w:rsidR="009A5C68" w:rsidRPr="00D82894" w:rsidRDefault="009A5C68" w:rsidP="009A5C68">
      <w:pPr>
        <w:spacing w:line="276" w:lineRule="auto"/>
        <w:ind w:firstLine="709"/>
        <w:jc w:val="both"/>
        <w:rPr>
          <w:rFonts w:ascii="Tahoma" w:hAnsi="Tahoma" w:cs="Tahoma"/>
          <w:sz w:val="23"/>
          <w:szCs w:val="23"/>
        </w:rPr>
      </w:pPr>
      <w:r w:rsidRPr="00D82894">
        <w:rPr>
          <w:rFonts w:ascii="Tahoma" w:hAnsi="Tahoma" w:cs="Tahoma"/>
          <w:b/>
          <w:sz w:val="23"/>
          <w:szCs w:val="23"/>
          <w:u w:val="single"/>
        </w:rPr>
        <w:t>SEGUNDO</w:t>
      </w:r>
      <w:r w:rsidRPr="00D82894">
        <w:rPr>
          <w:rFonts w:ascii="Tahoma" w:hAnsi="Tahoma" w:cs="Tahoma"/>
          <w:sz w:val="23"/>
          <w:szCs w:val="23"/>
        </w:rPr>
        <w:t>.- Confirmar en todo lo demás la sentencia de primera instancia.</w:t>
      </w:r>
    </w:p>
    <w:p w:rsidR="009A5C68" w:rsidRPr="00D82894" w:rsidRDefault="009A5C68" w:rsidP="009A5C68">
      <w:pPr>
        <w:spacing w:line="276" w:lineRule="auto"/>
        <w:ind w:firstLine="709"/>
        <w:jc w:val="both"/>
        <w:rPr>
          <w:rFonts w:ascii="Tahoma" w:hAnsi="Tahoma" w:cs="Tahoma"/>
          <w:sz w:val="23"/>
          <w:szCs w:val="23"/>
        </w:rPr>
      </w:pPr>
    </w:p>
    <w:p w:rsidR="000E70B6" w:rsidRPr="00D82894" w:rsidRDefault="009A5C68" w:rsidP="00617E8F">
      <w:pPr>
        <w:spacing w:line="276" w:lineRule="auto"/>
        <w:ind w:firstLine="709"/>
        <w:jc w:val="both"/>
        <w:rPr>
          <w:rFonts w:ascii="Tahoma" w:hAnsi="Tahoma" w:cs="Tahoma"/>
          <w:sz w:val="23"/>
          <w:szCs w:val="23"/>
        </w:rPr>
      </w:pPr>
      <w:r w:rsidRPr="00D82894">
        <w:rPr>
          <w:rFonts w:ascii="Tahoma" w:hAnsi="Tahoma" w:cs="Tahoma"/>
          <w:b/>
          <w:sz w:val="23"/>
          <w:szCs w:val="23"/>
          <w:u w:val="single"/>
        </w:rPr>
        <w:t>TERCERO</w:t>
      </w:r>
      <w:r w:rsidR="009C50D0" w:rsidRPr="00D82894">
        <w:rPr>
          <w:rFonts w:ascii="Tahoma" w:hAnsi="Tahoma" w:cs="Tahoma"/>
          <w:sz w:val="23"/>
          <w:szCs w:val="23"/>
        </w:rPr>
        <w:t>.-</w:t>
      </w:r>
      <w:r w:rsidR="00F621B8" w:rsidRPr="00D82894">
        <w:rPr>
          <w:rFonts w:ascii="Tahoma" w:hAnsi="Tahoma" w:cs="Tahoma"/>
          <w:sz w:val="23"/>
          <w:szCs w:val="23"/>
        </w:rPr>
        <w:t xml:space="preserve"> </w:t>
      </w:r>
      <w:r w:rsidR="00BC6721" w:rsidRPr="00D82894">
        <w:rPr>
          <w:rFonts w:ascii="Tahoma" w:hAnsi="Tahoma" w:cs="Tahoma"/>
          <w:sz w:val="23"/>
          <w:szCs w:val="23"/>
        </w:rPr>
        <w:t xml:space="preserve">Condenar en costas de segunda instancia a </w:t>
      </w:r>
      <w:r w:rsidR="00956DEB" w:rsidRPr="00D82894">
        <w:rPr>
          <w:rFonts w:ascii="Tahoma" w:hAnsi="Tahoma" w:cs="Tahoma"/>
          <w:b/>
          <w:sz w:val="23"/>
          <w:szCs w:val="23"/>
        </w:rPr>
        <w:t>Porvenir S.A.</w:t>
      </w:r>
      <w:r w:rsidR="00BC6721" w:rsidRPr="00D82894">
        <w:rPr>
          <w:rFonts w:ascii="Tahoma" w:hAnsi="Tahoma" w:cs="Tahoma"/>
          <w:sz w:val="23"/>
          <w:szCs w:val="23"/>
        </w:rPr>
        <w:t xml:space="preserve"> a favor de  </w:t>
      </w:r>
      <w:r w:rsidR="00956DEB" w:rsidRPr="00D82894">
        <w:rPr>
          <w:rFonts w:ascii="Tahoma" w:hAnsi="Tahoma" w:cs="Tahoma"/>
          <w:sz w:val="23"/>
          <w:szCs w:val="23"/>
        </w:rPr>
        <w:t>José Jairo Castaño Rincón</w:t>
      </w:r>
      <w:r w:rsidR="00BC6721" w:rsidRPr="00D82894">
        <w:rPr>
          <w:rFonts w:ascii="Tahoma" w:hAnsi="Tahoma" w:cs="Tahoma"/>
          <w:sz w:val="23"/>
          <w:szCs w:val="23"/>
        </w:rPr>
        <w:t xml:space="preserve"> </w:t>
      </w:r>
      <w:r w:rsidR="00956DEB" w:rsidRPr="00D82894">
        <w:rPr>
          <w:rFonts w:ascii="Tahoma" w:hAnsi="Tahoma" w:cs="Tahoma"/>
          <w:sz w:val="23"/>
          <w:szCs w:val="23"/>
        </w:rPr>
        <w:t xml:space="preserve">en un 100%, las cuales se </w:t>
      </w:r>
      <w:r w:rsidR="00011F78" w:rsidRPr="00D82894">
        <w:rPr>
          <w:rFonts w:ascii="Tahoma" w:hAnsi="Tahoma" w:cs="Tahoma"/>
          <w:sz w:val="23"/>
          <w:szCs w:val="23"/>
        </w:rPr>
        <w:t xml:space="preserve">liquidarán </w:t>
      </w:r>
      <w:r w:rsidR="00956DEB" w:rsidRPr="00D82894">
        <w:rPr>
          <w:rFonts w:ascii="Tahoma" w:hAnsi="Tahoma" w:cs="Tahoma"/>
          <w:sz w:val="23"/>
          <w:szCs w:val="23"/>
        </w:rPr>
        <w:t>por la secretar</w:t>
      </w:r>
      <w:r w:rsidR="00011F78" w:rsidRPr="00D82894">
        <w:rPr>
          <w:rFonts w:ascii="Tahoma" w:hAnsi="Tahoma" w:cs="Tahoma"/>
          <w:sz w:val="23"/>
          <w:szCs w:val="23"/>
        </w:rPr>
        <w:t>í</w:t>
      </w:r>
      <w:r w:rsidR="00956DEB" w:rsidRPr="00D82894">
        <w:rPr>
          <w:rFonts w:ascii="Tahoma" w:hAnsi="Tahoma" w:cs="Tahoma"/>
          <w:sz w:val="23"/>
          <w:szCs w:val="23"/>
        </w:rPr>
        <w:t>a del juzgado de origen.</w:t>
      </w:r>
    </w:p>
    <w:p w:rsidR="000E70B6" w:rsidRPr="00D82894" w:rsidRDefault="000E70B6" w:rsidP="00D82894">
      <w:pPr>
        <w:ind w:firstLine="709"/>
        <w:jc w:val="both"/>
        <w:rPr>
          <w:rFonts w:ascii="Tahoma" w:hAnsi="Tahoma" w:cs="Tahoma"/>
          <w:sz w:val="23"/>
          <w:szCs w:val="23"/>
        </w:rPr>
      </w:pPr>
    </w:p>
    <w:p w:rsidR="009C50D0" w:rsidRPr="00D82894" w:rsidRDefault="009C50D0" w:rsidP="00617E8F">
      <w:pPr>
        <w:widowControl w:val="0"/>
        <w:autoSpaceDE w:val="0"/>
        <w:autoSpaceDN w:val="0"/>
        <w:adjustRightInd w:val="0"/>
        <w:spacing w:line="276" w:lineRule="auto"/>
        <w:jc w:val="both"/>
        <w:rPr>
          <w:rFonts w:ascii="Tahoma" w:hAnsi="Tahoma" w:cs="Tahoma"/>
          <w:b/>
          <w:bCs/>
          <w:sz w:val="23"/>
          <w:szCs w:val="23"/>
        </w:rPr>
      </w:pPr>
      <w:r w:rsidRPr="00D82894">
        <w:rPr>
          <w:rFonts w:ascii="Tahoma" w:hAnsi="Tahoma" w:cs="Tahoma"/>
          <w:sz w:val="23"/>
          <w:szCs w:val="23"/>
        </w:rPr>
        <w:tab/>
      </w:r>
      <w:r w:rsidRPr="00D82894">
        <w:rPr>
          <w:rFonts w:ascii="Tahoma" w:hAnsi="Tahoma" w:cs="Tahoma"/>
          <w:b/>
          <w:bCs/>
          <w:sz w:val="23"/>
          <w:szCs w:val="23"/>
        </w:rPr>
        <w:t>Notificación surtida en estrados.</w:t>
      </w:r>
    </w:p>
    <w:p w:rsidR="009C50D0" w:rsidRPr="00D82894" w:rsidRDefault="009C50D0" w:rsidP="00617E8F">
      <w:pPr>
        <w:widowControl w:val="0"/>
        <w:autoSpaceDE w:val="0"/>
        <w:autoSpaceDN w:val="0"/>
        <w:adjustRightInd w:val="0"/>
        <w:spacing w:line="276" w:lineRule="auto"/>
        <w:jc w:val="both"/>
        <w:rPr>
          <w:rFonts w:ascii="Tahoma" w:hAnsi="Tahoma" w:cs="Tahoma"/>
          <w:b/>
          <w:bCs/>
          <w:sz w:val="23"/>
          <w:szCs w:val="23"/>
        </w:rPr>
      </w:pPr>
    </w:p>
    <w:p w:rsidR="009C50D0" w:rsidRPr="00D82894" w:rsidRDefault="009C50D0" w:rsidP="00617E8F">
      <w:pPr>
        <w:widowControl w:val="0"/>
        <w:autoSpaceDE w:val="0"/>
        <w:autoSpaceDN w:val="0"/>
        <w:adjustRightInd w:val="0"/>
        <w:spacing w:line="276" w:lineRule="auto"/>
        <w:ind w:firstLine="708"/>
        <w:jc w:val="both"/>
        <w:rPr>
          <w:rFonts w:ascii="Tahoma" w:hAnsi="Tahoma" w:cs="Tahoma"/>
          <w:sz w:val="23"/>
          <w:szCs w:val="23"/>
        </w:rPr>
      </w:pPr>
      <w:r w:rsidRPr="00D82894">
        <w:rPr>
          <w:rFonts w:ascii="Tahoma" w:hAnsi="Tahoma" w:cs="Tahoma"/>
          <w:b/>
          <w:sz w:val="23"/>
          <w:szCs w:val="23"/>
        </w:rPr>
        <w:t>Cúmplase</w:t>
      </w:r>
      <w:r w:rsidRPr="00D82894">
        <w:rPr>
          <w:rFonts w:ascii="Tahoma" w:hAnsi="Tahoma" w:cs="Tahoma"/>
          <w:sz w:val="23"/>
          <w:szCs w:val="23"/>
        </w:rPr>
        <w:t xml:space="preserve"> y </w:t>
      </w:r>
      <w:r w:rsidRPr="00D82894">
        <w:rPr>
          <w:rFonts w:ascii="Tahoma" w:hAnsi="Tahoma" w:cs="Tahoma"/>
          <w:b/>
          <w:sz w:val="23"/>
          <w:szCs w:val="23"/>
        </w:rPr>
        <w:t>devuélvase</w:t>
      </w:r>
      <w:r w:rsidRPr="00D82894">
        <w:rPr>
          <w:rFonts w:ascii="Tahoma" w:hAnsi="Tahoma" w:cs="Tahoma"/>
          <w:sz w:val="23"/>
          <w:szCs w:val="23"/>
        </w:rPr>
        <w:t xml:space="preserve"> el expediente al Juzgado de origen.</w:t>
      </w:r>
    </w:p>
    <w:p w:rsidR="009C50D0" w:rsidRPr="00D82894" w:rsidRDefault="009C50D0" w:rsidP="00617E8F">
      <w:pPr>
        <w:widowControl w:val="0"/>
        <w:autoSpaceDE w:val="0"/>
        <w:autoSpaceDN w:val="0"/>
        <w:adjustRightInd w:val="0"/>
        <w:spacing w:line="276" w:lineRule="auto"/>
        <w:jc w:val="both"/>
        <w:rPr>
          <w:rFonts w:ascii="Tahoma" w:hAnsi="Tahoma" w:cs="Tahoma"/>
          <w:sz w:val="23"/>
          <w:szCs w:val="23"/>
        </w:rPr>
      </w:pPr>
    </w:p>
    <w:p w:rsidR="009C50D0" w:rsidRPr="00D82894" w:rsidRDefault="009C50D0" w:rsidP="00617E8F">
      <w:pPr>
        <w:widowControl w:val="0"/>
        <w:autoSpaceDE w:val="0"/>
        <w:autoSpaceDN w:val="0"/>
        <w:adjustRightInd w:val="0"/>
        <w:spacing w:line="276" w:lineRule="auto"/>
        <w:jc w:val="both"/>
        <w:rPr>
          <w:rFonts w:ascii="Tahoma" w:hAnsi="Tahoma" w:cs="Tahoma"/>
          <w:sz w:val="23"/>
          <w:szCs w:val="23"/>
        </w:rPr>
      </w:pPr>
      <w:r w:rsidRPr="00D82894">
        <w:rPr>
          <w:rFonts w:ascii="Tahoma" w:hAnsi="Tahoma" w:cs="Tahoma"/>
          <w:sz w:val="23"/>
          <w:szCs w:val="23"/>
        </w:rPr>
        <w:tab/>
        <w:t xml:space="preserve">No siendo otro el objeto de la presente diligencia, se termina siendo las </w:t>
      </w:r>
      <w:r w:rsidRPr="00D82894">
        <w:rPr>
          <w:rFonts w:ascii="Tahoma" w:hAnsi="Tahoma" w:cs="Tahoma"/>
          <w:sz w:val="23"/>
          <w:szCs w:val="23"/>
          <w:u w:val="single"/>
        </w:rPr>
        <w:t xml:space="preserve">_____ </w:t>
      </w:r>
      <w:r w:rsidRPr="00D82894">
        <w:rPr>
          <w:rFonts w:ascii="Tahoma" w:hAnsi="Tahoma" w:cs="Tahoma"/>
          <w:sz w:val="23"/>
          <w:szCs w:val="23"/>
        </w:rPr>
        <w:t>de la mañana, se levanta el acta y firman las personas que en la misma intervinieron.</w:t>
      </w:r>
    </w:p>
    <w:p w:rsidR="000E70B6" w:rsidRPr="00D82894" w:rsidRDefault="000E70B6" w:rsidP="00617E8F">
      <w:pPr>
        <w:widowControl w:val="0"/>
        <w:autoSpaceDE w:val="0"/>
        <w:autoSpaceDN w:val="0"/>
        <w:adjustRightInd w:val="0"/>
        <w:spacing w:line="276" w:lineRule="auto"/>
        <w:jc w:val="both"/>
        <w:rPr>
          <w:rFonts w:ascii="Tahoma" w:hAnsi="Tahoma" w:cs="Tahoma"/>
          <w:sz w:val="23"/>
          <w:szCs w:val="23"/>
        </w:rPr>
      </w:pPr>
    </w:p>
    <w:p w:rsidR="009C50D0" w:rsidRPr="00D82894" w:rsidRDefault="009C50D0" w:rsidP="00617E8F">
      <w:pPr>
        <w:spacing w:line="276" w:lineRule="auto"/>
        <w:ind w:firstLine="708"/>
        <w:jc w:val="both"/>
        <w:rPr>
          <w:rFonts w:ascii="Tahoma" w:hAnsi="Tahoma" w:cs="Tahoma"/>
          <w:sz w:val="23"/>
          <w:szCs w:val="23"/>
        </w:rPr>
      </w:pPr>
      <w:r w:rsidRPr="00D82894">
        <w:rPr>
          <w:rFonts w:ascii="Tahoma" w:hAnsi="Tahoma" w:cs="Tahoma"/>
          <w:sz w:val="23"/>
          <w:szCs w:val="23"/>
        </w:rPr>
        <w:t>La Magistrada,</w:t>
      </w:r>
    </w:p>
    <w:p w:rsidR="009E28F8" w:rsidRPr="00D82894" w:rsidRDefault="009E28F8" w:rsidP="00617E8F">
      <w:pPr>
        <w:spacing w:line="276" w:lineRule="auto"/>
        <w:rPr>
          <w:sz w:val="23"/>
          <w:szCs w:val="23"/>
        </w:rPr>
      </w:pPr>
    </w:p>
    <w:p w:rsidR="009E28F8" w:rsidRPr="00D82894" w:rsidRDefault="009E28F8" w:rsidP="00617E8F">
      <w:pPr>
        <w:spacing w:line="276" w:lineRule="auto"/>
        <w:rPr>
          <w:sz w:val="23"/>
          <w:szCs w:val="23"/>
        </w:rPr>
      </w:pPr>
    </w:p>
    <w:p w:rsidR="00D82894" w:rsidRPr="00D82894" w:rsidRDefault="00D82894" w:rsidP="00617E8F">
      <w:pPr>
        <w:spacing w:line="276" w:lineRule="auto"/>
        <w:rPr>
          <w:sz w:val="23"/>
          <w:szCs w:val="23"/>
        </w:rPr>
      </w:pPr>
    </w:p>
    <w:p w:rsidR="009C50D0" w:rsidRPr="00D82894" w:rsidRDefault="009C50D0" w:rsidP="00617E8F">
      <w:pPr>
        <w:pStyle w:val="Ttulo3"/>
        <w:spacing w:before="0" w:after="0" w:line="276" w:lineRule="auto"/>
        <w:jc w:val="center"/>
        <w:rPr>
          <w:rFonts w:ascii="Tahoma" w:hAnsi="Tahoma" w:cs="Tahoma"/>
          <w:bCs w:val="0"/>
          <w:sz w:val="23"/>
          <w:szCs w:val="23"/>
        </w:rPr>
      </w:pPr>
      <w:r w:rsidRPr="00D82894">
        <w:rPr>
          <w:rFonts w:ascii="Tahoma" w:hAnsi="Tahoma" w:cs="Tahoma"/>
          <w:bCs w:val="0"/>
          <w:sz w:val="23"/>
          <w:szCs w:val="23"/>
        </w:rPr>
        <w:t>ANA LUCÍA CAICEDO CALDERÓN</w:t>
      </w:r>
    </w:p>
    <w:p w:rsidR="00D82894" w:rsidRPr="00D82894" w:rsidRDefault="00D82894" w:rsidP="00D82894">
      <w:pPr>
        <w:rPr>
          <w:sz w:val="23"/>
          <w:szCs w:val="23"/>
        </w:rPr>
      </w:pPr>
    </w:p>
    <w:p w:rsidR="009C50D0" w:rsidRPr="00D82894" w:rsidRDefault="009C50D0" w:rsidP="00617E8F">
      <w:pPr>
        <w:spacing w:line="276" w:lineRule="auto"/>
        <w:ind w:firstLine="708"/>
        <w:jc w:val="both"/>
        <w:rPr>
          <w:rFonts w:ascii="Tahoma" w:hAnsi="Tahoma" w:cs="Tahoma"/>
          <w:sz w:val="23"/>
          <w:szCs w:val="23"/>
        </w:rPr>
      </w:pPr>
      <w:r w:rsidRPr="00D82894">
        <w:rPr>
          <w:rFonts w:ascii="Tahoma" w:hAnsi="Tahoma" w:cs="Tahoma"/>
          <w:sz w:val="23"/>
          <w:szCs w:val="23"/>
        </w:rPr>
        <w:t>Los Magistrados,</w:t>
      </w:r>
    </w:p>
    <w:p w:rsidR="009C50D0" w:rsidRPr="00D82894" w:rsidRDefault="009C50D0" w:rsidP="00617E8F">
      <w:pPr>
        <w:spacing w:line="276" w:lineRule="auto"/>
        <w:rPr>
          <w:rFonts w:ascii="Tahoma" w:hAnsi="Tahoma" w:cs="Tahoma"/>
          <w:b/>
          <w:sz w:val="23"/>
          <w:szCs w:val="23"/>
        </w:rPr>
      </w:pPr>
    </w:p>
    <w:p w:rsidR="00D82894" w:rsidRPr="00D82894" w:rsidRDefault="00D82894" w:rsidP="00617E8F">
      <w:pPr>
        <w:spacing w:line="276" w:lineRule="auto"/>
        <w:rPr>
          <w:rFonts w:ascii="Tahoma" w:hAnsi="Tahoma" w:cs="Tahoma"/>
          <w:b/>
          <w:sz w:val="23"/>
          <w:szCs w:val="23"/>
        </w:rPr>
      </w:pPr>
    </w:p>
    <w:p w:rsidR="00D82894" w:rsidRPr="00D82894" w:rsidRDefault="00D82894" w:rsidP="00617E8F">
      <w:pPr>
        <w:spacing w:line="276" w:lineRule="auto"/>
        <w:rPr>
          <w:rFonts w:ascii="Tahoma" w:hAnsi="Tahoma" w:cs="Tahoma"/>
          <w:b/>
          <w:sz w:val="23"/>
          <w:szCs w:val="23"/>
        </w:rPr>
      </w:pPr>
    </w:p>
    <w:p w:rsidR="009C50D0" w:rsidRPr="00D82894" w:rsidRDefault="009C50D0" w:rsidP="009C50D0">
      <w:pPr>
        <w:rPr>
          <w:rFonts w:ascii="Tahoma" w:hAnsi="Tahoma" w:cs="Tahoma"/>
          <w:b/>
          <w:sz w:val="23"/>
          <w:szCs w:val="23"/>
        </w:rPr>
      </w:pPr>
    </w:p>
    <w:p w:rsidR="009C50D0" w:rsidRPr="00D82894" w:rsidRDefault="009C50D0" w:rsidP="009C50D0">
      <w:pPr>
        <w:jc w:val="both"/>
        <w:rPr>
          <w:rFonts w:ascii="Tahoma" w:hAnsi="Tahoma" w:cs="Tahoma"/>
          <w:b/>
          <w:sz w:val="23"/>
          <w:szCs w:val="23"/>
        </w:rPr>
      </w:pPr>
      <w:r w:rsidRPr="00D82894">
        <w:rPr>
          <w:rFonts w:ascii="Tahoma" w:hAnsi="Tahoma" w:cs="Tahoma"/>
          <w:b/>
          <w:sz w:val="23"/>
          <w:szCs w:val="23"/>
        </w:rPr>
        <w:t>JULIO CÉSAR SALAZAR MUÑOZ</w:t>
      </w:r>
      <w:r w:rsidRPr="00D82894">
        <w:rPr>
          <w:rFonts w:ascii="Tahoma" w:hAnsi="Tahoma" w:cs="Tahoma"/>
          <w:b/>
          <w:sz w:val="23"/>
          <w:szCs w:val="23"/>
        </w:rPr>
        <w:tab/>
        <w:t xml:space="preserve">       FRANCISCO JAVIER TAMAYO TABARES</w:t>
      </w:r>
    </w:p>
    <w:p w:rsidR="009C50D0" w:rsidRPr="00D82894" w:rsidRDefault="009C50D0" w:rsidP="009C50D0">
      <w:pPr>
        <w:jc w:val="both"/>
        <w:rPr>
          <w:rFonts w:ascii="Tahoma" w:hAnsi="Tahoma" w:cs="Tahoma"/>
          <w:sz w:val="23"/>
          <w:szCs w:val="23"/>
        </w:rPr>
      </w:pPr>
      <w:r w:rsidRPr="00D82894">
        <w:rPr>
          <w:rFonts w:ascii="Tahoma" w:hAnsi="Tahoma" w:cs="Tahoma"/>
          <w:sz w:val="23"/>
          <w:szCs w:val="23"/>
        </w:rPr>
        <w:t xml:space="preserve">      </w:t>
      </w:r>
      <w:r w:rsidRPr="00D82894">
        <w:rPr>
          <w:rFonts w:ascii="Tahoma" w:hAnsi="Tahoma" w:cs="Tahoma"/>
          <w:sz w:val="23"/>
          <w:szCs w:val="23"/>
        </w:rPr>
        <w:tab/>
      </w:r>
      <w:r w:rsidRPr="00D82894">
        <w:rPr>
          <w:rFonts w:ascii="Tahoma" w:hAnsi="Tahoma" w:cs="Tahoma"/>
          <w:sz w:val="23"/>
          <w:szCs w:val="23"/>
        </w:rPr>
        <w:tab/>
      </w:r>
      <w:r w:rsidRPr="00D82894">
        <w:rPr>
          <w:rFonts w:ascii="Tahoma" w:hAnsi="Tahoma" w:cs="Tahoma"/>
          <w:sz w:val="23"/>
          <w:szCs w:val="23"/>
        </w:rPr>
        <w:tab/>
      </w:r>
      <w:r w:rsidRPr="00D82894">
        <w:rPr>
          <w:rFonts w:ascii="Tahoma" w:hAnsi="Tahoma" w:cs="Tahoma"/>
          <w:sz w:val="23"/>
          <w:szCs w:val="23"/>
        </w:rPr>
        <w:tab/>
      </w:r>
    </w:p>
    <w:p w:rsidR="00FC60F3" w:rsidRDefault="00FC60F3" w:rsidP="009C50D0">
      <w:pPr>
        <w:rPr>
          <w:rFonts w:ascii="Tahoma" w:hAnsi="Tahoma" w:cs="Tahoma"/>
          <w:b/>
          <w:sz w:val="23"/>
          <w:szCs w:val="23"/>
        </w:rPr>
      </w:pPr>
    </w:p>
    <w:p w:rsidR="00D82894" w:rsidRDefault="00D82894" w:rsidP="009C50D0">
      <w:pPr>
        <w:rPr>
          <w:rFonts w:ascii="Tahoma" w:hAnsi="Tahoma" w:cs="Tahoma"/>
          <w:b/>
          <w:sz w:val="23"/>
          <w:szCs w:val="23"/>
        </w:rPr>
      </w:pPr>
    </w:p>
    <w:p w:rsidR="00D82894" w:rsidRDefault="00D82894" w:rsidP="009C50D0">
      <w:pPr>
        <w:rPr>
          <w:rFonts w:ascii="Tahoma" w:hAnsi="Tahoma" w:cs="Tahoma"/>
          <w:b/>
          <w:sz w:val="23"/>
          <w:szCs w:val="23"/>
        </w:rPr>
      </w:pPr>
    </w:p>
    <w:p w:rsidR="00D82894" w:rsidRPr="00D82894" w:rsidRDefault="00D82894" w:rsidP="009C50D0">
      <w:pPr>
        <w:rPr>
          <w:rFonts w:ascii="Tahoma" w:hAnsi="Tahoma" w:cs="Tahoma"/>
          <w:b/>
          <w:sz w:val="23"/>
          <w:szCs w:val="23"/>
        </w:rPr>
      </w:pPr>
    </w:p>
    <w:p w:rsidR="009C50D0" w:rsidRPr="00D82894" w:rsidRDefault="009C50D0" w:rsidP="009C50D0">
      <w:pPr>
        <w:rPr>
          <w:rFonts w:ascii="Tahoma" w:hAnsi="Tahoma" w:cs="Tahoma"/>
          <w:b/>
          <w:sz w:val="23"/>
          <w:szCs w:val="23"/>
        </w:rPr>
      </w:pPr>
    </w:p>
    <w:p w:rsidR="009C50D0" w:rsidRPr="00D82894" w:rsidRDefault="00D82894" w:rsidP="009C50D0">
      <w:pPr>
        <w:jc w:val="center"/>
        <w:rPr>
          <w:rFonts w:ascii="Tahoma" w:hAnsi="Tahoma" w:cs="Tahoma"/>
          <w:sz w:val="23"/>
          <w:szCs w:val="23"/>
        </w:rPr>
      </w:pPr>
      <w:r w:rsidRPr="00D82894">
        <w:rPr>
          <w:rFonts w:ascii="Tahoma" w:hAnsi="Tahoma" w:cs="Tahoma"/>
          <w:b/>
          <w:sz w:val="23"/>
          <w:szCs w:val="23"/>
        </w:rPr>
        <w:t>JELYNE MONSALVE OSPINA</w:t>
      </w:r>
    </w:p>
    <w:p w:rsidR="009C50D0" w:rsidRPr="00D82894" w:rsidRDefault="00DF7D40" w:rsidP="009C50D0">
      <w:pPr>
        <w:jc w:val="center"/>
        <w:rPr>
          <w:rFonts w:ascii="Tahoma" w:hAnsi="Tahoma" w:cs="Tahoma"/>
          <w:sz w:val="23"/>
          <w:szCs w:val="23"/>
        </w:rPr>
      </w:pPr>
      <w:r w:rsidRPr="00D82894">
        <w:rPr>
          <w:rFonts w:ascii="Tahoma" w:hAnsi="Tahoma" w:cs="Tahoma"/>
          <w:sz w:val="23"/>
          <w:szCs w:val="23"/>
        </w:rPr>
        <w:t>Secretaria</w:t>
      </w:r>
      <w:r w:rsidR="009C50D0" w:rsidRPr="00D82894">
        <w:rPr>
          <w:rFonts w:ascii="Tahoma" w:hAnsi="Tahoma" w:cs="Tahoma"/>
          <w:sz w:val="23"/>
          <w:szCs w:val="23"/>
        </w:rPr>
        <w:t xml:space="preserve"> Ad-Hoc</w:t>
      </w:r>
    </w:p>
    <w:p w:rsidR="009C50D0" w:rsidRDefault="009C50D0" w:rsidP="009C50D0">
      <w:pPr>
        <w:jc w:val="center"/>
        <w:rPr>
          <w:rFonts w:ascii="Tahoma" w:hAnsi="Tahoma" w:cs="Tahoma"/>
          <w:b/>
        </w:rPr>
      </w:pPr>
    </w:p>
    <w:p w:rsidR="00D51C85" w:rsidRDefault="00D51C85" w:rsidP="009C50D0">
      <w:pPr>
        <w:jc w:val="center"/>
        <w:rPr>
          <w:rFonts w:ascii="Tahoma" w:hAnsi="Tahoma" w:cs="Tahoma"/>
          <w:b/>
        </w:rPr>
      </w:pPr>
    </w:p>
    <w:p w:rsidR="00D82894" w:rsidRDefault="00D82894" w:rsidP="009C50D0">
      <w:pPr>
        <w:jc w:val="center"/>
        <w:rPr>
          <w:rFonts w:ascii="Tahoma" w:hAnsi="Tahoma" w:cs="Tahoma"/>
          <w:b/>
        </w:rPr>
      </w:pPr>
    </w:p>
    <w:p w:rsidR="00D82894" w:rsidRDefault="00D82894" w:rsidP="009C50D0">
      <w:pPr>
        <w:jc w:val="center"/>
        <w:rPr>
          <w:rFonts w:ascii="Tahoma" w:hAnsi="Tahoma" w:cs="Tahoma"/>
          <w:b/>
        </w:rPr>
      </w:pPr>
    </w:p>
    <w:p w:rsidR="00D51C85" w:rsidRDefault="00D51C85" w:rsidP="009C50D0">
      <w:pPr>
        <w:jc w:val="center"/>
        <w:rPr>
          <w:rFonts w:ascii="Tahoma" w:hAnsi="Tahoma" w:cs="Tahoma"/>
          <w:b/>
        </w:rPr>
      </w:pPr>
      <w:r>
        <w:rPr>
          <w:rFonts w:ascii="Tahoma" w:hAnsi="Tahoma" w:cs="Tahoma"/>
          <w:b/>
        </w:rPr>
        <w:t>RETROACTIVO PENSIONAL</w:t>
      </w:r>
    </w:p>
    <w:p w:rsidR="00D51C85" w:rsidRPr="003D36AB" w:rsidRDefault="00D51C85" w:rsidP="009C50D0">
      <w:pPr>
        <w:jc w:val="center"/>
        <w:rPr>
          <w:rFonts w:ascii="Tahoma" w:hAnsi="Tahoma" w:cs="Tahoma"/>
          <w:b/>
        </w:rPr>
      </w:pPr>
    </w:p>
    <w:tbl>
      <w:tblPr>
        <w:tblW w:w="0" w:type="auto"/>
        <w:jc w:val="center"/>
        <w:tblLayout w:type="fixed"/>
        <w:tblCellMar>
          <w:left w:w="70" w:type="dxa"/>
          <w:right w:w="70" w:type="dxa"/>
        </w:tblCellMar>
        <w:tblLook w:val="04A0" w:firstRow="1" w:lastRow="0" w:firstColumn="1" w:lastColumn="0" w:noHBand="0" w:noVBand="1"/>
      </w:tblPr>
      <w:tblGrid>
        <w:gridCol w:w="546"/>
        <w:gridCol w:w="973"/>
        <w:gridCol w:w="994"/>
        <w:gridCol w:w="762"/>
        <w:gridCol w:w="2092"/>
        <w:gridCol w:w="1626"/>
      </w:tblGrid>
      <w:tr w:rsidR="003C1DB4" w:rsidRPr="003C1DB4" w:rsidTr="00F51DD2">
        <w:trPr>
          <w:trHeight w:val="465"/>
          <w:jc w:val="center"/>
        </w:trPr>
        <w:tc>
          <w:tcPr>
            <w:tcW w:w="546" w:type="dxa"/>
            <w:tcBorders>
              <w:top w:val="single" w:sz="4" w:space="0" w:color="808000"/>
              <w:left w:val="single" w:sz="4" w:space="0" w:color="808000"/>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Año</w:t>
            </w:r>
          </w:p>
        </w:tc>
        <w:tc>
          <w:tcPr>
            <w:tcW w:w="973" w:type="dxa"/>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Desde</w:t>
            </w:r>
          </w:p>
        </w:tc>
        <w:tc>
          <w:tcPr>
            <w:tcW w:w="994" w:type="dxa"/>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Hasta</w:t>
            </w:r>
          </w:p>
        </w:tc>
        <w:tc>
          <w:tcPr>
            <w:tcW w:w="762" w:type="dxa"/>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Causadas</w:t>
            </w:r>
          </w:p>
        </w:tc>
        <w:tc>
          <w:tcPr>
            <w:tcW w:w="2092" w:type="dxa"/>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Mesada reliquidada</w:t>
            </w:r>
          </w:p>
        </w:tc>
        <w:tc>
          <w:tcPr>
            <w:tcW w:w="1626" w:type="dxa"/>
            <w:tcBorders>
              <w:top w:val="single" w:sz="4" w:space="0" w:color="808000"/>
              <w:left w:val="nil"/>
              <w:bottom w:val="nil"/>
              <w:right w:val="single" w:sz="4" w:space="0" w:color="808000"/>
            </w:tcBorders>
            <w:shd w:val="clear" w:color="000000" w:fill="FFFF99"/>
            <w:vAlign w:val="center"/>
            <w:hideMark/>
          </w:tcPr>
          <w:p w:rsidR="003C1DB4" w:rsidRPr="003C1DB4" w:rsidRDefault="003C1DB4" w:rsidP="003C1DB4">
            <w:pPr>
              <w:jc w:val="center"/>
              <w:rPr>
                <w:rFonts w:ascii="Calibri" w:hAnsi="Calibri"/>
                <w:b/>
                <w:bCs/>
                <w:color w:val="000000"/>
                <w:sz w:val="16"/>
                <w:szCs w:val="16"/>
              </w:rPr>
            </w:pPr>
            <w:r w:rsidRPr="003C1DB4">
              <w:rPr>
                <w:rFonts w:ascii="Calibri" w:hAnsi="Calibri"/>
                <w:b/>
                <w:bCs/>
                <w:color w:val="000000"/>
                <w:sz w:val="16"/>
                <w:szCs w:val="16"/>
              </w:rPr>
              <w:t xml:space="preserve"> Diferencias a cancelar </w:t>
            </w:r>
          </w:p>
        </w:tc>
      </w:tr>
      <w:tr w:rsidR="003C1DB4" w:rsidRPr="003C1DB4" w:rsidTr="00F51DD2">
        <w:trPr>
          <w:trHeight w:val="270"/>
          <w:jc w:val="center"/>
        </w:trPr>
        <w:tc>
          <w:tcPr>
            <w:tcW w:w="546"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2010</w:t>
            </w:r>
          </w:p>
        </w:tc>
        <w:tc>
          <w:tcPr>
            <w:tcW w:w="973" w:type="dxa"/>
            <w:tcBorders>
              <w:top w:val="single" w:sz="4" w:space="0" w:color="808000"/>
              <w:left w:val="single" w:sz="4" w:space="0" w:color="808000"/>
              <w:bottom w:val="single" w:sz="4" w:space="0" w:color="808000"/>
              <w:right w:val="single" w:sz="4" w:space="0" w:color="808000"/>
            </w:tcBorders>
            <w:shd w:val="clear" w:color="auto" w:fill="auto"/>
            <w:noWrap/>
            <w:vAlign w:val="center"/>
            <w:hideMark/>
          </w:tcPr>
          <w:p w:rsidR="003C1DB4" w:rsidRPr="003C1DB4" w:rsidRDefault="009A5C68" w:rsidP="003C1DB4">
            <w:pPr>
              <w:jc w:val="right"/>
              <w:rPr>
                <w:rFonts w:ascii="Calibri" w:hAnsi="Calibri"/>
                <w:color w:val="000000"/>
                <w:sz w:val="20"/>
                <w:szCs w:val="20"/>
              </w:rPr>
            </w:pPr>
            <w:r>
              <w:rPr>
                <w:rFonts w:ascii="Calibri" w:hAnsi="Calibri"/>
                <w:color w:val="000000"/>
                <w:sz w:val="20"/>
                <w:szCs w:val="20"/>
              </w:rPr>
              <w:t>28-jul-10</w:t>
            </w:r>
          </w:p>
        </w:tc>
        <w:tc>
          <w:tcPr>
            <w:tcW w:w="994" w:type="dxa"/>
            <w:tcBorders>
              <w:top w:val="single" w:sz="4" w:space="0" w:color="808000"/>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31-dic-10</w:t>
            </w:r>
          </w:p>
        </w:tc>
        <w:tc>
          <w:tcPr>
            <w:tcW w:w="762" w:type="dxa"/>
            <w:tcBorders>
              <w:top w:val="single" w:sz="4" w:space="0" w:color="003366"/>
              <w:left w:val="single" w:sz="4" w:space="0" w:color="003366"/>
              <w:bottom w:val="single" w:sz="4" w:space="0" w:color="003366"/>
              <w:right w:val="single" w:sz="4" w:space="0" w:color="003366"/>
            </w:tcBorders>
            <w:shd w:val="clear" w:color="000000" w:fill="FFFFCC"/>
            <w:noWrap/>
            <w:vAlign w:val="bottom"/>
            <w:hideMark/>
          </w:tcPr>
          <w:p w:rsidR="003C1DB4" w:rsidRPr="003C1DB4" w:rsidRDefault="009A5C68" w:rsidP="003C1DB4">
            <w:pPr>
              <w:jc w:val="center"/>
              <w:rPr>
                <w:rFonts w:ascii="Calibri" w:hAnsi="Calibri"/>
                <w:sz w:val="20"/>
                <w:szCs w:val="20"/>
              </w:rPr>
            </w:pPr>
            <w:r>
              <w:rPr>
                <w:rFonts w:ascii="Calibri" w:hAnsi="Calibri"/>
                <w:sz w:val="20"/>
                <w:szCs w:val="20"/>
              </w:rPr>
              <w:t>6,01</w:t>
            </w:r>
          </w:p>
        </w:tc>
        <w:tc>
          <w:tcPr>
            <w:tcW w:w="2092" w:type="dxa"/>
            <w:tcBorders>
              <w:top w:val="single" w:sz="4" w:space="0" w:color="003366"/>
              <w:left w:val="nil"/>
              <w:bottom w:val="single" w:sz="4" w:space="0" w:color="003366"/>
              <w:right w:val="single" w:sz="4" w:space="0" w:color="003366"/>
            </w:tcBorders>
            <w:shd w:val="clear" w:color="000000" w:fill="FFFFCC"/>
            <w:vAlign w:val="bottom"/>
            <w:hideMark/>
          </w:tcPr>
          <w:p w:rsidR="003C1DB4" w:rsidRPr="003C1DB4" w:rsidRDefault="003C1DB4" w:rsidP="009F3C74">
            <w:pPr>
              <w:jc w:val="right"/>
              <w:rPr>
                <w:rFonts w:ascii="Calibri" w:hAnsi="Calibri"/>
                <w:sz w:val="20"/>
                <w:szCs w:val="20"/>
              </w:rPr>
            </w:pPr>
            <w:r w:rsidRPr="003C1DB4">
              <w:rPr>
                <w:rFonts w:ascii="Calibri" w:hAnsi="Calibri"/>
                <w:sz w:val="20"/>
                <w:szCs w:val="20"/>
              </w:rPr>
              <w:t xml:space="preserve">                   515.000,00 </w:t>
            </w:r>
          </w:p>
        </w:tc>
        <w:tc>
          <w:tcPr>
            <w:tcW w:w="1626" w:type="dxa"/>
            <w:tcBorders>
              <w:top w:val="single" w:sz="4" w:space="0" w:color="808000"/>
              <w:left w:val="single" w:sz="4" w:space="0" w:color="808000"/>
              <w:bottom w:val="single" w:sz="4" w:space="0" w:color="808000"/>
              <w:right w:val="single" w:sz="4" w:space="0" w:color="808000"/>
            </w:tcBorders>
            <w:shd w:val="clear" w:color="000000" w:fill="FFFFCC"/>
            <w:noWrap/>
            <w:vAlign w:val="center"/>
            <w:hideMark/>
          </w:tcPr>
          <w:p w:rsidR="003C1DB4" w:rsidRPr="003C1DB4" w:rsidRDefault="009A5C68" w:rsidP="009F3C74">
            <w:pPr>
              <w:jc w:val="right"/>
              <w:rPr>
                <w:rFonts w:ascii="Calibri" w:hAnsi="Calibri"/>
                <w:color w:val="000000"/>
                <w:sz w:val="20"/>
                <w:szCs w:val="20"/>
              </w:rPr>
            </w:pPr>
            <w:r>
              <w:rPr>
                <w:rFonts w:ascii="Calibri" w:hAnsi="Calibri"/>
                <w:color w:val="000000"/>
                <w:sz w:val="20"/>
                <w:szCs w:val="20"/>
              </w:rPr>
              <w:t>3.095.150,00</w:t>
            </w:r>
          </w:p>
        </w:tc>
      </w:tr>
      <w:tr w:rsidR="003C1DB4" w:rsidRPr="003C1DB4" w:rsidTr="00F51DD2">
        <w:trPr>
          <w:trHeight w:val="255"/>
          <w:jc w:val="center"/>
        </w:trPr>
        <w:tc>
          <w:tcPr>
            <w:tcW w:w="546"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2011</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01-ene-11</w:t>
            </w:r>
          </w:p>
        </w:tc>
        <w:tc>
          <w:tcPr>
            <w:tcW w:w="994" w:type="dxa"/>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31-dic-11</w:t>
            </w:r>
          </w:p>
        </w:tc>
        <w:tc>
          <w:tcPr>
            <w:tcW w:w="762"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2092" w:type="dxa"/>
            <w:tcBorders>
              <w:top w:val="nil"/>
              <w:left w:val="nil"/>
              <w:bottom w:val="single" w:sz="4" w:space="0" w:color="003366"/>
              <w:right w:val="single" w:sz="4" w:space="0" w:color="003366"/>
            </w:tcBorders>
            <w:shd w:val="clear" w:color="000000" w:fill="FFFFCC"/>
            <w:vAlign w:val="bottom"/>
            <w:hideMark/>
          </w:tcPr>
          <w:p w:rsidR="003C1DB4" w:rsidRPr="003C1DB4" w:rsidRDefault="003C1DB4" w:rsidP="009F3C74">
            <w:pPr>
              <w:jc w:val="right"/>
              <w:rPr>
                <w:rFonts w:ascii="Calibri" w:hAnsi="Calibri"/>
                <w:sz w:val="20"/>
                <w:szCs w:val="20"/>
              </w:rPr>
            </w:pPr>
            <w:r w:rsidRPr="003C1DB4">
              <w:rPr>
                <w:rFonts w:ascii="Calibri" w:hAnsi="Calibri"/>
                <w:sz w:val="20"/>
                <w:szCs w:val="20"/>
              </w:rPr>
              <w:t xml:space="preserve">                   535.600,00 </w:t>
            </w:r>
          </w:p>
        </w:tc>
        <w:tc>
          <w:tcPr>
            <w:tcW w:w="1626" w:type="dxa"/>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9F3C74">
            <w:pPr>
              <w:jc w:val="right"/>
              <w:rPr>
                <w:rFonts w:ascii="Calibri" w:hAnsi="Calibri"/>
                <w:color w:val="000000"/>
                <w:sz w:val="20"/>
                <w:szCs w:val="20"/>
              </w:rPr>
            </w:pPr>
            <w:r w:rsidRPr="003C1DB4">
              <w:rPr>
                <w:rFonts w:ascii="Calibri" w:hAnsi="Calibri"/>
                <w:color w:val="000000"/>
                <w:sz w:val="20"/>
                <w:szCs w:val="20"/>
              </w:rPr>
              <w:t xml:space="preserve">       7.498.400,00 </w:t>
            </w:r>
          </w:p>
        </w:tc>
      </w:tr>
      <w:tr w:rsidR="003C1DB4" w:rsidRPr="003C1DB4" w:rsidTr="00F51DD2">
        <w:trPr>
          <w:trHeight w:val="255"/>
          <w:jc w:val="center"/>
        </w:trPr>
        <w:tc>
          <w:tcPr>
            <w:tcW w:w="546"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2012</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01-ene-12</w:t>
            </w:r>
          </w:p>
        </w:tc>
        <w:tc>
          <w:tcPr>
            <w:tcW w:w="994" w:type="dxa"/>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31-dic-12</w:t>
            </w:r>
          </w:p>
        </w:tc>
        <w:tc>
          <w:tcPr>
            <w:tcW w:w="762"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2092" w:type="dxa"/>
            <w:tcBorders>
              <w:top w:val="nil"/>
              <w:left w:val="nil"/>
              <w:bottom w:val="single" w:sz="4" w:space="0" w:color="003366"/>
              <w:right w:val="single" w:sz="4" w:space="0" w:color="003366"/>
            </w:tcBorders>
            <w:shd w:val="clear" w:color="000000" w:fill="FFFFCC"/>
            <w:vAlign w:val="bottom"/>
            <w:hideMark/>
          </w:tcPr>
          <w:p w:rsidR="003C1DB4" w:rsidRPr="003C1DB4" w:rsidRDefault="003C1DB4" w:rsidP="009F3C74">
            <w:pPr>
              <w:jc w:val="right"/>
              <w:rPr>
                <w:rFonts w:ascii="Calibri" w:hAnsi="Calibri"/>
                <w:sz w:val="20"/>
                <w:szCs w:val="20"/>
              </w:rPr>
            </w:pPr>
            <w:r w:rsidRPr="003C1DB4">
              <w:rPr>
                <w:rFonts w:ascii="Calibri" w:hAnsi="Calibri"/>
                <w:sz w:val="20"/>
                <w:szCs w:val="20"/>
              </w:rPr>
              <w:t xml:space="preserve">                   566.700,00 </w:t>
            </w:r>
          </w:p>
        </w:tc>
        <w:tc>
          <w:tcPr>
            <w:tcW w:w="1626" w:type="dxa"/>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9F3C74">
            <w:pPr>
              <w:jc w:val="right"/>
              <w:rPr>
                <w:rFonts w:ascii="Calibri" w:hAnsi="Calibri"/>
                <w:color w:val="000000"/>
                <w:sz w:val="20"/>
                <w:szCs w:val="20"/>
              </w:rPr>
            </w:pPr>
            <w:r w:rsidRPr="003C1DB4">
              <w:rPr>
                <w:rFonts w:ascii="Calibri" w:hAnsi="Calibri"/>
                <w:color w:val="000000"/>
                <w:sz w:val="20"/>
                <w:szCs w:val="20"/>
              </w:rPr>
              <w:t xml:space="preserve">       7.933.800,00 </w:t>
            </w:r>
          </w:p>
        </w:tc>
      </w:tr>
      <w:tr w:rsidR="003C1DB4" w:rsidRPr="003C1DB4" w:rsidTr="00F51DD2">
        <w:trPr>
          <w:trHeight w:val="255"/>
          <w:jc w:val="center"/>
        </w:trPr>
        <w:tc>
          <w:tcPr>
            <w:tcW w:w="546"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2013</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01-ene-13</w:t>
            </w:r>
          </w:p>
        </w:tc>
        <w:tc>
          <w:tcPr>
            <w:tcW w:w="994" w:type="dxa"/>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31-dic-13</w:t>
            </w:r>
          </w:p>
        </w:tc>
        <w:tc>
          <w:tcPr>
            <w:tcW w:w="762"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2092" w:type="dxa"/>
            <w:tcBorders>
              <w:top w:val="nil"/>
              <w:left w:val="nil"/>
              <w:bottom w:val="single" w:sz="4" w:space="0" w:color="003366"/>
              <w:right w:val="single" w:sz="4" w:space="0" w:color="003366"/>
            </w:tcBorders>
            <w:shd w:val="clear" w:color="000000" w:fill="FFFFCC"/>
            <w:vAlign w:val="bottom"/>
            <w:hideMark/>
          </w:tcPr>
          <w:p w:rsidR="003C1DB4" w:rsidRPr="003C1DB4" w:rsidRDefault="003C1DB4" w:rsidP="009F3C74">
            <w:pPr>
              <w:jc w:val="right"/>
              <w:rPr>
                <w:rFonts w:ascii="Calibri" w:hAnsi="Calibri"/>
                <w:sz w:val="20"/>
                <w:szCs w:val="20"/>
              </w:rPr>
            </w:pPr>
            <w:r w:rsidRPr="003C1DB4">
              <w:rPr>
                <w:rFonts w:ascii="Calibri" w:hAnsi="Calibri"/>
                <w:sz w:val="20"/>
                <w:szCs w:val="20"/>
              </w:rPr>
              <w:t xml:space="preserve">                   589.500,00 </w:t>
            </w:r>
          </w:p>
        </w:tc>
        <w:tc>
          <w:tcPr>
            <w:tcW w:w="1626" w:type="dxa"/>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9F3C74">
            <w:pPr>
              <w:jc w:val="right"/>
              <w:rPr>
                <w:rFonts w:ascii="Calibri" w:hAnsi="Calibri"/>
                <w:color w:val="000000"/>
                <w:sz w:val="20"/>
                <w:szCs w:val="20"/>
              </w:rPr>
            </w:pPr>
            <w:r w:rsidRPr="003C1DB4">
              <w:rPr>
                <w:rFonts w:ascii="Calibri" w:hAnsi="Calibri"/>
                <w:color w:val="000000"/>
                <w:sz w:val="20"/>
                <w:szCs w:val="20"/>
              </w:rPr>
              <w:t xml:space="preserve">       8.253.000,00 </w:t>
            </w:r>
          </w:p>
        </w:tc>
      </w:tr>
      <w:tr w:rsidR="003C1DB4" w:rsidRPr="003C1DB4" w:rsidTr="00F51DD2">
        <w:trPr>
          <w:trHeight w:val="255"/>
          <w:jc w:val="center"/>
        </w:trPr>
        <w:tc>
          <w:tcPr>
            <w:tcW w:w="546"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2014</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01-ene-14</w:t>
            </w:r>
          </w:p>
        </w:tc>
        <w:tc>
          <w:tcPr>
            <w:tcW w:w="994" w:type="dxa"/>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31-dic-14</w:t>
            </w:r>
          </w:p>
        </w:tc>
        <w:tc>
          <w:tcPr>
            <w:tcW w:w="762"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2092" w:type="dxa"/>
            <w:tcBorders>
              <w:top w:val="nil"/>
              <w:left w:val="nil"/>
              <w:bottom w:val="single" w:sz="4" w:space="0" w:color="003366"/>
              <w:right w:val="single" w:sz="4" w:space="0" w:color="003366"/>
            </w:tcBorders>
            <w:shd w:val="clear" w:color="000000" w:fill="FFFFCC"/>
            <w:vAlign w:val="bottom"/>
            <w:hideMark/>
          </w:tcPr>
          <w:p w:rsidR="003C1DB4" w:rsidRPr="003C1DB4" w:rsidRDefault="003C1DB4" w:rsidP="009F3C74">
            <w:pPr>
              <w:jc w:val="right"/>
              <w:rPr>
                <w:rFonts w:ascii="Calibri" w:hAnsi="Calibri"/>
                <w:sz w:val="20"/>
                <w:szCs w:val="20"/>
              </w:rPr>
            </w:pPr>
            <w:r w:rsidRPr="003C1DB4">
              <w:rPr>
                <w:rFonts w:ascii="Calibri" w:hAnsi="Calibri"/>
                <w:sz w:val="20"/>
                <w:szCs w:val="20"/>
              </w:rPr>
              <w:t xml:space="preserve">                   616.000,00 </w:t>
            </w:r>
          </w:p>
        </w:tc>
        <w:tc>
          <w:tcPr>
            <w:tcW w:w="1626" w:type="dxa"/>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9F3C74">
            <w:pPr>
              <w:jc w:val="right"/>
              <w:rPr>
                <w:rFonts w:ascii="Calibri" w:hAnsi="Calibri"/>
                <w:color w:val="000000"/>
                <w:sz w:val="20"/>
                <w:szCs w:val="20"/>
              </w:rPr>
            </w:pPr>
            <w:r w:rsidRPr="003C1DB4">
              <w:rPr>
                <w:rFonts w:ascii="Calibri" w:hAnsi="Calibri"/>
                <w:color w:val="000000"/>
                <w:sz w:val="20"/>
                <w:szCs w:val="20"/>
              </w:rPr>
              <w:t xml:space="preserve">       8.624.000,00 </w:t>
            </w:r>
          </w:p>
        </w:tc>
      </w:tr>
      <w:tr w:rsidR="003C1DB4" w:rsidRPr="003C1DB4" w:rsidTr="00F51DD2">
        <w:trPr>
          <w:trHeight w:val="255"/>
          <w:jc w:val="center"/>
        </w:trPr>
        <w:tc>
          <w:tcPr>
            <w:tcW w:w="546"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2015</w:t>
            </w:r>
          </w:p>
        </w:tc>
        <w:tc>
          <w:tcPr>
            <w:tcW w:w="973" w:type="dxa"/>
            <w:tcBorders>
              <w:top w:val="nil"/>
              <w:left w:val="single" w:sz="4" w:space="0" w:color="808000"/>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01-ene-15</w:t>
            </w:r>
          </w:p>
        </w:tc>
        <w:tc>
          <w:tcPr>
            <w:tcW w:w="994" w:type="dxa"/>
            <w:tcBorders>
              <w:top w:val="nil"/>
              <w:left w:val="nil"/>
              <w:bottom w:val="single" w:sz="4" w:space="0" w:color="808000"/>
              <w:right w:val="single" w:sz="4" w:space="0" w:color="808000"/>
            </w:tcBorders>
            <w:shd w:val="clear" w:color="auto" w:fill="auto"/>
            <w:noWrap/>
            <w:vAlign w:val="center"/>
            <w:hideMark/>
          </w:tcPr>
          <w:p w:rsidR="003C1DB4" w:rsidRPr="003C1DB4" w:rsidRDefault="003C1DB4" w:rsidP="003C1DB4">
            <w:pPr>
              <w:jc w:val="right"/>
              <w:rPr>
                <w:rFonts w:ascii="Calibri" w:hAnsi="Calibri"/>
                <w:color w:val="000000"/>
                <w:sz w:val="20"/>
                <w:szCs w:val="20"/>
              </w:rPr>
            </w:pPr>
            <w:r w:rsidRPr="003C1DB4">
              <w:rPr>
                <w:rFonts w:ascii="Calibri" w:hAnsi="Calibri"/>
                <w:color w:val="000000"/>
                <w:sz w:val="20"/>
                <w:szCs w:val="20"/>
              </w:rPr>
              <w:t>31-dic-15</w:t>
            </w:r>
          </w:p>
        </w:tc>
        <w:tc>
          <w:tcPr>
            <w:tcW w:w="762" w:type="dxa"/>
            <w:tcBorders>
              <w:top w:val="nil"/>
              <w:left w:val="single" w:sz="4" w:space="0" w:color="003366"/>
              <w:bottom w:val="single" w:sz="4" w:space="0" w:color="003366"/>
              <w:right w:val="single" w:sz="4" w:space="0" w:color="003366"/>
            </w:tcBorders>
            <w:shd w:val="clear" w:color="000000" w:fill="FFFFCC"/>
            <w:noWrap/>
            <w:vAlign w:val="bottom"/>
            <w:hideMark/>
          </w:tcPr>
          <w:p w:rsidR="003C1DB4" w:rsidRPr="003C1DB4" w:rsidRDefault="003C1DB4" w:rsidP="003C1DB4">
            <w:pPr>
              <w:jc w:val="center"/>
              <w:rPr>
                <w:rFonts w:ascii="Calibri" w:hAnsi="Calibri"/>
                <w:sz w:val="20"/>
                <w:szCs w:val="20"/>
              </w:rPr>
            </w:pPr>
            <w:r w:rsidRPr="003C1DB4">
              <w:rPr>
                <w:rFonts w:ascii="Calibri" w:hAnsi="Calibri"/>
                <w:sz w:val="20"/>
                <w:szCs w:val="20"/>
              </w:rPr>
              <w:t>14,00</w:t>
            </w:r>
          </w:p>
        </w:tc>
        <w:tc>
          <w:tcPr>
            <w:tcW w:w="2092" w:type="dxa"/>
            <w:tcBorders>
              <w:top w:val="nil"/>
              <w:left w:val="nil"/>
              <w:bottom w:val="single" w:sz="4" w:space="0" w:color="003366"/>
              <w:right w:val="single" w:sz="4" w:space="0" w:color="003366"/>
            </w:tcBorders>
            <w:shd w:val="clear" w:color="000000" w:fill="FFFFCC"/>
            <w:vAlign w:val="bottom"/>
            <w:hideMark/>
          </w:tcPr>
          <w:p w:rsidR="003C1DB4" w:rsidRPr="003C1DB4" w:rsidRDefault="003C1DB4" w:rsidP="009F3C74">
            <w:pPr>
              <w:jc w:val="right"/>
              <w:rPr>
                <w:rFonts w:ascii="Calibri" w:hAnsi="Calibri"/>
                <w:sz w:val="20"/>
                <w:szCs w:val="20"/>
              </w:rPr>
            </w:pPr>
            <w:r w:rsidRPr="003C1DB4">
              <w:rPr>
                <w:rFonts w:ascii="Calibri" w:hAnsi="Calibri"/>
                <w:sz w:val="20"/>
                <w:szCs w:val="20"/>
              </w:rPr>
              <w:t xml:space="preserve">                   644.350,00 </w:t>
            </w:r>
          </w:p>
        </w:tc>
        <w:tc>
          <w:tcPr>
            <w:tcW w:w="1626" w:type="dxa"/>
            <w:tcBorders>
              <w:top w:val="nil"/>
              <w:left w:val="single" w:sz="4" w:space="0" w:color="808000"/>
              <w:bottom w:val="single" w:sz="4" w:space="0" w:color="808000"/>
              <w:right w:val="single" w:sz="4" w:space="0" w:color="808000"/>
            </w:tcBorders>
            <w:shd w:val="clear" w:color="000000" w:fill="FFFFCC"/>
            <w:noWrap/>
            <w:vAlign w:val="center"/>
            <w:hideMark/>
          </w:tcPr>
          <w:p w:rsidR="003C1DB4" w:rsidRPr="003C1DB4" w:rsidRDefault="003C1DB4" w:rsidP="009F3C74">
            <w:pPr>
              <w:jc w:val="right"/>
              <w:rPr>
                <w:rFonts w:ascii="Calibri" w:hAnsi="Calibri"/>
                <w:color w:val="000000"/>
                <w:sz w:val="20"/>
                <w:szCs w:val="20"/>
              </w:rPr>
            </w:pPr>
            <w:r w:rsidRPr="003C1DB4">
              <w:rPr>
                <w:rFonts w:ascii="Calibri" w:hAnsi="Calibri"/>
                <w:color w:val="000000"/>
                <w:sz w:val="20"/>
                <w:szCs w:val="20"/>
              </w:rPr>
              <w:t xml:space="preserve">       9.020.900,00 </w:t>
            </w:r>
          </w:p>
        </w:tc>
      </w:tr>
      <w:tr w:rsidR="009F3C74" w:rsidRPr="003C1DB4" w:rsidTr="00F51DD2">
        <w:trPr>
          <w:trHeight w:val="255"/>
          <w:jc w:val="center"/>
        </w:trPr>
        <w:tc>
          <w:tcPr>
            <w:tcW w:w="546" w:type="dxa"/>
            <w:tcBorders>
              <w:top w:val="nil"/>
              <w:left w:val="single" w:sz="4" w:space="0" w:color="003366"/>
              <w:bottom w:val="single" w:sz="4" w:space="0" w:color="003366"/>
              <w:right w:val="single" w:sz="4" w:space="0" w:color="003366"/>
            </w:tcBorders>
            <w:shd w:val="clear" w:color="000000" w:fill="FFFFCC"/>
            <w:noWrap/>
            <w:vAlign w:val="bottom"/>
          </w:tcPr>
          <w:p w:rsidR="009F3C74" w:rsidRPr="003C1DB4" w:rsidRDefault="009F3C74" w:rsidP="003C1DB4">
            <w:pPr>
              <w:jc w:val="center"/>
              <w:rPr>
                <w:rFonts w:ascii="Calibri" w:hAnsi="Calibri"/>
                <w:sz w:val="20"/>
                <w:szCs w:val="20"/>
              </w:rPr>
            </w:pPr>
            <w:r>
              <w:rPr>
                <w:rFonts w:ascii="Calibri" w:hAnsi="Calibri"/>
                <w:sz w:val="20"/>
                <w:szCs w:val="20"/>
              </w:rPr>
              <w:t>2016</w:t>
            </w:r>
          </w:p>
        </w:tc>
        <w:tc>
          <w:tcPr>
            <w:tcW w:w="973" w:type="dxa"/>
            <w:tcBorders>
              <w:top w:val="nil"/>
              <w:left w:val="single" w:sz="4" w:space="0" w:color="808000"/>
              <w:bottom w:val="single" w:sz="4" w:space="0" w:color="808000"/>
              <w:right w:val="single" w:sz="4" w:space="0" w:color="808000"/>
            </w:tcBorders>
            <w:shd w:val="clear" w:color="auto" w:fill="auto"/>
            <w:noWrap/>
            <w:vAlign w:val="center"/>
          </w:tcPr>
          <w:p w:rsidR="009F3C74" w:rsidRPr="003C1DB4" w:rsidRDefault="009F3C74" w:rsidP="003C1DB4">
            <w:pPr>
              <w:jc w:val="right"/>
              <w:rPr>
                <w:rFonts w:ascii="Calibri" w:hAnsi="Calibri"/>
                <w:color w:val="000000"/>
                <w:sz w:val="20"/>
                <w:szCs w:val="20"/>
              </w:rPr>
            </w:pPr>
            <w:r>
              <w:rPr>
                <w:rFonts w:ascii="Calibri" w:hAnsi="Calibri"/>
                <w:color w:val="000000"/>
                <w:sz w:val="20"/>
                <w:szCs w:val="20"/>
              </w:rPr>
              <w:t>01-ene-16</w:t>
            </w:r>
          </w:p>
        </w:tc>
        <w:tc>
          <w:tcPr>
            <w:tcW w:w="994" w:type="dxa"/>
            <w:tcBorders>
              <w:top w:val="nil"/>
              <w:left w:val="nil"/>
              <w:bottom w:val="single" w:sz="4" w:space="0" w:color="808000"/>
              <w:right w:val="single" w:sz="4" w:space="0" w:color="808000"/>
            </w:tcBorders>
            <w:shd w:val="clear" w:color="auto" w:fill="auto"/>
            <w:noWrap/>
            <w:vAlign w:val="center"/>
          </w:tcPr>
          <w:p w:rsidR="009F3C74" w:rsidRPr="003C1DB4" w:rsidRDefault="009F3C74" w:rsidP="003C1DB4">
            <w:pPr>
              <w:jc w:val="right"/>
              <w:rPr>
                <w:rFonts w:ascii="Calibri" w:hAnsi="Calibri"/>
                <w:color w:val="000000"/>
                <w:sz w:val="20"/>
                <w:szCs w:val="20"/>
              </w:rPr>
            </w:pPr>
            <w:r>
              <w:rPr>
                <w:rFonts w:ascii="Calibri" w:hAnsi="Calibri"/>
                <w:color w:val="000000"/>
                <w:sz w:val="20"/>
                <w:szCs w:val="20"/>
              </w:rPr>
              <w:t>31-mar-16</w:t>
            </w:r>
          </w:p>
        </w:tc>
        <w:tc>
          <w:tcPr>
            <w:tcW w:w="762" w:type="dxa"/>
            <w:tcBorders>
              <w:top w:val="nil"/>
              <w:left w:val="single" w:sz="4" w:space="0" w:color="003366"/>
              <w:bottom w:val="single" w:sz="4" w:space="0" w:color="003366"/>
              <w:right w:val="single" w:sz="4" w:space="0" w:color="003366"/>
            </w:tcBorders>
            <w:shd w:val="clear" w:color="000000" w:fill="FFFFCC"/>
            <w:noWrap/>
            <w:vAlign w:val="bottom"/>
          </w:tcPr>
          <w:p w:rsidR="009F3C74" w:rsidRPr="003C1DB4" w:rsidRDefault="009F3C74" w:rsidP="003C1DB4">
            <w:pPr>
              <w:jc w:val="center"/>
              <w:rPr>
                <w:rFonts w:ascii="Calibri" w:hAnsi="Calibri"/>
                <w:sz w:val="20"/>
                <w:szCs w:val="20"/>
              </w:rPr>
            </w:pPr>
            <w:r>
              <w:rPr>
                <w:rFonts w:ascii="Calibri" w:hAnsi="Calibri"/>
                <w:sz w:val="20"/>
                <w:szCs w:val="20"/>
              </w:rPr>
              <w:t>3,00</w:t>
            </w:r>
          </w:p>
        </w:tc>
        <w:tc>
          <w:tcPr>
            <w:tcW w:w="2092" w:type="dxa"/>
            <w:tcBorders>
              <w:top w:val="nil"/>
              <w:left w:val="nil"/>
              <w:bottom w:val="single" w:sz="4" w:space="0" w:color="003366"/>
              <w:right w:val="single" w:sz="4" w:space="0" w:color="003366"/>
            </w:tcBorders>
            <w:shd w:val="clear" w:color="000000" w:fill="FFFFCC"/>
            <w:vAlign w:val="bottom"/>
          </w:tcPr>
          <w:p w:rsidR="009F3C74" w:rsidRPr="003C1DB4" w:rsidRDefault="009F3C74" w:rsidP="009F3C74">
            <w:pPr>
              <w:jc w:val="right"/>
              <w:rPr>
                <w:rFonts w:ascii="Calibri" w:hAnsi="Calibri"/>
                <w:sz w:val="20"/>
                <w:szCs w:val="20"/>
              </w:rPr>
            </w:pPr>
            <w:r>
              <w:rPr>
                <w:rFonts w:ascii="Calibri" w:hAnsi="Calibri"/>
                <w:sz w:val="20"/>
                <w:szCs w:val="20"/>
              </w:rPr>
              <w:t>689.455,00</w:t>
            </w:r>
          </w:p>
        </w:tc>
        <w:tc>
          <w:tcPr>
            <w:tcW w:w="1626" w:type="dxa"/>
            <w:tcBorders>
              <w:top w:val="nil"/>
              <w:left w:val="single" w:sz="4" w:space="0" w:color="808000"/>
              <w:bottom w:val="single" w:sz="4" w:space="0" w:color="808000"/>
              <w:right w:val="single" w:sz="4" w:space="0" w:color="808000"/>
            </w:tcBorders>
            <w:shd w:val="clear" w:color="000000" w:fill="FFFFCC"/>
            <w:noWrap/>
            <w:vAlign w:val="center"/>
          </w:tcPr>
          <w:p w:rsidR="009F3C74" w:rsidRPr="003C1DB4" w:rsidRDefault="00693182" w:rsidP="00693182">
            <w:pPr>
              <w:jc w:val="right"/>
              <w:rPr>
                <w:rFonts w:ascii="Calibri" w:hAnsi="Calibri"/>
                <w:color w:val="000000"/>
                <w:sz w:val="20"/>
                <w:szCs w:val="20"/>
              </w:rPr>
            </w:pPr>
            <w:r>
              <w:rPr>
                <w:rFonts w:ascii="Calibri" w:hAnsi="Calibri"/>
                <w:color w:val="000000"/>
                <w:sz w:val="20"/>
                <w:szCs w:val="20"/>
              </w:rPr>
              <w:t>2.068.365,00</w:t>
            </w:r>
          </w:p>
        </w:tc>
      </w:tr>
      <w:tr w:rsidR="003C1DB4" w:rsidRPr="003C1DB4" w:rsidTr="00F51DD2">
        <w:trPr>
          <w:trHeight w:val="255"/>
          <w:jc w:val="center"/>
        </w:trPr>
        <w:tc>
          <w:tcPr>
            <w:tcW w:w="546" w:type="dxa"/>
            <w:tcBorders>
              <w:top w:val="nil"/>
              <w:left w:val="nil"/>
              <w:bottom w:val="nil"/>
              <w:right w:val="nil"/>
            </w:tcBorders>
            <w:shd w:val="clear" w:color="auto" w:fill="auto"/>
            <w:noWrap/>
            <w:vAlign w:val="bottom"/>
            <w:hideMark/>
          </w:tcPr>
          <w:p w:rsidR="003C1DB4" w:rsidRPr="003C1DB4" w:rsidRDefault="003C1DB4" w:rsidP="003C1DB4">
            <w:pPr>
              <w:rPr>
                <w:rFonts w:ascii="Calibri" w:hAnsi="Calibri"/>
                <w:color w:val="000000"/>
                <w:sz w:val="20"/>
                <w:szCs w:val="20"/>
              </w:rPr>
            </w:pPr>
          </w:p>
        </w:tc>
        <w:tc>
          <w:tcPr>
            <w:tcW w:w="973" w:type="dxa"/>
            <w:tcBorders>
              <w:top w:val="nil"/>
              <w:left w:val="nil"/>
              <w:bottom w:val="nil"/>
              <w:right w:val="nil"/>
            </w:tcBorders>
            <w:shd w:val="clear" w:color="auto" w:fill="auto"/>
            <w:noWrap/>
            <w:vAlign w:val="bottom"/>
            <w:hideMark/>
          </w:tcPr>
          <w:p w:rsidR="003C1DB4" w:rsidRPr="003C1DB4" w:rsidRDefault="003C1DB4" w:rsidP="003C1DB4">
            <w:pPr>
              <w:rPr>
                <w:sz w:val="20"/>
                <w:szCs w:val="20"/>
              </w:rPr>
            </w:pPr>
          </w:p>
        </w:tc>
        <w:tc>
          <w:tcPr>
            <w:tcW w:w="994" w:type="dxa"/>
            <w:tcBorders>
              <w:top w:val="nil"/>
              <w:left w:val="nil"/>
              <w:bottom w:val="nil"/>
              <w:right w:val="nil"/>
            </w:tcBorders>
            <w:shd w:val="clear" w:color="auto" w:fill="auto"/>
            <w:noWrap/>
            <w:vAlign w:val="bottom"/>
            <w:hideMark/>
          </w:tcPr>
          <w:p w:rsidR="003C1DB4" w:rsidRPr="003C1DB4" w:rsidRDefault="003C1DB4" w:rsidP="003C1DB4">
            <w:pPr>
              <w:rPr>
                <w:sz w:val="20"/>
                <w:szCs w:val="20"/>
              </w:rPr>
            </w:pPr>
          </w:p>
        </w:tc>
        <w:tc>
          <w:tcPr>
            <w:tcW w:w="762" w:type="dxa"/>
            <w:tcBorders>
              <w:top w:val="nil"/>
              <w:left w:val="nil"/>
              <w:bottom w:val="nil"/>
              <w:right w:val="nil"/>
            </w:tcBorders>
            <w:shd w:val="clear" w:color="auto" w:fill="auto"/>
            <w:noWrap/>
            <w:vAlign w:val="bottom"/>
            <w:hideMark/>
          </w:tcPr>
          <w:p w:rsidR="003C1DB4" w:rsidRPr="003C1DB4" w:rsidRDefault="003C1DB4" w:rsidP="003C1DB4">
            <w:pPr>
              <w:rPr>
                <w:sz w:val="20"/>
                <w:szCs w:val="20"/>
              </w:rPr>
            </w:pPr>
          </w:p>
        </w:tc>
        <w:tc>
          <w:tcPr>
            <w:tcW w:w="2092" w:type="dxa"/>
            <w:tcBorders>
              <w:top w:val="nil"/>
              <w:left w:val="single" w:sz="4" w:space="0" w:color="003366"/>
              <w:bottom w:val="single" w:sz="4" w:space="0" w:color="003366"/>
              <w:right w:val="single" w:sz="4" w:space="0" w:color="003366"/>
            </w:tcBorders>
            <w:shd w:val="clear" w:color="000000" w:fill="FFFF99"/>
            <w:noWrap/>
            <w:vAlign w:val="center"/>
            <w:hideMark/>
          </w:tcPr>
          <w:p w:rsidR="003C1DB4" w:rsidRPr="003C1DB4" w:rsidRDefault="003C1DB4" w:rsidP="003C1DB4">
            <w:pPr>
              <w:jc w:val="center"/>
              <w:rPr>
                <w:rFonts w:ascii="Calibri" w:hAnsi="Calibri"/>
                <w:b/>
                <w:bCs/>
                <w:sz w:val="20"/>
                <w:szCs w:val="20"/>
              </w:rPr>
            </w:pPr>
            <w:r w:rsidRPr="003C1DB4">
              <w:rPr>
                <w:rFonts w:ascii="Calibri" w:hAnsi="Calibri"/>
                <w:b/>
                <w:bCs/>
                <w:sz w:val="20"/>
                <w:szCs w:val="20"/>
              </w:rPr>
              <w:t>Valores a cancelar ===&gt;</w:t>
            </w:r>
          </w:p>
        </w:tc>
        <w:tc>
          <w:tcPr>
            <w:tcW w:w="1626" w:type="dxa"/>
            <w:tcBorders>
              <w:top w:val="nil"/>
              <w:left w:val="single" w:sz="4" w:space="0" w:color="808000"/>
              <w:bottom w:val="single" w:sz="4" w:space="0" w:color="808000"/>
              <w:right w:val="single" w:sz="4" w:space="0" w:color="808000"/>
            </w:tcBorders>
            <w:shd w:val="clear" w:color="000000" w:fill="FFFF99"/>
            <w:noWrap/>
            <w:vAlign w:val="center"/>
            <w:hideMark/>
          </w:tcPr>
          <w:p w:rsidR="003C1DB4" w:rsidRPr="003C1DB4" w:rsidRDefault="009A5C68" w:rsidP="009A5C68">
            <w:pPr>
              <w:jc w:val="right"/>
              <w:rPr>
                <w:rFonts w:ascii="Calibri" w:hAnsi="Calibri"/>
                <w:b/>
                <w:bCs/>
                <w:color w:val="000000"/>
                <w:sz w:val="20"/>
                <w:szCs w:val="20"/>
              </w:rPr>
            </w:pPr>
            <w:r w:rsidRPr="009A5C68">
              <w:rPr>
                <w:rFonts w:ascii="Calibri" w:hAnsi="Calibri"/>
                <w:b/>
                <w:bCs/>
                <w:color w:val="000000"/>
                <w:sz w:val="20"/>
                <w:szCs w:val="20"/>
              </w:rPr>
              <w:t>46.493.615,00</w:t>
            </w:r>
          </w:p>
        </w:tc>
      </w:tr>
    </w:tbl>
    <w:p w:rsidR="00D11B76" w:rsidRDefault="00D11B76" w:rsidP="00D11B76">
      <w:pPr>
        <w:pStyle w:val="Ttulo3"/>
        <w:spacing w:before="0" w:after="0" w:line="276" w:lineRule="auto"/>
        <w:jc w:val="center"/>
        <w:rPr>
          <w:rFonts w:ascii="Tahoma" w:hAnsi="Tahoma" w:cs="Tahoma"/>
          <w:bCs w:val="0"/>
          <w:sz w:val="24"/>
          <w:szCs w:val="24"/>
        </w:rPr>
      </w:pPr>
    </w:p>
    <w:p w:rsidR="00D11B76" w:rsidRDefault="00D11B76" w:rsidP="00D11B76">
      <w:pPr>
        <w:pStyle w:val="Ttulo3"/>
        <w:spacing w:before="0" w:after="0" w:line="276" w:lineRule="auto"/>
        <w:jc w:val="center"/>
        <w:rPr>
          <w:rFonts w:ascii="Tahoma" w:hAnsi="Tahoma" w:cs="Tahoma"/>
          <w:bCs w:val="0"/>
          <w:sz w:val="24"/>
          <w:szCs w:val="24"/>
        </w:rPr>
      </w:pPr>
    </w:p>
    <w:p w:rsidR="00D82894" w:rsidRPr="00D82894" w:rsidRDefault="00D82894" w:rsidP="00D82894"/>
    <w:p w:rsidR="00D11B76" w:rsidRDefault="00D11B76" w:rsidP="00D11B76">
      <w:pPr>
        <w:pStyle w:val="Ttulo3"/>
        <w:spacing w:before="0" w:after="0" w:line="276" w:lineRule="auto"/>
        <w:jc w:val="center"/>
        <w:rPr>
          <w:rFonts w:ascii="Tahoma" w:hAnsi="Tahoma" w:cs="Tahoma"/>
          <w:bCs w:val="0"/>
          <w:sz w:val="24"/>
          <w:szCs w:val="24"/>
        </w:rPr>
      </w:pPr>
    </w:p>
    <w:p w:rsidR="00D11B76" w:rsidRDefault="00D11B76" w:rsidP="00D11B76">
      <w:pPr>
        <w:pStyle w:val="Ttulo3"/>
        <w:spacing w:before="0" w:after="0" w:line="276" w:lineRule="auto"/>
        <w:jc w:val="center"/>
        <w:rPr>
          <w:rFonts w:ascii="Tahoma" w:hAnsi="Tahoma" w:cs="Tahoma"/>
          <w:bCs w:val="0"/>
          <w:sz w:val="24"/>
          <w:szCs w:val="24"/>
        </w:rPr>
      </w:pPr>
      <w:r w:rsidRPr="003D36AB">
        <w:rPr>
          <w:rFonts w:ascii="Tahoma" w:hAnsi="Tahoma" w:cs="Tahoma"/>
          <w:bCs w:val="0"/>
          <w:sz w:val="24"/>
          <w:szCs w:val="24"/>
        </w:rPr>
        <w:t>ANA LUCÍA CAICEDO CALDERÓN</w:t>
      </w:r>
    </w:p>
    <w:p w:rsidR="00D11B76" w:rsidRPr="00D11B76" w:rsidRDefault="00D11B76" w:rsidP="00D11B76">
      <w:pPr>
        <w:pStyle w:val="Ttulo3"/>
        <w:spacing w:before="0" w:after="0" w:line="276" w:lineRule="auto"/>
        <w:jc w:val="center"/>
        <w:rPr>
          <w:b w:val="0"/>
        </w:rPr>
      </w:pPr>
      <w:r w:rsidRPr="00D11B76">
        <w:rPr>
          <w:rFonts w:ascii="Tahoma" w:hAnsi="Tahoma" w:cs="Tahoma"/>
          <w:b w:val="0"/>
          <w:bCs w:val="0"/>
          <w:sz w:val="24"/>
          <w:szCs w:val="24"/>
        </w:rPr>
        <w:t>Magistrada</w:t>
      </w:r>
    </w:p>
    <w:sectPr w:rsidR="00D11B76" w:rsidRPr="00D11B76" w:rsidSect="003D36AB">
      <w:headerReference w:type="even" r:id="rId7"/>
      <w:headerReference w:type="default" r:id="rId8"/>
      <w:pgSz w:w="12242" w:h="18722" w:code="121"/>
      <w:pgMar w:top="1134" w:right="1134" w:bottom="1134" w:left="1134" w:header="720" w:footer="720"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D0423" w:rsidRDefault="009D0423" w:rsidP="0049366E">
      <w:r>
        <w:separator/>
      </w:r>
    </w:p>
  </w:endnote>
  <w:endnote w:type="continuationSeparator" w:id="0">
    <w:p w:rsidR="009D0423" w:rsidRDefault="009D0423" w:rsidP="004936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D0423" w:rsidRDefault="009D0423" w:rsidP="0049366E">
      <w:r>
        <w:separator/>
      </w:r>
    </w:p>
  </w:footnote>
  <w:footnote w:type="continuationSeparator" w:id="0">
    <w:p w:rsidR="009D0423" w:rsidRDefault="009D0423" w:rsidP="0049366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5" w:rsidRDefault="00A50DE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A50DE5" w:rsidRDefault="00A50DE5">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50DE5" w:rsidRDefault="00A50DE5">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82D57">
      <w:rPr>
        <w:rStyle w:val="Nmerodepgina"/>
        <w:noProof/>
      </w:rPr>
      <w:t>6</w:t>
    </w:r>
    <w:r>
      <w:rPr>
        <w:rStyle w:val="Nmerodepgina"/>
      </w:rPr>
      <w:fldChar w:fldCharType="end"/>
    </w:r>
  </w:p>
  <w:p w:rsidR="00A50DE5" w:rsidRPr="0003464F" w:rsidRDefault="00A50DE5" w:rsidP="00A50DE5">
    <w:pPr>
      <w:pStyle w:val="Puesto"/>
      <w:spacing w:line="240" w:lineRule="auto"/>
      <w:jc w:val="both"/>
      <w:rPr>
        <w:rFonts w:ascii="Tahoma" w:hAnsi="Tahoma" w:cs="Tahoma"/>
        <w:b w:val="0"/>
        <w:sz w:val="14"/>
        <w:szCs w:val="14"/>
      </w:rPr>
    </w:pPr>
    <w:r w:rsidRPr="0003464F">
      <w:rPr>
        <w:rFonts w:ascii="Tahoma" w:hAnsi="Tahoma" w:cs="Tahoma"/>
        <w:b w:val="0"/>
        <w:sz w:val="14"/>
        <w:szCs w:val="14"/>
      </w:rPr>
      <w:t>Radicado No.: 66001-31-05-00</w:t>
    </w:r>
    <w:r w:rsidR="009F3C74">
      <w:rPr>
        <w:rFonts w:ascii="Tahoma" w:hAnsi="Tahoma" w:cs="Tahoma"/>
        <w:b w:val="0"/>
        <w:sz w:val="14"/>
        <w:szCs w:val="14"/>
      </w:rPr>
      <w:t>2</w:t>
    </w:r>
    <w:r w:rsidRPr="0003464F">
      <w:rPr>
        <w:rFonts w:ascii="Tahoma" w:hAnsi="Tahoma" w:cs="Tahoma"/>
        <w:b w:val="0"/>
        <w:sz w:val="14"/>
        <w:szCs w:val="14"/>
      </w:rPr>
      <w:t>-201</w:t>
    </w:r>
    <w:r w:rsidR="009F3C74">
      <w:rPr>
        <w:rFonts w:ascii="Tahoma" w:hAnsi="Tahoma" w:cs="Tahoma"/>
        <w:b w:val="0"/>
        <w:sz w:val="14"/>
        <w:szCs w:val="14"/>
      </w:rPr>
      <w:t>3</w:t>
    </w:r>
    <w:r w:rsidRPr="0003464F">
      <w:rPr>
        <w:rFonts w:ascii="Tahoma" w:hAnsi="Tahoma" w:cs="Tahoma"/>
        <w:b w:val="0"/>
        <w:sz w:val="14"/>
        <w:szCs w:val="14"/>
      </w:rPr>
      <w:t>-00</w:t>
    </w:r>
    <w:r w:rsidR="009F3C74">
      <w:rPr>
        <w:rFonts w:ascii="Tahoma" w:hAnsi="Tahoma" w:cs="Tahoma"/>
        <w:b w:val="0"/>
        <w:sz w:val="14"/>
        <w:szCs w:val="14"/>
      </w:rPr>
      <w:t>275</w:t>
    </w:r>
    <w:r w:rsidRPr="0003464F">
      <w:rPr>
        <w:rFonts w:ascii="Tahoma" w:hAnsi="Tahoma" w:cs="Tahoma"/>
        <w:b w:val="0"/>
        <w:sz w:val="14"/>
        <w:szCs w:val="14"/>
      </w:rPr>
      <w:t>-01</w:t>
    </w:r>
  </w:p>
  <w:p w:rsidR="00A50DE5" w:rsidRPr="0003464F" w:rsidRDefault="00A50DE5" w:rsidP="00A50DE5">
    <w:pPr>
      <w:pStyle w:val="Puesto"/>
      <w:spacing w:line="240" w:lineRule="auto"/>
      <w:jc w:val="both"/>
      <w:rPr>
        <w:rFonts w:ascii="Tahoma" w:hAnsi="Tahoma" w:cs="Tahoma"/>
        <w:b w:val="0"/>
        <w:sz w:val="14"/>
        <w:szCs w:val="14"/>
      </w:rPr>
    </w:pPr>
    <w:r w:rsidRPr="0003464F">
      <w:rPr>
        <w:rFonts w:ascii="Tahoma" w:hAnsi="Tahoma" w:cs="Tahoma"/>
        <w:b w:val="0"/>
        <w:sz w:val="14"/>
        <w:szCs w:val="14"/>
      </w:rPr>
      <w:t xml:space="preserve">Demandante: </w:t>
    </w:r>
    <w:r w:rsidR="009F3C74">
      <w:rPr>
        <w:rFonts w:ascii="Tahoma" w:hAnsi="Tahoma" w:cs="Tahoma"/>
        <w:b w:val="0"/>
        <w:sz w:val="14"/>
        <w:szCs w:val="14"/>
      </w:rPr>
      <w:t>José Jairo Castaño Rincón</w:t>
    </w:r>
  </w:p>
  <w:p w:rsidR="00A50DE5" w:rsidRPr="0003464F" w:rsidRDefault="00A50DE5" w:rsidP="00A50DE5">
    <w:pPr>
      <w:pStyle w:val="Puesto"/>
      <w:spacing w:line="240" w:lineRule="auto"/>
      <w:ind w:left="708" w:hanging="708"/>
      <w:jc w:val="both"/>
      <w:rPr>
        <w:rFonts w:ascii="Tahoma" w:hAnsi="Tahoma" w:cs="Tahoma"/>
        <w:b w:val="0"/>
        <w:sz w:val="14"/>
        <w:szCs w:val="14"/>
      </w:rPr>
    </w:pPr>
    <w:r w:rsidRPr="0003464F">
      <w:rPr>
        <w:rFonts w:ascii="Tahoma" w:hAnsi="Tahoma" w:cs="Tahoma"/>
        <w:b w:val="0"/>
        <w:sz w:val="14"/>
        <w:szCs w:val="14"/>
      </w:rPr>
      <w:t xml:space="preserve">Demandado: </w:t>
    </w:r>
    <w:r>
      <w:rPr>
        <w:rFonts w:ascii="Tahoma" w:hAnsi="Tahoma" w:cs="Tahoma"/>
        <w:b w:val="0"/>
        <w:sz w:val="14"/>
        <w:szCs w:val="14"/>
      </w:rPr>
      <w:t>Colpensiones</w:t>
    </w:r>
  </w:p>
  <w:p w:rsidR="00A50DE5" w:rsidRDefault="00A50DE5"/>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BCB7A59"/>
    <w:multiLevelType w:val="multilevel"/>
    <w:tmpl w:val="E5684C70"/>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defaultTabStop w:val="708"/>
  <w:hyphenationZone w:val="425"/>
  <w:drawingGridHorizontalSpacing w:val="100"/>
  <w:displayHorizontalDrawingGridEvery w:val="0"/>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0D0"/>
    <w:rsid w:val="00004073"/>
    <w:rsid w:val="00011F78"/>
    <w:rsid w:val="000141E4"/>
    <w:rsid w:val="00016183"/>
    <w:rsid w:val="00024DB6"/>
    <w:rsid w:val="00041633"/>
    <w:rsid w:val="00041AF5"/>
    <w:rsid w:val="0006277A"/>
    <w:rsid w:val="00074D71"/>
    <w:rsid w:val="000C5163"/>
    <w:rsid w:val="000D60BD"/>
    <w:rsid w:val="000E4CE5"/>
    <w:rsid w:val="000E70B6"/>
    <w:rsid w:val="000F46E9"/>
    <w:rsid w:val="00102075"/>
    <w:rsid w:val="0010524F"/>
    <w:rsid w:val="00112244"/>
    <w:rsid w:val="00123314"/>
    <w:rsid w:val="00126BB2"/>
    <w:rsid w:val="00140725"/>
    <w:rsid w:val="001847C0"/>
    <w:rsid w:val="001911B9"/>
    <w:rsid w:val="001E0567"/>
    <w:rsid w:val="001E0FB7"/>
    <w:rsid w:val="001F5962"/>
    <w:rsid w:val="00200317"/>
    <w:rsid w:val="00204D1C"/>
    <w:rsid w:val="00212F9C"/>
    <w:rsid w:val="0022279D"/>
    <w:rsid w:val="00223AC9"/>
    <w:rsid w:val="00272C7A"/>
    <w:rsid w:val="002854E7"/>
    <w:rsid w:val="002A1594"/>
    <w:rsid w:val="002A259E"/>
    <w:rsid w:val="002B0775"/>
    <w:rsid w:val="002B392E"/>
    <w:rsid w:val="002E4876"/>
    <w:rsid w:val="002F70A2"/>
    <w:rsid w:val="0031308F"/>
    <w:rsid w:val="00317A77"/>
    <w:rsid w:val="00321D9C"/>
    <w:rsid w:val="003577C3"/>
    <w:rsid w:val="0038649A"/>
    <w:rsid w:val="003923D8"/>
    <w:rsid w:val="003B0B03"/>
    <w:rsid w:val="003C1DB4"/>
    <w:rsid w:val="003C2560"/>
    <w:rsid w:val="003C3939"/>
    <w:rsid w:val="003D36AB"/>
    <w:rsid w:val="003D3ACF"/>
    <w:rsid w:val="003E30E0"/>
    <w:rsid w:val="003F5D97"/>
    <w:rsid w:val="00405352"/>
    <w:rsid w:val="00416E5C"/>
    <w:rsid w:val="00422A02"/>
    <w:rsid w:val="00434AD7"/>
    <w:rsid w:val="004507D6"/>
    <w:rsid w:val="00452A15"/>
    <w:rsid w:val="0046063C"/>
    <w:rsid w:val="0046400B"/>
    <w:rsid w:val="0046538F"/>
    <w:rsid w:val="00466F72"/>
    <w:rsid w:val="00471914"/>
    <w:rsid w:val="00474918"/>
    <w:rsid w:val="0049366E"/>
    <w:rsid w:val="004A28C3"/>
    <w:rsid w:val="004A5D32"/>
    <w:rsid w:val="004C25C1"/>
    <w:rsid w:val="004D4EC7"/>
    <w:rsid w:val="004E2DE3"/>
    <w:rsid w:val="004E4A79"/>
    <w:rsid w:val="004F56AD"/>
    <w:rsid w:val="00501132"/>
    <w:rsid w:val="00506F11"/>
    <w:rsid w:val="005158FF"/>
    <w:rsid w:val="00532082"/>
    <w:rsid w:val="0054181F"/>
    <w:rsid w:val="005668A7"/>
    <w:rsid w:val="00574647"/>
    <w:rsid w:val="00574DF8"/>
    <w:rsid w:val="005940E1"/>
    <w:rsid w:val="00597F15"/>
    <w:rsid w:val="005A2095"/>
    <w:rsid w:val="005A2E2F"/>
    <w:rsid w:val="005B5981"/>
    <w:rsid w:val="005C6EE4"/>
    <w:rsid w:val="005D2BB5"/>
    <w:rsid w:val="005D5E4D"/>
    <w:rsid w:val="005E0E24"/>
    <w:rsid w:val="005E4650"/>
    <w:rsid w:val="005F1B5F"/>
    <w:rsid w:val="005F2054"/>
    <w:rsid w:val="00606818"/>
    <w:rsid w:val="00617E8F"/>
    <w:rsid w:val="00621C0C"/>
    <w:rsid w:val="00625D01"/>
    <w:rsid w:val="00627CED"/>
    <w:rsid w:val="00631B63"/>
    <w:rsid w:val="00637936"/>
    <w:rsid w:val="00641685"/>
    <w:rsid w:val="00645887"/>
    <w:rsid w:val="00651EF3"/>
    <w:rsid w:val="00676A06"/>
    <w:rsid w:val="00691984"/>
    <w:rsid w:val="00691D4E"/>
    <w:rsid w:val="00693182"/>
    <w:rsid w:val="00696773"/>
    <w:rsid w:val="006B66C9"/>
    <w:rsid w:val="006C084F"/>
    <w:rsid w:val="006F3F13"/>
    <w:rsid w:val="006F6471"/>
    <w:rsid w:val="00721528"/>
    <w:rsid w:val="007310E3"/>
    <w:rsid w:val="0075591F"/>
    <w:rsid w:val="007575F8"/>
    <w:rsid w:val="00763946"/>
    <w:rsid w:val="0078690A"/>
    <w:rsid w:val="007C692F"/>
    <w:rsid w:val="007C69E5"/>
    <w:rsid w:val="007C716D"/>
    <w:rsid w:val="007D39D7"/>
    <w:rsid w:val="007E09BD"/>
    <w:rsid w:val="007E736D"/>
    <w:rsid w:val="007E7FCC"/>
    <w:rsid w:val="00803AC1"/>
    <w:rsid w:val="00815FF8"/>
    <w:rsid w:val="008171FC"/>
    <w:rsid w:val="00854F9C"/>
    <w:rsid w:val="00857421"/>
    <w:rsid w:val="00864D77"/>
    <w:rsid w:val="008740AF"/>
    <w:rsid w:val="008A33A0"/>
    <w:rsid w:val="008A7B50"/>
    <w:rsid w:val="008B226E"/>
    <w:rsid w:val="008C10B4"/>
    <w:rsid w:val="008E6E54"/>
    <w:rsid w:val="008F07BE"/>
    <w:rsid w:val="008F0CF9"/>
    <w:rsid w:val="008F78BE"/>
    <w:rsid w:val="00907A83"/>
    <w:rsid w:val="009100C5"/>
    <w:rsid w:val="0091112F"/>
    <w:rsid w:val="00916B3E"/>
    <w:rsid w:val="00925F27"/>
    <w:rsid w:val="00940E87"/>
    <w:rsid w:val="00942FBE"/>
    <w:rsid w:val="00946D7E"/>
    <w:rsid w:val="0095489E"/>
    <w:rsid w:val="00954C30"/>
    <w:rsid w:val="00956DEB"/>
    <w:rsid w:val="00975CA1"/>
    <w:rsid w:val="00980328"/>
    <w:rsid w:val="00982D57"/>
    <w:rsid w:val="00992F0D"/>
    <w:rsid w:val="00993BE7"/>
    <w:rsid w:val="009A5C68"/>
    <w:rsid w:val="009B5A13"/>
    <w:rsid w:val="009C50D0"/>
    <w:rsid w:val="009D0423"/>
    <w:rsid w:val="009D139F"/>
    <w:rsid w:val="009E035E"/>
    <w:rsid w:val="009E11F1"/>
    <w:rsid w:val="009E28F8"/>
    <w:rsid w:val="009E4771"/>
    <w:rsid w:val="009F36E4"/>
    <w:rsid w:val="009F3C74"/>
    <w:rsid w:val="009F4B0E"/>
    <w:rsid w:val="00A273E7"/>
    <w:rsid w:val="00A35343"/>
    <w:rsid w:val="00A50DE5"/>
    <w:rsid w:val="00A619EE"/>
    <w:rsid w:val="00A6415E"/>
    <w:rsid w:val="00A76B84"/>
    <w:rsid w:val="00A82753"/>
    <w:rsid w:val="00A90700"/>
    <w:rsid w:val="00A94AFB"/>
    <w:rsid w:val="00AA2CFC"/>
    <w:rsid w:val="00AC7842"/>
    <w:rsid w:val="00AF00C7"/>
    <w:rsid w:val="00AF16A8"/>
    <w:rsid w:val="00B03DB4"/>
    <w:rsid w:val="00B66992"/>
    <w:rsid w:val="00B70F9E"/>
    <w:rsid w:val="00B815B0"/>
    <w:rsid w:val="00B950C4"/>
    <w:rsid w:val="00B956C7"/>
    <w:rsid w:val="00BA30AC"/>
    <w:rsid w:val="00BC461C"/>
    <w:rsid w:val="00BC52FE"/>
    <w:rsid w:val="00BC5571"/>
    <w:rsid w:val="00BC6721"/>
    <w:rsid w:val="00BD3ACC"/>
    <w:rsid w:val="00BD554C"/>
    <w:rsid w:val="00BF2348"/>
    <w:rsid w:val="00BF5599"/>
    <w:rsid w:val="00BF710A"/>
    <w:rsid w:val="00C20746"/>
    <w:rsid w:val="00C33F1D"/>
    <w:rsid w:val="00C44C1C"/>
    <w:rsid w:val="00C55C3B"/>
    <w:rsid w:val="00C72735"/>
    <w:rsid w:val="00C80963"/>
    <w:rsid w:val="00C85BA4"/>
    <w:rsid w:val="00C86A70"/>
    <w:rsid w:val="00C922B3"/>
    <w:rsid w:val="00C92939"/>
    <w:rsid w:val="00C945A5"/>
    <w:rsid w:val="00C971C6"/>
    <w:rsid w:val="00CA06B3"/>
    <w:rsid w:val="00CC12ED"/>
    <w:rsid w:val="00CC1743"/>
    <w:rsid w:val="00CD6863"/>
    <w:rsid w:val="00CE00DC"/>
    <w:rsid w:val="00CF774E"/>
    <w:rsid w:val="00D064F1"/>
    <w:rsid w:val="00D11B76"/>
    <w:rsid w:val="00D23615"/>
    <w:rsid w:val="00D26493"/>
    <w:rsid w:val="00D32932"/>
    <w:rsid w:val="00D370C6"/>
    <w:rsid w:val="00D51C85"/>
    <w:rsid w:val="00D607DE"/>
    <w:rsid w:val="00D62AD8"/>
    <w:rsid w:val="00D64B97"/>
    <w:rsid w:val="00D72055"/>
    <w:rsid w:val="00D777B4"/>
    <w:rsid w:val="00D80C40"/>
    <w:rsid w:val="00D82345"/>
    <w:rsid w:val="00D82894"/>
    <w:rsid w:val="00D83964"/>
    <w:rsid w:val="00D95498"/>
    <w:rsid w:val="00D9634D"/>
    <w:rsid w:val="00DB4C65"/>
    <w:rsid w:val="00DF0D88"/>
    <w:rsid w:val="00DF7D40"/>
    <w:rsid w:val="00E019F9"/>
    <w:rsid w:val="00E03B4C"/>
    <w:rsid w:val="00E045A2"/>
    <w:rsid w:val="00E0487C"/>
    <w:rsid w:val="00E20CE1"/>
    <w:rsid w:val="00E20EAD"/>
    <w:rsid w:val="00E23428"/>
    <w:rsid w:val="00E41856"/>
    <w:rsid w:val="00E94F5B"/>
    <w:rsid w:val="00E97227"/>
    <w:rsid w:val="00EA118F"/>
    <w:rsid w:val="00EB06C4"/>
    <w:rsid w:val="00EC037E"/>
    <w:rsid w:val="00ED586C"/>
    <w:rsid w:val="00ED6919"/>
    <w:rsid w:val="00EE060D"/>
    <w:rsid w:val="00F277BC"/>
    <w:rsid w:val="00F51DD2"/>
    <w:rsid w:val="00F621B8"/>
    <w:rsid w:val="00F648F0"/>
    <w:rsid w:val="00F7032E"/>
    <w:rsid w:val="00F77FF8"/>
    <w:rsid w:val="00F85812"/>
    <w:rsid w:val="00F87146"/>
    <w:rsid w:val="00F952DE"/>
    <w:rsid w:val="00FA0251"/>
    <w:rsid w:val="00FB1FBD"/>
    <w:rsid w:val="00FB5F93"/>
    <w:rsid w:val="00FC004D"/>
    <w:rsid w:val="00FC60F3"/>
    <w:rsid w:val="00FC7D7C"/>
    <w:rsid w:val="00FD1CC7"/>
    <w:rsid w:val="00FD2947"/>
    <w:rsid w:val="00FE1C39"/>
    <w:rsid w:val="00FF182C"/>
    <w:rsid w:val="00FF64D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chartTrackingRefBased/>
  <w15:docId w15:val="{A8919B14-91EF-4D74-B1CB-BCC3D3A0B1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C50D0"/>
    <w:pPr>
      <w:spacing w:after="0" w:line="240" w:lineRule="auto"/>
    </w:pPr>
    <w:rPr>
      <w:rFonts w:ascii="Times New Roman" w:eastAsia="Times New Roman" w:hAnsi="Times New Roman" w:cs="Times New Roman"/>
      <w:sz w:val="24"/>
      <w:szCs w:val="24"/>
      <w:lang w:eastAsia="es-ES"/>
    </w:rPr>
  </w:style>
  <w:style w:type="paragraph" w:styleId="Ttulo3">
    <w:name w:val="heading 3"/>
    <w:basedOn w:val="Normal"/>
    <w:next w:val="Normal"/>
    <w:link w:val="Ttulo3Car"/>
    <w:qFormat/>
    <w:rsid w:val="009C50D0"/>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rsid w:val="009C50D0"/>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rsid w:val="009C50D0"/>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9C50D0"/>
    <w:rPr>
      <w:rFonts w:ascii="Arial" w:eastAsia="Times New Roman" w:hAnsi="Arial" w:cs="Arial"/>
      <w:b/>
      <w:bCs/>
      <w:sz w:val="26"/>
      <w:szCs w:val="26"/>
      <w:lang w:eastAsia="es-ES"/>
    </w:rPr>
  </w:style>
  <w:style w:type="character" w:customStyle="1" w:styleId="Ttulo4Car">
    <w:name w:val="Título 4 Car"/>
    <w:basedOn w:val="Fuentedeprrafopredeter"/>
    <w:link w:val="Ttulo4"/>
    <w:rsid w:val="009C50D0"/>
    <w:rPr>
      <w:rFonts w:ascii="Times New Roman" w:eastAsia="Times New Roman" w:hAnsi="Times New Roman" w:cs="Times New Roman"/>
      <w:b/>
      <w:sz w:val="24"/>
      <w:szCs w:val="20"/>
      <w:lang w:eastAsia="es-ES"/>
    </w:rPr>
  </w:style>
  <w:style w:type="character" w:customStyle="1" w:styleId="Ttulo5Car">
    <w:name w:val="Título 5 Car"/>
    <w:basedOn w:val="Fuentedeprrafopredeter"/>
    <w:link w:val="Ttulo5"/>
    <w:rsid w:val="009C50D0"/>
    <w:rPr>
      <w:rFonts w:ascii="Arial" w:eastAsia="Times New Roman" w:hAnsi="Arial" w:cs="Arial"/>
      <w:b/>
      <w:bCs/>
      <w:sz w:val="24"/>
      <w:szCs w:val="24"/>
      <w:lang w:eastAsia="es-ES"/>
    </w:rPr>
  </w:style>
  <w:style w:type="paragraph" w:styleId="Puesto">
    <w:name w:val="Title"/>
    <w:basedOn w:val="Normal"/>
    <w:link w:val="PuestoCar"/>
    <w:qFormat/>
    <w:rsid w:val="009C50D0"/>
    <w:pPr>
      <w:widowControl w:val="0"/>
      <w:autoSpaceDE w:val="0"/>
      <w:autoSpaceDN w:val="0"/>
      <w:adjustRightInd w:val="0"/>
      <w:spacing w:line="360" w:lineRule="auto"/>
      <w:jc w:val="center"/>
    </w:pPr>
    <w:rPr>
      <w:rFonts w:ascii="Arial" w:hAnsi="Arial" w:cs="Arial"/>
      <w:b/>
    </w:rPr>
  </w:style>
  <w:style w:type="character" w:customStyle="1" w:styleId="PuestoCar">
    <w:name w:val="Puesto Car"/>
    <w:basedOn w:val="Fuentedeprrafopredeter"/>
    <w:link w:val="Puesto"/>
    <w:rsid w:val="009C50D0"/>
    <w:rPr>
      <w:rFonts w:ascii="Arial" w:eastAsia="Times New Roman" w:hAnsi="Arial" w:cs="Arial"/>
      <w:b/>
      <w:sz w:val="24"/>
      <w:szCs w:val="24"/>
      <w:lang w:eastAsia="es-ES"/>
    </w:rPr>
  </w:style>
  <w:style w:type="character" w:styleId="Nmerodepgina">
    <w:name w:val="page number"/>
    <w:basedOn w:val="Fuentedeprrafopredeter"/>
    <w:rsid w:val="009C50D0"/>
  </w:style>
  <w:style w:type="paragraph" w:styleId="Encabezado">
    <w:name w:val="header"/>
    <w:basedOn w:val="Normal"/>
    <w:link w:val="EncabezadoCar"/>
    <w:rsid w:val="009C50D0"/>
    <w:pPr>
      <w:tabs>
        <w:tab w:val="center" w:pos="4419"/>
        <w:tab w:val="right" w:pos="8838"/>
      </w:tabs>
    </w:pPr>
  </w:style>
  <w:style w:type="character" w:customStyle="1" w:styleId="EncabezadoCar">
    <w:name w:val="Encabezado Car"/>
    <w:basedOn w:val="Fuentedeprrafopredeter"/>
    <w:link w:val="Encabezado"/>
    <w:rsid w:val="009C50D0"/>
    <w:rPr>
      <w:rFonts w:ascii="Times New Roman" w:eastAsia="Times New Roman" w:hAnsi="Times New Roman" w:cs="Times New Roman"/>
      <w:sz w:val="24"/>
      <w:szCs w:val="24"/>
      <w:lang w:eastAsia="es-ES"/>
    </w:rPr>
  </w:style>
  <w:style w:type="paragraph" w:styleId="Sangradetextonormal">
    <w:name w:val="Body Text Indent"/>
    <w:basedOn w:val="Normal"/>
    <w:link w:val="SangradetextonormalCar"/>
    <w:rsid w:val="009C50D0"/>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basedOn w:val="Fuentedeprrafopredeter"/>
    <w:link w:val="Sangradetextonormal"/>
    <w:rsid w:val="009C50D0"/>
    <w:rPr>
      <w:rFonts w:ascii="Tahoma" w:eastAsia="Times New Roman" w:hAnsi="Tahoma" w:cs="Tahoma"/>
      <w:sz w:val="24"/>
      <w:szCs w:val="24"/>
      <w:lang w:eastAsia="es-ES"/>
    </w:rPr>
  </w:style>
  <w:style w:type="paragraph" w:styleId="Textoindependiente">
    <w:name w:val="Body Text"/>
    <w:basedOn w:val="Normal"/>
    <w:link w:val="TextoindependienteCar"/>
    <w:rsid w:val="009C50D0"/>
    <w:pPr>
      <w:spacing w:after="120"/>
    </w:pPr>
  </w:style>
  <w:style w:type="character" w:customStyle="1" w:styleId="TextoindependienteCar">
    <w:name w:val="Texto independiente Car"/>
    <w:basedOn w:val="Fuentedeprrafopredeter"/>
    <w:link w:val="Textoindependiente"/>
    <w:rsid w:val="009C50D0"/>
    <w:rPr>
      <w:rFonts w:ascii="Times New Roman" w:eastAsia="Times New Roman" w:hAnsi="Times New Roman" w:cs="Times New Roman"/>
      <w:sz w:val="24"/>
      <w:szCs w:val="24"/>
      <w:lang w:eastAsia="es-ES"/>
    </w:rPr>
  </w:style>
  <w:style w:type="paragraph" w:styleId="Piedepgina">
    <w:name w:val="footer"/>
    <w:basedOn w:val="Normal"/>
    <w:link w:val="PiedepginaCar"/>
    <w:uiPriority w:val="99"/>
    <w:unhideWhenUsed/>
    <w:rsid w:val="0049366E"/>
    <w:pPr>
      <w:tabs>
        <w:tab w:val="center" w:pos="4252"/>
        <w:tab w:val="right" w:pos="8504"/>
      </w:tabs>
    </w:pPr>
  </w:style>
  <w:style w:type="character" w:customStyle="1" w:styleId="PiedepginaCar">
    <w:name w:val="Pie de página Car"/>
    <w:basedOn w:val="Fuentedeprrafopredeter"/>
    <w:link w:val="Piedepgina"/>
    <w:uiPriority w:val="99"/>
    <w:rsid w:val="0049366E"/>
    <w:rPr>
      <w:rFonts w:ascii="Times New Roman" w:eastAsia="Times New Roman" w:hAnsi="Times New Roman" w:cs="Times New Roman"/>
      <w:sz w:val="24"/>
      <w:szCs w:val="24"/>
      <w:lang w:eastAsia="es-ES"/>
    </w:rPr>
  </w:style>
  <w:style w:type="paragraph" w:styleId="Textodeglobo">
    <w:name w:val="Balloon Text"/>
    <w:basedOn w:val="Normal"/>
    <w:link w:val="TextodegloboCar"/>
    <w:uiPriority w:val="99"/>
    <w:semiHidden/>
    <w:unhideWhenUsed/>
    <w:rsid w:val="003D36AB"/>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D36AB"/>
    <w:rPr>
      <w:rFonts w:ascii="Segoe UI" w:eastAsia="Times New Roman" w:hAnsi="Segoe UI" w:cs="Segoe UI"/>
      <w:sz w:val="18"/>
      <w:szCs w:val="18"/>
      <w:lang w:eastAsia="es-ES"/>
    </w:rPr>
  </w:style>
  <w:style w:type="character" w:customStyle="1" w:styleId="apple-converted-space">
    <w:name w:val="apple-converted-space"/>
    <w:basedOn w:val="Fuentedeprrafopredeter"/>
    <w:rsid w:val="003E30E0"/>
  </w:style>
  <w:style w:type="paragraph" w:styleId="Textonotapie">
    <w:name w:val="footnote text"/>
    <w:aliases w:val="Ref. de nota al pie1,Texto de nota al pie,referencia nota al pie,Footnotes refss,Appel note de bas de page,Fago Fußnotenzeichen,Footnote number,BVI fnr,f,4_G,16 Point,Superscript 6 Point,Ref. de nota al pie 2,Nota a pie,Ref,de nota al pie"/>
    <w:basedOn w:val="Normal"/>
    <w:link w:val="TextonotapieCar1"/>
    <w:autoRedefine/>
    <w:uiPriority w:val="99"/>
    <w:qFormat/>
    <w:rsid w:val="00D370C6"/>
    <w:pPr>
      <w:widowControl w:val="0"/>
      <w:autoSpaceDE w:val="0"/>
      <w:autoSpaceDN w:val="0"/>
      <w:ind w:right="51"/>
      <w:jc w:val="both"/>
    </w:pPr>
    <w:rPr>
      <w:rFonts w:eastAsia="SimSun"/>
      <w:sz w:val="20"/>
      <w:szCs w:val="20"/>
      <w:lang w:val="es-MX"/>
    </w:rPr>
  </w:style>
  <w:style w:type="character" w:customStyle="1" w:styleId="TextonotapieCar">
    <w:name w:val="Texto nota pie Car"/>
    <w:basedOn w:val="Fuentedeprrafopredeter"/>
    <w:uiPriority w:val="99"/>
    <w:semiHidden/>
    <w:rsid w:val="00D370C6"/>
    <w:rPr>
      <w:rFonts w:ascii="Times New Roman" w:eastAsia="Times New Roman" w:hAnsi="Times New Roman" w:cs="Times New Roman"/>
      <w:sz w:val="20"/>
      <w:szCs w:val="20"/>
      <w:lang w:eastAsia="es-ES"/>
    </w:rPr>
  </w:style>
  <w:style w:type="paragraph" w:styleId="Sinespaciado">
    <w:name w:val="No Spacing"/>
    <w:link w:val="SinespaciadoCar"/>
    <w:uiPriority w:val="99"/>
    <w:qFormat/>
    <w:rsid w:val="00D370C6"/>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referencia nota al pie Car,Footnotes refss Car,Appel note de bas de page Car,Fago Fußnotenzeichen Car,Footnote number Car,BVI fnr Car,f Car,4_G Car,16 Point Car,Nota a pie Car,Ref Car"/>
    <w:link w:val="Textonotapie"/>
    <w:uiPriority w:val="99"/>
    <w:locked/>
    <w:rsid w:val="00D370C6"/>
    <w:rPr>
      <w:rFonts w:ascii="Times New Roman" w:eastAsia="SimSun" w:hAnsi="Times New Roman" w:cs="Times New Roman"/>
      <w:sz w:val="20"/>
      <w:szCs w:val="20"/>
      <w:lang w:val="es-MX" w:eastAsia="es-ES"/>
    </w:rPr>
  </w:style>
  <w:style w:type="character" w:customStyle="1" w:styleId="SinespaciadoCar">
    <w:name w:val="Sin espaciado Car"/>
    <w:link w:val="Sinespaciado"/>
    <w:uiPriority w:val="99"/>
    <w:locked/>
    <w:rsid w:val="00D370C6"/>
    <w:rPr>
      <w:rFonts w:ascii="Calibri" w:eastAsia="Times New Roman" w:hAnsi="Calibri" w:cs="Times New Roman"/>
      <w:lang w:val="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5991394">
      <w:bodyDiv w:val="1"/>
      <w:marLeft w:val="0"/>
      <w:marRight w:val="0"/>
      <w:marTop w:val="0"/>
      <w:marBottom w:val="0"/>
      <w:divBdr>
        <w:top w:val="none" w:sz="0" w:space="0" w:color="auto"/>
        <w:left w:val="none" w:sz="0" w:space="0" w:color="auto"/>
        <w:bottom w:val="none" w:sz="0" w:space="0" w:color="auto"/>
        <w:right w:val="none" w:sz="0" w:space="0" w:color="auto"/>
      </w:divBdr>
    </w:div>
    <w:div w:id="202535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708</TotalTime>
  <Pages>6</Pages>
  <Words>2639</Words>
  <Characters>14520</Characters>
  <Application>Microsoft Office Word</Application>
  <DocSecurity>0</DocSecurity>
  <Lines>121</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Giovanny Diaz Moncayo</dc:creator>
  <cp:keywords/>
  <dc:description/>
  <cp:lastModifiedBy>Mariela López de Meneses</cp:lastModifiedBy>
  <cp:revision>51</cp:revision>
  <cp:lastPrinted>2016-03-16T20:06:00Z</cp:lastPrinted>
  <dcterms:created xsi:type="dcterms:W3CDTF">2016-03-10T18:11:00Z</dcterms:created>
  <dcterms:modified xsi:type="dcterms:W3CDTF">2016-09-02T15:56:00Z</dcterms:modified>
</cp:coreProperties>
</file>