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Providencia:</w:t>
      </w:r>
      <w:r w:rsidRPr="00B415A5">
        <w:rPr>
          <w:rFonts w:ascii="Tahoma" w:hAnsi="Tahoma" w:cs="Tahoma"/>
          <w:b w:val="0"/>
          <w:sz w:val="18"/>
          <w:szCs w:val="18"/>
        </w:rPr>
        <w:t xml:space="preserve">                 </w:t>
      </w:r>
      <w:r w:rsidRPr="00B415A5">
        <w:rPr>
          <w:rFonts w:ascii="Tahoma" w:hAnsi="Tahoma" w:cs="Tahoma"/>
          <w:b w:val="0"/>
          <w:sz w:val="18"/>
          <w:szCs w:val="18"/>
        </w:rPr>
        <w:tab/>
        <w:t xml:space="preserve">Auto del </w:t>
      </w:r>
      <w:r w:rsidR="003D7B75">
        <w:rPr>
          <w:rFonts w:ascii="Tahoma" w:hAnsi="Tahoma" w:cs="Tahoma"/>
          <w:b w:val="0"/>
          <w:sz w:val="18"/>
          <w:szCs w:val="18"/>
        </w:rPr>
        <w:t>6</w:t>
      </w:r>
      <w:r>
        <w:rPr>
          <w:rFonts w:ascii="Tahoma" w:hAnsi="Tahoma" w:cs="Tahoma"/>
          <w:b w:val="0"/>
          <w:sz w:val="18"/>
          <w:szCs w:val="18"/>
        </w:rPr>
        <w:t xml:space="preserve"> de </w:t>
      </w:r>
      <w:r w:rsidR="003D7B75">
        <w:rPr>
          <w:rFonts w:ascii="Tahoma" w:hAnsi="Tahoma" w:cs="Tahoma"/>
          <w:b w:val="0"/>
          <w:sz w:val="18"/>
          <w:szCs w:val="18"/>
        </w:rPr>
        <w:t xml:space="preserve">mayo </w:t>
      </w:r>
      <w:r w:rsidRPr="00B415A5">
        <w:rPr>
          <w:rFonts w:ascii="Tahoma" w:hAnsi="Tahoma" w:cs="Tahoma"/>
          <w:b w:val="0"/>
          <w:sz w:val="18"/>
          <w:szCs w:val="18"/>
        </w:rPr>
        <w:t>de 201</w:t>
      </w:r>
      <w:r w:rsidR="003D7B75">
        <w:rPr>
          <w:rFonts w:ascii="Tahoma" w:hAnsi="Tahoma" w:cs="Tahoma"/>
          <w:b w:val="0"/>
          <w:sz w:val="18"/>
          <w:szCs w:val="18"/>
        </w:rPr>
        <w:t>6</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Radicación No.:</w:t>
      </w:r>
      <w:r w:rsidR="00EF6CB3">
        <w:rPr>
          <w:rFonts w:ascii="Tahoma" w:hAnsi="Tahoma" w:cs="Tahoma"/>
          <w:b w:val="0"/>
          <w:sz w:val="18"/>
          <w:szCs w:val="18"/>
        </w:rPr>
        <w:tab/>
      </w:r>
      <w:r w:rsidR="00EF6CB3">
        <w:rPr>
          <w:rFonts w:ascii="Tahoma" w:hAnsi="Tahoma" w:cs="Tahoma"/>
          <w:b w:val="0"/>
          <w:sz w:val="18"/>
          <w:szCs w:val="18"/>
        </w:rPr>
        <w:tab/>
        <w:t>66001-31-05-00</w:t>
      </w:r>
      <w:r w:rsidR="003D7B75">
        <w:rPr>
          <w:rFonts w:ascii="Tahoma" w:hAnsi="Tahoma" w:cs="Tahoma"/>
          <w:b w:val="0"/>
          <w:sz w:val="18"/>
          <w:szCs w:val="18"/>
        </w:rPr>
        <w:t>5</w:t>
      </w:r>
      <w:r w:rsidR="00EF6CB3">
        <w:rPr>
          <w:rFonts w:ascii="Tahoma" w:hAnsi="Tahoma" w:cs="Tahoma"/>
          <w:b w:val="0"/>
          <w:sz w:val="18"/>
          <w:szCs w:val="18"/>
        </w:rPr>
        <w:t>-201</w:t>
      </w:r>
      <w:r w:rsidR="003D7B75">
        <w:rPr>
          <w:rFonts w:ascii="Tahoma" w:hAnsi="Tahoma" w:cs="Tahoma"/>
          <w:b w:val="0"/>
          <w:sz w:val="18"/>
          <w:szCs w:val="18"/>
        </w:rPr>
        <w:t>6</w:t>
      </w:r>
      <w:r w:rsidRPr="00B415A5">
        <w:rPr>
          <w:rFonts w:ascii="Tahoma" w:hAnsi="Tahoma" w:cs="Tahoma"/>
          <w:b w:val="0"/>
          <w:sz w:val="18"/>
          <w:szCs w:val="18"/>
        </w:rPr>
        <w:t>-</w:t>
      </w:r>
      <w:r w:rsidR="00D56123">
        <w:rPr>
          <w:rFonts w:ascii="Tahoma" w:hAnsi="Tahoma" w:cs="Tahoma"/>
          <w:b w:val="0"/>
          <w:sz w:val="18"/>
          <w:szCs w:val="18"/>
        </w:rPr>
        <w:t>00</w:t>
      </w:r>
      <w:r w:rsidR="003D7B75">
        <w:rPr>
          <w:rFonts w:ascii="Tahoma" w:hAnsi="Tahoma" w:cs="Tahoma"/>
          <w:b w:val="0"/>
          <w:sz w:val="18"/>
          <w:szCs w:val="18"/>
        </w:rPr>
        <w:t>022</w:t>
      </w:r>
      <w:r w:rsidRPr="00B415A5">
        <w:rPr>
          <w:rFonts w:ascii="Tahoma" w:hAnsi="Tahoma" w:cs="Tahoma"/>
          <w:b w:val="0"/>
          <w:sz w:val="18"/>
          <w:szCs w:val="18"/>
        </w:rPr>
        <w:t>-0</w:t>
      </w:r>
      <w:r>
        <w:rPr>
          <w:rFonts w:ascii="Tahoma" w:hAnsi="Tahoma" w:cs="Tahoma"/>
          <w:b w:val="0"/>
          <w:sz w:val="18"/>
          <w:szCs w:val="18"/>
        </w:rPr>
        <w:t>1</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Proceso:</w:t>
      </w:r>
      <w:r w:rsidRPr="00B415A5">
        <w:rPr>
          <w:rFonts w:ascii="Tahoma" w:hAnsi="Tahoma" w:cs="Tahoma"/>
          <w:b w:val="0"/>
          <w:sz w:val="18"/>
          <w:szCs w:val="18"/>
        </w:rPr>
        <w:tab/>
      </w:r>
      <w:r w:rsidRPr="00B415A5">
        <w:rPr>
          <w:rFonts w:ascii="Tahoma" w:hAnsi="Tahoma" w:cs="Tahoma"/>
          <w:b w:val="0"/>
          <w:sz w:val="18"/>
          <w:szCs w:val="18"/>
        </w:rPr>
        <w:tab/>
        <w:t xml:space="preserve">Ordinario Laboral  </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Demandante:</w:t>
      </w:r>
      <w:r w:rsidRPr="00B415A5">
        <w:rPr>
          <w:rFonts w:ascii="Tahoma" w:hAnsi="Tahoma" w:cs="Tahoma"/>
          <w:b w:val="0"/>
          <w:sz w:val="18"/>
          <w:szCs w:val="18"/>
        </w:rPr>
        <w:tab/>
      </w:r>
      <w:r w:rsidRPr="00B415A5">
        <w:rPr>
          <w:rFonts w:ascii="Tahoma" w:hAnsi="Tahoma" w:cs="Tahoma"/>
          <w:b w:val="0"/>
          <w:sz w:val="18"/>
          <w:szCs w:val="18"/>
        </w:rPr>
        <w:tab/>
      </w:r>
      <w:r w:rsidR="003D7B75">
        <w:rPr>
          <w:rFonts w:ascii="Tahoma" w:hAnsi="Tahoma" w:cs="Tahoma"/>
          <w:b w:val="0"/>
          <w:sz w:val="18"/>
          <w:szCs w:val="18"/>
        </w:rPr>
        <w:t xml:space="preserve">Ángela María Ramírez </w:t>
      </w:r>
      <w:proofErr w:type="spellStart"/>
      <w:r w:rsidR="003D7B75">
        <w:rPr>
          <w:rFonts w:ascii="Tahoma" w:hAnsi="Tahoma" w:cs="Tahoma"/>
          <w:b w:val="0"/>
          <w:sz w:val="18"/>
          <w:szCs w:val="18"/>
        </w:rPr>
        <w:t>Ramírez</w:t>
      </w:r>
      <w:proofErr w:type="spellEnd"/>
      <w:r>
        <w:rPr>
          <w:rFonts w:ascii="Tahoma" w:hAnsi="Tahoma" w:cs="Tahoma"/>
          <w:b w:val="0"/>
          <w:sz w:val="18"/>
          <w:szCs w:val="18"/>
        </w:rPr>
        <w:t xml:space="preserve"> </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Demandado:</w:t>
      </w:r>
      <w:r>
        <w:rPr>
          <w:rFonts w:ascii="Tahoma" w:hAnsi="Tahoma" w:cs="Tahoma"/>
          <w:b w:val="0"/>
          <w:sz w:val="18"/>
          <w:szCs w:val="18"/>
        </w:rPr>
        <w:t xml:space="preserve">         </w:t>
      </w:r>
      <w:r w:rsidRPr="00B415A5">
        <w:rPr>
          <w:rFonts w:ascii="Tahoma" w:hAnsi="Tahoma" w:cs="Tahoma"/>
          <w:b w:val="0"/>
          <w:sz w:val="18"/>
          <w:szCs w:val="18"/>
        </w:rPr>
        <w:t xml:space="preserve">       </w:t>
      </w:r>
      <w:r w:rsidRPr="00B415A5">
        <w:rPr>
          <w:rFonts w:ascii="Tahoma" w:hAnsi="Tahoma" w:cs="Tahoma"/>
          <w:b w:val="0"/>
          <w:sz w:val="18"/>
          <w:szCs w:val="18"/>
        </w:rPr>
        <w:tab/>
      </w:r>
      <w:r w:rsidR="003D7B75">
        <w:rPr>
          <w:rFonts w:ascii="Tahoma" w:hAnsi="Tahoma" w:cs="Tahoma"/>
          <w:b w:val="0"/>
          <w:sz w:val="18"/>
          <w:szCs w:val="18"/>
        </w:rPr>
        <w:t>Nueva EPS S.A. y otro</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Juzgado de origen:</w:t>
      </w:r>
      <w:r w:rsidRPr="00B415A5">
        <w:rPr>
          <w:rFonts w:ascii="Tahoma" w:hAnsi="Tahoma" w:cs="Tahoma"/>
          <w:b w:val="0"/>
          <w:sz w:val="18"/>
          <w:szCs w:val="18"/>
        </w:rPr>
        <w:tab/>
        <w:t xml:space="preserve">Juzgado </w:t>
      </w:r>
      <w:r w:rsidR="003D7B75">
        <w:rPr>
          <w:rFonts w:ascii="Tahoma" w:hAnsi="Tahoma" w:cs="Tahoma"/>
          <w:b w:val="0"/>
          <w:sz w:val="18"/>
          <w:szCs w:val="18"/>
        </w:rPr>
        <w:t>Quint</w:t>
      </w:r>
      <w:r w:rsidR="00EF6CB3">
        <w:rPr>
          <w:rFonts w:ascii="Tahoma" w:hAnsi="Tahoma" w:cs="Tahoma"/>
          <w:b w:val="0"/>
          <w:sz w:val="18"/>
          <w:szCs w:val="18"/>
        </w:rPr>
        <w:t>o</w:t>
      </w:r>
      <w:r w:rsidRPr="00B415A5">
        <w:rPr>
          <w:rFonts w:ascii="Tahoma" w:hAnsi="Tahoma" w:cs="Tahoma"/>
          <w:b w:val="0"/>
          <w:sz w:val="18"/>
          <w:szCs w:val="18"/>
        </w:rPr>
        <w:t xml:space="preserve"> Laboral del Circuito de </w:t>
      </w:r>
      <w:r w:rsidR="00EF6CB3">
        <w:rPr>
          <w:rFonts w:ascii="Tahoma" w:hAnsi="Tahoma" w:cs="Tahoma"/>
          <w:b w:val="0"/>
          <w:sz w:val="18"/>
          <w:szCs w:val="18"/>
        </w:rPr>
        <w:t>Pereira</w:t>
      </w:r>
    </w:p>
    <w:p w:rsidR="000F43A6" w:rsidRPr="00B415A5" w:rsidRDefault="000F43A6" w:rsidP="000F43A6">
      <w:pPr>
        <w:pStyle w:val="Puesto"/>
        <w:jc w:val="both"/>
        <w:rPr>
          <w:rFonts w:ascii="Tahoma" w:hAnsi="Tahoma" w:cs="Tahoma"/>
          <w:b w:val="0"/>
          <w:sz w:val="18"/>
          <w:szCs w:val="18"/>
        </w:rPr>
      </w:pPr>
      <w:r w:rsidRPr="00B415A5">
        <w:rPr>
          <w:rFonts w:ascii="Tahoma" w:hAnsi="Tahoma" w:cs="Tahoma"/>
          <w:sz w:val="18"/>
          <w:szCs w:val="18"/>
        </w:rPr>
        <w:t>Magistrad</w:t>
      </w:r>
      <w:r>
        <w:rPr>
          <w:rFonts w:ascii="Tahoma" w:hAnsi="Tahoma" w:cs="Tahoma"/>
          <w:sz w:val="18"/>
          <w:szCs w:val="18"/>
        </w:rPr>
        <w:t>a</w:t>
      </w:r>
      <w:r w:rsidRPr="00B415A5">
        <w:rPr>
          <w:rFonts w:ascii="Tahoma" w:hAnsi="Tahoma" w:cs="Tahoma"/>
          <w:sz w:val="18"/>
          <w:szCs w:val="18"/>
        </w:rPr>
        <w:t xml:space="preserve"> </w:t>
      </w:r>
      <w:r>
        <w:rPr>
          <w:rFonts w:ascii="Tahoma" w:hAnsi="Tahoma" w:cs="Tahoma"/>
          <w:sz w:val="18"/>
          <w:szCs w:val="18"/>
        </w:rPr>
        <w:t>p</w:t>
      </w:r>
      <w:r w:rsidRPr="00B415A5">
        <w:rPr>
          <w:rFonts w:ascii="Tahoma" w:hAnsi="Tahoma" w:cs="Tahoma"/>
          <w:sz w:val="18"/>
          <w:szCs w:val="18"/>
        </w:rPr>
        <w:t>onente:</w:t>
      </w:r>
      <w:r w:rsidRPr="00B415A5">
        <w:rPr>
          <w:rFonts w:ascii="Tahoma" w:hAnsi="Tahoma" w:cs="Tahoma"/>
          <w:b w:val="0"/>
          <w:sz w:val="18"/>
          <w:szCs w:val="18"/>
        </w:rPr>
        <w:tab/>
      </w:r>
      <w:r>
        <w:rPr>
          <w:rFonts w:ascii="Tahoma" w:hAnsi="Tahoma" w:cs="Tahoma"/>
          <w:b w:val="0"/>
          <w:sz w:val="18"/>
          <w:szCs w:val="18"/>
        </w:rPr>
        <w:t>Ana Lucía Caicedo Calderón</w:t>
      </w:r>
    </w:p>
    <w:p w:rsidR="00733632" w:rsidRDefault="00733632" w:rsidP="00733632">
      <w:pPr>
        <w:spacing w:after="0" w:line="240" w:lineRule="auto"/>
        <w:jc w:val="both"/>
        <w:rPr>
          <w:rFonts w:ascii="Tahoma" w:hAnsi="Tahoma" w:cs="Tahoma"/>
          <w:b/>
          <w:sz w:val="18"/>
          <w:szCs w:val="18"/>
        </w:rPr>
      </w:pPr>
    </w:p>
    <w:p w:rsidR="005276DC" w:rsidRPr="004028CE" w:rsidRDefault="008C6F88" w:rsidP="005B5051">
      <w:pPr>
        <w:spacing w:after="0" w:line="240" w:lineRule="auto"/>
        <w:ind w:left="2124"/>
        <w:jc w:val="both"/>
        <w:rPr>
          <w:rFonts w:ascii="Tahoma" w:hAnsi="Tahoma" w:cs="Tahoma"/>
          <w:bCs/>
          <w:sz w:val="18"/>
          <w:szCs w:val="18"/>
        </w:rPr>
      </w:pPr>
      <w:r w:rsidRPr="004028CE">
        <w:rPr>
          <w:rFonts w:ascii="Tahoma" w:hAnsi="Tahoma" w:cs="Tahoma"/>
          <w:b/>
          <w:sz w:val="18"/>
          <w:szCs w:val="18"/>
        </w:rPr>
        <w:t>Rec</w:t>
      </w:r>
      <w:r w:rsidR="005276DC" w:rsidRPr="004028CE">
        <w:rPr>
          <w:rFonts w:ascii="Tahoma" w:hAnsi="Tahoma" w:cs="Tahoma"/>
          <w:b/>
          <w:sz w:val="18"/>
          <w:szCs w:val="18"/>
        </w:rPr>
        <w:t xml:space="preserve">lamación administrativa – </w:t>
      </w:r>
      <w:r w:rsidR="005B5051" w:rsidRPr="004028CE">
        <w:rPr>
          <w:rFonts w:ascii="Tahoma" w:hAnsi="Tahoma" w:cs="Tahoma"/>
          <w:b/>
          <w:sz w:val="18"/>
          <w:szCs w:val="18"/>
        </w:rPr>
        <w:t xml:space="preserve">Es </w:t>
      </w:r>
      <w:r w:rsidR="005276DC" w:rsidRPr="004028CE">
        <w:rPr>
          <w:rFonts w:ascii="Tahoma" w:hAnsi="Tahoma" w:cs="Tahoma"/>
          <w:b/>
          <w:sz w:val="18"/>
          <w:szCs w:val="18"/>
        </w:rPr>
        <w:t xml:space="preserve">requisito cuando se demanda a </w:t>
      </w:r>
      <w:r w:rsidR="00AB0FD8">
        <w:rPr>
          <w:rFonts w:ascii="Tahoma" w:hAnsi="Tahoma" w:cs="Tahoma"/>
          <w:b/>
          <w:sz w:val="18"/>
          <w:szCs w:val="18"/>
        </w:rPr>
        <w:t>cualquier entidad de la administración pública</w:t>
      </w:r>
      <w:r w:rsidR="00733632" w:rsidRPr="004028CE">
        <w:rPr>
          <w:rFonts w:ascii="Tahoma" w:hAnsi="Tahoma" w:cs="Tahoma"/>
          <w:b/>
          <w:bCs/>
          <w:sz w:val="18"/>
          <w:szCs w:val="18"/>
        </w:rPr>
        <w:t xml:space="preserve">: </w:t>
      </w:r>
      <w:r w:rsidR="005B5051" w:rsidRPr="004028CE">
        <w:rPr>
          <w:rFonts w:ascii="Tahoma" w:hAnsi="Tahoma" w:cs="Tahoma"/>
          <w:bCs/>
          <w:i/>
          <w:sz w:val="18"/>
          <w:szCs w:val="18"/>
        </w:rPr>
        <w:t>“</w:t>
      </w:r>
      <w:r w:rsidR="005B5051" w:rsidRPr="004028CE">
        <w:rPr>
          <w:rFonts w:ascii="Tahoma" w:hAnsi="Tahoma" w:cs="Tahoma"/>
          <w:i/>
          <w:sz w:val="18"/>
          <w:szCs w:val="18"/>
        </w:rPr>
        <w:t xml:space="preserve">En el artículo 6º del C.P.L.S.S. se adoptó una modalidad especial de aseguramiento de la oportunidad para la </w:t>
      </w:r>
      <w:proofErr w:type="spellStart"/>
      <w:r w:rsidR="005B5051" w:rsidRPr="004028CE">
        <w:rPr>
          <w:rFonts w:ascii="Tahoma" w:hAnsi="Tahoma" w:cs="Tahoma"/>
          <w:i/>
          <w:sz w:val="18"/>
          <w:szCs w:val="18"/>
        </w:rPr>
        <w:t>autotutela</w:t>
      </w:r>
      <w:proofErr w:type="spellEnd"/>
      <w:r w:rsidR="005B5051" w:rsidRPr="004028CE">
        <w:rPr>
          <w:rFonts w:ascii="Tahoma" w:hAnsi="Tahoma" w:cs="Tahoma"/>
          <w:i/>
          <w:sz w:val="18"/>
          <w:szCs w:val="18"/>
        </w:rPr>
        <w:t xml:space="preserve"> administrativa, porque al señalarse que la reclamación administrativa cuyo agotamiento es presupuesto para ocurrir ante la justicia ordinaria laboral, consiste en el simple reclamo  escrito del servidor público o trabajador sobre el derecho que pretenda, la sustrae del ámbito del agotamiento de la vía gubernativa previsto en el C.C.A. como requisito para que los particulares puedan acudir ante la jurisdicción contencioso administrativa a demandar los actos administrativos unilaterales y definitivos de carácter particular y concreto, para someterla a una regulación más general y sencilla, conforme a la cual, en todos los eventos en que se pretenda demandar a una entidad pública ante la justicia ordinaria laboral, un presupuesto de </w:t>
      </w:r>
      <w:proofErr w:type="spellStart"/>
      <w:r w:rsidR="005B5051" w:rsidRPr="004028CE">
        <w:rPr>
          <w:rFonts w:ascii="Tahoma" w:hAnsi="Tahoma" w:cs="Tahoma"/>
          <w:i/>
          <w:sz w:val="18"/>
          <w:szCs w:val="18"/>
        </w:rPr>
        <w:t>procedibilidad</w:t>
      </w:r>
      <w:proofErr w:type="spellEnd"/>
      <w:r w:rsidR="005B5051" w:rsidRPr="004028CE">
        <w:rPr>
          <w:rFonts w:ascii="Tahoma" w:hAnsi="Tahoma" w:cs="Tahoma"/>
          <w:i/>
          <w:sz w:val="18"/>
          <w:szCs w:val="18"/>
        </w:rPr>
        <w:t xml:space="preserve"> de la acción es esa previa reclamación administrativa.”</w:t>
      </w:r>
      <w:r w:rsidR="005B5051" w:rsidRPr="004028CE">
        <w:rPr>
          <w:rStyle w:val="Refdenotaalpie"/>
          <w:rFonts w:ascii="Tahoma" w:hAnsi="Tahoma" w:cs="Tahoma"/>
          <w:i/>
          <w:sz w:val="18"/>
          <w:szCs w:val="18"/>
        </w:rPr>
        <w:footnoteReference w:id="1"/>
      </w:r>
    </w:p>
    <w:p w:rsidR="005276DC" w:rsidRPr="004028CE" w:rsidRDefault="005276DC" w:rsidP="00733632">
      <w:pPr>
        <w:spacing w:after="0" w:line="240" w:lineRule="auto"/>
        <w:ind w:left="2124"/>
        <w:jc w:val="both"/>
        <w:rPr>
          <w:rFonts w:ascii="Tahoma" w:hAnsi="Tahoma" w:cs="Tahoma"/>
          <w:b/>
          <w:bCs/>
          <w:sz w:val="18"/>
          <w:szCs w:val="18"/>
        </w:rPr>
      </w:pPr>
    </w:p>
    <w:p w:rsidR="00BD1D53" w:rsidRPr="004028CE" w:rsidRDefault="00AB0FD8" w:rsidP="00733632">
      <w:pPr>
        <w:spacing w:after="0" w:line="240" w:lineRule="auto"/>
        <w:ind w:left="2124"/>
        <w:jc w:val="both"/>
        <w:rPr>
          <w:rFonts w:ascii="Tahoma" w:hAnsi="Tahoma" w:cs="Tahoma"/>
          <w:sz w:val="18"/>
          <w:szCs w:val="18"/>
        </w:rPr>
      </w:pPr>
      <w:r w:rsidRPr="004028CE">
        <w:rPr>
          <w:rFonts w:ascii="Tahoma" w:hAnsi="Tahoma" w:cs="Tahoma"/>
          <w:b/>
          <w:sz w:val="18"/>
          <w:szCs w:val="18"/>
        </w:rPr>
        <w:t xml:space="preserve">Sociedad </w:t>
      </w:r>
      <w:r w:rsidR="004028CE" w:rsidRPr="004028CE">
        <w:rPr>
          <w:rFonts w:ascii="Tahoma" w:hAnsi="Tahoma" w:cs="Tahoma"/>
          <w:b/>
          <w:sz w:val="18"/>
          <w:szCs w:val="18"/>
        </w:rPr>
        <w:t>de economía mixta</w:t>
      </w:r>
      <w:r>
        <w:rPr>
          <w:rFonts w:ascii="Tahoma" w:hAnsi="Tahoma" w:cs="Tahoma"/>
          <w:b/>
          <w:sz w:val="18"/>
          <w:szCs w:val="18"/>
        </w:rPr>
        <w:t xml:space="preserve"> – hace parte de la rama ejecutiva del poder público</w:t>
      </w:r>
      <w:r w:rsidR="004028CE" w:rsidRPr="004028CE">
        <w:rPr>
          <w:rFonts w:ascii="Tahoma" w:hAnsi="Tahoma" w:cs="Tahoma"/>
          <w:b/>
          <w:bCs/>
          <w:sz w:val="18"/>
          <w:szCs w:val="18"/>
        </w:rPr>
        <w:t xml:space="preserve">: </w:t>
      </w:r>
      <w:r w:rsidR="004028CE" w:rsidRPr="004028CE">
        <w:rPr>
          <w:rFonts w:ascii="Tahoma" w:hAnsi="Tahoma" w:cs="Tahoma"/>
          <w:i/>
          <w:sz w:val="18"/>
          <w:szCs w:val="18"/>
        </w:rPr>
        <w:t>“A partir de estas normas legales puede establecerse que hoy en día los elementos configurativos de las sociedades de economía mixta son (i) creación o autorización legal;</w:t>
      </w:r>
      <w:r w:rsidR="004028CE" w:rsidRPr="004028CE">
        <w:rPr>
          <w:rStyle w:val="Refdenotaalpie"/>
          <w:rFonts w:ascii="Tahoma" w:hAnsi="Tahoma" w:cs="Tahoma"/>
          <w:i/>
          <w:sz w:val="18"/>
          <w:szCs w:val="18"/>
        </w:rPr>
        <w:footnoteReference w:id="2"/>
      </w:r>
      <w:r w:rsidR="004028CE" w:rsidRPr="004028CE">
        <w:rPr>
          <w:rFonts w:ascii="Tahoma" w:hAnsi="Tahoma" w:cs="Tahoma"/>
          <w:i/>
          <w:sz w:val="18"/>
          <w:szCs w:val="18"/>
        </w:rPr>
        <w:t xml:space="preserve"> (ii) carácter de sociedades comerciales; (iii) su objeto social es el cumplimiento de actividades industriales y comerciales, con ánimo de lucro; (iv) sujeción a las reglas de Derecho Privado, </w:t>
      </w:r>
      <w:r w:rsidR="004028CE" w:rsidRPr="004028CE">
        <w:rPr>
          <w:rFonts w:ascii="Tahoma" w:hAnsi="Tahoma" w:cs="Tahoma"/>
          <w:i/>
          <w:iCs/>
          <w:sz w:val="18"/>
          <w:szCs w:val="18"/>
        </w:rPr>
        <w:t>“salvo las excepciones que consagra la ley”</w:t>
      </w:r>
      <w:r w:rsidR="004028CE" w:rsidRPr="004028CE">
        <w:rPr>
          <w:rFonts w:ascii="Tahoma" w:hAnsi="Tahoma" w:cs="Tahoma"/>
          <w:i/>
          <w:sz w:val="18"/>
          <w:szCs w:val="18"/>
        </w:rPr>
        <w:t>; (v) capital integrado por aportes del Estado y de particulares, en cualquier proporción; (vi) vinculación a la Rama ejecutiva como integrante del sector descentralizado y consecuente sujeción a controles administrativos”.</w:t>
      </w:r>
      <w:r w:rsidR="004028CE">
        <w:rPr>
          <w:rStyle w:val="Refdenotaalpie"/>
          <w:rFonts w:ascii="Tahoma" w:hAnsi="Tahoma"/>
          <w:i/>
          <w:sz w:val="18"/>
          <w:szCs w:val="18"/>
        </w:rPr>
        <w:footnoteReference w:id="3"/>
      </w:r>
    </w:p>
    <w:p w:rsidR="0016454E" w:rsidRDefault="0016454E" w:rsidP="00DC3FED">
      <w:pPr>
        <w:spacing w:after="0"/>
        <w:rPr>
          <w:rFonts w:ascii="Tahoma" w:hAnsi="Tahoma" w:cs="Tahoma"/>
          <w:sz w:val="24"/>
          <w:szCs w:val="24"/>
          <w:lang w:val="es-ES_tradnl"/>
        </w:rPr>
      </w:pPr>
    </w:p>
    <w:p w:rsidR="00942DC8" w:rsidRPr="001875D7" w:rsidRDefault="00942DC8" w:rsidP="00DC3FED">
      <w:pPr>
        <w:spacing w:after="0"/>
        <w:rPr>
          <w:rFonts w:ascii="Tahoma" w:hAnsi="Tahoma" w:cs="Tahoma"/>
          <w:sz w:val="24"/>
          <w:szCs w:val="24"/>
          <w:lang w:val="es-ES_tradnl"/>
        </w:rPr>
      </w:pPr>
    </w:p>
    <w:p w:rsidR="004D171C" w:rsidRPr="001875D7" w:rsidRDefault="004D171C" w:rsidP="00DC3FED">
      <w:pPr>
        <w:pStyle w:val="Ttulo4"/>
        <w:widowControl w:val="0"/>
        <w:tabs>
          <w:tab w:val="clear" w:pos="0"/>
        </w:tabs>
        <w:spacing w:line="276" w:lineRule="auto"/>
        <w:rPr>
          <w:rFonts w:ascii="Tahoma" w:hAnsi="Tahoma" w:cs="Tahoma"/>
          <w:bCs/>
          <w:szCs w:val="24"/>
          <w:lang w:eastAsia="es-MX"/>
        </w:rPr>
      </w:pPr>
      <w:r w:rsidRPr="001875D7">
        <w:rPr>
          <w:rFonts w:ascii="Tahoma" w:hAnsi="Tahoma" w:cs="Tahoma"/>
          <w:bCs/>
          <w:szCs w:val="24"/>
          <w:lang w:eastAsia="es-MX"/>
        </w:rPr>
        <w:t>TRIBUNAL SUPERIOR DEL DISTRITO JUDICIAL DE PEREIRA</w:t>
      </w:r>
    </w:p>
    <w:p w:rsidR="004D171C" w:rsidRPr="001875D7" w:rsidRDefault="004D171C" w:rsidP="00DC3FED">
      <w:pPr>
        <w:pStyle w:val="Ttulo4"/>
        <w:widowControl w:val="0"/>
        <w:tabs>
          <w:tab w:val="clear" w:pos="0"/>
        </w:tabs>
        <w:spacing w:line="276" w:lineRule="auto"/>
        <w:rPr>
          <w:rFonts w:ascii="Tahoma" w:hAnsi="Tahoma" w:cs="Tahoma"/>
          <w:bCs/>
          <w:szCs w:val="24"/>
          <w:lang w:eastAsia="es-MX"/>
        </w:rPr>
      </w:pPr>
      <w:r w:rsidRPr="001875D7">
        <w:rPr>
          <w:rFonts w:ascii="Tahoma" w:hAnsi="Tahoma" w:cs="Tahoma"/>
          <w:bCs/>
          <w:szCs w:val="24"/>
          <w:lang w:eastAsia="es-MX"/>
        </w:rPr>
        <w:t>SALA LABORAL</w:t>
      </w:r>
      <w:r w:rsidR="003D7B75">
        <w:rPr>
          <w:rFonts w:ascii="Tahoma" w:hAnsi="Tahoma" w:cs="Tahoma"/>
          <w:bCs/>
          <w:szCs w:val="24"/>
          <w:lang w:eastAsia="es-MX"/>
        </w:rPr>
        <w:t xml:space="preserve"> No. 1</w:t>
      </w:r>
    </w:p>
    <w:p w:rsidR="004D171C" w:rsidRPr="00942DC8" w:rsidRDefault="004D171C" w:rsidP="00942DC8">
      <w:pPr>
        <w:pStyle w:val="Sinespaciado"/>
      </w:pPr>
    </w:p>
    <w:p w:rsidR="004D171C" w:rsidRPr="001875D7" w:rsidRDefault="004D171C" w:rsidP="00DC3FED">
      <w:pPr>
        <w:spacing w:after="0"/>
        <w:jc w:val="center"/>
        <w:rPr>
          <w:rFonts w:ascii="Tahoma" w:hAnsi="Tahoma" w:cs="Tahoma"/>
          <w:b/>
          <w:bCs/>
          <w:sz w:val="24"/>
          <w:szCs w:val="24"/>
        </w:rPr>
      </w:pPr>
      <w:r w:rsidRPr="001875D7">
        <w:rPr>
          <w:rFonts w:ascii="Tahoma" w:hAnsi="Tahoma" w:cs="Tahoma"/>
          <w:bCs/>
          <w:sz w:val="24"/>
          <w:szCs w:val="24"/>
        </w:rPr>
        <w:t>Magistrada Ponente:</w:t>
      </w:r>
      <w:r w:rsidRPr="001875D7">
        <w:rPr>
          <w:rFonts w:ascii="Tahoma" w:hAnsi="Tahoma" w:cs="Tahoma"/>
          <w:b/>
          <w:bCs/>
          <w:sz w:val="24"/>
          <w:szCs w:val="24"/>
        </w:rPr>
        <w:t xml:space="preserve"> Ana Lucía Caicedo Calderón</w:t>
      </w:r>
    </w:p>
    <w:p w:rsidR="004D171C" w:rsidRPr="00942DC8" w:rsidRDefault="004D171C" w:rsidP="00942DC8">
      <w:pPr>
        <w:pStyle w:val="Sinespaciado"/>
      </w:pPr>
    </w:p>
    <w:p w:rsidR="004D171C" w:rsidRPr="001875D7" w:rsidRDefault="004D171C" w:rsidP="00DC3FED">
      <w:pPr>
        <w:spacing w:after="0"/>
        <w:jc w:val="center"/>
        <w:rPr>
          <w:rFonts w:ascii="Tahoma" w:hAnsi="Tahoma" w:cs="Tahoma"/>
          <w:b/>
          <w:sz w:val="24"/>
          <w:szCs w:val="24"/>
        </w:rPr>
      </w:pPr>
      <w:r w:rsidRPr="001875D7">
        <w:rPr>
          <w:rFonts w:ascii="Tahoma" w:hAnsi="Tahoma" w:cs="Tahoma"/>
          <w:b/>
          <w:sz w:val="24"/>
          <w:szCs w:val="24"/>
        </w:rPr>
        <w:t>Acta No.____</w:t>
      </w:r>
    </w:p>
    <w:p w:rsidR="004D171C" w:rsidRPr="001875D7" w:rsidRDefault="004D171C" w:rsidP="00DC3FED">
      <w:pPr>
        <w:spacing w:after="0"/>
        <w:jc w:val="center"/>
        <w:rPr>
          <w:rFonts w:ascii="Tahoma" w:hAnsi="Tahoma" w:cs="Tahoma"/>
          <w:b/>
          <w:sz w:val="24"/>
          <w:szCs w:val="24"/>
        </w:rPr>
      </w:pPr>
      <w:r w:rsidRPr="001875D7">
        <w:rPr>
          <w:rFonts w:ascii="Tahoma" w:hAnsi="Tahoma" w:cs="Tahoma"/>
          <w:b/>
          <w:sz w:val="24"/>
          <w:szCs w:val="24"/>
        </w:rPr>
        <w:t>(</w:t>
      </w:r>
      <w:r w:rsidR="003D7B75">
        <w:rPr>
          <w:rFonts w:ascii="Tahoma" w:hAnsi="Tahoma" w:cs="Tahoma"/>
          <w:b/>
          <w:sz w:val="24"/>
          <w:szCs w:val="24"/>
        </w:rPr>
        <w:t>Mayo 6 de 2016</w:t>
      </w:r>
      <w:r w:rsidRPr="001875D7">
        <w:rPr>
          <w:rFonts w:ascii="Tahoma" w:hAnsi="Tahoma" w:cs="Tahoma"/>
          <w:b/>
          <w:sz w:val="24"/>
          <w:szCs w:val="24"/>
        </w:rPr>
        <w:t>)</w:t>
      </w:r>
    </w:p>
    <w:p w:rsidR="00B415A5" w:rsidRPr="00942DC8" w:rsidRDefault="00B415A5" w:rsidP="00942DC8">
      <w:pPr>
        <w:pStyle w:val="Sinespaciado"/>
      </w:pPr>
    </w:p>
    <w:p w:rsidR="00841418" w:rsidRPr="001875D7" w:rsidRDefault="00841418" w:rsidP="00DC3FED">
      <w:pPr>
        <w:widowControl w:val="0"/>
        <w:autoSpaceDE w:val="0"/>
        <w:autoSpaceDN w:val="0"/>
        <w:adjustRightInd w:val="0"/>
        <w:spacing w:after="0"/>
        <w:ind w:firstLine="709"/>
        <w:jc w:val="both"/>
        <w:rPr>
          <w:rFonts w:ascii="Tahoma" w:hAnsi="Tahoma" w:cs="Tahoma"/>
          <w:sz w:val="24"/>
          <w:szCs w:val="24"/>
          <w:lang w:val="es-ES_tradnl"/>
        </w:rPr>
      </w:pPr>
      <w:r w:rsidRPr="001875D7">
        <w:rPr>
          <w:rFonts w:ascii="Tahoma" w:hAnsi="Tahoma" w:cs="Tahoma"/>
          <w:sz w:val="24"/>
          <w:szCs w:val="24"/>
        </w:rPr>
        <w:t>En la fecha</w:t>
      </w:r>
      <w:r w:rsidR="00E46667" w:rsidRPr="001875D7">
        <w:rPr>
          <w:rFonts w:ascii="Tahoma" w:hAnsi="Tahoma" w:cs="Tahoma"/>
          <w:sz w:val="24"/>
          <w:szCs w:val="24"/>
        </w:rPr>
        <w:t>,</w:t>
      </w:r>
      <w:r w:rsidRPr="001875D7">
        <w:rPr>
          <w:rFonts w:ascii="Tahoma" w:hAnsi="Tahoma" w:cs="Tahoma"/>
          <w:sz w:val="24"/>
          <w:szCs w:val="24"/>
        </w:rPr>
        <w:t xml:space="preserve"> </w:t>
      </w:r>
      <w:r w:rsidRPr="001875D7">
        <w:rPr>
          <w:rFonts w:ascii="Tahoma" w:hAnsi="Tahoma" w:cs="Tahoma"/>
          <w:spacing w:val="-2"/>
          <w:sz w:val="24"/>
          <w:szCs w:val="24"/>
        </w:rPr>
        <w:t xml:space="preserve">los </w:t>
      </w:r>
      <w:r w:rsidR="004D171C" w:rsidRPr="001875D7">
        <w:rPr>
          <w:rFonts w:ascii="Tahoma" w:hAnsi="Tahoma" w:cs="Tahoma"/>
          <w:spacing w:val="-2"/>
          <w:sz w:val="24"/>
          <w:szCs w:val="24"/>
        </w:rPr>
        <w:t xml:space="preserve">Magistrados </w:t>
      </w:r>
      <w:r w:rsidRPr="001875D7">
        <w:rPr>
          <w:rFonts w:ascii="Tahoma" w:hAnsi="Tahoma" w:cs="Tahoma"/>
          <w:spacing w:val="-2"/>
          <w:sz w:val="24"/>
          <w:szCs w:val="24"/>
        </w:rPr>
        <w:t>que integran la Sala de Decisión Laboral</w:t>
      </w:r>
      <w:r w:rsidR="003D7B75">
        <w:rPr>
          <w:rFonts w:ascii="Tahoma" w:hAnsi="Tahoma" w:cs="Tahoma"/>
          <w:spacing w:val="-2"/>
          <w:sz w:val="24"/>
          <w:szCs w:val="24"/>
        </w:rPr>
        <w:t xml:space="preserve"> No. 1</w:t>
      </w:r>
      <w:r w:rsidRPr="001875D7">
        <w:rPr>
          <w:rFonts w:ascii="Tahoma" w:hAnsi="Tahoma" w:cs="Tahoma"/>
          <w:spacing w:val="-2"/>
          <w:sz w:val="24"/>
          <w:szCs w:val="24"/>
        </w:rPr>
        <w:t xml:space="preserve"> del Tribunal Superior de Pereira (Risaralda), proceden a </w:t>
      </w:r>
      <w:r w:rsidRPr="001875D7">
        <w:rPr>
          <w:rFonts w:ascii="Tahoma" w:hAnsi="Tahoma" w:cs="Tahoma"/>
          <w:sz w:val="24"/>
          <w:szCs w:val="24"/>
        </w:rPr>
        <w:t xml:space="preserve">decidir </w:t>
      </w:r>
      <w:r w:rsidR="00B322EB" w:rsidRPr="001875D7">
        <w:rPr>
          <w:rFonts w:ascii="Tahoma" w:hAnsi="Tahoma" w:cs="Tahoma"/>
          <w:spacing w:val="-2"/>
          <w:sz w:val="24"/>
          <w:szCs w:val="24"/>
        </w:rPr>
        <w:t xml:space="preserve">el recurso de apelación interpuesto contra </w:t>
      </w:r>
      <w:r w:rsidR="000B4EEA">
        <w:rPr>
          <w:rFonts w:ascii="Tahoma" w:hAnsi="Tahoma" w:cs="Tahoma"/>
          <w:spacing w:val="-2"/>
          <w:sz w:val="24"/>
          <w:szCs w:val="24"/>
        </w:rPr>
        <w:t xml:space="preserve">el auto proferido por el Juzgado </w:t>
      </w:r>
      <w:r w:rsidR="003D7B75">
        <w:rPr>
          <w:rFonts w:ascii="Tahoma" w:hAnsi="Tahoma" w:cs="Tahoma"/>
          <w:spacing w:val="-2"/>
          <w:sz w:val="24"/>
          <w:szCs w:val="24"/>
        </w:rPr>
        <w:t>Quinto</w:t>
      </w:r>
      <w:r w:rsidR="000B4EEA">
        <w:rPr>
          <w:rFonts w:ascii="Tahoma" w:hAnsi="Tahoma" w:cs="Tahoma"/>
          <w:spacing w:val="-2"/>
          <w:sz w:val="24"/>
          <w:szCs w:val="24"/>
        </w:rPr>
        <w:t xml:space="preserve"> Labor</w:t>
      </w:r>
      <w:r w:rsidR="003D7B75">
        <w:rPr>
          <w:rFonts w:ascii="Tahoma" w:hAnsi="Tahoma" w:cs="Tahoma"/>
          <w:spacing w:val="-2"/>
          <w:sz w:val="24"/>
          <w:szCs w:val="24"/>
        </w:rPr>
        <w:t xml:space="preserve">al del Circuito de Pereira el 2 </w:t>
      </w:r>
      <w:r w:rsidR="000B4EEA">
        <w:rPr>
          <w:rFonts w:ascii="Tahoma" w:hAnsi="Tahoma" w:cs="Tahoma"/>
          <w:spacing w:val="-2"/>
          <w:sz w:val="24"/>
          <w:szCs w:val="24"/>
        </w:rPr>
        <w:t xml:space="preserve">de </w:t>
      </w:r>
      <w:r w:rsidR="003D7B75">
        <w:rPr>
          <w:rFonts w:ascii="Tahoma" w:hAnsi="Tahoma" w:cs="Tahoma"/>
          <w:spacing w:val="-2"/>
          <w:sz w:val="24"/>
          <w:szCs w:val="24"/>
        </w:rPr>
        <w:t>febrero de 2016</w:t>
      </w:r>
      <w:r w:rsidR="000B4EEA">
        <w:rPr>
          <w:rFonts w:ascii="Tahoma" w:hAnsi="Tahoma" w:cs="Tahoma"/>
          <w:spacing w:val="-2"/>
          <w:sz w:val="24"/>
          <w:szCs w:val="24"/>
        </w:rPr>
        <w:t xml:space="preserve">, </w:t>
      </w:r>
      <w:r w:rsidR="00B322EB" w:rsidRPr="001875D7">
        <w:rPr>
          <w:rFonts w:ascii="Tahoma" w:hAnsi="Tahoma" w:cs="Tahoma"/>
          <w:spacing w:val="-2"/>
          <w:sz w:val="24"/>
          <w:szCs w:val="24"/>
        </w:rPr>
        <w:t xml:space="preserve">que </w:t>
      </w:r>
      <w:r w:rsidR="000B4EEA">
        <w:rPr>
          <w:rFonts w:ascii="Tahoma" w:hAnsi="Tahoma" w:cs="Tahoma"/>
          <w:spacing w:val="-2"/>
          <w:sz w:val="24"/>
          <w:szCs w:val="24"/>
        </w:rPr>
        <w:t>rechazó la demanda presentada</w:t>
      </w:r>
      <w:r w:rsidRPr="001875D7">
        <w:rPr>
          <w:rFonts w:ascii="Tahoma" w:hAnsi="Tahoma" w:cs="Tahoma"/>
          <w:sz w:val="24"/>
          <w:szCs w:val="24"/>
          <w:lang w:val="es-ES_tradnl"/>
        </w:rPr>
        <w:t xml:space="preserve"> por </w:t>
      </w:r>
      <w:r w:rsidR="00EF6CB3">
        <w:rPr>
          <w:rFonts w:ascii="Tahoma" w:hAnsi="Tahoma" w:cs="Tahoma"/>
          <w:sz w:val="24"/>
          <w:szCs w:val="24"/>
          <w:lang w:val="es-ES_tradnl"/>
        </w:rPr>
        <w:t>la</w:t>
      </w:r>
      <w:r w:rsidRPr="001875D7">
        <w:rPr>
          <w:rFonts w:ascii="Tahoma" w:hAnsi="Tahoma" w:cs="Tahoma"/>
          <w:sz w:val="24"/>
          <w:szCs w:val="24"/>
          <w:lang w:val="es-ES_tradnl"/>
        </w:rPr>
        <w:t xml:space="preserve"> señor</w:t>
      </w:r>
      <w:r w:rsidR="00EF6CB3" w:rsidRPr="00EF6CB3">
        <w:rPr>
          <w:rFonts w:ascii="Tahoma" w:hAnsi="Tahoma" w:cs="Tahoma"/>
          <w:sz w:val="24"/>
          <w:szCs w:val="24"/>
          <w:lang w:val="es-ES_tradnl"/>
        </w:rPr>
        <w:t>a</w:t>
      </w:r>
      <w:r w:rsidR="00EF6CB3">
        <w:rPr>
          <w:rFonts w:ascii="Tahoma" w:hAnsi="Tahoma" w:cs="Tahoma"/>
          <w:b/>
          <w:sz w:val="24"/>
          <w:szCs w:val="24"/>
          <w:lang w:val="es-ES_tradnl"/>
        </w:rPr>
        <w:t xml:space="preserve"> </w:t>
      </w:r>
      <w:r w:rsidR="003D7B75">
        <w:rPr>
          <w:rFonts w:ascii="Tahoma" w:hAnsi="Tahoma" w:cs="Tahoma"/>
          <w:b/>
          <w:sz w:val="24"/>
          <w:szCs w:val="24"/>
          <w:lang w:val="es-ES_tradnl"/>
        </w:rPr>
        <w:t xml:space="preserve">Ángela María Ramírez </w:t>
      </w:r>
      <w:proofErr w:type="spellStart"/>
      <w:r w:rsidR="003D7B75">
        <w:rPr>
          <w:rFonts w:ascii="Tahoma" w:hAnsi="Tahoma" w:cs="Tahoma"/>
          <w:b/>
          <w:sz w:val="24"/>
          <w:szCs w:val="24"/>
          <w:lang w:val="es-ES_tradnl"/>
        </w:rPr>
        <w:t>Ramírez</w:t>
      </w:r>
      <w:proofErr w:type="spellEnd"/>
      <w:r w:rsidR="000B4EEA" w:rsidRPr="000B4EEA">
        <w:rPr>
          <w:rFonts w:ascii="Tahoma" w:hAnsi="Tahoma" w:cs="Tahoma"/>
          <w:b/>
          <w:sz w:val="24"/>
          <w:szCs w:val="24"/>
          <w:lang w:val="es-ES_tradnl"/>
        </w:rPr>
        <w:t xml:space="preserve"> </w:t>
      </w:r>
      <w:r w:rsidR="00EF6CB3">
        <w:rPr>
          <w:rFonts w:ascii="Tahoma" w:hAnsi="Tahoma" w:cs="Tahoma"/>
          <w:sz w:val="24"/>
          <w:szCs w:val="24"/>
          <w:lang w:val="es-ES_tradnl"/>
        </w:rPr>
        <w:t>en contra de</w:t>
      </w:r>
      <w:r w:rsidR="00293DBB">
        <w:rPr>
          <w:rFonts w:ascii="Tahoma" w:hAnsi="Tahoma" w:cs="Tahoma"/>
          <w:sz w:val="24"/>
          <w:szCs w:val="24"/>
          <w:lang w:val="es-ES_tradnl"/>
        </w:rPr>
        <w:t xml:space="preserve"> la </w:t>
      </w:r>
      <w:r w:rsidR="003D7B75">
        <w:rPr>
          <w:rFonts w:ascii="Tahoma" w:hAnsi="Tahoma" w:cs="Tahoma"/>
          <w:b/>
          <w:sz w:val="24"/>
          <w:szCs w:val="24"/>
          <w:lang w:val="es-ES_tradnl"/>
        </w:rPr>
        <w:t>Nueva EPS S.A</w:t>
      </w:r>
      <w:r w:rsidR="003D7B75" w:rsidRPr="003D7B75">
        <w:rPr>
          <w:rFonts w:ascii="Tahoma" w:hAnsi="Tahoma" w:cs="Tahoma"/>
          <w:sz w:val="24"/>
          <w:szCs w:val="24"/>
          <w:lang w:val="es-ES_tradnl"/>
        </w:rPr>
        <w:t>. y el</w:t>
      </w:r>
      <w:r w:rsidR="003D7B75">
        <w:rPr>
          <w:rFonts w:ascii="Tahoma" w:hAnsi="Tahoma" w:cs="Tahoma"/>
          <w:b/>
          <w:sz w:val="24"/>
          <w:szCs w:val="24"/>
          <w:lang w:val="es-ES_tradnl"/>
        </w:rPr>
        <w:t xml:space="preserve"> Policlínico Eje Salud S.A.S.</w:t>
      </w:r>
    </w:p>
    <w:p w:rsidR="00841418" w:rsidRPr="00E066E9" w:rsidRDefault="00841418" w:rsidP="00E066E9">
      <w:pPr>
        <w:pStyle w:val="Sinespaciado"/>
      </w:pPr>
      <w:r w:rsidRPr="001875D7">
        <w:tab/>
      </w:r>
    </w:p>
    <w:p w:rsidR="00841418" w:rsidRPr="001875D7" w:rsidRDefault="00841418" w:rsidP="00DC3FED">
      <w:pPr>
        <w:widowControl w:val="0"/>
        <w:autoSpaceDE w:val="0"/>
        <w:autoSpaceDN w:val="0"/>
        <w:adjustRightInd w:val="0"/>
        <w:spacing w:after="0"/>
        <w:ind w:firstLine="709"/>
        <w:jc w:val="both"/>
        <w:rPr>
          <w:rFonts w:ascii="Tahoma" w:hAnsi="Tahoma" w:cs="Tahoma"/>
          <w:sz w:val="24"/>
          <w:szCs w:val="24"/>
          <w:lang w:val="es-ES_tradnl"/>
        </w:rPr>
      </w:pPr>
      <w:r w:rsidRPr="001875D7">
        <w:rPr>
          <w:rFonts w:ascii="Tahoma" w:hAnsi="Tahoma" w:cs="Tahoma"/>
          <w:sz w:val="24"/>
          <w:szCs w:val="24"/>
          <w:lang w:val="es-ES_tradnl"/>
        </w:rPr>
        <w:t>En sesión previa que se hizo constar en la mencionada acta, la Sala discutió y aprobó el proyecto que presentó la Magistrada Ponente, el cual alude a los siguientes:</w:t>
      </w:r>
    </w:p>
    <w:p w:rsidR="0014355C" w:rsidRPr="001875D7" w:rsidRDefault="0014355C" w:rsidP="00DC3FED">
      <w:pPr>
        <w:widowControl w:val="0"/>
        <w:autoSpaceDE w:val="0"/>
        <w:autoSpaceDN w:val="0"/>
        <w:adjustRightInd w:val="0"/>
        <w:spacing w:after="0"/>
        <w:ind w:firstLine="709"/>
        <w:jc w:val="both"/>
        <w:rPr>
          <w:rFonts w:ascii="Tahoma" w:hAnsi="Tahoma" w:cs="Tahoma"/>
          <w:sz w:val="24"/>
          <w:szCs w:val="24"/>
        </w:rPr>
      </w:pPr>
    </w:p>
    <w:p w:rsidR="00B415A5" w:rsidRPr="001875D7" w:rsidRDefault="00B415A5" w:rsidP="00DC3FED">
      <w:pPr>
        <w:pStyle w:val="Prrafodelista"/>
        <w:numPr>
          <w:ilvl w:val="0"/>
          <w:numId w:val="1"/>
        </w:numPr>
        <w:tabs>
          <w:tab w:val="left" w:pos="284"/>
        </w:tabs>
        <w:spacing w:after="0"/>
        <w:ind w:left="0" w:firstLine="0"/>
        <w:jc w:val="center"/>
        <w:rPr>
          <w:rFonts w:ascii="Tahoma" w:hAnsi="Tahoma" w:cs="Tahoma"/>
          <w:b/>
          <w:sz w:val="24"/>
          <w:szCs w:val="24"/>
        </w:rPr>
      </w:pPr>
      <w:r w:rsidRPr="001875D7">
        <w:rPr>
          <w:rFonts w:ascii="Tahoma" w:hAnsi="Tahoma" w:cs="Tahoma"/>
          <w:b/>
          <w:sz w:val="24"/>
          <w:szCs w:val="24"/>
        </w:rPr>
        <w:t>ANTECEDENTES</w:t>
      </w:r>
    </w:p>
    <w:p w:rsidR="00B415A5" w:rsidRPr="001875D7" w:rsidRDefault="00B415A5" w:rsidP="00524F91">
      <w:pPr>
        <w:pStyle w:val="Sinespaciado"/>
      </w:pPr>
    </w:p>
    <w:p w:rsidR="009700EC" w:rsidRDefault="00EF6CB3" w:rsidP="00524F91">
      <w:pPr>
        <w:spacing w:after="0"/>
        <w:ind w:firstLine="708"/>
        <w:jc w:val="both"/>
        <w:rPr>
          <w:rFonts w:ascii="Tahoma" w:hAnsi="Tahoma" w:cs="Tahoma"/>
          <w:spacing w:val="-2"/>
          <w:sz w:val="24"/>
          <w:szCs w:val="24"/>
        </w:rPr>
      </w:pPr>
      <w:r>
        <w:rPr>
          <w:rFonts w:ascii="Tahoma" w:hAnsi="Tahoma" w:cs="Tahoma"/>
          <w:spacing w:val="-2"/>
          <w:sz w:val="24"/>
          <w:szCs w:val="24"/>
        </w:rPr>
        <w:t>La</w:t>
      </w:r>
      <w:r w:rsidR="00BC5F68" w:rsidRPr="001875D7">
        <w:rPr>
          <w:rFonts w:ascii="Tahoma" w:hAnsi="Tahoma" w:cs="Tahoma"/>
          <w:spacing w:val="-2"/>
          <w:sz w:val="24"/>
          <w:szCs w:val="24"/>
        </w:rPr>
        <w:t xml:space="preserve"> </w:t>
      </w:r>
      <w:r w:rsidR="006130A3">
        <w:rPr>
          <w:rFonts w:ascii="Tahoma" w:hAnsi="Tahoma" w:cs="Tahoma"/>
          <w:spacing w:val="-2"/>
          <w:sz w:val="24"/>
          <w:szCs w:val="24"/>
        </w:rPr>
        <w:t xml:space="preserve">señora </w:t>
      </w:r>
      <w:r w:rsidR="009700EC">
        <w:rPr>
          <w:rFonts w:ascii="Tahoma" w:hAnsi="Tahoma" w:cs="Tahoma"/>
          <w:spacing w:val="-2"/>
          <w:sz w:val="24"/>
          <w:szCs w:val="24"/>
        </w:rPr>
        <w:t xml:space="preserve">Ángela María Ramírez </w:t>
      </w:r>
      <w:proofErr w:type="spellStart"/>
      <w:r w:rsidR="009700EC">
        <w:rPr>
          <w:rFonts w:ascii="Tahoma" w:hAnsi="Tahoma" w:cs="Tahoma"/>
          <w:spacing w:val="-2"/>
          <w:sz w:val="24"/>
          <w:szCs w:val="24"/>
        </w:rPr>
        <w:t>Ramírez</w:t>
      </w:r>
      <w:proofErr w:type="spellEnd"/>
      <w:r w:rsidR="00D975CF">
        <w:rPr>
          <w:rFonts w:ascii="Tahoma" w:hAnsi="Tahoma" w:cs="Tahoma"/>
          <w:spacing w:val="-2"/>
          <w:sz w:val="24"/>
          <w:szCs w:val="24"/>
        </w:rPr>
        <w:t>, mediante apoderada</w:t>
      </w:r>
      <w:r w:rsidR="000B4EEA">
        <w:rPr>
          <w:rFonts w:ascii="Tahoma" w:hAnsi="Tahoma" w:cs="Tahoma"/>
          <w:spacing w:val="-2"/>
          <w:sz w:val="24"/>
          <w:szCs w:val="24"/>
        </w:rPr>
        <w:t xml:space="preserve"> judicial, presentó demanda or</w:t>
      </w:r>
      <w:r w:rsidR="009700EC">
        <w:rPr>
          <w:rFonts w:ascii="Tahoma" w:hAnsi="Tahoma" w:cs="Tahoma"/>
          <w:spacing w:val="-2"/>
          <w:sz w:val="24"/>
          <w:szCs w:val="24"/>
        </w:rPr>
        <w:t>dinaria laboral en contra de</w:t>
      </w:r>
      <w:r w:rsidR="009700EC" w:rsidRPr="009700EC">
        <w:rPr>
          <w:rFonts w:ascii="Tahoma" w:hAnsi="Tahoma" w:cs="Tahoma"/>
          <w:spacing w:val="-2"/>
          <w:sz w:val="24"/>
          <w:szCs w:val="24"/>
        </w:rPr>
        <w:t xml:space="preserve"> la Nueva EPS S.A. y el Policlínico Eje Salud S.A.S.</w:t>
      </w:r>
    </w:p>
    <w:p w:rsidR="00524F91" w:rsidRDefault="00524F91" w:rsidP="00524F91">
      <w:pPr>
        <w:pStyle w:val="Sinespaciado"/>
      </w:pPr>
    </w:p>
    <w:p w:rsidR="009700EC" w:rsidRDefault="009700EC" w:rsidP="00524F91">
      <w:pPr>
        <w:spacing w:after="0"/>
        <w:ind w:firstLine="708"/>
        <w:jc w:val="both"/>
        <w:rPr>
          <w:rFonts w:ascii="Tahoma" w:hAnsi="Tahoma" w:cs="Tahoma"/>
          <w:spacing w:val="-2"/>
          <w:sz w:val="24"/>
          <w:szCs w:val="24"/>
        </w:rPr>
      </w:pPr>
      <w:r>
        <w:rPr>
          <w:rFonts w:ascii="Tahoma" w:hAnsi="Tahoma" w:cs="Tahoma"/>
          <w:spacing w:val="-2"/>
          <w:sz w:val="24"/>
          <w:szCs w:val="24"/>
        </w:rPr>
        <w:lastRenderedPageBreak/>
        <w:t>El Juzgado Quinto</w:t>
      </w:r>
      <w:r w:rsidR="00BC5F68" w:rsidRPr="001875D7">
        <w:rPr>
          <w:rFonts w:ascii="Tahoma" w:hAnsi="Tahoma" w:cs="Tahoma"/>
          <w:spacing w:val="-2"/>
          <w:sz w:val="24"/>
          <w:szCs w:val="24"/>
        </w:rPr>
        <w:t xml:space="preserve"> Laboral del Circuito de Pereira</w:t>
      </w:r>
      <w:r>
        <w:rPr>
          <w:rFonts w:ascii="Tahoma" w:hAnsi="Tahoma" w:cs="Tahoma"/>
          <w:spacing w:val="-2"/>
          <w:sz w:val="24"/>
          <w:szCs w:val="24"/>
        </w:rPr>
        <w:t xml:space="preserve">, mediante </w:t>
      </w:r>
      <w:r w:rsidR="00D56123">
        <w:rPr>
          <w:rFonts w:ascii="Tahoma" w:hAnsi="Tahoma" w:cs="Tahoma"/>
          <w:spacing w:val="-2"/>
          <w:sz w:val="24"/>
          <w:szCs w:val="24"/>
        </w:rPr>
        <w:t xml:space="preserve">auto del </w:t>
      </w:r>
      <w:r>
        <w:rPr>
          <w:rFonts w:ascii="Tahoma" w:hAnsi="Tahoma" w:cs="Tahoma"/>
          <w:spacing w:val="-2"/>
          <w:sz w:val="24"/>
          <w:szCs w:val="24"/>
        </w:rPr>
        <w:t>21 de enero de 2016</w:t>
      </w:r>
      <w:r w:rsidR="00D56123">
        <w:rPr>
          <w:rFonts w:ascii="Tahoma" w:hAnsi="Tahoma" w:cs="Tahoma"/>
          <w:spacing w:val="-2"/>
          <w:sz w:val="24"/>
          <w:szCs w:val="24"/>
        </w:rPr>
        <w:t>,</w:t>
      </w:r>
      <w:r>
        <w:rPr>
          <w:rFonts w:ascii="Tahoma" w:hAnsi="Tahoma" w:cs="Tahoma"/>
          <w:spacing w:val="-2"/>
          <w:sz w:val="24"/>
          <w:szCs w:val="24"/>
        </w:rPr>
        <w:t xml:space="preserve"> devolvió la demanda y concedió a la demandante el término de 5 días para que la subsanara, so pena de ser rechaza</w:t>
      </w:r>
      <w:r w:rsidR="008C6F88">
        <w:rPr>
          <w:rFonts w:ascii="Tahoma" w:hAnsi="Tahoma" w:cs="Tahoma"/>
          <w:spacing w:val="-2"/>
          <w:sz w:val="24"/>
          <w:szCs w:val="24"/>
        </w:rPr>
        <w:t>da</w:t>
      </w:r>
      <w:r>
        <w:rPr>
          <w:rFonts w:ascii="Tahoma" w:hAnsi="Tahoma" w:cs="Tahoma"/>
          <w:spacing w:val="-2"/>
          <w:sz w:val="24"/>
          <w:szCs w:val="24"/>
        </w:rPr>
        <w:t xml:space="preserve">. Tal decisión se fundó en que no se aportó el documento que acreditara el agotamiento de la vía gubernativa ante la Nueva EPS, </w:t>
      </w:r>
      <w:r w:rsidR="00072BC7">
        <w:rPr>
          <w:rFonts w:ascii="Tahoma" w:hAnsi="Tahoma" w:cs="Tahoma"/>
          <w:spacing w:val="-2"/>
          <w:sz w:val="24"/>
          <w:szCs w:val="24"/>
        </w:rPr>
        <w:t xml:space="preserve">de conformidad con lo expuesto en el </w:t>
      </w:r>
      <w:r>
        <w:rPr>
          <w:rFonts w:ascii="Tahoma" w:hAnsi="Tahoma" w:cs="Tahoma"/>
          <w:spacing w:val="-2"/>
          <w:sz w:val="24"/>
          <w:szCs w:val="24"/>
        </w:rPr>
        <w:t>artículo 6º del Código Procesal Laboral.</w:t>
      </w:r>
    </w:p>
    <w:p w:rsidR="00524F91" w:rsidRDefault="00524F91" w:rsidP="00524F91">
      <w:pPr>
        <w:pStyle w:val="Sinespaciado"/>
      </w:pPr>
    </w:p>
    <w:p w:rsidR="00524F91" w:rsidRDefault="009700EC" w:rsidP="00524F91">
      <w:pPr>
        <w:spacing w:after="0"/>
        <w:ind w:firstLine="708"/>
        <w:jc w:val="both"/>
        <w:rPr>
          <w:rFonts w:ascii="Tahoma" w:hAnsi="Tahoma" w:cs="Tahoma"/>
          <w:spacing w:val="-2"/>
          <w:sz w:val="24"/>
          <w:szCs w:val="24"/>
        </w:rPr>
      </w:pPr>
      <w:r>
        <w:rPr>
          <w:rFonts w:ascii="Tahoma" w:hAnsi="Tahoma" w:cs="Tahoma"/>
          <w:spacing w:val="-2"/>
          <w:sz w:val="24"/>
          <w:szCs w:val="24"/>
        </w:rPr>
        <w:t>Vencido el término,</w:t>
      </w:r>
      <w:r w:rsidR="003102FF">
        <w:rPr>
          <w:rFonts w:ascii="Tahoma" w:hAnsi="Tahoma" w:cs="Tahoma"/>
          <w:spacing w:val="-2"/>
          <w:sz w:val="24"/>
          <w:szCs w:val="24"/>
        </w:rPr>
        <w:t xml:space="preserve"> mediante proveído del 2 de febrero de 2016 </w:t>
      </w:r>
      <w:r>
        <w:rPr>
          <w:rFonts w:ascii="Tahoma" w:hAnsi="Tahoma" w:cs="Tahoma"/>
          <w:spacing w:val="-2"/>
          <w:sz w:val="24"/>
          <w:szCs w:val="24"/>
        </w:rPr>
        <w:t xml:space="preserve">la Jueza </w:t>
      </w:r>
      <w:r w:rsidR="00072BC7">
        <w:rPr>
          <w:rFonts w:ascii="Tahoma" w:hAnsi="Tahoma" w:cs="Tahoma"/>
          <w:spacing w:val="-2"/>
          <w:sz w:val="24"/>
          <w:szCs w:val="24"/>
        </w:rPr>
        <w:t xml:space="preserve">de instancia </w:t>
      </w:r>
      <w:r>
        <w:rPr>
          <w:rFonts w:ascii="Tahoma" w:hAnsi="Tahoma" w:cs="Tahoma"/>
          <w:spacing w:val="-2"/>
          <w:sz w:val="24"/>
          <w:szCs w:val="24"/>
        </w:rPr>
        <w:t>rechazó la demanda por no haber</w:t>
      </w:r>
      <w:r w:rsidR="00072BC7">
        <w:rPr>
          <w:rFonts w:ascii="Tahoma" w:hAnsi="Tahoma" w:cs="Tahoma"/>
          <w:spacing w:val="-2"/>
          <w:sz w:val="24"/>
          <w:szCs w:val="24"/>
        </w:rPr>
        <w:t>se</w:t>
      </w:r>
      <w:r>
        <w:rPr>
          <w:rFonts w:ascii="Tahoma" w:hAnsi="Tahoma" w:cs="Tahoma"/>
          <w:spacing w:val="-2"/>
          <w:sz w:val="24"/>
          <w:szCs w:val="24"/>
        </w:rPr>
        <w:t xml:space="preserve"> subsanado las falencias </w:t>
      </w:r>
      <w:r w:rsidR="003102FF">
        <w:rPr>
          <w:rFonts w:ascii="Tahoma" w:hAnsi="Tahoma" w:cs="Tahoma"/>
          <w:spacing w:val="-2"/>
          <w:sz w:val="24"/>
          <w:szCs w:val="24"/>
        </w:rPr>
        <w:t>anotadas en el auto del 21 de enero de 2016 y, en consecuencia</w:t>
      </w:r>
      <w:r w:rsidR="00072BC7">
        <w:rPr>
          <w:rFonts w:ascii="Tahoma" w:hAnsi="Tahoma" w:cs="Tahoma"/>
          <w:spacing w:val="-2"/>
          <w:sz w:val="24"/>
          <w:szCs w:val="24"/>
        </w:rPr>
        <w:t>,</w:t>
      </w:r>
      <w:r w:rsidR="003102FF">
        <w:rPr>
          <w:rFonts w:ascii="Tahoma" w:hAnsi="Tahoma" w:cs="Tahoma"/>
          <w:spacing w:val="-2"/>
          <w:sz w:val="24"/>
          <w:szCs w:val="24"/>
        </w:rPr>
        <w:t xml:space="preserve"> ordenó el archivo de las diligencias.</w:t>
      </w:r>
    </w:p>
    <w:p w:rsidR="00524F91" w:rsidRDefault="00524F91" w:rsidP="00524F91">
      <w:pPr>
        <w:pStyle w:val="Sinespaciado"/>
      </w:pPr>
    </w:p>
    <w:p w:rsidR="006F1FC3" w:rsidRPr="001875D7" w:rsidRDefault="006C402B" w:rsidP="00524F91">
      <w:pPr>
        <w:spacing w:after="0"/>
        <w:ind w:firstLine="708"/>
        <w:jc w:val="both"/>
        <w:rPr>
          <w:rFonts w:ascii="Tahoma" w:hAnsi="Tahoma" w:cs="Tahoma"/>
          <w:sz w:val="24"/>
          <w:szCs w:val="24"/>
        </w:rPr>
      </w:pPr>
      <w:r w:rsidRPr="001875D7">
        <w:rPr>
          <w:rFonts w:ascii="Tahoma" w:hAnsi="Tahoma" w:cs="Tahoma"/>
          <w:sz w:val="24"/>
          <w:szCs w:val="24"/>
        </w:rPr>
        <w:t>La</w:t>
      </w:r>
      <w:r w:rsidR="00EF6CB3">
        <w:rPr>
          <w:rFonts w:ascii="Tahoma" w:hAnsi="Tahoma" w:cs="Tahoma"/>
          <w:sz w:val="24"/>
          <w:szCs w:val="24"/>
        </w:rPr>
        <w:t xml:space="preserve"> </w:t>
      </w:r>
      <w:r w:rsidR="006F1FC3">
        <w:rPr>
          <w:rFonts w:ascii="Tahoma" w:hAnsi="Tahoma" w:cs="Tahoma"/>
          <w:sz w:val="24"/>
          <w:szCs w:val="24"/>
        </w:rPr>
        <w:t xml:space="preserve">apodera judicial de la </w:t>
      </w:r>
      <w:r w:rsidR="003102FF">
        <w:rPr>
          <w:rFonts w:ascii="Tahoma" w:hAnsi="Tahoma" w:cs="Tahoma"/>
          <w:sz w:val="24"/>
          <w:szCs w:val="24"/>
        </w:rPr>
        <w:t>demandante</w:t>
      </w:r>
      <w:r w:rsidR="006F1FC3">
        <w:rPr>
          <w:rFonts w:ascii="Tahoma" w:hAnsi="Tahoma" w:cs="Tahoma"/>
          <w:sz w:val="24"/>
          <w:szCs w:val="24"/>
        </w:rPr>
        <w:t xml:space="preserve"> interpuso recurso de</w:t>
      </w:r>
      <w:r w:rsidRPr="001875D7">
        <w:rPr>
          <w:rFonts w:ascii="Tahoma" w:hAnsi="Tahoma" w:cs="Tahoma"/>
          <w:sz w:val="24"/>
          <w:szCs w:val="24"/>
        </w:rPr>
        <w:t xml:space="preserve"> apelación contra </w:t>
      </w:r>
      <w:r w:rsidR="003102FF">
        <w:rPr>
          <w:rFonts w:ascii="Tahoma" w:hAnsi="Tahoma" w:cs="Tahoma"/>
          <w:sz w:val="24"/>
          <w:szCs w:val="24"/>
        </w:rPr>
        <w:t>l</w:t>
      </w:r>
      <w:r w:rsidRPr="001875D7">
        <w:rPr>
          <w:rFonts w:ascii="Tahoma" w:hAnsi="Tahoma" w:cs="Tahoma"/>
          <w:sz w:val="24"/>
          <w:szCs w:val="24"/>
        </w:rPr>
        <w:t xml:space="preserve">a </w:t>
      </w:r>
      <w:r w:rsidR="00072BC7">
        <w:rPr>
          <w:rFonts w:ascii="Tahoma" w:hAnsi="Tahoma" w:cs="Tahoma"/>
          <w:sz w:val="24"/>
          <w:szCs w:val="24"/>
        </w:rPr>
        <w:t xml:space="preserve">anterior </w:t>
      </w:r>
      <w:r w:rsidRPr="001875D7">
        <w:rPr>
          <w:rFonts w:ascii="Tahoma" w:hAnsi="Tahoma" w:cs="Tahoma"/>
          <w:sz w:val="24"/>
          <w:szCs w:val="24"/>
        </w:rPr>
        <w:t>decisión</w:t>
      </w:r>
      <w:r w:rsidR="00DC3FED">
        <w:rPr>
          <w:rFonts w:ascii="Tahoma" w:hAnsi="Tahoma" w:cs="Tahoma"/>
          <w:sz w:val="24"/>
          <w:szCs w:val="24"/>
        </w:rPr>
        <w:t>,</w:t>
      </w:r>
      <w:r w:rsidRPr="001875D7">
        <w:rPr>
          <w:rFonts w:ascii="Tahoma" w:hAnsi="Tahoma" w:cs="Tahoma"/>
          <w:sz w:val="24"/>
          <w:szCs w:val="24"/>
        </w:rPr>
        <w:t xml:space="preserve"> a</w:t>
      </w:r>
      <w:r w:rsidR="00072BC7">
        <w:rPr>
          <w:rFonts w:ascii="Tahoma" w:hAnsi="Tahoma" w:cs="Tahoma"/>
          <w:sz w:val="24"/>
          <w:szCs w:val="24"/>
        </w:rPr>
        <w:t xml:space="preserve">rguyendo </w:t>
      </w:r>
      <w:r w:rsidR="006F1FC3">
        <w:rPr>
          <w:rFonts w:ascii="Tahoma" w:hAnsi="Tahoma" w:cs="Tahoma"/>
          <w:sz w:val="24"/>
          <w:szCs w:val="24"/>
        </w:rPr>
        <w:t xml:space="preserve">que </w:t>
      </w:r>
      <w:r w:rsidR="008D7C6D">
        <w:rPr>
          <w:rFonts w:ascii="Tahoma" w:hAnsi="Tahoma" w:cs="Tahoma"/>
          <w:sz w:val="24"/>
          <w:szCs w:val="24"/>
        </w:rPr>
        <w:t>en el presente caso e</w:t>
      </w:r>
      <w:r w:rsidR="00072BC7">
        <w:rPr>
          <w:rFonts w:ascii="Tahoma" w:hAnsi="Tahoma" w:cs="Tahoma"/>
          <w:sz w:val="24"/>
          <w:szCs w:val="24"/>
        </w:rPr>
        <w:t>ra</w:t>
      </w:r>
      <w:r w:rsidR="008D7C6D">
        <w:rPr>
          <w:rFonts w:ascii="Tahoma" w:hAnsi="Tahoma" w:cs="Tahoma"/>
          <w:sz w:val="24"/>
          <w:szCs w:val="24"/>
        </w:rPr>
        <w:t xml:space="preserve"> inaplicable la disposición que obliga a agotar la reclamación administrativa ante las entidades públicas, toda vez que la Nueva EPS</w:t>
      </w:r>
      <w:r w:rsidR="00072BC7">
        <w:rPr>
          <w:rFonts w:ascii="Tahoma" w:hAnsi="Tahoma" w:cs="Tahoma"/>
          <w:sz w:val="24"/>
          <w:szCs w:val="24"/>
        </w:rPr>
        <w:t>,</w:t>
      </w:r>
      <w:r w:rsidR="008D7C6D">
        <w:rPr>
          <w:rFonts w:ascii="Tahoma" w:hAnsi="Tahoma" w:cs="Tahoma"/>
          <w:sz w:val="24"/>
          <w:szCs w:val="24"/>
        </w:rPr>
        <w:t xml:space="preserve"> al ser una sociedad anónima de economía mixta en la que la mayoritaria partición es privada, se rige por la normatividad privada, en la cual no es obligatoria la reclamación administrativa como requisito de procedibilidad de la demanda ordinaria laboral en la que se persigue prestaciones sociales derivadas del contrato de trabajo suscrito entre las partes.</w:t>
      </w:r>
    </w:p>
    <w:p w:rsidR="00095673" w:rsidRPr="00524F91" w:rsidRDefault="00832B25" w:rsidP="00524F91">
      <w:pPr>
        <w:pStyle w:val="Sinespaciado"/>
      </w:pPr>
      <w:r w:rsidRPr="00832B25">
        <w:t xml:space="preserve"> </w:t>
      </w:r>
    </w:p>
    <w:p w:rsidR="00271361" w:rsidRPr="001875D7" w:rsidRDefault="00095673" w:rsidP="00DC3FED">
      <w:pPr>
        <w:pStyle w:val="Prrafodelista"/>
        <w:numPr>
          <w:ilvl w:val="0"/>
          <w:numId w:val="1"/>
        </w:numPr>
        <w:spacing w:after="0"/>
        <w:jc w:val="center"/>
        <w:rPr>
          <w:rFonts w:ascii="Tahoma" w:hAnsi="Tahoma" w:cs="Tahoma"/>
          <w:b/>
          <w:sz w:val="24"/>
          <w:szCs w:val="24"/>
        </w:rPr>
      </w:pPr>
      <w:r w:rsidRPr="001875D7">
        <w:rPr>
          <w:rFonts w:ascii="Tahoma" w:hAnsi="Tahoma" w:cs="Tahoma"/>
          <w:b/>
          <w:sz w:val="24"/>
          <w:szCs w:val="24"/>
        </w:rPr>
        <w:t xml:space="preserve">CONSIDERACIONES: </w:t>
      </w:r>
    </w:p>
    <w:p w:rsidR="008B7AC2" w:rsidRPr="001875D7" w:rsidRDefault="008B7AC2" w:rsidP="00524F91">
      <w:pPr>
        <w:pStyle w:val="Sinespaciado"/>
      </w:pPr>
    </w:p>
    <w:p w:rsidR="002151E7" w:rsidRPr="001875D7" w:rsidRDefault="002151E7" w:rsidP="00DC3FED">
      <w:pPr>
        <w:pStyle w:val="Prrafodelista"/>
        <w:numPr>
          <w:ilvl w:val="0"/>
          <w:numId w:val="7"/>
        </w:numPr>
        <w:spacing w:after="0"/>
        <w:ind w:left="1134"/>
        <w:jc w:val="both"/>
        <w:rPr>
          <w:rFonts w:ascii="Tahoma" w:hAnsi="Tahoma" w:cs="Tahoma"/>
          <w:b/>
          <w:sz w:val="24"/>
          <w:szCs w:val="24"/>
          <w:shd w:val="clear" w:color="auto" w:fill="FFFFFF"/>
        </w:rPr>
      </w:pPr>
      <w:r w:rsidRPr="001875D7">
        <w:rPr>
          <w:rFonts w:ascii="Tahoma" w:hAnsi="Tahoma" w:cs="Tahoma"/>
          <w:b/>
          <w:sz w:val="24"/>
          <w:szCs w:val="24"/>
        </w:rPr>
        <w:t>Problema jurídico:</w:t>
      </w:r>
    </w:p>
    <w:p w:rsidR="002151E7" w:rsidRPr="001875D7" w:rsidRDefault="002151E7" w:rsidP="00524F91">
      <w:pPr>
        <w:pStyle w:val="Sinespaciado"/>
        <w:rPr>
          <w:shd w:val="clear" w:color="auto" w:fill="FFFFFF"/>
        </w:rPr>
      </w:pPr>
    </w:p>
    <w:p w:rsidR="002151E7" w:rsidRDefault="00524F91" w:rsidP="00DC3FED">
      <w:pPr>
        <w:spacing w:after="0"/>
        <w:ind w:firstLine="708"/>
        <w:jc w:val="both"/>
        <w:rPr>
          <w:rFonts w:ascii="Tahoma" w:hAnsi="Tahoma" w:cs="Tahoma"/>
          <w:sz w:val="24"/>
          <w:szCs w:val="24"/>
        </w:rPr>
      </w:pPr>
      <w:r w:rsidRPr="001875D7">
        <w:rPr>
          <w:rFonts w:ascii="Tahoma" w:hAnsi="Tahoma" w:cs="Tahoma"/>
          <w:sz w:val="24"/>
          <w:szCs w:val="24"/>
        </w:rPr>
        <w:t>¿</w:t>
      </w:r>
      <w:r w:rsidR="007B04E4">
        <w:rPr>
          <w:rFonts w:ascii="Tahoma" w:hAnsi="Tahoma" w:cs="Tahoma"/>
          <w:sz w:val="24"/>
          <w:szCs w:val="24"/>
        </w:rPr>
        <w:t>Es necesario agotar la reclamación administrativa ante una sociedad de economía mixta</w:t>
      </w:r>
      <w:r w:rsidR="00B9218F">
        <w:rPr>
          <w:rFonts w:ascii="Tahoma" w:hAnsi="Tahoma" w:cs="Tahoma"/>
          <w:sz w:val="24"/>
          <w:szCs w:val="24"/>
        </w:rPr>
        <w:t>, independientemente del monto del capital que el estado tenga en ella</w:t>
      </w:r>
      <w:r w:rsidR="007B04E4">
        <w:rPr>
          <w:rFonts w:ascii="Tahoma" w:hAnsi="Tahoma" w:cs="Tahoma"/>
          <w:sz w:val="24"/>
          <w:szCs w:val="24"/>
        </w:rPr>
        <w:t>?</w:t>
      </w:r>
    </w:p>
    <w:p w:rsidR="00524F91" w:rsidRDefault="00524F91" w:rsidP="00E066E9">
      <w:pPr>
        <w:pStyle w:val="Sinespaciado"/>
      </w:pPr>
    </w:p>
    <w:p w:rsidR="008B7AC2" w:rsidRDefault="004F204A" w:rsidP="00DC3FED">
      <w:pPr>
        <w:pStyle w:val="Prrafodelista"/>
        <w:numPr>
          <w:ilvl w:val="0"/>
          <w:numId w:val="7"/>
        </w:numPr>
        <w:spacing w:after="0"/>
        <w:ind w:left="1134"/>
        <w:jc w:val="both"/>
        <w:rPr>
          <w:rFonts w:ascii="Tahoma" w:hAnsi="Tahoma" w:cs="Tahoma"/>
          <w:b/>
          <w:sz w:val="24"/>
          <w:szCs w:val="24"/>
        </w:rPr>
      </w:pPr>
      <w:r w:rsidRPr="004F204A">
        <w:rPr>
          <w:rFonts w:ascii="Tahoma" w:hAnsi="Tahoma" w:cs="Tahoma"/>
          <w:b/>
          <w:sz w:val="24"/>
          <w:szCs w:val="24"/>
        </w:rPr>
        <w:t xml:space="preserve">Caso concreto </w:t>
      </w:r>
    </w:p>
    <w:p w:rsidR="00E066E9" w:rsidRDefault="00E066E9" w:rsidP="00D706AB">
      <w:pPr>
        <w:pStyle w:val="Sinespaciado"/>
      </w:pPr>
    </w:p>
    <w:p w:rsidR="00C53BA2" w:rsidRDefault="00C53BA2" w:rsidP="00C53BA2">
      <w:pPr>
        <w:pStyle w:val="Sinespaciado"/>
        <w:spacing w:line="276" w:lineRule="auto"/>
        <w:jc w:val="both"/>
        <w:rPr>
          <w:rFonts w:ascii="Tahoma" w:hAnsi="Tahoma" w:cs="Tahoma"/>
          <w:sz w:val="24"/>
          <w:szCs w:val="24"/>
        </w:rPr>
      </w:pPr>
      <w:r>
        <w:rPr>
          <w:rFonts w:ascii="Tahoma" w:hAnsi="Tahoma" w:cs="Tahoma"/>
          <w:sz w:val="24"/>
          <w:szCs w:val="24"/>
        </w:rPr>
        <w:tab/>
      </w:r>
      <w:r w:rsidRPr="00C53BA2">
        <w:rPr>
          <w:rFonts w:ascii="Tahoma" w:hAnsi="Tahoma" w:cs="Tahoma"/>
          <w:sz w:val="24"/>
          <w:szCs w:val="24"/>
        </w:rPr>
        <w:t xml:space="preserve">El artículo 6º del Código Procesal del Trabajo dispone que </w:t>
      </w:r>
      <w:r>
        <w:rPr>
          <w:rFonts w:ascii="Tahoma" w:hAnsi="Tahoma" w:cs="Tahoma"/>
          <w:sz w:val="24"/>
          <w:szCs w:val="24"/>
        </w:rPr>
        <w:t>l</w:t>
      </w:r>
      <w:r w:rsidRPr="00C53BA2">
        <w:rPr>
          <w:rFonts w:ascii="Tahoma" w:hAnsi="Tahoma" w:cs="Tahoma"/>
          <w:sz w:val="24"/>
          <w:szCs w:val="24"/>
        </w:rPr>
        <w:t>as acciones contra la Nación, las entidades territoriales y cualquier otra entidad de la administración pública solo podrán iniciarse cuando se haya agotado la reclamación administrativa.</w:t>
      </w:r>
    </w:p>
    <w:p w:rsidR="00C53BA2" w:rsidRDefault="00C53BA2" w:rsidP="00C53BA2">
      <w:pPr>
        <w:pStyle w:val="Sinespaciado"/>
        <w:spacing w:line="276" w:lineRule="auto"/>
        <w:jc w:val="both"/>
        <w:rPr>
          <w:rFonts w:ascii="Tahoma" w:hAnsi="Tahoma" w:cs="Tahoma"/>
          <w:sz w:val="24"/>
          <w:szCs w:val="24"/>
        </w:rPr>
      </w:pPr>
    </w:p>
    <w:p w:rsidR="00C53BA2" w:rsidRDefault="00C53BA2" w:rsidP="00C53BA2">
      <w:pPr>
        <w:pStyle w:val="Sinespaciado"/>
        <w:spacing w:line="276" w:lineRule="auto"/>
        <w:jc w:val="both"/>
        <w:rPr>
          <w:rFonts w:ascii="Tahoma" w:hAnsi="Tahoma" w:cs="Tahoma"/>
          <w:sz w:val="24"/>
          <w:szCs w:val="24"/>
        </w:rPr>
      </w:pPr>
      <w:r>
        <w:rPr>
          <w:rFonts w:ascii="Tahoma" w:hAnsi="Tahoma" w:cs="Tahoma"/>
          <w:sz w:val="24"/>
          <w:szCs w:val="24"/>
        </w:rPr>
        <w:tab/>
        <w:t xml:space="preserve">La Corte Constitucional en la sentencia C-792 de 2006, al estudiar el aludido artículo precisó lo siguiente: </w:t>
      </w:r>
      <w:r>
        <w:rPr>
          <w:rFonts w:ascii="Tahoma" w:hAnsi="Tahoma" w:cs="Tahoma"/>
          <w:sz w:val="24"/>
          <w:szCs w:val="24"/>
        </w:rPr>
        <w:tab/>
      </w:r>
    </w:p>
    <w:p w:rsidR="00C53BA2" w:rsidRDefault="00C53BA2" w:rsidP="00C53BA2">
      <w:pPr>
        <w:pStyle w:val="Sinespaciado"/>
        <w:spacing w:line="276" w:lineRule="auto"/>
        <w:jc w:val="both"/>
        <w:rPr>
          <w:rFonts w:ascii="Tahoma" w:hAnsi="Tahoma" w:cs="Tahoma"/>
          <w:sz w:val="24"/>
          <w:szCs w:val="24"/>
        </w:rPr>
      </w:pPr>
    </w:p>
    <w:p w:rsidR="00C53BA2" w:rsidRPr="00C53BA2" w:rsidRDefault="00C53BA2" w:rsidP="00C53BA2">
      <w:pPr>
        <w:widowControl w:val="0"/>
        <w:spacing w:line="240" w:lineRule="auto"/>
        <w:ind w:left="567" w:right="334"/>
        <w:jc w:val="both"/>
        <w:rPr>
          <w:rFonts w:ascii="Arial Narrow" w:hAnsi="Arial Narrow"/>
          <w:i/>
          <w:sz w:val="24"/>
          <w:szCs w:val="24"/>
        </w:rPr>
      </w:pPr>
      <w:r w:rsidRPr="00C53BA2">
        <w:rPr>
          <w:rFonts w:ascii="Arial Narrow" w:hAnsi="Arial Narrow"/>
          <w:i/>
          <w:sz w:val="24"/>
          <w:szCs w:val="24"/>
        </w:rPr>
        <w:t xml:space="preserve">En el artículo 6º del C.P.L.S.S. se adoptó una modalidad especial de aseguramiento de la oportunidad para la </w:t>
      </w:r>
      <w:proofErr w:type="spellStart"/>
      <w:r w:rsidRPr="00C53BA2">
        <w:rPr>
          <w:rFonts w:ascii="Arial Narrow" w:hAnsi="Arial Narrow"/>
          <w:i/>
          <w:sz w:val="24"/>
          <w:szCs w:val="24"/>
        </w:rPr>
        <w:t>autotutela</w:t>
      </w:r>
      <w:proofErr w:type="spellEnd"/>
      <w:r w:rsidRPr="00C53BA2">
        <w:rPr>
          <w:rFonts w:ascii="Arial Narrow" w:hAnsi="Arial Narrow"/>
          <w:i/>
          <w:sz w:val="24"/>
          <w:szCs w:val="24"/>
        </w:rPr>
        <w:t xml:space="preserve"> administrativa, porque al señalarse que la reclamación administrativa cuyo agotamiento es presupuesto para ocurrir ante la justicia ordinaria laboral, consiste en el simple reclamo escrito del servidor público o trabajador sobre el derecho que pretenda, la sustrae del ámbito del agotamiento de la vía gubernativa previsto en el C.C.A. como requisito para que los particulares puedan acudir ante la jurisdicción contencioso administrativa a demandar los actos administrativos unilaterales y definitivos de carácter particular y concreto, para someterla a una regulación más general y sencilla, conforme a la cual, en todos los eventos en que se pretenda demandar a una entidad pública ante la justicia ordinaria laboral, un presupuesto de </w:t>
      </w:r>
      <w:proofErr w:type="spellStart"/>
      <w:r w:rsidRPr="00C53BA2">
        <w:rPr>
          <w:rFonts w:ascii="Arial Narrow" w:hAnsi="Arial Narrow"/>
          <w:i/>
          <w:sz w:val="24"/>
          <w:szCs w:val="24"/>
        </w:rPr>
        <w:t>procedibilidad</w:t>
      </w:r>
      <w:proofErr w:type="spellEnd"/>
      <w:r w:rsidRPr="00C53BA2">
        <w:rPr>
          <w:rFonts w:ascii="Arial Narrow" w:hAnsi="Arial Narrow"/>
          <w:i/>
          <w:sz w:val="24"/>
          <w:szCs w:val="24"/>
        </w:rPr>
        <w:t xml:space="preserve"> de la acción es esa prev</w:t>
      </w:r>
      <w:r w:rsidR="00B9218F">
        <w:rPr>
          <w:rFonts w:ascii="Arial Narrow" w:hAnsi="Arial Narrow"/>
          <w:i/>
          <w:sz w:val="24"/>
          <w:szCs w:val="24"/>
        </w:rPr>
        <w:t>ia reclamación administrativa.</w:t>
      </w:r>
    </w:p>
    <w:p w:rsidR="00C53BA2" w:rsidRDefault="00B9218F" w:rsidP="00C53BA2">
      <w:pPr>
        <w:spacing w:after="0"/>
        <w:ind w:firstLine="708"/>
        <w:jc w:val="both"/>
        <w:rPr>
          <w:rFonts w:ascii="Tahoma" w:hAnsi="Tahoma" w:cs="Tahoma"/>
          <w:sz w:val="24"/>
          <w:szCs w:val="24"/>
        </w:rPr>
      </w:pPr>
      <w:r>
        <w:rPr>
          <w:rFonts w:ascii="Tahoma" w:hAnsi="Tahoma" w:cs="Tahoma"/>
          <w:sz w:val="24"/>
          <w:szCs w:val="24"/>
        </w:rPr>
        <w:t xml:space="preserve">Asimismo, al analizar la naturaleza de la Nueva EPS dicha Magistratura, </w:t>
      </w:r>
      <w:r w:rsidR="00C53BA2">
        <w:rPr>
          <w:rFonts w:ascii="Tahoma" w:hAnsi="Tahoma" w:cs="Tahoma"/>
          <w:sz w:val="24"/>
          <w:szCs w:val="24"/>
        </w:rPr>
        <w:t>en el Auto 081 de 2009</w:t>
      </w:r>
      <w:r>
        <w:rPr>
          <w:rFonts w:ascii="Tahoma" w:hAnsi="Tahoma" w:cs="Tahoma"/>
          <w:sz w:val="24"/>
          <w:szCs w:val="24"/>
        </w:rPr>
        <w:t>,</w:t>
      </w:r>
      <w:r w:rsidRPr="00B9218F">
        <w:rPr>
          <w:rFonts w:ascii="Tahoma" w:hAnsi="Tahoma" w:cs="Tahoma"/>
          <w:sz w:val="24"/>
          <w:szCs w:val="24"/>
        </w:rPr>
        <w:t xml:space="preserve"> </w:t>
      </w:r>
      <w:r>
        <w:rPr>
          <w:rFonts w:ascii="Tahoma" w:hAnsi="Tahoma" w:cs="Tahoma"/>
          <w:sz w:val="24"/>
          <w:szCs w:val="24"/>
        </w:rPr>
        <w:t>expuso</w:t>
      </w:r>
      <w:r w:rsidR="00C53BA2">
        <w:rPr>
          <w:rFonts w:ascii="Tahoma" w:hAnsi="Tahoma" w:cs="Tahoma"/>
          <w:sz w:val="24"/>
          <w:szCs w:val="24"/>
        </w:rPr>
        <w:t>:</w:t>
      </w:r>
    </w:p>
    <w:p w:rsidR="00C53BA2" w:rsidRDefault="00C53BA2" w:rsidP="00C53BA2">
      <w:pPr>
        <w:spacing w:after="0"/>
        <w:ind w:firstLine="708"/>
        <w:jc w:val="both"/>
        <w:rPr>
          <w:rFonts w:ascii="Tahoma" w:hAnsi="Tahoma" w:cs="Tahoma"/>
          <w:sz w:val="24"/>
          <w:szCs w:val="24"/>
        </w:rPr>
      </w:pPr>
    </w:p>
    <w:p w:rsidR="00C53BA2" w:rsidRDefault="00C53BA2" w:rsidP="00C53BA2">
      <w:pPr>
        <w:spacing w:after="0" w:line="240" w:lineRule="auto"/>
        <w:ind w:left="709" w:right="475"/>
        <w:jc w:val="both"/>
        <w:rPr>
          <w:rFonts w:ascii="Arial Narrow" w:hAnsi="Arial Narrow"/>
          <w:sz w:val="24"/>
          <w:szCs w:val="24"/>
        </w:rPr>
      </w:pPr>
      <w:r w:rsidRPr="00E9182D">
        <w:rPr>
          <w:rFonts w:ascii="Arial Narrow" w:hAnsi="Arial Narrow"/>
          <w:sz w:val="24"/>
          <w:szCs w:val="24"/>
        </w:rPr>
        <w:lastRenderedPageBreak/>
        <w:t>De este modo, es claro que la Nueva EPS, a pesar de haber surgido como una empresa 100% privada ya que sus socios originarios fueron solamente las cajas de compensación familiar, debe ser considerada de manera distinta, ya que con el ingreso de POSITIVA Seguros S.A. como socio</w:t>
      </w:r>
      <w:r w:rsidRPr="00E9182D">
        <w:rPr>
          <w:rStyle w:val="Refdenotaalpie"/>
          <w:rFonts w:ascii="Arial Narrow" w:hAnsi="Arial Narrow"/>
          <w:sz w:val="24"/>
          <w:szCs w:val="24"/>
        </w:rPr>
        <w:footnoteReference w:id="4"/>
      </w:r>
      <w:r w:rsidRPr="00E9182D">
        <w:rPr>
          <w:rFonts w:ascii="Arial Narrow" w:hAnsi="Arial Narrow"/>
          <w:sz w:val="24"/>
          <w:szCs w:val="24"/>
        </w:rPr>
        <w:t xml:space="preserve"> que adquirió el 50% menos una acción del capital social de la Nueva EPS, la sociedad fue </w:t>
      </w:r>
      <w:r w:rsidRPr="00AB0FD8">
        <w:rPr>
          <w:rFonts w:ascii="Arial Narrow" w:hAnsi="Arial Narrow"/>
          <w:sz w:val="24"/>
          <w:szCs w:val="24"/>
        </w:rPr>
        <w:t>infundida con recursos del Estado que se dedicaron a la prestación del servicio de salud por expresa autorización de la Ley 1151 de 2007</w:t>
      </w:r>
      <w:r w:rsidR="00AB0FD8">
        <w:rPr>
          <w:rFonts w:ascii="Arial Narrow" w:hAnsi="Arial Narrow"/>
          <w:sz w:val="24"/>
          <w:szCs w:val="24"/>
        </w:rPr>
        <w:t xml:space="preserve"> (</w:t>
      </w:r>
      <w:r w:rsidR="00B9218F" w:rsidRPr="00AB0FD8">
        <w:rPr>
          <w:rFonts w:ascii="Arial Narrow" w:hAnsi="Arial Narrow"/>
          <w:sz w:val="24"/>
          <w:szCs w:val="24"/>
        </w:rPr>
        <w:t>…</w:t>
      </w:r>
      <w:r w:rsidR="00AB0FD8">
        <w:rPr>
          <w:rFonts w:ascii="Arial Narrow" w:hAnsi="Arial Narrow"/>
          <w:sz w:val="24"/>
          <w:szCs w:val="24"/>
        </w:rPr>
        <w:t>)</w:t>
      </w:r>
    </w:p>
    <w:p w:rsidR="00AB0FD8" w:rsidRPr="00AB0FD8" w:rsidRDefault="00AB0FD8" w:rsidP="00C53BA2">
      <w:pPr>
        <w:spacing w:after="0" w:line="240" w:lineRule="auto"/>
        <w:ind w:left="709" w:right="475"/>
        <w:jc w:val="both"/>
        <w:rPr>
          <w:rFonts w:ascii="Arial Narrow" w:hAnsi="Arial Narrow" w:cs="Tahoma"/>
          <w:sz w:val="24"/>
          <w:szCs w:val="24"/>
        </w:rPr>
      </w:pPr>
    </w:p>
    <w:p w:rsidR="00AB0FD8" w:rsidRPr="00AB0FD8" w:rsidRDefault="00AB0FD8" w:rsidP="00AB0FD8">
      <w:pPr>
        <w:pStyle w:val="Sangradetextonormal"/>
        <w:tabs>
          <w:tab w:val="left" w:pos="142"/>
          <w:tab w:val="left" w:pos="258"/>
          <w:tab w:val="left" w:pos="1416"/>
          <w:tab w:val="left" w:pos="2124"/>
          <w:tab w:val="left" w:pos="2832"/>
          <w:tab w:val="left" w:pos="3540"/>
          <w:tab w:val="left" w:pos="4248"/>
          <w:tab w:val="left" w:pos="4956"/>
          <w:tab w:val="left" w:pos="5664"/>
          <w:tab w:val="left" w:pos="6372"/>
          <w:tab w:val="left" w:pos="7080"/>
          <w:tab w:val="left" w:pos="8364"/>
          <w:tab w:val="left" w:pos="8496"/>
          <w:tab w:val="left" w:pos="8640"/>
        </w:tabs>
        <w:suppressAutoHyphens/>
        <w:spacing w:after="0"/>
        <w:ind w:left="709" w:right="475"/>
        <w:jc w:val="both"/>
        <w:rPr>
          <w:rFonts w:ascii="Arial Narrow" w:hAnsi="Arial Narrow"/>
        </w:rPr>
      </w:pPr>
      <w:r w:rsidRPr="00AB0FD8">
        <w:rPr>
          <w:rFonts w:ascii="Arial Narrow" w:hAnsi="Arial Narrow"/>
        </w:rPr>
        <w:t>Con la anterior autorización legal se cumplen los requisitos, reiterados por la jurisprudencia de la Corporación y reseñados en precedencia, para que una empresa sea considerada como sociedad de economía mixta. Es así que la Nueva EPS, como ya lo había sostenido la Corte, tiene tal naturaleza jurídica.</w:t>
      </w:r>
    </w:p>
    <w:p w:rsidR="00C53BA2" w:rsidRPr="00AB0FD8" w:rsidRDefault="00C53BA2" w:rsidP="00C53BA2">
      <w:pPr>
        <w:pStyle w:val="Sinespaciado"/>
        <w:spacing w:line="276" w:lineRule="auto"/>
        <w:jc w:val="both"/>
        <w:rPr>
          <w:rFonts w:ascii="Tahoma" w:hAnsi="Tahoma" w:cs="Tahoma"/>
          <w:sz w:val="24"/>
          <w:szCs w:val="24"/>
          <w:lang w:val="es-ES"/>
        </w:rPr>
      </w:pPr>
    </w:p>
    <w:p w:rsidR="00C53BA2" w:rsidRPr="005541FD" w:rsidRDefault="005541FD" w:rsidP="005541FD">
      <w:pPr>
        <w:pStyle w:val="Sinespaciado"/>
        <w:jc w:val="both"/>
        <w:rPr>
          <w:rFonts w:ascii="Tahoma" w:hAnsi="Tahoma" w:cs="Tahoma"/>
          <w:sz w:val="24"/>
          <w:szCs w:val="24"/>
        </w:rPr>
      </w:pPr>
      <w:r w:rsidRPr="005541FD">
        <w:rPr>
          <w:rFonts w:ascii="Tahoma" w:hAnsi="Tahoma" w:cs="Tahoma"/>
          <w:sz w:val="24"/>
          <w:szCs w:val="24"/>
        </w:rPr>
        <w:tab/>
        <w:t xml:space="preserve">Así las cosas, </w:t>
      </w:r>
      <w:r>
        <w:rPr>
          <w:rFonts w:ascii="Tahoma" w:hAnsi="Tahoma" w:cs="Tahoma"/>
          <w:sz w:val="24"/>
          <w:szCs w:val="24"/>
        </w:rPr>
        <w:t>a efectos de determinar si ante la Nueva EPS, como sociedad de economía mixta</w:t>
      </w:r>
      <w:r w:rsidR="00B9218F">
        <w:rPr>
          <w:rFonts w:ascii="Tahoma" w:hAnsi="Tahoma" w:cs="Tahoma"/>
          <w:sz w:val="24"/>
          <w:szCs w:val="24"/>
        </w:rPr>
        <w:t>,</w:t>
      </w:r>
      <w:r>
        <w:rPr>
          <w:rFonts w:ascii="Tahoma" w:hAnsi="Tahoma" w:cs="Tahoma"/>
          <w:sz w:val="24"/>
          <w:szCs w:val="24"/>
        </w:rPr>
        <w:t xml:space="preserve"> es necesario presentar </w:t>
      </w:r>
      <w:r w:rsidR="00540687">
        <w:rPr>
          <w:rFonts w:ascii="Tahoma" w:hAnsi="Tahoma" w:cs="Tahoma"/>
          <w:sz w:val="24"/>
          <w:szCs w:val="24"/>
        </w:rPr>
        <w:t>la</w:t>
      </w:r>
      <w:r>
        <w:rPr>
          <w:rFonts w:ascii="Tahoma" w:hAnsi="Tahoma" w:cs="Tahoma"/>
          <w:sz w:val="24"/>
          <w:szCs w:val="24"/>
        </w:rPr>
        <w:t xml:space="preserve"> reclamación administrativa cuando se pretende el reconocimiento de los derechos derivados de un contrato de trabajo, la Sala trae a colación el criterio </w:t>
      </w:r>
      <w:r w:rsidR="00AB0FD8">
        <w:rPr>
          <w:rFonts w:ascii="Tahoma" w:hAnsi="Tahoma" w:cs="Tahoma"/>
          <w:sz w:val="24"/>
          <w:szCs w:val="24"/>
        </w:rPr>
        <w:t>expuesto</w:t>
      </w:r>
      <w:r w:rsidR="00AB0FD8">
        <w:rPr>
          <w:rFonts w:ascii="Tahoma" w:hAnsi="Tahoma" w:cs="Tahoma"/>
          <w:sz w:val="24"/>
          <w:szCs w:val="24"/>
        </w:rPr>
        <w:t xml:space="preserve"> por </w:t>
      </w:r>
      <w:r>
        <w:rPr>
          <w:rFonts w:ascii="Tahoma" w:hAnsi="Tahoma" w:cs="Tahoma"/>
          <w:sz w:val="24"/>
          <w:szCs w:val="24"/>
        </w:rPr>
        <w:t>la Corte Constitucional</w:t>
      </w:r>
      <w:r w:rsidRPr="005541FD">
        <w:rPr>
          <w:rFonts w:ascii="Tahoma" w:hAnsi="Tahoma" w:cs="Tahoma"/>
          <w:sz w:val="24"/>
          <w:szCs w:val="24"/>
        </w:rPr>
        <w:t xml:space="preserve"> </w:t>
      </w:r>
      <w:r>
        <w:rPr>
          <w:rFonts w:ascii="Tahoma" w:hAnsi="Tahoma" w:cs="Tahoma"/>
          <w:sz w:val="24"/>
          <w:szCs w:val="24"/>
        </w:rPr>
        <w:t>en la sentencia C-736 de 200</w:t>
      </w:r>
      <w:r w:rsidR="004028CE">
        <w:rPr>
          <w:rFonts w:ascii="Tahoma" w:hAnsi="Tahoma" w:cs="Tahoma"/>
          <w:sz w:val="24"/>
          <w:szCs w:val="24"/>
        </w:rPr>
        <w:t>7</w:t>
      </w:r>
      <w:r>
        <w:rPr>
          <w:rFonts w:ascii="Tahoma" w:hAnsi="Tahoma" w:cs="Tahoma"/>
          <w:sz w:val="24"/>
          <w:szCs w:val="24"/>
        </w:rPr>
        <w:t xml:space="preserve">, </w:t>
      </w:r>
      <w:r w:rsidR="00AB0FD8">
        <w:rPr>
          <w:rFonts w:ascii="Tahoma" w:hAnsi="Tahoma" w:cs="Tahoma"/>
          <w:sz w:val="24"/>
          <w:szCs w:val="24"/>
        </w:rPr>
        <w:t xml:space="preserve">según el cual dichas sociedades </w:t>
      </w:r>
      <w:r>
        <w:rPr>
          <w:rFonts w:ascii="Tahoma" w:hAnsi="Tahoma" w:cs="Tahoma"/>
          <w:sz w:val="24"/>
          <w:szCs w:val="24"/>
        </w:rPr>
        <w:t>hacen parte de la administración pública:</w:t>
      </w:r>
    </w:p>
    <w:p w:rsidR="005541FD" w:rsidRPr="00D706AB" w:rsidRDefault="005541FD" w:rsidP="00D706AB">
      <w:pPr>
        <w:pStyle w:val="Sinespaciado"/>
      </w:pPr>
    </w:p>
    <w:p w:rsidR="005B5051" w:rsidRPr="005B5051" w:rsidRDefault="005B5051" w:rsidP="00C7316B">
      <w:pPr>
        <w:spacing w:after="0" w:line="240" w:lineRule="auto"/>
        <w:ind w:left="142" w:right="192"/>
        <w:jc w:val="both"/>
        <w:rPr>
          <w:rFonts w:ascii="Arial Narrow" w:hAnsi="Arial Narrow"/>
          <w:sz w:val="24"/>
          <w:szCs w:val="24"/>
        </w:rPr>
      </w:pPr>
      <w:r w:rsidRPr="005B5051">
        <w:rPr>
          <w:rFonts w:ascii="Arial Narrow" w:hAnsi="Arial Narrow"/>
          <w:b/>
          <w:bCs/>
          <w:i/>
          <w:iCs/>
          <w:sz w:val="24"/>
          <w:szCs w:val="24"/>
        </w:rPr>
        <w:t>3.2.2 La pertenencia de las sociedades de economía mixta a la Rama Ejecutiva del poder público.</w:t>
      </w:r>
      <w:r w:rsidRPr="005B5051">
        <w:rPr>
          <w:rFonts w:ascii="Arial Narrow" w:hAnsi="Arial Narrow"/>
          <w:sz w:val="24"/>
          <w:szCs w:val="24"/>
        </w:rPr>
        <w:t xml:space="preserve"> En primer lugar, la Corte repara en que las sociedades de economía mixta son mencionadas en la Constitución a propósito de las atribuciones (del Congreso, asambleas o concejos) de </w:t>
      </w:r>
      <w:r w:rsidRPr="005B5051">
        <w:rPr>
          <w:rFonts w:ascii="Arial Narrow" w:hAnsi="Arial Narrow"/>
          <w:i/>
          <w:iCs/>
          <w:sz w:val="24"/>
          <w:szCs w:val="24"/>
        </w:rPr>
        <w:t>“determinar la</w:t>
      </w:r>
      <w:r w:rsidRPr="005B5051">
        <w:rPr>
          <w:rFonts w:ascii="Arial Narrow" w:hAnsi="Arial Narrow"/>
          <w:sz w:val="24"/>
          <w:szCs w:val="24"/>
        </w:rPr>
        <w:t xml:space="preserve"> </w:t>
      </w:r>
      <w:r w:rsidRPr="005B5051">
        <w:rPr>
          <w:rFonts w:ascii="Arial Narrow" w:hAnsi="Arial Narrow"/>
          <w:i/>
          <w:iCs/>
          <w:sz w:val="24"/>
          <w:szCs w:val="24"/>
        </w:rPr>
        <w:t xml:space="preserve">estructura de la Administración.” </w:t>
      </w:r>
      <w:r w:rsidRPr="005B5051">
        <w:rPr>
          <w:rFonts w:ascii="Arial Narrow" w:hAnsi="Arial Narrow"/>
          <w:sz w:val="24"/>
          <w:szCs w:val="24"/>
        </w:rPr>
        <w:t>Ciertamente, los artículos 150 numeral 7, 300 numeral 7 y 313 numeral 6 tienen como elemento común el conceder facultades a esos órganos colegiados para ese concreto propósito.</w:t>
      </w:r>
      <w:r w:rsidRPr="005B5051">
        <w:rPr>
          <w:rStyle w:val="Refdenotaalpie"/>
          <w:rFonts w:ascii="Arial Narrow" w:hAnsi="Arial Narrow"/>
          <w:sz w:val="24"/>
          <w:szCs w:val="24"/>
        </w:rPr>
        <w:footnoteReference w:id="5"/>
      </w:r>
      <w:r w:rsidRPr="005B5051">
        <w:rPr>
          <w:rFonts w:ascii="Arial Narrow" w:hAnsi="Arial Narrow"/>
          <w:sz w:val="24"/>
          <w:szCs w:val="24"/>
        </w:rPr>
        <w:t xml:space="preserve">  De donde se deduce que la Constitución incluye a las sociedades de economía mixta dentro de la </w:t>
      </w:r>
      <w:r w:rsidRPr="005B5051">
        <w:rPr>
          <w:rFonts w:ascii="Arial Narrow" w:hAnsi="Arial Narrow"/>
          <w:i/>
          <w:iCs/>
          <w:sz w:val="24"/>
          <w:szCs w:val="24"/>
        </w:rPr>
        <w:t>“estructura de la Administración”</w:t>
      </w:r>
      <w:r w:rsidRPr="005B5051">
        <w:rPr>
          <w:rFonts w:ascii="Arial Narrow" w:hAnsi="Arial Narrow"/>
          <w:sz w:val="24"/>
          <w:szCs w:val="24"/>
        </w:rPr>
        <w:t xml:space="preserve">. </w:t>
      </w:r>
    </w:p>
    <w:p w:rsidR="005B5051" w:rsidRPr="005B5051" w:rsidRDefault="005B5051" w:rsidP="00C7316B">
      <w:pPr>
        <w:spacing w:after="0" w:line="240" w:lineRule="auto"/>
        <w:ind w:left="142" w:right="192"/>
        <w:jc w:val="both"/>
        <w:rPr>
          <w:rFonts w:ascii="Arial Narrow" w:hAnsi="Arial Narrow"/>
          <w:sz w:val="24"/>
          <w:szCs w:val="24"/>
        </w:rPr>
      </w:pPr>
    </w:p>
    <w:p w:rsidR="005B5051" w:rsidRPr="005B5051" w:rsidRDefault="005B5051" w:rsidP="00C7316B">
      <w:pPr>
        <w:spacing w:after="0" w:line="240" w:lineRule="auto"/>
        <w:ind w:left="142" w:right="192"/>
        <w:jc w:val="both"/>
        <w:rPr>
          <w:rFonts w:ascii="Arial Narrow" w:hAnsi="Arial Narrow"/>
          <w:sz w:val="24"/>
          <w:szCs w:val="24"/>
        </w:rPr>
      </w:pPr>
      <w:r w:rsidRPr="005B5051">
        <w:rPr>
          <w:rFonts w:ascii="Arial Narrow" w:hAnsi="Arial Narrow"/>
          <w:sz w:val="24"/>
          <w:szCs w:val="24"/>
        </w:rPr>
        <w:t>Por su parte, el artículo 115 de la Constitución, que pertenece al Capítulo I del Título V, relativo a la  Estructura del Estado, al señalar los órganos que conforman la Rama Ejecutiva del poder público, no menciona a las sociedades de economía mixta.</w:t>
      </w:r>
      <w:r w:rsidRPr="005B5051">
        <w:rPr>
          <w:rStyle w:val="Refdenotaalpie"/>
          <w:rFonts w:ascii="Arial Narrow" w:hAnsi="Arial Narrow"/>
          <w:sz w:val="24"/>
          <w:szCs w:val="24"/>
        </w:rPr>
        <w:footnoteReference w:id="6"/>
      </w:r>
      <w:r w:rsidRPr="005B5051">
        <w:rPr>
          <w:rFonts w:ascii="Arial Narrow" w:hAnsi="Arial Narrow"/>
          <w:sz w:val="24"/>
          <w:szCs w:val="24"/>
        </w:rPr>
        <w:t xml:space="preserve"> Esta circunstancia, sin embargo, no significa que este tipo de entidades se encuentre por fuera de este concepto. Es decir, de la lectura del artículo 115 no es posible concluir que las sociedades de economía mixta no formen parte de la Rama Ejecutiva, y que sólo conformen </w:t>
      </w:r>
      <w:r w:rsidRPr="005B5051">
        <w:rPr>
          <w:rFonts w:ascii="Arial Narrow" w:hAnsi="Arial Narrow"/>
          <w:i/>
          <w:iCs/>
          <w:sz w:val="24"/>
          <w:szCs w:val="24"/>
        </w:rPr>
        <w:t>“la estructura de la Administración”</w:t>
      </w:r>
      <w:r w:rsidRPr="005B5051">
        <w:rPr>
          <w:rFonts w:ascii="Arial Narrow" w:hAnsi="Arial Narrow"/>
          <w:sz w:val="24"/>
          <w:szCs w:val="24"/>
        </w:rPr>
        <w:t xml:space="preserve">, según lo dispuesto por los artículos 150 numeral 7, 300 numeral 7 y 313 numeral 6,que se acaban de mencionar.  </w:t>
      </w:r>
    </w:p>
    <w:p w:rsidR="005B5051" w:rsidRPr="005B5051" w:rsidRDefault="005B5051" w:rsidP="00C7316B">
      <w:pPr>
        <w:spacing w:after="0" w:line="240" w:lineRule="auto"/>
        <w:ind w:left="142" w:right="192"/>
        <w:jc w:val="both"/>
        <w:rPr>
          <w:rFonts w:ascii="Arial Narrow" w:hAnsi="Arial Narrow"/>
          <w:sz w:val="24"/>
          <w:szCs w:val="24"/>
        </w:rPr>
      </w:pPr>
    </w:p>
    <w:p w:rsidR="005B5051" w:rsidRDefault="005B5051" w:rsidP="00C7316B">
      <w:pPr>
        <w:spacing w:after="0" w:line="240" w:lineRule="auto"/>
        <w:ind w:left="142" w:right="192"/>
        <w:jc w:val="both"/>
        <w:rPr>
          <w:rFonts w:ascii="Arial Narrow" w:hAnsi="Arial Narrow"/>
          <w:sz w:val="24"/>
          <w:szCs w:val="24"/>
        </w:rPr>
      </w:pPr>
      <w:r w:rsidRPr="005B5051">
        <w:rPr>
          <w:rFonts w:ascii="Arial Narrow" w:hAnsi="Arial Narrow"/>
          <w:sz w:val="24"/>
          <w:szCs w:val="24"/>
        </w:rPr>
        <w:t>En efecto, diversos criterios de interpretación constitucional indican que resulta imposible entender que el listado contenido en el artículo 115 sea taxativo, es decir excluyente de otras entidades. En efecto, conforme a un criterio sistemático o de interpretación armónica, observa la Corte que otra norma superior se refiere a un organismo no enumerado en el artículo 115, considerándolo como parte de la Rama Ejecutiva: se trata del artículo 354  de la Carta, según el cual el Contador General de la Nación es un funcionario de la Rama Ejecutiva del poder público</w:t>
      </w:r>
      <w:r w:rsidRPr="005B5051">
        <w:rPr>
          <w:rStyle w:val="Refdenotaalpie"/>
          <w:rFonts w:ascii="Arial Narrow" w:hAnsi="Arial Narrow"/>
          <w:sz w:val="24"/>
          <w:szCs w:val="24"/>
        </w:rPr>
        <w:footnoteReference w:id="7"/>
      </w:r>
      <w:r w:rsidRPr="005B5051">
        <w:rPr>
          <w:rFonts w:ascii="Arial Narrow" w:hAnsi="Arial Narrow"/>
          <w:sz w:val="24"/>
          <w:szCs w:val="24"/>
        </w:rPr>
        <w:t xml:space="preserve">; así pues, con este señalamiento la misma </w:t>
      </w:r>
      <w:r w:rsidRPr="005B5051">
        <w:rPr>
          <w:rFonts w:ascii="Arial Narrow" w:hAnsi="Arial Narrow"/>
          <w:sz w:val="24"/>
          <w:szCs w:val="24"/>
        </w:rPr>
        <w:lastRenderedPageBreak/>
        <w:t>Constitución indica que el listado del artículo 115 no es taxativo;  de otro lado, existen ciertos órganos constitucionales, cuya pertenencia a la Rama Ejecutiva ha sido reconocida por la misma jurisprudencia de esta Corporación, particularmente la Vicepresidencia de la República, que tampoco forman parte del listado del artículo 115</w:t>
      </w:r>
      <w:r w:rsidRPr="005B5051">
        <w:rPr>
          <w:rStyle w:val="Refdenotaalpie"/>
          <w:rFonts w:ascii="Arial Narrow" w:hAnsi="Arial Narrow"/>
          <w:sz w:val="24"/>
          <w:szCs w:val="24"/>
        </w:rPr>
        <w:footnoteReference w:id="8"/>
      </w:r>
      <w:r w:rsidRPr="005B5051">
        <w:rPr>
          <w:rFonts w:ascii="Arial Narrow" w:hAnsi="Arial Narrow"/>
          <w:sz w:val="24"/>
          <w:szCs w:val="24"/>
        </w:rPr>
        <w:t xml:space="preserve">.  Adicionalmente, siguiendo un criterio de interpretación exegético, la Corte observa que la redacción del último inciso del artículo 115 superior no corresponde a la de una enumeración taxativa. Pues, como puede observarse, dicha norma simplemente afirma que </w:t>
      </w:r>
      <w:r w:rsidRPr="005B5051">
        <w:rPr>
          <w:rFonts w:ascii="Arial Narrow" w:hAnsi="Arial Narrow"/>
          <w:i/>
          <w:iCs/>
          <w:sz w:val="24"/>
          <w:szCs w:val="24"/>
        </w:rPr>
        <w:t>“forman parte de la Rama Ejecutiva”</w:t>
      </w:r>
      <w:r w:rsidRPr="005B5051">
        <w:rPr>
          <w:rFonts w:ascii="Arial Narrow" w:hAnsi="Arial Narrow"/>
          <w:sz w:val="24"/>
          <w:szCs w:val="24"/>
        </w:rPr>
        <w:t xml:space="preserve"> los organismos que allí se mencionan, pero no señala que </w:t>
      </w:r>
      <w:r w:rsidRPr="005B5051">
        <w:rPr>
          <w:rFonts w:ascii="Arial Narrow" w:hAnsi="Arial Narrow"/>
          <w:i/>
          <w:iCs/>
          <w:sz w:val="24"/>
          <w:szCs w:val="24"/>
        </w:rPr>
        <w:t xml:space="preserve">“la Rama Ejecutiva está formada” </w:t>
      </w:r>
      <w:r w:rsidRPr="005B5051">
        <w:rPr>
          <w:rFonts w:ascii="Arial Narrow" w:hAnsi="Arial Narrow"/>
          <w:sz w:val="24"/>
          <w:szCs w:val="24"/>
        </w:rPr>
        <w:t>por ellos. De esta manera, la construcción gramatical utilizada (cuyo sujeto gramatical son los organismos mencionados y no la Rama Ejecutiva) permite entender que otros organismos también pueden formar parte de dicha estructura.</w:t>
      </w:r>
    </w:p>
    <w:p w:rsidR="00540687" w:rsidRPr="005B5051" w:rsidRDefault="00540687" w:rsidP="005B5051">
      <w:pPr>
        <w:spacing w:after="0" w:line="240" w:lineRule="auto"/>
        <w:jc w:val="both"/>
        <w:rPr>
          <w:rFonts w:ascii="Arial Narrow" w:hAnsi="Arial Narrow"/>
          <w:sz w:val="24"/>
          <w:szCs w:val="24"/>
        </w:rPr>
      </w:pPr>
    </w:p>
    <w:p w:rsidR="005B5051" w:rsidRPr="005B5051" w:rsidRDefault="005B5051" w:rsidP="00C7316B">
      <w:pPr>
        <w:pStyle w:val="Textoindependiente3"/>
        <w:spacing w:after="0" w:line="240" w:lineRule="auto"/>
        <w:ind w:left="142" w:right="51"/>
        <w:jc w:val="both"/>
        <w:rPr>
          <w:rFonts w:ascii="Arial Narrow" w:hAnsi="Arial Narrow"/>
          <w:b/>
          <w:bCs/>
          <w:sz w:val="24"/>
          <w:szCs w:val="24"/>
        </w:rPr>
      </w:pPr>
      <w:r w:rsidRPr="005B5051">
        <w:rPr>
          <w:rFonts w:ascii="Arial Narrow" w:hAnsi="Arial Narrow"/>
          <w:b/>
          <w:bCs/>
          <w:sz w:val="24"/>
          <w:szCs w:val="24"/>
        </w:rPr>
        <w:t>Así pues, la enumeración contenida en el artículo 115 no es taxativa, de donde se deduce que otros órganos distintos de los allí mencionados pueden conformar la Rama Ejecutiva. Sin embargo, para establecer si las sociedades de economía mixta forman parte de esta Rama, es necesario aclarar que este concepto (Rama Ejecutiva) involucra el de administración centralizada y descentralizada, según pasa a explicarse:</w:t>
      </w:r>
    </w:p>
    <w:p w:rsidR="005B5051" w:rsidRPr="005B5051" w:rsidRDefault="005B5051" w:rsidP="005B5051">
      <w:pPr>
        <w:pStyle w:val="Textoindependiente3"/>
        <w:spacing w:after="0" w:line="240" w:lineRule="auto"/>
        <w:ind w:right="51"/>
        <w:rPr>
          <w:rFonts w:ascii="Arial Narrow" w:hAnsi="Arial Narrow"/>
          <w:b/>
          <w:bCs/>
          <w:sz w:val="24"/>
          <w:szCs w:val="24"/>
        </w:rPr>
      </w:pPr>
    </w:p>
    <w:p w:rsidR="005B5051" w:rsidRPr="0000009B" w:rsidRDefault="0000009B" w:rsidP="005B5051">
      <w:pPr>
        <w:spacing w:after="0" w:line="240" w:lineRule="auto"/>
        <w:jc w:val="both"/>
        <w:rPr>
          <w:rFonts w:ascii="Tahoma" w:hAnsi="Tahoma" w:cs="Tahoma"/>
          <w:sz w:val="24"/>
          <w:szCs w:val="24"/>
        </w:rPr>
      </w:pPr>
      <w:r>
        <w:rPr>
          <w:rFonts w:ascii="Tahoma" w:hAnsi="Tahoma" w:cs="Tahoma"/>
          <w:sz w:val="24"/>
          <w:szCs w:val="24"/>
        </w:rPr>
        <w:tab/>
      </w:r>
      <w:r w:rsidRPr="0000009B">
        <w:rPr>
          <w:rFonts w:ascii="Tahoma" w:hAnsi="Tahoma" w:cs="Tahoma"/>
          <w:sz w:val="24"/>
          <w:szCs w:val="24"/>
        </w:rPr>
        <w:t>Más adelante, dentro de la misma providencia se precisó:</w:t>
      </w:r>
    </w:p>
    <w:p w:rsidR="005B5051" w:rsidRDefault="005B5051" w:rsidP="005B5051">
      <w:pPr>
        <w:spacing w:after="0" w:line="240" w:lineRule="auto"/>
        <w:jc w:val="both"/>
        <w:rPr>
          <w:rFonts w:ascii="Arial Narrow" w:hAnsi="Arial Narrow"/>
          <w:sz w:val="24"/>
          <w:szCs w:val="24"/>
        </w:rPr>
      </w:pPr>
    </w:p>
    <w:p w:rsidR="005B5051" w:rsidRPr="005B5051" w:rsidRDefault="005B5051" w:rsidP="005B5051">
      <w:pPr>
        <w:spacing w:after="0" w:line="240" w:lineRule="auto"/>
        <w:jc w:val="both"/>
        <w:rPr>
          <w:rFonts w:ascii="Arial Narrow" w:hAnsi="Arial Narrow"/>
          <w:sz w:val="24"/>
          <w:szCs w:val="24"/>
        </w:rPr>
      </w:pPr>
      <w:r w:rsidRPr="005B5051">
        <w:rPr>
          <w:rFonts w:ascii="Arial Narrow" w:hAnsi="Arial Narrow"/>
          <w:sz w:val="24"/>
          <w:szCs w:val="24"/>
        </w:rPr>
        <w:t>Ahora bien, la vinculación de las sociedades de economía mixta a la Rama Ejecutiva, y su condición de entidades descentralizadas, implica consecuencias que emergen de la propia  Constitución cuales son particularmente las siguientes: (i) que están sujetas  un control fiscal en cabeza de la Contraloría General de la República, que toma pie en lo reglado por el artículo 267 de la Constitución, y que incluye el ejercicio de un control financiero, de gestión y de resultados</w:t>
      </w:r>
      <w:r w:rsidRPr="005B5051">
        <w:rPr>
          <w:rStyle w:val="Refdenotaalpie"/>
          <w:rFonts w:ascii="Arial Narrow" w:hAnsi="Arial Narrow"/>
          <w:sz w:val="24"/>
          <w:szCs w:val="24"/>
        </w:rPr>
        <w:footnoteReference w:id="9"/>
      </w:r>
      <w:r w:rsidRPr="005B5051">
        <w:rPr>
          <w:rFonts w:ascii="Arial Narrow" w:hAnsi="Arial Narrow"/>
          <w:sz w:val="24"/>
          <w:szCs w:val="24"/>
        </w:rPr>
        <w:t>;  (ii) que están sujetas a  un control político, que ejerce directamente el Congreso de la República en virtud de lo reglado por el último inciso del artículo 208 de la Constitución Política</w:t>
      </w:r>
      <w:r w:rsidRPr="005B5051">
        <w:rPr>
          <w:rStyle w:val="Refdenotaalpie"/>
          <w:rFonts w:ascii="Arial Narrow" w:hAnsi="Arial Narrow"/>
          <w:sz w:val="24"/>
          <w:szCs w:val="24"/>
        </w:rPr>
        <w:footnoteReference w:id="10"/>
      </w:r>
      <w:r w:rsidRPr="005B5051">
        <w:rPr>
          <w:rFonts w:ascii="Arial Narrow" w:hAnsi="Arial Narrow"/>
          <w:sz w:val="24"/>
          <w:szCs w:val="24"/>
        </w:rPr>
        <w:t xml:space="preserve">. (iii) que de conformidad con lo prescrito por el artículo 150 numeral 7, según el cual al Congreso le corresponde </w:t>
      </w:r>
      <w:r w:rsidRPr="005B5051">
        <w:rPr>
          <w:rFonts w:ascii="Arial Narrow" w:hAnsi="Arial Narrow"/>
          <w:i/>
          <w:iCs/>
          <w:sz w:val="24"/>
          <w:szCs w:val="24"/>
        </w:rPr>
        <w:t xml:space="preserve">“crear o autorizar la constitución </w:t>
      </w:r>
      <w:proofErr w:type="gramStart"/>
      <w:r w:rsidRPr="005B5051">
        <w:rPr>
          <w:rFonts w:ascii="Arial Narrow" w:hAnsi="Arial Narrow"/>
          <w:i/>
          <w:iCs/>
          <w:sz w:val="24"/>
          <w:szCs w:val="24"/>
        </w:rPr>
        <w:t>de …</w:t>
      </w:r>
      <w:proofErr w:type="gramEnd"/>
      <w:r w:rsidRPr="005B5051">
        <w:rPr>
          <w:rFonts w:ascii="Arial Narrow" w:hAnsi="Arial Narrow"/>
          <w:i/>
          <w:iCs/>
          <w:sz w:val="24"/>
          <w:szCs w:val="24"/>
        </w:rPr>
        <w:t xml:space="preserve"> sociedades de economía mixta”</w:t>
      </w:r>
      <w:r w:rsidRPr="005B5051">
        <w:rPr>
          <w:rFonts w:ascii="Arial Narrow" w:hAnsi="Arial Narrow"/>
          <w:b/>
          <w:bCs/>
          <w:i/>
          <w:iCs/>
          <w:sz w:val="24"/>
          <w:szCs w:val="24"/>
        </w:rPr>
        <w:t xml:space="preserve"> </w:t>
      </w:r>
      <w:r w:rsidRPr="005B5051">
        <w:rPr>
          <w:rFonts w:ascii="Arial Narrow" w:hAnsi="Arial Narrow"/>
          <w:sz w:val="24"/>
          <w:szCs w:val="24"/>
        </w:rPr>
        <w:t>del orden nacional, su creación o autorización tiene que producirse mediante ley.  Correlativamente, en los órdenes departamental y municipal esta misma facultad</w:t>
      </w:r>
      <w:bookmarkStart w:id="0" w:name="_GoBack"/>
      <w:bookmarkEnd w:id="0"/>
      <w:r w:rsidRPr="005B5051">
        <w:rPr>
          <w:rFonts w:ascii="Arial Narrow" w:hAnsi="Arial Narrow"/>
          <w:sz w:val="24"/>
          <w:szCs w:val="24"/>
        </w:rPr>
        <w:t xml:space="preserve"> se le reconoce a las asambleas y concejos, según  lo prescriben lo artículos 300 numeral 78 y 313 numeral 6, respectivamente, por cual en dichos niveles las empresas de servicios públicos que asumieran la forma de sociedades de economía mixta deben ser creadas o autorizadas mediante ordenanza o acuerdo, según sea el caso; (iv) que les son aplicables las  inhabilidades </w:t>
      </w:r>
      <w:r w:rsidRPr="005B5051">
        <w:rPr>
          <w:rFonts w:ascii="Arial Narrow" w:hAnsi="Arial Narrow"/>
          <w:sz w:val="24"/>
          <w:szCs w:val="24"/>
        </w:rPr>
        <w:lastRenderedPageBreak/>
        <w:t>para la integración de órganos directivos  a que aluden los artículos 180-3</w:t>
      </w:r>
      <w:r w:rsidRPr="005B5051">
        <w:rPr>
          <w:rStyle w:val="Refdenotaalpie"/>
          <w:rFonts w:ascii="Arial Narrow" w:hAnsi="Arial Narrow"/>
          <w:sz w:val="24"/>
          <w:szCs w:val="24"/>
        </w:rPr>
        <w:footnoteReference w:id="11"/>
      </w:r>
      <w:r w:rsidRPr="005B5051">
        <w:rPr>
          <w:rFonts w:ascii="Arial Narrow" w:hAnsi="Arial Narrow"/>
          <w:sz w:val="24"/>
          <w:szCs w:val="24"/>
        </w:rPr>
        <w:t>, 292</w:t>
      </w:r>
      <w:r w:rsidRPr="005B5051">
        <w:rPr>
          <w:rStyle w:val="Refdenotaalpie"/>
          <w:rFonts w:ascii="Arial Narrow" w:hAnsi="Arial Narrow"/>
          <w:sz w:val="24"/>
          <w:szCs w:val="24"/>
        </w:rPr>
        <w:footnoteReference w:id="12"/>
      </w:r>
      <w:r w:rsidRPr="005B5051">
        <w:rPr>
          <w:rFonts w:ascii="Arial Narrow" w:hAnsi="Arial Narrow"/>
          <w:sz w:val="24"/>
          <w:szCs w:val="24"/>
        </w:rPr>
        <w:t xml:space="preserve"> y 323</w:t>
      </w:r>
      <w:r w:rsidRPr="005B5051">
        <w:rPr>
          <w:rStyle w:val="Refdenotaalpie"/>
          <w:rFonts w:ascii="Arial Narrow" w:hAnsi="Arial Narrow"/>
          <w:sz w:val="24"/>
          <w:szCs w:val="24"/>
        </w:rPr>
        <w:footnoteReference w:id="13"/>
      </w:r>
      <w:r w:rsidRPr="005B5051">
        <w:rPr>
          <w:rFonts w:ascii="Arial Narrow" w:hAnsi="Arial Narrow"/>
          <w:sz w:val="24"/>
          <w:szCs w:val="24"/>
        </w:rPr>
        <w:t xml:space="preserve"> de la Carta; (v) que en materia presupuestal quedan sujetas a las reglas de la ley orgánica del presupuesto</w:t>
      </w:r>
      <w:r w:rsidRPr="005B5051">
        <w:rPr>
          <w:rStyle w:val="Refdenotaalpie"/>
          <w:rFonts w:ascii="Arial Narrow" w:hAnsi="Arial Narrow"/>
          <w:sz w:val="24"/>
          <w:szCs w:val="24"/>
        </w:rPr>
        <w:footnoteReference w:id="14"/>
      </w:r>
      <w:r w:rsidRPr="005B5051">
        <w:rPr>
          <w:rFonts w:ascii="Arial Narrow" w:hAnsi="Arial Narrow"/>
          <w:sz w:val="24"/>
          <w:szCs w:val="24"/>
        </w:rPr>
        <w:t>; (vi) que en materia contable quedan sujetas a las reglas de contabilidad oficial</w:t>
      </w:r>
      <w:r w:rsidRPr="005B5051">
        <w:rPr>
          <w:rStyle w:val="Refdenotaalpie"/>
          <w:rFonts w:ascii="Arial Narrow" w:hAnsi="Arial Narrow"/>
          <w:sz w:val="24"/>
          <w:szCs w:val="24"/>
        </w:rPr>
        <w:footnoteReference w:id="15"/>
      </w:r>
      <w:r w:rsidRPr="005B5051">
        <w:rPr>
          <w:rFonts w:ascii="Arial Narrow" w:hAnsi="Arial Narrow"/>
          <w:sz w:val="24"/>
          <w:szCs w:val="24"/>
        </w:rPr>
        <w:t xml:space="preserve">; </w:t>
      </w:r>
    </w:p>
    <w:p w:rsidR="005B5051" w:rsidRPr="005B5051" w:rsidRDefault="005B5051" w:rsidP="005B5051">
      <w:pPr>
        <w:spacing w:after="0" w:line="240" w:lineRule="auto"/>
        <w:jc w:val="both"/>
        <w:rPr>
          <w:rFonts w:ascii="Arial Narrow" w:hAnsi="Arial Narrow"/>
          <w:sz w:val="24"/>
          <w:szCs w:val="24"/>
        </w:rPr>
      </w:pPr>
    </w:p>
    <w:p w:rsidR="005B5051" w:rsidRPr="005B5051" w:rsidRDefault="005B5051" w:rsidP="005B5051">
      <w:pPr>
        <w:spacing w:after="0" w:line="240" w:lineRule="auto"/>
        <w:jc w:val="both"/>
        <w:rPr>
          <w:rFonts w:ascii="Arial Narrow" w:hAnsi="Arial Narrow"/>
          <w:sz w:val="24"/>
          <w:szCs w:val="24"/>
        </w:rPr>
      </w:pPr>
      <w:r w:rsidRPr="005B5051">
        <w:rPr>
          <w:rFonts w:ascii="Arial Narrow" w:hAnsi="Arial Narrow"/>
          <w:sz w:val="24"/>
          <w:szCs w:val="24"/>
        </w:rPr>
        <w:t>Estas consecuencias derivadas de la vinculación de las sociedades de economía mixta a la Rama Ejecutiva han sido destacadas por la jurisprudencia de esta Corporación, que al respecto ha vertido los siguientes conceptos:</w:t>
      </w:r>
    </w:p>
    <w:p w:rsidR="005B5051" w:rsidRPr="005B5051" w:rsidRDefault="005B5051" w:rsidP="005B5051">
      <w:pPr>
        <w:spacing w:after="0" w:line="240" w:lineRule="auto"/>
        <w:jc w:val="both"/>
        <w:rPr>
          <w:rFonts w:ascii="Arial Narrow" w:hAnsi="Arial Narrow"/>
          <w:sz w:val="24"/>
          <w:szCs w:val="24"/>
        </w:rPr>
      </w:pPr>
    </w:p>
    <w:p w:rsidR="005B5051" w:rsidRPr="005B5051" w:rsidRDefault="005B5051" w:rsidP="005B5051">
      <w:pPr>
        <w:spacing w:after="0" w:line="240" w:lineRule="auto"/>
        <w:ind w:left="567" w:right="707"/>
        <w:jc w:val="both"/>
        <w:rPr>
          <w:rFonts w:ascii="Arial Narrow" w:hAnsi="Arial Narrow"/>
          <w:i/>
          <w:iCs/>
          <w:sz w:val="24"/>
          <w:szCs w:val="24"/>
        </w:rPr>
      </w:pPr>
      <w:r w:rsidRPr="005B5051">
        <w:rPr>
          <w:rFonts w:ascii="Arial Narrow" w:hAnsi="Arial Narrow"/>
          <w:snapToGrid w:val="0"/>
          <w:sz w:val="24"/>
          <w:szCs w:val="24"/>
        </w:rPr>
        <w:t xml:space="preserve">“… es posible concluir que las sociedades de economía mixta, pese su naturaleza jurídica específica (regulación basada en las normas del derecho privado, ejecución de actividades industriales o comerciales, ánimo de lucro, entre otros aspectos) no pierden su carácter de expresiones de la actividad estatal, amén del aporte público en la constitución del capital social y la consiguiente pertenencia a la administración pública, en la condición de entidades descentralizadas.  De esta manera, </w:t>
      </w:r>
      <w:r w:rsidRPr="005B5051">
        <w:rPr>
          <w:rFonts w:ascii="Arial Narrow" w:hAnsi="Arial Narrow"/>
          <w:b/>
          <w:bCs/>
          <w:snapToGrid w:val="0"/>
          <w:sz w:val="24"/>
          <w:szCs w:val="24"/>
        </w:rPr>
        <w:t>no es acertado sostener que la participación de particulares en la composición accionaria y la ejecución de actividades comerciales en pie de igualdad con las sociedades privadas sean motivos para excluir a las sociedades de economía mixta de la estructura del Estado y de los controles administrativos que le son propios y cuya definición hace parte de la potestad de configuración normativa de que es titular el legislador</w:t>
      </w:r>
      <w:r w:rsidRPr="005B5051">
        <w:rPr>
          <w:rFonts w:ascii="Arial Narrow" w:hAnsi="Arial Narrow"/>
          <w:snapToGrid w:val="0"/>
          <w:sz w:val="24"/>
          <w:szCs w:val="24"/>
        </w:rPr>
        <w:t xml:space="preserve">. Con base en esta última consideración, la sentencia C-629/03 concluyó que </w:t>
      </w:r>
      <w:r w:rsidRPr="005B5051">
        <w:rPr>
          <w:rFonts w:ascii="Arial Narrow" w:hAnsi="Arial Narrow"/>
          <w:i/>
          <w:iCs/>
          <w:snapToGrid w:val="0"/>
          <w:sz w:val="24"/>
          <w:szCs w:val="24"/>
        </w:rPr>
        <w:t>“</w:t>
      </w:r>
      <w:r w:rsidRPr="005B5051">
        <w:rPr>
          <w:rFonts w:ascii="Arial Narrow" w:hAnsi="Arial Narrow"/>
          <w:i/>
          <w:iCs/>
          <w:sz w:val="24"/>
          <w:szCs w:val="24"/>
        </w:rPr>
        <w:t>la propia Constitución, como se ha visto, determina consecuencias directas de la circunstancia de que una sociedad comercial tenga el carácter de sociedad de economía mixta y hace imperativa la vigilancia seguimiento y control de los recursos estatales, cualquiera sea la forma de gestión de los mismos, en los términos que prevea la ley.”.</w:t>
      </w:r>
      <w:r w:rsidRPr="005B5051">
        <w:rPr>
          <w:rStyle w:val="Refdenotaalpie"/>
          <w:rFonts w:ascii="Arial Narrow" w:hAnsi="Arial Narrow"/>
          <w:sz w:val="24"/>
          <w:szCs w:val="24"/>
        </w:rPr>
        <w:footnoteReference w:id="16"/>
      </w:r>
    </w:p>
    <w:p w:rsidR="005B5051" w:rsidRPr="005B5051" w:rsidRDefault="005B5051" w:rsidP="005B5051">
      <w:pPr>
        <w:spacing w:after="0" w:line="240" w:lineRule="auto"/>
        <w:jc w:val="both"/>
        <w:rPr>
          <w:rFonts w:ascii="Arial Narrow" w:hAnsi="Arial Narrow"/>
          <w:sz w:val="24"/>
          <w:szCs w:val="24"/>
        </w:rPr>
      </w:pPr>
    </w:p>
    <w:p w:rsidR="005B5051" w:rsidRPr="005B5051" w:rsidRDefault="005B5051" w:rsidP="005B5051">
      <w:pPr>
        <w:spacing w:after="0" w:line="240" w:lineRule="auto"/>
        <w:jc w:val="both"/>
        <w:rPr>
          <w:rFonts w:ascii="Arial Narrow" w:hAnsi="Arial Narrow"/>
          <w:sz w:val="24"/>
          <w:szCs w:val="24"/>
        </w:rPr>
      </w:pPr>
      <w:r w:rsidRPr="005B5051">
        <w:rPr>
          <w:rFonts w:ascii="Arial Narrow" w:hAnsi="Arial Narrow"/>
          <w:sz w:val="24"/>
          <w:szCs w:val="24"/>
        </w:rPr>
        <w:t xml:space="preserve">Adicionalmente, la vinculación a la Rama Ejecutiva implica que a pesar de que las sociedades de economía mixta, como entidades descentralizadas, gozan de autonomía jurídica, de todas maneras no son organismos independientes sino que están sujetas a cierto control por parte de la Administración central. Al respecto, la teoría general del Derecho Administrativo explica que aunque las entidades descentralizadas por servicios no están sujetas a un control jerárquico, reservado para la administración centralizada, en cambio </w:t>
      </w:r>
      <w:proofErr w:type="spellStart"/>
      <w:r w:rsidRPr="005B5051">
        <w:rPr>
          <w:rFonts w:ascii="Arial Narrow" w:hAnsi="Arial Narrow"/>
          <w:sz w:val="24"/>
          <w:szCs w:val="24"/>
        </w:rPr>
        <w:t>si</w:t>
      </w:r>
      <w:proofErr w:type="spellEnd"/>
      <w:r w:rsidRPr="005B5051">
        <w:rPr>
          <w:rFonts w:ascii="Arial Narrow" w:hAnsi="Arial Narrow"/>
          <w:sz w:val="24"/>
          <w:szCs w:val="24"/>
        </w:rPr>
        <w:t xml:space="preserve"> son objeto de un control llamado “de tutela”</w:t>
      </w:r>
      <w:r w:rsidRPr="005B5051">
        <w:rPr>
          <w:rStyle w:val="Refdenotaalpie"/>
          <w:rFonts w:ascii="Arial Narrow" w:hAnsi="Arial Narrow"/>
          <w:sz w:val="24"/>
          <w:szCs w:val="24"/>
        </w:rPr>
        <w:footnoteReference w:id="17"/>
      </w:r>
      <w:r w:rsidRPr="005B5051">
        <w:rPr>
          <w:rFonts w:ascii="Arial Narrow" w:hAnsi="Arial Narrow"/>
          <w:sz w:val="24"/>
          <w:szCs w:val="24"/>
        </w:rPr>
        <w:t xml:space="preserve"> por parte de las entidades a las que se vinculan. El desarrollo legislativo relativo al control administrativo de tutela que recae sobre las sociedades de economía mixta en virtud de su vinculación a la Rama Ejecutiva hoy en día está contenido en la Ley 489 de 1998, cuyos artículos 41 , 98 y 99 prescriben en su orden (i) que en el nivel nacional, </w:t>
      </w:r>
      <w:r w:rsidRPr="005B5051">
        <w:rPr>
          <w:rFonts w:ascii="Arial Narrow" w:hAnsi="Arial Narrow"/>
          <w:i/>
          <w:iCs/>
          <w:sz w:val="24"/>
          <w:szCs w:val="24"/>
        </w:rPr>
        <w:t>“los ministros y directores de departamento administrativo orientan y coordinan el cumplimiento de las funciones a cargo de … las sociedades de economía mixta que les estén adscritas o vinculadas o integren el Sector Administrativo correspondiente”</w:t>
      </w:r>
      <w:r w:rsidRPr="005B5051">
        <w:rPr>
          <w:rFonts w:ascii="Arial Narrow" w:hAnsi="Arial Narrow"/>
          <w:sz w:val="24"/>
          <w:szCs w:val="24"/>
        </w:rPr>
        <w:t xml:space="preserve"> (art. 41); (ii) que </w:t>
      </w:r>
      <w:r w:rsidRPr="005B5051">
        <w:rPr>
          <w:rFonts w:ascii="Arial Narrow" w:hAnsi="Arial Narrow"/>
          <w:i/>
          <w:iCs/>
          <w:sz w:val="24"/>
          <w:szCs w:val="24"/>
        </w:rPr>
        <w:t xml:space="preserve">“en el acto de constitución de toda sociedad de economía mixta se señalarán las condiciones para la participación del Estado que contenga la disposición que autorice su creación, el carácter nacional, departamental, distrital o municipal de la sociedad; así como su vinculación a los distintos organismos para </w:t>
      </w:r>
      <w:r w:rsidRPr="005B5051">
        <w:rPr>
          <w:rFonts w:ascii="Arial Narrow" w:hAnsi="Arial Narrow"/>
          <w:i/>
          <w:iCs/>
          <w:sz w:val="24"/>
          <w:szCs w:val="24"/>
        </w:rPr>
        <w:lastRenderedPageBreak/>
        <w:t>efectos del control que ha de ejercerse sobre ella”</w:t>
      </w:r>
      <w:r w:rsidRPr="005B5051">
        <w:rPr>
          <w:rFonts w:ascii="Arial Narrow" w:hAnsi="Arial Narrow"/>
          <w:sz w:val="24"/>
          <w:szCs w:val="24"/>
        </w:rPr>
        <w:t xml:space="preserve"> (art. 98); y (iii) que </w:t>
      </w:r>
      <w:r w:rsidRPr="005B5051">
        <w:rPr>
          <w:rFonts w:ascii="Arial Narrow" w:hAnsi="Arial Narrow"/>
          <w:i/>
          <w:iCs/>
          <w:sz w:val="24"/>
          <w:szCs w:val="24"/>
        </w:rPr>
        <w:t>“la representación de las acciones que posean las entidades públicas o la Nación en una Sociedad de Economía Mixta corresponde al Ministro o Jefe de Departamento Administrativo a cuyo despacho se halle vinculada dicha Sociedad”</w:t>
      </w:r>
      <w:r w:rsidRPr="005B5051">
        <w:rPr>
          <w:rFonts w:ascii="Arial Narrow" w:hAnsi="Arial Narrow"/>
          <w:sz w:val="24"/>
          <w:szCs w:val="24"/>
        </w:rPr>
        <w:t xml:space="preserve"> y que </w:t>
      </w:r>
      <w:r w:rsidRPr="005B5051">
        <w:rPr>
          <w:rFonts w:ascii="Arial Narrow" w:hAnsi="Arial Narrow"/>
          <w:i/>
          <w:iCs/>
          <w:sz w:val="24"/>
          <w:szCs w:val="24"/>
        </w:rPr>
        <w:t>“cuando el accionista sea un establecimiento público o una empresa industrial y comercial del Estado, su representación corresponderá al respectivo representante legal, pero podrá ser delegada en los funcionarios que indiquen los estatutos internos”</w:t>
      </w:r>
      <w:r w:rsidRPr="005B5051">
        <w:rPr>
          <w:rFonts w:ascii="Arial Narrow" w:hAnsi="Arial Narrow"/>
          <w:sz w:val="24"/>
          <w:szCs w:val="24"/>
        </w:rPr>
        <w:t xml:space="preserve"> (art. 99).”</w:t>
      </w:r>
    </w:p>
    <w:p w:rsidR="00F93B19" w:rsidRDefault="00F93B19" w:rsidP="00E066E9">
      <w:pPr>
        <w:spacing w:after="0"/>
        <w:ind w:firstLine="708"/>
        <w:jc w:val="both"/>
        <w:rPr>
          <w:rFonts w:ascii="Tahoma" w:hAnsi="Tahoma" w:cs="Tahoma"/>
          <w:sz w:val="24"/>
          <w:szCs w:val="24"/>
        </w:rPr>
      </w:pPr>
    </w:p>
    <w:p w:rsidR="0082746A" w:rsidRDefault="005541FD" w:rsidP="00E066E9">
      <w:pPr>
        <w:spacing w:after="0"/>
        <w:ind w:firstLine="708"/>
        <w:jc w:val="both"/>
        <w:rPr>
          <w:rFonts w:ascii="Tahoma" w:hAnsi="Tahoma" w:cs="Tahoma"/>
          <w:sz w:val="24"/>
          <w:szCs w:val="24"/>
        </w:rPr>
      </w:pPr>
      <w:r>
        <w:rPr>
          <w:rFonts w:ascii="Tahoma" w:hAnsi="Tahoma" w:cs="Tahoma"/>
          <w:sz w:val="24"/>
          <w:szCs w:val="24"/>
        </w:rPr>
        <w:t>De lo anterior se puede extraer que</w:t>
      </w:r>
      <w:r w:rsidR="0082746A">
        <w:rPr>
          <w:rFonts w:ascii="Tahoma" w:hAnsi="Tahoma" w:cs="Tahoma"/>
          <w:sz w:val="24"/>
          <w:szCs w:val="24"/>
        </w:rPr>
        <w:t xml:space="preserve"> la Nueva EPS S.A.,</w:t>
      </w:r>
      <w:r>
        <w:rPr>
          <w:rFonts w:ascii="Tahoma" w:hAnsi="Tahoma" w:cs="Tahoma"/>
          <w:sz w:val="24"/>
          <w:szCs w:val="24"/>
        </w:rPr>
        <w:t xml:space="preserve"> al</w:t>
      </w:r>
      <w:r w:rsidR="008A7D50">
        <w:rPr>
          <w:rFonts w:ascii="Tahoma" w:hAnsi="Tahoma" w:cs="Tahoma"/>
          <w:sz w:val="24"/>
          <w:szCs w:val="24"/>
        </w:rPr>
        <w:t xml:space="preserve"> hacer parte de la administración pública, </w:t>
      </w:r>
      <w:r w:rsidR="0082746A">
        <w:rPr>
          <w:rFonts w:ascii="Tahoma" w:hAnsi="Tahoma" w:cs="Tahoma"/>
          <w:sz w:val="24"/>
          <w:szCs w:val="24"/>
        </w:rPr>
        <w:t xml:space="preserve">por su calidad de </w:t>
      </w:r>
      <w:r w:rsidR="008A7D50">
        <w:rPr>
          <w:rFonts w:ascii="Tahoma" w:hAnsi="Tahoma" w:cs="Tahoma"/>
          <w:sz w:val="24"/>
          <w:szCs w:val="24"/>
        </w:rPr>
        <w:t xml:space="preserve">sociedad de economía mixta, </w:t>
      </w:r>
      <w:r w:rsidR="0082746A">
        <w:rPr>
          <w:rFonts w:ascii="Tahoma" w:hAnsi="Tahoma" w:cs="Tahoma"/>
          <w:sz w:val="24"/>
          <w:szCs w:val="24"/>
        </w:rPr>
        <w:t>obligaba a la dem</w:t>
      </w:r>
      <w:r w:rsidR="008A7D50">
        <w:rPr>
          <w:rFonts w:ascii="Tahoma" w:hAnsi="Tahoma" w:cs="Tahoma"/>
          <w:sz w:val="24"/>
          <w:szCs w:val="24"/>
        </w:rPr>
        <w:t>andante</w:t>
      </w:r>
      <w:r w:rsidR="0082746A">
        <w:rPr>
          <w:rFonts w:ascii="Tahoma" w:hAnsi="Tahoma" w:cs="Tahoma"/>
          <w:sz w:val="24"/>
          <w:szCs w:val="24"/>
        </w:rPr>
        <w:t>,</w:t>
      </w:r>
      <w:r w:rsidR="008A7D50">
        <w:rPr>
          <w:rFonts w:ascii="Tahoma" w:hAnsi="Tahoma" w:cs="Tahoma"/>
          <w:sz w:val="24"/>
          <w:szCs w:val="24"/>
        </w:rPr>
        <w:t xml:space="preserve"> previo a incoar la demanda por la que pretende la solidaridad de </w:t>
      </w:r>
      <w:r w:rsidR="0082746A">
        <w:rPr>
          <w:rFonts w:ascii="Tahoma" w:hAnsi="Tahoma" w:cs="Tahoma"/>
          <w:sz w:val="24"/>
          <w:szCs w:val="24"/>
        </w:rPr>
        <w:t>dicha entidad</w:t>
      </w:r>
      <w:r w:rsidR="008A7D50">
        <w:rPr>
          <w:rFonts w:ascii="Tahoma" w:hAnsi="Tahoma" w:cs="Tahoma"/>
          <w:sz w:val="24"/>
          <w:szCs w:val="24"/>
        </w:rPr>
        <w:t>, que agotara frente a la misma la reclamación administrativa de que trata el aludido artículo 6º del Código Procesal del Trabajo, independiente</w:t>
      </w:r>
      <w:r w:rsidR="0082746A">
        <w:rPr>
          <w:rFonts w:ascii="Tahoma" w:hAnsi="Tahoma" w:cs="Tahoma"/>
          <w:sz w:val="24"/>
          <w:szCs w:val="24"/>
        </w:rPr>
        <w:t>mente del monto del capital que el estado tenga en dicha sociedad.</w:t>
      </w:r>
    </w:p>
    <w:p w:rsidR="0082746A" w:rsidRDefault="0082746A" w:rsidP="00E066E9">
      <w:pPr>
        <w:spacing w:after="0"/>
        <w:ind w:firstLine="708"/>
        <w:jc w:val="both"/>
        <w:rPr>
          <w:rFonts w:ascii="Tahoma" w:hAnsi="Tahoma" w:cs="Tahoma"/>
          <w:sz w:val="24"/>
          <w:szCs w:val="24"/>
        </w:rPr>
      </w:pPr>
    </w:p>
    <w:p w:rsidR="00E066E9" w:rsidRDefault="00E066E9" w:rsidP="00E066E9">
      <w:pPr>
        <w:spacing w:after="0"/>
        <w:ind w:firstLine="708"/>
        <w:jc w:val="both"/>
        <w:rPr>
          <w:rFonts w:ascii="Tahoma" w:hAnsi="Tahoma" w:cs="Tahoma"/>
          <w:sz w:val="24"/>
          <w:szCs w:val="24"/>
        </w:rPr>
      </w:pPr>
      <w:r w:rsidRPr="00E066E9">
        <w:rPr>
          <w:rFonts w:ascii="Tahoma" w:hAnsi="Tahoma" w:cs="Tahoma"/>
          <w:sz w:val="24"/>
          <w:szCs w:val="24"/>
        </w:rPr>
        <w:t>Sin lugar a costas en esta instancia por cuanto no se causaron.</w:t>
      </w:r>
    </w:p>
    <w:p w:rsidR="00363A7E" w:rsidRPr="00363A7E" w:rsidRDefault="00363A7E" w:rsidP="00363A7E">
      <w:pPr>
        <w:pStyle w:val="Sinespaciado"/>
      </w:pPr>
    </w:p>
    <w:p w:rsidR="00B415A5" w:rsidRPr="001875D7" w:rsidRDefault="00B415A5" w:rsidP="00B4606C">
      <w:pPr>
        <w:spacing w:after="0"/>
        <w:ind w:firstLine="708"/>
        <w:jc w:val="both"/>
        <w:rPr>
          <w:rFonts w:ascii="Tahoma" w:hAnsi="Tahoma" w:cs="Tahoma"/>
          <w:sz w:val="24"/>
          <w:szCs w:val="24"/>
        </w:rPr>
      </w:pPr>
      <w:r w:rsidRPr="001875D7">
        <w:rPr>
          <w:rFonts w:ascii="Tahoma" w:hAnsi="Tahoma" w:cs="Tahoma"/>
          <w:sz w:val="24"/>
          <w:szCs w:val="24"/>
        </w:rPr>
        <w:t xml:space="preserve">En mérito de lo expuesto, la </w:t>
      </w:r>
      <w:r w:rsidRPr="001875D7">
        <w:rPr>
          <w:rFonts w:ascii="Tahoma" w:hAnsi="Tahoma" w:cs="Tahoma"/>
          <w:b/>
          <w:sz w:val="24"/>
          <w:szCs w:val="24"/>
        </w:rPr>
        <w:t>Sala de Decisión Laboral del Tribunal Superior de Pereira</w:t>
      </w:r>
      <w:r w:rsidRPr="001875D7">
        <w:rPr>
          <w:rFonts w:ascii="Tahoma" w:hAnsi="Tahoma" w:cs="Tahoma"/>
          <w:sz w:val="24"/>
          <w:szCs w:val="24"/>
        </w:rPr>
        <w:t xml:space="preserve">, </w:t>
      </w:r>
    </w:p>
    <w:p w:rsidR="00B415A5" w:rsidRPr="00942DC8" w:rsidRDefault="00B415A5" w:rsidP="00942DC8">
      <w:pPr>
        <w:pStyle w:val="Sinespaciado"/>
      </w:pPr>
    </w:p>
    <w:p w:rsidR="00B415A5" w:rsidRPr="001875D7" w:rsidRDefault="00B415A5" w:rsidP="00DC3FED">
      <w:pPr>
        <w:pStyle w:val="Textoindependiente"/>
        <w:spacing w:line="276" w:lineRule="auto"/>
        <w:jc w:val="center"/>
        <w:rPr>
          <w:rFonts w:ascii="Tahoma" w:hAnsi="Tahoma" w:cs="Tahoma"/>
          <w:b/>
          <w:sz w:val="24"/>
          <w:szCs w:val="24"/>
        </w:rPr>
      </w:pPr>
      <w:r w:rsidRPr="001875D7">
        <w:rPr>
          <w:rFonts w:ascii="Tahoma" w:hAnsi="Tahoma" w:cs="Tahoma"/>
          <w:b/>
          <w:sz w:val="24"/>
          <w:szCs w:val="24"/>
        </w:rPr>
        <w:t>RESUELVE</w:t>
      </w:r>
    </w:p>
    <w:p w:rsidR="00B415A5" w:rsidRPr="00942DC8" w:rsidRDefault="00B415A5" w:rsidP="00942DC8">
      <w:pPr>
        <w:pStyle w:val="Sinespaciado"/>
      </w:pPr>
    </w:p>
    <w:p w:rsidR="002151E7" w:rsidRPr="00E066E9" w:rsidRDefault="00613A72" w:rsidP="00DC3FED">
      <w:pPr>
        <w:spacing w:after="0"/>
        <w:jc w:val="both"/>
        <w:rPr>
          <w:rFonts w:ascii="Tahoma" w:hAnsi="Tahoma" w:cs="Tahoma"/>
          <w:b/>
          <w:sz w:val="24"/>
          <w:szCs w:val="24"/>
        </w:rPr>
      </w:pPr>
      <w:r w:rsidRPr="001875D7">
        <w:rPr>
          <w:rFonts w:ascii="Tahoma" w:hAnsi="Tahoma" w:cs="Tahoma"/>
          <w:b/>
          <w:sz w:val="24"/>
          <w:szCs w:val="24"/>
        </w:rPr>
        <w:tab/>
      </w:r>
      <w:r w:rsidR="00B415A5" w:rsidRPr="001875D7">
        <w:rPr>
          <w:rFonts w:ascii="Tahoma" w:hAnsi="Tahoma" w:cs="Tahoma"/>
          <w:b/>
          <w:sz w:val="24"/>
          <w:szCs w:val="24"/>
        </w:rPr>
        <w:t xml:space="preserve">PRIMERO: </w:t>
      </w:r>
      <w:r w:rsidR="008A7D50">
        <w:rPr>
          <w:rFonts w:ascii="Tahoma" w:hAnsi="Tahoma" w:cs="Tahoma"/>
          <w:b/>
          <w:sz w:val="24"/>
          <w:szCs w:val="24"/>
        </w:rPr>
        <w:t>CONFIRMA</w:t>
      </w:r>
      <w:r w:rsidR="00E9182D">
        <w:rPr>
          <w:rFonts w:ascii="Tahoma" w:hAnsi="Tahoma" w:cs="Tahoma"/>
          <w:b/>
          <w:sz w:val="24"/>
          <w:szCs w:val="24"/>
        </w:rPr>
        <w:t>R</w:t>
      </w:r>
      <w:r w:rsidR="00E066E9">
        <w:rPr>
          <w:rFonts w:ascii="Tahoma" w:hAnsi="Tahoma" w:cs="Tahoma"/>
          <w:b/>
          <w:sz w:val="24"/>
          <w:szCs w:val="24"/>
        </w:rPr>
        <w:t xml:space="preserve"> </w:t>
      </w:r>
      <w:r w:rsidR="00E066E9" w:rsidRPr="00E066E9">
        <w:rPr>
          <w:rFonts w:ascii="Tahoma" w:hAnsi="Tahoma" w:cs="Tahoma"/>
          <w:sz w:val="24"/>
          <w:szCs w:val="24"/>
        </w:rPr>
        <w:t>el auto proferido el 2 de febrero de 2016 por el Juzgado Quinto Laboral del Circuito</w:t>
      </w:r>
      <w:r w:rsidR="00E066E9">
        <w:rPr>
          <w:rFonts w:ascii="Tahoma" w:hAnsi="Tahoma" w:cs="Tahoma"/>
          <w:sz w:val="24"/>
          <w:szCs w:val="24"/>
        </w:rPr>
        <w:t xml:space="preserve"> de Pereira, dentro del proceso ordinario laboral instaurado por </w:t>
      </w:r>
      <w:r w:rsidR="00E066E9" w:rsidRPr="00E066E9">
        <w:rPr>
          <w:rFonts w:ascii="Tahoma" w:hAnsi="Tahoma" w:cs="Tahoma"/>
          <w:b/>
          <w:sz w:val="24"/>
          <w:szCs w:val="24"/>
        </w:rPr>
        <w:t xml:space="preserve">Ángela María Ramírez </w:t>
      </w:r>
      <w:proofErr w:type="spellStart"/>
      <w:r w:rsidR="00E066E9" w:rsidRPr="00E066E9">
        <w:rPr>
          <w:rFonts w:ascii="Tahoma" w:hAnsi="Tahoma" w:cs="Tahoma"/>
          <w:b/>
          <w:sz w:val="24"/>
          <w:szCs w:val="24"/>
        </w:rPr>
        <w:t>Ramírez</w:t>
      </w:r>
      <w:proofErr w:type="spellEnd"/>
      <w:r w:rsidR="00E066E9">
        <w:rPr>
          <w:rFonts w:ascii="Tahoma" w:hAnsi="Tahoma" w:cs="Tahoma"/>
          <w:sz w:val="24"/>
          <w:szCs w:val="24"/>
        </w:rPr>
        <w:t xml:space="preserve"> en contra de </w:t>
      </w:r>
      <w:r w:rsidR="00E066E9" w:rsidRPr="00E066E9">
        <w:rPr>
          <w:rFonts w:ascii="Tahoma" w:hAnsi="Tahoma" w:cs="Tahoma"/>
          <w:b/>
          <w:sz w:val="24"/>
          <w:szCs w:val="24"/>
        </w:rPr>
        <w:t>Nueva EPS S.A</w:t>
      </w:r>
      <w:r w:rsidR="00E066E9">
        <w:rPr>
          <w:rFonts w:ascii="Tahoma" w:hAnsi="Tahoma" w:cs="Tahoma"/>
          <w:sz w:val="24"/>
          <w:szCs w:val="24"/>
        </w:rPr>
        <w:t xml:space="preserve">. y </w:t>
      </w:r>
      <w:r w:rsidR="00E066E9" w:rsidRPr="00E066E9">
        <w:rPr>
          <w:rFonts w:ascii="Tahoma" w:hAnsi="Tahoma" w:cs="Tahoma"/>
          <w:b/>
          <w:sz w:val="24"/>
          <w:szCs w:val="24"/>
        </w:rPr>
        <w:t>Policlínico Eje Salud S.A.S.</w:t>
      </w:r>
      <w:r w:rsidR="00E9182D">
        <w:rPr>
          <w:rFonts w:ascii="Tahoma" w:hAnsi="Tahoma" w:cs="Tahoma"/>
          <w:b/>
          <w:sz w:val="24"/>
          <w:szCs w:val="24"/>
        </w:rPr>
        <w:t xml:space="preserve"> </w:t>
      </w:r>
    </w:p>
    <w:p w:rsidR="002151E7" w:rsidRPr="00942DC8" w:rsidRDefault="002151E7" w:rsidP="00942DC8">
      <w:pPr>
        <w:pStyle w:val="Sinespaciado"/>
      </w:pPr>
    </w:p>
    <w:p w:rsidR="00E9182D" w:rsidRDefault="00D60457" w:rsidP="00BA4613">
      <w:pPr>
        <w:spacing w:after="0"/>
        <w:ind w:firstLine="708"/>
        <w:jc w:val="both"/>
        <w:rPr>
          <w:rFonts w:ascii="Tahoma" w:hAnsi="Tahoma" w:cs="Tahoma"/>
          <w:b/>
          <w:sz w:val="24"/>
          <w:szCs w:val="24"/>
        </w:rPr>
      </w:pPr>
      <w:r>
        <w:rPr>
          <w:rFonts w:ascii="Tahoma" w:hAnsi="Tahoma" w:cs="Tahoma"/>
          <w:b/>
          <w:sz w:val="24"/>
          <w:szCs w:val="24"/>
        </w:rPr>
        <w:t>SEGUNDO</w:t>
      </w:r>
      <w:r w:rsidR="002151E7" w:rsidRPr="001875D7">
        <w:rPr>
          <w:rFonts w:ascii="Tahoma" w:hAnsi="Tahoma" w:cs="Tahoma"/>
          <w:b/>
          <w:sz w:val="24"/>
          <w:szCs w:val="24"/>
        </w:rPr>
        <w:t xml:space="preserve">: </w:t>
      </w:r>
      <w:r w:rsidR="008A7D50">
        <w:rPr>
          <w:rFonts w:ascii="Tahoma" w:hAnsi="Tahoma" w:cs="Tahoma"/>
          <w:sz w:val="24"/>
          <w:szCs w:val="24"/>
        </w:rPr>
        <w:t>S</w:t>
      </w:r>
      <w:r w:rsidR="008A7D50" w:rsidRPr="00E066E9">
        <w:rPr>
          <w:rFonts w:ascii="Tahoma" w:hAnsi="Tahoma" w:cs="Tahoma"/>
          <w:sz w:val="24"/>
          <w:szCs w:val="24"/>
        </w:rPr>
        <w:t>in lugar a costas en esta instancia por cuanto no se causaron.</w:t>
      </w:r>
    </w:p>
    <w:p w:rsidR="00E9182D" w:rsidRDefault="00E9182D" w:rsidP="00E066E9">
      <w:pPr>
        <w:spacing w:after="0"/>
        <w:ind w:firstLine="709"/>
        <w:jc w:val="both"/>
        <w:rPr>
          <w:rFonts w:ascii="Tahoma" w:hAnsi="Tahoma" w:cs="Tahoma"/>
          <w:b/>
          <w:sz w:val="24"/>
          <w:szCs w:val="24"/>
        </w:rPr>
      </w:pPr>
    </w:p>
    <w:p w:rsidR="00B415A5" w:rsidRPr="001875D7" w:rsidRDefault="00B415A5" w:rsidP="00DC3FED">
      <w:pPr>
        <w:spacing w:after="0"/>
        <w:jc w:val="both"/>
        <w:rPr>
          <w:rFonts w:ascii="Tahoma" w:hAnsi="Tahoma" w:cs="Tahoma"/>
          <w:sz w:val="24"/>
          <w:szCs w:val="24"/>
        </w:rPr>
      </w:pPr>
    </w:p>
    <w:p w:rsidR="00B415A5" w:rsidRPr="001875D7" w:rsidRDefault="00B415A5" w:rsidP="00DC3FED">
      <w:pPr>
        <w:widowControl w:val="0"/>
        <w:autoSpaceDE w:val="0"/>
        <w:autoSpaceDN w:val="0"/>
        <w:adjustRightInd w:val="0"/>
        <w:spacing w:after="0"/>
        <w:jc w:val="center"/>
        <w:rPr>
          <w:rFonts w:ascii="Tahoma" w:hAnsi="Tahoma" w:cs="Tahoma"/>
          <w:b/>
          <w:sz w:val="24"/>
          <w:szCs w:val="24"/>
        </w:rPr>
      </w:pPr>
      <w:r w:rsidRPr="001875D7">
        <w:rPr>
          <w:rFonts w:ascii="Tahoma" w:hAnsi="Tahoma" w:cs="Tahoma"/>
          <w:b/>
          <w:sz w:val="24"/>
          <w:szCs w:val="24"/>
        </w:rPr>
        <w:t>Notifíquese</w:t>
      </w:r>
      <w:r w:rsidR="002151E7" w:rsidRPr="001875D7">
        <w:rPr>
          <w:rFonts w:ascii="Tahoma" w:hAnsi="Tahoma" w:cs="Tahoma"/>
          <w:b/>
          <w:sz w:val="24"/>
          <w:szCs w:val="24"/>
        </w:rPr>
        <w:t xml:space="preserve"> y Cúmplase</w:t>
      </w:r>
    </w:p>
    <w:p w:rsidR="00B415A5" w:rsidRPr="001875D7" w:rsidRDefault="00B415A5" w:rsidP="00DC3FED">
      <w:pPr>
        <w:widowControl w:val="0"/>
        <w:autoSpaceDE w:val="0"/>
        <w:autoSpaceDN w:val="0"/>
        <w:adjustRightInd w:val="0"/>
        <w:spacing w:after="0"/>
        <w:jc w:val="both"/>
        <w:rPr>
          <w:rFonts w:ascii="Tahoma" w:hAnsi="Tahoma" w:cs="Tahoma"/>
          <w:sz w:val="24"/>
          <w:szCs w:val="24"/>
        </w:rPr>
      </w:pPr>
    </w:p>
    <w:p w:rsidR="00194378" w:rsidRPr="001875D7" w:rsidRDefault="00194378" w:rsidP="00DC3FED">
      <w:pPr>
        <w:ind w:left="785"/>
        <w:jc w:val="both"/>
        <w:rPr>
          <w:rFonts w:ascii="Tahoma" w:hAnsi="Tahoma" w:cs="Tahoma"/>
          <w:sz w:val="24"/>
          <w:szCs w:val="24"/>
        </w:rPr>
      </w:pPr>
      <w:r w:rsidRPr="001875D7">
        <w:rPr>
          <w:rFonts w:ascii="Tahoma" w:hAnsi="Tahoma" w:cs="Tahoma"/>
          <w:sz w:val="24"/>
          <w:szCs w:val="24"/>
        </w:rPr>
        <w:t>La Magistrada,</w:t>
      </w:r>
    </w:p>
    <w:p w:rsidR="00D87154" w:rsidRPr="001875D7" w:rsidRDefault="00194378" w:rsidP="00DC3FED">
      <w:pPr>
        <w:ind w:left="785"/>
        <w:jc w:val="both"/>
        <w:rPr>
          <w:rFonts w:ascii="Tahoma" w:hAnsi="Tahoma" w:cs="Tahoma"/>
          <w:sz w:val="24"/>
          <w:szCs w:val="24"/>
        </w:rPr>
      </w:pPr>
      <w:r w:rsidRPr="001875D7">
        <w:rPr>
          <w:rFonts w:ascii="Tahoma" w:hAnsi="Tahoma" w:cs="Tahoma"/>
          <w:sz w:val="24"/>
          <w:szCs w:val="24"/>
        </w:rPr>
        <w:t xml:space="preserve"> </w:t>
      </w:r>
    </w:p>
    <w:p w:rsidR="008757B2" w:rsidRDefault="00194378" w:rsidP="008757B2">
      <w:pPr>
        <w:ind w:left="360"/>
        <w:jc w:val="center"/>
        <w:rPr>
          <w:rFonts w:ascii="Tahoma" w:hAnsi="Tahoma" w:cs="Tahoma"/>
          <w:b/>
          <w:sz w:val="24"/>
          <w:szCs w:val="24"/>
        </w:rPr>
      </w:pPr>
      <w:r w:rsidRPr="001875D7">
        <w:rPr>
          <w:rFonts w:ascii="Tahoma" w:hAnsi="Tahoma" w:cs="Tahoma"/>
          <w:b/>
          <w:sz w:val="24"/>
          <w:szCs w:val="24"/>
        </w:rPr>
        <w:t>ANA LUCÍA CAICEDO CALDERÓN</w:t>
      </w:r>
    </w:p>
    <w:p w:rsidR="00194378" w:rsidRPr="001875D7" w:rsidRDefault="00194378" w:rsidP="008757B2">
      <w:pPr>
        <w:ind w:left="360"/>
        <w:rPr>
          <w:rFonts w:ascii="Tahoma" w:hAnsi="Tahoma" w:cs="Tahoma"/>
          <w:sz w:val="24"/>
          <w:szCs w:val="24"/>
        </w:rPr>
      </w:pPr>
      <w:r w:rsidRPr="001875D7">
        <w:rPr>
          <w:rFonts w:ascii="Tahoma" w:hAnsi="Tahoma" w:cs="Tahoma"/>
          <w:b/>
          <w:sz w:val="24"/>
          <w:szCs w:val="24"/>
        </w:rPr>
        <w:tab/>
      </w:r>
      <w:r w:rsidRPr="001875D7">
        <w:rPr>
          <w:rFonts w:ascii="Tahoma" w:hAnsi="Tahoma" w:cs="Tahoma"/>
          <w:sz w:val="24"/>
          <w:szCs w:val="24"/>
        </w:rPr>
        <w:t>Los Magistrados,</w:t>
      </w:r>
    </w:p>
    <w:p w:rsidR="00DE1EFD" w:rsidRDefault="00DE1EFD" w:rsidP="00DC3FED">
      <w:pPr>
        <w:tabs>
          <w:tab w:val="left" w:pos="3960"/>
        </w:tabs>
        <w:jc w:val="center"/>
        <w:rPr>
          <w:rFonts w:ascii="Tahoma" w:hAnsi="Tahoma" w:cs="Tahoma"/>
          <w:b/>
          <w:sz w:val="24"/>
          <w:szCs w:val="24"/>
        </w:rPr>
      </w:pPr>
    </w:p>
    <w:p w:rsidR="00942DC8" w:rsidRPr="001875D7" w:rsidRDefault="00942DC8" w:rsidP="00DC3FED">
      <w:pPr>
        <w:tabs>
          <w:tab w:val="left" w:pos="3960"/>
        </w:tabs>
        <w:jc w:val="center"/>
        <w:rPr>
          <w:rFonts w:ascii="Tahoma" w:hAnsi="Tahoma" w:cs="Tahoma"/>
          <w:b/>
          <w:sz w:val="24"/>
          <w:szCs w:val="24"/>
        </w:rPr>
      </w:pPr>
    </w:p>
    <w:p w:rsidR="00194378" w:rsidRPr="001875D7" w:rsidRDefault="00194378" w:rsidP="00DC3FED">
      <w:pPr>
        <w:tabs>
          <w:tab w:val="left" w:pos="3960"/>
        </w:tabs>
        <w:jc w:val="center"/>
        <w:rPr>
          <w:rFonts w:ascii="Tahoma" w:hAnsi="Tahoma" w:cs="Tahoma"/>
          <w:b/>
          <w:sz w:val="24"/>
          <w:szCs w:val="24"/>
        </w:rPr>
      </w:pPr>
      <w:r w:rsidRPr="001875D7">
        <w:rPr>
          <w:rFonts w:ascii="Tahoma" w:hAnsi="Tahoma" w:cs="Tahoma"/>
          <w:b/>
          <w:sz w:val="24"/>
          <w:szCs w:val="24"/>
        </w:rPr>
        <w:t>JULIO C</w:t>
      </w:r>
      <w:r w:rsidR="00F93B19">
        <w:rPr>
          <w:rFonts w:ascii="Tahoma" w:hAnsi="Tahoma" w:cs="Tahoma"/>
          <w:b/>
          <w:sz w:val="24"/>
          <w:szCs w:val="24"/>
        </w:rPr>
        <w:t>É</w:t>
      </w:r>
      <w:r w:rsidRPr="001875D7">
        <w:rPr>
          <w:rFonts w:ascii="Tahoma" w:hAnsi="Tahoma" w:cs="Tahoma"/>
          <w:b/>
          <w:sz w:val="24"/>
          <w:szCs w:val="24"/>
        </w:rPr>
        <w:t xml:space="preserve">SAR SALAZAR MUÑOZ   </w:t>
      </w:r>
      <w:r w:rsidR="00F93B19">
        <w:rPr>
          <w:rFonts w:ascii="Tahoma" w:hAnsi="Tahoma" w:cs="Tahoma"/>
          <w:b/>
          <w:sz w:val="24"/>
          <w:szCs w:val="24"/>
        </w:rPr>
        <w:t xml:space="preserve">        </w:t>
      </w:r>
      <w:r w:rsidRPr="001875D7">
        <w:rPr>
          <w:rFonts w:ascii="Tahoma" w:hAnsi="Tahoma" w:cs="Tahoma"/>
          <w:b/>
          <w:sz w:val="24"/>
          <w:szCs w:val="24"/>
        </w:rPr>
        <w:t xml:space="preserve">  FRANCISCO JAVIER TAMAYO TABARES </w:t>
      </w:r>
    </w:p>
    <w:p w:rsidR="00B4606C" w:rsidRDefault="00B4606C" w:rsidP="00E066E9">
      <w:pPr>
        <w:tabs>
          <w:tab w:val="left" w:pos="3960"/>
        </w:tabs>
        <w:jc w:val="center"/>
        <w:rPr>
          <w:rFonts w:ascii="Tahoma" w:hAnsi="Tahoma" w:cs="Tahoma"/>
          <w:b/>
          <w:bCs/>
          <w:spacing w:val="2"/>
          <w:sz w:val="24"/>
          <w:szCs w:val="24"/>
        </w:rPr>
      </w:pPr>
    </w:p>
    <w:p w:rsidR="00942DC8" w:rsidRDefault="00942DC8" w:rsidP="00E066E9">
      <w:pPr>
        <w:tabs>
          <w:tab w:val="left" w:pos="3960"/>
        </w:tabs>
        <w:jc w:val="center"/>
        <w:rPr>
          <w:rFonts w:ascii="Tahoma" w:hAnsi="Tahoma" w:cs="Tahoma"/>
          <w:b/>
          <w:bCs/>
          <w:spacing w:val="2"/>
          <w:sz w:val="24"/>
          <w:szCs w:val="24"/>
        </w:rPr>
      </w:pPr>
    </w:p>
    <w:p w:rsidR="00B4606C" w:rsidRPr="002243F1" w:rsidRDefault="00B4606C" w:rsidP="00B4606C">
      <w:pPr>
        <w:spacing w:after="0"/>
        <w:jc w:val="center"/>
        <w:rPr>
          <w:rFonts w:ascii="Tahoma" w:hAnsi="Tahoma" w:cs="Tahoma"/>
          <w:b/>
          <w:sz w:val="24"/>
          <w:szCs w:val="24"/>
        </w:rPr>
      </w:pPr>
      <w:r>
        <w:rPr>
          <w:rFonts w:ascii="Tahoma" w:hAnsi="Tahoma" w:cs="Tahoma"/>
          <w:b/>
          <w:sz w:val="24"/>
          <w:szCs w:val="24"/>
        </w:rPr>
        <w:t>LEONARDO CORTÉS PÉREZ</w:t>
      </w:r>
    </w:p>
    <w:p w:rsidR="00B4606C" w:rsidRPr="00BB234B" w:rsidRDefault="00B4606C" w:rsidP="00B4606C">
      <w:pPr>
        <w:spacing w:after="0"/>
        <w:jc w:val="center"/>
        <w:rPr>
          <w:rFonts w:ascii="Tahoma" w:hAnsi="Tahoma" w:cs="Tahoma"/>
          <w:b/>
          <w:sz w:val="24"/>
          <w:szCs w:val="24"/>
        </w:rPr>
      </w:pPr>
      <w:r>
        <w:rPr>
          <w:rFonts w:ascii="Tahoma" w:hAnsi="Tahoma" w:cs="Tahoma"/>
          <w:b/>
          <w:sz w:val="24"/>
          <w:szCs w:val="24"/>
        </w:rPr>
        <w:t>Secretario</w:t>
      </w:r>
    </w:p>
    <w:p w:rsidR="00D9634D" w:rsidRPr="001875D7" w:rsidRDefault="00D9634D" w:rsidP="00B4606C">
      <w:pPr>
        <w:rPr>
          <w:rFonts w:ascii="Tahoma" w:hAnsi="Tahoma" w:cs="Tahoma"/>
          <w:sz w:val="24"/>
          <w:szCs w:val="24"/>
        </w:rPr>
      </w:pPr>
    </w:p>
    <w:sectPr w:rsidR="00D9634D" w:rsidRPr="001875D7" w:rsidSect="00DE1EFD">
      <w:headerReference w:type="default" r:id="rId8"/>
      <w:footerReference w:type="default" r:id="rId9"/>
      <w:pgSz w:w="12242" w:h="18722" w:code="12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0C" w:rsidRDefault="00EF3C0C" w:rsidP="00B415A5">
      <w:pPr>
        <w:spacing w:after="0" w:line="240" w:lineRule="auto"/>
      </w:pPr>
      <w:r>
        <w:separator/>
      </w:r>
    </w:p>
  </w:endnote>
  <w:endnote w:type="continuationSeparator" w:id="0">
    <w:p w:rsidR="00EF3C0C" w:rsidRDefault="00EF3C0C" w:rsidP="00B4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F1" w:rsidRDefault="00CF67E7">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C7316B" w:rsidRPr="00C7316B">
      <w:rPr>
        <w:rFonts w:ascii="Arial" w:hAnsi="Arial" w:cs="Arial"/>
        <w:noProof/>
        <w:sz w:val="20"/>
        <w:szCs w:val="20"/>
        <w:lang w:val="es-ES"/>
      </w:rPr>
      <w:t>5</w:t>
    </w:r>
    <w:r>
      <w:rPr>
        <w:rFonts w:ascii="Arial" w:hAnsi="Arial" w:cs="Arial"/>
        <w:sz w:val="20"/>
        <w:szCs w:val="20"/>
      </w:rPr>
      <w:fldChar w:fldCharType="end"/>
    </w:r>
  </w:p>
  <w:p w:rsidR="009E5DF1" w:rsidRDefault="00EF3C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0C" w:rsidRDefault="00EF3C0C" w:rsidP="00B415A5">
      <w:pPr>
        <w:spacing w:after="0" w:line="240" w:lineRule="auto"/>
      </w:pPr>
      <w:r>
        <w:separator/>
      </w:r>
    </w:p>
  </w:footnote>
  <w:footnote w:type="continuationSeparator" w:id="0">
    <w:p w:rsidR="00EF3C0C" w:rsidRDefault="00EF3C0C" w:rsidP="00B415A5">
      <w:pPr>
        <w:spacing w:after="0" w:line="240" w:lineRule="auto"/>
      </w:pPr>
      <w:r>
        <w:continuationSeparator/>
      </w:r>
    </w:p>
  </w:footnote>
  <w:footnote w:id="1">
    <w:p w:rsidR="005B5051" w:rsidRPr="004028CE" w:rsidRDefault="005B5051" w:rsidP="005B5051">
      <w:pPr>
        <w:pStyle w:val="Ttulo4"/>
        <w:widowControl w:val="0"/>
        <w:jc w:val="both"/>
        <w:rPr>
          <w:sz w:val="16"/>
          <w:szCs w:val="16"/>
        </w:rPr>
      </w:pPr>
      <w:r w:rsidRPr="004028CE">
        <w:rPr>
          <w:rStyle w:val="Refdenotaalpie"/>
          <w:sz w:val="16"/>
          <w:szCs w:val="16"/>
        </w:rPr>
        <w:footnoteRef/>
      </w:r>
      <w:r w:rsidRPr="004028CE">
        <w:rPr>
          <w:sz w:val="16"/>
          <w:szCs w:val="16"/>
        </w:rPr>
        <w:t xml:space="preserve"> </w:t>
      </w:r>
      <w:r w:rsidR="00B9218F" w:rsidRPr="004028CE">
        <w:rPr>
          <w:b w:val="0"/>
          <w:sz w:val="16"/>
          <w:szCs w:val="16"/>
        </w:rPr>
        <w:t xml:space="preserve">Corte Constitucional, </w:t>
      </w:r>
      <w:r w:rsidRPr="004028CE">
        <w:rPr>
          <w:b w:val="0"/>
          <w:sz w:val="16"/>
          <w:szCs w:val="16"/>
        </w:rPr>
        <w:t>Sentencia C-792</w:t>
      </w:r>
      <w:r w:rsidR="00B9218F" w:rsidRPr="004028CE">
        <w:rPr>
          <w:b w:val="0"/>
          <w:sz w:val="16"/>
          <w:szCs w:val="16"/>
        </w:rPr>
        <w:t xml:space="preserve"> de 20</w:t>
      </w:r>
      <w:r w:rsidRPr="004028CE">
        <w:rPr>
          <w:b w:val="0"/>
          <w:sz w:val="16"/>
          <w:szCs w:val="16"/>
        </w:rPr>
        <w:t>06</w:t>
      </w:r>
    </w:p>
    <w:p w:rsidR="005B5051" w:rsidRPr="004028CE" w:rsidRDefault="005B5051">
      <w:pPr>
        <w:pStyle w:val="Textonotapie"/>
        <w:rPr>
          <w:sz w:val="16"/>
          <w:szCs w:val="16"/>
        </w:rPr>
      </w:pPr>
    </w:p>
  </w:footnote>
  <w:footnote w:id="2">
    <w:p w:rsidR="004028CE" w:rsidRPr="004028CE" w:rsidRDefault="004028CE" w:rsidP="004028CE">
      <w:pPr>
        <w:pStyle w:val="Textonotapie"/>
        <w:jc w:val="both"/>
        <w:rPr>
          <w:sz w:val="16"/>
          <w:szCs w:val="16"/>
          <w:lang w:val="es-CO"/>
        </w:rPr>
      </w:pPr>
      <w:r w:rsidRPr="004028CE">
        <w:rPr>
          <w:rStyle w:val="Refdenotaalpie"/>
          <w:sz w:val="16"/>
          <w:szCs w:val="16"/>
        </w:rPr>
        <w:footnoteRef/>
      </w:r>
      <w:r w:rsidRPr="004028CE">
        <w:rPr>
          <w:sz w:val="16"/>
          <w:szCs w:val="16"/>
        </w:rPr>
        <w:t xml:space="preserve"> </w:t>
      </w:r>
      <w:r w:rsidRPr="004028CE">
        <w:rPr>
          <w:sz w:val="16"/>
          <w:szCs w:val="16"/>
          <w:lang w:val="es-CO"/>
        </w:rPr>
        <w:t xml:space="preserve">Algún sector de la doctrina hace ver que sin este elemento y sin la intervención en la administración de la sociedad no es posible hablar de la existencia de una sociedad de economía mixta, por lo cual la sola propiedad pública de acciones de una sociedad, o la simple inversión de capitales por parte del Estado en una compañía mercantil no determina que la misma sea “de economía mixta”, siendo necesario que una o varias personas pública concurran en la formación de la sociedad y en la administración de la misma. Ver: GASPAR CABALLERO SIERRA,  en “Las entidades descentralizadas en el derecho administrativo, Bogotá Edit. Temis, 1972. Citado por LIBARDO RODRÍGUEZ en “la estructura del poder público en Colombia”, Edit. Temis, Bogotá  2004. Pág. 109. </w:t>
      </w:r>
    </w:p>
    <w:p w:rsidR="004028CE" w:rsidRPr="004028CE" w:rsidRDefault="004028CE" w:rsidP="004028CE">
      <w:pPr>
        <w:pStyle w:val="Textonotapie"/>
        <w:jc w:val="both"/>
        <w:rPr>
          <w:sz w:val="16"/>
          <w:szCs w:val="16"/>
        </w:rPr>
      </w:pPr>
    </w:p>
  </w:footnote>
  <w:footnote w:id="3">
    <w:p w:rsidR="004028CE" w:rsidRPr="004028CE" w:rsidRDefault="004028CE">
      <w:pPr>
        <w:pStyle w:val="Textonotapie"/>
      </w:pPr>
      <w:r w:rsidRPr="004028CE">
        <w:rPr>
          <w:rStyle w:val="Refdenotaalpie"/>
          <w:sz w:val="16"/>
          <w:szCs w:val="16"/>
        </w:rPr>
        <w:footnoteRef/>
      </w:r>
      <w:r w:rsidRPr="004028CE">
        <w:rPr>
          <w:sz w:val="16"/>
          <w:szCs w:val="16"/>
        </w:rPr>
        <w:t xml:space="preserve"> Corte  Constitucional</w:t>
      </w:r>
      <w:r>
        <w:rPr>
          <w:sz w:val="16"/>
          <w:szCs w:val="16"/>
        </w:rPr>
        <w:t>,</w:t>
      </w:r>
      <w:r w:rsidRPr="004028CE">
        <w:rPr>
          <w:sz w:val="16"/>
          <w:szCs w:val="16"/>
        </w:rPr>
        <w:t xml:space="preserve"> Sentenci</w:t>
      </w:r>
      <w:r w:rsidRPr="004028CE">
        <w:rPr>
          <w:sz w:val="16"/>
          <w:szCs w:val="16"/>
        </w:rPr>
        <w:t>a C-736 de 2007</w:t>
      </w:r>
      <w:r w:rsidRPr="004028CE">
        <w:rPr>
          <w:sz w:val="16"/>
          <w:szCs w:val="16"/>
        </w:rPr>
        <w:t>.</w:t>
      </w:r>
    </w:p>
  </w:footnote>
  <w:footnote w:id="4">
    <w:p w:rsidR="00C53BA2" w:rsidRDefault="00C53BA2" w:rsidP="005541FD">
      <w:pPr>
        <w:pStyle w:val="Textonotapie"/>
        <w:jc w:val="both"/>
        <w:rPr>
          <w:sz w:val="16"/>
          <w:szCs w:val="16"/>
        </w:rPr>
      </w:pPr>
      <w:r w:rsidRPr="005541FD">
        <w:rPr>
          <w:rStyle w:val="Refdenotaalpie"/>
          <w:sz w:val="16"/>
          <w:szCs w:val="16"/>
        </w:rPr>
        <w:footnoteRef/>
      </w:r>
      <w:r w:rsidRPr="005541FD">
        <w:rPr>
          <w:sz w:val="16"/>
          <w:szCs w:val="16"/>
        </w:rPr>
        <w:t xml:space="preserve"> La constitución del a Nueva EPS mediante escritura pública se dio el 22 de marzo de 2007 y el Estado ingreso a través de Positiva Seguros S. A. el 8 de abril de 2008.</w:t>
      </w:r>
    </w:p>
    <w:p w:rsidR="00AB0FD8" w:rsidRPr="005541FD" w:rsidRDefault="00AB0FD8" w:rsidP="005541FD">
      <w:pPr>
        <w:pStyle w:val="Textonotapie"/>
        <w:jc w:val="both"/>
        <w:rPr>
          <w:sz w:val="16"/>
          <w:szCs w:val="16"/>
        </w:rPr>
      </w:pPr>
    </w:p>
  </w:footnote>
  <w:footnote w:id="5">
    <w:p w:rsidR="005B5051" w:rsidRPr="005541FD" w:rsidRDefault="005B5051" w:rsidP="005541FD">
      <w:pPr>
        <w:spacing w:after="0" w:line="240" w:lineRule="auto"/>
        <w:jc w:val="both"/>
        <w:rPr>
          <w:rFonts w:ascii="Times New Roman" w:hAnsi="Times New Roman"/>
          <w:i/>
          <w:iCs/>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w:t>
      </w:r>
      <w:r w:rsidRPr="005541FD">
        <w:rPr>
          <w:rFonts w:ascii="Times New Roman" w:hAnsi="Times New Roman"/>
          <w:b/>
          <w:bCs/>
          <w:i/>
          <w:iCs/>
          <w:sz w:val="16"/>
          <w:szCs w:val="16"/>
        </w:rPr>
        <w:t xml:space="preserve">ARTICULO 150. </w:t>
      </w:r>
      <w:r w:rsidRPr="005541FD">
        <w:rPr>
          <w:rFonts w:ascii="Times New Roman" w:hAnsi="Times New Roman"/>
          <w:i/>
          <w:iCs/>
          <w:sz w:val="16"/>
          <w:szCs w:val="16"/>
        </w:rPr>
        <w:t xml:space="preserve">Corresponde al Congreso hacer las leyes. Por medio de ellas ejerce las siguientes funciones: </w:t>
      </w:r>
    </w:p>
    <w:p w:rsidR="005B5051" w:rsidRDefault="005B5051" w:rsidP="005541FD">
      <w:pPr>
        <w:spacing w:after="0" w:line="240" w:lineRule="auto"/>
        <w:jc w:val="both"/>
        <w:rPr>
          <w:rFonts w:ascii="Times New Roman" w:hAnsi="Times New Roman"/>
          <w:i/>
          <w:iCs/>
          <w:sz w:val="16"/>
          <w:szCs w:val="16"/>
        </w:rPr>
      </w:pPr>
      <w:r w:rsidRPr="005541FD">
        <w:rPr>
          <w:rFonts w:ascii="Times New Roman" w:hAnsi="Times New Roman"/>
          <w:i/>
          <w:iCs/>
          <w:sz w:val="16"/>
          <w:szCs w:val="16"/>
        </w:rPr>
        <w:t xml:space="preserve">7. Determinar la estructura de la administración nacional </w:t>
      </w:r>
      <w:proofErr w:type="gramStart"/>
      <w:r w:rsidRPr="005541FD">
        <w:rPr>
          <w:rFonts w:ascii="Times New Roman" w:hAnsi="Times New Roman"/>
          <w:i/>
          <w:iCs/>
          <w:sz w:val="16"/>
          <w:szCs w:val="16"/>
        </w:rPr>
        <w:t>y …</w:t>
      </w:r>
      <w:proofErr w:type="gramEnd"/>
      <w:r w:rsidRPr="005541FD">
        <w:rPr>
          <w:rFonts w:ascii="Times New Roman" w:hAnsi="Times New Roman"/>
          <w:i/>
          <w:iCs/>
          <w:sz w:val="16"/>
          <w:szCs w:val="16"/>
        </w:rPr>
        <w:t xml:space="preserve"> crear o autorizar la constitución de empresas industriales y comerciales del estado y sociedades de economía mixta.</w:t>
      </w:r>
    </w:p>
    <w:p w:rsidR="00AB0FD8" w:rsidRPr="005541FD" w:rsidRDefault="00AB0FD8" w:rsidP="005541FD">
      <w:pPr>
        <w:spacing w:after="0" w:line="240" w:lineRule="auto"/>
        <w:jc w:val="both"/>
        <w:rPr>
          <w:rFonts w:ascii="Times New Roman" w:hAnsi="Times New Roman"/>
          <w:i/>
          <w:iCs/>
          <w:sz w:val="16"/>
          <w:szCs w:val="16"/>
        </w:rPr>
      </w:pPr>
    </w:p>
    <w:p w:rsidR="005B5051" w:rsidRPr="005541FD" w:rsidRDefault="005B5051" w:rsidP="005541FD">
      <w:pPr>
        <w:spacing w:after="0" w:line="240" w:lineRule="auto"/>
        <w:jc w:val="both"/>
        <w:rPr>
          <w:rFonts w:ascii="Times New Roman" w:hAnsi="Times New Roman"/>
          <w:b/>
          <w:bCs/>
          <w:i/>
          <w:iCs/>
          <w:sz w:val="16"/>
          <w:szCs w:val="16"/>
        </w:rPr>
      </w:pPr>
      <w:r w:rsidRPr="005541FD">
        <w:rPr>
          <w:rFonts w:ascii="Times New Roman" w:hAnsi="Times New Roman"/>
          <w:b/>
          <w:bCs/>
          <w:i/>
          <w:iCs/>
          <w:sz w:val="16"/>
          <w:szCs w:val="16"/>
        </w:rPr>
        <w:t>ARTICULO 300</w:t>
      </w:r>
      <w:r w:rsidRPr="005541FD">
        <w:rPr>
          <w:rFonts w:ascii="Times New Roman" w:hAnsi="Times New Roman"/>
          <w:i/>
          <w:iCs/>
          <w:sz w:val="16"/>
          <w:szCs w:val="16"/>
        </w:rPr>
        <w:t xml:space="preserve">.  </w:t>
      </w:r>
      <w:r w:rsidRPr="005541FD">
        <w:rPr>
          <w:rFonts w:ascii="Times New Roman" w:hAnsi="Times New Roman"/>
          <w:b/>
          <w:bCs/>
          <w:i/>
          <w:iCs/>
          <w:sz w:val="16"/>
          <w:szCs w:val="16"/>
        </w:rPr>
        <w:t>Modificado. Acto Legislativo 01 de 1996</w:t>
      </w:r>
    </w:p>
    <w:p w:rsidR="005B5051" w:rsidRPr="005541FD" w:rsidRDefault="005B5051" w:rsidP="005541FD">
      <w:pPr>
        <w:spacing w:after="0" w:line="240" w:lineRule="auto"/>
        <w:jc w:val="both"/>
        <w:rPr>
          <w:rFonts w:ascii="Times New Roman" w:hAnsi="Times New Roman"/>
          <w:i/>
          <w:iCs/>
          <w:sz w:val="16"/>
          <w:szCs w:val="16"/>
        </w:rPr>
      </w:pPr>
      <w:r w:rsidRPr="005541FD">
        <w:rPr>
          <w:rFonts w:ascii="Times New Roman" w:hAnsi="Times New Roman"/>
          <w:i/>
          <w:iCs/>
          <w:sz w:val="16"/>
          <w:szCs w:val="16"/>
        </w:rPr>
        <w:t>Corresponde a las Asambleas Departamentales, por medio de ordenanzas:</w:t>
      </w:r>
    </w:p>
    <w:p w:rsidR="005B5051" w:rsidRDefault="005B5051" w:rsidP="005541FD">
      <w:pPr>
        <w:spacing w:after="0" w:line="240" w:lineRule="auto"/>
        <w:jc w:val="both"/>
        <w:rPr>
          <w:rFonts w:ascii="Times New Roman" w:hAnsi="Times New Roman"/>
          <w:i/>
          <w:iCs/>
          <w:sz w:val="16"/>
          <w:szCs w:val="16"/>
        </w:rPr>
      </w:pPr>
      <w:r w:rsidRPr="005541FD">
        <w:rPr>
          <w:rFonts w:ascii="Times New Roman" w:hAnsi="Times New Roman"/>
          <w:i/>
          <w:iCs/>
          <w:sz w:val="16"/>
          <w:szCs w:val="16"/>
        </w:rPr>
        <w:t>7. Determinar la estructura de la Administración Departamental… y autorizar la formación de sociedades de economía mixta.</w:t>
      </w:r>
    </w:p>
    <w:p w:rsidR="00AB0FD8" w:rsidRPr="005541FD" w:rsidRDefault="00AB0FD8" w:rsidP="005541FD">
      <w:pPr>
        <w:spacing w:after="0" w:line="240" w:lineRule="auto"/>
        <w:jc w:val="both"/>
        <w:rPr>
          <w:rFonts w:ascii="Times New Roman" w:hAnsi="Times New Roman"/>
          <w:i/>
          <w:iCs/>
          <w:sz w:val="16"/>
          <w:szCs w:val="16"/>
        </w:rPr>
      </w:pPr>
    </w:p>
    <w:p w:rsidR="005B5051" w:rsidRPr="005541FD" w:rsidRDefault="005B5051" w:rsidP="005541FD">
      <w:pPr>
        <w:spacing w:after="0" w:line="240" w:lineRule="auto"/>
        <w:jc w:val="both"/>
        <w:rPr>
          <w:rFonts w:ascii="Times New Roman" w:hAnsi="Times New Roman"/>
          <w:i/>
          <w:iCs/>
          <w:sz w:val="16"/>
          <w:szCs w:val="16"/>
        </w:rPr>
      </w:pPr>
      <w:r w:rsidRPr="005541FD">
        <w:rPr>
          <w:rFonts w:ascii="Times New Roman" w:hAnsi="Times New Roman"/>
          <w:b/>
          <w:bCs/>
          <w:i/>
          <w:iCs/>
          <w:sz w:val="16"/>
          <w:szCs w:val="16"/>
        </w:rPr>
        <w:t xml:space="preserve">ARTICULO 313. </w:t>
      </w:r>
      <w:r w:rsidRPr="005541FD">
        <w:rPr>
          <w:rFonts w:ascii="Times New Roman" w:hAnsi="Times New Roman"/>
          <w:i/>
          <w:iCs/>
          <w:sz w:val="16"/>
          <w:szCs w:val="16"/>
        </w:rPr>
        <w:t xml:space="preserve">Corresponde a los concejos: </w:t>
      </w:r>
    </w:p>
    <w:p w:rsidR="005B5051" w:rsidRPr="005541FD" w:rsidRDefault="005B5051" w:rsidP="005541FD">
      <w:pPr>
        <w:spacing w:after="0" w:line="240" w:lineRule="auto"/>
        <w:jc w:val="both"/>
        <w:rPr>
          <w:rFonts w:ascii="Times New Roman" w:hAnsi="Times New Roman"/>
          <w:i/>
          <w:iCs/>
          <w:sz w:val="16"/>
          <w:szCs w:val="16"/>
        </w:rPr>
      </w:pPr>
      <w:r w:rsidRPr="005541FD">
        <w:rPr>
          <w:rFonts w:ascii="Times New Roman" w:hAnsi="Times New Roman"/>
          <w:i/>
          <w:iCs/>
          <w:sz w:val="16"/>
          <w:szCs w:val="16"/>
        </w:rPr>
        <w:t xml:space="preserve">6. Determinar la estructura de la administración municipal… y autorizar la constitución de sociedades de economía mixta.  </w:t>
      </w:r>
    </w:p>
    <w:p w:rsidR="005B5051" w:rsidRPr="005541FD" w:rsidRDefault="005B5051" w:rsidP="005541FD">
      <w:pPr>
        <w:spacing w:after="0" w:line="240" w:lineRule="auto"/>
        <w:jc w:val="both"/>
        <w:rPr>
          <w:rFonts w:ascii="Times New Roman" w:hAnsi="Times New Roman"/>
          <w:sz w:val="16"/>
          <w:szCs w:val="16"/>
        </w:rPr>
      </w:pPr>
      <w:r w:rsidRPr="005541FD">
        <w:rPr>
          <w:rFonts w:ascii="Times New Roman" w:hAnsi="Times New Roman"/>
          <w:i/>
          <w:iCs/>
          <w:sz w:val="16"/>
          <w:szCs w:val="16"/>
        </w:rPr>
        <w:t xml:space="preserve"> </w:t>
      </w:r>
    </w:p>
  </w:footnote>
  <w:footnote w:id="6">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Ciertamente, el último inciso de dicha norma superior reza así: </w:t>
      </w:r>
      <w:r w:rsidRPr="005541FD">
        <w:rPr>
          <w:rFonts w:ascii="Times New Roman" w:hAnsi="Times New Roman"/>
          <w:i/>
          <w:iCs/>
          <w:sz w:val="16"/>
          <w:szCs w:val="16"/>
        </w:rPr>
        <w:t xml:space="preserve">“Las gobernaciones y las alcaldías, así como las </w:t>
      </w:r>
      <w:proofErr w:type="spellStart"/>
      <w:r w:rsidRPr="005541FD">
        <w:rPr>
          <w:rFonts w:ascii="Times New Roman" w:hAnsi="Times New Roman"/>
          <w:i/>
          <w:iCs/>
          <w:sz w:val="16"/>
          <w:szCs w:val="16"/>
        </w:rPr>
        <w:t>superintendecias</w:t>
      </w:r>
      <w:proofErr w:type="spellEnd"/>
      <w:r w:rsidRPr="005541FD">
        <w:rPr>
          <w:rFonts w:ascii="Times New Roman" w:hAnsi="Times New Roman"/>
          <w:i/>
          <w:iCs/>
          <w:sz w:val="16"/>
          <w:szCs w:val="16"/>
        </w:rPr>
        <w:t>, los establecimientos públicos y las empresas industriales o comerciales del Estado, forman parte de la Rama Ejecutiva.”</w:t>
      </w:r>
      <w:r w:rsidRPr="005541FD">
        <w:rPr>
          <w:rFonts w:ascii="Times New Roman" w:hAnsi="Times New Roman"/>
          <w:sz w:val="16"/>
          <w:szCs w:val="16"/>
        </w:rPr>
        <w:t xml:space="preserve"> </w:t>
      </w:r>
    </w:p>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p>
  </w:footnote>
  <w:footnote w:id="7">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w:t>
      </w:r>
      <w:r w:rsidRPr="005541FD">
        <w:rPr>
          <w:rFonts w:ascii="Times New Roman" w:hAnsi="Times New Roman"/>
          <w:b/>
          <w:bCs/>
          <w:sz w:val="16"/>
          <w:szCs w:val="16"/>
        </w:rPr>
        <w:t xml:space="preserve">ARTICULO 354. </w:t>
      </w:r>
      <w:r w:rsidRPr="005541FD">
        <w:rPr>
          <w:rFonts w:ascii="Times New Roman" w:hAnsi="Times New Roman"/>
          <w:sz w:val="16"/>
          <w:szCs w:val="16"/>
        </w:rPr>
        <w:t xml:space="preserve">Habrá un Contador General, funcionario de la rama ejecutiva, quien llevará la contabilidad general de la Nación y consolidará ésta con la de sus entidades descentralizadas territorialmente o por servicios, cualquiera que sea el orden al que pertenezcan, excepto la referente a la ejecución del Presupuesto, cuya competencia se atribuye a la Contraloría. </w:t>
      </w:r>
    </w:p>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jc w:val="both"/>
        <w:rPr>
          <w:sz w:val="16"/>
          <w:szCs w:val="16"/>
        </w:rPr>
      </w:pPr>
    </w:p>
  </w:footnote>
  <w:footnote w:id="8">
    <w:p w:rsidR="005B5051" w:rsidRDefault="005B5051" w:rsidP="005541FD">
      <w:pPr>
        <w:pStyle w:val="Textonotapie"/>
        <w:rPr>
          <w:lang w:val="es-CO"/>
        </w:rPr>
      </w:pPr>
      <w:r w:rsidRPr="005541FD">
        <w:rPr>
          <w:rStyle w:val="Refdenotaalpie"/>
          <w:sz w:val="16"/>
          <w:szCs w:val="16"/>
        </w:rPr>
        <w:footnoteRef/>
      </w:r>
      <w:r w:rsidRPr="005541FD">
        <w:rPr>
          <w:sz w:val="16"/>
          <w:szCs w:val="16"/>
        </w:rPr>
        <w:t xml:space="preserve"> </w:t>
      </w:r>
      <w:r w:rsidRPr="005541FD">
        <w:rPr>
          <w:sz w:val="16"/>
          <w:szCs w:val="16"/>
          <w:lang w:val="es-CO"/>
        </w:rPr>
        <w:t xml:space="preserve">Sobre la pertenencia de la Vicepresidencia a la Rama Ejecutiva del </w:t>
      </w:r>
      <w:proofErr w:type="spellStart"/>
      <w:r w:rsidRPr="005541FD">
        <w:rPr>
          <w:sz w:val="16"/>
          <w:szCs w:val="16"/>
          <w:lang w:val="es-CO"/>
        </w:rPr>
        <w:t>pder</w:t>
      </w:r>
      <w:proofErr w:type="spellEnd"/>
      <w:r w:rsidRPr="005541FD">
        <w:rPr>
          <w:sz w:val="16"/>
          <w:szCs w:val="16"/>
          <w:lang w:val="es-CO"/>
        </w:rPr>
        <w:t xml:space="preserve"> público puede consultarse la Sentencia C-727 de 2000, M.P Vladimiro Naranjo Mesa.</w:t>
      </w:r>
      <w:r>
        <w:rPr>
          <w:lang w:val="es-CO"/>
        </w:rPr>
        <w:t xml:space="preserve"> </w:t>
      </w:r>
    </w:p>
    <w:p w:rsidR="0000009B" w:rsidRDefault="0000009B" w:rsidP="005541FD">
      <w:pPr>
        <w:pStyle w:val="Textonotapie"/>
      </w:pPr>
    </w:p>
  </w:footnote>
  <w:footnote w:id="9">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i/>
          <w:iCs/>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w:t>
      </w:r>
      <w:r w:rsidRPr="005541FD">
        <w:rPr>
          <w:rFonts w:ascii="Times New Roman" w:hAnsi="Times New Roman"/>
          <w:i/>
          <w:iCs/>
          <w:sz w:val="16"/>
          <w:szCs w:val="16"/>
        </w:rPr>
        <w:t xml:space="preserve">CONSTITUCIÓN POLÍTICA, </w:t>
      </w:r>
      <w:proofErr w:type="gramStart"/>
      <w:r w:rsidRPr="005541FD">
        <w:rPr>
          <w:rFonts w:ascii="Times New Roman" w:hAnsi="Times New Roman"/>
          <w:b/>
          <w:bCs/>
          <w:i/>
          <w:iCs/>
          <w:sz w:val="16"/>
          <w:szCs w:val="16"/>
        </w:rPr>
        <w:t>ARTICULO</w:t>
      </w:r>
      <w:proofErr w:type="gramEnd"/>
      <w:r w:rsidRPr="005541FD">
        <w:rPr>
          <w:rFonts w:ascii="Times New Roman" w:hAnsi="Times New Roman"/>
          <w:b/>
          <w:bCs/>
          <w:i/>
          <w:iCs/>
          <w:sz w:val="16"/>
          <w:szCs w:val="16"/>
        </w:rPr>
        <w:t xml:space="preserve"> 267. “</w:t>
      </w:r>
      <w:r w:rsidRPr="005541FD">
        <w:rPr>
          <w:rFonts w:ascii="Times New Roman" w:hAnsi="Times New Roman"/>
          <w:i/>
          <w:iCs/>
          <w:sz w:val="16"/>
          <w:szCs w:val="16"/>
        </w:rPr>
        <w:t xml:space="preserve">El control fiscal es una función pública que ejercerá la Contraloría General de la República, la cual vigila la gestión fiscal de la administración y de los particulares o entidades que manejen fondos o bienes de la Nación. </w:t>
      </w:r>
    </w:p>
    <w:p w:rsidR="005B5051"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i/>
          <w:iCs/>
          <w:sz w:val="16"/>
          <w:szCs w:val="16"/>
        </w:rPr>
      </w:pPr>
      <w:r w:rsidRPr="005541FD">
        <w:rPr>
          <w:rFonts w:ascii="Times New Roman" w:hAnsi="Times New Roman"/>
          <w:i/>
          <w:iCs/>
          <w:sz w:val="16"/>
          <w:szCs w:val="16"/>
        </w:rPr>
        <w:t xml:space="preserve">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 </w:t>
      </w:r>
    </w:p>
    <w:p w:rsidR="0000009B" w:rsidRPr="005541FD" w:rsidRDefault="0000009B"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i/>
          <w:iCs/>
          <w:sz w:val="16"/>
          <w:szCs w:val="16"/>
        </w:rPr>
      </w:pPr>
    </w:p>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r w:rsidRPr="005541FD">
        <w:rPr>
          <w:rFonts w:ascii="Times New Roman" w:hAnsi="Times New Roman"/>
          <w:i/>
          <w:iCs/>
          <w:sz w:val="16"/>
          <w:szCs w:val="16"/>
        </w:rPr>
        <w:t xml:space="preserve">La vigilancia de la gestión fiscal del Estado incluye el ejercicio de un control financiero, de gestión y de </w:t>
      </w:r>
      <w:proofErr w:type="gramStart"/>
      <w:r w:rsidRPr="005541FD">
        <w:rPr>
          <w:rFonts w:ascii="Times New Roman" w:hAnsi="Times New Roman"/>
          <w:i/>
          <w:iCs/>
          <w:sz w:val="16"/>
          <w:szCs w:val="16"/>
        </w:rPr>
        <w:t>resultados ,</w:t>
      </w:r>
      <w:proofErr w:type="gramEnd"/>
      <w:r w:rsidRPr="005541FD">
        <w:rPr>
          <w:rFonts w:ascii="Times New Roman" w:hAnsi="Times New Roman"/>
          <w:i/>
          <w:iCs/>
          <w:sz w:val="16"/>
          <w:szCs w:val="16"/>
        </w:rPr>
        <w:t xml:space="preserve"> fundado en la eficiencia, la economía, la equidad y la valoración de los costos ambientales. En los casos excepcionales, previstos por la ley, la Contraloría podrá ejercer control posterior sobre cuentas de cualquier entidad territorial.”</w:t>
      </w:r>
      <w:r w:rsidRPr="005541FD">
        <w:rPr>
          <w:rFonts w:ascii="Times New Roman" w:hAnsi="Times New Roman"/>
          <w:sz w:val="16"/>
          <w:szCs w:val="16"/>
        </w:rPr>
        <w:t xml:space="preserve"> </w:t>
      </w:r>
    </w:p>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p>
    <w:p w:rsidR="005B5051" w:rsidRDefault="005B5051" w:rsidP="005541FD">
      <w:pPr>
        <w:spacing w:after="0" w:line="240" w:lineRule="auto"/>
        <w:ind w:firstLine="2"/>
        <w:jc w:val="both"/>
        <w:rPr>
          <w:rFonts w:ascii="Times New Roman" w:hAnsi="Times New Roman"/>
          <w:sz w:val="16"/>
          <w:szCs w:val="16"/>
        </w:rPr>
      </w:pPr>
      <w:r w:rsidRPr="005541FD">
        <w:rPr>
          <w:rFonts w:ascii="Times New Roman" w:hAnsi="Times New Roman"/>
          <w:sz w:val="16"/>
          <w:szCs w:val="16"/>
        </w:rPr>
        <w:t xml:space="preserve">Sobre el control fiscal en entidades de naturaleza mixta, esta Corporación ha explicado dicho control </w:t>
      </w:r>
      <w:r w:rsidRPr="005541FD">
        <w:rPr>
          <w:rFonts w:ascii="Times New Roman" w:hAnsi="Times New Roman"/>
          <w:sz w:val="16"/>
          <w:szCs w:val="16"/>
          <w:lang w:val="es-MX"/>
        </w:rPr>
        <w:t xml:space="preserve">fiscal tiene por objeto la protección del patrimonio de la Nación, “y por lo tanto recae sobre una entidad, bien pública, privada o mixta, cuando ella recaude, administre o invierta fondos públicos a fin de que se cumplan los objetivos señalados en la Constitución Política. Por ello, el elemento que permite establecer si una entidad o un organismo de carácter privado se encuentra sometido al control fiscal de las contralorías, lo constituye el hecho de haber recibido bienes o fondos de la Nación, según así quedó determinado por el constituyente quién quiso que </w:t>
      </w:r>
      <w:r w:rsidRPr="005541FD">
        <w:rPr>
          <w:rFonts w:ascii="Times New Roman" w:hAnsi="Times New Roman"/>
          <w:i/>
          <w:iCs/>
          <w:sz w:val="16"/>
          <w:szCs w:val="16"/>
          <w:lang w:val="es-MX"/>
        </w:rPr>
        <w:t>“...ningún ente, por soberano o privado que sea, puede abrogarse el derecho de no ser fiscalizado cuando tenga que ver directa o indirectamente con los ingresos públicos o</w:t>
      </w:r>
      <w:r>
        <w:rPr>
          <w:i/>
          <w:iCs/>
          <w:sz w:val="20"/>
          <w:szCs w:val="20"/>
          <w:lang w:val="es-MX"/>
        </w:rPr>
        <w:t xml:space="preserve"> bienes de la comunidad; en </w:t>
      </w:r>
      <w:r w:rsidRPr="005541FD">
        <w:rPr>
          <w:rFonts w:ascii="Times New Roman" w:hAnsi="Times New Roman"/>
          <w:i/>
          <w:iCs/>
          <w:sz w:val="16"/>
          <w:szCs w:val="16"/>
          <w:lang w:val="es-MX"/>
        </w:rPr>
        <w:t>consecuencia la Constitución vigente crea los organismos de control independientes para todos los que manejen fondos públicos y recursos del Estado, incluyendo a los particulares</w:t>
      </w:r>
      <w:r w:rsidRPr="005541FD">
        <w:rPr>
          <w:rFonts w:ascii="Times New Roman" w:hAnsi="Times New Roman"/>
          <w:sz w:val="16"/>
          <w:szCs w:val="16"/>
          <w:lang w:val="es-MX"/>
        </w:rPr>
        <w:t xml:space="preserve">”.(Sentencia </w:t>
      </w:r>
      <w:r w:rsidR="005541FD">
        <w:rPr>
          <w:rFonts w:ascii="Times New Roman" w:hAnsi="Times New Roman"/>
          <w:sz w:val="16"/>
          <w:szCs w:val="16"/>
        </w:rPr>
        <w:t>C-290de 2002)</w:t>
      </w:r>
    </w:p>
    <w:p w:rsidR="0000009B" w:rsidRPr="005541FD" w:rsidRDefault="0000009B" w:rsidP="005541FD">
      <w:pPr>
        <w:spacing w:after="0" w:line="240" w:lineRule="auto"/>
        <w:ind w:firstLine="2"/>
        <w:jc w:val="both"/>
        <w:rPr>
          <w:rFonts w:ascii="Times New Roman" w:hAnsi="Times New Roman"/>
          <w:sz w:val="16"/>
          <w:szCs w:val="16"/>
        </w:rPr>
      </w:pPr>
    </w:p>
  </w:footnote>
  <w:footnote w:id="10">
    <w:p w:rsidR="005B5051"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i/>
          <w:iCs/>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El texto de este inciso es el siguiente:</w:t>
      </w:r>
      <w:r w:rsidRPr="005541FD">
        <w:rPr>
          <w:rFonts w:ascii="Times New Roman" w:hAnsi="Times New Roman"/>
          <w:i/>
          <w:iCs/>
          <w:sz w:val="16"/>
          <w:szCs w:val="16"/>
        </w:rPr>
        <w:t xml:space="preserve"> “Las cámaras pueden requerir la asistencia de los ministros. Las comisiones permanentes, además, la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C7316B" w:rsidRPr="005541FD" w:rsidRDefault="00C7316B"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i/>
          <w:iCs/>
          <w:sz w:val="16"/>
          <w:szCs w:val="16"/>
        </w:rPr>
      </w:pPr>
    </w:p>
    <w:p w:rsidR="005B5051" w:rsidRPr="005541FD" w:rsidRDefault="005B5051" w:rsidP="005541FD">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0" w:line="240" w:lineRule="auto"/>
        <w:jc w:val="both"/>
        <w:rPr>
          <w:rFonts w:ascii="Times New Roman" w:hAnsi="Times New Roman"/>
          <w:sz w:val="16"/>
          <w:szCs w:val="16"/>
        </w:rPr>
      </w:pPr>
      <w:r w:rsidRPr="005541FD">
        <w:rPr>
          <w:rFonts w:ascii="Times New Roman" w:hAnsi="Times New Roman"/>
          <w:sz w:val="16"/>
          <w:szCs w:val="16"/>
        </w:rPr>
        <w:t xml:space="preserve">Sobre el alcance de este tipo de control político puede verse la Sentencia C-198 de 1994, M.P. Vladimiro Naranjo Mesa. </w:t>
      </w:r>
    </w:p>
    <w:p w:rsidR="005B5051" w:rsidRPr="005541FD" w:rsidRDefault="005B5051" w:rsidP="005541FD">
      <w:pPr>
        <w:pStyle w:val="Textonotapie"/>
        <w:rPr>
          <w:sz w:val="16"/>
          <w:szCs w:val="16"/>
        </w:rPr>
      </w:pPr>
    </w:p>
  </w:footnote>
  <w:footnote w:id="11">
    <w:p w:rsidR="005B5051" w:rsidRPr="005541FD" w:rsidRDefault="005B5051" w:rsidP="005541FD">
      <w:pPr>
        <w:pStyle w:val="Textoindependiente"/>
        <w:spacing w:line="240" w:lineRule="auto"/>
        <w:ind w:right="11"/>
        <w:rPr>
          <w:rFonts w:ascii="Times New Roman" w:hAnsi="Times New Roman"/>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El artículo 180-3, prescribe que los congresistas no podrán “ser miembros de juntas o consejos directivos de entidades descentralizadas  de cualquier nivel...”.</w:t>
      </w:r>
    </w:p>
    <w:p w:rsidR="005B5051" w:rsidRPr="005541FD" w:rsidRDefault="005B5051" w:rsidP="005541FD">
      <w:pPr>
        <w:pStyle w:val="Textoindependiente"/>
        <w:spacing w:line="240" w:lineRule="auto"/>
        <w:ind w:right="11"/>
        <w:rPr>
          <w:rFonts w:ascii="Times New Roman" w:hAnsi="Times New Roman"/>
          <w:sz w:val="16"/>
          <w:szCs w:val="16"/>
        </w:rPr>
      </w:pPr>
    </w:p>
  </w:footnote>
  <w:footnote w:id="12">
    <w:p w:rsidR="005B5051" w:rsidRPr="005541FD" w:rsidRDefault="005B5051" w:rsidP="005541FD">
      <w:pPr>
        <w:pStyle w:val="Textoindependiente"/>
        <w:spacing w:line="240" w:lineRule="auto"/>
        <w:ind w:right="11"/>
        <w:rPr>
          <w:rFonts w:ascii="Times New Roman" w:hAnsi="Times New Roman"/>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El artículo 292, en relación con las entidades del orden departamental y municipal, dispone que “los diputados y concejales y sus parientes dentro del grado que señale la ley no podrán formar parte de juntas directivas de las entidades descentralizadas del respectivo departamento, distrito o municipio”.</w:t>
      </w:r>
    </w:p>
    <w:p w:rsidR="005B5051" w:rsidRPr="005541FD" w:rsidRDefault="005B5051" w:rsidP="005541FD">
      <w:pPr>
        <w:pStyle w:val="Textoindependiente"/>
        <w:spacing w:line="240" w:lineRule="auto"/>
        <w:ind w:right="11"/>
        <w:rPr>
          <w:rFonts w:ascii="Times New Roman" w:hAnsi="Times New Roman"/>
          <w:sz w:val="16"/>
          <w:szCs w:val="16"/>
        </w:rPr>
      </w:pPr>
    </w:p>
  </w:footnote>
  <w:footnote w:id="13">
    <w:p w:rsidR="005B5051" w:rsidRPr="005541FD" w:rsidRDefault="005B5051" w:rsidP="005541FD">
      <w:pPr>
        <w:pStyle w:val="Textoindependiente"/>
        <w:spacing w:line="240" w:lineRule="auto"/>
        <w:ind w:right="11"/>
        <w:rPr>
          <w:rFonts w:ascii="Times New Roman" w:hAnsi="Times New Roman"/>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El artículo 323 sobre el régimen especial del Distrito Capital (último inciso) prescribe que los concejales y los ediles (que son los miembros de las juntas administradoras locales) no podrán hacer parte de las juntas directivas de las entidades descentralizadas”:</w:t>
      </w:r>
    </w:p>
    <w:p w:rsidR="005B5051" w:rsidRPr="005541FD" w:rsidRDefault="005B5051" w:rsidP="005541FD">
      <w:pPr>
        <w:pStyle w:val="Textoindependiente"/>
        <w:spacing w:line="240" w:lineRule="auto"/>
        <w:ind w:right="11"/>
        <w:rPr>
          <w:rFonts w:ascii="Times New Roman" w:hAnsi="Times New Roman"/>
          <w:sz w:val="16"/>
          <w:szCs w:val="16"/>
        </w:rPr>
      </w:pPr>
    </w:p>
  </w:footnote>
  <w:footnote w:id="14">
    <w:p w:rsidR="005B5051" w:rsidRPr="005541FD" w:rsidRDefault="005B5051" w:rsidP="005541FD">
      <w:pPr>
        <w:pStyle w:val="Textoindependiente"/>
        <w:spacing w:line="240" w:lineRule="auto"/>
        <w:ind w:right="11"/>
        <w:rPr>
          <w:rFonts w:ascii="Times New Roman" w:hAnsi="Times New Roman"/>
          <w:color w:val="FF0000"/>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De conformidad con el artículo 352 “además de lo señalado en esta Constitución, la ley orgánica del presupuesto regulará lo correspondiente a la programación, aprobación, modificación, ejecución de los presupuestos de la nación, de las entidades territoriales y de los entes descentralizados de cualquier nivel administrativo, y su coordinación con el Plan Nacional de Desarrollo, así como también la capacidad de los organismos y entidades estatales para contratar”</w:t>
      </w:r>
    </w:p>
    <w:p w:rsidR="005B5051" w:rsidRPr="005541FD" w:rsidRDefault="005B5051" w:rsidP="005541FD">
      <w:pPr>
        <w:pStyle w:val="Textoindependiente"/>
        <w:spacing w:line="240" w:lineRule="auto"/>
        <w:ind w:right="11"/>
        <w:rPr>
          <w:rFonts w:ascii="Times New Roman" w:hAnsi="Times New Roman"/>
          <w:sz w:val="16"/>
          <w:szCs w:val="16"/>
        </w:rPr>
      </w:pPr>
    </w:p>
  </w:footnote>
  <w:footnote w:id="15">
    <w:p w:rsidR="005B5051" w:rsidRPr="00540687" w:rsidRDefault="005B5051" w:rsidP="005541FD">
      <w:pPr>
        <w:pStyle w:val="Textoindependiente"/>
        <w:spacing w:line="240" w:lineRule="auto"/>
        <w:ind w:right="11"/>
        <w:rPr>
          <w:rFonts w:ascii="Times New Roman" w:hAnsi="Times New Roman"/>
          <w:color w:val="FF0000"/>
          <w:sz w:val="16"/>
          <w:szCs w:val="16"/>
        </w:rPr>
      </w:pPr>
      <w:r w:rsidRPr="005541FD">
        <w:rPr>
          <w:rStyle w:val="Refdenotaalpie"/>
          <w:rFonts w:ascii="Times New Roman" w:hAnsi="Times New Roman"/>
          <w:sz w:val="16"/>
          <w:szCs w:val="16"/>
        </w:rPr>
        <w:footnoteRef/>
      </w:r>
      <w:r w:rsidRPr="005541FD">
        <w:rPr>
          <w:rFonts w:ascii="Times New Roman" w:hAnsi="Times New Roman"/>
          <w:sz w:val="16"/>
          <w:szCs w:val="16"/>
        </w:rPr>
        <w:t xml:space="preserve"> Según lo dispone artículo 354 “habrá un contador general, funcionario de la rama ejecutiva, quien llevará la contabilidad general de la nación y consolidará ésta con la de sus entidades descentralizadas territorialmente o por servicios, cualquiera que sea el orden al que pertenezcan, excepto la referente a la ejecución del presupuesto, cuya competencia se </w:t>
      </w:r>
      <w:r w:rsidRPr="00540687">
        <w:rPr>
          <w:rFonts w:ascii="Times New Roman" w:hAnsi="Times New Roman"/>
          <w:sz w:val="16"/>
          <w:szCs w:val="16"/>
        </w:rPr>
        <w:t>atribuye a la Contraloría. Corresponden al contador general las funciones de uniformar, centralizar y consolidar la contabilidad pública, elaborar el balance general y determinar las normas contables que deben regir en el país, conforme a la ley”.</w:t>
      </w:r>
    </w:p>
    <w:p w:rsidR="005B5051" w:rsidRPr="00540687" w:rsidRDefault="005B5051" w:rsidP="005541FD">
      <w:pPr>
        <w:pStyle w:val="Textoindependiente"/>
        <w:spacing w:line="240" w:lineRule="auto"/>
        <w:ind w:right="11"/>
        <w:rPr>
          <w:rFonts w:ascii="Times New Roman" w:hAnsi="Times New Roman"/>
          <w:sz w:val="16"/>
          <w:szCs w:val="16"/>
        </w:rPr>
      </w:pPr>
    </w:p>
  </w:footnote>
  <w:footnote w:id="16">
    <w:p w:rsidR="005B5051" w:rsidRPr="00540687" w:rsidRDefault="005B5051" w:rsidP="00540687">
      <w:pPr>
        <w:spacing w:after="0" w:line="240" w:lineRule="auto"/>
        <w:rPr>
          <w:rFonts w:ascii="Times New Roman" w:hAnsi="Times New Roman"/>
          <w:sz w:val="16"/>
          <w:szCs w:val="16"/>
        </w:rPr>
      </w:pPr>
      <w:r w:rsidRPr="00540687">
        <w:rPr>
          <w:rStyle w:val="Refdenotaalpie"/>
          <w:rFonts w:ascii="Times New Roman" w:hAnsi="Times New Roman"/>
          <w:sz w:val="16"/>
          <w:szCs w:val="16"/>
        </w:rPr>
        <w:footnoteRef/>
      </w:r>
      <w:r w:rsidRPr="00540687">
        <w:rPr>
          <w:rFonts w:ascii="Times New Roman" w:hAnsi="Times New Roman"/>
          <w:sz w:val="16"/>
          <w:szCs w:val="16"/>
        </w:rPr>
        <w:t xml:space="preserve"> Sentencia C-529 de 2006, </w:t>
      </w:r>
      <w:r w:rsidR="005541FD" w:rsidRPr="00540687">
        <w:rPr>
          <w:rFonts w:ascii="Times New Roman" w:hAnsi="Times New Roman"/>
          <w:sz w:val="16"/>
          <w:szCs w:val="16"/>
        </w:rPr>
        <w:t>M.</w:t>
      </w:r>
      <w:r w:rsidRPr="00540687">
        <w:rPr>
          <w:rFonts w:ascii="Times New Roman" w:hAnsi="Times New Roman"/>
          <w:sz w:val="16"/>
          <w:szCs w:val="16"/>
        </w:rPr>
        <w:t>P. Jaime Córdoba Triviño</w:t>
      </w:r>
    </w:p>
    <w:p w:rsidR="00540687" w:rsidRPr="00540687" w:rsidRDefault="00540687" w:rsidP="00540687">
      <w:pPr>
        <w:spacing w:after="0" w:line="240" w:lineRule="auto"/>
        <w:rPr>
          <w:rFonts w:ascii="Times New Roman" w:hAnsi="Times New Roman"/>
          <w:sz w:val="16"/>
          <w:szCs w:val="16"/>
        </w:rPr>
      </w:pPr>
    </w:p>
  </w:footnote>
  <w:footnote w:id="17">
    <w:p w:rsidR="005B5051" w:rsidRDefault="005B5051" w:rsidP="005B5051">
      <w:pPr>
        <w:pStyle w:val="Textonotapie"/>
        <w:jc w:val="both"/>
      </w:pPr>
      <w:r w:rsidRPr="00540687">
        <w:rPr>
          <w:rStyle w:val="Refdenotaalpie"/>
          <w:sz w:val="16"/>
          <w:szCs w:val="16"/>
        </w:rPr>
        <w:footnoteRef/>
      </w:r>
      <w:r w:rsidRPr="00540687">
        <w:rPr>
          <w:sz w:val="16"/>
          <w:szCs w:val="16"/>
        </w:rPr>
        <w:t xml:space="preserve"> </w:t>
      </w:r>
      <w:proofErr w:type="spellStart"/>
      <w:r w:rsidRPr="00540687">
        <w:rPr>
          <w:sz w:val="16"/>
          <w:szCs w:val="16"/>
          <w:lang w:val="es-CO"/>
        </w:rPr>
        <w:t>Sobe</w:t>
      </w:r>
      <w:proofErr w:type="spellEnd"/>
      <w:r w:rsidRPr="00540687">
        <w:rPr>
          <w:sz w:val="16"/>
          <w:szCs w:val="16"/>
          <w:lang w:val="es-CO"/>
        </w:rPr>
        <w:t xml:space="preserve"> este tema pueden consultarse entre otra, la siguiente doctrina nacional: RODRÍGUEZ R LIBARDO.  “Estructura del poder público en Colombia”. Editorial Temis, Bogotá 2004. Pág. 29.</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8F" w:rsidRPr="00B9218F" w:rsidRDefault="00B9218F" w:rsidP="00B9218F">
    <w:pPr>
      <w:pStyle w:val="Puesto"/>
      <w:jc w:val="both"/>
      <w:rPr>
        <w:rFonts w:ascii="Times New Roman" w:hAnsi="Times New Roman"/>
        <w:b w:val="0"/>
        <w:sz w:val="16"/>
        <w:szCs w:val="16"/>
      </w:rPr>
    </w:pPr>
    <w:r w:rsidRPr="00B9218F">
      <w:rPr>
        <w:rFonts w:ascii="Times New Roman" w:hAnsi="Times New Roman"/>
        <w:b w:val="0"/>
        <w:sz w:val="16"/>
        <w:szCs w:val="16"/>
      </w:rPr>
      <w:t>Radicación No.:</w:t>
    </w:r>
    <w:r>
      <w:rPr>
        <w:rFonts w:ascii="Times New Roman" w:hAnsi="Times New Roman"/>
        <w:b w:val="0"/>
        <w:sz w:val="16"/>
        <w:szCs w:val="16"/>
      </w:rPr>
      <w:t xml:space="preserve"> </w:t>
    </w:r>
    <w:r w:rsidRPr="00B9218F">
      <w:rPr>
        <w:rFonts w:ascii="Times New Roman" w:hAnsi="Times New Roman"/>
        <w:b w:val="0"/>
        <w:sz w:val="16"/>
        <w:szCs w:val="16"/>
      </w:rPr>
      <w:t>66001-31-05-005-2016-00022-01</w:t>
    </w:r>
  </w:p>
  <w:p w:rsidR="00B9218F" w:rsidRPr="00B9218F" w:rsidRDefault="00B9218F" w:rsidP="00B9218F">
    <w:pPr>
      <w:pStyle w:val="Puesto"/>
      <w:jc w:val="both"/>
      <w:rPr>
        <w:rFonts w:ascii="Times New Roman" w:hAnsi="Times New Roman"/>
        <w:b w:val="0"/>
        <w:sz w:val="16"/>
        <w:szCs w:val="16"/>
      </w:rPr>
    </w:pPr>
    <w:r w:rsidRPr="00B9218F">
      <w:rPr>
        <w:rFonts w:ascii="Times New Roman" w:hAnsi="Times New Roman"/>
        <w:b w:val="0"/>
        <w:sz w:val="16"/>
        <w:szCs w:val="16"/>
      </w:rPr>
      <w:t>Demandante:</w:t>
    </w:r>
    <w:r>
      <w:rPr>
        <w:rFonts w:ascii="Times New Roman" w:hAnsi="Times New Roman"/>
        <w:b w:val="0"/>
        <w:sz w:val="16"/>
        <w:szCs w:val="16"/>
      </w:rPr>
      <w:t xml:space="preserve"> </w:t>
    </w:r>
    <w:r w:rsidRPr="00B9218F">
      <w:rPr>
        <w:rFonts w:ascii="Times New Roman" w:hAnsi="Times New Roman"/>
        <w:b w:val="0"/>
        <w:sz w:val="16"/>
        <w:szCs w:val="16"/>
      </w:rPr>
      <w:t xml:space="preserve">Ángela María Ramírez </w:t>
    </w:r>
    <w:proofErr w:type="spellStart"/>
    <w:r w:rsidRPr="00B9218F">
      <w:rPr>
        <w:rFonts w:ascii="Times New Roman" w:hAnsi="Times New Roman"/>
        <w:b w:val="0"/>
        <w:sz w:val="16"/>
        <w:szCs w:val="16"/>
      </w:rPr>
      <w:t>Ramírez</w:t>
    </w:r>
    <w:proofErr w:type="spellEnd"/>
    <w:r w:rsidRPr="00B9218F">
      <w:rPr>
        <w:rFonts w:ascii="Times New Roman" w:hAnsi="Times New Roman"/>
        <w:b w:val="0"/>
        <w:sz w:val="16"/>
        <w:szCs w:val="16"/>
      </w:rPr>
      <w:t xml:space="preserve"> </w:t>
    </w:r>
  </w:p>
  <w:p w:rsidR="009E5DF1" w:rsidRPr="00B9218F" w:rsidRDefault="00B9218F" w:rsidP="00B9218F">
    <w:pPr>
      <w:pStyle w:val="Puesto"/>
      <w:jc w:val="both"/>
      <w:rPr>
        <w:rFonts w:ascii="Times New Roman" w:hAnsi="Times New Roman"/>
        <w:b w:val="0"/>
        <w:sz w:val="16"/>
        <w:szCs w:val="16"/>
      </w:rPr>
    </w:pPr>
    <w:r w:rsidRPr="00B9218F">
      <w:rPr>
        <w:rFonts w:ascii="Times New Roman" w:hAnsi="Times New Roman"/>
        <w:b w:val="0"/>
        <w:sz w:val="16"/>
        <w:szCs w:val="16"/>
      </w:rPr>
      <w:t>Demandado:</w:t>
    </w:r>
    <w:r>
      <w:rPr>
        <w:rFonts w:ascii="Times New Roman" w:hAnsi="Times New Roman"/>
        <w:b w:val="0"/>
        <w:sz w:val="16"/>
        <w:szCs w:val="16"/>
      </w:rPr>
      <w:t xml:space="preserve"> </w:t>
    </w:r>
    <w:r w:rsidRPr="00B9218F">
      <w:rPr>
        <w:rFonts w:ascii="Times New Roman" w:hAnsi="Times New Roman"/>
        <w:b w:val="0"/>
        <w:sz w:val="16"/>
        <w:szCs w:val="16"/>
      </w:rPr>
      <w:t>Nueva EPS S.A. y otro</w:t>
    </w:r>
  </w:p>
  <w:p w:rsidR="00DE1EFD" w:rsidRPr="00384D6C" w:rsidRDefault="00DE1EFD" w:rsidP="00B415A5">
    <w:pPr>
      <w:pStyle w:val="Puesto"/>
      <w:jc w:val="both"/>
      <w:rPr>
        <w:rFonts w:ascii="Tahoma" w:hAnsi="Tahoma" w:cs="Tahoma"/>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A99463D"/>
    <w:multiLevelType w:val="multilevel"/>
    <w:tmpl w:val="34E819E2"/>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1080"/>
      </w:pPr>
      <w:rPr>
        <w:rFonts w:hint="default"/>
      </w:rPr>
    </w:lvl>
    <w:lvl w:ilvl="3">
      <w:start w:val="1"/>
      <w:numFmt w:val="decimal"/>
      <w:isLgl/>
      <w:lvlText w:val="%1.%2.%3.%4."/>
      <w:lvlJc w:val="left"/>
      <w:pPr>
        <w:ind w:left="2869" w:hanging="144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3229" w:hanging="1800"/>
      </w:pPr>
      <w:rPr>
        <w:rFonts w:hint="default"/>
      </w:rPr>
    </w:lvl>
    <w:lvl w:ilvl="6">
      <w:start w:val="1"/>
      <w:numFmt w:val="decimal"/>
      <w:isLgl/>
      <w:lvlText w:val="%1.%2.%3.%4.%5.%6.%7."/>
      <w:lvlJc w:val="left"/>
      <w:pPr>
        <w:ind w:left="3589" w:hanging="2160"/>
      </w:pPr>
      <w:rPr>
        <w:rFonts w:hint="default"/>
      </w:rPr>
    </w:lvl>
    <w:lvl w:ilvl="7">
      <w:start w:val="1"/>
      <w:numFmt w:val="decimal"/>
      <w:isLgl/>
      <w:lvlText w:val="%1.%2.%3.%4.%5.%6.%7.%8."/>
      <w:lvlJc w:val="left"/>
      <w:pPr>
        <w:ind w:left="3949" w:hanging="2520"/>
      </w:pPr>
      <w:rPr>
        <w:rFonts w:hint="default"/>
      </w:rPr>
    </w:lvl>
    <w:lvl w:ilvl="8">
      <w:start w:val="1"/>
      <w:numFmt w:val="decimal"/>
      <w:isLgl/>
      <w:lvlText w:val="%1.%2.%3.%4.%5.%6.%7.%8.%9."/>
      <w:lvlJc w:val="left"/>
      <w:pPr>
        <w:ind w:left="3949" w:hanging="2520"/>
      </w:pPr>
      <w:rPr>
        <w:rFonts w:hint="default"/>
      </w:rPr>
    </w:lvl>
  </w:abstractNum>
  <w:abstractNum w:abstractNumId="2">
    <w:nsid w:val="1B0F3314"/>
    <w:multiLevelType w:val="hybridMultilevel"/>
    <w:tmpl w:val="54A24EB4"/>
    <w:lvl w:ilvl="0" w:tplc="9650F49A">
      <w:start w:val="1"/>
      <w:numFmt w:val="decimal"/>
      <w:lvlText w:val="%1."/>
      <w:lvlJc w:val="left"/>
      <w:pPr>
        <w:ind w:left="2509" w:hanging="360"/>
      </w:pPr>
      <w:rPr>
        <w:rFonts w:hint="default"/>
      </w:rPr>
    </w:lvl>
    <w:lvl w:ilvl="1" w:tplc="0C0A0019" w:tentative="1">
      <w:start w:val="1"/>
      <w:numFmt w:val="lowerLetter"/>
      <w:lvlText w:val="%2."/>
      <w:lvlJc w:val="left"/>
      <w:pPr>
        <w:ind w:left="3229" w:hanging="360"/>
      </w:pPr>
    </w:lvl>
    <w:lvl w:ilvl="2" w:tplc="0C0A001B" w:tentative="1">
      <w:start w:val="1"/>
      <w:numFmt w:val="lowerRoman"/>
      <w:lvlText w:val="%3."/>
      <w:lvlJc w:val="right"/>
      <w:pPr>
        <w:ind w:left="3949" w:hanging="180"/>
      </w:pPr>
    </w:lvl>
    <w:lvl w:ilvl="3" w:tplc="0C0A000F" w:tentative="1">
      <w:start w:val="1"/>
      <w:numFmt w:val="decimal"/>
      <w:lvlText w:val="%4."/>
      <w:lvlJc w:val="left"/>
      <w:pPr>
        <w:ind w:left="4669" w:hanging="360"/>
      </w:pPr>
    </w:lvl>
    <w:lvl w:ilvl="4" w:tplc="0C0A0019" w:tentative="1">
      <w:start w:val="1"/>
      <w:numFmt w:val="lowerLetter"/>
      <w:lvlText w:val="%5."/>
      <w:lvlJc w:val="left"/>
      <w:pPr>
        <w:ind w:left="5389" w:hanging="360"/>
      </w:pPr>
    </w:lvl>
    <w:lvl w:ilvl="5" w:tplc="0C0A001B" w:tentative="1">
      <w:start w:val="1"/>
      <w:numFmt w:val="lowerRoman"/>
      <w:lvlText w:val="%6."/>
      <w:lvlJc w:val="right"/>
      <w:pPr>
        <w:ind w:left="6109" w:hanging="180"/>
      </w:pPr>
    </w:lvl>
    <w:lvl w:ilvl="6" w:tplc="0C0A000F" w:tentative="1">
      <w:start w:val="1"/>
      <w:numFmt w:val="decimal"/>
      <w:lvlText w:val="%7."/>
      <w:lvlJc w:val="left"/>
      <w:pPr>
        <w:ind w:left="6829" w:hanging="360"/>
      </w:pPr>
    </w:lvl>
    <w:lvl w:ilvl="7" w:tplc="0C0A0019" w:tentative="1">
      <w:start w:val="1"/>
      <w:numFmt w:val="lowerLetter"/>
      <w:lvlText w:val="%8."/>
      <w:lvlJc w:val="left"/>
      <w:pPr>
        <w:ind w:left="7549" w:hanging="360"/>
      </w:pPr>
    </w:lvl>
    <w:lvl w:ilvl="8" w:tplc="0C0A001B" w:tentative="1">
      <w:start w:val="1"/>
      <w:numFmt w:val="lowerRoman"/>
      <w:lvlText w:val="%9."/>
      <w:lvlJc w:val="right"/>
      <w:pPr>
        <w:ind w:left="8269" w:hanging="180"/>
      </w:pPr>
    </w:lvl>
  </w:abstractNum>
  <w:abstractNum w:abstractNumId="3">
    <w:nsid w:val="29184B2F"/>
    <w:multiLevelType w:val="multilevel"/>
    <w:tmpl w:val="1DA485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5">
    <w:nsid w:val="51014901"/>
    <w:multiLevelType w:val="multilevel"/>
    <w:tmpl w:val="BD0880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A5"/>
    <w:rsid w:val="0000009B"/>
    <w:rsid w:val="00031AD6"/>
    <w:rsid w:val="0003449E"/>
    <w:rsid w:val="00053DCD"/>
    <w:rsid w:val="000552AB"/>
    <w:rsid w:val="00072BC7"/>
    <w:rsid w:val="00094BCA"/>
    <w:rsid w:val="00095673"/>
    <w:rsid w:val="00096A2B"/>
    <w:rsid w:val="000B09CD"/>
    <w:rsid w:val="000B4EEA"/>
    <w:rsid w:val="000D21F9"/>
    <w:rsid w:val="000E118D"/>
    <w:rsid w:val="000F1D2A"/>
    <w:rsid w:val="000F43A6"/>
    <w:rsid w:val="000F5280"/>
    <w:rsid w:val="00102075"/>
    <w:rsid w:val="00111549"/>
    <w:rsid w:val="00121716"/>
    <w:rsid w:val="001347A8"/>
    <w:rsid w:val="0014355C"/>
    <w:rsid w:val="0016454E"/>
    <w:rsid w:val="001875D7"/>
    <w:rsid w:val="00194378"/>
    <w:rsid w:val="00195392"/>
    <w:rsid w:val="001B6036"/>
    <w:rsid w:val="001C6D64"/>
    <w:rsid w:val="001F6D55"/>
    <w:rsid w:val="00207A20"/>
    <w:rsid w:val="002151E7"/>
    <w:rsid w:val="00230E80"/>
    <w:rsid w:val="00271361"/>
    <w:rsid w:val="00271C9A"/>
    <w:rsid w:val="002929B0"/>
    <w:rsid w:val="00293DBB"/>
    <w:rsid w:val="002B3D01"/>
    <w:rsid w:val="002D16F9"/>
    <w:rsid w:val="002E1BFA"/>
    <w:rsid w:val="002E256A"/>
    <w:rsid w:val="002F2481"/>
    <w:rsid w:val="003102FF"/>
    <w:rsid w:val="0031308F"/>
    <w:rsid w:val="00363A7E"/>
    <w:rsid w:val="00376DEA"/>
    <w:rsid w:val="0038093A"/>
    <w:rsid w:val="00384D6C"/>
    <w:rsid w:val="0038649A"/>
    <w:rsid w:val="003D7B75"/>
    <w:rsid w:val="003F7342"/>
    <w:rsid w:val="004028CE"/>
    <w:rsid w:val="0042104C"/>
    <w:rsid w:val="00453E98"/>
    <w:rsid w:val="004641F8"/>
    <w:rsid w:val="00474463"/>
    <w:rsid w:val="004857B3"/>
    <w:rsid w:val="00493597"/>
    <w:rsid w:val="004C3702"/>
    <w:rsid w:val="004D171C"/>
    <w:rsid w:val="004F204A"/>
    <w:rsid w:val="00524F91"/>
    <w:rsid w:val="005276DC"/>
    <w:rsid w:val="005346B8"/>
    <w:rsid w:val="00540687"/>
    <w:rsid w:val="005456E3"/>
    <w:rsid w:val="00552F53"/>
    <w:rsid w:val="005541FD"/>
    <w:rsid w:val="00557473"/>
    <w:rsid w:val="00567FF0"/>
    <w:rsid w:val="005A1BE0"/>
    <w:rsid w:val="005B5051"/>
    <w:rsid w:val="005C34C5"/>
    <w:rsid w:val="005D3A5A"/>
    <w:rsid w:val="005F76E3"/>
    <w:rsid w:val="006130A3"/>
    <w:rsid w:val="00613A72"/>
    <w:rsid w:val="006252F5"/>
    <w:rsid w:val="0064105E"/>
    <w:rsid w:val="00655F86"/>
    <w:rsid w:val="006567B5"/>
    <w:rsid w:val="00675EC8"/>
    <w:rsid w:val="006816E9"/>
    <w:rsid w:val="006819A7"/>
    <w:rsid w:val="006C402B"/>
    <w:rsid w:val="006F1FC3"/>
    <w:rsid w:val="00733632"/>
    <w:rsid w:val="00741852"/>
    <w:rsid w:val="00750875"/>
    <w:rsid w:val="00754B22"/>
    <w:rsid w:val="007705D5"/>
    <w:rsid w:val="007B04E4"/>
    <w:rsid w:val="007C69E5"/>
    <w:rsid w:val="007C74B3"/>
    <w:rsid w:val="007E03A4"/>
    <w:rsid w:val="0082746A"/>
    <w:rsid w:val="00832B25"/>
    <w:rsid w:val="00841418"/>
    <w:rsid w:val="008757B2"/>
    <w:rsid w:val="008A7D50"/>
    <w:rsid w:val="008B34A2"/>
    <w:rsid w:val="008B7AC2"/>
    <w:rsid w:val="008C6F88"/>
    <w:rsid w:val="008D528A"/>
    <w:rsid w:val="008D7C6D"/>
    <w:rsid w:val="00907192"/>
    <w:rsid w:val="00934F98"/>
    <w:rsid w:val="00942DC8"/>
    <w:rsid w:val="0095354E"/>
    <w:rsid w:val="0096503F"/>
    <w:rsid w:val="00965BDC"/>
    <w:rsid w:val="009700EC"/>
    <w:rsid w:val="009C79CA"/>
    <w:rsid w:val="009D0DA8"/>
    <w:rsid w:val="009F453F"/>
    <w:rsid w:val="00A0076A"/>
    <w:rsid w:val="00A10B47"/>
    <w:rsid w:val="00A12686"/>
    <w:rsid w:val="00A1597C"/>
    <w:rsid w:val="00A34A37"/>
    <w:rsid w:val="00A66AD0"/>
    <w:rsid w:val="00A75DD1"/>
    <w:rsid w:val="00A945C0"/>
    <w:rsid w:val="00AB054A"/>
    <w:rsid w:val="00AB0FD8"/>
    <w:rsid w:val="00AB5FF2"/>
    <w:rsid w:val="00B322EB"/>
    <w:rsid w:val="00B415A5"/>
    <w:rsid w:val="00B42D5E"/>
    <w:rsid w:val="00B4499A"/>
    <w:rsid w:val="00B4606C"/>
    <w:rsid w:val="00B528A4"/>
    <w:rsid w:val="00B5308B"/>
    <w:rsid w:val="00B660AA"/>
    <w:rsid w:val="00B73240"/>
    <w:rsid w:val="00B80406"/>
    <w:rsid w:val="00B9218F"/>
    <w:rsid w:val="00B93F34"/>
    <w:rsid w:val="00BA4613"/>
    <w:rsid w:val="00BB0148"/>
    <w:rsid w:val="00BC5F68"/>
    <w:rsid w:val="00BD1D53"/>
    <w:rsid w:val="00C252D0"/>
    <w:rsid w:val="00C52210"/>
    <w:rsid w:val="00C53BA2"/>
    <w:rsid w:val="00C5555E"/>
    <w:rsid w:val="00C7316B"/>
    <w:rsid w:val="00CE1D68"/>
    <w:rsid w:val="00CF67E7"/>
    <w:rsid w:val="00D16435"/>
    <w:rsid w:val="00D33AE9"/>
    <w:rsid w:val="00D511F6"/>
    <w:rsid w:val="00D55CB8"/>
    <w:rsid w:val="00D56123"/>
    <w:rsid w:val="00D60457"/>
    <w:rsid w:val="00D612FD"/>
    <w:rsid w:val="00D706AB"/>
    <w:rsid w:val="00D87154"/>
    <w:rsid w:val="00D94C99"/>
    <w:rsid w:val="00D9634D"/>
    <w:rsid w:val="00D975CF"/>
    <w:rsid w:val="00DA0FBA"/>
    <w:rsid w:val="00DA7FA4"/>
    <w:rsid w:val="00DC3FED"/>
    <w:rsid w:val="00DC58B0"/>
    <w:rsid w:val="00DE1EFD"/>
    <w:rsid w:val="00DF66D6"/>
    <w:rsid w:val="00E049FE"/>
    <w:rsid w:val="00E066E9"/>
    <w:rsid w:val="00E41603"/>
    <w:rsid w:val="00E46667"/>
    <w:rsid w:val="00E47DF9"/>
    <w:rsid w:val="00E6647A"/>
    <w:rsid w:val="00E9182D"/>
    <w:rsid w:val="00E97227"/>
    <w:rsid w:val="00EC0A68"/>
    <w:rsid w:val="00EF25A6"/>
    <w:rsid w:val="00EF3C0C"/>
    <w:rsid w:val="00EF6CB3"/>
    <w:rsid w:val="00F1693F"/>
    <w:rsid w:val="00F93B19"/>
    <w:rsid w:val="00FB4BC2"/>
    <w:rsid w:val="00FB5F93"/>
    <w:rsid w:val="00FF6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1C55E-4348-405A-978F-9F61AFE9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A5"/>
    <w:pPr>
      <w:spacing w:after="200" w:line="276" w:lineRule="auto"/>
    </w:pPr>
    <w:rPr>
      <w:rFonts w:ascii="Calibri" w:eastAsia="Calibri" w:hAnsi="Calibri" w:cs="Times New Roman"/>
      <w:lang w:val="es-CO"/>
    </w:rPr>
  </w:style>
  <w:style w:type="paragraph" w:styleId="Ttulo4">
    <w:name w:val="heading 4"/>
    <w:basedOn w:val="Normal"/>
    <w:next w:val="Normal"/>
    <w:link w:val="Ttulo4Car"/>
    <w:qFormat/>
    <w:rsid w:val="004D171C"/>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b/>
      <w:sz w:val="24"/>
      <w:szCs w:val="20"/>
      <w:lang w:val="es-ES" w:eastAsia="es-ES"/>
    </w:rPr>
  </w:style>
  <w:style w:type="paragraph" w:styleId="Ttulo5">
    <w:name w:val="heading 5"/>
    <w:basedOn w:val="Normal"/>
    <w:next w:val="Normal"/>
    <w:link w:val="Ttulo5Car"/>
    <w:uiPriority w:val="9"/>
    <w:semiHidden/>
    <w:unhideWhenUsed/>
    <w:qFormat/>
    <w:rsid w:val="002D16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15A5"/>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B415A5"/>
    <w:rPr>
      <w:rFonts w:ascii="Arial" w:eastAsia="Times New Roman" w:hAnsi="Arial" w:cs="Times New Roman"/>
      <w:sz w:val="26"/>
      <w:szCs w:val="20"/>
      <w:lang w:val="es-ES_tradnl" w:eastAsia="x-none"/>
    </w:rPr>
  </w:style>
  <w:style w:type="paragraph" w:styleId="Puesto">
    <w:name w:val="Title"/>
    <w:basedOn w:val="Normal"/>
    <w:link w:val="PuestoCar"/>
    <w:qFormat/>
    <w:rsid w:val="00B415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PuestoCar">
    <w:name w:val="Puesto Car"/>
    <w:basedOn w:val="Fuentedeprrafopredeter"/>
    <w:link w:val="Puesto"/>
    <w:rsid w:val="00B415A5"/>
    <w:rPr>
      <w:rFonts w:ascii="Roman 12cpi" w:eastAsia="Times New Roman" w:hAnsi="Roman 12cpi" w:cs="Times New Roman"/>
      <w:b/>
      <w:bCs/>
      <w:sz w:val="20"/>
      <w:szCs w:val="20"/>
      <w:lang w:eastAsia="es-ES"/>
    </w:rPr>
  </w:style>
  <w:style w:type="paragraph" w:styleId="Encabezado">
    <w:name w:val="header"/>
    <w:basedOn w:val="Normal"/>
    <w:link w:val="EncabezadoCar"/>
    <w:unhideWhenUsed/>
    <w:rsid w:val="00B415A5"/>
    <w:pPr>
      <w:tabs>
        <w:tab w:val="center" w:pos="4419"/>
        <w:tab w:val="right" w:pos="8838"/>
      </w:tabs>
    </w:pPr>
  </w:style>
  <w:style w:type="character" w:customStyle="1" w:styleId="EncabezadoCar">
    <w:name w:val="Encabezado Car"/>
    <w:basedOn w:val="Fuentedeprrafopredeter"/>
    <w:link w:val="Encabezado"/>
    <w:rsid w:val="00B415A5"/>
    <w:rPr>
      <w:rFonts w:ascii="Calibri" w:eastAsia="Calibri" w:hAnsi="Calibri" w:cs="Times New Roman"/>
      <w:lang w:val="es-CO"/>
    </w:rPr>
  </w:style>
  <w:style w:type="paragraph" w:styleId="Piedepgina">
    <w:name w:val="footer"/>
    <w:basedOn w:val="Normal"/>
    <w:link w:val="PiedepginaCar"/>
    <w:unhideWhenUsed/>
    <w:rsid w:val="00B415A5"/>
    <w:pPr>
      <w:tabs>
        <w:tab w:val="center" w:pos="4419"/>
        <w:tab w:val="right" w:pos="8838"/>
      </w:tabs>
    </w:pPr>
  </w:style>
  <w:style w:type="character" w:customStyle="1" w:styleId="PiedepginaCar">
    <w:name w:val="Pie de página Car"/>
    <w:basedOn w:val="Fuentedeprrafopredeter"/>
    <w:link w:val="Piedepgina"/>
    <w:rsid w:val="00B415A5"/>
    <w:rPr>
      <w:rFonts w:ascii="Calibri" w:eastAsia="Calibri" w:hAnsi="Calibri" w:cs="Times New Roman"/>
      <w:lang w:val="es-CO"/>
    </w:rPr>
  </w:style>
  <w:style w:type="character" w:customStyle="1" w:styleId="Ttulo4Car">
    <w:name w:val="Título 4 Car"/>
    <w:basedOn w:val="Fuentedeprrafopredeter"/>
    <w:link w:val="Ttulo4"/>
    <w:rsid w:val="004D171C"/>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094BCA"/>
    <w:pPr>
      <w:ind w:left="720"/>
      <w:contextualSpacing/>
    </w:pPr>
  </w:style>
  <w:style w:type="paragraph" w:styleId="Sinespaciado">
    <w:name w:val="No Spacing"/>
    <w:qFormat/>
    <w:rsid w:val="00194378"/>
    <w:pPr>
      <w:spacing w:after="0" w:line="240" w:lineRule="auto"/>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474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463"/>
    <w:rPr>
      <w:rFonts w:ascii="Segoe UI" w:eastAsia="Calibri" w:hAnsi="Segoe UI" w:cs="Segoe UI"/>
      <w:sz w:val="18"/>
      <w:szCs w:val="18"/>
      <w:lang w:val="es-CO"/>
    </w:rPr>
  </w:style>
  <w:style w:type="character" w:customStyle="1" w:styleId="Ttulo5Car">
    <w:name w:val="Título 5 Car"/>
    <w:basedOn w:val="Fuentedeprrafopredeter"/>
    <w:link w:val="Ttulo5"/>
    <w:uiPriority w:val="9"/>
    <w:semiHidden/>
    <w:rsid w:val="002D16F9"/>
    <w:rPr>
      <w:rFonts w:asciiTheme="majorHAnsi" w:eastAsiaTheme="majorEastAsia" w:hAnsiTheme="majorHAnsi" w:cstheme="majorBidi"/>
      <w:color w:val="2E74B5" w:themeColor="accent1" w:themeShade="BF"/>
      <w:lang w:val="es-CO"/>
    </w:rPr>
  </w:style>
  <w:style w:type="character" w:styleId="Refdenotaalpie">
    <w:name w:val="footnote reference"/>
    <w:basedOn w:val="Fuentedeprrafopredeter"/>
    <w:uiPriority w:val="99"/>
    <w:semiHidden/>
    <w:rsid w:val="00E9182D"/>
    <w:rPr>
      <w:rFonts w:cs="Times New Roman"/>
      <w:vertAlign w:val="superscript"/>
    </w:rPr>
  </w:style>
  <w:style w:type="paragraph" w:styleId="Textonotapie">
    <w:name w:val="footnote text"/>
    <w:basedOn w:val="Normal"/>
    <w:link w:val="TextonotapieCar"/>
    <w:uiPriority w:val="99"/>
    <w:semiHidden/>
    <w:rsid w:val="00E9182D"/>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E9182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semiHidden/>
    <w:unhideWhenUsed/>
    <w:rsid w:val="005B505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5051"/>
    <w:rPr>
      <w:rFonts w:ascii="Calibri" w:eastAsia="Calibri" w:hAnsi="Calibri" w:cs="Times New Roman"/>
      <w:sz w:val="16"/>
      <w:szCs w:val="16"/>
      <w:lang w:val="es-CO"/>
    </w:rPr>
  </w:style>
  <w:style w:type="paragraph" w:styleId="Sangradetextonormal">
    <w:name w:val="Body Text Indent"/>
    <w:basedOn w:val="Normal"/>
    <w:link w:val="SangradetextonormalCar"/>
    <w:uiPriority w:val="99"/>
    <w:rsid w:val="00AB0FD8"/>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AB0FD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EE15-C2B6-4DD2-90E9-EF027731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2610</Words>
  <Characters>14357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Richard Giovanny Diaz Moncayo</cp:lastModifiedBy>
  <cp:revision>21</cp:revision>
  <cp:lastPrinted>2016-04-06T13:50:00Z</cp:lastPrinted>
  <dcterms:created xsi:type="dcterms:W3CDTF">2016-03-30T20:10:00Z</dcterms:created>
  <dcterms:modified xsi:type="dcterms:W3CDTF">2016-04-06T13:57:00Z</dcterms:modified>
</cp:coreProperties>
</file>