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377AF5"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77AF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377AF5" w:rsidRDefault="009A4059" w:rsidP="000F3C74">
      <w:pPr>
        <w:pStyle w:val="Puesto"/>
        <w:spacing w:line="240" w:lineRule="auto"/>
        <w:jc w:val="both"/>
        <w:rPr>
          <w:rFonts w:ascii="Tahoma" w:hAnsi="Tahoma" w:cs="Tahoma"/>
          <w:b w:val="0"/>
          <w:sz w:val="18"/>
          <w:szCs w:val="18"/>
        </w:rPr>
      </w:pPr>
    </w:p>
    <w:p w14:paraId="7E4A2134" w14:textId="1713752C" w:rsidR="009A4059" w:rsidRPr="00377AF5" w:rsidRDefault="009A4059" w:rsidP="000F3C74">
      <w:pPr>
        <w:pStyle w:val="Puesto"/>
        <w:spacing w:line="240" w:lineRule="auto"/>
        <w:jc w:val="both"/>
        <w:rPr>
          <w:rFonts w:ascii="Tahoma" w:hAnsi="Tahoma" w:cs="Tahoma"/>
          <w:b w:val="0"/>
          <w:sz w:val="18"/>
          <w:szCs w:val="18"/>
        </w:rPr>
      </w:pPr>
      <w:r w:rsidRPr="00377AF5">
        <w:rPr>
          <w:rFonts w:ascii="Tahoma" w:hAnsi="Tahoma" w:cs="Tahoma"/>
          <w:sz w:val="18"/>
          <w:szCs w:val="18"/>
        </w:rPr>
        <w:t>Providencia:</w:t>
      </w:r>
      <w:r w:rsidRPr="00377AF5">
        <w:rPr>
          <w:rFonts w:ascii="Tahoma" w:hAnsi="Tahoma" w:cs="Tahoma"/>
          <w:b w:val="0"/>
          <w:sz w:val="18"/>
          <w:szCs w:val="18"/>
        </w:rPr>
        <w:t xml:space="preserve"> </w:t>
      </w:r>
      <w:r w:rsidRPr="00377AF5">
        <w:rPr>
          <w:rFonts w:ascii="Tahoma" w:hAnsi="Tahoma" w:cs="Tahoma"/>
          <w:b w:val="0"/>
          <w:sz w:val="18"/>
          <w:szCs w:val="18"/>
        </w:rPr>
        <w:tab/>
      </w:r>
      <w:r w:rsidRPr="00377AF5">
        <w:rPr>
          <w:rFonts w:ascii="Tahoma" w:hAnsi="Tahoma" w:cs="Tahoma"/>
          <w:b w:val="0"/>
          <w:sz w:val="18"/>
          <w:szCs w:val="18"/>
        </w:rPr>
        <w:tab/>
      </w:r>
      <w:r w:rsidRPr="00377AF5">
        <w:rPr>
          <w:rFonts w:ascii="Tahoma" w:hAnsi="Tahoma" w:cs="Tahoma"/>
          <w:b w:val="0"/>
          <w:bCs/>
          <w:sz w:val="18"/>
          <w:szCs w:val="18"/>
        </w:rPr>
        <w:t xml:space="preserve">Sentencia del </w:t>
      </w:r>
      <w:r w:rsidR="00503B2B" w:rsidRPr="00377AF5">
        <w:rPr>
          <w:rFonts w:ascii="Tahoma" w:hAnsi="Tahoma" w:cs="Tahoma"/>
          <w:b w:val="0"/>
          <w:bCs/>
          <w:sz w:val="18"/>
          <w:szCs w:val="18"/>
        </w:rPr>
        <w:t>24</w:t>
      </w:r>
      <w:r w:rsidR="00562633" w:rsidRPr="00377AF5">
        <w:rPr>
          <w:rFonts w:ascii="Tahoma" w:hAnsi="Tahoma" w:cs="Tahoma"/>
          <w:b w:val="0"/>
          <w:bCs/>
          <w:sz w:val="18"/>
          <w:szCs w:val="18"/>
        </w:rPr>
        <w:t xml:space="preserve"> de </w:t>
      </w:r>
      <w:r w:rsidR="00503B2B" w:rsidRPr="00377AF5">
        <w:rPr>
          <w:rFonts w:ascii="Tahoma" w:hAnsi="Tahoma" w:cs="Tahoma"/>
          <w:b w:val="0"/>
          <w:bCs/>
          <w:sz w:val="18"/>
          <w:szCs w:val="18"/>
        </w:rPr>
        <w:t>junio</w:t>
      </w:r>
      <w:r w:rsidR="00562633" w:rsidRPr="00377AF5">
        <w:rPr>
          <w:rFonts w:ascii="Tahoma" w:hAnsi="Tahoma" w:cs="Tahoma"/>
          <w:b w:val="0"/>
          <w:bCs/>
          <w:sz w:val="18"/>
          <w:szCs w:val="18"/>
        </w:rPr>
        <w:t xml:space="preserve"> </w:t>
      </w:r>
      <w:r w:rsidRPr="00377AF5">
        <w:rPr>
          <w:rFonts w:ascii="Tahoma" w:hAnsi="Tahoma" w:cs="Tahoma"/>
          <w:b w:val="0"/>
          <w:bCs/>
          <w:sz w:val="18"/>
          <w:szCs w:val="18"/>
        </w:rPr>
        <w:t>de 201</w:t>
      </w:r>
      <w:r w:rsidR="00503B2B" w:rsidRPr="00377AF5">
        <w:rPr>
          <w:rFonts w:ascii="Tahoma" w:hAnsi="Tahoma" w:cs="Tahoma"/>
          <w:b w:val="0"/>
          <w:bCs/>
          <w:sz w:val="18"/>
          <w:szCs w:val="18"/>
        </w:rPr>
        <w:t>6</w:t>
      </w:r>
      <w:r w:rsidRPr="00377AF5">
        <w:rPr>
          <w:rFonts w:ascii="Tahoma" w:hAnsi="Tahoma" w:cs="Tahoma"/>
          <w:b w:val="0"/>
          <w:bCs/>
          <w:sz w:val="18"/>
          <w:szCs w:val="18"/>
        </w:rPr>
        <w:t xml:space="preserve"> </w:t>
      </w:r>
    </w:p>
    <w:p w14:paraId="7CE8CA0A" w14:textId="2DC68B31" w:rsidR="009A4059" w:rsidRPr="00377AF5" w:rsidRDefault="009A4059" w:rsidP="000F3C74">
      <w:pPr>
        <w:pStyle w:val="Puesto"/>
        <w:spacing w:line="240" w:lineRule="auto"/>
        <w:jc w:val="both"/>
        <w:rPr>
          <w:rFonts w:ascii="Tahoma" w:hAnsi="Tahoma" w:cs="Tahoma"/>
          <w:b w:val="0"/>
          <w:sz w:val="18"/>
          <w:szCs w:val="18"/>
        </w:rPr>
      </w:pPr>
      <w:r w:rsidRPr="00377AF5">
        <w:rPr>
          <w:rFonts w:ascii="Tahoma" w:hAnsi="Tahoma" w:cs="Tahoma"/>
          <w:sz w:val="18"/>
          <w:szCs w:val="18"/>
        </w:rPr>
        <w:t>Radicación No.:</w:t>
      </w:r>
      <w:r w:rsidRPr="00377AF5">
        <w:rPr>
          <w:rFonts w:ascii="Tahoma" w:hAnsi="Tahoma" w:cs="Tahoma"/>
          <w:b w:val="0"/>
          <w:sz w:val="18"/>
          <w:szCs w:val="18"/>
        </w:rPr>
        <w:tab/>
      </w:r>
      <w:r w:rsidRPr="00377AF5">
        <w:rPr>
          <w:rFonts w:ascii="Tahoma" w:hAnsi="Tahoma" w:cs="Tahoma"/>
          <w:b w:val="0"/>
          <w:sz w:val="18"/>
          <w:szCs w:val="18"/>
        </w:rPr>
        <w:tab/>
        <w:t>66001-31-05-00</w:t>
      </w:r>
      <w:r w:rsidR="00503B2B" w:rsidRPr="00377AF5">
        <w:rPr>
          <w:rFonts w:ascii="Tahoma" w:hAnsi="Tahoma" w:cs="Tahoma"/>
          <w:b w:val="0"/>
          <w:sz w:val="18"/>
          <w:szCs w:val="18"/>
        </w:rPr>
        <w:t>1-2014-00292-0</w:t>
      </w:r>
      <w:r w:rsidR="00D935D6" w:rsidRPr="00377AF5">
        <w:rPr>
          <w:rFonts w:ascii="Tahoma" w:hAnsi="Tahoma" w:cs="Tahoma"/>
          <w:b w:val="0"/>
          <w:sz w:val="18"/>
          <w:szCs w:val="18"/>
        </w:rPr>
        <w:t>1</w:t>
      </w:r>
    </w:p>
    <w:p w14:paraId="099BCF1B" w14:textId="77777777" w:rsidR="009A4059" w:rsidRPr="00377AF5" w:rsidRDefault="009A4059" w:rsidP="000F3C74">
      <w:pPr>
        <w:pStyle w:val="Puesto"/>
        <w:spacing w:line="240" w:lineRule="auto"/>
        <w:jc w:val="both"/>
        <w:rPr>
          <w:rFonts w:ascii="Tahoma" w:hAnsi="Tahoma" w:cs="Tahoma"/>
          <w:b w:val="0"/>
          <w:sz w:val="18"/>
          <w:szCs w:val="18"/>
        </w:rPr>
      </w:pPr>
      <w:r w:rsidRPr="00377AF5">
        <w:rPr>
          <w:rFonts w:ascii="Tahoma" w:hAnsi="Tahoma" w:cs="Tahoma"/>
          <w:sz w:val="18"/>
          <w:szCs w:val="18"/>
        </w:rPr>
        <w:t>Proceso:</w:t>
      </w:r>
      <w:r w:rsidRPr="00377AF5">
        <w:rPr>
          <w:rFonts w:ascii="Tahoma" w:hAnsi="Tahoma" w:cs="Tahoma"/>
          <w:b w:val="0"/>
          <w:sz w:val="18"/>
          <w:szCs w:val="18"/>
        </w:rPr>
        <w:tab/>
      </w:r>
      <w:r w:rsidRPr="00377AF5">
        <w:rPr>
          <w:rFonts w:ascii="Tahoma" w:hAnsi="Tahoma" w:cs="Tahoma"/>
          <w:b w:val="0"/>
          <w:sz w:val="18"/>
          <w:szCs w:val="18"/>
        </w:rPr>
        <w:tab/>
        <w:t xml:space="preserve">Ordinario laboral </w:t>
      </w:r>
    </w:p>
    <w:p w14:paraId="396500D2" w14:textId="33C23EA8" w:rsidR="009A4059" w:rsidRPr="00377AF5" w:rsidRDefault="009A4059" w:rsidP="000F3C74">
      <w:pPr>
        <w:pStyle w:val="Puesto"/>
        <w:spacing w:line="240" w:lineRule="auto"/>
        <w:jc w:val="both"/>
        <w:rPr>
          <w:rFonts w:ascii="Tahoma" w:hAnsi="Tahoma" w:cs="Tahoma"/>
          <w:b w:val="0"/>
          <w:sz w:val="18"/>
          <w:szCs w:val="18"/>
        </w:rPr>
      </w:pPr>
      <w:r w:rsidRPr="00377AF5">
        <w:rPr>
          <w:rFonts w:ascii="Tahoma" w:hAnsi="Tahoma" w:cs="Tahoma"/>
          <w:sz w:val="18"/>
          <w:szCs w:val="18"/>
        </w:rPr>
        <w:t>Demandante:</w:t>
      </w:r>
      <w:r w:rsidRPr="00377AF5">
        <w:rPr>
          <w:rFonts w:ascii="Tahoma" w:hAnsi="Tahoma" w:cs="Tahoma"/>
          <w:b w:val="0"/>
          <w:sz w:val="18"/>
          <w:szCs w:val="18"/>
        </w:rPr>
        <w:tab/>
      </w:r>
      <w:r w:rsidRPr="00377AF5">
        <w:rPr>
          <w:rFonts w:ascii="Tahoma" w:hAnsi="Tahoma" w:cs="Tahoma"/>
          <w:b w:val="0"/>
          <w:sz w:val="18"/>
          <w:szCs w:val="18"/>
        </w:rPr>
        <w:tab/>
      </w:r>
      <w:r w:rsidR="00503B2B" w:rsidRPr="00377AF5">
        <w:rPr>
          <w:rFonts w:ascii="Tahoma" w:hAnsi="Tahoma" w:cs="Tahoma"/>
          <w:b w:val="0"/>
          <w:sz w:val="18"/>
          <w:szCs w:val="18"/>
        </w:rPr>
        <w:t>Laureano Gómez Salazar</w:t>
      </w:r>
    </w:p>
    <w:p w14:paraId="72DD5319" w14:textId="18FE2CEE" w:rsidR="009A4059" w:rsidRPr="00377AF5" w:rsidRDefault="009A4059" w:rsidP="000F3C74">
      <w:pPr>
        <w:pStyle w:val="Puesto"/>
        <w:spacing w:line="240" w:lineRule="auto"/>
        <w:ind w:left="708" w:hanging="708"/>
        <w:jc w:val="both"/>
        <w:rPr>
          <w:rFonts w:ascii="Tahoma" w:hAnsi="Tahoma" w:cs="Tahoma"/>
          <w:b w:val="0"/>
          <w:sz w:val="18"/>
          <w:szCs w:val="18"/>
        </w:rPr>
      </w:pPr>
      <w:r w:rsidRPr="00377AF5">
        <w:rPr>
          <w:rFonts w:ascii="Tahoma" w:hAnsi="Tahoma" w:cs="Tahoma"/>
          <w:sz w:val="18"/>
          <w:szCs w:val="18"/>
        </w:rPr>
        <w:t>Demandado:</w:t>
      </w:r>
      <w:r w:rsidR="00503B2B" w:rsidRPr="00377AF5">
        <w:rPr>
          <w:rFonts w:ascii="Tahoma" w:hAnsi="Tahoma" w:cs="Tahoma"/>
          <w:b w:val="0"/>
          <w:sz w:val="18"/>
          <w:szCs w:val="18"/>
        </w:rPr>
        <w:tab/>
      </w:r>
      <w:r w:rsidR="00503B2B" w:rsidRPr="00377AF5">
        <w:rPr>
          <w:rFonts w:ascii="Tahoma" w:hAnsi="Tahoma" w:cs="Tahoma"/>
          <w:b w:val="0"/>
          <w:sz w:val="18"/>
          <w:szCs w:val="18"/>
        </w:rPr>
        <w:tab/>
        <w:t>Administradora Colombiana de Pensiones – “Colpensiones”</w:t>
      </w:r>
    </w:p>
    <w:p w14:paraId="2FC9EBFB" w14:textId="0344BA23" w:rsidR="009A4059" w:rsidRPr="00377AF5" w:rsidRDefault="009A4059" w:rsidP="000F3C74">
      <w:pPr>
        <w:pStyle w:val="Puesto"/>
        <w:spacing w:line="240" w:lineRule="auto"/>
        <w:jc w:val="both"/>
        <w:rPr>
          <w:rFonts w:ascii="Tahoma" w:hAnsi="Tahoma" w:cs="Tahoma"/>
          <w:b w:val="0"/>
          <w:sz w:val="18"/>
          <w:szCs w:val="18"/>
        </w:rPr>
      </w:pPr>
      <w:r w:rsidRPr="00377AF5">
        <w:rPr>
          <w:rFonts w:ascii="Tahoma" w:hAnsi="Tahoma" w:cs="Tahoma"/>
          <w:sz w:val="18"/>
          <w:szCs w:val="18"/>
        </w:rPr>
        <w:t>Juzgado de origen:</w:t>
      </w:r>
      <w:r w:rsidRPr="00377AF5">
        <w:rPr>
          <w:rFonts w:ascii="Tahoma" w:hAnsi="Tahoma" w:cs="Tahoma"/>
          <w:b w:val="0"/>
          <w:sz w:val="18"/>
          <w:szCs w:val="18"/>
        </w:rPr>
        <w:t xml:space="preserve"> </w:t>
      </w:r>
      <w:r w:rsidRPr="00377AF5">
        <w:rPr>
          <w:rFonts w:ascii="Tahoma" w:hAnsi="Tahoma" w:cs="Tahoma"/>
          <w:b w:val="0"/>
          <w:sz w:val="18"/>
          <w:szCs w:val="18"/>
        </w:rPr>
        <w:tab/>
      </w:r>
      <w:r w:rsidR="00503B2B" w:rsidRPr="00377AF5">
        <w:rPr>
          <w:rFonts w:ascii="Tahoma" w:hAnsi="Tahoma" w:cs="Tahoma"/>
          <w:b w:val="0"/>
          <w:sz w:val="18"/>
          <w:szCs w:val="18"/>
        </w:rPr>
        <w:t>Primero Laboral del Circuito de Pereira</w:t>
      </w:r>
    </w:p>
    <w:p w14:paraId="706EC66F" w14:textId="77777777" w:rsidR="009A4059" w:rsidRPr="00377AF5" w:rsidRDefault="009A4059" w:rsidP="000F3C74">
      <w:pPr>
        <w:pStyle w:val="Puesto"/>
        <w:spacing w:line="240" w:lineRule="auto"/>
        <w:jc w:val="both"/>
        <w:rPr>
          <w:rFonts w:ascii="Tahoma" w:hAnsi="Tahoma" w:cs="Tahoma"/>
          <w:b w:val="0"/>
          <w:sz w:val="18"/>
          <w:szCs w:val="18"/>
        </w:rPr>
      </w:pPr>
      <w:r w:rsidRPr="00377AF5">
        <w:rPr>
          <w:rFonts w:ascii="Tahoma" w:hAnsi="Tahoma" w:cs="Tahoma"/>
          <w:sz w:val="18"/>
          <w:szCs w:val="18"/>
        </w:rPr>
        <w:t>Magistrada ponente:</w:t>
      </w:r>
      <w:r w:rsidRPr="00377AF5">
        <w:rPr>
          <w:rFonts w:ascii="Tahoma" w:hAnsi="Tahoma" w:cs="Tahoma"/>
          <w:b w:val="0"/>
          <w:sz w:val="18"/>
          <w:szCs w:val="18"/>
        </w:rPr>
        <w:tab/>
        <w:t>Dra. Ana Lucía Caicedo Calderón</w:t>
      </w:r>
    </w:p>
    <w:p w14:paraId="38E32D4C" w14:textId="310653C3" w:rsidR="00834E1F" w:rsidRPr="00377AF5" w:rsidRDefault="009A4059" w:rsidP="00503B2B">
      <w:pPr>
        <w:pStyle w:val="Puesto"/>
        <w:spacing w:line="240" w:lineRule="auto"/>
        <w:ind w:left="2805" w:hanging="2805"/>
        <w:jc w:val="both"/>
        <w:rPr>
          <w:rFonts w:ascii="Tahoma" w:hAnsi="Tahoma" w:cs="Tahoma"/>
          <w:sz w:val="18"/>
          <w:szCs w:val="18"/>
        </w:rPr>
      </w:pPr>
      <w:r w:rsidRPr="00377AF5">
        <w:rPr>
          <w:rFonts w:ascii="Tahoma" w:hAnsi="Tahoma" w:cs="Tahoma"/>
          <w:sz w:val="18"/>
          <w:szCs w:val="18"/>
        </w:rPr>
        <w:t>Tema:</w:t>
      </w:r>
      <w:r w:rsidRPr="00377AF5">
        <w:rPr>
          <w:rFonts w:ascii="Tahoma" w:hAnsi="Tahoma" w:cs="Tahoma"/>
          <w:sz w:val="18"/>
          <w:szCs w:val="18"/>
        </w:rPr>
        <w:tab/>
      </w:r>
    </w:p>
    <w:p w14:paraId="1B2FCC6A" w14:textId="265119F5" w:rsidR="0095324E" w:rsidRPr="00377AF5" w:rsidRDefault="0095324E" w:rsidP="0095324E">
      <w:pPr>
        <w:pStyle w:val="Puesto"/>
        <w:spacing w:line="240" w:lineRule="auto"/>
        <w:ind w:left="2127" w:firstLine="30"/>
        <w:jc w:val="both"/>
        <w:rPr>
          <w:b w:val="0"/>
          <w:i/>
          <w:sz w:val="18"/>
          <w:szCs w:val="18"/>
          <w:lang w:val="es-ES_tradnl" w:eastAsia="zh-CN"/>
        </w:rPr>
      </w:pPr>
      <w:r w:rsidRPr="00377AF5">
        <w:rPr>
          <w:rFonts w:ascii="Tahoma" w:hAnsi="Tahoma" w:cs="Tahoma"/>
          <w:sz w:val="18"/>
          <w:szCs w:val="18"/>
        </w:rPr>
        <w:t>Compatibilidad de pensiones:</w:t>
      </w:r>
      <w:r w:rsidRPr="00377AF5">
        <w:rPr>
          <w:rFonts w:ascii="Tahoma" w:hAnsi="Tahoma" w:cs="Tahoma"/>
          <w:b w:val="0"/>
          <w:sz w:val="18"/>
          <w:szCs w:val="18"/>
        </w:rPr>
        <w:t xml:space="preserve"> </w:t>
      </w:r>
      <w:r w:rsidRPr="00377AF5">
        <w:rPr>
          <w:b w:val="0"/>
          <w:i/>
          <w:sz w:val="18"/>
          <w:szCs w:val="18"/>
          <w:lang w:val="es-ES_tradnl" w:eastAsia="zh-CN"/>
        </w:rPr>
        <w:t>“</w:t>
      </w:r>
      <w:r w:rsidRPr="00377AF5">
        <w:rPr>
          <w:b w:val="0"/>
          <w:i/>
          <w:sz w:val="18"/>
          <w:szCs w:val="18"/>
          <w:u w:val="single"/>
          <w:lang w:val="es-ES_tradnl" w:eastAsia="zh-CN"/>
        </w:rPr>
        <w:t xml:space="preserve">La no </w:t>
      </w:r>
      <w:proofErr w:type="spellStart"/>
      <w:r w:rsidRPr="00377AF5">
        <w:rPr>
          <w:b w:val="0"/>
          <w:i/>
          <w:sz w:val="18"/>
          <w:szCs w:val="18"/>
          <w:u w:val="single"/>
          <w:lang w:val="es-ES_tradnl" w:eastAsia="zh-CN"/>
        </w:rPr>
        <w:t>compartibilidad</w:t>
      </w:r>
      <w:proofErr w:type="spellEnd"/>
      <w:r w:rsidRPr="00377AF5">
        <w:rPr>
          <w:b w:val="0"/>
          <w:i/>
          <w:sz w:val="18"/>
          <w:szCs w:val="18"/>
          <w:u w:val="single"/>
          <w:lang w:val="es-ES_tradnl" w:eastAsia="zh-CN"/>
        </w:rPr>
        <w:t xml:space="preserve"> (o compatibilidad) de una pensión</w:t>
      </w:r>
      <w:r w:rsidRPr="00377AF5">
        <w:rPr>
          <w:b w:val="0"/>
          <w:i/>
          <w:sz w:val="18"/>
          <w:szCs w:val="18"/>
          <w:lang w:val="es-ES_tradnl" w:eastAsia="zh-CN"/>
        </w:rPr>
        <w:t xml:space="preserve">, implica que el pensionado tiene derecho a recibir integralmente dos - o más - pensiones: la pensión extralegal y la pensión posteriormente reconocida por el I.S.S. En esta situación el empleador reconoce una pensión de jubilación convencional o extralegal por un monto determinado e inicia su pago. Sin embargo, el pensionado sigue cotizando ante el Instituto de Seguros Sociales y una vez cumple con los requisitos de ley, solicita ante el I.S.S. la pensión de vejez. Dicha entidad reconoce y ordena el pago de la pensión de vejez. En consecuencia, teniendo en cuenta que la pensión de jubilación reconocida por el empleador no tiene el carácter de compartida, el pensionado tiene derecho a recibir las dos mesadas pensionales. Se trata entonces de pensiones compatibles.” </w:t>
      </w:r>
      <w:r w:rsidRPr="00377AF5">
        <w:rPr>
          <w:b w:val="0"/>
          <w:i/>
          <w:sz w:val="18"/>
          <w:szCs w:val="18"/>
          <w:vertAlign w:val="superscript"/>
          <w:lang w:val="es-ES_tradnl" w:eastAsia="zh-CN"/>
        </w:rPr>
        <w:footnoteReference w:id="1"/>
      </w:r>
      <w:r w:rsidRPr="00377AF5">
        <w:rPr>
          <w:b w:val="0"/>
          <w:i/>
          <w:sz w:val="18"/>
          <w:szCs w:val="18"/>
          <w:lang w:val="es-ES_tradnl" w:eastAsia="zh-CN"/>
        </w:rPr>
        <w:t xml:space="preserve"> </w:t>
      </w:r>
    </w:p>
    <w:p w14:paraId="3A0E5D71" w14:textId="77777777" w:rsidR="009A4059" w:rsidRPr="00377AF5" w:rsidRDefault="009A4059" w:rsidP="000F3C74">
      <w:pPr>
        <w:pStyle w:val="Puesto"/>
        <w:spacing w:line="240" w:lineRule="auto"/>
        <w:ind w:left="2805" w:hanging="2805"/>
        <w:jc w:val="both"/>
        <w:rPr>
          <w:rFonts w:ascii="Tahoma" w:hAnsi="Tahoma" w:cs="Tahoma"/>
          <w:b w:val="0"/>
          <w:sz w:val="18"/>
          <w:szCs w:val="18"/>
        </w:rPr>
      </w:pPr>
    </w:p>
    <w:p w14:paraId="017D6C5C" w14:textId="77777777" w:rsidR="00834E1F" w:rsidRPr="00377AF5" w:rsidRDefault="00834E1F" w:rsidP="000F3C74">
      <w:pPr>
        <w:pStyle w:val="Puesto"/>
        <w:spacing w:line="240" w:lineRule="auto"/>
        <w:ind w:left="2805" w:hanging="2805"/>
        <w:jc w:val="both"/>
        <w:rPr>
          <w:rFonts w:ascii="Tahoma" w:hAnsi="Tahoma" w:cs="Tahoma"/>
          <w:b w:val="0"/>
          <w:sz w:val="18"/>
          <w:szCs w:val="18"/>
        </w:rPr>
      </w:pPr>
    </w:p>
    <w:p w14:paraId="43B2AF02" w14:textId="77777777" w:rsidR="00834E1F" w:rsidRPr="00377AF5" w:rsidRDefault="00834E1F" w:rsidP="000F3C74">
      <w:pPr>
        <w:pStyle w:val="Puesto"/>
        <w:spacing w:line="240" w:lineRule="auto"/>
        <w:ind w:left="2805" w:hanging="2805"/>
        <w:jc w:val="both"/>
        <w:rPr>
          <w:rFonts w:ascii="Tahoma" w:hAnsi="Tahoma" w:cs="Tahoma"/>
          <w:b w:val="0"/>
          <w:sz w:val="18"/>
          <w:szCs w:val="18"/>
        </w:rPr>
      </w:pPr>
    </w:p>
    <w:p w14:paraId="54239BB4" w14:textId="77777777" w:rsidR="009A4059" w:rsidRPr="00377AF5" w:rsidRDefault="009A4059" w:rsidP="00D935D6">
      <w:pPr>
        <w:pStyle w:val="Ttulo4"/>
        <w:widowControl w:val="0"/>
        <w:tabs>
          <w:tab w:val="clear" w:pos="0"/>
        </w:tabs>
        <w:rPr>
          <w:rFonts w:ascii="Tahoma" w:hAnsi="Tahoma" w:cs="Tahoma"/>
          <w:bCs/>
          <w:szCs w:val="24"/>
          <w:lang w:eastAsia="es-MX"/>
        </w:rPr>
      </w:pPr>
      <w:r w:rsidRPr="00377AF5">
        <w:rPr>
          <w:rFonts w:ascii="Tahoma" w:hAnsi="Tahoma" w:cs="Tahoma"/>
          <w:bCs/>
          <w:szCs w:val="24"/>
          <w:lang w:eastAsia="es-MX"/>
        </w:rPr>
        <w:t>TRIBUNAL SUPERIOR DEL DISTRITO JUDICIAL DE PEREIRA</w:t>
      </w:r>
    </w:p>
    <w:p w14:paraId="7519388E" w14:textId="4655E408" w:rsidR="009A4059" w:rsidRPr="00377AF5" w:rsidRDefault="009A4059" w:rsidP="00D935D6">
      <w:pPr>
        <w:pStyle w:val="Ttulo4"/>
        <w:widowControl w:val="0"/>
        <w:tabs>
          <w:tab w:val="clear" w:pos="0"/>
        </w:tabs>
        <w:rPr>
          <w:rFonts w:ascii="Tahoma" w:hAnsi="Tahoma" w:cs="Tahoma"/>
          <w:bCs/>
          <w:szCs w:val="24"/>
          <w:lang w:eastAsia="es-MX"/>
        </w:rPr>
      </w:pPr>
      <w:r w:rsidRPr="00377AF5">
        <w:rPr>
          <w:rFonts w:ascii="Tahoma" w:hAnsi="Tahoma" w:cs="Tahoma"/>
          <w:bCs/>
          <w:szCs w:val="24"/>
          <w:lang w:eastAsia="es-MX"/>
        </w:rPr>
        <w:t xml:space="preserve">SALA </w:t>
      </w:r>
      <w:r w:rsidR="00D935D6" w:rsidRPr="00377AF5">
        <w:rPr>
          <w:rFonts w:ascii="Tahoma" w:hAnsi="Tahoma" w:cs="Tahoma"/>
          <w:bCs/>
          <w:szCs w:val="24"/>
          <w:lang w:eastAsia="es-MX"/>
        </w:rPr>
        <w:t xml:space="preserve">DE DECISIÓN </w:t>
      </w:r>
      <w:r w:rsidRPr="00377AF5">
        <w:rPr>
          <w:rFonts w:ascii="Tahoma" w:hAnsi="Tahoma" w:cs="Tahoma"/>
          <w:bCs/>
          <w:szCs w:val="24"/>
          <w:lang w:eastAsia="es-MX"/>
        </w:rPr>
        <w:t>LABORAL</w:t>
      </w:r>
      <w:r w:rsidR="00D935D6" w:rsidRPr="00377AF5">
        <w:rPr>
          <w:rFonts w:ascii="Tahoma" w:hAnsi="Tahoma" w:cs="Tahoma"/>
          <w:bCs/>
          <w:szCs w:val="24"/>
          <w:lang w:eastAsia="es-MX"/>
        </w:rPr>
        <w:t xml:space="preserve"> No. 1</w:t>
      </w:r>
    </w:p>
    <w:p w14:paraId="639B9C91" w14:textId="77777777" w:rsidR="009A4059" w:rsidRPr="00377AF5" w:rsidRDefault="009A4059" w:rsidP="00D935D6">
      <w:pPr>
        <w:jc w:val="center"/>
        <w:rPr>
          <w:rFonts w:ascii="Tahoma" w:hAnsi="Tahoma" w:cs="Tahoma"/>
          <w:bCs/>
        </w:rPr>
      </w:pPr>
    </w:p>
    <w:p w14:paraId="63D23F9D" w14:textId="77777777" w:rsidR="009A4059" w:rsidRPr="00377AF5" w:rsidRDefault="009A4059" w:rsidP="00D935D6">
      <w:pPr>
        <w:jc w:val="center"/>
        <w:rPr>
          <w:rFonts w:ascii="Tahoma" w:hAnsi="Tahoma" w:cs="Tahoma"/>
          <w:b/>
          <w:bCs/>
          <w:sz w:val="22"/>
          <w:szCs w:val="22"/>
        </w:rPr>
      </w:pPr>
      <w:r w:rsidRPr="00377AF5">
        <w:rPr>
          <w:rFonts w:ascii="Tahoma" w:hAnsi="Tahoma" w:cs="Tahoma"/>
          <w:bCs/>
          <w:sz w:val="22"/>
          <w:szCs w:val="22"/>
        </w:rPr>
        <w:t>Magistrada Ponente:</w:t>
      </w:r>
      <w:r w:rsidRPr="00377AF5">
        <w:rPr>
          <w:rFonts w:ascii="Tahoma" w:hAnsi="Tahoma" w:cs="Tahoma"/>
          <w:b/>
          <w:bCs/>
          <w:sz w:val="22"/>
          <w:szCs w:val="22"/>
        </w:rPr>
        <w:t xml:space="preserve"> Ana Lucía Caicedo Calderón</w:t>
      </w:r>
    </w:p>
    <w:p w14:paraId="13DF5B2E" w14:textId="77777777" w:rsidR="009A4059" w:rsidRPr="00377AF5" w:rsidRDefault="009A4059" w:rsidP="00D935D6">
      <w:pPr>
        <w:jc w:val="center"/>
        <w:rPr>
          <w:rFonts w:ascii="Tahoma" w:hAnsi="Tahoma" w:cs="Tahoma"/>
          <w:b/>
          <w:sz w:val="22"/>
          <w:szCs w:val="22"/>
        </w:rPr>
      </w:pPr>
    </w:p>
    <w:p w14:paraId="7AB9B1D3" w14:textId="77777777" w:rsidR="009A4059" w:rsidRPr="00377AF5" w:rsidRDefault="00D83F33" w:rsidP="00D935D6">
      <w:pPr>
        <w:jc w:val="center"/>
        <w:rPr>
          <w:rFonts w:ascii="Tahoma" w:hAnsi="Tahoma" w:cs="Tahoma"/>
          <w:b/>
          <w:sz w:val="22"/>
          <w:szCs w:val="22"/>
        </w:rPr>
      </w:pPr>
      <w:r w:rsidRPr="00377AF5">
        <w:rPr>
          <w:rFonts w:ascii="Tahoma" w:hAnsi="Tahoma" w:cs="Tahoma"/>
          <w:b/>
          <w:sz w:val="22"/>
          <w:szCs w:val="22"/>
        </w:rPr>
        <w:t xml:space="preserve">Acta </w:t>
      </w:r>
      <w:r w:rsidR="009A4059" w:rsidRPr="00377AF5">
        <w:rPr>
          <w:rFonts w:ascii="Tahoma" w:hAnsi="Tahoma" w:cs="Tahoma"/>
          <w:b/>
          <w:sz w:val="22"/>
          <w:szCs w:val="22"/>
        </w:rPr>
        <w:t>No. ____</w:t>
      </w:r>
    </w:p>
    <w:p w14:paraId="40E7DBBF" w14:textId="1C796BE6" w:rsidR="009A4059" w:rsidRPr="00377AF5" w:rsidRDefault="009A4059" w:rsidP="00D935D6">
      <w:pPr>
        <w:jc w:val="center"/>
        <w:rPr>
          <w:rFonts w:ascii="Tahoma" w:hAnsi="Tahoma" w:cs="Tahoma"/>
          <w:b/>
          <w:sz w:val="22"/>
          <w:szCs w:val="22"/>
        </w:rPr>
      </w:pPr>
      <w:r w:rsidRPr="00377AF5">
        <w:rPr>
          <w:rFonts w:ascii="Tahoma" w:hAnsi="Tahoma" w:cs="Tahoma"/>
          <w:b/>
          <w:sz w:val="22"/>
          <w:szCs w:val="22"/>
        </w:rPr>
        <w:t>(</w:t>
      </w:r>
      <w:r w:rsidR="00503B2B" w:rsidRPr="00377AF5">
        <w:rPr>
          <w:rFonts w:ascii="Tahoma" w:hAnsi="Tahoma" w:cs="Tahoma"/>
          <w:b/>
          <w:sz w:val="22"/>
          <w:szCs w:val="22"/>
        </w:rPr>
        <w:t>Junio 24 de 2016</w:t>
      </w:r>
      <w:r w:rsidRPr="00377AF5">
        <w:rPr>
          <w:rFonts w:ascii="Tahoma" w:hAnsi="Tahoma" w:cs="Tahoma"/>
          <w:b/>
          <w:sz w:val="22"/>
          <w:szCs w:val="22"/>
        </w:rPr>
        <w:t>)</w:t>
      </w:r>
    </w:p>
    <w:p w14:paraId="19E5FE0A" w14:textId="77777777" w:rsidR="009A4059" w:rsidRPr="00377AF5" w:rsidRDefault="009A4059" w:rsidP="00D935D6">
      <w:pPr>
        <w:jc w:val="both"/>
        <w:rPr>
          <w:rFonts w:ascii="Tahoma" w:hAnsi="Tahoma" w:cs="Tahoma"/>
          <w:sz w:val="22"/>
          <w:szCs w:val="22"/>
        </w:rPr>
      </w:pPr>
    </w:p>
    <w:p w14:paraId="274F7C55" w14:textId="77777777" w:rsidR="009A4059" w:rsidRPr="00377AF5" w:rsidRDefault="009A4059" w:rsidP="00D935D6">
      <w:pPr>
        <w:pStyle w:val="Ttulo5"/>
        <w:spacing w:line="240" w:lineRule="auto"/>
        <w:ind w:firstLine="0"/>
        <w:jc w:val="center"/>
        <w:rPr>
          <w:rFonts w:ascii="Tahoma" w:hAnsi="Tahoma" w:cs="Tahoma"/>
          <w:sz w:val="22"/>
          <w:szCs w:val="22"/>
        </w:rPr>
      </w:pPr>
      <w:r w:rsidRPr="00377AF5">
        <w:rPr>
          <w:rFonts w:ascii="Tahoma" w:hAnsi="Tahoma" w:cs="Tahoma"/>
          <w:sz w:val="22"/>
          <w:szCs w:val="22"/>
        </w:rPr>
        <w:t>Sistema oral - Audiencia de juzgamiento</w:t>
      </w:r>
    </w:p>
    <w:p w14:paraId="2F619349" w14:textId="77777777" w:rsidR="009A4059" w:rsidRPr="00377AF5" w:rsidRDefault="009A4059" w:rsidP="000F3C74">
      <w:pPr>
        <w:spacing w:line="276" w:lineRule="auto"/>
        <w:jc w:val="both"/>
        <w:rPr>
          <w:rFonts w:ascii="Tahoma" w:hAnsi="Tahoma" w:cs="Tahoma"/>
          <w:sz w:val="22"/>
          <w:szCs w:val="22"/>
          <w:lang w:val="es-ES_tradnl"/>
        </w:rPr>
      </w:pPr>
      <w:r w:rsidRPr="00377AF5">
        <w:rPr>
          <w:rFonts w:ascii="Tahoma" w:hAnsi="Tahoma" w:cs="Tahoma"/>
          <w:b/>
          <w:sz w:val="22"/>
          <w:szCs w:val="22"/>
        </w:rPr>
        <w:tab/>
      </w:r>
    </w:p>
    <w:p w14:paraId="4D5C1928" w14:textId="20DD1A12" w:rsidR="009A4059" w:rsidRPr="00377AF5" w:rsidRDefault="00BB563F" w:rsidP="000F3C74">
      <w:pPr>
        <w:spacing w:line="276" w:lineRule="auto"/>
        <w:ind w:firstLine="708"/>
        <w:jc w:val="both"/>
        <w:rPr>
          <w:rFonts w:ascii="Tahoma" w:hAnsi="Tahoma" w:cs="Tahoma"/>
          <w:b/>
          <w:sz w:val="22"/>
          <w:szCs w:val="22"/>
          <w:lang w:val="es-ES_tradnl"/>
        </w:rPr>
      </w:pPr>
      <w:r w:rsidRPr="00377AF5">
        <w:rPr>
          <w:rFonts w:ascii="Tahoma" w:hAnsi="Tahoma" w:cs="Tahoma"/>
          <w:sz w:val="22"/>
          <w:szCs w:val="22"/>
          <w:lang w:val="es-ES_tradnl"/>
        </w:rPr>
        <w:t>S</w:t>
      </w:r>
      <w:r w:rsidR="009A4059" w:rsidRPr="00377AF5">
        <w:rPr>
          <w:rFonts w:ascii="Tahoma" w:hAnsi="Tahoma" w:cs="Tahoma"/>
          <w:sz w:val="22"/>
          <w:szCs w:val="22"/>
          <w:lang w:val="es-ES_tradnl"/>
        </w:rPr>
        <w:t xml:space="preserve">iendo las </w:t>
      </w:r>
      <w:r w:rsidR="00D935D6" w:rsidRPr="00377AF5">
        <w:rPr>
          <w:rFonts w:ascii="Tahoma" w:hAnsi="Tahoma" w:cs="Tahoma"/>
          <w:sz w:val="22"/>
          <w:szCs w:val="22"/>
          <w:lang w:val="es-ES_tradnl"/>
        </w:rPr>
        <w:t>2</w:t>
      </w:r>
      <w:r w:rsidR="00A50403" w:rsidRPr="00377AF5">
        <w:rPr>
          <w:rFonts w:ascii="Tahoma" w:hAnsi="Tahoma" w:cs="Tahoma"/>
          <w:sz w:val="22"/>
          <w:szCs w:val="22"/>
          <w:lang w:val="es-ES_tradnl"/>
        </w:rPr>
        <w:t>:</w:t>
      </w:r>
      <w:r w:rsidR="00D935D6" w:rsidRPr="00377AF5">
        <w:rPr>
          <w:rFonts w:ascii="Tahoma" w:hAnsi="Tahoma" w:cs="Tahoma"/>
          <w:sz w:val="22"/>
          <w:szCs w:val="22"/>
          <w:lang w:val="es-ES_tradnl"/>
        </w:rPr>
        <w:t>3</w:t>
      </w:r>
      <w:r w:rsidR="00A50403" w:rsidRPr="00377AF5">
        <w:rPr>
          <w:rFonts w:ascii="Tahoma" w:hAnsi="Tahoma" w:cs="Tahoma"/>
          <w:sz w:val="22"/>
          <w:szCs w:val="22"/>
          <w:lang w:val="es-ES_tradnl"/>
        </w:rPr>
        <w:t>0 p</w:t>
      </w:r>
      <w:r w:rsidR="00D6746B" w:rsidRPr="00377AF5">
        <w:rPr>
          <w:rFonts w:ascii="Tahoma" w:hAnsi="Tahoma" w:cs="Tahoma"/>
          <w:sz w:val="22"/>
          <w:szCs w:val="22"/>
          <w:lang w:val="es-ES_tradnl"/>
        </w:rPr>
        <w:t>.</w:t>
      </w:r>
      <w:r w:rsidR="00A50403" w:rsidRPr="00377AF5">
        <w:rPr>
          <w:rFonts w:ascii="Tahoma" w:hAnsi="Tahoma" w:cs="Tahoma"/>
          <w:sz w:val="22"/>
          <w:szCs w:val="22"/>
          <w:lang w:val="es-ES_tradnl"/>
        </w:rPr>
        <w:t>m</w:t>
      </w:r>
      <w:r w:rsidR="00C30D72" w:rsidRPr="00377AF5">
        <w:rPr>
          <w:rFonts w:ascii="Tahoma" w:hAnsi="Tahoma" w:cs="Tahoma"/>
          <w:sz w:val="22"/>
          <w:szCs w:val="22"/>
          <w:lang w:val="es-ES_tradnl"/>
        </w:rPr>
        <w:t>.</w:t>
      </w:r>
      <w:r w:rsidR="00D935D6" w:rsidRPr="00377AF5">
        <w:rPr>
          <w:rFonts w:ascii="Tahoma" w:hAnsi="Tahoma" w:cs="Tahoma"/>
          <w:sz w:val="22"/>
          <w:szCs w:val="22"/>
          <w:lang w:val="es-ES_tradnl"/>
        </w:rPr>
        <w:t xml:space="preserve"> de hoy,</w:t>
      </w:r>
      <w:r w:rsidR="00C30D72" w:rsidRPr="00377AF5">
        <w:rPr>
          <w:rFonts w:ascii="Tahoma" w:hAnsi="Tahoma" w:cs="Tahoma"/>
          <w:sz w:val="22"/>
          <w:szCs w:val="22"/>
          <w:lang w:val="es-ES_tradnl"/>
        </w:rPr>
        <w:t xml:space="preserve"> </w:t>
      </w:r>
      <w:r w:rsidR="00D935D6" w:rsidRPr="00377AF5">
        <w:rPr>
          <w:rFonts w:ascii="Tahoma" w:hAnsi="Tahoma" w:cs="Tahoma"/>
          <w:sz w:val="22"/>
          <w:szCs w:val="22"/>
          <w:lang w:val="es-ES_tradnl"/>
        </w:rPr>
        <w:t>24 de junio de 2016</w:t>
      </w:r>
      <w:r w:rsidR="001205FA" w:rsidRPr="00377AF5">
        <w:rPr>
          <w:rFonts w:ascii="Tahoma" w:hAnsi="Tahoma" w:cs="Tahoma"/>
          <w:sz w:val="22"/>
          <w:szCs w:val="22"/>
          <w:lang w:val="es-ES_tradnl"/>
        </w:rPr>
        <w:t xml:space="preserve">, </w:t>
      </w:r>
      <w:r w:rsidR="000F560E">
        <w:rPr>
          <w:rFonts w:ascii="Tahoma" w:hAnsi="Tahoma" w:cs="Tahoma"/>
          <w:sz w:val="22"/>
          <w:szCs w:val="22"/>
          <w:lang w:val="es-ES_tradnl"/>
        </w:rPr>
        <w:t xml:space="preserve">la </w:t>
      </w:r>
      <w:r w:rsidR="000F560E" w:rsidRPr="000F560E">
        <w:rPr>
          <w:rFonts w:ascii="Tahoma" w:hAnsi="Tahoma" w:cs="Tahoma"/>
          <w:b/>
          <w:sz w:val="22"/>
          <w:szCs w:val="22"/>
          <w:lang w:val="es-ES_tradnl"/>
        </w:rPr>
        <w:t xml:space="preserve">Sala de Decisión Laboral No. 1 del Tribunal Superior </w:t>
      </w:r>
      <w:r w:rsidR="001205FA" w:rsidRPr="000F560E">
        <w:rPr>
          <w:rFonts w:ascii="Tahoma" w:hAnsi="Tahoma" w:cs="Tahoma"/>
          <w:b/>
          <w:sz w:val="22"/>
          <w:szCs w:val="22"/>
          <w:lang w:val="es-ES_tradnl"/>
        </w:rPr>
        <w:t xml:space="preserve">de </w:t>
      </w:r>
      <w:r w:rsidRPr="000F560E">
        <w:rPr>
          <w:rFonts w:ascii="Tahoma" w:hAnsi="Tahoma" w:cs="Tahoma"/>
          <w:b/>
          <w:sz w:val="22"/>
          <w:szCs w:val="22"/>
          <w:lang w:val="es-ES_tradnl"/>
        </w:rPr>
        <w:t>Pereira</w:t>
      </w:r>
      <w:r w:rsidRPr="00377AF5">
        <w:rPr>
          <w:rFonts w:ascii="Tahoma" w:hAnsi="Tahoma" w:cs="Tahoma"/>
          <w:sz w:val="22"/>
          <w:szCs w:val="22"/>
          <w:lang w:val="es-ES_tradnl"/>
        </w:rPr>
        <w:t xml:space="preserve"> se constituyó</w:t>
      </w:r>
      <w:r w:rsidR="009A4059" w:rsidRPr="00377AF5">
        <w:rPr>
          <w:rFonts w:ascii="Tahoma" w:hAnsi="Tahoma" w:cs="Tahoma"/>
          <w:sz w:val="22"/>
          <w:szCs w:val="22"/>
          <w:lang w:val="es-ES_tradnl"/>
        </w:rPr>
        <w:t xml:space="preserve"> en </w:t>
      </w:r>
      <w:r w:rsidR="00D90180" w:rsidRPr="00377AF5">
        <w:rPr>
          <w:rFonts w:ascii="Tahoma" w:hAnsi="Tahoma" w:cs="Tahoma"/>
          <w:sz w:val="22"/>
          <w:szCs w:val="22"/>
          <w:lang w:val="es-ES_tradnl"/>
        </w:rPr>
        <w:t xml:space="preserve">audiencia pública </w:t>
      </w:r>
      <w:r w:rsidR="009A4059" w:rsidRPr="00377AF5">
        <w:rPr>
          <w:rFonts w:ascii="Tahoma" w:hAnsi="Tahoma" w:cs="Tahoma"/>
          <w:sz w:val="22"/>
          <w:szCs w:val="22"/>
          <w:lang w:val="es-ES_tradnl"/>
        </w:rPr>
        <w:t>de</w:t>
      </w:r>
      <w:r w:rsidR="001205FA" w:rsidRPr="00377AF5">
        <w:rPr>
          <w:rFonts w:ascii="Tahoma" w:hAnsi="Tahoma" w:cs="Tahoma"/>
          <w:sz w:val="22"/>
          <w:szCs w:val="22"/>
          <w:lang w:val="es-ES_tradnl"/>
        </w:rPr>
        <w:t xml:space="preserve"> trámite y</w:t>
      </w:r>
      <w:r w:rsidR="009A4059" w:rsidRPr="00377AF5">
        <w:rPr>
          <w:rFonts w:ascii="Tahoma" w:hAnsi="Tahoma" w:cs="Tahoma"/>
          <w:sz w:val="22"/>
          <w:szCs w:val="22"/>
          <w:lang w:val="es-ES_tradnl"/>
        </w:rPr>
        <w:t xml:space="preserve"> </w:t>
      </w:r>
      <w:r w:rsidR="00D90180" w:rsidRPr="00377AF5">
        <w:rPr>
          <w:rFonts w:ascii="Tahoma" w:hAnsi="Tahoma" w:cs="Tahoma"/>
          <w:sz w:val="22"/>
          <w:szCs w:val="22"/>
          <w:lang w:val="es-ES_tradnl"/>
        </w:rPr>
        <w:t>juzgamiento</w:t>
      </w:r>
      <w:r w:rsidR="009A4059" w:rsidRPr="00377AF5">
        <w:rPr>
          <w:rFonts w:ascii="Tahoma" w:hAnsi="Tahoma" w:cs="Tahoma"/>
          <w:sz w:val="22"/>
          <w:szCs w:val="22"/>
          <w:lang w:val="es-ES_tradnl"/>
        </w:rPr>
        <w:t xml:space="preserve"> en el proceso ordinario laboral instaurado por </w:t>
      </w:r>
      <w:bookmarkStart w:id="0" w:name="_GoBack"/>
      <w:bookmarkEnd w:id="0"/>
      <w:r w:rsidR="001205FA" w:rsidRPr="00377AF5">
        <w:rPr>
          <w:rFonts w:ascii="Tahoma" w:hAnsi="Tahoma" w:cs="Tahoma"/>
          <w:b/>
          <w:sz w:val="22"/>
          <w:szCs w:val="22"/>
          <w:lang w:val="es-ES_tradnl"/>
        </w:rPr>
        <w:t>Laureano Gómez Salazar</w:t>
      </w:r>
      <w:r w:rsidR="00F62B16" w:rsidRPr="00377AF5">
        <w:rPr>
          <w:rFonts w:ascii="Tahoma" w:hAnsi="Tahoma" w:cs="Tahoma"/>
          <w:b/>
          <w:sz w:val="22"/>
          <w:szCs w:val="22"/>
          <w:lang w:val="es-ES_tradnl"/>
        </w:rPr>
        <w:t xml:space="preserve"> </w:t>
      </w:r>
      <w:r w:rsidR="007D15D1" w:rsidRPr="00377AF5">
        <w:rPr>
          <w:rFonts w:ascii="Tahoma" w:hAnsi="Tahoma" w:cs="Tahoma"/>
          <w:sz w:val="22"/>
          <w:szCs w:val="22"/>
          <w:lang w:val="es-ES_tradnl"/>
        </w:rPr>
        <w:t>e</w:t>
      </w:r>
      <w:r w:rsidR="009C29D3" w:rsidRPr="00377AF5">
        <w:rPr>
          <w:rFonts w:ascii="Tahoma" w:hAnsi="Tahoma" w:cs="Tahoma"/>
          <w:sz w:val="22"/>
          <w:szCs w:val="22"/>
          <w:lang w:val="es-ES_tradnl"/>
        </w:rPr>
        <w:t>n</w:t>
      </w:r>
      <w:r w:rsidR="009A4059" w:rsidRPr="00377AF5">
        <w:rPr>
          <w:rFonts w:ascii="Tahoma" w:hAnsi="Tahoma" w:cs="Tahoma"/>
          <w:sz w:val="22"/>
          <w:szCs w:val="22"/>
          <w:lang w:val="es-ES_tradnl"/>
        </w:rPr>
        <w:t xml:space="preserve"> contra de</w:t>
      </w:r>
      <w:r w:rsidR="00D90180" w:rsidRPr="00377AF5">
        <w:rPr>
          <w:rFonts w:ascii="Tahoma" w:hAnsi="Tahoma" w:cs="Tahoma"/>
          <w:sz w:val="22"/>
          <w:szCs w:val="22"/>
          <w:lang w:val="es-ES_tradnl"/>
        </w:rPr>
        <w:t xml:space="preserve"> </w:t>
      </w:r>
      <w:r w:rsidR="009A4059" w:rsidRPr="00377AF5">
        <w:rPr>
          <w:rFonts w:ascii="Tahoma" w:hAnsi="Tahoma" w:cs="Tahoma"/>
          <w:sz w:val="22"/>
          <w:szCs w:val="22"/>
          <w:lang w:val="es-ES_tradnl"/>
        </w:rPr>
        <w:t>l</w:t>
      </w:r>
      <w:r w:rsidR="00D90180" w:rsidRPr="00377AF5">
        <w:rPr>
          <w:rFonts w:ascii="Tahoma" w:hAnsi="Tahoma" w:cs="Tahoma"/>
          <w:sz w:val="22"/>
          <w:szCs w:val="22"/>
          <w:lang w:val="es-ES_tradnl"/>
        </w:rPr>
        <w:t>a</w:t>
      </w:r>
      <w:r w:rsidR="009A4059" w:rsidRPr="00377AF5">
        <w:rPr>
          <w:rFonts w:ascii="Tahoma" w:hAnsi="Tahoma" w:cs="Tahoma"/>
          <w:sz w:val="22"/>
          <w:szCs w:val="22"/>
          <w:lang w:val="es-ES_tradnl"/>
        </w:rPr>
        <w:t xml:space="preserve"> </w:t>
      </w:r>
      <w:r w:rsidR="001205FA" w:rsidRPr="00377AF5">
        <w:rPr>
          <w:rFonts w:ascii="Tahoma" w:hAnsi="Tahoma" w:cs="Tahoma"/>
          <w:b/>
          <w:sz w:val="22"/>
          <w:szCs w:val="22"/>
          <w:lang w:val="es-ES_tradnl"/>
        </w:rPr>
        <w:t>Administradora Colombiana de Pensiones – “Colpensiones”</w:t>
      </w:r>
      <w:r w:rsidR="00561269" w:rsidRPr="00377AF5">
        <w:rPr>
          <w:rFonts w:ascii="Tahoma" w:hAnsi="Tahoma" w:cs="Tahoma"/>
          <w:b/>
          <w:sz w:val="22"/>
          <w:szCs w:val="22"/>
          <w:lang w:val="es-ES_tradnl"/>
        </w:rPr>
        <w:t>.</w:t>
      </w:r>
    </w:p>
    <w:p w14:paraId="6A70EA2D" w14:textId="77777777" w:rsidR="00561269" w:rsidRPr="00377AF5" w:rsidRDefault="00561269" w:rsidP="000F3C74">
      <w:pPr>
        <w:spacing w:line="276" w:lineRule="auto"/>
        <w:ind w:firstLine="708"/>
        <w:jc w:val="both"/>
        <w:rPr>
          <w:rFonts w:ascii="Tahoma" w:hAnsi="Tahoma" w:cs="Tahoma"/>
          <w:sz w:val="22"/>
          <w:szCs w:val="22"/>
          <w:lang w:val="es-ES_tradnl"/>
        </w:rPr>
      </w:pPr>
    </w:p>
    <w:p w14:paraId="20749F6D" w14:textId="05D2D5D7" w:rsidR="009A4059" w:rsidRPr="00377AF5" w:rsidRDefault="001205FA" w:rsidP="001205FA">
      <w:pPr>
        <w:spacing w:line="276" w:lineRule="auto"/>
        <w:ind w:firstLine="708"/>
        <w:jc w:val="both"/>
        <w:rPr>
          <w:rFonts w:ascii="Tahoma" w:hAnsi="Tahoma" w:cs="Tahoma"/>
          <w:sz w:val="22"/>
          <w:szCs w:val="22"/>
          <w:lang w:val="es-ES_tradnl"/>
        </w:rPr>
      </w:pPr>
      <w:r w:rsidRPr="00377AF5">
        <w:rPr>
          <w:rFonts w:ascii="Tahoma" w:hAnsi="Tahoma" w:cs="Tahoma"/>
          <w:sz w:val="22"/>
          <w:szCs w:val="22"/>
          <w:lang w:val="es-ES_tradnl"/>
        </w:rPr>
        <w:t>S</w:t>
      </w:r>
      <w:r w:rsidR="00BB563F" w:rsidRPr="00377AF5">
        <w:rPr>
          <w:rFonts w:ascii="Tahoma" w:hAnsi="Tahoma" w:cs="Tahoma"/>
          <w:sz w:val="22"/>
          <w:szCs w:val="22"/>
          <w:lang w:val="es-ES_tradnl"/>
        </w:rPr>
        <w:t>e verificó</w:t>
      </w:r>
      <w:r w:rsidR="009A4059" w:rsidRPr="00377AF5">
        <w:rPr>
          <w:rFonts w:ascii="Tahoma" w:hAnsi="Tahoma" w:cs="Tahoma"/>
          <w:sz w:val="22"/>
          <w:szCs w:val="22"/>
          <w:lang w:val="es-ES_tradnl"/>
        </w:rPr>
        <w:t xml:space="preserve"> la asistencia de las partes a la presente diligencia:</w:t>
      </w:r>
      <w:r w:rsidR="00C30D72" w:rsidRPr="00377AF5">
        <w:rPr>
          <w:rFonts w:ascii="Tahoma" w:hAnsi="Tahoma" w:cs="Tahoma"/>
          <w:sz w:val="22"/>
          <w:szCs w:val="22"/>
          <w:lang w:val="es-ES_tradnl"/>
        </w:rPr>
        <w:t xml:space="preserve"> </w:t>
      </w:r>
      <w:r w:rsidRPr="00377AF5">
        <w:rPr>
          <w:rFonts w:ascii="Tahoma" w:hAnsi="Tahoma" w:cs="Tahoma"/>
          <w:sz w:val="22"/>
          <w:szCs w:val="22"/>
          <w:lang w:val="es-ES_tradnl"/>
        </w:rPr>
        <w:t xml:space="preserve">Por la parte </w:t>
      </w:r>
      <w:r w:rsidR="00A33347" w:rsidRPr="00377AF5">
        <w:rPr>
          <w:rFonts w:ascii="Tahoma" w:hAnsi="Tahoma" w:cs="Tahoma"/>
          <w:sz w:val="22"/>
          <w:szCs w:val="22"/>
          <w:lang w:val="es-ES_tradnl"/>
        </w:rPr>
        <w:t>demandante…</w:t>
      </w:r>
      <w:r w:rsidR="00D90180" w:rsidRPr="00377AF5">
        <w:rPr>
          <w:rFonts w:ascii="Tahoma" w:hAnsi="Tahoma" w:cs="Tahoma"/>
          <w:sz w:val="22"/>
          <w:szCs w:val="22"/>
          <w:lang w:val="es-ES_tradnl"/>
        </w:rPr>
        <w:t xml:space="preserve"> </w:t>
      </w:r>
      <w:r w:rsidRPr="00377AF5">
        <w:rPr>
          <w:rFonts w:ascii="Tahoma" w:hAnsi="Tahoma" w:cs="Tahoma"/>
          <w:sz w:val="22"/>
          <w:szCs w:val="22"/>
          <w:lang w:val="es-ES_tradnl"/>
        </w:rPr>
        <w:t xml:space="preserve">por la </w:t>
      </w:r>
      <w:r w:rsidR="00A33347" w:rsidRPr="00377AF5">
        <w:rPr>
          <w:rFonts w:ascii="Tahoma" w:hAnsi="Tahoma" w:cs="Tahoma"/>
          <w:sz w:val="22"/>
          <w:szCs w:val="22"/>
          <w:lang w:val="es-ES_tradnl"/>
        </w:rPr>
        <w:t xml:space="preserve">parte </w:t>
      </w:r>
      <w:r w:rsidR="003D58AF" w:rsidRPr="00377AF5">
        <w:rPr>
          <w:rFonts w:ascii="Tahoma" w:hAnsi="Tahoma" w:cs="Tahoma"/>
          <w:sz w:val="22"/>
          <w:szCs w:val="22"/>
          <w:lang w:val="es-ES_tradnl"/>
        </w:rPr>
        <w:t>demandada…</w:t>
      </w:r>
    </w:p>
    <w:p w14:paraId="0F70F643" w14:textId="52EE3CE2" w:rsidR="001205FA" w:rsidRPr="00377AF5" w:rsidRDefault="001205FA" w:rsidP="003B61F8">
      <w:pPr>
        <w:tabs>
          <w:tab w:val="left" w:pos="7859"/>
        </w:tabs>
        <w:ind w:firstLine="1122"/>
        <w:jc w:val="both"/>
        <w:rPr>
          <w:rFonts w:ascii="Tahoma" w:hAnsi="Tahoma" w:cs="Tahoma"/>
          <w:b/>
          <w:sz w:val="22"/>
          <w:szCs w:val="22"/>
        </w:rPr>
      </w:pPr>
      <w:r w:rsidRPr="00377AF5">
        <w:rPr>
          <w:rFonts w:ascii="Tahoma" w:hAnsi="Tahoma" w:cs="Tahoma"/>
          <w:sz w:val="22"/>
          <w:szCs w:val="22"/>
          <w:lang w:val="es-ES_tradnl"/>
        </w:rPr>
        <w:tab/>
      </w:r>
    </w:p>
    <w:p w14:paraId="7D04E29E" w14:textId="77777777" w:rsidR="009A4059" w:rsidRPr="00377AF5" w:rsidRDefault="00D90180" w:rsidP="000F3C74">
      <w:pPr>
        <w:widowControl w:val="0"/>
        <w:autoSpaceDE w:val="0"/>
        <w:autoSpaceDN w:val="0"/>
        <w:adjustRightInd w:val="0"/>
        <w:spacing w:line="276" w:lineRule="auto"/>
        <w:jc w:val="center"/>
        <w:rPr>
          <w:rFonts w:ascii="Tahoma" w:hAnsi="Tahoma" w:cs="Tahoma"/>
          <w:b/>
          <w:sz w:val="22"/>
          <w:szCs w:val="22"/>
        </w:rPr>
      </w:pPr>
      <w:r w:rsidRPr="00377AF5">
        <w:rPr>
          <w:rFonts w:ascii="Tahoma" w:hAnsi="Tahoma" w:cs="Tahoma"/>
          <w:b/>
          <w:sz w:val="22"/>
          <w:szCs w:val="22"/>
        </w:rPr>
        <w:t>Alegatos de conclusión</w:t>
      </w:r>
    </w:p>
    <w:p w14:paraId="3F76CC66" w14:textId="77777777" w:rsidR="009A4059" w:rsidRPr="00377AF5" w:rsidRDefault="009A4059" w:rsidP="000F3C74">
      <w:pPr>
        <w:widowControl w:val="0"/>
        <w:autoSpaceDE w:val="0"/>
        <w:autoSpaceDN w:val="0"/>
        <w:adjustRightInd w:val="0"/>
        <w:spacing w:line="276" w:lineRule="auto"/>
        <w:jc w:val="both"/>
        <w:rPr>
          <w:rFonts w:ascii="Tahoma" w:hAnsi="Tahoma" w:cs="Tahoma"/>
          <w:sz w:val="22"/>
          <w:szCs w:val="22"/>
        </w:rPr>
      </w:pPr>
    </w:p>
    <w:p w14:paraId="4B8C286A" w14:textId="3DF0454F" w:rsidR="009A4059" w:rsidRPr="00377AF5" w:rsidRDefault="009A4059" w:rsidP="000F3C74">
      <w:pPr>
        <w:spacing w:line="276" w:lineRule="auto"/>
        <w:ind w:firstLine="708"/>
        <w:jc w:val="both"/>
        <w:rPr>
          <w:rFonts w:ascii="Tahoma" w:hAnsi="Tahoma" w:cs="Tahoma"/>
          <w:sz w:val="22"/>
          <w:szCs w:val="22"/>
          <w:lang w:val="es-ES_tradnl"/>
        </w:rPr>
      </w:pPr>
      <w:r w:rsidRPr="00377AF5">
        <w:rPr>
          <w:rFonts w:ascii="Tahoma" w:hAnsi="Tahoma" w:cs="Tahoma"/>
          <w:sz w:val="22"/>
          <w:szCs w:val="22"/>
          <w:lang w:val="es-ES_tradnl"/>
        </w:rPr>
        <w:t xml:space="preserve">De conformidad con el artículo 82 del C.P.T y de la </w:t>
      </w:r>
      <w:r w:rsidR="00E90014" w:rsidRPr="00377AF5">
        <w:rPr>
          <w:rFonts w:ascii="Tahoma" w:hAnsi="Tahoma" w:cs="Tahoma"/>
          <w:sz w:val="22"/>
          <w:szCs w:val="22"/>
          <w:lang w:val="es-ES_tradnl"/>
        </w:rPr>
        <w:t>s.s</w:t>
      </w:r>
      <w:r w:rsidRPr="00377AF5">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377AF5">
        <w:rPr>
          <w:rFonts w:ascii="Tahoma" w:hAnsi="Tahoma" w:cs="Tahoma"/>
          <w:sz w:val="22"/>
          <w:szCs w:val="22"/>
          <w:lang w:val="es-ES_tradnl"/>
        </w:rPr>
        <w:t xml:space="preserve">. </w:t>
      </w:r>
      <w:r w:rsidR="008B2C9E" w:rsidRPr="00377AF5">
        <w:rPr>
          <w:rFonts w:ascii="Tahoma" w:hAnsi="Tahoma" w:cs="Tahoma"/>
          <w:sz w:val="22"/>
          <w:szCs w:val="22"/>
          <w:lang w:val="es-ES_tradnl"/>
        </w:rPr>
        <w:t>Por la parte demandante</w:t>
      </w:r>
      <w:r w:rsidR="00251376" w:rsidRPr="00377AF5">
        <w:rPr>
          <w:rFonts w:ascii="Tahoma" w:hAnsi="Tahoma" w:cs="Tahoma"/>
          <w:sz w:val="22"/>
          <w:szCs w:val="22"/>
          <w:lang w:val="es-ES_tradnl"/>
        </w:rPr>
        <w:t>…</w:t>
      </w:r>
      <w:r w:rsidR="008B2C9E" w:rsidRPr="00377AF5">
        <w:rPr>
          <w:rFonts w:ascii="Tahoma" w:hAnsi="Tahoma" w:cs="Tahoma"/>
          <w:sz w:val="22"/>
          <w:szCs w:val="22"/>
          <w:lang w:val="es-ES_tradnl"/>
        </w:rPr>
        <w:t xml:space="preserve"> Por la parte demandada</w:t>
      </w:r>
      <w:r w:rsidR="00251376" w:rsidRPr="00377AF5">
        <w:rPr>
          <w:rFonts w:ascii="Tahoma" w:hAnsi="Tahoma" w:cs="Tahoma"/>
          <w:sz w:val="22"/>
          <w:szCs w:val="22"/>
          <w:lang w:val="es-ES_tradnl"/>
        </w:rPr>
        <w:t>…</w:t>
      </w:r>
    </w:p>
    <w:p w14:paraId="5AF74FA9" w14:textId="77777777" w:rsidR="00C30D72" w:rsidRPr="00377AF5" w:rsidRDefault="00C30D72" w:rsidP="000F3C74">
      <w:pPr>
        <w:ind w:firstLine="708"/>
        <w:jc w:val="both"/>
        <w:rPr>
          <w:rFonts w:ascii="Tahoma" w:hAnsi="Tahoma" w:cs="Tahoma"/>
          <w:sz w:val="22"/>
          <w:szCs w:val="22"/>
          <w:lang w:val="es-ES_tradnl"/>
        </w:rPr>
      </w:pPr>
    </w:p>
    <w:p w14:paraId="5CB7E879" w14:textId="77777777" w:rsidR="009A4059" w:rsidRPr="00377AF5" w:rsidRDefault="00D90180" w:rsidP="000F3C74">
      <w:pPr>
        <w:widowControl w:val="0"/>
        <w:autoSpaceDE w:val="0"/>
        <w:autoSpaceDN w:val="0"/>
        <w:adjustRightInd w:val="0"/>
        <w:spacing w:line="276" w:lineRule="auto"/>
        <w:jc w:val="center"/>
        <w:rPr>
          <w:rFonts w:ascii="Tahoma" w:hAnsi="Tahoma" w:cs="Tahoma"/>
          <w:b/>
          <w:sz w:val="22"/>
          <w:szCs w:val="22"/>
        </w:rPr>
      </w:pPr>
      <w:r w:rsidRPr="00377AF5">
        <w:rPr>
          <w:rFonts w:ascii="Tahoma" w:hAnsi="Tahoma" w:cs="Tahoma"/>
          <w:b/>
          <w:sz w:val="22"/>
          <w:szCs w:val="22"/>
        </w:rPr>
        <w:t>SENTENCIA</w:t>
      </w:r>
    </w:p>
    <w:p w14:paraId="165E613F" w14:textId="77777777" w:rsidR="00C30D72" w:rsidRPr="00377AF5" w:rsidRDefault="00C30D72" w:rsidP="00ED656D">
      <w:pPr>
        <w:widowControl w:val="0"/>
        <w:autoSpaceDE w:val="0"/>
        <w:autoSpaceDN w:val="0"/>
        <w:adjustRightInd w:val="0"/>
        <w:jc w:val="center"/>
        <w:rPr>
          <w:rFonts w:ascii="Tahoma" w:hAnsi="Tahoma" w:cs="Tahoma"/>
          <w:b/>
          <w:sz w:val="22"/>
          <w:szCs w:val="22"/>
        </w:rPr>
      </w:pPr>
    </w:p>
    <w:p w14:paraId="3DC567F5" w14:textId="715F0821" w:rsidR="0062158A" w:rsidRPr="00377AF5" w:rsidRDefault="009A4059" w:rsidP="000F3C7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Como quiera que los </w:t>
      </w:r>
      <w:r w:rsidR="00D90180" w:rsidRPr="00377AF5">
        <w:rPr>
          <w:rFonts w:ascii="Tahoma" w:hAnsi="Tahoma" w:cs="Tahoma"/>
          <w:sz w:val="22"/>
          <w:szCs w:val="22"/>
        </w:rPr>
        <w:t>fundamentos de los argum</w:t>
      </w:r>
      <w:r w:rsidRPr="00377AF5">
        <w:rPr>
          <w:rFonts w:ascii="Tahoma" w:hAnsi="Tahoma" w:cs="Tahoma"/>
          <w:sz w:val="22"/>
          <w:szCs w:val="22"/>
        </w:rPr>
        <w:t xml:space="preserve">entos expuestos en las alegaciones se tuvieron en cuenta en la discusión del proyecto, procede la Sala a resolver </w:t>
      </w:r>
      <w:r w:rsidR="00F0144A" w:rsidRPr="00377AF5">
        <w:rPr>
          <w:rFonts w:ascii="Tahoma" w:hAnsi="Tahoma" w:cs="Tahoma"/>
          <w:sz w:val="22"/>
          <w:szCs w:val="22"/>
        </w:rPr>
        <w:t xml:space="preserve">la apelación propuesta por el apoderado </w:t>
      </w:r>
      <w:r w:rsidR="00674952" w:rsidRPr="00377AF5">
        <w:rPr>
          <w:rFonts w:ascii="Tahoma" w:hAnsi="Tahoma" w:cs="Tahoma"/>
          <w:sz w:val="22"/>
          <w:szCs w:val="22"/>
        </w:rPr>
        <w:t>judicial de la demandada</w:t>
      </w:r>
      <w:r w:rsidR="00F62B16" w:rsidRPr="00377AF5">
        <w:rPr>
          <w:rFonts w:ascii="Tahoma" w:hAnsi="Tahoma" w:cs="Tahoma"/>
          <w:sz w:val="22"/>
          <w:szCs w:val="22"/>
        </w:rPr>
        <w:t xml:space="preserve"> </w:t>
      </w:r>
      <w:r w:rsidR="003204B5" w:rsidRPr="00377AF5">
        <w:rPr>
          <w:rFonts w:ascii="Tahoma" w:hAnsi="Tahoma" w:cs="Tahoma"/>
          <w:sz w:val="22"/>
          <w:szCs w:val="22"/>
        </w:rPr>
        <w:t xml:space="preserve">contra </w:t>
      </w:r>
      <w:r w:rsidR="00D436A6" w:rsidRPr="00377AF5">
        <w:rPr>
          <w:rFonts w:ascii="Tahoma" w:hAnsi="Tahoma" w:cs="Tahoma"/>
          <w:sz w:val="22"/>
          <w:szCs w:val="22"/>
        </w:rPr>
        <w:t xml:space="preserve">sentencia emitida por el Juzgado </w:t>
      </w:r>
      <w:r w:rsidR="00674952" w:rsidRPr="00377AF5">
        <w:rPr>
          <w:rFonts w:ascii="Tahoma" w:hAnsi="Tahoma" w:cs="Tahoma"/>
          <w:sz w:val="22"/>
          <w:szCs w:val="22"/>
        </w:rPr>
        <w:t>Primero</w:t>
      </w:r>
      <w:r w:rsidR="002611B0" w:rsidRPr="00377AF5">
        <w:rPr>
          <w:rFonts w:ascii="Tahoma" w:hAnsi="Tahoma" w:cs="Tahoma"/>
          <w:sz w:val="22"/>
          <w:szCs w:val="22"/>
        </w:rPr>
        <w:t xml:space="preserve"> </w:t>
      </w:r>
      <w:r w:rsidR="00D436A6" w:rsidRPr="00377AF5">
        <w:rPr>
          <w:rFonts w:ascii="Tahoma" w:hAnsi="Tahoma" w:cs="Tahoma"/>
          <w:sz w:val="22"/>
          <w:szCs w:val="22"/>
        </w:rPr>
        <w:t xml:space="preserve">Laboral del Circuito de Pereira el </w:t>
      </w:r>
      <w:r w:rsidR="00051289" w:rsidRPr="00377AF5">
        <w:rPr>
          <w:rFonts w:ascii="Tahoma" w:hAnsi="Tahoma" w:cs="Tahoma"/>
          <w:sz w:val="22"/>
          <w:szCs w:val="22"/>
        </w:rPr>
        <w:t>5</w:t>
      </w:r>
      <w:r w:rsidR="0047338F" w:rsidRPr="00377AF5">
        <w:rPr>
          <w:rFonts w:ascii="Tahoma" w:hAnsi="Tahoma" w:cs="Tahoma"/>
          <w:sz w:val="22"/>
          <w:szCs w:val="22"/>
        </w:rPr>
        <w:t xml:space="preserve"> de </w:t>
      </w:r>
      <w:r w:rsidR="00674952" w:rsidRPr="00377AF5">
        <w:rPr>
          <w:rFonts w:ascii="Tahoma" w:hAnsi="Tahoma" w:cs="Tahoma"/>
          <w:sz w:val="22"/>
          <w:szCs w:val="22"/>
        </w:rPr>
        <w:t>marzo</w:t>
      </w:r>
      <w:r w:rsidR="007D15D1" w:rsidRPr="00377AF5">
        <w:rPr>
          <w:rFonts w:ascii="Tahoma" w:hAnsi="Tahoma" w:cs="Tahoma"/>
          <w:sz w:val="22"/>
          <w:szCs w:val="22"/>
        </w:rPr>
        <w:t xml:space="preserve"> </w:t>
      </w:r>
      <w:r w:rsidR="00674952" w:rsidRPr="00377AF5">
        <w:rPr>
          <w:rFonts w:ascii="Tahoma" w:hAnsi="Tahoma" w:cs="Tahoma"/>
          <w:sz w:val="22"/>
          <w:szCs w:val="22"/>
        </w:rPr>
        <w:t>de 2015</w:t>
      </w:r>
      <w:r w:rsidRPr="00377AF5">
        <w:rPr>
          <w:rFonts w:ascii="Tahoma" w:hAnsi="Tahoma" w:cs="Tahoma"/>
          <w:sz w:val="22"/>
          <w:szCs w:val="22"/>
        </w:rPr>
        <w:t>, dentro del proceso ordinario laboral reseñado con anterioridad</w:t>
      </w:r>
      <w:r w:rsidR="00B67A12" w:rsidRPr="00377AF5">
        <w:rPr>
          <w:rFonts w:ascii="Tahoma" w:hAnsi="Tahoma" w:cs="Tahoma"/>
          <w:sz w:val="22"/>
          <w:szCs w:val="22"/>
        </w:rPr>
        <w:t>.</w:t>
      </w:r>
    </w:p>
    <w:p w14:paraId="5931F313" w14:textId="77777777" w:rsidR="009A4059" w:rsidRPr="00377AF5" w:rsidRDefault="00B67A12" w:rsidP="00534A69">
      <w:pPr>
        <w:widowControl w:val="0"/>
        <w:autoSpaceDE w:val="0"/>
        <w:autoSpaceDN w:val="0"/>
        <w:adjustRightInd w:val="0"/>
        <w:ind w:firstLine="708"/>
        <w:jc w:val="both"/>
        <w:rPr>
          <w:rFonts w:ascii="Tahoma" w:hAnsi="Tahoma" w:cs="Tahoma"/>
          <w:sz w:val="22"/>
          <w:szCs w:val="22"/>
        </w:rPr>
      </w:pPr>
      <w:r w:rsidRPr="00377AF5">
        <w:rPr>
          <w:rFonts w:ascii="Tahoma" w:hAnsi="Tahoma" w:cs="Tahoma"/>
          <w:sz w:val="22"/>
          <w:szCs w:val="22"/>
        </w:rPr>
        <w:t xml:space="preserve"> </w:t>
      </w:r>
    </w:p>
    <w:p w14:paraId="6C470E45" w14:textId="77777777" w:rsidR="00237416" w:rsidRPr="00377AF5" w:rsidRDefault="00237416" w:rsidP="000F3C74">
      <w:pPr>
        <w:widowControl w:val="0"/>
        <w:autoSpaceDE w:val="0"/>
        <w:autoSpaceDN w:val="0"/>
        <w:adjustRightInd w:val="0"/>
        <w:spacing w:line="276" w:lineRule="auto"/>
        <w:jc w:val="center"/>
        <w:rPr>
          <w:rFonts w:ascii="Tahoma" w:hAnsi="Tahoma" w:cs="Tahoma"/>
          <w:b/>
          <w:bCs/>
          <w:sz w:val="22"/>
          <w:szCs w:val="22"/>
        </w:rPr>
      </w:pPr>
      <w:r w:rsidRPr="00377AF5">
        <w:rPr>
          <w:rFonts w:ascii="Tahoma" w:hAnsi="Tahoma" w:cs="Tahoma"/>
          <w:b/>
          <w:bCs/>
          <w:sz w:val="22"/>
          <w:szCs w:val="22"/>
        </w:rPr>
        <w:t>Problema jurídico por resolver</w:t>
      </w:r>
    </w:p>
    <w:p w14:paraId="7CFB5C42" w14:textId="77777777" w:rsidR="00066A9C" w:rsidRPr="00377AF5" w:rsidRDefault="00066A9C" w:rsidP="00ED656D">
      <w:pPr>
        <w:widowControl w:val="0"/>
        <w:tabs>
          <w:tab w:val="left" w:pos="748"/>
        </w:tabs>
        <w:autoSpaceDE w:val="0"/>
        <w:autoSpaceDN w:val="0"/>
        <w:adjustRightInd w:val="0"/>
        <w:ind w:left="748"/>
        <w:jc w:val="center"/>
        <w:rPr>
          <w:rFonts w:ascii="Tahoma" w:hAnsi="Tahoma" w:cs="Tahoma"/>
          <w:b/>
          <w:bCs/>
          <w:sz w:val="22"/>
          <w:szCs w:val="22"/>
        </w:rPr>
      </w:pPr>
    </w:p>
    <w:p w14:paraId="664B1D52" w14:textId="5A92C597" w:rsidR="001B08B9" w:rsidRPr="00377AF5" w:rsidRDefault="0062158A" w:rsidP="000F3C74">
      <w:pPr>
        <w:tabs>
          <w:tab w:val="left" w:pos="567"/>
        </w:tabs>
        <w:spacing w:line="276" w:lineRule="auto"/>
        <w:jc w:val="both"/>
        <w:rPr>
          <w:rFonts w:ascii="Tahoma" w:hAnsi="Tahoma" w:cs="Tahoma"/>
          <w:sz w:val="22"/>
          <w:szCs w:val="22"/>
        </w:rPr>
      </w:pPr>
      <w:r w:rsidRPr="00377AF5">
        <w:rPr>
          <w:rFonts w:ascii="Tahoma" w:hAnsi="Tahoma" w:cs="Tahoma"/>
          <w:sz w:val="22"/>
          <w:szCs w:val="22"/>
        </w:rPr>
        <w:tab/>
      </w:r>
      <w:r w:rsidRPr="00377AF5">
        <w:rPr>
          <w:rFonts w:ascii="Tahoma" w:hAnsi="Tahoma" w:cs="Tahoma"/>
          <w:sz w:val="22"/>
          <w:szCs w:val="22"/>
        </w:rPr>
        <w:tab/>
      </w:r>
      <w:r w:rsidR="00C30D72" w:rsidRPr="00377AF5">
        <w:rPr>
          <w:rFonts w:ascii="Tahoma" w:hAnsi="Tahoma" w:cs="Tahoma"/>
          <w:sz w:val="22"/>
          <w:szCs w:val="22"/>
        </w:rPr>
        <w:t>De acuerdo a l</w:t>
      </w:r>
      <w:r w:rsidR="006D0CD9" w:rsidRPr="00377AF5">
        <w:rPr>
          <w:rFonts w:ascii="Tahoma" w:hAnsi="Tahoma" w:cs="Tahoma"/>
          <w:sz w:val="22"/>
          <w:szCs w:val="22"/>
        </w:rPr>
        <w:t xml:space="preserve">o expuesto en la </w:t>
      </w:r>
      <w:r w:rsidR="00C30D72" w:rsidRPr="00377AF5">
        <w:rPr>
          <w:rFonts w:ascii="Tahoma" w:hAnsi="Tahoma" w:cs="Tahoma"/>
          <w:sz w:val="22"/>
          <w:szCs w:val="22"/>
        </w:rPr>
        <w:t>sentencia de primera instancia</w:t>
      </w:r>
      <w:r w:rsidR="003204B5" w:rsidRPr="00377AF5">
        <w:rPr>
          <w:rFonts w:ascii="Tahoma" w:hAnsi="Tahoma" w:cs="Tahoma"/>
          <w:sz w:val="22"/>
          <w:szCs w:val="22"/>
        </w:rPr>
        <w:t xml:space="preserve"> y a los argumentos de la apelación</w:t>
      </w:r>
      <w:r w:rsidR="00066A9C" w:rsidRPr="00377AF5">
        <w:rPr>
          <w:rFonts w:ascii="Tahoma" w:hAnsi="Tahoma" w:cs="Tahoma"/>
          <w:sz w:val="22"/>
          <w:szCs w:val="22"/>
        </w:rPr>
        <w:t>, le corresponde a la Sala determinar</w:t>
      </w:r>
      <w:r w:rsidR="001B08B9" w:rsidRPr="00377AF5">
        <w:rPr>
          <w:rFonts w:ascii="Tahoma" w:hAnsi="Tahoma" w:cs="Tahoma"/>
          <w:sz w:val="22"/>
          <w:szCs w:val="22"/>
        </w:rPr>
        <w:t xml:space="preserve"> </w:t>
      </w:r>
      <w:r w:rsidR="002611B0" w:rsidRPr="00377AF5">
        <w:rPr>
          <w:rFonts w:ascii="Tahoma" w:hAnsi="Tahoma" w:cs="Tahoma"/>
          <w:sz w:val="22"/>
          <w:szCs w:val="22"/>
        </w:rPr>
        <w:t xml:space="preserve">si </w:t>
      </w:r>
      <w:r w:rsidR="00E642D7" w:rsidRPr="00377AF5">
        <w:rPr>
          <w:rFonts w:ascii="Tahoma" w:hAnsi="Tahoma" w:cs="Tahoma"/>
          <w:sz w:val="22"/>
          <w:szCs w:val="22"/>
        </w:rPr>
        <w:t>a</w:t>
      </w:r>
      <w:r w:rsidR="002111AA" w:rsidRPr="00377AF5">
        <w:rPr>
          <w:rFonts w:ascii="Tahoma" w:hAnsi="Tahoma" w:cs="Tahoma"/>
          <w:sz w:val="22"/>
          <w:szCs w:val="22"/>
        </w:rPr>
        <w:t>l</w:t>
      </w:r>
      <w:r w:rsidR="007F0B8F" w:rsidRPr="00377AF5">
        <w:rPr>
          <w:rFonts w:ascii="Tahoma" w:hAnsi="Tahoma" w:cs="Tahoma"/>
          <w:sz w:val="22"/>
          <w:szCs w:val="22"/>
        </w:rPr>
        <w:t xml:space="preserve"> señor </w:t>
      </w:r>
      <w:r w:rsidR="002111AA" w:rsidRPr="00377AF5">
        <w:rPr>
          <w:rFonts w:ascii="Tahoma" w:hAnsi="Tahoma" w:cs="Tahoma"/>
          <w:sz w:val="22"/>
          <w:szCs w:val="22"/>
        </w:rPr>
        <w:t>Laureano Gómez Salazar</w:t>
      </w:r>
      <w:r w:rsidR="001B08B9" w:rsidRPr="00377AF5">
        <w:rPr>
          <w:rFonts w:ascii="Tahoma" w:hAnsi="Tahoma" w:cs="Tahoma"/>
          <w:sz w:val="22"/>
          <w:szCs w:val="22"/>
        </w:rPr>
        <w:t xml:space="preserve"> </w:t>
      </w:r>
      <w:r w:rsidR="00E642D7" w:rsidRPr="00377AF5">
        <w:rPr>
          <w:rFonts w:ascii="Tahoma" w:hAnsi="Tahoma" w:cs="Tahoma"/>
          <w:sz w:val="22"/>
          <w:szCs w:val="22"/>
        </w:rPr>
        <w:t xml:space="preserve">le asiste derecho </w:t>
      </w:r>
      <w:r w:rsidR="00E642D7" w:rsidRPr="00377AF5">
        <w:rPr>
          <w:rFonts w:ascii="Tahoma" w:hAnsi="Tahoma" w:cs="Tahoma"/>
          <w:sz w:val="22"/>
          <w:szCs w:val="22"/>
        </w:rPr>
        <w:lastRenderedPageBreak/>
        <w:t xml:space="preserve">a percibir la pensión de jubilación por aportes contemplada en la Ley 71 de 1988, y si esta última es compatible con la pensión convencional </w:t>
      </w:r>
      <w:r w:rsidR="00ED656D" w:rsidRPr="00377AF5">
        <w:rPr>
          <w:rFonts w:ascii="Tahoma" w:hAnsi="Tahoma" w:cs="Tahoma"/>
          <w:sz w:val="22"/>
          <w:szCs w:val="22"/>
        </w:rPr>
        <w:t>reconocida por las Empresas Públicas de Pereira.</w:t>
      </w:r>
    </w:p>
    <w:p w14:paraId="2DF463F2" w14:textId="77777777" w:rsidR="00237416" w:rsidRPr="00377AF5" w:rsidRDefault="00237416" w:rsidP="00534A69">
      <w:pPr>
        <w:tabs>
          <w:tab w:val="left" w:pos="567"/>
        </w:tabs>
        <w:jc w:val="both"/>
        <w:rPr>
          <w:rFonts w:ascii="Tahoma" w:hAnsi="Tahoma" w:cs="Tahoma"/>
          <w:sz w:val="22"/>
          <w:szCs w:val="22"/>
        </w:rPr>
      </w:pPr>
    </w:p>
    <w:p w14:paraId="13AB07CB" w14:textId="77777777" w:rsidR="009A4059" w:rsidRPr="00377AF5"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377AF5">
        <w:rPr>
          <w:rFonts w:ascii="Tahoma" w:hAnsi="Tahoma" w:cs="Tahoma"/>
          <w:b/>
          <w:sz w:val="22"/>
          <w:szCs w:val="22"/>
        </w:rPr>
        <w:t>La demanda</w:t>
      </w:r>
      <w:r w:rsidR="00237416" w:rsidRPr="00377AF5">
        <w:rPr>
          <w:rFonts w:ascii="Tahoma" w:hAnsi="Tahoma" w:cs="Tahoma"/>
          <w:b/>
          <w:sz w:val="22"/>
          <w:szCs w:val="22"/>
        </w:rPr>
        <w:t xml:space="preserve"> y su contestación</w:t>
      </w:r>
    </w:p>
    <w:p w14:paraId="2356B829" w14:textId="77777777" w:rsidR="009A4059" w:rsidRPr="00377AF5" w:rsidRDefault="009A4059" w:rsidP="000F3C74">
      <w:pPr>
        <w:widowControl w:val="0"/>
        <w:autoSpaceDE w:val="0"/>
        <w:autoSpaceDN w:val="0"/>
        <w:adjustRightInd w:val="0"/>
        <w:jc w:val="both"/>
        <w:rPr>
          <w:rFonts w:ascii="Tahoma" w:hAnsi="Tahoma" w:cs="Tahoma"/>
          <w:sz w:val="22"/>
          <w:szCs w:val="22"/>
        </w:rPr>
      </w:pPr>
    </w:p>
    <w:p w14:paraId="28CF6C46" w14:textId="676C4843" w:rsidR="00282759" w:rsidRPr="00377AF5" w:rsidRDefault="00282759" w:rsidP="000F3C7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El </w:t>
      </w:r>
      <w:r w:rsidR="00ED656D" w:rsidRPr="00377AF5">
        <w:rPr>
          <w:rFonts w:ascii="Tahoma" w:hAnsi="Tahoma" w:cs="Tahoma"/>
          <w:sz w:val="22"/>
          <w:szCs w:val="22"/>
        </w:rPr>
        <w:t xml:space="preserve">citado demandante </w:t>
      </w:r>
      <w:r w:rsidR="00EE6FA1" w:rsidRPr="00377AF5">
        <w:rPr>
          <w:rFonts w:ascii="Tahoma" w:hAnsi="Tahoma" w:cs="Tahoma"/>
          <w:sz w:val="22"/>
          <w:szCs w:val="22"/>
        </w:rPr>
        <w:t>solicit</w:t>
      </w:r>
      <w:r w:rsidR="00ED656D" w:rsidRPr="00377AF5">
        <w:rPr>
          <w:rFonts w:ascii="Tahoma" w:hAnsi="Tahoma" w:cs="Tahoma"/>
          <w:sz w:val="22"/>
          <w:szCs w:val="22"/>
        </w:rPr>
        <w:t>a</w:t>
      </w:r>
      <w:r w:rsidRPr="00377AF5">
        <w:rPr>
          <w:rFonts w:ascii="Tahoma" w:hAnsi="Tahoma" w:cs="Tahoma"/>
          <w:sz w:val="22"/>
          <w:szCs w:val="22"/>
        </w:rPr>
        <w:t xml:space="preserve"> </w:t>
      </w:r>
      <w:r w:rsidR="00EE6FA1" w:rsidRPr="00377AF5">
        <w:rPr>
          <w:rFonts w:ascii="Tahoma" w:hAnsi="Tahoma" w:cs="Tahoma"/>
          <w:sz w:val="22"/>
          <w:szCs w:val="22"/>
        </w:rPr>
        <w:t>que se declar</w:t>
      </w:r>
      <w:r w:rsidR="003E5672" w:rsidRPr="00377AF5">
        <w:rPr>
          <w:rFonts w:ascii="Tahoma" w:hAnsi="Tahoma" w:cs="Tahoma"/>
          <w:sz w:val="22"/>
          <w:szCs w:val="22"/>
        </w:rPr>
        <w:t xml:space="preserve">e que es beneficiario </w:t>
      </w:r>
      <w:r w:rsidRPr="00377AF5">
        <w:rPr>
          <w:rFonts w:ascii="Tahoma" w:hAnsi="Tahoma" w:cs="Tahoma"/>
          <w:sz w:val="22"/>
          <w:szCs w:val="22"/>
        </w:rPr>
        <w:t xml:space="preserve">del </w:t>
      </w:r>
      <w:r w:rsidR="00C22A2B" w:rsidRPr="00377AF5">
        <w:rPr>
          <w:rFonts w:ascii="Tahoma" w:hAnsi="Tahoma" w:cs="Tahoma"/>
          <w:sz w:val="22"/>
          <w:szCs w:val="22"/>
        </w:rPr>
        <w:t xml:space="preserve">régimen </w:t>
      </w:r>
      <w:r w:rsidR="00EE6FA1" w:rsidRPr="00377AF5">
        <w:rPr>
          <w:rFonts w:ascii="Tahoma" w:hAnsi="Tahoma" w:cs="Tahoma"/>
          <w:sz w:val="22"/>
          <w:szCs w:val="22"/>
        </w:rPr>
        <w:t xml:space="preserve">de </w:t>
      </w:r>
      <w:r w:rsidR="00C22A2B" w:rsidRPr="00377AF5">
        <w:rPr>
          <w:rFonts w:ascii="Tahoma" w:hAnsi="Tahoma" w:cs="Tahoma"/>
          <w:sz w:val="22"/>
          <w:szCs w:val="22"/>
        </w:rPr>
        <w:t xml:space="preserve">transición establecido en el artículo </w:t>
      </w:r>
      <w:r w:rsidR="003E5672" w:rsidRPr="00377AF5">
        <w:rPr>
          <w:rFonts w:ascii="Tahoma" w:hAnsi="Tahoma" w:cs="Tahoma"/>
          <w:sz w:val="22"/>
          <w:szCs w:val="22"/>
        </w:rPr>
        <w:t>36 de la Ley 100 de 1993 y</w:t>
      </w:r>
      <w:r w:rsidR="00FA42FA" w:rsidRPr="00377AF5">
        <w:rPr>
          <w:rFonts w:ascii="Tahoma" w:hAnsi="Tahoma" w:cs="Tahoma"/>
          <w:sz w:val="22"/>
          <w:szCs w:val="22"/>
        </w:rPr>
        <w:t>, e</w:t>
      </w:r>
      <w:r w:rsidR="003E5672" w:rsidRPr="00377AF5">
        <w:rPr>
          <w:rFonts w:ascii="Tahoma" w:hAnsi="Tahoma" w:cs="Tahoma"/>
          <w:sz w:val="22"/>
          <w:szCs w:val="22"/>
        </w:rPr>
        <w:t xml:space="preserve">n consecuencia, </w:t>
      </w:r>
      <w:r w:rsidR="00FA42FA" w:rsidRPr="00377AF5">
        <w:rPr>
          <w:rFonts w:ascii="Tahoma" w:hAnsi="Tahoma" w:cs="Tahoma"/>
          <w:sz w:val="22"/>
          <w:szCs w:val="22"/>
        </w:rPr>
        <w:t>se condene a Colp</w:t>
      </w:r>
      <w:r w:rsidR="003E5672" w:rsidRPr="00377AF5">
        <w:rPr>
          <w:rFonts w:ascii="Tahoma" w:hAnsi="Tahoma" w:cs="Tahoma"/>
          <w:sz w:val="22"/>
          <w:szCs w:val="22"/>
        </w:rPr>
        <w:t xml:space="preserve">ensiones </w:t>
      </w:r>
      <w:r w:rsidR="00FA42FA" w:rsidRPr="00377AF5">
        <w:rPr>
          <w:rFonts w:ascii="Tahoma" w:hAnsi="Tahoma" w:cs="Tahoma"/>
          <w:sz w:val="22"/>
          <w:szCs w:val="22"/>
        </w:rPr>
        <w:t xml:space="preserve">a que le reconozca </w:t>
      </w:r>
      <w:r w:rsidR="007F3EB3" w:rsidRPr="00377AF5">
        <w:rPr>
          <w:rFonts w:ascii="Tahoma" w:hAnsi="Tahoma" w:cs="Tahoma"/>
          <w:sz w:val="22"/>
          <w:szCs w:val="22"/>
        </w:rPr>
        <w:t xml:space="preserve">y pague </w:t>
      </w:r>
      <w:r w:rsidR="003E5672" w:rsidRPr="00377AF5">
        <w:rPr>
          <w:rFonts w:ascii="Tahoma" w:hAnsi="Tahoma" w:cs="Tahoma"/>
          <w:sz w:val="22"/>
          <w:szCs w:val="22"/>
        </w:rPr>
        <w:t xml:space="preserve">la </w:t>
      </w:r>
      <w:r w:rsidR="00FA42FA" w:rsidRPr="00377AF5">
        <w:rPr>
          <w:rFonts w:ascii="Tahoma" w:hAnsi="Tahoma" w:cs="Tahoma"/>
          <w:sz w:val="22"/>
          <w:szCs w:val="22"/>
        </w:rPr>
        <w:t xml:space="preserve">pensión </w:t>
      </w:r>
      <w:r w:rsidR="003E5672" w:rsidRPr="00377AF5">
        <w:rPr>
          <w:rFonts w:ascii="Tahoma" w:hAnsi="Tahoma" w:cs="Tahoma"/>
          <w:sz w:val="22"/>
          <w:szCs w:val="22"/>
        </w:rPr>
        <w:t xml:space="preserve">de </w:t>
      </w:r>
      <w:r w:rsidR="00FA42FA" w:rsidRPr="00377AF5">
        <w:rPr>
          <w:rFonts w:ascii="Tahoma" w:hAnsi="Tahoma" w:cs="Tahoma"/>
          <w:sz w:val="22"/>
          <w:szCs w:val="22"/>
        </w:rPr>
        <w:t xml:space="preserve">jubilación establecida en la Ley 71 de 1988 </w:t>
      </w:r>
      <w:r w:rsidR="003E5672" w:rsidRPr="00377AF5">
        <w:rPr>
          <w:rFonts w:ascii="Tahoma" w:hAnsi="Tahoma" w:cs="Tahoma"/>
          <w:sz w:val="22"/>
          <w:szCs w:val="22"/>
        </w:rPr>
        <w:t xml:space="preserve">a partir del 7 de </w:t>
      </w:r>
      <w:r w:rsidR="00FA42FA" w:rsidRPr="00377AF5">
        <w:rPr>
          <w:rFonts w:ascii="Tahoma" w:hAnsi="Tahoma" w:cs="Tahoma"/>
          <w:sz w:val="22"/>
          <w:szCs w:val="22"/>
        </w:rPr>
        <w:t xml:space="preserve">diciembre </w:t>
      </w:r>
      <w:r w:rsidR="003E5672" w:rsidRPr="00377AF5">
        <w:rPr>
          <w:rFonts w:ascii="Tahoma" w:hAnsi="Tahoma" w:cs="Tahoma"/>
          <w:sz w:val="22"/>
          <w:szCs w:val="22"/>
        </w:rPr>
        <w:t>de 1996</w:t>
      </w:r>
      <w:r w:rsidR="00CF4B8A" w:rsidRPr="00377AF5">
        <w:rPr>
          <w:rFonts w:ascii="Tahoma" w:hAnsi="Tahoma" w:cs="Tahoma"/>
          <w:sz w:val="22"/>
          <w:szCs w:val="22"/>
        </w:rPr>
        <w:t xml:space="preserve">, con un </w:t>
      </w:r>
      <w:r w:rsidR="003E5672" w:rsidRPr="00377AF5">
        <w:rPr>
          <w:rFonts w:ascii="Tahoma" w:hAnsi="Tahoma" w:cs="Tahoma"/>
          <w:sz w:val="22"/>
          <w:szCs w:val="22"/>
        </w:rPr>
        <w:t>I.B.L. de</w:t>
      </w:r>
      <w:r w:rsidR="00CF4B8A" w:rsidRPr="00377AF5">
        <w:rPr>
          <w:rFonts w:ascii="Tahoma" w:hAnsi="Tahoma" w:cs="Tahoma"/>
          <w:sz w:val="22"/>
          <w:szCs w:val="22"/>
        </w:rPr>
        <w:t xml:space="preserve"> $</w:t>
      </w:r>
      <w:r w:rsidR="003E5672" w:rsidRPr="00377AF5">
        <w:rPr>
          <w:rFonts w:ascii="Tahoma" w:hAnsi="Tahoma" w:cs="Tahoma"/>
          <w:sz w:val="22"/>
          <w:szCs w:val="22"/>
        </w:rPr>
        <w:t>284.571</w:t>
      </w:r>
      <w:r w:rsidR="00BA1BAD" w:rsidRPr="00377AF5">
        <w:rPr>
          <w:rFonts w:ascii="Tahoma" w:hAnsi="Tahoma" w:cs="Tahoma"/>
          <w:sz w:val="22"/>
          <w:szCs w:val="22"/>
        </w:rPr>
        <w:t xml:space="preserve"> y una mesada de </w:t>
      </w:r>
      <w:r w:rsidR="003E5672" w:rsidRPr="00377AF5">
        <w:rPr>
          <w:rFonts w:ascii="Tahoma" w:hAnsi="Tahoma" w:cs="Tahoma"/>
          <w:sz w:val="22"/>
          <w:szCs w:val="22"/>
        </w:rPr>
        <w:t>$515.000</w:t>
      </w:r>
      <w:r w:rsidR="007F3EB3" w:rsidRPr="00377AF5">
        <w:rPr>
          <w:rFonts w:ascii="Tahoma" w:hAnsi="Tahoma" w:cs="Tahoma"/>
          <w:sz w:val="22"/>
          <w:szCs w:val="22"/>
        </w:rPr>
        <w:t xml:space="preserve"> para marzo de 2010; más</w:t>
      </w:r>
      <w:r w:rsidR="00BA1BAD" w:rsidRPr="00377AF5">
        <w:rPr>
          <w:rFonts w:ascii="Tahoma" w:hAnsi="Tahoma" w:cs="Tahoma"/>
          <w:sz w:val="22"/>
          <w:szCs w:val="22"/>
        </w:rPr>
        <w:t xml:space="preserve"> </w:t>
      </w:r>
      <w:r w:rsidR="003E5672" w:rsidRPr="00377AF5">
        <w:rPr>
          <w:rFonts w:ascii="Tahoma" w:hAnsi="Tahoma" w:cs="Tahoma"/>
          <w:sz w:val="22"/>
          <w:szCs w:val="22"/>
        </w:rPr>
        <w:t>los intereses moratori</w:t>
      </w:r>
      <w:r w:rsidR="00BA1BAD" w:rsidRPr="00377AF5">
        <w:rPr>
          <w:rFonts w:ascii="Tahoma" w:hAnsi="Tahoma" w:cs="Tahoma"/>
          <w:sz w:val="22"/>
          <w:szCs w:val="22"/>
        </w:rPr>
        <w:t>o</w:t>
      </w:r>
      <w:r w:rsidR="003E5672" w:rsidRPr="00377AF5">
        <w:rPr>
          <w:rFonts w:ascii="Tahoma" w:hAnsi="Tahoma" w:cs="Tahoma"/>
          <w:sz w:val="22"/>
          <w:szCs w:val="22"/>
        </w:rPr>
        <w:t xml:space="preserve">s </w:t>
      </w:r>
      <w:r w:rsidR="007F3EB3" w:rsidRPr="00377AF5">
        <w:rPr>
          <w:rFonts w:ascii="Tahoma" w:hAnsi="Tahoma" w:cs="Tahoma"/>
          <w:sz w:val="22"/>
          <w:szCs w:val="22"/>
        </w:rPr>
        <w:t>del artículo 141 de la Ley 100 de 1993 s</w:t>
      </w:r>
      <w:r w:rsidR="003E5672" w:rsidRPr="00377AF5">
        <w:rPr>
          <w:rFonts w:ascii="Tahoma" w:hAnsi="Tahoma" w:cs="Tahoma"/>
          <w:sz w:val="22"/>
          <w:szCs w:val="22"/>
        </w:rPr>
        <w:t xml:space="preserve">obre las mesadas causadas desde el 23 de </w:t>
      </w:r>
      <w:r w:rsidR="007F3EB3" w:rsidRPr="00377AF5">
        <w:rPr>
          <w:rFonts w:ascii="Tahoma" w:hAnsi="Tahoma" w:cs="Tahoma"/>
          <w:sz w:val="22"/>
          <w:szCs w:val="22"/>
        </w:rPr>
        <w:t>j</w:t>
      </w:r>
      <w:r w:rsidR="003E5672" w:rsidRPr="00377AF5">
        <w:rPr>
          <w:rFonts w:ascii="Tahoma" w:hAnsi="Tahoma" w:cs="Tahoma"/>
          <w:sz w:val="22"/>
          <w:szCs w:val="22"/>
        </w:rPr>
        <w:t>ulio de 2013 hasta la fech</w:t>
      </w:r>
      <w:r w:rsidR="007F3EB3" w:rsidRPr="00377AF5">
        <w:rPr>
          <w:rFonts w:ascii="Tahoma" w:hAnsi="Tahoma" w:cs="Tahoma"/>
          <w:sz w:val="22"/>
          <w:szCs w:val="22"/>
        </w:rPr>
        <w:t>a</w:t>
      </w:r>
      <w:r w:rsidR="003E5672" w:rsidRPr="00377AF5">
        <w:rPr>
          <w:rFonts w:ascii="Tahoma" w:hAnsi="Tahoma" w:cs="Tahoma"/>
          <w:sz w:val="22"/>
          <w:szCs w:val="22"/>
        </w:rPr>
        <w:t xml:space="preserve"> de pago efectivo.</w:t>
      </w:r>
    </w:p>
    <w:p w14:paraId="1FDEA367" w14:textId="77777777" w:rsidR="00F75697" w:rsidRPr="00377AF5" w:rsidRDefault="00F75697" w:rsidP="00EE6FA1">
      <w:pPr>
        <w:widowControl w:val="0"/>
        <w:autoSpaceDE w:val="0"/>
        <w:autoSpaceDN w:val="0"/>
        <w:adjustRightInd w:val="0"/>
        <w:jc w:val="both"/>
        <w:rPr>
          <w:rFonts w:ascii="Tahoma" w:hAnsi="Tahoma" w:cs="Tahoma"/>
          <w:sz w:val="22"/>
          <w:szCs w:val="22"/>
        </w:rPr>
      </w:pPr>
    </w:p>
    <w:p w14:paraId="19F0651F" w14:textId="0EB54AEC" w:rsidR="00525DE5" w:rsidRPr="00377AF5" w:rsidRDefault="00F75697" w:rsidP="00525DE5">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Para fundar dichas pretensiones manifiesta que </w:t>
      </w:r>
      <w:r w:rsidR="003C4C94" w:rsidRPr="00377AF5">
        <w:rPr>
          <w:rFonts w:ascii="Tahoma" w:hAnsi="Tahoma" w:cs="Tahoma"/>
          <w:sz w:val="22"/>
          <w:szCs w:val="22"/>
        </w:rPr>
        <w:t xml:space="preserve">cumplió los 60 años de edad el </w:t>
      </w:r>
      <w:r w:rsidR="00EE6FA1" w:rsidRPr="00377AF5">
        <w:rPr>
          <w:rFonts w:ascii="Tahoma" w:hAnsi="Tahoma" w:cs="Tahoma"/>
          <w:sz w:val="22"/>
          <w:szCs w:val="22"/>
        </w:rPr>
        <w:t>7 de diciembre</w:t>
      </w:r>
      <w:r w:rsidR="00E26F24" w:rsidRPr="00377AF5">
        <w:rPr>
          <w:rFonts w:ascii="Tahoma" w:hAnsi="Tahoma" w:cs="Tahoma"/>
          <w:sz w:val="22"/>
          <w:szCs w:val="22"/>
        </w:rPr>
        <w:t xml:space="preserve"> de 19</w:t>
      </w:r>
      <w:r w:rsidR="003C4C94" w:rsidRPr="00377AF5">
        <w:rPr>
          <w:rFonts w:ascii="Tahoma" w:hAnsi="Tahoma" w:cs="Tahoma"/>
          <w:sz w:val="22"/>
          <w:szCs w:val="22"/>
        </w:rPr>
        <w:t>9</w:t>
      </w:r>
      <w:r w:rsidR="00E26F24" w:rsidRPr="00377AF5">
        <w:rPr>
          <w:rFonts w:ascii="Tahoma" w:hAnsi="Tahoma" w:cs="Tahoma"/>
          <w:sz w:val="22"/>
          <w:szCs w:val="22"/>
        </w:rPr>
        <w:t>6</w:t>
      </w:r>
      <w:r w:rsidR="003C4C94" w:rsidRPr="00377AF5">
        <w:rPr>
          <w:rFonts w:ascii="Tahoma" w:hAnsi="Tahoma" w:cs="Tahoma"/>
          <w:sz w:val="22"/>
          <w:szCs w:val="22"/>
        </w:rPr>
        <w:t xml:space="preserve"> y que a</w:t>
      </w:r>
      <w:r w:rsidR="00E26F24" w:rsidRPr="00377AF5">
        <w:rPr>
          <w:rFonts w:ascii="Tahoma" w:hAnsi="Tahoma" w:cs="Tahoma"/>
          <w:sz w:val="22"/>
          <w:szCs w:val="22"/>
        </w:rPr>
        <w:t xml:space="preserve">l entrar en vigencia la </w:t>
      </w:r>
      <w:r w:rsidR="0001152B" w:rsidRPr="00377AF5">
        <w:rPr>
          <w:rFonts w:ascii="Tahoma" w:hAnsi="Tahoma" w:cs="Tahoma"/>
          <w:sz w:val="22"/>
          <w:szCs w:val="22"/>
        </w:rPr>
        <w:t xml:space="preserve">ley </w:t>
      </w:r>
      <w:r w:rsidR="00E26F24" w:rsidRPr="00377AF5">
        <w:rPr>
          <w:rFonts w:ascii="Tahoma" w:hAnsi="Tahoma" w:cs="Tahoma"/>
          <w:sz w:val="22"/>
          <w:szCs w:val="22"/>
        </w:rPr>
        <w:t xml:space="preserve">100 de 1993 contaba con más de 20 años de servicio. </w:t>
      </w:r>
      <w:r w:rsidR="00F04CB3" w:rsidRPr="00377AF5">
        <w:rPr>
          <w:rFonts w:ascii="Tahoma" w:hAnsi="Tahoma" w:cs="Tahoma"/>
          <w:sz w:val="22"/>
          <w:szCs w:val="22"/>
        </w:rPr>
        <w:t xml:space="preserve">Agrega que </w:t>
      </w:r>
      <w:r w:rsidR="00E26F24" w:rsidRPr="00377AF5">
        <w:rPr>
          <w:rFonts w:ascii="Tahoma" w:hAnsi="Tahoma" w:cs="Tahoma"/>
          <w:sz w:val="22"/>
          <w:szCs w:val="22"/>
        </w:rPr>
        <w:t xml:space="preserve">prestó sus servicios en </w:t>
      </w:r>
      <w:r w:rsidR="00F04CB3" w:rsidRPr="00377AF5">
        <w:rPr>
          <w:rFonts w:ascii="Tahoma" w:hAnsi="Tahoma" w:cs="Tahoma"/>
          <w:sz w:val="22"/>
          <w:szCs w:val="22"/>
        </w:rPr>
        <w:t>la Plaza de Ferias d</w:t>
      </w:r>
      <w:r w:rsidR="00E26F24" w:rsidRPr="00377AF5">
        <w:rPr>
          <w:rFonts w:ascii="Tahoma" w:hAnsi="Tahoma" w:cs="Tahoma"/>
          <w:sz w:val="22"/>
          <w:szCs w:val="22"/>
        </w:rPr>
        <w:t xml:space="preserve">el </w:t>
      </w:r>
      <w:r w:rsidR="00F04CB3" w:rsidRPr="00377AF5">
        <w:rPr>
          <w:rFonts w:ascii="Tahoma" w:hAnsi="Tahoma" w:cs="Tahoma"/>
          <w:sz w:val="22"/>
          <w:szCs w:val="22"/>
        </w:rPr>
        <w:t xml:space="preserve">Municipio </w:t>
      </w:r>
      <w:r w:rsidR="00E26F24" w:rsidRPr="00377AF5">
        <w:rPr>
          <w:rFonts w:ascii="Tahoma" w:hAnsi="Tahoma" w:cs="Tahoma"/>
          <w:sz w:val="22"/>
          <w:szCs w:val="22"/>
        </w:rPr>
        <w:t>de Pereira</w:t>
      </w:r>
      <w:r w:rsidR="00F04CB3" w:rsidRPr="00377AF5">
        <w:rPr>
          <w:rFonts w:ascii="Tahoma" w:hAnsi="Tahoma" w:cs="Tahoma"/>
          <w:sz w:val="22"/>
          <w:szCs w:val="22"/>
        </w:rPr>
        <w:t xml:space="preserve"> </w:t>
      </w:r>
      <w:r w:rsidR="00E26F24" w:rsidRPr="00377AF5">
        <w:rPr>
          <w:rFonts w:ascii="Tahoma" w:hAnsi="Tahoma" w:cs="Tahoma"/>
          <w:sz w:val="22"/>
          <w:szCs w:val="22"/>
        </w:rPr>
        <w:t>desde el 1</w:t>
      </w:r>
      <w:r w:rsidR="00F04CB3" w:rsidRPr="00377AF5">
        <w:rPr>
          <w:rFonts w:ascii="Tahoma" w:hAnsi="Tahoma" w:cs="Tahoma"/>
          <w:sz w:val="22"/>
          <w:szCs w:val="22"/>
        </w:rPr>
        <w:t xml:space="preserve">º de septiembre de 1964 </w:t>
      </w:r>
      <w:r w:rsidR="00E26F24" w:rsidRPr="00377AF5">
        <w:rPr>
          <w:rFonts w:ascii="Tahoma" w:hAnsi="Tahoma" w:cs="Tahoma"/>
          <w:sz w:val="22"/>
          <w:szCs w:val="22"/>
        </w:rPr>
        <w:t xml:space="preserve">y </w:t>
      </w:r>
      <w:r w:rsidR="00F04CB3" w:rsidRPr="00377AF5">
        <w:rPr>
          <w:rFonts w:ascii="Tahoma" w:hAnsi="Tahoma" w:cs="Tahoma"/>
          <w:sz w:val="22"/>
          <w:szCs w:val="22"/>
        </w:rPr>
        <w:t xml:space="preserve">que en su </w:t>
      </w:r>
      <w:r w:rsidR="00E26F24" w:rsidRPr="00377AF5">
        <w:rPr>
          <w:rFonts w:ascii="Tahoma" w:hAnsi="Tahoma" w:cs="Tahoma"/>
          <w:sz w:val="22"/>
          <w:szCs w:val="22"/>
        </w:rPr>
        <w:t xml:space="preserve">historia laboral </w:t>
      </w:r>
      <w:r w:rsidR="00F04CB3" w:rsidRPr="00377AF5">
        <w:rPr>
          <w:rFonts w:ascii="Tahoma" w:hAnsi="Tahoma" w:cs="Tahoma"/>
          <w:sz w:val="22"/>
          <w:szCs w:val="22"/>
        </w:rPr>
        <w:t xml:space="preserve">se plasman </w:t>
      </w:r>
      <w:r w:rsidR="00E26F24" w:rsidRPr="00377AF5">
        <w:rPr>
          <w:rFonts w:ascii="Tahoma" w:hAnsi="Tahoma" w:cs="Tahoma"/>
          <w:sz w:val="22"/>
          <w:szCs w:val="22"/>
        </w:rPr>
        <w:t>938,85 semanas de cotización al Sistema General de Pensiones, comprendidas entre el 1</w:t>
      </w:r>
      <w:r w:rsidR="00F04CB3" w:rsidRPr="00377AF5">
        <w:rPr>
          <w:rFonts w:ascii="Tahoma" w:hAnsi="Tahoma" w:cs="Tahoma"/>
          <w:sz w:val="22"/>
          <w:szCs w:val="22"/>
        </w:rPr>
        <w:t xml:space="preserve">º </w:t>
      </w:r>
      <w:r w:rsidR="00E26F24" w:rsidRPr="00377AF5">
        <w:rPr>
          <w:rFonts w:ascii="Tahoma" w:hAnsi="Tahoma" w:cs="Tahoma"/>
          <w:sz w:val="22"/>
          <w:szCs w:val="22"/>
        </w:rPr>
        <w:t>de enero de 1967 y el 19 de junio de 1985</w:t>
      </w:r>
      <w:r w:rsidR="00525DE5" w:rsidRPr="00377AF5">
        <w:rPr>
          <w:rFonts w:ascii="Tahoma" w:hAnsi="Tahoma" w:cs="Tahoma"/>
          <w:sz w:val="22"/>
          <w:szCs w:val="22"/>
        </w:rPr>
        <w:t>.</w:t>
      </w:r>
    </w:p>
    <w:p w14:paraId="388AFEB0" w14:textId="77777777" w:rsidR="00525DE5" w:rsidRPr="00377AF5" w:rsidRDefault="00525DE5" w:rsidP="004E0864">
      <w:pPr>
        <w:widowControl w:val="0"/>
        <w:autoSpaceDE w:val="0"/>
        <w:autoSpaceDN w:val="0"/>
        <w:adjustRightInd w:val="0"/>
        <w:ind w:firstLine="708"/>
        <w:jc w:val="both"/>
        <w:rPr>
          <w:rFonts w:ascii="Tahoma" w:hAnsi="Tahoma" w:cs="Tahoma"/>
          <w:sz w:val="22"/>
          <w:szCs w:val="22"/>
        </w:rPr>
      </w:pPr>
    </w:p>
    <w:p w14:paraId="31B2B97D" w14:textId="18BA6AFC" w:rsidR="00E94EF1" w:rsidRPr="00377AF5" w:rsidRDefault="00F04CB3" w:rsidP="00525DE5">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Señala que </w:t>
      </w:r>
      <w:r w:rsidR="00E94EF1" w:rsidRPr="00377AF5">
        <w:rPr>
          <w:rFonts w:ascii="Tahoma" w:hAnsi="Tahoma" w:cs="Tahoma"/>
          <w:sz w:val="22"/>
          <w:szCs w:val="22"/>
        </w:rPr>
        <w:t>prestó sus servicios</w:t>
      </w:r>
      <w:r w:rsidRPr="00377AF5">
        <w:rPr>
          <w:rFonts w:ascii="Tahoma" w:hAnsi="Tahoma" w:cs="Tahoma"/>
          <w:sz w:val="22"/>
          <w:szCs w:val="22"/>
        </w:rPr>
        <w:t xml:space="preserve"> </w:t>
      </w:r>
      <w:r w:rsidR="00E94EF1" w:rsidRPr="00377AF5">
        <w:rPr>
          <w:rFonts w:ascii="Tahoma" w:hAnsi="Tahoma" w:cs="Tahoma"/>
          <w:sz w:val="22"/>
          <w:szCs w:val="22"/>
        </w:rPr>
        <w:t>a las Empresas Públicas de Pereira</w:t>
      </w:r>
      <w:r w:rsidRPr="00377AF5">
        <w:rPr>
          <w:rFonts w:ascii="Tahoma" w:hAnsi="Tahoma" w:cs="Tahoma"/>
          <w:sz w:val="22"/>
          <w:szCs w:val="22"/>
        </w:rPr>
        <w:t xml:space="preserve"> </w:t>
      </w:r>
      <w:r w:rsidR="00E94EF1" w:rsidRPr="00377AF5">
        <w:rPr>
          <w:rFonts w:ascii="Tahoma" w:hAnsi="Tahoma" w:cs="Tahoma"/>
          <w:sz w:val="22"/>
          <w:szCs w:val="22"/>
        </w:rPr>
        <w:t>por un espacio de 20 años</w:t>
      </w:r>
      <w:r w:rsidR="00765BF1" w:rsidRPr="00377AF5">
        <w:rPr>
          <w:rFonts w:ascii="Tahoma" w:hAnsi="Tahoma" w:cs="Tahoma"/>
          <w:sz w:val="22"/>
          <w:szCs w:val="22"/>
        </w:rPr>
        <w:t xml:space="preserve"> y que fue beneficiario de la convención colectiva </w:t>
      </w:r>
      <w:r w:rsidR="00E94EF1" w:rsidRPr="00377AF5">
        <w:rPr>
          <w:rFonts w:ascii="Tahoma" w:hAnsi="Tahoma" w:cs="Tahoma"/>
          <w:sz w:val="22"/>
          <w:szCs w:val="22"/>
        </w:rPr>
        <w:t xml:space="preserve">de </w:t>
      </w:r>
      <w:r w:rsidR="00765BF1" w:rsidRPr="00377AF5">
        <w:rPr>
          <w:rFonts w:ascii="Tahoma" w:hAnsi="Tahoma" w:cs="Tahoma"/>
          <w:sz w:val="22"/>
          <w:szCs w:val="22"/>
        </w:rPr>
        <w:t xml:space="preserve">trabajo </w:t>
      </w:r>
      <w:r w:rsidR="00E94EF1" w:rsidRPr="00377AF5">
        <w:rPr>
          <w:rFonts w:ascii="Tahoma" w:hAnsi="Tahoma" w:cs="Tahoma"/>
          <w:sz w:val="22"/>
          <w:szCs w:val="22"/>
        </w:rPr>
        <w:t xml:space="preserve">suscrita entre el </w:t>
      </w:r>
      <w:r w:rsidR="00765BF1" w:rsidRPr="00377AF5">
        <w:rPr>
          <w:rFonts w:ascii="Tahoma" w:hAnsi="Tahoma" w:cs="Tahoma"/>
          <w:sz w:val="22"/>
          <w:szCs w:val="22"/>
        </w:rPr>
        <w:t xml:space="preserve">sindicato </w:t>
      </w:r>
      <w:r w:rsidR="00E94EF1" w:rsidRPr="00377AF5">
        <w:rPr>
          <w:rFonts w:ascii="Tahoma" w:hAnsi="Tahoma" w:cs="Tahoma"/>
          <w:sz w:val="22"/>
          <w:szCs w:val="22"/>
        </w:rPr>
        <w:t xml:space="preserve">de </w:t>
      </w:r>
      <w:r w:rsidR="00765BF1" w:rsidRPr="00377AF5">
        <w:rPr>
          <w:rFonts w:ascii="Tahoma" w:hAnsi="Tahoma" w:cs="Tahoma"/>
          <w:sz w:val="22"/>
          <w:szCs w:val="22"/>
        </w:rPr>
        <w:t xml:space="preserve">trabajadores </w:t>
      </w:r>
      <w:r w:rsidR="00E94EF1" w:rsidRPr="00377AF5">
        <w:rPr>
          <w:rFonts w:ascii="Tahoma" w:hAnsi="Tahoma" w:cs="Tahoma"/>
          <w:sz w:val="22"/>
          <w:szCs w:val="22"/>
        </w:rPr>
        <w:t xml:space="preserve">y </w:t>
      </w:r>
      <w:r w:rsidR="00765BF1" w:rsidRPr="00377AF5">
        <w:rPr>
          <w:rFonts w:ascii="Tahoma" w:hAnsi="Tahoma" w:cs="Tahoma"/>
          <w:sz w:val="22"/>
          <w:szCs w:val="22"/>
        </w:rPr>
        <w:t xml:space="preserve">aquella entidad; por ello, </w:t>
      </w:r>
      <w:r w:rsidR="001F0C1D" w:rsidRPr="00377AF5">
        <w:rPr>
          <w:rFonts w:ascii="Tahoma" w:hAnsi="Tahoma" w:cs="Tahoma"/>
          <w:sz w:val="22"/>
          <w:szCs w:val="22"/>
        </w:rPr>
        <w:t>m</w:t>
      </w:r>
      <w:r w:rsidR="00E94EF1" w:rsidRPr="00377AF5">
        <w:rPr>
          <w:rFonts w:ascii="Tahoma" w:hAnsi="Tahoma" w:cs="Tahoma"/>
          <w:sz w:val="22"/>
          <w:szCs w:val="22"/>
        </w:rPr>
        <w:t xml:space="preserve">ediante la </w:t>
      </w:r>
      <w:r w:rsidR="001F0C1D" w:rsidRPr="00377AF5">
        <w:rPr>
          <w:rFonts w:ascii="Tahoma" w:hAnsi="Tahoma" w:cs="Tahoma"/>
          <w:sz w:val="22"/>
          <w:szCs w:val="22"/>
        </w:rPr>
        <w:t xml:space="preserve">Resolución </w:t>
      </w:r>
      <w:r w:rsidR="00E94EF1" w:rsidRPr="00377AF5">
        <w:rPr>
          <w:rFonts w:ascii="Tahoma" w:hAnsi="Tahoma" w:cs="Tahoma"/>
          <w:sz w:val="22"/>
          <w:szCs w:val="22"/>
        </w:rPr>
        <w:t>No 0887 del 24 de mayo de 1985</w:t>
      </w:r>
      <w:r w:rsidR="00E10576" w:rsidRPr="00377AF5">
        <w:rPr>
          <w:rFonts w:ascii="Tahoma" w:hAnsi="Tahoma" w:cs="Tahoma"/>
          <w:sz w:val="22"/>
          <w:szCs w:val="22"/>
        </w:rPr>
        <w:t>,</w:t>
      </w:r>
      <w:r w:rsidR="00765BF1" w:rsidRPr="00377AF5">
        <w:rPr>
          <w:rFonts w:ascii="Tahoma" w:hAnsi="Tahoma" w:cs="Tahoma"/>
          <w:sz w:val="22"/>
          <w:szCs w:val="22"/>
        </w:rPr>
        <w:t xml:space="preserve"> esa empleadora le </w:t>
      </w:r>
      <w:r w:rsidR="00E94EF1" w:rsidRPr="00377AF5">
        <w:rPr>
          <w:rFonts w:ascii="Tahoma" w:hAnsi="Tahoma" w:cs="Tahoma"/>
          <w:sz w:val="22"/>
          <w:szCs w:val="22"/>
        </w:rPr>
        <w:t>reconoc</w:t>
      </w:r>
      <w:r w:rsidR="00E10576" w:rsidRPr="00377AF5">
        <w:rPr>
          <w:rFonts w:ascii="Tahoma" w:hAnsi="Tahoma" w:cs="Tahoma"/>
          <w:sz w:val="22"/>
          <w:szCs w:val="22"/>
        </w:rPr>
        <w:t xml:space="preserve">ió </w:t>
      </w:r>
      <w:r w:rsidR="00E94EF1" w:rsidRPr="00377AF5">
        <w:rPr>
          <w:rFonts w:ascii="Tahoma" w:hAnsi="Tahoma" w:cs="Tahoma"/>
          <w:sz w:val="22"/>
          <w:szCs w:val="22"/>
        </w:rPr>
        <w:t xml:space="preserve">la </w:t>
      </w:r>
      <w:r w:rsidR="00E10576" w:rsidRPr="00377AF5">
        <w:rPr>
          <w:rFonts w:ascii="Tahoma" w:hAnsi="Tahoma" w:cs="Tahoma"/>
          <w:sz w:val="22"/>
          <w:szCs w:val="22"/>
        </w:rPr>
        <w:t xml:space="preserve">pensión vitalicia </w:t>
      </w:r>
      <w:r w:rsidR="00E94EF1" w:rsidRPr="00377AF5">
        <w:rPr>
          <w:rFonts w:ascii="Tahoma" w:hAnsi="Tahoma" w:cs="Tahoma"/>
          <w:sz w:val="22"/>
          <w:szCs w:val="22"/>
        </w:rPr>
        <w:t xml:space="preserve">de </w:t>
      </w:r>
      <w:r w:rsidR="00E10576" w:rsidRPr="00377AF5">
        <w:rPr>
          <w:rFonts w:ascii="Tahoma" w:hAnsi="Tahoma" w:cs="Tahoma"/>
          <w:sz w:val="22"/>
          <w:szCs w:val="22"/>
        </w:rPr>
        <w:t>jubilación</w:t>
      </w:r>
      <w:r w:rsidR="00E94EF1" w:rsidRPr="00377AF5">
        <w:rPr>
          <w:rFonts w:ascii="Tahoma" w:hAnsi="Tahoma" w:cs="Tahoma"/>
          <w:sz w:val="22"/>
          <w:szCs w:val="22"/>
        </w:rPr>
        <w:t xml:space="preserve"> a partir del 16 de abril de</w:t>
      </w:r>
      <w:r w:rsidR="00E10576" w:rsidRPr="00377AF5">
        <w:rPr>
          <w:rFonts w:ascii="Tahoma" w:hAnsi="Tahoma" w:cs="Tahoma"/>
          <w:sz w:val="22"/>
          <w:szCs w:val="22"/>
        </w:rPr>
        <w:t>l mismo año</w:t>
      </w:r>
      <w:r w:rsidR="00525DE5" w:rsidRPr="00377AF5">
        <w:rPr>
          <w:rFonts w:ascii="Tahoma" w:hAnsi="Tahoma" w:cs="Tahoma"/>
          <w:sz w:val="22"/>
          <w:szCs w:val="22"/>
        </w:rPr>
        <w:t xml:space="preserve">. </w:t>
      </w:r>
    </w:p>
    <w:p w14:paraId="64849A4A" w14:textId="77777777" w:rsidR="00E26F24" w:rsidRPr="00377AF5" w:rsidRDefault="00E26F24" w:rsidP="004E0864">
      <w:pPr>
        <w:widowControl w:val="0"/>
        <w:autoSpaceDE w:val="0"/>
        <w:autoSpaceDN w:val="0"/>
        <w:adjustRightInd w:val="0"/>
        <w:ind w:firstLine="708"/>
        <w:jc w:val="both"/>
        <w:rPr>
          <w:rFonts w:ascii="Tahoma" w:hAnsi="Tahoma" w:cs="Tahoma"/>
          <w:sz w:val="22"/>
          <w:szCs w:val="22"/>
        </w:rPr>
      </w:pPr>
    </w:p>
    <w:p w14:paraId="25E74C30" w14:textId="3E23E54A" w:rsidR="00525DE5" w:rsidRPr="00377AF5" w:rsidRDefault="00E10576" w:rsidP="000F3C7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Refiere que el </w:t>
      </w:r>
      <w:r w:rsidR="00525DE5" w:rsidRPr="00377AF5">
        <w:rPr>
          <w:rFonts w:ascii="Tahoma" w:hAnsi="Tahoma" w:cs="Tahoma"/>
          <w:sz w:val="22"/>
          <w:szCs w:val="22"/>
        </w:rPr>
        <w:t xml:space="preserve">19 de febrero de 1997 elevó solicitud de </w:t>
      </w:r>
      <w:r w:rsidR="004E0864" w:rsidRPr="00377AF5">
        <w:rPr>
          <w:rFonts w:ascii="Tahoma" w:hAnsi="Tahoma" w:cs="Tahoma"/>
          <w:sz w:val="22"/>
          <w:szCs w:val="22"/>
        </w:rPr>
        <w:t>la pensión de vejez ante el I.S.S.</w:t>
      </w:r>
      <w:r w:rsidR="00525DE5" w:rsidRPr="00377AF5">
        <w:rPr>
          <w:rFonts w:ascii="Tahoma" w:hAnsi="Tahoma" w:cs="Tahoma"/>
          <w:sz w:val="22"/>
          <w:szCs w:val="22"/>
        </w:rPr>
        <w:t xml:space="preserve">, </w:t>
      </w:r>
      <w:r w:rsidR="004E0864" w:rsidRPr="00377AF5">
        <w:rPr>
          <w:rFonts w:ascii="Tahoma" w:hAnsi="Tahoma" w:cs="Tahoma"/>
          <w:sz w:val="22"/>
          <w:szCs w:val="22"/>
        </w:rPr>
        <w:t xml:space="preserve">entidad que </w:t>
      </w:r>
      <w:r w:rsidR="00525DE5" w:rsidRPr="00377AF5">
        <w:rPr>
          <w:rFonts w:ascii="Tahoma" w:hAnsi="Tahoma" w:cs="Tahoma"/>
          <w:sz w:val="22"/>
          <w:szCs w:val="22"/>
        </w:rPr>
        <w:t xml:space="preserve">ordenó el reconocimiento y pago de la </w:t>
      </w:r>
      <w:r w:rsidR="00E44FA7" w:rsidRPr="00377AF5">
        <w:rPr>
          <w:rFonts w:ascii="Tahoma" w:hAnsi="Tahoma" w:cs="Tahoma"/>
          <w:sz w:val="22"/>
          <w:szCs w:val="22"/>
        </w:rPr>
        <w:t xml:space="preserve">indemnización sustitutiva </w:t>
      </w:r>
      <w:r w:rsidR="004E0864" w:rsidRPr="00377AF5">
        <w:rPr>
          <w:rFonts w:ascii="Tahoma" w:hAnsi="Tahoma" w:cs="Tahoma"/>
          <w:sz w:val="22"/>
          <w:szCs w:val="22"/>
        </w:rPr>
        <w:t xml:space="preserve">de dicha prestación en </w:t>
      </w:r>
      <w:r w:rsidR="00525DE5" w:rsidRPr="00377AF5">
        <w:rPr>
          <w:rFonts w:ascii="Tahoma" w:hAnsi="Tahoma" w:cs="Tahoma"/>
          <w:sz w:val="22"/>
          <w:szCs w:val="22"/>
        </w:rPr>
        <w:t xml:space="preserve">cuantía </w:t>
      </w:r>
      <w:r w:rsidR="00E576AC" w:rsidRPr="00377AF5">
        <w:rPr>
          <w:rFonts w:ascii="Tahoma" w:hAnsi="Tahoma" w:cs="Tahoma"/>
          <w:sz w:val="22"/>
          <w:szCs w:val="22"/>
        </w:rPr>
        <w:t>de $2.691.628,</w:t>
      </w:r>
      <w:r w:rsidR="004E0864" w:rsidRPr="00377AF5">
        <w:rPr>
          <w:rFonts w:ascii="Tahoma" w:hAnsi="Tahoma" w:cs="Tahoma"/>
          <w:sz w:val="22"/>
          <w:szCs w:val="22"/>
        </w:rPr>
        <w:t xml:space="preserve"> por </w:t>
      </w:r>
      <w:r w:rsidR="00E576AC" w:rsidRPr="00377AF5">
        <w:rPr>
          <w:rFonts w:ascii="Tahoma" w:hAnsi="Tahoma" w:cs="Tahoma"/>
          <w:sz w:val="22"/>
          <w:szCs w:val="22"/>
        </w:rPr>
        <w:t>938 semanas de cotización.</w:t>
      </w:r>
    </w:p>
    <w:p w14:paraId="6B7EC9F3" w14:textId="77777777" w:rsidR="00E576AC" w:rsidRPr="00377AF5" w:rsidRDefault="00E576AC" w:rsidP="000F3C74">
      <w:pPr>
        <w:widowControl w:val="0"/>
        <w:autoSpaceDE w:val="0"/>
        <w:autoSpaceDN w:val="0"/>
        <w:adjustRightInd w:val="0"/>
        <w:spacing w:line="276" w:lineRule="auto"/>
        <w:ind w:firstLine="708"/>
        <w:jc w:val="both"/>
        <w:rPr>
          <w:rFonts w:ascii="Tahoma" w:hAnsi="Tahoma" w:cs="Tahoma"/>
          <w:sz w:val="22"/>
          <w:szCs w:val="22"/>
        </w:rPr>
      </w:pPr>
    </w:p>
    <w:p w14:paraId="6C9B12A5" w14:textId="68598594" w:rsidR="00493CA6" w:rsidRPr="00377AF5" w:rsidRDefault="001E7305" w:rsidP="000F3C7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Finalmente</w:t>
      </w:r>
      <w:r w:rsidR="00C51721" w:rsidRPr="00377AF5">
        <w:rPr>
          <w:rFonts w:ascii="Tahoma" w:hAnsi="Tahoma" w:cs="Tahoma"/>
          <w:sz w:val="22"/>
          <w:szCs w:val="22"/>
        </w:rPr>
        <w:t>,</w:t>
      </w:r>
      <w:r w:rsidRPr="00377AF5">
        <w:rPr>
          <w:rFonts w:ascii="Tahoma" w:hAnsi="Tahoma" w:cs="Tahoma"/>
          <w:sz w:val="22"/>
          <w:szCs w:val="22"/>
        </w:rPr>
        <w:t xml:space="preserve"> m</w:t>
      </w:r>
      <w:r w:rsidR="0066746C" w:rsidRPr="00377AF5">
        <w:rPr>
          <w:rFonts w:ascii="Tahoma" w:hAnsi="Tahoma" w:cs="Tahoma"/>
          <w:sz w:val="22"/>
          <w:szCs w:val="22"/>
        </w:rPr>
        <w:t>anifiesta que</w:t>
      </w:r>
      <w:r w:rsidR="00E44FA7" w:rsidRPr="00377AF5">
        <w:rPr>
          <w:rFonts w:ascii="Tahoma" w:hAnsi="Tahoma" w:cs="Tahoma"/>
          <w:sz w:val="22"/>
          <w:szCs w:val="22"/>
        </w:rPr>
        <w:t xml:space="preserve"> </w:t>
      </w:r>
      <w:r w:rsidR="009E73F7" w:rsidRPr="00377AF5">
        <w:rPr>
          <w:rFonts w:ascii="Tahoma" w:hAnsi="Tahoma" w:cs="Tahoma"/>
          <w:sz w:val="22"/>
          <w:szCs w:val="22"/>
        </w:rPr>
        <w:t>el 22 de marzo de 2013</w:t>
      </w:r>
      <w:r w:rsidR="0066746C" w:rsidRPr="00377AF5">
        <w:rPr>
          <w:rFonts w:ascii="Tahoma" w:hAnsi="Tahoma" w:cs="Tahoma"/>
          <w:sz w:val="22"/>
          <w:szCs w:val="22"/>
        </w:rPr>
        <w:t xml:space="preserve"> </w:t>
      </w:r>
      <w:r w:rsidR="00E576AC" w:rsidRPr="00377AF5">
        <w:rPr>
          <w:rFonts w:ascii="Tahoma" w:hAnsi="Tahoma" w:cs="Tahoma"/>
          <w:sz w:val="22"/>
          <w:szCs w:val="22"/>
        </w:rPr>
        <w:t>solicit</w:t>
      </w:r>
      <w:r w:rsidR="009E73F7" w:rsidRPr="00377AF5">
        <w:rPr>
          <w:rFonts w:ascii="Tahoma" w:hAnsi="Tahoma" w:cs="Tahoma"/>
          <w:sz w:val="22"/>
          <w:szCs w:val="22"/>
        </w:rPr>
        <w:t xml:space="preserve">ó la pensión </w:t>
      </w:r>
      <w:r w:rsidR="00E576AC" w:rsidRPr="00377AF5">
        <w:rPr>
          <w:rFonts w:ascii="Tahoma" w:hAnsi="Tahoma" w:cs="Tahoma"/>
          <w:sz w:val="22"/>
          <w:szCs w:val="22"/>
        </w:rPr>
        <w:t xml:space="preserve">de </w:t>
      </w:r>
      <w:r w:rsidR="009E73F7" w:rsidRPr="00377AF5">
        <w:rPr>
          <w:rFonts w:ascii="Tahoma" w:hAnsi="Tahoma" w:cs="Tahoma"/>
          <w:sz w:val="22"/>
          <w:szCs w:val="22"/>
        </w:rPr>
        <w:t xml:space="preserve">jubilación </w:t>
      </w:r>
      <w:r w:rsidR="00E576AC" w:rsidRPr="00377AF5">
        <w:rPr>
          <w:rFonts w:ascii="Tahoma" w:hAnsi="Tahoma" w:cs="Tahoma"/>
          <w:sz w:val="22"/>
          <w:szCs w:val="22"/>
        </w:rPr>
        <w:t xml:space="preserve">por aportes ante la Administradora Colombiana de Pensiones – “Colpensiones”, </w:t>
      </w:r>
      <w:r w:rsidR="0066746C" w:rsidRPr="00377AF5">
        <w:rPr>
          <w:rFonts w:ascii="Tahoma" w:hAnsi="Tahoma" w:cs="Tahoma"/>
          <w:sz w:val="22"/>
          <w:szCs w:val="22"/>
        </w:rPr>
        <w:t>sin que a la fecha de presentación de la demanda haya obtenido respuesta de fondo</w:t>
      </w:r>
      <w:r w:rsidRPr="00377AF5">
        <w:rPr>
          <w:rFonts w:ascii="Tahoma" w:hAnsi="Tahoma" w:cs="Tahoma"/>
          <w:sz w:val="22"/>
          <w:szCs w:val="22"/>
        </w:rPr>
        <w:t>, y que dí</w:t>
      </w:r>
      <w:r w:rsidR="00493CA6" w:rsidRPr="00377AF5">
        <w:rPr>
          <w:rFonts w:ascii="Tahoma" w:hAnsi="Tahoma" w:cs="Tahoma"/>
          <w:sz w:val="22"/>
          <w:szCs w:val="22"/>
        </w:rPr>
        <w:t>a 16 de mayo de 2014, elevó una solicitud de actualización y corrección de historia laboral.</w:t>
      </w:r>
    </w:p>
    <w:p w14:paraId="0C417288" w14:textId="75AF6362" w:rsidR="00E26F24" w:rsidRPr="00377AF5" w:rsidRDefault="00A2556B" w:rsidP="000F3C7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 </w:t>
      </w:r>
    </w:p>
    <w:p w14:paraId="08581993" w14:textId="5F802593" w:rsidR="00007724" w:rsidRPr="00377AF5" w:rsidRDefault="00C51721" w:rsidP="0000772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 xml:space="preserve">Colpensiones </w:t>
      </w:r>
      <w:r w:rsidR="002915A0" w:rsidRPr="00377AF5">
        <w:rPr>
          <w:rFonts w:ascii="Tahoma" w:hAnsi="Tahoma" w:cs="Tahoma"/>
          <w:sz w:val="22"/>
          <w:szCs w:val="22"/>
        </w:rPr>
        <w:t xml:space="preserve">aceptó como ciertos los hechos relacionados con la edad de demandante; que por medio de  Resolución N°0887 del 24 de mayo de 1985 se </w:t>
      </w:r>
      <w:r w:rsidR="00937773" w:rsidRPr="00377AF5">
        <w:rPr>
          <w:rFonts w:ascii="Tahoma" w:hAnsi="Tahoma" w:cs="Tahoma"/>
          <w:sz w:val="22"/>
          <w:szCs w:val="22"/>
        </w:rPr>
        <w:t xml:space="preserve">le </w:t>
      </w:r>
      <w:r w:rsidR="002915A0" w:rsidRPr="00377AF5">
        <w:rPr>
          <w:rFonts w:ascii="Tahoma" w:hAnsi="Tahoma" w:cs="Tahoma"/>
          <w:sz w:val="22"/>
          <w:szCs w:val="22"/>
        </w:rPr>
        <w:t xml:space="preserve">reconoció la pensión de </w:t>
      </w:r>
      <w:r w:rsidR="00937773" w:rsidRPr="00377AF5">
        <w:rPr>
          <w:rFonts w:ascii="Tahoma" w:hAnsi="Tahoma" w:cs="Tahoma"/>
          <w:sz w:val="22"/>
          <w:szCs w:val="22"/>
        </w:rPr>
        <w:t>jubilación convencional</w:t>
      </w:r>
      <w:r w:rsidR="002915A0" w:rsidRPr="00377AF5">
        <w:rPr>
          <w:rFonts w:ascii="Tahoma" w:hAnsi="Tahoma" w:cs="Tahoma"/>
          <w:sz w:val="22"/>
          <w:szCs w:val="22"/>
        </w:rPr>
        <w:t xml:space="preserve">; que el I.S.S </w:t>
      </w:r>
      <w:r w:rsidR="00E55C09" w:rsidRPr="00377AF5">
        <w:rPr>
          <w:rFonts w:ascii="Tahoma" w:hAnsi="Tahoma" w:cs="Tahoma"/>
          <w:sz w:val="22"/>
          <w:szCs w:val="22"/>
        </w:rPr>
        <w:t xml:space="preserve">pagó </w:t>
      </w:r>
      <w:r w:rsidR="002915A0" w:rsidRPr="00377AF5">
        <w:rPr>
          <w:rFonts w:ascii="Tahoma" w:hAnsi="Tahoma" w:cs="Tahoma"/>
          <w:sz w:val="22"/>
          <w:szCs w:val="22"/>
        </w:rPr>
        <w:t xml:space="preserve">la indemnización </w:t>
      </w:r>
      <w:r w:rsidR="00E55C09" w:rsidRPr="00377AF5">
        <w:rPr>
          <w:rFonts w:ascii="Tahoma" w:hAnsi="Tahoma" w:cs="Tahoma"/>
          <w:sz w:val="22"/>
          <w:szCs w:val="22"/>
        </w:rPr>
        <w:t>sustitutiva de la pensión de vejez</w:t>
      </w:r>
      <w:r w:rsidR="00692CD9" w:rsidRPr="00377AF5">
        <w:rPr>
          <w:rFonts w:ascii="Tahoma" w:hAnsi="Tahoma" w:cs="Tahoma"/>
          <w:sz w:val="22"/>
          <w:szCs w:val="22"/>
        </w:rPr>
        <w:t xml:space="preserve"> a través de la Resolución N°006825 de 1997</w:t>
      </w:r>
      <w:r w:rsidR="00E55C09" w:rsidRPr="00377AF5">
        <w:rPr>
          <w:rFonts w:ascii="Tahoma" w:hAnsi="Tahoma" w:cs="Tahoma"/>
          <w:sz w:val="22"/>
          <w:szCs w:val="22"/>
        </w:rPr>
        <w:t xml:space="preserve">; </w:t>
      </w:r>
      <w:r w:rsidR="00937773" w:rsidRPr="00377AF5">
        <w:rPr>
          <w:rFonts w:ascii="Tahoma" w:hAnsi="Tahoma" w:cs="Tahoma"/>
          <w:sz w:val="22"/>
          <w:szCs w:val="22"/>
        </w:rPr>
        <w:t xml:space="preserve">que el actor solicitó la </w:t>
      </w:r>
      <w:r w:rsidR="00E55C09" w:rsidRPr="00377AF5">
        <w:rPr>
          <w:rFonts w:ascii="Tahoma" w:hAnsi="Tahoma" w:cs="Tahoma"/>
          <w:sz w:val="22"/>
          <w:szCs w:val="22"/>
        </w:rPr>
        <w:t xml:space="preserve">pensión de jubilación por </w:t>
      </w:r>
      <w:r w:rsidR="00E542E8" w:rsidRPr="00377AF5">
        <w:rPr>
          <w:rFonts w:ascii="Tahoma" w:hAnsi="Tahoma" w:cs="Tahoma"/>
          <w:sz w:val="22"/>
          <w:szCs w:val="22"/>
        </w:rPr>
        <w:t>aportes</w:t>
      </w:r>
      <w:r w:rsidR="00937773" w:rsidRPr="00377AF5">
        <w:rPr>
          <w:rFonts w:ascii="Tahoma" w:hAnsi="Tahoma" w:cs="Tahoma"/>
          <w:sz w:val="22"/>
          <w:szCs w:val="22"/>
        </w:rPr>
        <w:t xml:space="preserve"> </w:t>
      </w:r>
      <w:r w:rsidR="002915A0" w:rsidRPr="00377AF5">
        <w:rPr>
          <w:rFonts w:ascii="Tahoma" w:hAnsi="Tahoma" w:cs="Tahoma"/>
          <w:sz w:val="22"/>
          <w:szCs w:val="22"/>
        </w:rPr>
        <w:t xml:space="preserve">el 22 de </w:t>
      </w:r>
      <w:r w:rsidR="00937773" w:rsidRPr="00377AF5">
        <w:rPr>
          <w:rFonts w:ascii="Tahoma" w:hAnsi="Tahoma" w:cs="Tahoma"/>
          <w:sz w:val="22"/>
          <w:szCs w:val="22"/>
        </w:rPr>
        <w:t xml:space="preserve">marzo </w:t>
      </w:r>
      <w:r w:rsidR="002915A0" w:rsidRPr="00377AF5">
        <w:rPr>
          <w:rFonts w:ascii="Tahoma" w:hAnsi="Tahoma" w:cs="Tahoma"/>
          <w:sz w:val="22"/>
          <w:szCs w:val="22"/>
        </w:rPr>
        <w:t>de 2013</w:t>
      </w:r>
      <w:r w:rsidR="00007724" w:rsidRPr="00377AF5">
        <w:rPr>
          <w:rFonts w:ascii="Tahoma" w:hAnsi="Tahoma" w:cs="Tahoma"/>
          <w:sz w:val="22"/>
          <w:szCs w:val="22"/>
        </w:rPr>
        <w:t xml:space="preserve"> y que aquel</w:t>
      </w:r>
      <w:r w:rsidR="002915A0" w:rsidRPr="00377AF5">
        <w:rPr>
          <w:rFonts w:ascii="Tahoma" w:hAnsi="Tahoma" w:cs="Tahoma"/>
          <w:sz w:val="22"/>
          <w:szCs w:val="22"/>
        </w:rPr>
        <w:t xml:space="preserve"> elev</w:t>
      </w:r>
      <w:r w:rsidR="00007724" w:rsidRPr="00377AF5">
        <w:rPr>
          <w:rFonts w:ascii="Tahoma" w:hAnsi="Tahoma" w:cs="Tahoma"/>
          <w:sz w:val="22"/>
          <w:szCs w:val="22"/>
        </w:rPr>
        <w:t>ó</w:t>
      </w:r>
      <w:r w:rsidR="002915A0" w:rsidRPr="00377AF5">
        <w:rPr>
          <w:rFonts w:ascii="Tahoma" w:hAnsi="Tahoma" w:cs="Tahoma"/>
          <w:sz w:val="22"/>
          <w:szCs w:val="22"/>
        </w:rPr>
        <w:t xml:space="preserve"> solicitud de actualización y corrección de su historia laboral.</w:t>
      </w:r>
      <w:r w:rsidR="00007724" w:rsidRPr="00377AF5">
        <w:rPr>
          <w:rFonts w:ascii="Tahoma" w:hAnsi="Tahoma" w:cs="Tahoma"/>
          <w:sz w:val="22"/>
          <w:szCs w:val="22"/>
        </w:rPr>
        <w:t xml:space="preserve"> Frente a los demás hechos manifestó que no le constataban o que no son ciertos al tratarse de apreciaciones jurídicas del apoderado de la parte actora que debían demostrarse en el proceso. </w:t>
      </w:r>
    </w:p>
    <w:p w14:paraId="5EFFC5C7" w14:textId="77777777" w:rsidR="00007724" w:rsidRPr="00377AF5" w:rsidRDefault="00007724" w:rsidP="00007724">
      <w:pPr>
        <w:widowControl w:val="0"/>
        <w:autoSpaceDE w:val="0"/>
        <w:autoSpaceDN w:val="0"/>
        <w:adjustRightInd w:val="0"/>
        <w:spacing w:line="276" w:lineRule="auto"/>
        <w:ind w:firstLine="708"/>
        <w:jc w:val="both"/>
        <w:rPr>
          <w:rFonts w:ascii="Tahoma" w:hAnsi="Tahoma" w:cs="Tahoma"/>
          <w:sz w:val="22"/>
          <w:szCs w:val="22"/>
        </w:rPr>
      </w:pPr>
    </w:p>
    <w:p w14:paraId="1C2DA10C" w14:textId="14ACFC18" w:rsidR="002915A0" w:rsidRPr="00377AF5" w:rsidRDefault="00007724" w:rsidP="00007724">
      <w:pPr>
        <w:widowControl w:val="0"/>
        <w:autoSpaceDE w:val="0"/>
        <w:autoSpaceDN w:val="0"/>
        <w:adjustRightInd w:val="0"/>
        <w:spacing w:line="276" w:lineRule="auto"/>
        <w:ind w:firstLine="708"/>
        <w:jc w:val="both"/>
        <w:rPr>
          <w:rFonts w:ascii="Tahoma" w:hAnsi="Tahoma" w:cs="Tahoma"/>
          <w:sz w:val="22"/>
          <w:szCs w:val="22"/>
        </w:rPr>
      </w:pPr>
      <w:r w:rsidRPr="00377AF5">
        <w:rPr>
          <w:rFonts w:ascii="Tahoma" w:hAnsi="Tahoma" w:cs="Tahoma"/>
          <w:sz w:val="22"/>
          <w:szCs w:val="22"/>
        </w:rPr>
        <w:t>Seguidamente se opuso a las pretensiones del demandante y propuso como excepciones de mérito las que denominó “Inexistencia de la obligación demandada”, “Prescripción” y “Genéricas”.</w:t>
      </w:r>
    </w:p>
    <w:p w14:paraId="4E0B5AF7" w14:textId="77777777" w:rsidR="000A0609" w:rsidRPr="00377AF5" w:rsidRDefault="000A0609" w:rsidP="00164C6E">
      <w:pPr>
        <w:widowControl w:val="0"/>
        <w:autoSpaceDE w:val="0"/>
        <w:autoSpaceDN w:val="0"/>
        <w:adjustRightInd w:val="0"/>
        <w:jc w:val="both"/>
        <w:rPr>
          <w:rFonts w:ascii="Tahoma" w:hAnsi="Tahoma" w:cs="Tahoma"/>
          <w:sz w:val="22"/>
          <w:szCs w:val="22"/>
        </w:rPr>
      </w:pPr>
    </w:p>
    <w:p w14:paraId="2925F4F2" w14:textId="77777777" w:rsidR="009A4059" w:rsidRPr="00377AF5"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377AF5">
        <w:rPr>
          <w:rFonts w:ascii="Tahoma" w:hAnsi="Tahoma" w:cs="Tahoma"/>
          <w:b/>
          <w:sz w:val="22"/>
          <w:szCs w:val="22"/>
        </w:rPr>
        <w:t>La sentencia de primera instancia</w:t>
      </w:r>
    </w:p>
    <w:p w14:paraId="1870B49F" w14:textId="77777777" w:rsidR="00164C6E" w:rsidRPr="00377AF5" w:rsidRDefault="00164C6E" w:rsidP="00164C6E">
      <w:pPr>
        <w:widowControl w:val="0"/>
        <w:autoSpaceDE w:val="0"/>
        <w:autoSpaceDN w:val="0"/>
        <w:adjustRightInd w:val="0"/>
        <w:ind w:firstLine="709"/>
        <w:jc w:val="center"/>
        <w:rPr>
          <w:rFonts w:ascii="Tahoma" w:hAnsi="Tahoma" w:cs="Tahoma"/>
          <w:b/>
          <w:sz w:val="22"/>
          <w:szCs w:val="22"/>
        </w:rPr>
      </w:pPr>
    </w:p>
    <w:p w14:paraId="7854B042" w14:textId="2C15321E" w:rsidR="000F73D8" w:rsidRPr="00377AF5" w:rsidRDefault="00164C6E" w:rsidP="00164C6E">
      <w:pPr>
        <w:pStyle w:val="Prrafodelista"/>
        <w:tabs>
          <w:tab w:val="left" w:pos="748"/>
        </w:tabs>
        <w:spacing w:line="276" w:lineRule="auto"/>
        <w:ind w:left="0" w:firstLine="709"/>
        <w:jc w:val="both"/>
        <w:rPr>
          <w:rFonts w:ascii="Tahoma" w:hAnsi="Tahoma" w:cs="Tahoma"/>
          <w:sz w:val="22"/>
          <w:szCs w:val="22"/>
        </w:rPr>
      </w:pPr>
      <w:r w:rsidRPr="00377AF5">
        <w:rPr>
          <w:rFonts w:ascii="Tahoma" w:hAnsi="Tahoma" w:cs="Tahoma"/>
          <w:sz w:val="22"/>
          <w:szCs w:val="22"/>
        </w:rPr>
        <w:t>La Jueza de conocimiento de</w:t>
      </w:r>
      <w:r w:rsidR="004F25B1" w:rsidRPr="00377AF5">
        <w:rPr>
          <w:rFonts w:ascii="Tahoma" w:hAnsi="Tahoma" w:cs="Tahoma"/>
          <w:sz w:val="22"/>
          <w:szCs w:val="22"/>
        </w:rPr>
        <w:t>terminó que el señor Laureano Gómez Salazar tiene derecho a percibir la pensión de jubilación por aportes consagrada en la Ley 71 de 1988</w:t>
      </w:r>
      <w:r w:rsidR="007371D8" w:rsidRPr="00377AF5">
        <w:rPr>
          <w:rFonts w:ascii="Tahoma" w:hAnsi="Tahoma" w:cs="Tahoma"/>
          <w:sz w:val="22"/>
          <w:szCs w:val="22"/>
        </w:rPr>
        <w:t xml:space="preserve"> </w:t>
      </w:r>
      <w:r w:rsidR="004F25B1" w:rsidRPr="00377AF5">
        <w:rPr>
          <w:rFonts w:ascii="Tahoma" w:hAnsi="Tahoma" w:cs="Tahoma"/>
          <w:sz w:val="22"/>
          <w:szCs w:val="22"/>
        </w:rPr>
        <w:t xml:space="preserve">a partir del 7 de diciembre de 1996; declaró </w:t>
      </w:r>
      <w:r w:rsidRPr="00377AF5">
        <w:rPr>
          <w:rFonts w:ascii="Tahoma" w:hAnsi="Tahoma" w:cs="Tahoma"/>
          <w:sz w:val="22"/>
          <w:szCs w:val="22"/>
        </w:rPr>
        <w:t>probada parcialmente la excepción de prescripción</w:t>
      </w:r>
      <w:r w:rsidRPr="00377AF5">
        <w:rPr>
          <w:rFonts w:ascii="Tahoma" w:hAnsi="Tahoma" w:cs="Tahoma"/>
          <w:b/>
          <w:sz w:val="22"/>
          <w:szCs w:val="22"/>
        </w:rPr>
        <w:t xml:space="preserve"> </w:t>
      </w:r>
      <w:r w:rsidRPr="00377AF5">
        <w:rPr>
          <w:rFonts w:ascii="Tahoma" w:hAnsi="Tahoma" w:cs="Tahoma"/>
          <w:sz w:val="22"/>
          <w:szCs w:val="22"/>
        </w:rPr>
        <w:t xml:space="preserve">respecto de las mesadas causadas entre el 7 de </w:t>
      </w:r>
      <w:r w:rsidR="005E7AD6" w:rsidRPr="00377AF5">
        <w:rPr>
          <w:rFonts w:ascii="Tahoma" w:hAnsi="Tahoma" w:cs="Tahoma"/>
          <w:sz w:val="22"/>
          <w:szCs w:val="22"/>
        </w:rPr>
        <w:t xml:space="preserve">diciembre </w:t>
      </w:r>
      <w:r w:rsidRPr="00377AF5">
        <w:rPr>
          <w:rFonts w:ascii="Tahoma" w:hAnsi="Tahoma" w:cs="Tahoma"/>
          <w:sz w:val="22"/>
          <w:szCs w:val="22"/>
        </w:rPr>
        <w:t xml:space="preserve">de 1996 y el 21 de </w:t>
      </w:r>
      <w:r w:rsidR="005E7AD6" w:rsidRPr="00377AF5">
        <w:rPr>
          <w:rFonts w:ascii="Tahoma" w:hAnsi="Tahoma" w:cs="Tahoma"/>
          <w:sz w:val="22"/>
          <w:szCs w:val="22"/>
        </w:rPr>
        <w:t xml:space="preserve">marzo </w:t>
      </w:r>
      <w:r w:rsidRPr="00377AF5">
        <w:rPr>
          <w:rFonts w:ascii="Tahoma" w:hAnsi="Tahoma" w:cs="Tahoma"/>
          <w:sz w:val="22"/>
          <w:szCs w:val="22"/>
        </w:rPr>
        <w:t xml:space="preserve">de 2010, y </w:t>
      </w:r>
      <w:r w:rsidR="005E7AD6" w:rsidRPr="00377AF5">
        <w:rPr>
          <w:rFonts w:ascii="Tahoma" w:hAnsi="Tahoma" w:cs="Tahoma"/>
          <w:sz w:val="22"/>
          <w:szCs w:val="22"/>
        </w:rPr>
        <w:t xml:space="preserve">no </w:t>
      </w:r>
      <w:r w:rsidRPr="00377AF5">
        <w:rPr>
          <w:rFonts w:ascii="Tahoma" w:hAnsi="Tahoma" w:cs="Tahoma"/>
          <w:sz w:val="22"/>
          <w:szCs w:val="22"/>
        </w:rPr>
        <w:t>probada la de inexistencia de la obligación demandada</w:t>
      </w:r>
      <w:r w:rsidR="005E7AD6" w:rsidRPr="00377AF5">
        <w:rPr>
          <w:rFonts w:ascii="Tahoma" w:hAnsi="Tahoma" w:cs="Tahoma"/>
          <w:sz w:val="22"/>
          <w:szCs w:val="22"/>
        </w:rPr>
        <w:t xml:space="preserve">. En consecuencia, </w:t>
      </w:r>
      <w:r w:rsidRPr="00377AF5">
        <w:rPr>
          <w:rFonts w:ascii="Tahoma" w:hAnsi="Tahoma" w:cs="Tahoma"/>
          <w:sz w:val="22"/>
          <w:szCs w:val="22"/>
        </w:rPr>
        <w:t>conden</w:t>
      </w:r>
      <w:r w:rsidR="007371D8" w:rsidRPr="00377AF5">
        <w:rPr>
          <w:rFonts w:ascii="Tahoma" w:hAnsi="Tahoma" w:cs="Tahoma"/>
          <w:sz w:val="22"/>
          <w:szCs w:val="22"/>
        </w:rPr>
        <w:t>ó</w:t>
      </w:r>
      <w:r w:rsidRPr="00377AF5">
        <w:rPr>
          <w:rFonts w:ascii="Tahoma" w:hAnsi="Tahoma" w:cs="Tahoma"/>
          <w:sz w:val="22"/>
          <w:szCs w:val="22"/>
        </w:rPr>
        <w:t xml:space="preserve"> a Colpensiones </w:t>
      </w:r>
      <w:r w:rsidR="004F4325" w:rsidRPr="00377AF5">
        <w:rPr>
          <w:rFonts w:ascii="Tahoma" w:hAnsi="Tahoma" w:cs="Tahoma"/>
          <w:sz w:val="22"/>
          <w:szCs w:val="22"/>
        </w:rPr>
        <w:t xml:space="preserve">a </w:t>
      </w:r>
      <w:r w:rsidRPr="00377AF5">
        <w:rPr>
          <w:rFonts w:ascii="Tahoma" w:hAnsi="Tahoma" w:cs="Tahoma"/>
          <w:sz w:val="22"/>
          <w:szCs w:val="22"/>
        </w:rPr>
        <w:t xml:space="preserve">que </w:t>
      </w:r>
      <w:r w:rsidR="004F4325" w:rsidRPr="00377AF5">
        <w:rPr>
          <w:rFonts w:ascii="Tahoma" w:hAnsi="Tahoma" w:cs="Tahoma"/>
          <w:sz w:val="22"/>
          <w:szCs w:val="22"/>
        </w:rPr>
        <w:t xml:space="preserve">le </w:t>
      </w:r>
      <w:r w:rsidRPr="00377AF5">
        <w:rPr>
          <w:rFonts w:ascii="Tahoma" w:hAnsi="Tahoma" w:cs="Tahoma"/>
          <w:sz w:val="22"/>
          <w:szCs w:val="22"/>
        </w:rPr>
        <w:t xml:space="preserve">reconozca </w:t>
      </w:r>
      <w:r w:rsidR="004F4325" w:rsidRPr="00377AF5">
        <w:rPr>
          <w:rFonts w:ascii="Tahoma" w:hAnsi="Tahoma" w:cs="Tahoma"/>
          <w:sz w:val="22"/>
          <w:szCs w:val="22"/>
        </w:rPr>
        <w:t>y pague dicha</w:t>
      </w:r>
      <w:r w:rsidRPr="00377AF5">
        <w:rPr>
          <w:rFonts w:ascii="Tahoma" w:hAnsi="Tahoma" w:cs="Tahoma"/>
          <w:sz w:val="22"/>
          <w:szCs w:val="22"/>
        </w:rPr>
        <w:t xml:space="preserve"> </w:t>
      </w:r>
      <w:r w:rsidR="00C711F9" w:rsidRPr="00377AF5">
        <w:rPr>
          <w:rFonts w:ascii="Tahoma" w:hAnsi="Tahoma" w:cs="Tahoma"/>
          <w:sz w:val="22"/>
          <w:szCs w:val="22"/>
        </w:rPr>
        <w:t xml:space="preserve">prestación </w:t>
      </w:r>
      <w:r w:rsidRPr="00377AF5">
        <w:rPr>
          <w:rFonts w:ascii="Tahoma" w:hAnsi="Tahoma" w:cs="Tahoma"/>
          <w:sz w:val="22"/>
          <w:szCs w:val="22"/>
        </w:rPr>
        <w:t xml:space="preserve">en forma vitalicia, teniendo en cuenta los reajustes de </w:t>
      </w:r>
      <w:r w:rsidR="00C711F9" w:rsidRPr="00377AF5">
        <w:rPr>
          <w:rFonts w:ascii="Tahoma" w:hAnsi="Tahoma" w:cs="Tahoma"/>
          <w:sz w:val="22"/>
          <w:szCs w:val="22"/>
        </w:rPr>
        <w:t xml:space="preserve">ley </w:t>
      </w:r>
      <w:r w:rsidRPr="00377AF5">
        <w:rPr>
          <w:rFonts w:ascii="Tahoma" w:hAnsi="Tahoma" w:cs="Tahoma"/>
          <w:sz w:val="22"/>
          <w:szCs w:val="22"/>
        </w:rPr>
        <w:t xml:space="preserve">y 2 mesadas adicionales, </w:t>
      </w:r>
      <w:r w:rsidR="00C711F9" w:rsidRPr="00377AF5">
        <w:rPr>
          <w:rFonts w:ascii="Tahoma" w:hAnsi="Tahoma" w:cs="Tahoma"/>
          <w:sz w:val="22"/>
          <w:szCs w:val="22"/>
        </w:rPr>
        <w:t>con un retroactivo causado entre el 22 de marzo de 2010 y el 05 de Marzo de 2015</w:t>
      </w:r>
      <w:r w:rsidR="000F73D8" w:rsidRPr="00377AF5">
        <w:rPr>
          <w:rFonts w:ascii="Tahoma" w:hAnsi="Tahoma" w:cs="Tahoma"/>
          <w:sz w:val="22"/>
          <w:szCs w:val="22"/>
        </w:rPr>
        <w:t xml:space="preserve"> que asciende a </w:t>
      </w:r>
      <w:r w:rsidRPr="00377AF5">
        <w:rPr>
          <w:rFonts w:ascii="Tahoma" w:hAnsi="Tahoma" w:cs="Tahoma"/>
          <w:sz w:val="22"/>
          <w:szCs w:val="22"/>
        </w:rPr>
        <w:t>$51</w:t>
      </w:r>
      <w:r w:rsidR="00FE59E4" w:rsidRPr="00377AF5">
        <w:rPr>
          <w:rFonts w:ascii="Tahoma" w:hAnsi="Tahoma" w:cs="Tahoma"/>
          <w:sz w:val="22"/>
          <w:szCs w:val="22"/>
        </w:rPr>
        <w:t>’</w:t>
      </w:r>
      <w:r w:rsidRPr="00377AF5">
        <w:rPr>
          <w:rFonts w:ascii="Tahoma" w:hAnsi="Tahoma" w:cs="Tahoma"/>
          <w:sz w:val="22"/>
          <w:szCs w:val="22"/>
        </w:rPr>
        <w:t>773.458,84 del cual se deber</w:t>
      </w:r>
      <w:r w:rsidR="000F73D8" w:rsidRPr="00377AF5">
        <w:rPr>
          <w:rFonts w:ascii="Tahoma" w:hAnsi="Tahoma" w:cs="Tahoma"/>
          <w:sz w:val="22"/>
          <w:szCs w:val="22"/>
        </w:rPr>
        <w:t>ía</w:t>
      </w:r>
      <w:r w:rsidRPr="00377AF5">
        <w:rPr>
          <w:rFonts w:ascii="Tahoma" w:hAnsi="Tahoma" w:cs="Tahoma"/>
          <w:sz w:val="22"/>
          <w:szCs w:val="22"/>
        </w:rPr>
        <w:t xml:space="preserve"> descontar $2.691.628 por concepto de </w:t>
      </w:r>
      <w:r w:rsidRPr="00377AF5">
        <w:rPr>
          <w:rFonts w:ascii="Tahoma" w:hAnsi="Tahoma" w:cs="Tahoma"/>
          <w:sz w:val="22"/>
          <w:szCs w:val="22"/>
        </w:rPr>
        <w:lastRenderedPageBreak/>
        <w:t>indemnización sustitutiva reconocida al actor, quedando un saldo insoluto a cancelar en favor del demandante de  $49.081.830,84</w:t>
      </w:r>
      <w:r w:rsidR="000F73D8" w:rsidRPr="00377AF5">
        <w:rPr>
          <w:rFonts w:ascii="Tahoma" w:hAnsi="Tahoma" w:cs="Tahoma"/>
          <w:sz w:val="22"/>
          <w:szCs w:val="22"/>
        </w:rPr>
        <w:t>.</w:t>
      </w:r>
    </w:p>
    <w:p w14:paraId="27014D9A" w14:textId="77777777" w:rsidR="000F73D8" w:rsidRPr="00377AF5" w:rsidRDefault="000F73D8" w:rsidP="00164C6E">
      <w:pPr>
        <w:pStyle w:val="Prrafodelista"/>
        <w:tabs>
          <w:tab w:val="left" w:pos="748"/>
        </w:tabs>
        <w:spacing w:line="276" w:lineRule="auto"/>
        <w:ind w:left="0" w:firstLine="709"/>
        <w:jc w:val="both"/>
        <w:rPr>
          <w:rFonts w:ascii="Tahoma" w:hAnsi="Tahoma" w:cs="Tahoma"/>
          <w:sz w:val="22"/>
          <w:szCs w:val="22"/>
        </w:rPr>
      </w:pPr>
    </w:p>
    <w:p w14:paraId="4AA7F546" w14:textId="2DA106BE" w:rsidR="00164C6E" w:rsidRPr="00377AF5" w:rsidRDefault="00094FE8" w:rsidP="00164C6E">
      <w:pPr>
        <w:pStyle w:val="Prrafodelista"/>
        <w:tabs>
          <w:tab w:val="left" w:pos="748"/>
        </w:tabs>
        <w:spacing w:line="276" w:lineRule="auto"/>
        <w:ind w:left="0" w:firstLine="709"/>
        <w:jc w:val="both"/>
        <w:rPr>
          <w:rFonts w:ascii="Tahoma" w:hAnsi="Tahoma" w:cs="Tahoma"/>
          <w:sz w:val="22"/>
          <w:szCs w:val="22"/>
        </w:rPr>
      </w:pPr>
      <w:r w:rsidRPr="00377AF5">
        <w:rPr>
          <w:rFonts w:ascii="Tahoma" w:hAnsi="Tahoma" w:cs="Tahoma"/>
          <w:sz w:val="22"/>
          <w:szCs w:val="22"/>
        </w:rPr>
        <w:t xml:space="preserve">Por otra parte, </w:t>
      </w:r>
      <w:r w:rsidR="00164C6E" w:rsidRPr="00377AF5">
        <w:rPr>
          <w:rFonts w:ascii="Tahoma" w:hAnsi="Tahoma" w:cs="Tahoma"/>
          <w:sz w:val="22"/>
          <w:szCs w:val="22"/>
        </w:rPr>
        <w:t>absolv</w:t>
      </w:r>
      <w:r w:rsidRPr="00377AF5">
        <w:rPr>
          <w:rFonts w:ascii="Tahoma" w:hAnsi="Tahoma" w:cs="Tahoma"/>
          <w:sz w:val="22"/>
          <w:szCs w:val="22"/>
        </w:rPr>
        <w:t xml:space="preserve">ió </w:t>
      </w:r>
      <w:r w:rsidR="00164C6E" w:rsidRPr="00377AF5">
        <w:rPr>
          <w:rFonts w:ascii="Tahoma" w:hAnsi="Tahoma" w:cs="Tahoma"/>
          <w:sz w:val="22"/>
          <w:szCs w:val="22"/>
        </w:rPr>
        <w:t xml:space="preserve">a la entidad demandada del reconocimiento y pago de  intereses moratorios y </w:t>
      </w:r>
      <w:r w:rsidRPr="00377AF5">
        <w:rPr>
          <w:rFonts w:ascii="Tahoma" w:hAnsi="Tahoma" w:cs="Tahoma"/>
          <w:sz w:val="22"/>
          <w:szCs w:val="22"/>
        </w:rPr>
        <w:t xml:space="preserve">la </w:t>
      </w:r>
      <w:r w:rsidR="00164C6E" w:rsidRPr="00377AF5">
        <w:rPr>
          <w:rFonts w:ascii="Tahoma" w:hAnsi="Tahoma" w:cs="Tahoma"/>
          <w:sz w:val="22"/>
          <w:szCs w:val="22"/>
        </w:rPr>
        <w:t>conden</w:t>
      </w:r>
      <w:r w:rsidRPr="00377AF5">
        <w:rPr>
          <w:rFonts w:ascii="Tahoma" w:hAnsi="Tahoma" w:cs="Tahoma"/>
          <w:sz w:val="22"/>
          <w:szCs w:val="22"/>
        </w:rPr>
        <w:t>ó</w:t>
      </w:r>
      <w:r w:rsidRPr="00377AF5">
        <w:rPr>
          <w:rFonts w:ascii="Tahoma" w:hAnsi="Tahoma" w:cs="Tahoma"/>
          <w:b/>
          <w:sz w:val="22"/>
          <w:szCs w:val="22"/>
        </w:rPr>
        <w:t xml:space="preserve"> </w:t>
      </w:r>
      <w:r w:rsidRPr="00377AF5">
        <w:rPr>
          <w:rFonts w:ascii="Tahoma" w:hAnsi="Tahoma" w:cs="Tahoma"/>
          <w:sz w:val="22"/>
          <w:szCs w:val="22"/>
        </w:rPr>
        <w:t>en</w:t>
      </w:r>
      <w:r w:rsidR="00164C6E" w:rsidRPr="00377AF5">
        <w:rPr>
          <w:rFonts w:ascii="Tahoma" w:hAnsi="Tahoma" w:cs="Tahoma"/>
          <w:b/>
          <w:sz w:val="22"/>
          <w:szCs w:val="22"/>
        </w:rPr>
        <w:t xml:space="preserve"> </w:t>
      </w:r>
      <w:r w:rsidR="00164C6E" w:rsidRPr="00377AF5">
        <w:rPr>
          <w:rFonts w:ascii="Tahoma" w:hAnsi="Tahoma" w:cs="Tahoma"/>
          <w:sz w:val="22"/>
          <w:szCs w:val="22"/>
        </w:rPr>
        <w:t xml:space="preserve">costas </w:t>
      </w:r>
      <w:r w:rsidRPr="00377AF5">
        <w:rPr>
          <w:rFonts w:ascii="Tahoma" w:hAnsi="Tahoma" w:cs="Tahoma"/>
          <w:sz w:val="22"/>
          <w:szCs w:val="22"/>
        </w:rPr>
        <w:t xml:space="preserve">procesales </w:t>
      </w:r>
      <w:r w:rsidR="00164C6E" w:rsidRPr="00377AF5">
        <w:rPr>
          <w:rFonts w:ascii="Tahoma" w:hAnsi="Tahoma" w:cs="Tahoma"/>
          <w:sz w:val="22"/>
          <w:szCs w:val="22"/>
        </w:rPr>
        <w:t xml:space="preserve">en un 80%. </w:t>
      </w:r>
    </w:p>
    <w:p w14:paraId="0E78FE22" w14:textId="77777777" w:rsidR="00164C6E" w:rsidRPr="00377AF5" w:rsidRDefault="00164C6E" w:rsidP="00164C6E">
      <w:pPr>
        <w:pStyle w:val="Prrafodelista"/>
        <w:tabs>
          <w:tab w:val="left" w:pos="748"/>
        </w:tabs>
        <w:ind w:left="0" w:firstLine="709"/>
        <w:jc w:val="both"/>
        <w:rPr>
          <w:rFonts w:ascii="Tahoma" w:hAnsi="Tahoma" w:cs="Tahoma"/>
          <w:sz w:val="22"/>
          <w:szCs w:val="22"/>
        </w:rPr>
      </w:pPr>
    </w:p>
    <w:p w14:paraId="1D6F6173" w14:textId="77777777" w:rsidR="00BE67C4" w:rsidRPr="00377AF5" w:rsidRDefault="00164C6E" w:rsidP="00A23D20">
      <w:pPr>
        <w:pStyle w:val="Prrafodelista"/>
        <w:spacing w:line="276" w:lineRule="auto"/>
        <w:ind w:left="0" w:firstLine="709"/>
        <w:jc w:val="both"/>
        <w:rPr>
          <w:rFonts w:ascii="Tahoma" w:hAnsi="Tahoma" w:cs="Tahoma"/>
          <w:sz w:val="22"/>
          <w:szCs w:val="22"/>
        </w:rPr>
      </w:pPr>
      <w:r w:rsidRPr="00377AF5">
        <w:rPr>
          <w:rFonts w:ascii="Tahoma" w:hAnsi="Tahoma" w:cs="Tahoma"/>
          <w:sz w:val="22"/>
          <w:szCs w:val="22"/>
        </w:rPr>
        <w:t xml:space="preserve">Para llegar a tal determinación la </w:t>
      </w:r>
      <w:r w:rsidR="00310A68" w:rsidRPr="00377AF5">
        <w:rPr>
          <w:rFonts w:ascii="Tahoma" w:hAnsi="Tahoma" w:cs="Tahoma"/>
          <w:sz w:val="22"/>
          <w:szCs w:val="22"/>
        </w:rPr>
        <w:t xml:space="preserve">A-quo consideró, en síntesis, que </w:t>
      </w:r>
      <w:r w:rsidR="00583488" w:rsidRPr="00377AF5">
        <w:rPr>
          <w:rFonts w:ascii="Tahoma" w:hAnsi="Tahoma" w:cs="Tahoma"/>
          <w:sz w:val="22"/>
          <w:szCs w:val="22"/>
        </w:rPr>
        <w:t>a</w:t>
      </w:r>
      <w:r w:rsidR="00310A68" w:rsidRPr="00377AF5">
        <w:rPr>
          <w:rFonts w:ascii="Tahoma" w:hAnsi="Tahoma" w:cs="Tahoma"/>
          <w:sz w:val="22"/>
          <w:szCs w:val="22"/>
        </w:rPr>
        <w:t xml:space="preserve">l </w:t>
      </w:r>
      <w:r w:rsidR="00C3636F" w:rsidRPr="00377AF5">
        <w:rPr>
          <w:rFonts w:ascii="Tahoma" w:hAnsi="Tahoma" w:cs="Tahoma"/>
          <w:sz w:val="22"/>
          <w:szCs w:val="22"/>
        </w:rPr>
        <w:t xml:space="preserve">haber sido reconocida la pensión de jubilación convencional al demandante antes del 17 de octubre de 1985, la misma era compatible con la pretendida en la demanda de conformidad con lo establecido en el </w:t>
      </w:r>
      <w:r w:rsidR="00310A68" w:rsidRPr="00377AF5">
        <w:rPr>
          <w:rFonts w:ascii="Tahoma" w:hAnsi="Tahoma" w:cs="Tahoma"/>
          <w:sz w:val="22"/>
          <w:szCs w:val="22"/>
        </w:rPr>
        <w:t>artículo 18 del Acuerdo 049 de 1990</w:t>
      </w:r>
      <w:r w:rsidR="007B4DD3" w:rsidRPr="00377AF5">
        <w:rPr>
          <w:rFonts w:ascii="Tahoma" w:hAnsi="Tahoma" w:cs="Tahoma"/>
          <w:sz w:val="22"/>
          <w:szCs w:val="22"/>
        </w:rPr>
        <w:t>.</w:t>
      </w:r>
    </w:p>
    <w:p w14:paraId="1D35A324" w14:textId="77777777" w:rsidR="00BE67C4" w:rsidRPr="00377AF5" w:rsidRDefault="00BE67C4" w:rsidP="00A23D20">
      <w:pPr>
        <w:pStyle w:val="Prrafodelista"/>
        <w:spacing w:line="276" w:lineRule="auto"/>
        <w:ind w:left="0" w:firstLine="709"/>
        <w:jc w:val="both"/>
        <w:rPr>
          <w:rFonts w:ascii="Tahoma" w:hAnsi="Tahoma" w:cs="Tahoma"/>
          <w:sz w:val="22"/>
          <w:szCs w:val="22"/>
        </w:rPr>
      </w:pPr>
    </w:p>
    <w:p w14:paraId="08796BE6" w14:textId="778BBEE3" w:rsidR="00BE67C4" w:rsidRPr="00377AF5" w:rsidRDefault="000C343C" w:rsidP="00A23D20">
      <w:pPr>
        <w:pStyle w:val="Prrafodelista"/>
        <w:spacing w:line="276" w:lineRule="auto"/>
        <w:ind w:left="0" w:firstLine="709"/>
        <w:jc w:val="both"/>
        <w:rPr>
          <w:rFonts w:ascii="Tahoma" w:hAnsi="Tahoma" w:cs="Tahoma"/>
          <w:sz w:val="22"/>
          <w:szCs w:val="22"/>
        </w:rPr>
      </w:pPr>
      <w:r w:rsidRPr="00377AF5">
        <w:rPr>
          <w:rFonts w:ascii="Tahoma" w:hAnsi="Tahoma" w:cs="Tahoma"/>
          <w:sz w:val="22"/>
          <w:szCs w:val="22"/>
        </w:rPr>
        <w:t>Seguidamente</w:t>
      </w:r>
      <w:r w:rsidR="003B61F8" w:rsidRPr="00377AF5">
        <w:rPr>
          <w:rFonts w:ascii="Tahoma" w:hAnsi="Tahoma" w:cs="Tahoma"/>
          <w:sz w:val="22"/>
          <w:szCs w:val="22"/>
        </w:rPr>
        <w:t xml:space="preserve">, </w:t>
      </w:r>
      <w:r w:rsidR="009B2694" w:rsidRPr="00377AF5">
        <w:rPr>
          <w:rFonts w:ascii="Tahoma" w:hAnsi="Tahoma" w:cs="Tahoma"/>
          <w:sz w:val="22"/>
          <w:szCs w:val="22"/>
        </w:rPr>
        <w:t xml:space="preserve">concluyó que el actor cumplía los requisitos de la </w:t>
      </w:r>
      <w:r w:rsidR="00C3636F" w:rsidRPr="00377AF5">
        <w:rPr>
          <w:rFonts w:ascii="Tahoma" w:hAnsi="Tahoma" w:cs="Tahoma"/>
          <w:sz w:val="22"/>
          <w:szCs w:val="22"/>
        </w:rPr>
        <w:t>Ley 71 de 1988</w:t>
      </w:r>
      <w:r w:rsidR="009B2694" w:rsidRPr="00377AF5">
        <w:rPr>
          <w:rFonts w:ascii="Tahoma" w:hAnsi="Tahoma" w:cs="Tahoma"/>
          <w:sz w:val="22"/>
          <w:szCs w:val="22"/>
        </w:rPr>
        <w:t xml:space="preserve"> para acceder a la pensión de jubilación por aportes</w:t>
      </w:r>
      <w:r w:rsidRPr="00377AF5">
        <w:rPr>
          <w:rFonts w:ascii="Tahoma" w:hAnsi="Tahoma" w:cs="Tahoma"/>
          <w:sz w:val="22"/>
          <w:szCs w:val="22"/>
        </w:rPr>
        <w:t>, pues</w:t>
      </w:r>
      <w:r w:rsidR="009B2694" w:rsidRPr="00377AF5">
        <w:rPr>
          <w:rFonts w:ascii="Tahoma" w:hAnsi="Tahoma" w:cs="Tahoma"/>
          <w:sz w:val="22"/>
          <w:szCs w:val="22"/>
        </w:rPr>
        <w:t xml:space="preserve"> </w:t>
      </w:r>
      <w:r w:rsidRPr="00377AF5">
        <w:rPr>
          <w:rFonts w:ascii="Tahoma" w:hAnsi="Tahoma" w:cs="Tahoma"/>
          <w:sz w:val="22"/>
          <w:szCs w:val="22"/>
        </w:rPr>
        <w:t xml:space="preserve">cumplió los 60 años de edad el 7 de diciembre de 1996 y </w:t>
      </w:r>
      <w:r w:rsidR="00C3636F" w:rsidRPr="00377AF5">
        <w:rPr>
          <w:rFonts w:ascii="Tahoma" w:hAnsi="Tahoma" w:cs="Tahoma"/>
          <w:sz w:val="22"/>
          <w:szCs w:val="22"/>
        </w:rPr>
        <w:t>prest</w:t>
      </w:r>
      <w:r w:rsidR="009B2694" w:rsidRPr="00377AF5">
        <w:rPr>
          <w:rFonts w:ascii="Tahoma" w:hAnsi="Tahoma" w:cs="Tahoma"/>
          <w:sz w:val="22"/>
          <w:szCs w:val="22"/>
        </w:rPr>
        <w:t>ó</w:t>
      </w:r>
      <w:r w:rsidR="00C3636F" w:rsidRPr="00377AF5">
        <w:rPr>
          <w:rFonts w:ascii="Tahoma" w:hAnsi="Tahoma" w:cs="Tahoma"/>
          <w:sz w:val="22"/>
          <w:szCs w:val="22"/>
        </w:rPr>
        <w:t xml:space="preserve"> </w:t>
      </w:r>
      <w:r w:rsidRPr="00377AF5">
        <w:rPr>
          <w:rFonts w:ascii="Tahoma" w:hAnsi="Tahoma" w:cs="Tahoma"/>
          <w:sz w:val="22"/>
          <w:szCs w:val="22"/>
        </w:rPr>
        <w:t xml:space="preserve">sus </w:t>
      </w:r>
      <w:r w:rsidR="00C3636F" w:rsidRPr="00377AF5">
        <w:rPr>
          <w:rFonts w:ascii="Tahoma" w:hAnsi="Tahoma" w:cs="Tahoma"/>
          <w:sz w:val="22"/>
          <w:szCs w:val="22"/>
        </w:rPr>
        <w:t xml:space="preserve">servicios en </w:t>
      </w:r>
      <w:r w:rsidRPr="00377AF5">
        <w:rPr>
          <w:rFonts w:ascii="Tahoma" w:hAnsi="Tahoma" w:cs="Tahoma"/>
          <w:sz w:val="22"/>
          <w:szCs w:val="22"/>
        </w:rPr>
        <w:t xml:space="preserve">los </w:t>
      </w:r>
      <w:r w:rsidR="00C3636F" w:rsidRPr="00377AF5">
        <w:rPr>
          <w:rFonts w:ascii="Tahoma" w:hAnsi="Tahoma" w:cs="Tahoma"/>
          <w:sz w:val="22"/>
          <w:szCs w:val="22"/>
        </w:rPr>
        <w:t>sector</w:t>
      </w:r>
      <w:r w:rsidRPr="00377AF5">
        <w:rPr>
          <w:rFonts w:ascii="Tahoma" w:hAnsi="Tahoma" w:cs="Tahoma"/>
          <w:sz w:val="22"/>
          <w:szCs w:val="22"/>
        </w:rPr>
        <w:t>es</w:t>
      </w:r>
      <w:r w:rsidR="00C3636F" w:rsidRPr="00377AF5">
        <w:rPr>
          <w:rFonts w:ascii="Tahoma" w:hAnsi="Tahoma" w:cs="Tahoma"/>
          <w:sz w:val="22"/>
          <w:szCs w:val="22"/>
        </w:rPr>
        <w:t xml:space="preserve"> </w:t>
      </w:r>
      <w:r w:rsidRPr="00377AF5">
        <w:rPr>
          <w:rFonts w:ascii="Tahoma" w:hAnsi="Tahoma" w:cs="Tahoma"/>
          <w:sz w:val="22"/>
          <w:szCs w:val="22"/>
        </w:rPr>
        <w:t xml:space="preserve">público y </w:t>
      </w:r>
      <w:r w:rsidR="00C3636F" w:rsidRPr="00377AF5">
        <w:rPr>
          <w:rFonts w:ascii="Tahoma" w:hAnsi="Tahoma" w:cs="Tahoma"/>
          <w:sz w:val="22"/>
          <w:szCs w:val="22"/>
        </w:rPr>
        <w:t xml:space="preserve">privado </w:t>
      </w:r>
      <w:r w:rsidR="00C86B1E" w:rsidRPr="00377AF5">
        <w:rPr>
          <w:rFonts w:ascii="Tahoma" w:hAnsi="Tahoma" w:cs="Tahoma"/>
          <w:sz w:val="22"/>
          <w:szCs w:val="22"/>
        </w:rPr>
        <w:t xml:space="preserve">por </w:t>
      </w:r>
      <w:r w:rsidRPr="00377AF5">
        <w:rPr>
          <w:rFonts w:ascii="Tahoma" w:hAnsi="Tahoma" w:cs="Tahoma"/>
          <w:sz w:val="22"/>
          <w:szCs w:val="22"/>
        </w:rPr>
        <w:t xml:space="preserve">de </w:t>
      </w:r>
      <w:r w:rsidR="00C86B1E" w:rsidRPr="00377AF5">
        <w:rPr>
          <w:rFonts w:ascii="Tahoma" w:hAnsi="Tahoma" w:cs="Tahoma"/>
          <w:sz w:val="22"/>
          <w:szCs w:val="22"/>
        </w:rPr>
        <w:t>20 años</w:t>
      </w:r>
      <w:r w:rsidR="00A23D20" w:rsidRPr="00377AF5">
        <w:rPr>
          <w:rFonts w:ascii="Tahoma" w:hAnsi="Tahoma" w:cs="Tahoma"/>
          <w:sz w:val="22"/>
          <w:szCs w:val="22"/>
        </w:rPr>
        <w:t xml:space="preserve">. En cuanto al I.B.L., manifestó que debía calcularse con el tiempo que le hiciere falta para pensionarse, contados a partir del 1 de </w:t>
      </w:r>
      <w:r w:rsidR="00BE67C4" w:rsidRPr="00377AF5">
        <w:rPr>
          <w:rFonts w:ascii="Tahoma" w:hAnsi="Tahoma" w:cs="Tahoma"/>
          <w:sz w:val="22"/>
          <w:szCs w:val="22"/>
        </w:rPr>
        <w:t xml:space="preserve">abril </w:t>
      </w:r>
      <w:r w:rsidR="00A23D20" w:rsidRPr="00377AF5">
        <w:rPr>
          <w:rFonts w:ascii="Tahoma" w:hAnsi="Tahoma" w:cs="Tahoma"/>
          <w:sz w:val="22"/>
          <w:szCs w:val="22"/>
        </w:rPr>
        <w:t>de 1994, que para el actor eran 966 días, equivalente a 138 semanas, por lo cual arroj</w:t>
      </w:r>
      <w:r w:rsidR="009174EF" w:rsidRPr="00377AF5">
        <w:rPr>
          <w:rFonts w:ascii="Tahoma" w:hAnsi="Tahoma" w:cs="Tahoma"/>
          <w:sz w:val="22"/>
          <w:szCs w:val="22"/>
        </w:rPr>
        <w:t>ó</w:t>
      </w:r>
      <w:r w:rsidR="00A23D20" w:rsidRPr="00377AF5">
        <w:rPr>
          <w:rFonts w:ascii="Tahoma" w:hAnsi="Tahoma" w:cs="Tahoma"/>
          <w:sz w:val="22"/>
          <w:szCs w:val="22"/>
        </w:rPr>
        <w:t xml:space="preserve"> un I.B.L de $ 284.841</w:t>
      </w:r>
      <w:r w:rsidR="00BE67C4" w:rsidRPr="00377AF5">
        <w:rPr>
          <w:rFonts w:ascii="Tahoma" w:hAnsi="Tahoma" w:cs="Tahoma"/>
          <w:sz w:val="22"/>
          <w:szCs w:val="22"/>
        </w:rPr>
        <w:t>, que al</w:t>
      </w:r>
      <w:r w:rsidR="00A23D20" w:rsidRPr="00377AF5">
        <w:rPr>
          <w:rFonts w:ascii="Tahoma" w:hAnsi="Tahoma" w:cs="Tahoma"/>
          <w:sz w:val="22"/>
          <w:szCs w:val="22"/>
        </w:rPr>
        <w:t xml:space="preserve"> </w:t>
      </w:r>
      <w:r w:rsidR="00BE67C4" w:rsidRPr="00377AF5">
        <w:rPr>
          <w:rFonts w:ascii="Tahoma" w:hAnsi="Tahoma" w:cs="Tahoma"/>
          <w:sz w:val="22"/>
          <w:szCs w:val="22"/>
        </w:rPr>
        <w:t xml:space="preserve">aplicarle una tasa de reemplazo del 75% </w:t>
      </w:r>
      <w:r w:rsidR="0049019F" w:rsidRPr="00377AF5">
        <w:rPr>
          <w:rFonts w:ascii="Tahoma" w:hAnsi="Tahoma" w:cs="Tahoma"/>
          <w:sz w:val="22"/>
          <w:szCs w:val="22"/>
        </w:rPr>
        <w:t xml:space="preserve">arroja una primera mesada para el 1996 </w:t>
      </w:r>
      <w:r w:rsidR="00BE67C4" w:rsidRPr="00377AF5">
        <w:rPr>
          <w:rFonts w:ascii="Tahoma" w:hAnsi="Tahoma" w:cs="Tahoma"/>
          <w:sz w:val="22"/>
          <w:szCs w:val="22"/>
        </w:rPr>
        <w:t>de $213.631.</w:t>
      </w:r>
    </w:p>
    <w:p w14:paraId="1A2EDA5E" w14:textId="77777777" w:rsidR="00BE67C4" w:rsidRPr="00377AF5" w:rsidRDefault="00BE67C4" w:rsidP="00A23D20">
      <w:pPr>
        <w:pStyle w:val="Prrafodelista"/>
        <w:spacing w:line="276" w:lineRule="auto"/>
        <w:ind w:left="0" w:firstLine="709"/>
        <w:jc w:val="both"/>
        <w:rPr>
          <w:rFonts w:ascii="Tahoma" w:hAnsi="Tahoma" w:cs="Tahoma"/>
          <w:sz w:val="22"/>
          <w:szCs w:val="22"/>
        </w:rPr>
      </w:pPr>
    </w:p>
    <w:p w14:paraId="4D9CF542" w14:textId="77777777" w:rsidR="001E59B4" w:rsidRPr="00377AF5" w:rsidRDefault="0049019F" w:rsidP="00A23D20">
      <w:pPr>
        <w:pStyle w:val="Prrafodelista"/>
        <w:spacing w:line="276" w:lineRule="auto"/>
        <w:ind w:left="0" w:firstLine="709"/>
        <w:jc w:val="both"/>
        <w:rPr>
          <w:rFonts w:ascii="Tahoma" w:hAnsi="Tahoma" w:cs="Tahoma"/>
          <w:sz w:val="22"/>
          <w:szCs w:val="22"/>
        </w:rPr>
      </w:pPr>
      <w:r w:rsidRPr="00377AF5">
        <w:rPr>
          <w:rFonts w:ascii="Tahoma" w:hAnsi="Tahoma" w:cs="Tahoma"/>
          <w:sz w:val="22"/>
          <w:szCs w:val="22"/>
        </w:rPr>
        <w:t xml:space="preserve">Por otra parte, refirió </w:t>
      </w:r>
      <w:r w:rsidR="00E65E36" w:rsidRPr="00377AF5">
        <w:rPr>
          <w:rFonts w:ascii="Tahoma" w:hAnsi="Tahoma" w:cs="Tahoma"/>
          <w:sz w:val="22"/>
          <w:szCs w:val="22"/>
        </w:rPr>
        <w:t xml:space="preserve">que como </w:t>
      </w:r>
      <w:r w:rsidR="00A23D20" w:rsidRPr="00377AF5">
        <w:rPr>
          <w:rFonts w:ascii="Tahoma" w:hAnsi="Tahoma" w:cs="Tahoma"/>
          <w:sz w:val="22"/>
          <w:szCs w:val="22"/>
        </w:rPr>
        <w:t xml:space="preserve">la reclamación administrativa </w:t>
      </w:r>
      <w:r w:rsidR="00E65E36" w:rsidRPr="00377AF5">
        <w:rPr>
          <w:rFonts w:ascii="Tahoma" w:hAnsi="Tahoma" w:cs="Tahoma"/>
          <w:sz w:val="22"/>
          <w:szCs w:val="22"/>
        </w:rPr>
        <w:t xml:space="preserve">se </w:t>
      </w:r>
      <w:r w:rsidR="00A23D20" w:rsidRPr="00377AF5">
        <w:rPr>
          <w:rFonts w:ascii="Tahoma" w:hAnsi="Tahoma" w:cs="Tahoma"/>
          <w:sz w:val="22"/>
          <w:szCs w:val="22"/>
        </w:rPr>
        <w:t>present</w:t>
      </w:r>
      <w:r w:rsidR="00E65E36" w:rsidRPr="00377AF5">
        <w:rPr>
          <w:rFonts w:ascii="Tahoma" w:hAnsi="Tahoma" w:cs="Tahoma"/>
          <w:sz w:val="22"/>
          <w:szCs w:val="22"/>
        </w:rPr>
        <w:t xml:space="preserve">ó </w:t>
      </w:r>
      <w:r w:rsidR="00A23D20" w:rsidRPr="00377AF5">
        <w:rPr>
          <w:rFonts w:ascii="Tahoma" w:hAnsi="Tahoma" w:cs="Tahoma"/>
          <w:sz w:val="22"/>
          <w:szCs w:val="22"/>
        </w:rPr>
        <w:t xml:space="preserve">el 22 de </w:t>
      </w:r>
      <w:r w:rsidR="00E65E36" w:rsidRPr="00377AF5">
        <w:rPr>
          <w:rFonts w:ascii="Tahoma" w:hAnsi="Tahoma" w:cs="Tahoma"/>
          <w:sz w:val="22"/>
          <w:szCs w:val="22"/>
        </w:rPr>
        <w:t xml:space="preserve">marzo </w:t>
      </w:r>
      <w:r w:rsidR="00A23D20" w:rsidRPr="00377AF5">
        <w:rPr>
          <w:rFonts w:ascii="Tahoma" w:hAnsi="Tahoma" w:cs="Tahoma"/>
          <w:sz w:val="22"/>
          <w:szCs w:val="22"/>
        </w:rPr>
        <w:t xml:space="preserve">de 2013, </w:t>
      </w:r>
      <w:r w:rsidR="00E65E36" w:rsidRPr="00377AF5">
        <w:rPr>
          <w:rFonts w:ascii="Tahoma" w:hAnsi="Tahoma" w:cs="Tahoma"/>
          <w:sz w:val="22"/>
          <w:szCs w:val="22"/>
        </w:rPr>
        <w:t>estarían prescritas las mesadas pensionales causadas entre el 7 de diciembre de 1997</w:t>
      </w:r>
      <w:r w:rsidR="008E0E1E" w:rsidRPr="00377AF5">
        <w:rPr>
          <w:rFonts w:ascii="Tahoma" w:hAnsi="Tahoma" w:cs="Tahoma"/>
          <w:sz w:val="22"/>
          <w:szCs w:val="22"/>
        </w:rPr>
        <w:t xml:space="preserve"> y </w:t>
      </w:r>
      <w:r w:rsidR="00E65E36" w:rsidRPr="00377AF5">
        <w:rPr>
          <w:rFonts w:ascii="Tahoma" w:hAnsi="Tahoma" w:cs="Tahoma"/>
          <w:sz w:val="22"/>
          <w:szCs w:val="22"/>
        </w:rPr>
        <w:t xml:space="preserve">el 21 de </w:t>
      </w:r>
      <w:r w:rsidR="008E0E1E" w:rsidRPr="00377AF5">
        <w:rPr>
          <w:rFonts w:ascii="Tahoma" w:hAnsi="Tahoma" w:cs="Tahoma"/>
          <w:sz w:val="22"/>
          <w:szCs w:val="22"/>
        </w:rPr>
        <w:t xml:space="preserve">marzo </w:t>
      </w:r>
      <w:r w:rsidR="00E65E36" w:rsidRPr="00377AF5">
        <w:rPr>
          <w:rFonts w:ascii="Tahoma" w:hAnsi="Tahoma" w:cs="Tahoma"/>
          <w:sz w:val="22"/>
          <w:szCs w:val="22"/>
        </w:rPr>
        <w:t>de 2010,</w:t>
      </w:r>
      <w:r w:rsidR="001E7821" w:rsidRPr="00377AF5">
        <w:rPr>
          <w:rFonts w:ascii="Tahoma" w:hAnsi="Tahoma" w:cs="Tahoma"/>
          <w:sz w:val="22"/>
          <w:szCs w:val="22"/>
        </w:rPr>
        <w:t xml:space="preserve"> año en el que la mesada ascendía a $697.427; por lo que</w:t>
      </w:r>
      <w:r w:rsidR="00E97163" w:rsidRPr="00377AF5">
        <w:rPr>
          <w:rFonts w:ascii="Tahoma" w:hAnsi="Tahoma" w:cs="Tahoma"/>
          <w:sz w:val="22"/>
          <w:szCs w:val="22"/>
        </w:rPr>
        <w:t xml:space="preserve"> el retroactivo a la fecha de presentación de la demanda era de $51’773.458,84, suma a la que debían descontarse los $2.691.628</w:t>
      </w:r>
      <w:r w:rsidR="001E59B4" w:rsidRPr="00377AF5">
        <w:rPr>
          <w:rFonts w:ascii="Tahoma" w:hAnsi="Tahoma" w:cs="Tahoma"/>
          <w:sz w:val="22"/>
          <w:szCs w:val="22"/>
        </w:rPr>
        <w:t xml:space="preserve">, que se pagó al actor por concepto de </w:t>
      </w:r>
      <w:r w:rsidR="00E97163" w:rsidRPr="00377AF5">
        <w:rPr>
          <w:rFonts w:ascii="Tahoma" w:hAnsi="Tahoma" w:cs="Tahoma"/>
          <w:sz w:val="22"/>
          <w:szCs w:val="22"/>
        </w:rPr>
        <w:t xml:space="preserve">indemnización sustitutiva, </w:t>
      </w:r>
      <w:r w:rsidR="001E59B4" w:rsidRPr="00377AF5">
        <w:rPr>
          <w:rFonts w:ascii="Tahoma" w:hAnsi="Tahoma" w:cs="Tahoma"/>
          <w:sz w:val="22"/>
          <w:szCs w:val="22"/>
        </w:rPr>
        <w:t xml:space="preserve">lo cual arroja un valor de </w:t>
      </w:r>
      <w:r w:rsidR="00E97163" w:rsidRPr="00377AF5">
        <w:rPr>
          <w:rFonts w:ascii="Tahoma" w:hAnsi="Tahoma" w:cs="Tahoma"/>
          <w:sz w:val="22"/>
          <w:szCs w:val="22"/>
        </w:rPr>
        <w:t xml:space="preserve">$49.081.830,84. </w:t>
      </w:r>
    </w:p>
    <w:p w14:paraId="6F7D3F61" w14:textId="77777777" w:rsidR="001E59B4" w:rsidRPr="00377AF5" w:rsidRDefault="001E59B4" w:rsidP="00A23D20">
      <w:pPr>
        <w:pStyle w:val="Prrafodelista"/>
        <w:spacing w:line="276" w:lineRule="auto"/>
        <w:ind w:left="0" w:firstLine="709"/>
        <w:jc w:val="both"/>
        <w:rPr>
          <w:rFonts w:ascii="Tahoma" w:hAnsi="Tahoma" w:cs="Tahoma"/>
          <w:sz w:val="22"/>
          <w:szCs w:val="22"/>
        </w:rPr>
      </w:pPr>
    </w:p>
    <w:p w14:paraId="22CA04E7" w14:textId="1667DBF5" w:rsidR="001E7821" w:rsidRPr="00377AF5" w:rsidRDefault="00184D9A" w:rsidP="00A23D20">
      <w:pPr>
        <w:pStyle w:val="Prrafodelista"/>
        <w:spacing w:line="276" w:lineRule="auto"/>
        <w:ind w:left="0" w:firstLine="709"/>
        <w:jc w:val="both"/>
        <w:rPr>
          <w:rFonts w:ascii="Tahoma" w:hAnsi="Tahoma" w:cs="Tahoma"/>
          <w:sz w:val="22"/>
          <w:szCs w:val="22"/>
        </w:rPr>
      </w:pPr>
      <w:r w:rsidRPr="00377AF5">
        <w:rPr>
          <w:rFonts w:ascii="Tahoma" w:hAnsi="Tahoma" w:cs="Tahoma"/>
          <w:sz w:val="22"/>
          <w:szCs w:val="22"/>
        </w:rPr>
        <w:t>Finalmente, manifestó que no era procedente reconocer los i</w:t>
      </w:r>
      <w:r w:rsidR="00E97163" w:rsidRPr="00377AF5">
        <w:rPr>
          <w:rFonts w:ascii="Tahoma" w:hAnsi="Tahoma" w:cs="Tahoma"/>
          <w:sz w:val="22"/>
          <w:szCs w:val="22"/>
        </w:rPr>
        <w:t xml:space="preserve">ntereses </w:t>
      </w:r>
      <w:r w:rsidRPr="00377AF5">
        <w:rPr>
          <w:rFonts w:ascii="Tahoma" w:hAnsi="Tahoma" w:cs="Tahoma"/>
          <w:sz w:val="22"/>
          <w:szCs w:val="22"/>
        </w:rPr>
        <w:t xml:space="preserve">moratorios perseguidos en razón a que los mismos están concebidos </w:t>
      </w:r>
      <w:r w:rsidR="00E97163" w:rsidRPr="00377AF5">
        <w:rPr>
          <w:rFonts w:ascii="Tahoma" w:hAnsi="Tahoma" w:cs="Tahoma"/>
          <w:sz w:val="22"/>
          <w:szCs w:val="22"/>
        </w:rPr>
        <w:t>exclusivamente para las pensiones reconocidas bajo el fundamento normativo de la Ley 100 de 1993.</w:t>
      </w:r>
    </w:p>
    <w:p w14:paraId="15D10875" w14:textId="77777777" w:rsidR="00924682" w:rsidRPr="00377AF5" w:rsidRDefault="00924682" w:rsidP="00465FF1">
      <w:pPr>
        <w:jc w:val="both"/>
        <w:rPr>
          <w:rFonts w:ascii="Tahoma" w:hAnsi="Tahoma" w:cs="Tahoma"/>
          <w:sz w:val="22"/>
          <w:szCs w:val="22"/>
        </w:rPr>
      </w:pPr>
    </w:p>
    <w:p w14:paraId="21093C18" w14:textId="2E61CA84" w:rsidR="009A4059" w:rsidRPr="00377AF5"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377AF5">
        <w:rPr>
          <w:rFonts w:ascii="Tahoma" w:hAnsi="Tahoma" w:cs="Tahoma"/>
          <w:b/>
          <w:sz w:val="22"/>
          <w:szCs w:val="22"/>
        </w:rPr>
        <w:t>Recurso de apelación</w:t>
      </w:r>
      <w:r w:rsidR="00F56C84" w:rsidRPr="00377AF5">
        <w:rPr>
          <w:rFonts w:ascii="Tahoma" w:hAnsi="Tahoma" w:cs="Tahoma"/>
          <w:b/>
          <w:sz w:val="22"/>
          <w:szCs w:val="22"/>
        </w:rPr>
        <w:t xml:space="preserve"> </w:t>
      </w:r>
      <w:r w:rsidR="00B463B2" w:rsidRPr="00377AF5">
        <w:rPr>
          <w:rFonts w:ascii="Tahoma" w:hAnsi="Tahoma" w:cs="Tahoma"/>
          <w:b/>
          <w:sz w:val="22"/>
          <w:szCs w:val="22"/>
        </w:rPr>
        <w:t>y procedencia de la consulta</w:t>
      </w:r>
    </w:p>
    <w:p w14:paraId="4F3FFE96" w14:textId="77777777" w:rsidR="00311F25" w:rsidRPr="00377AF5" w:rsidRDefault="00311F25" w:rsidP="00311F25">
      <w:pPr>
        <w:widowControl w:val="0"/>
        <w:autoSpaceDE w:val="0"/>
        <w:autoSpaceDN w:val="0"/>
        <w:adjustRightInd w:val="0"/>
        <w:ind w:firstLine="1122"/>
        <w:jc w:val="both"/>
        <w:rPr>
          <w:rFonts w:ascii="Tahoma" w:hAnsi="Tahoma" w:cs="Tahoma"/>
          <w:sz w:val="22"/>
          <w:szCs w:val="22"/>
        </w:rPr>
      </w:pPr>
    </w:p>
    <w:p w14:paraId="651698D5" w14:textId="5F77A301" w:rsidR="00311F25" w:rsidRPr="00377AF5" w:rsidRDefault="00311F25" w:rsidP="009174EF">
      <w:pPr>
        <w:pStyle w:val="Sangradetextonormal"/>
        <w:spacing w:line="276" w:lineRule="auto"/>
        <w:ind w:firstLine="0"/>
        <w:rPr>
          <w:sz w:val="22"/>
          <w:szCs w:val="22"/>
        </w:rPr>
      </w:pPr>
      <w:r w:rsidRPr="00377AF5">
        <w:rPr>
          <w:sz w:val="22"/>
          <w:szCs w:val="22"/>
        </w:rPr>
        <w:tab/>
        <w:t xml:space="preserve">El apoderado judicial de </w:t>
      </w:r>
      <w:r w:rsidR="00016005" w:rsidRPr="00377AF5">
        <w:rPr>
          <w:sz w:val="22"/>
          <w:szCs w:val="22"/>
        </w:rPr>
        <w:t xml:space="preserve">Colpensiones </w:t>
      </w:r>
      <w:r w:rsidRPr="00377AF5">
        <w:rPr>
          <w:sz w:val="22"/>
          <w:szCs w:val="22"/>
        </w:rPr>
        <w:t>apeló la decisión arguyendo que la parte demandante no</w:t>
      </w:r>
      <w:r w:rsidRPr="00377AF5">
        <w:rPr>
          <w:b/>
          <w:sz w:val="22"/>
          <w:szCs w:val="22"/>
        </w:rPr>
        <w:t xml:space="preserve"> </w:t>
      </w:r>
      <w:r w:rsidRPr="00377AF5">
        <w:rPr>
          <w:sz w:val="22"/>
          <w:szCs w:val="22"/>
        </w:rPr>
        <w:t xml:space="preserve">aportó prueba que ratifique que en la convención colectiva no se pactó la </w:t>
      </w:r>
      <w:r w:rsidR="00026766" w:rsidRPr="00377AF5">
        <w:rPr>
          <w:sz w:val="22"/>
          <w:szCs w:val="22"/>
        </w:rPr>
        <w:t xml:space="preserve">no </w:t>
      </w:r>
      <w:proofErr w:type="spellStart"/>
      <w:r w:rsidR="00026766" w:rsidRPr="00377AF5">
        <w:rPr>
          <w:sz w:val="22"/>
          <w:szCs w:val="22"/>
        </w:rPr>
        <w:t>compartibilidad</w:t>
      </w:r>
      <w:proofErr w:type="spellEnd"/>
      <w:r w:rsidR="00026766" w:rsidRPr="00377AF5">
        <w:rPr>
          <w:sz w:val="22"/>
          <w:szCs w:val="22"/>
        </w:rPr>
        <w:t xml:space="preserve"> de la pensión, c</w:t>
      </w:r>
      <w:r w:rsidRPr="00377AF5">
        <w:rPr>
          <w:sz w:val="22"/>
          <w:szCs w:val="22"/>
        </w:rPr>
        <w:t>arga probatoria que le compet</w:t>
      </w:r>
      <w:r w:rsidR="00026766" w:rsidRPr="00377AF5">
        <w:rPr>
          <w:sz w:val="22"/>
          <w:szCs w:val="22"/>
        </w:rPr>
        <w:t xml:space="preserve">ía </w:t>
      </w:r>
      <w:r w:rsidR="00016005" w:rsidRPr="00377AF5">
        <w:rPr>
          <w:sz w:val="22"/>
          <w:szCs w:val="22"/>
        </w:rPr>
        <w:t>por ser beneficiario d</w:t>
      </w:r>
      <w:r w:rsidRPr="00377AF5">
        <w:rPr>
          <w:sz w:val="22"/>
          <w:szCs w:val="22"/>
        </w:rPr>
        <w:t xml:space="preserve">e </w:t>
      </w:r>
      <w:r w:rsidR="00A87CB1" w:rsidRPr="00377AF5">
        <w:rPr>
          <w:sz w:val="22"/>
          <w:szCs w:val="22"/>
        </w:rPr>
        <w:t>ese convenio</w:t>
      </w:r>
      <w:r w:rsidR="00016005" w:rsidRPr="00377AF5">
        <w:rPr>
          <w:sz w:val="22"/>
          <w:szCs w:val="22"/>
        </w:rPr>
        <w:t xml:space="preserve"> y por tener </w:t>
      </w:r>
      <w:r w:rsidRPr="00377AF5">
        <w:rPr>
          <w:sz w:val="22"/>
          <w:szCs w:val="22"/>
        </w:rPr>
        <w:t xml:space="preserve">acceso al documento donde reposa </w:t>
      </w:r>
      <w:r w:rsidR="00016005" w:rsidRPr="00377AF5">
        <w:rPr>
          <w:sz w:val="22"/>
          <w:szCs w:val="22"/>
        </w:rPr>
        <w:t xml:space="preserve">esa información, mismo </w:t>
      </w:r>
      <w:r w:rsidRPr="00377AF5">
        <w:rPr>
          <w:sz w:val="22"/>
          <w:szCs w:val="22"/>
        </w:rPr>
        <w:t>que nunca fue allegado al proceso</w:t>
      </w:r>
      <w:r w:rsidR="00A87CB1" w:rsidRPr="00377AF5">
        <w:rPr>
          <w:sz w:val="22"/>
          <w:szCs w:val="22"/>
        </w:rPr>
        <w:t xml:space="preserve"> y que imp</w:t>
      </w:r>
      <w:r w:rsidR="0000659E" w:rsidRPr="00377AF5">
        <w:rPr>
          <w:sz w:val="22"/>
          <w:szCs w:val="22"/>
        </w:rPr>
        <w:t xml:space="preserve">edía que se fallara </w:t>
      </w:r>
      <w:r w:rsidRPr="00377AF5">
        <w:rPr>
          <w:sz w:val="22"/>
          <w:szCs w:val="22"/>
        </w:rPr>
        <w:t xml:space="preserve">a </w:t>
      </w:r>
      <w:r w:rsidR="00016005" w:rsidRPr="00377AF5">
        <w:rPr>
          <w:sz w:val="22"/>
          <w:szCs w:val="22"/>
        </w:rPr>
        <w:t xml:space="preserve">su </w:t>
      </w:r>
      <w:r w:rsidRPr="00377AF5">
        <w:rPr>
          <w:sz w:val="22"/>
          <w:szCs w:val="22"/>
        </w:rPr>
        <w:t xml:space="preserve">favor </w:t>
      </w:r>
      <w:r w:rsidR="0000659E" w:rsidRPr="00377AF5">
        <w:rPr>
          <w:sz w:val="22"/>
          <w:szCs w:val="22"/>
        </w:rPr>
        <w:t>bajo la presunción de q</w:t>
      </w:r>
      <w:r w:rsidRPr="00377AF5">
        <w:rPr>
          <w:sz w:val="22"/>
          <w:szCs w:val="22"/>
        </w:rPr>
        <w:t xml:space="preserve">ue </w:t>
      </w:r>
      <w:r w:rsidR="00016005" w:rsidRPr="00377AF5">
        <w:rPr>
          <w:sz w:val="22"/>
          <w:szCs w:val="22"/>
        </w:rPr>
        <w:t xml:space="preserve">aquel </w:t>
      </w:r>
      <w:r w:rsidRPr="00377AF5">
        <w:rPr>
          <w:sz w:val="22"/>
          <w:szCs w:val="22"/>
        </w:rPr>
        <w:t xml:space="preserve">no se encuentra dentro de la excepción expresa de </w:t>
      </w:r>
      <w:r w:rsidR="00016005" w:rsidRPr="00377AF5">
        <w:rPr>
          <w:sz w:val="22"/>
          <w:szCs w:val="22"/>
        </w:rPr>
        <w:t xml:space="preserve">no </w:t>
      </w:r>
      <w:proofErr w:type="spellStart"/>
      <w:r w:rsidR="0000659E" w:rsidRPr="00377AF5">
        <w:rPr>
          <w:sz w:val="22"/>
          <w:szCs w:val="22"/>
        </w:rPr>
        <w:t>compartibilidad</w:t>
      </w:r>
      <w:proofErr w:type="spellEnd"/>
      <w:r w:rsidRPr="00377AF5">
        <w:rPr>
          <w:sz w:val="22"/>
          <w:szCs w:val="22"/>
        </w:rPr>
        <w:t>, otorgada para pactos y convenciones colectivas que recono</w:t>
      </w:r>
      <w:r w:rsidR="0000659E" w:rsidRPr="00377AF5">
        <w:rPr>
          <w:sz w:val="22"/>
          <w:szCs w:val="22"/>
        </w:rPr>
        <w:t xml:space="preserve">cieron </w:t>
      </w:r>
      <w:r w:rsidR="00016005" w:rsidRPr="00377AF5">
        <w:rPr>
          <w:sz w:val="22"/>
          <w:szCs w:val="22"/>
        </w:rPr>
        <w:t>la</w:t>
      </w:r>
      <w:r w:rsidRPr="00377AF5">
        <w:rPr>
          <w:sz w:val="22"/>
          <w:szCs w:val="22"/>
        </w:rPr>
        <w:t xml:space="preserve"> </w:t>
      </w:r>
      <w:r w:rsidR="00016005" w:rsidRPr="00377AF5">
        <w:rPr>
          <w:sz w:val="22"/>
          <w:szCs w:val="22"/>
        </w:rPr>
        <w:t>p</w:t>
      </w:r>
      <w:r w:rsidRPr="00377AF5">
        <w:rPr>
          <w:sz w:val="22"/>
          <w:szCs w:val="22"/>
        </w:rPr>
        <w:t xml:space="preserve">ensión de jubilación antes del 17 de </w:t>
      </w:r>
      <w:r w:rsidR="0000659E" w:rsidRPr="00377AF5">
        <w:rPr>
          <w:sz w:val="22"/>
          <w:szCs w:val="22"/>
        </w:rPr>
        <w:t xml:space="preserve">octubre </w:t>
      </w:r>
      <w:r w:rsidRPr="00377AF5">
        <w:rPr>
          <w:sz w:val="22"/>
          <w:szCs w:val="22"/>
        </w:rPr>
        <w:t>de 1985.</w:t>
      </w:r>
    </w:p>
    <w:p w14:paraId="0D083D0E" w14:textId="77777777" w:rsidR="00311F25" w:rsidRPr="00377AF5" w:rsidRDefault="00311F25" w:rsidP="009174EF">
      <w:pPr>
        <w:widowControl w:val="0"/>
        <w:autoSpaceDE w:val="0"/>
        <w:autoSpaceDN w:val="0"/>
        <w:adjustRightInd w:val="0"/>
        <w:spacing w:line="276" w:lineRule="auto"/>
        <w:ind w:firstLine="1122"/>
        <w:jc w:val="both"/>
        <w:rPr>
          <w:rFonts w:ascii="Tahoma" w:hAnsi="Tahoma" w:cs="Tahoma"/>
          <w:sz w:val="22"/>
          <w:szCs w:val="22"/>
        </w:rPr>
      </w:pPr>
    </w:p>
    <w:p w14:paraId="0BE1D632" w14:textId="78A30836" w:rsidR="001B4FD7" w:rsidRPr="00377AF5" w:rsidRDefault="000476CA" w:rsidP="009174EF">
      <w:pPr>
        <w:spacing w:line="276" w:lineRule="auto"/>
        <w:jc w:val="both"/>
        <w:rPr>
          <w:rFonts w:ascii="Tahoma" w:hAnsi="Tahoma" w:cs="Tahoma"/>
          <w:sz w:val="22"/>
          <w:szCs w:val="22"/>
        </w:rPr>
      </w:pPr>
      <w:r w:rsidRPr="00377AF5">
        <w:rPr>
          <w:rFonts w:ascii="Tahoma" w:hAnsi="Tahoma" w:cs="Tahoma"/>
          <w:sz w:val="22"/>
          <w:szCs w:val="22"/>
        </w:rPr>
        <w:tab/>
      </w:r>
      <w:r w:rsidR="00B463B2" w:rsidRPr="00377AF5">
        <w:rPr>
          <w:rFonts w:ascii="Tahoma" w:hAnsi="Tahoma" w:cs="Tahoma"/>
          <w:sz w:val="22"/>
          <w:szCs w:val="22"/>
        </w:rPr>
        <w:t>Por otra parte, teniendo en cuenta que la sentencia fue desfavorable para los intereses de Colpensiones, se dispuso el grado jurisdiccional de consulta.</w:t>
      </w:r>
    </w:p>
    <w:p w14:paraId="562942FC" w14:textId="77777777" w:rsidR="00920F05" w:rsidRPr="00377AF5" w:rsidRDefault="00920F05" w:rsidP="009174EF">
      <w:pPr>
        <w:spacing w:line="276" w:lineRule="auto"/>
        <w:jc w:val="both"/>
        <w:rPr>
          <w:rFonts w:ascii="Tahoma" w:hAnsi="Tahoma" w:cs="Tahoma"/>
        </w:rPr>
      </w:pPr>
    </w:p>
    <w:p w14:paraId="07FB949E" w14:textId="3CFF2E1D" w:rsidR="0010792F" w:rsidRPr="00377AF5" w:rsidRDefault="0088082B" w:rsidP="009174E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77AF5">
        <w:rPr>
          <w:rFonts w:ascii="Tahoma" w:hAnsi="Tahoma" w:cs="Tahoma"/>
          <w:b/>
        </w:rPr>
        <w:t xml:space="preserve"> </w:t>
      </w:r>
      <w:r w:rsidR="00AA407F" w:rsidRPr="00377AF5">
        <w:rPr>
          <w:rFonts w:ascii="Tahoma" w:hAnsi="Tahoma" w:cs="Tahoma"/>
          <w:b/>
        </w:rPr>
        <w:t>Consideraciones</w:t>
      </w:r>
      <w:r w:rsidR="00AA407F" w:rsidRPr="00377AF5">
        <w:rPr>
          <w:rFonts w:ascii="Tahoma" w:hAnsi="Tahoma" w:cs="Tahoma"/>
        </w:rPr>
        <w:tab/>
      </w:r>
    </w:p>
    <w:p w14:paraId="25451D00" w14:textId="77777777" w:rsidR="003879DA" w:rsidRPr="00377AF5" w:rsidRDefault="003879DA" w:rsidP="009174EF">
      <w:pPr>
        <w:widowControl w:val="0"/>
        <w:autoSpaceDE w:val="0"/>
        <w:autoSpaceDN w:val="0"/>
        <w:adjustRightInd w:val="0"/>
        <w:spacing w:line="276" w:lineRule="auto"/>
        <w:jc w:val="center"/>
        <w:rPr>
          <w:rFonts w:ascii="Tahoma" w:hAnsi="Tahoma" w:cs="Tahoma"/>
        </w:rPr>
      </w:pPr>
    </w:p>
    <w:p w14:paraId="601E7F4E" w14:textId="04D110C7" w:rsidR="003879DA" w:rsidRPr="00377AF5" w:rsidRDefault="003879DA" w:rsidP="009174EF">
      <w:pPr>
        <w:pStyle w:val="Prrafodelista"/>
        <w:widowControl w:val="0"/>
        <w:numPr>
          <w:ilvl w:val="1"/>
          <w:numId w:val="1"/>
        </w:numPr>
        <w:autoSpaceDE w:val="0"/>
        <w:autoSpaceDN w:val="0"/>
        <w:adjustRightInd w:val="0"/>
        <w:spacing w:line="276" w:lineRule="auto"/>
        <w:ind w:left="1134" w:hanging="425"/>
        <w:jc w:val="both"/>
        <w:rPr>
          <w:rFonts w:ascii="Tahoma" w:hAnsi="Tahoma" w:cs="Tahoma"/>
          <w:b/>
        </w:rPr>
      </w:pPr>
      <w:r w:rsidRPr="00377AF5">
        <w:rPr>
          <w:rFonts w:ascii="Tahoma" w:hAnsi="Tahoma" w:cs="Tahoma"/>
          <w:b/>
        </w:rPr>
        <w:t xml:space="preserve">De la compatibilidad y la </w:t>
      </w:r>
      <w:proofErr w:type="spellStart"/>
      <w:r w:rsidRPr="00377AF5">
        <w:rPr>
          <w:rFonts w:ascii="Tahoma" w:hAnsi="Tahoma" w:cs="Tahoma"/>
          <w:b/>
        </w:rPr>
        <w:t>compartibilidad</w:t>
      </w:r>
      <w:proofErr w:type="spellEnd"/>
      <w:r w:rsidRPr="00377AF5">
        <w:rPr>
          <w:rFonts w:ascii="Tahoma" w:hAnsi="Tahoma" w:cs="Tahoma"/>
          <w:b/>
        </w:rPr>
        <w:t xml:space="preserve"> pensional</w:t>
      </w:r>
    </w:p>
    <w:p w14:paraId="7318C645" w14:textId="77777777" w:rsidR="003879DA" w:rsidRPr="00377AF5" w:rsidRDefault="003879DA" w:rsidP="009174EF">
      <w:pPr>
        <w:pStyle w:val="Prrafodelista"/>
        <w:widowControl w:val="0"/>
        <w:autoSpaceDE w:val="0"/>
        <w:autoSpaceDN w:val="0"/>
        <w:adjustRightInd w:val="0"/>
        <w:spacing w:line="276" w:lineRule="auto"/>
        <w:ind w:left="1080"/>
        <w:jc w:val="both"/>
        <w:rPr>
          <w:rFonts w:ascii="Tahoma" w:hAnsi="Tahoma" w:cs="Tahoma"/>
          <w:b/>
        </w:rPr>
      </w:pPr>
    </w:p>
    <w:p w14:paraId="39EB892C" w14:textId="31B562C8" w:rsidR="003879DA" w:rsidRPr="00377AF5" w:rsidRDefault="003879DA" w:rsidP="009174EF">
      <w:pPr>
        <w:tabs>
          <w:tab w:val="num" w:pos="720"/>
        </w:tabs>
        <w:spacing w:line="276" w:lineRule="auto"/>
        <w:ind w:left="1" w:right="20"/>
        <w:jc w:val="both"/>
        <w:rPr>
          <w:rFonts w:ascii="Arial Narrow" w:hAnsi="Arial Narrow" w:cs="Tahoma"/>
          <w:lang w:val="es-ES_tradnl" w:eastAsia="zh-CN"/>
        </w:rPr>
      </w:pPr>
      <w:r w:rsidRPr="00377AF5">
        <w:rPr>
          <w:rFonts w:ascii="Tahoma" w:hAnsi="Tahoma" w:cs="Tahoma"/>
          <w:szCs w:val="28"/>
        </w:rPr>
        <w:tab/>
      </w:r>
      <w:r w:rsidR="00110BBD" w:rsidRPr="00377AF5">
        <w:rPr>
          <w:rFonts w:ascii="Tahoma" w:hAnsi="Tahoma" w:cs="Tahoma"/>
          <w:szCs w:val="28"/>
        </w:rPr>
        <w:t xml:space="preserve">Con anterioridad a </w:t>
      </w:r>
      <w:r w:rsidR="00D00A44" w:rsidRPr="00377AF5">
        <w:rPr>
          <w:rFonts w:ascii="Tahoma" w:hAnsi="Tahoma" w:cs="Tahoma"/>
          <w:szCs w:val="28"/>
        </w:rPr>
        <w:t xml:space="preserve">que el </w:t>
      </w:r>
      <w:r w:rsidRPr="00377AF5">
        <w:rPr>
          <w:rFonts w:ascii="Tahoma" w:hAnsi="Tahoma" w:cs="Tahoma"/>
          <w:szCs w:val="28"/>
          <w:lang w:eastAsia="zh-CN"/>
        </w:rPr>
        <w:t>I</w:t>
      </w:r>
      <w:r w:rsidR="00360E93" w:rsidRPr="00377AF5">
        <w:rPr>
          <w:rFonts w:ascii="Tahoma" w:hAnsi="Tahoma" w:cs="Tahoma"/>
          <w:szCs w:val="28"/>
          <w:lang w:eastAsia="zh-CN"/>
        </w:rPr>
        <w:t xml:space="preserve">.S.S. </w:t>
      </w:r>
      <w:r w:rsidRPr="00377AF5">
        <w:rPr>
          <w:rFonts w:ascii="Tahoma" w:hAnsi="Tahoma" w:cs="Tahoma"/>
          <w:szCs w:val="28"/>
          <w:lang w:eastAsia="zh-CN"/>
        </w:rPr>
        <w:t>asumiera l</w:t>
      </w:r>
      <w:r w:rsidR="00D00A44" w:rsidRPr="00377AF5">
        <w:rPr>
          <w:rFonts w:ascii="Tahoma" w:hAnsi="Tahoma" w:cs="Tahoma"/>
          <w:szCs w:val="28"/>
          <w:lang w:eastAsia="zh-CN"/>
        </w:rPr>
        <w:t>as pensiones de v</w:t>
      </w:r>
      <w:r w:rsidRPr="00377AF5">
        <w:rPr>
          <w:rFonts w:ascii="Tahoma" w:hAnsi="Tahoma" w:cs="Tahoma"/>
          <w:szCs w:val="28"/>
          <w:lang w:eastAsia="zh-CN"/>
        </w:rPr>
        <w:t xml:space="preserve">ejez, sobreviviente o de invalidez, las </w:t>
      </w:r>
      <w:r w:rsidR="00D00A44" w:rsidRPr="00377AF5">
        <w:rPr>
          <w:rFonts w:ascii="Tahoma" w:hAnsi="Tahoma" w:cs="Tahoma"/>
          <w:szCs w:val="28"/>
          <w:lang w:eastAsia="zh-CN"/>
        </w:rPr>
        <w:t xml:space="preserve">mismas </w:t>
      </w:r>
      <w:r w:rsidR="00110BBD" w:rsidRPr="00377AF5">
        <w:rPr>
          <w:rFonts w:ascii="Tahoma" w:hAnsi="Tahoma" w:cs="Tahoma"/>
          <w:szCs w:val="28"/>
          <w:lang w:eastAsia="zh-CN"/>
        </w:rPr>
        <w:t xml:space="preserve">corrían a cargo de los </w:t>
      </w:r>
      <w:r w:rsidRPr="00377AF5">
        <w:rPr>
          <w:rFonts w:ascii="Tahoma" w:hAnsi="Tahoma" w:cs="Tahoma"/>
          <w:szCs w:val="28"/>
          <w:lang w:eastAsia="zh-CN"/>
        </w:rPr>
        <w:t>empleadores o patronos</w:t>
      </w:r>
      <w:r w:rsidR="00110BBD" w:rsidRPr="00377AF5">
        <w:rPr>
          <w:rFonts w:ascii="Tahoma" w:hAnsi="Tahoma" w:cs="Tahoma"/>
          <w:szCs w:val="28"/>
          <w:lang w:eastAsia="zh-CN"/>
        </w:rPr>
        <w:t xml:space="preserve">, quienes las </w:t>
      </w:r>
      <w:r w:rsidRPr="00377AF5">
        <w:rPr>
          <w:rFonts w:ascii="Tahoma" w:hAnsi="Tahoma" w:cs="Tahoma"/>
          <w:szCs w:val="28"/>
          <w:lang w:eastAsia="zh-CN"/>
        </w:rPr>
        <w:t>reconoc</w:t>
      </w:r>
      <w:r w:rsidR="00110BBD" w:rsidRPr="00377AF5">
        <w:rPr>
          <w:rFonts w:ascii="Tahoma" w:hAnsi="Tahoma" w:cs="Tahoma"/>
          <w:szCs w:val="28"/>
          <w:lang w:eastAsia="zh-CN"/>
        </w:rPr>
        <w:t>ían</w:t>
      </w:r>
      <w:r w:rsidR="00D00A44" w:rsidRPr="00377AF5">
        <w:rPr>
          <w:rFonts w:ascii="Tahoma" w:hAnsi="Tahoma" w:cs="Tahoma"/>
          <w:szCs w:val="28"/>
          <w:lang w:eastAsia="zh-CN"/>
        </w:rPr>
        <w:t xml:space="preserve">, entre otras, de conformidad con la </w:t>
      </w:r>
      <w:r w:rsidRPr="00377AF5">
        <w:rPr>
          <w:rFonts w:ascii="Tahoma" w:hAnsi="Tahoma" w:cs="Tahoma"/>
          <w:szCs w:val="28"/>
          <w:lang w:eastAsia="zh-CN"/>
        </w:rPr>
        <w:t xml:space="preserve">convención colectiva, pacto colectivo o laudo arbitral. </w:t>
      </w:r>
      <w:r w:rsidR="00D00A44" w:rsidRPr="00377AF5">
        <w:rPr>
          <w:rFonts w:ascii="Tahoma" w:hAnsi="Tahoma" w:cs="Tahoma"/>
          <w:szCs w:val="28"/>
          <w:lang w:eastAsia="zh-CN"/>
        </w:rPr>
        <w:t xml:space="preserve">No Obstante, con la finalidad de </w:t>
      </w:r>
      <w:r w:rsidRPr="00377AF5">
        <w:rPr>
          <w:rFonts w:ascii="Tahoma" w:hAnsi="Tahoma" w:cs="Tahoma"/>
          <w:szCs w:val="28"/>
          <w:lang w:eastAsia="zh-CN"/>
        </w:rPr>
        <w:t xml:space="preserve">que tal </w:t>
      </w:r>
      <w:r w:rsidR="00360E93" w:rsidRPr="00377AF5">
        <w:rPr>
          <w:rFonts w:ascii="Tahoma" w:hAnsi="Tahoma" w:cs="Tahoma"/>
          <w:szCs w:val="28"/>
          <w:lang w:eastAsia="zh-CN"/>
        </w:rPr>
        <w:t xml:space="preserve">instituto </w:t>
      </w:r>
      <w:r w:rsidRPr="00377AF5">
        <w:rPr>
          <w:rFonts w:ascii="Tahoma" w:hAnsi="Tahoma" w:cs="Tahoma"/>
          <w:szCs w:val="28"/>
          <w:lang w:eastAsia="zh-CN"/>
        </w:rPr>
        <w:t>asumiera dicha responsabilidad</w:t>
      </w:r>
      <w:r w:rsidR="002D3EC2" w:rsidRPr="00377AF5">
        <w:rPr>
          <w:rFonts w:ascii="Tahoma" w:hAnsi="Tahoma" w:cs="Tahoma"/>
          <w:szCs w:val="28"/>
          <w:lang w:eastAsia="zh-CN"/>
        </w:rPr>
        <w:t xml:space="preserve">, nació la </w:t>
      </w:r>
      <w:r w:rsidR="002D3EC2" w:rsidRPr="00377AF5">
        <w:rPr>
          <w:rFonts w:ascii="Tahoma" w:hAnsi="Tahoma" w:cs="Tahoma"/>
          <w:szCs w:val="28"/>
          <w:lang w:eastAsia="zh-CN"/>
        </w:rPr>
        <w:lastRenderedPageBreak/>
        <w:t>posibilidad de conjugar</w:t>
      </w:r>
      <w:r w:rsidRPr="00377AF5">
        <w:rPr>
          <w:rFonts w:ascii="Tahoma" w:hAnsi="Tahoma" w:cs="Tahoma"/>
          <w:szCs w:val="28"/>
          <w:lang w:eastAsia="zh-CN"/>
        </w:rPr>
        <w:t xml:space="preserve"> l</w:t>
      </w:r>
      <w:r w:rsidR="002D3EC2" w:rsidRPr="00377AF5">
        <w:rPr>
          <w:rFonts w:ascii="Tahoma" w:hAnsi="Tahoma" w:cs="Tahoma"/>
          <w:szCs w:val="28"/>
          <w:lang w:eastAsia="zh-CN"/>
        </w:rPr>
        <w:t>a</w:t>
      </w:r>
      <w:r w:rsidRPr="00377AF5">
        <w:rPr>
          <w:rFonts w:ascii="Tahoma" w:hAnsi="Tahoma" w:cs="Tahoma"/>
          <w:szCs w:val="28"/>
          <w:lang w:eastAsia="zh-CN"/>
        </w:rPr>
        <w:t>s pensiones asumidas por patronos y las que correspondían al Instituto de los Seguros Sociales</w:t>
      </w:r>
      <w:r w:rsidR="002D3EC2" w:rsidRPr="00377AF5">
        <w:rPr>
          <w:rFonts w:ascii="Tahoma" w:hAnsi="Tahoma" w:cs="Tahoma"/>
          <w:szCs w:val="28"/>
          <w:lang w:eastAsia="zh-CN"/>
        </w:rPr>
        <w:t xml:space="preserve">, creándose las </w:t>
      </w:r>
      <w:r w:rsidRPr="00377AF5">
        <w:rPr>
          <w:rFonts w:ascii="Tahoma" w:hAnsi="Tahoma" w:cs="Tahoma"/>
          <w:szCs w:val="28"/>
          <w:lang w:eastAsia="zh-CN"/>
        </w:rPr>
        <w:t xml:space="preserve">figuras de la compatibilidad y de la </w:t>
      </w:r>
      <w:proofErr w:type="spellStart"/>
      <w:r w:rsidRPr="00377AF5">
        <w:rPr>
          <w:rFonts w:ascii="Tahoma" w:hAnsi="Tahoma" w:cs="Tahoma"/>
          <w:szCs w:val="28"/>
          <w:lang w:eastAsia="zh-CN"/>
        </w:rPr>
        <w:t>compartibilidad</w:t>
      </w:r>
      <w:proofErr w:type="spellEnd"/>
      <w:r w:rsidRPr="00377AF5">
        <w:rPr>
          <w:rFonts w:ascii="Tahoma" w:hAnsi="Tahoma" w:cs="Tahoma"/>
          <w:szCs w:val="28"/>
          <w:lang w:eastAsia="zh-CN"/>
        </w:rPr>
        <w:t xml:space="preserve"> pensional</w:t>
      </w:r>
      <w:r w:rsidR="00692BA6" w:rsidRPr="00377AF5">
        <w:rPr>
          <w:rFonts w:ascii="Tahoma" w:hAnsi="Tahoma" w:cs="Tahoma"/>
          <w:szCs w:val="28"/>
          <w:lang w:eastAsia="zh-CN"/>
        </w:rPr>
        <w:t>.</w:t>
      </w:r>
      <w:r w:rsidR="002D3EC2" w:rsidRPr="00377AF5">
        <w:rPr>
          <w:rFonts w:ascii="Tahoma" w:hAnsi="Tahoma" w:cs="Tahoma"/>
          <w:szCs w:val="28"/>
          <w:lang w:eastAsia="zh-CN"/>
        </w:rPr>
        <w:t xml:space="preserve"> </w:t>
      </w:r>
      <w:r w:rsidR="00692BA6" w:rsidRPr="00377AF5">
        <w:rPr>
          <w:rFonts w:ascii="Tahoma" w:hAnsi="Tahoma" w:cs="Tahoma"/>
          <w:szCs w:val="28"/>
          <w:lang w:eastAsia="zh-CN"/>
        </w:rPr>
        <w:t xml:space="preserve">Respecto </w:t>
      </w:r>
      <w:r w:rsidR="002D3EC2" w:rsidRPr="00377AF5">
        <w:rPr>
          <w:rFonts w:ascii="Tahoma" w:hAnsi="Tahoma" w:cs="Tahoma"/>
          <w:szCs w:val="28"/>
          <w:lang w:eastAsia="zh-CN"/>
        </w:rPr>
        <w:t>de la</w:t>
      </w:r>
      <w:r w:rsidR="00692BA6" w:rsidRPr="00377AF5">
        <w:rPr>
          <w:rFonts w:ascii="Tahoma" w:hAnsi="Tahoma" w:cs="Tahoma"/>
          <w:szCs w:val="28"/>
          <w:lang w:eastAsia="zh-CN"/>
        </w:rPr>
        <w:t xml:space="preserve"> última, </w:t>
      </w:r>
      <w:r w:rsidR="002D3EC2" w:rsidRPr="00377AF5">
        <w:rPr>
          <w:rFonts w:ascii="Tahoma" w:hAnsi="Tahoma" w:cs="Tahoma"/>
          <w:szCs w:val="28"/>
          <w:lang w:eastAsia="zh-CN"/>
        </w:rPr>
        <w:t xml:space="preserve">la Corte Constitucional </w:t>
      </w:r>
      <w:r w:rsidR="00414086" w:rsidRPr="00377AF5">
        <w:rPr>
          <w:rFonts w:ascii="Tahoma" w:hAnsi="Tahoma" w:cs="Tahoma"/>
          <w:szCs w:val="28"/>
          <w:lang w:eastAsia="zh-CN"/>
        </w:rPr>
        <w:t>en</w:t>
      </w:r>
      <w:r w:rsidRPr="00377AF5">
        <w:rPr>
          <w:rFonts w:ascii="Tahoma" w:hAnsi="Tahoma" w:cs="Tahoma"/>
          <w:szCs w:val="28"/>
          <w:lang w:eastAsia="zh-CN"/>
        </w:rPr>
        <w:t xml:space="preserve"> la sentencia T-438 de 2010</w:t>
      </w:r>
      <w:r w:rsidR="002D3EC2" w:rsidRPr="00377AF5">
        <w:rPr>
          <w:rFonts w:ascii="Tahoma" w:hAnsi="Tahoma" w:cs="Tahoma"/>
          <w:szCs w:val="28"/>
          <w:lang w:eastAsia="zh-CN"/>
        </w:rPr>
        <w:t xml:space="preserve"> </w:t>
      </w:r>
      <w:r w:rsidRPr="00377AF5">
        <w:rPr>
          <w:rFonts w:ascii="Tahoma" w:hAnsi="Tahoma" w:cs="Tahoma"/>
          <w:szCs w:val="28"/>
          <w:lang w:val="es-ES_tradnl" w:eastAsia="zh-CN"/>
        </w:rPr>
        <w:t>señaló que</w:t>
      </w:r>
      <w:r w:rsidR="001F2A66" w:rsidRPr="00377AF5">
        <w:rPr>
          <w:rFonts w:ascii="Tahoma" w:hAnsi="Tahoma" w:cs="Tahoma"/>
          <w:szCs w:val="28"/>
          <w:lang w:val="es-ES_tradnl" w:eastAsia="zh-CN"/>
        </w:rPr>
        <w:t xml:space="preserve"> de conformidad con </w:t>
      </w:r>
      <w:r w:rsidRPr="00377AF5">
        <w:rPr>
          <w:rFonts w:ascii="Tahoma" w:hAnsi="Tahoma" w:cs="Tahoma"/>
          <w:szCs w:val="28"/>
          <w:lang w:val="es-ES_tradnl" w:eastAsia="zh-CN"/>
        </w:rPr>
        <w:t xml:space="preserve">el artículo 18 del Decreto 758 de 1990, </w:t>
      </w:r>
      <w:r w:rsidR="001F2A66" w:rsidRPr="00377AF5">
        <w:rPr>
          <w:rFonts w:ascii="Tahoma" w:hAnsi="Tahoma" w:cs="Tahoma"/>
          <w:szCs w:val="28"/>
          <w:lang w:val="es-ES_tradnl" w:eastAsia="zh-CN"/>
        </w:rPr>
        <w:t xml:space="preserve">esta se da cuando </w:t>
      </w:r>
      <w:r w:rsidR="00533B90" w:rsidRPr="00377AF5">
        <w:rPr>
          <w:rFonts w:ascii="Tahoma" w:hAnsi="Tahoma" w:cs="Tahoma"/>
          <w:szCs w:val="28"/>
          <w:lang w:val="es-ES_tradnl" w:eastAsia="zh-CN"/>
        </w:rPr>
        <w:t>e</w:t>
      </w:r>
      <w:r w:rsidR="00533B90" w:rsidRPr="00377AF5">
        <w:rPr>
          <w:rFonts w:ascii="Tahoma" w:hAnsi="Tahoma" w:cs="Tahoma"/>
          <w:lang w:val="es-ES_tradnl" w:eastAsia="zh-CN"/>
        </w:rPr>
        <w:t>l</w:t>
      </w:r>
      <w:r w:rsidRPr="00377AF5">
        <w:rPr>
          <w:rFonts w:ascii="Tahoma" w:hAnsi="Tahoma" w:cs="Tahoma"/>
          <w:lang w:val="es-ES_tradnl" w:eastAsia="zh-CN"/>
        </w:rPr>
        <w:t xml:space="preserve"> </w:t>
      </w:r>
      <w:r w:rsidR="00533B90" w:rsidRPr="00377AF5">
        <w:rPr>
          <w:rFonts w:ascii="Tahoma" w:hAnsi="Tahoma" w:cs="Tahoma"/>
          <w:lang w:val="es-ES_tradnl" w:eastAsia="zh-CN"/>
        </w:rPr>
        <w:t>patrón</w:t>
      </w:r>
      <w:r w:rsidRPr="00377AF5">
        <w:rPr>
          <w:rFonts w:ascii="Tahoma" w:hAnsi="Tahoma" w:cs="Tahoma"/>
          <w:lang w:val="es-ES_tradnl" w:eastAsia="zh-CN"/>
        </w:rPr>
        <w:t xml:space="preserve"> que otorg</w:t>
      </w:r>
      <w:r w:rsidR="00533B90" w:rsidRPr="00377AF5">
        <w:rPr>
          <w:rFonts w:ascii="Tahoma" w:hAnsi="Tahoma" w:cs="Tahoma"/>
          <w:lang w:val="es-ES_tradnl" w:eastAsia="zh-CN"/>
        </w:rPr>
        <w:t>ó una p</w:t>
      </w:r>
      <w:r w:rsidRPr="00377AF5">
        <w:rPr>
          <w:rFonts w:ascii="Tahoma" w:hAnsi="Tahoma" w:cs="Tahoma"/>
          <w:lang w:val="es-ES_tradnl" w:eastAsia="zh-CN"/>
        </w:rPr>
        <w:t>ensi</w:t>
      </w:r>
      <w:r w:rsidR="00533B90" w:rsidRPr="00377AF5">
        <w:rPr>
          <w:rFonts w:ascii="Tahoma" w:hAnsi="Tahoma" w:cs="Tahoma"/>
          <w:lang w:val="es-ES_tradnl" w:eastAsia="zh-CN"/>
        </w:rPr>
        <w:t xml:space="preserve">ón </w:t>
      </w:r>
      <w:r w:rsidRPr="00377AF5">
        <w:rPr>
          <w:rFonts w:ascii="Tahoma" w:hAnsi="Tahoma" w:cs="Tahoma"/>
          <w:lang w:val="es-ES_tradnl" w:eastAsia="zh-CN"/>
        </w:rPr>
        <w:t xml:space="preserve">de jubilación </w:t>
      </w:r>
      <w:r w:rsidR="00533B90" w:rsidRPr="00377AF5">
        <w:rPr>
          <w:rFonts w:ascii="Tahoma" w:hAnsi="Tahoma" w:cs="Tahoma"/>
          <w:lang w:val="es-ES_tradnl" w:eastAsia="zh-CN"/>
        </w:rPr>
        <w:t>en virtud</w:t>
      </w:r>
      <w:r w:rsidR="00A415ED" w:rsidRPr="00377AF5">
        <w:rPr>
          <w:rFonts w:ascii="Tahoma" w:hAnsi="Tahoma" w:cs="Tahoma"/>
          <w:lang w:val="es-ES_tradnl" w:eastAsia="zh-CN"/>
        </w:rPr>
        <w:t xml:space="preserve"> </w:t>
      </w:r>
      <w:r w:rsidR="00533B90" w:rsidRPr="00377AF5">
        <w:rPr>
          <w:rFonts w:ascii="Tahoma" w:hAnsi="Tahoma" w:cs="Tahoma"/>
          <w:lang w:val="es-ES_tradnl" w:eastAsia="zh-CN"/>
        </w:rPr>
        <w:t xml:space="preserve">de una </w:t>
      </w:r>
      <w:r w:rsidRPr="00377AF5">
        <w:rPr>
          <w:rFonts w:ascii="Tahoma" w:hAnsi="Tahoma" w:cs="Tahoma"/>
          <w:lang w:val="es-ES_tradnl" w:eastAsia="zh-CN"/>
        </w:rPr>
        <w:t>convención colectiva</w:t>
      </w:r>
      <w:r w:rsidR="00533B90" w:rsidRPr="00377AF5">
        <w:rPr>
          <w:rFonts w:ascii="Tahoma" w:hAnsi="Tahoma" w:cs="Tahoma"/>
          <w:lang w:val="es-ES_tradnl" w:eastAsia="zh-CN"/>
        </w:rPr>
        <w:t xml:space="preserve"> </w:t>
      </w:r>
      <w:r w:rsidR="001F2A66" w:rsidRPr="00377AF5">
        <w:rPr>
          <w:rFonts w:ascii="Tahoma" w:hAnsi="Tahoma" w:cs="Tahoma"/>
          <w:lang w:val="es-ES_tradnl" w:eastAsia="zh-CN"/>
        </w:rPr>
        <w:t xml:space="preserve">con </w:t>
      </w:r>
      <w:r w:rsidR="009B7540" w:rsidRPr="00377AF5">
        <w:rPr>
          <w:rFonts w:ascii="Tahoma" w:hAnsi="Tahoma" w:cs="Tahoma"/>
          <w:lang w:val="es-ES_tradnl" w:eastAsia="zh-CN"/>
        </w:rPr>
        <w:t>posterioridad</w:t>
      </w:r>
      <w:r w:rsidR="001F2A66" w:rsidRPr="00377AF5">
        <w:rPr>
          <w:rFonts w:ascii="Tahoma" w:hAnsi="Tahoma" w:cs="Tahoma"/>
          <w:lang w:val="es-ES_tradnl" w:eastAsia="zh-CN"/>
        </w:rPr>
        <w:t xml:space="preserve"> a</w:t>
      </w:r>
      <w:r w:rsidRPr="00377AF5">
        <w:rPr>
          <w:rFonts w:ascii="Tahoma" w:hAnsi="Tahoma" w:cs="Tahoma"/>
          <w:lang w:val="es-ES_tradnl" w:eastAsia="zh-CN"/>
        </w:rPr>
        <w:t xml:space="preserve">l 17 de octubre de 1985, continua cotizando para los seguros de invalidez, vejez y muerte, hasta </w:t>
      </w:r>
      <w:r w:rsidR="002D3EC2" w:rsidRPr="00377AF5">
        <w:rPr>
          <w:rFonts w:ascii="Tahoma" w:hAnsi="Tahoma" w:cs="Tahoma"/>
          <w:lang w:val="es-ES_tradnl" w:eastAsia="zh-CN"/>
        </w:rPr>
        <w:t xml:space="preserve">que </w:t>
      </w:r>
      <w:r w:rsidR="00A415ED" w:rsidRPr="00377AF5">
        <w:rPr>
          <w:rFonts w:ascii="Tahoma" w:hAnsi="Tahoma" w:cs="Tahoma"/>
          <w:lang w:val="es-ES_tradnl" w:eastAsia="zh-CN"/>
        </w:rPr>
        <w:t xml:space="preserve">su trabajador </w:t>
      </w:r>
      <w:r w:rsidRPr="00377AF5">
        <w:rPr>
          <w:rFonts w:ascii="Tahoma" w:hAnsi="Tahoma" w:cs="Tahoma"/>
          <w:lang w:val="es-ES_tradnl" w:eastAsia="zh-CN"/>
        </w:rPr>
        <w:t>cumpl</w:t>
      </w:r>
      <w:r w:rsidR="00231EF8" w:rsidRPr="00377AF5">
        <w:rPr>
          <w:rFonts w:ascii="Tahoma" w:hAnsi="Tahoma" w:cs="Tahoma"/>
          <w:lang w:val="es-ES_tradnl" w:eastAsia="zh-CN"/>
        </w:rPr>
        <w:t>e</w:t>
      </w:r>
      <w:r w:rsidRPr="00377AF5">
        <w:rPr>
          <w:rFonts w:ascii="Tahoma" w:hAnsi="Tahoma" w:cs="Tahoma"/>
          <w:lang w:val="es-ES_tradnl" w:eastAsia="zh-CN"/>
        </w:rPr>
        <w:t xml:space="preserve"> los requisitos exigidos por el I</w:t>
      </w:r>
      <w:r w:rsidR="00A415ED" w:rsidRPr="00377AF5">
        <w:rPr>
          <w:rFonts w:ascii="Tahoma" w:hAnsi="Tahoma" w:cs="Tahoma"/>
          <w:lang w:val="es-ES_tradnl" w:eastAsia="zh-CN"/>
        </w:rPr>
        <w:t xml:space="preserve">.S.S. </w:t>
      </w:r>
      <w:r w:rsidRPr="00377AF5">
        <w:rPr>
          <w:rFonts w:ascii="Tahoma" w:hAnsi="Tahoma" w:cs="Tahoma"/>
          <w:lang w:val="es-ES_tradnl" w:eastAsia="zh-CN"/>
        </w:rPr>
        <w:t>para otorgar la pensión de vejez</w:t>
      </w:r>
      <w:r w:rsidR="00A415ED" w:rsidRPr="00377AF5">
        <w:rPr>
          <w:rFonts w:ascii="Tahoma" w:hAnsi="Tahoma" w:cs="Tahoma"/>
          <w:lang w:val="es-ES_tradnl" w:eastAsia="zh-CN"/>
        </w:rPr>
        <w:t xml:space="preserve">, momento en el cual este último </w:t>
      </w:r>
      <w:r w:rsidRPr="00377AF5">
        <w:rPr>
          <w:rFonts w:ascii="Tahoma" w:hAnsi="Tahoma" w:cs="Tahoma"/>
          <w:lang w:val="es-ES_tradnl" w:eastAsia="zh-CN"/>
        </w:rPr>
        <w:t>cubr</w:t>
      </w:r>
      <w:r w:rsidR="009B7540" w:rsidRPr="00377AF5">
        <w:rPr>
          <w:rFonts w:ascii="Tahoma" w:hAnsi="Tahoma" w:cs="Tahoma"/>
          <w:lang w:val="es-ES_tradnl" w:eastAsia="zh-CN"/>
        </w:rPr>
        <w:t>e</w:t>
      </w:r>
      <w:r w:rsidR="00A415ED" w:rsidRPr="00377AF5">
        <w:rPr>
          <w:rFonts w:ascii="Tahoma" w:hAnsi="Tahoma" w:cs="Tahoma"/>
          <w:lang w:val="es-ES_tradnl" w:eastAsia="zh-CN"/>
        </w:rPr>
        <w:t xml:space="preserve"> dicha prestación, quedando en cabeza</w:t>
      </w:r>
      <w:r w:rsidR="009B7540" w:rsidRPr="00377AF5">
        <w:rPr>
          <w:rFonts w:ascii="Tahoma" w:hAnsi="Tahoma" w:cs="Tahoma"/>
          <w:lang w:val="es-ES_tradnl" w:eastAsia="zh-CN"/>
        </w:rPr>
        <w:t xml:space="preserve"> del empleador </w:t>
      </w:r>
      <w:r w:rsidR="00A415ED" w:rsidRPr="00377AF5">
        <w:rPr>
          <w:rFonts w:ascii="Tahoma" w:hAnsi="Tahoma" w:cs="Tahoma"/>
          <w:lang w:val="es-ES_tradnl" w:eastAsia="zh-CN"/>
        </w:rPr>
        <w:t xml:space="preserve">sólo </w:t>
      </w:r>
      <w:r w:rsidRPr="00377AF5">
        <w:rPr>
          <w:rFonts w:ascii="Tahoma" w:hAnsi="Tahoma" w:cs="Tahoma"/>
          <w:lang w:val="es-ES_tradnl" w:eastAsia="zh-CN"/>
        </w:rPr>
        <w:t xml:space="preserve">el mayor valor, si lo hubiere, entre la pensión otorgada por el </w:t>
      </w:r>
      <w:r w:rsidR="00A415ED" w:rsidRPr="00377AF5">
        <w:rPr>
          <w:rFonts w:ascii="Tahoma" w:hAnsi="Tahoma" w:cs="Tahoma"/>
          <w:lang w:val="es-ES_tradnl" w:eastAsia="zh-CN"/>
        </w:rPr>
        <w:t xml:space="preserve">instituto </w:t>
      </w:r>
      <w:r w:rsidRPr="00377AF5">
        <w:rPr>
          <w:rFonts w:ascii="Tahoma" w:hAnsi="Tahoma" w:cs="Tahoma"/>
          <w:lang w:val="es-ES_tradnl" w:eastAsia="zh-CN"/>
        </w:rPr>
        <w:t>y la que venía cancelando al pensionado</w:t>
      </w:r>
      <w:r w:rsidR="002D3EC2" w:rsidRPr="00377AF5">
        <w:rPr>
          <w:rFonts w:ascii="Tahoma" w:hAnsi="Tahoma" w:cs="Tahoma"/>
          <w:lang w:val="es-ES_tradnl" w:eastAsia="zh-CN"/>
        </w:rPr>
        <w:t xml:space="preserve">; situación que </w:t>
      </w:r>
      <w:r w:rsidR="00AB5E63" w:rsidRPr="00377AF5">
        <w:rPr>
          <w:rFonts w:ascii="Tahoma" w:hAnsi="Tahoma" w:cs="Tahoma"/>
          <w:lang w:val="es-ES_tradnl" w:eastAsia="zh-CN"/>
        </w:rPr>
        <w:t>constituy</w:t>
      </w:r>
      <w:r w:rsidR="002D3EC2" w:rsidRPr="00377AF5">
        <w:rPr>
          <w:rFonts w:ascii="Tahoma" w:hAnsi="Tahoma" w:cs="Tahoma"/>
          <w:lang w:val="es-ES_tradnl" w:eastAsia="zh-CN"/>
        </w:rPr>
        <w:t xml:space="preserve">e </w:t>
      </w:r>
      <w:r w:rsidR="00AB5E63" w:rsidRPr="00377AF5">
        <w:rPr>
          <w:rFonts w:ascii="Tahoma" w:hAnsi="Tahoma" w:cs="Tahoma"/>
          <w:lang w:val="es-ES_tradnl" w:eastAsia="zh-CN"/>
        </w:rPr>
        <w:t>una protección al monto del ingreso pensional del jubilado por parte de la entidad a</w:t>
      </w:r>
      <w:r w:rsidR="00231EF8" w:rsidRPr="00377AF5">
        <w:rPr>
          <w:rFonts w:ascii="Tahoma" w:hAnsi="Tahoma" w:cs="Tahoma"/>
          <w:lang w:val="es-ES_tradnl" w:eastAsia="zh-CN"/>
        </w:rPr>
        <w:t xml:space="preserve">dministradora de tales recursos, </w:t>
      </w:r>
      <w:r w:rsidR="009174EF" w:rsidRPr="00377AF5">
        <w:rPr>
          <w:rFonts w:ascii="Tahoma" w:hAnsi="Tahoma" w:cs="Tahoma"/>
          <w:lang w:val="es-ES_tradnl" w:eastAsia="zh-CN"/>
        </w:rPr>
        <w:t xml:space="preserve">salvo que </w:t>
      </w:r>
      <w:r w:rsidRPr="00377AF5">
        <w:rPr>
          <w:rFonts w:ascii="Tahoma" w:hAnsi="Tahoma" w:cs="Tahoma"/>
          <w:lang w:val="es-ES_tradnl" w:eastAsia="zh-CN"/>
        </w:rPr>
        <w:t>en la respectiva convención colectiva</w:t>
      </w:r>
      <w:r w:rsidR="00A415ED" w:rsidRPr="00377AF5">
        <w:rPr>
          <w:rFonts w:ascii="Tahoma" w:hAnsi="Tahoma" w:cs="Tahoma"/>
          <w:lang w:val="es-ES_tradnl" w:eastAsia="zh-CN"/>
        </w:rPr>
        <w:t xml:space="preserve"> </w:t>
      </w:r>
      <w:r w:rsidR="002D3EC2" w:rsidRPr="00377AF5">
        <w:rPr>
          <w:rFonts w:ascii="Tahoma" w:hAnsi="Tahoma" w:cs="Tahoma"/>
          <w:lang w:val="es-ES_tradnl" w:eastAsia="zh-CN"/>
        </w:rPr>
        <w:t xml:space="preserve">se </w:t>
      </w:r>
      <w:r w:rsidR="009174EF" w:rsidRPr="00377AF5">
        <w:rPr>
          <w:rFonts w:ascii="Tahoma" w:hAnsi="Tahoma" w:cs="Tahoma"/>
          <w:lang w:val="es-ES_tradnl" w:eastAsia="zh-CN"/>
        </w:rPr>
        <w:t xml:space="preserve">hubiere dispuesto </w:t>
      </w:r>
      <w:r w:rsidRPr="00377AF5">
        <w:rPr>
          <w:rFonts w:ascii="Tahoma" w:hAnsi="Tahoma" w:cs="Tahoma"/>
          <w:lang w:val="es-ES_tradnl" w:eastAsia="zh-CN"/>
        </w:rPr>
        <w:t>expresamente que la pensi</w:t>
      </w:r>
      <w:r w:rsidR="0010277E" w:rsidRPr="00377AF5">
        <w:rPr>
          <w:rFonts w:ascii="Tahoma" w:hAnsi="Tahoma" w:cs="Tahoma"/>
          <w:lang w:val="es-ES_tradnl" w:eastAsia="zh-CN"/>
        </w:rPr>
        <w:t>ón</w:t>
      </w:r>
      <w:r w:rsidRPr="00377AF5">
        <w:rPr>
          <w:rFonts w:ascii="Tahoma" w:hAnsi="Tahoma" w:cs="Tahoma"/>
          <w:lang w:val="es-ES_tradnl" w:eastAsia="zh-CN"/>
        </w:rPr>
        <w:t xml:space="preserve"> en ell</w:t>
      </w:r>
      <w:r w:rsidR="0010277E" w:rsidRPr="00377AF5">
        <w:rPr>
          <w:rFonts w:ascii="Tahoma" w:hAnsi="Tahoma" w:cs="Tahoma"/>
          <w:lang w:val="es-ES_tradnl" w:eastAsia="zh-CN"/>
        </w:rPr>
        <w:t>a</w:t>
      </w:r>
      <w:r w:rsidRPr="00377AF5">
        <w:rPr>
          <w:rFonts w:ascii="Tahoma" w:hAnsi="Tahoma" w:cs="Tahoma"/>
          <w:lang w:val="es-ES_tradnl" w:eastAsia="zh-CN"/>
        </w:rPr>
        <w:t xml:space="preserve"> </w:t>
      </w:r>
      <w:r w:rsidR="002D3EC2" w:rsidRPr="00377AF5">
        <w:rPr>
          <w:rFonts w:ascii="Tahoma" w:hAnsi="Tahoma" w:cs="Tahoma"/>
          <w:lang w:val="es-ES_tradnl" w:eastAsia="zh-CN"/>
        </w:rPr>
        <w:t>contenida no ser</w:t>
      </w:r>
      <w:r w:rsidR="00D24AEC" w:rsidRPr="00377AF5">
        <w:rPr>
          <w:rFonts w:ascii="Tahoma" w:hAnsi="Tahoma" w:cs="Tahoma"/>
          <w:lang w:val="es-ES_tradnl" w:eastAsia="zh-CN"/>
        </w:rPr>
        <w:t>ía</w:t>
      </w:r>
      <w:r w:rsidR="002D3EC2" w:rsidRPr="00377AF5">
        <w:rPr>
          <w:rFonts w:ascii="Tahoma" w:hAnsi="Tahoma" w:cs="Tahoma"/>
          <w:lang w:val="es-ES_tradnl" w:eastAsia="zh-CN"/>
        </w:rPr>
        <w:t xml:space="preserve"> </w:t>
      </w:r>
      <w:r w:rsidRPr="00377AF5">
        <w:rPr>
          <w:rFonts w:ascii="Tahoma" w:hAnsi="Tahoma" w:cs="Tahoma"/>
          <w:lang w:val="es-ES_tradnl" w:eastAsia="zh-CN"/>
        </w:rPr>
        <w:t>compartida con el I</w:t>
      </w:r>
      <w:r w:rsidR="00AB5E63" w:rsidRPr="00377AF5">
        <w:rPr>
          <w:rFonts w:ascii="Tahoma" w:hAnsi="Tahoma" w:cs="Tahoma"/>
          <w:lang w:val="es-ES_tradnl" w:eastAsia="zh-CN"/>
        </w:rPr>
        <w:t>.S.S.</w:t>
      </w:r>
      <w:r w:rsidRPr="00377AF5">
        <w:rPr>
          <w:rFonts w:ascii="Tahoma" w:hAnsi="Tahoma" w:cs="Tahoma"/>
          <w:lang w:val="es-ES_tradnl" w:eastAsia="zh-CN"/>
        </w:rPr>
        <w:t xml:space="preserve"> </w:t>
      </w:r>
    </w:p>
    <w:p w14:paraId="1BFA2D63" w14:textId="77777777" w:rsidR="003879DA" w:rsidRPr="00377AF5" w:rsidRDefault="003879DA" w:rsidP="009174EF">
      <w:pPr>
        <w:tabs>
          <w:tab w:val="left" w:pos="3780"/>
        </w:tabs>
        <w:autoSpaceDN w:val="0"/>
        <w:spacing w:line="276" w:lineRule="auto"/>
        <w:jc w:val="both"/>
        <w:rPr>
          <w:rFonts w:ascii="Tahoma" w:hAnsi="Tahoma" w:cs="Tahoma"/>
          <w:szCs w:val="28"/>
          <w:lang w:val="es-ES_tradnl" w:eastAsia="zh-CN"/>
        </w:rPr>
      </w:pPr>
    </w:p>
    <w:p w14:paraId="1F2AAD68" w14:textId="73944175" w:rsidR="003879DA" w:rsidRPr="00377AF5" w:rsidRDefault="0022180D" w:rsidP="009174EF">
      <w:pPr>
        <w:tabs>
          <w:tab w:val="left" w:pos="709"/>
        </w:tabs>
        <w:autoSpaceDN w:val="0"/>
        <w:spacing w:line="276" w:lineRule="auto"/>
        <w:jc w:val="both"/>
        <w:rPr>
          <w:rFonts w:ascii="Tahoma" w:hAnsi="Tahoma" w:cs="Tahoma"/>
          <w:lang w:val="es-ES_tradnl" w:eastAsia="zh-CN"/>
        </w:rPr>
      </w:pPr>
      <w:r w:rsidRPr="00377AF5">
        <w:rPr>
          <w:rFonts w:ascii="Tahoma" w:hAnsi="Tahoma" w:cs="Tahoma"/>
          <w:szCs w:val="28"/>
          <w:lang w:val="es-ES_tradnl" w:eastAsia="zh-CN"/>
        </w:rPr>
        <w:tab/>
      </w:r>
      <w:r w:rsidR="003879DA" w:rsidRPr="00377AF5">
        <w:rPr>
          <w:rFonts w:ascii="Tahoma" w:hAnsi="Tahoma" w:cs="Tahoma"/>
          <w:szCs w:val="28"/>
          <w:lang w:val="es-ES_tradnl" w:eastAsia="zh-CN"/>
        </w:rPr>
        <w:t xml:space="preserve">Por </w:t>
      </w:r>
      <w:r w:rsidRPr="00377AF5">
        <w:rPr>
          <w:rFonts w:ascii="Tahoma" w:hAnsi="Tahoma" w:cs="Tahoma"/>
          <w:szCs w:val="28"/>
          <w:lang w:val="es-ES_tradnl" w:eastAsia="zh-CN"/>
        </w:rPr>
        <w:t xml:space="preserve">otra </w:t>
      </w:r>
      <w:r w:rsidR="003879DA" w:rsidRPr="00377AF5">
        <w:rPr>
          <w:rFonts w:ascii="Tahoma" w:hAnsi="Tahoma" w:cs="Tahoma"/>
          <w:szCs w:val="28"/>
          <w:lang w:val="es-ES_tradnl" w:eastAsia="zh-CN"/>
        </w:rPr>
        <w:t xml:space="preserve">parte, </w:t>
      </w:r>
      <w:r w:rsidRPr="00377AF5">
        <w:rPr>
          <w:rFonts w:ascii="Tahoma" w:hAnsi="Tahoma" w:cs="Tahoma"/>
          <w:szCs w:val="28"/>
          <w:lang w:val="es-ES_tradnl" w:eastAsia="zh-CN"/>
        </w:rPr>
        <w:t xml:space="preserve">respecto a </w:t>
      </w:r>
      <w:r w:rsidR="003879DA" w:rsidRPr="00377AF5">
        <w:rPr>
          <w:rFonts w:ascii="Tahoma" w:hAnsi="Tahoma" w:cs="Tahoma"/>
          <w:szCs w:val="28"/>
          <w:lang w:val="es-ES_tradnl" w:eastAsia="zh-CN"/>
        </w:rPr>
        <w:t>la compatibilidad pensional</w:t>
      </w:r>
      <w:r w:rsidR="00D24AEC" w:rsidRPr="00377AF5">
        <w:rPr>
          <w:rFonts w:ascii="Tahoma" w:hAnsi="Tahoma" w:cs="Tahoma"/>
          <w:szCs w:val="28"/>
          <w:lang w:val="es-ES_tradnl" w:eastAsia="zh-CN"/>
        </w:rPr>
        <w:t>,</w:t>
      </w:r>
      <w:r w:rsidRPr="00377AF5">
        <w:rPr>
          <w:rFonts w:ascii="Tahoma" w:hAnsi="Tahoma" w:cs="Tahoma"/>
          <w:szCs w:val="28"/>
          <w:lang w:val="es-ES_tradnl" w:eastAsia="zh-CN"/>
        </w:rPr>
        <w:t xml:space="preserve"> precisó que </w:t>
      </w:r>
      <w:r w:rsidR="00D80187" w:rsidRPr="00377AF5">
        <w:rPr>
          <w:rFonts w:ascii="Tahoma" w:hAnsi="Tahoma" w:cs="Tahoma"/>
          <w:szCs w:val="28"/>
          <w:lang w:val="es-ES_tradnl" w:eastAsia="zh-CN"/>
        </w:rPr>
        <w:t>es</w:t>
      </w:r>
      <w:r w:rsidR="00A96754" w:rsidRPr="00377AF5">
        <w:rPr>
          <w:rFonts w:ascii="Tahoma" w:hAnsi="Tahoma" w:cs="Tahoma"/>
          <w:szCs w:val="28"/>
          <w:lang w:val="es-ES_tradnl" w:eastAsia="zh-CN"/>
        </w:rPr>
        <w:t xml:space="preserve"> el</w:t>
      </w:r>
      <w:r w:rsidR="00D80187" w:rsidRPr="00377AF5">
        <w:rPr>
          <w:rFonts w:ascii="Tahoma" w:hAnsi="Tahoma" w:cs="Tahoma"/>
          <w:szCs w:val="28"/>
          <w:lang w:val="es-ES_tradnl" w:eastAsia="zh-CN"/>
        </w:rPr>
        <w:t xml:space="preserve"> </w:t>
      </w:r>
      <w:r w:rsidR="003879DA" w:rsidRPr="00377AF5">
        <w:rPr>
          <w:rFonts w:ascii="Tahoma" w:hAnsi="Tahoma" w:cs="Tahoma"/>
          <w:lang w:val="es-ES_tradnl" w:eastAsia="zh-CN"/>
        </w:rPr>
        <w:t xml:space="preserve">derecho </w:t>
      </w:r>
      <w:r w:rsidR="00D80187" w:rsidRPr="00377AF5">
        <w:rPr>
          <w:rFonts w:ascii="Tahoma" w:hAnsi="Tahoma" w:cs="Tahoma"/>
          <w:lang w:val="es-ES_tradnl" w:eastAsia="zh-CN"/>
        </w:rPr>
        <w:t xml:space="preserve">que tiene un pensionado de </w:t>
      </w:r>
      <w:r w:rsidR="003879DA" w:rsidRPr="00377AF5">
        <w:rPr>
          <w:rFonts w:ascii="Tahoma" w:hAnsi="Tahoma" w:cs="Tahoma"/>
          <w:lang w:val="es-ES_tradnl" w:eastAsia="zh-CN"/>
        </w:rPr>
        <w:t>recibir</w:t>
      </w:r>
      <w:r w:rsidR="00D24AEC" w:rsidRPr="00377AF5">
        <w:rPr>
          <w:rFonts w:ascii="Tahoma" w:hAnsi="Tahoma" w:cs="Tahoma"/>
          <w:lang w:val="es-ES_tradnl" w:eastAsia="zh-CN"/>
        </w:rPr>
        <w:t xml:space="preserve"> </w:t>
      </w:r>
      <w:r w:rsidR="003879DA" w:rsidRPr="00377AF5">
        <w:rPr>
          <w:rFonts w:ascii="Tahoma" w:hAnsi="Tahoma" w:cs="Tahoma"/>
          <w:lang w:val="es-ES_tradnl" w:eastAsia="zh-CN"/>
        </w:rPr>
        <w:t>dos o más pensiones</w:t>
      </w:r>
      <w:r w:rsidR="00A96754" w:rsidRPr="00377AF5">
        <w:rPr>
          <w:rFonts w:ascii="Tahoma" w:hAnsi="Tahoma" w:cs="Tahoma"/>
          <w:lang w:val="es-ES_tradnl" w:eastAsia="zh-CN"/>
        </w:rPr>
        <w:t>,</w:t>
      </w:r>
      <w:r w:rsidR="003879DA" w:rsidRPr="00377AF5">
        <w:rPr>
          <w:rFonts w:ascii="Tahoma" w:hAnsi="Tahoma" w:cs="Tahoma"/>
          <w:lang w:val="es-ES_tradnl" w:eastAsia="zh-CN"/>
        </w:rPr>
        <w:t xml:space="preserve"> </w:t>
      </w:r>
      <w:r w:rsidR="00A96754" w:rsidRPr="00377AF5">
        <w:rPr>
          <w:rFonts w:ascii="Tahoma" w:hAnsi="Tahoma" w:cs="Tahoma"/>
          <w:lang w:val="es-ES_tradnl" w:eastAsia="zh-CN"/>
        </w:rPr>
        <w:t>la</w:t>
      </w:r>
      <w:r w:rsidR="003879DA" w:rsidRPr="00377AF5">
        <w:rPr>
          <w:rFonts w:ascii="Tahoma" w:hAnsi="Tahoma" w:cs="Tahoma"/>
          <w:lang w:val="es-ES_tradnl" w:eastAsia="zh-CN"/>
        </w:rPr>
        <w:t xml:space="preserve"> extralegal y la </w:t>
      </w:r>
      <w:r w:rsidR="00A96754" w:rsidRPr="00377AF5">
        <w:rPr>
          <w:rFonts w:ascii="Tahoma" w:hAnsi="Tahoma" w:cs="Tahoma"/>
          <w:lang w:val="es-ES_tradnl" w:eastAsia="zh-CN"/>
        </w:rPr>
        <w:t xml:space="preserve">reconocida </w:t>
      </w:r>
      <w:r w:rsidR="003879DA" w:rsidRPr="00377AF5">
        <w:rPr>
          <w:rFonts w:ascii="Tahoma" w:hAnsi="Tahoma" w:cs="Tahoma"/>
          <w:lang w:val="es-ES_tradnl" w:eastAsia="zh-CN"/>
        </w:rPr>
        <w:t>posteriormente por el I.S.S.</w:t>
      </w:r>
      <w:r w:rsidR="00A96754" w:rsidRPr="00377AF5">
        <w:rPr>
          <w:rFonts w:ascii="Tahoma" w:hAnsi="Tahoma" w:cs="Tahoma"/>
          <w:lang w:val="es-ES_tradnl" w:eastAsia="zh-CN"/>
        </w:rPr>
        <w:t xml:space="preserve">, cuando un </w:t>
      </w:r>
      <w:r w:rsidR="003879DA" w:rsidRPr="00377AF5">
        <w:rPr>
          <w:rFonts w:ascii="Tahoma" w:hAnsi="Tahoma" w:cs="Tahoma"/>
          <w:lang w:val="es-ES_tradnl" w:eastAsia="zh-CN"/>
        </w:rPr>
        <w:t xml:space="preserve">empleador </w:t>
      </w:r>
      <w:r w:rsidR="00D24AEC" w:rsidRPr="00377AF5">
        <w:rPr>
          <w:rFonts w:ascii="Tahoma" w:hAnsi="Tahoma" w:cs="Tahoma"/>
          <w:lang w:val="es-ES_tradnl" w:eastAsia="zh-CN"/>
        </w:rPr>
        <w:t xml:space="preserve">que </w:t>
      </w:r>
      <w:r w:rsidR="003879DA" w:rsidRPr="00377AF5">
        <w:rPr>
          <w:rFonts w:ascii="Tahoma" w:hAnsi="Tahoma" w:cs="Tahoma"/>
          <w:lang w:val="es-ES_tradnl" w:eastAsia="zh-CN"/>
        </w:rPr>
        <w:t>reconoc</w:t>
      </w:r>
      <w:r w:rsidR="00A96754" w:rsidRPr="00377AF5">
        <w:rPr>
          <w:rFonts w:ascii="Tahoma" w:hAnsi="Tahoma" w:cs="Tahoma"/>
          <w:lang w:val="es-ES_tradnl" w:eastAsia="zh-CN"/>
        </w:rPr>
        <w:t xml:space="preserve">ió </w:t>
      </w:r>
      <w:r w:rsidR="003879DA" w:rsidRPr="00377AF5">
        <w:rPr>
          <w:rFonts w:ascii="Tahoma" w:hAnsi="Tahoma" w:cs="Tahoma"/>
          <w:lang w:val="es-ES_tradnl" w:eastAsia="zh-CN"/>
        </w:rPr>
        <w:t>una pensión de jubilación convencional</w:t>
      </w:r>
      <w:r w:rsidR="00A96754" w:rsidRPr="00377AF5">
        <w:rPr>
          <w:rFonts w:ascii="Tahoma" w:hAnsi="Tahoma" w:cs="Tahoma"/>
          <w:lang w:val="es-ES_tradnl" w:eastAsia="zh-CN"/>
        </w:rPr>
        <w:t xml:space="preserve">, o extralegal, </w:t>
      </w:r>
      <w:r w:rsidR="003879DA" w:rsidRPr="00377AF5">
        <w:rPr>
          <w:rFonts w:ascii="Tahoma" w:hAnsi="Tahoma" w:cs="Tahoma"/>
          <w:lang w:val="es-ES_tradnl" w:eastAsia="zh-CN"/>
        </w:rPr>
        <w:t>sigu</w:t>
      </w:r>
      <w:r w:rsidR="000C37D6" w:rsidRPr="00377AF5">
        <w:rPr>
          <w:rFonts w:ascii="Tahoma" w:hAnsi="Tahoma" w:cs="Tahoma"/>
          <w:lang w:val="es-ES_tradnl" w:eastAsia="zh-CN"/>
        </w:rPr>
        <w:t>ió c</w:t>
      </w:r>
      <w:r w:rsidR="003879DA" w:rsidRPr="00377AF5">
        <w:rPr>
          <w:rFonts w:ascii="Tahoma" w:hAnsi="Tahoma" w:cs="Tahoma"/>
          <w:lang w:val="es-ES_tradnl" w:eastAsia="zh-CN"/>
        </w:rPr>
        <w:t>otizando ante e</w:t>
      </w:r>
      <w:r w:rsidR="000C37D6" w:rsidRPr="00377AF5">
        <w:rPr>
          <w:rFonts w:ascii="Tahoma" w:hAnsi="Tahoma" w:cs="Tahoma"/>
          <w:lang w:val="es-ES_tradnl" w:eastAsia="zh-CN"/>
        </w:rPr>
        <w:t xml:space="preserve">sa entidad </w:t>
      </w:r>
      <w:r w:rsidR="003879DA" w:rsidRPr="00377AF5">
        <w:rPr>
          <w:rFonts w:ascii="Tahoma" w:hAnsi="Tahoma" w:cs="Tahoma"/>
          <w:lang w:val="es-ES_tradnl" w:eastAsia="zh-CN"/>
        </w:rPr>
        <w:t>y</w:t>
      </w:r>
      <w:r w:rsidR="000C37D6" w:rsidRPr="00377AF5">
        <w:rPr>
          <w:rFonts w:ascii="Tahoma" w:hAnsi="Tahoma" w:cs="Tahoma"/>
          <w:lang w:val="es-ES_tradnl" w:eastAsia="zh-CN"/>
        </w:rPr>
        <w:t>,</w:t>
      </w:r>
      <w:r w:rsidR="003879DA" w:rsidRPr="00377AF5">
        <w:rPr>
          <w:rFonts w:ascii="Tahoma" w:hAnsi="Tahoma" w:cs="Tahoma"/>
          <w:lang w:val="es-ES_tradnl" w:eastAsia="zh-CN"/>
        </w:rPr>
        <w:t xml:space="preserve"> una vez </w:t>
      </w:r>
      <w:r w:rsidR="00D24AEC" w:rsidRPr="00377AF5">
        <w:rPr>
          <w:rFonts w:ascii="Tahoma" w:hAnsi="Tahoma" w:cs="Tahoma"/>
          <w:lang w:val="es-ES_tradnl" w:eastAsia="zh-CN"/>
        </w:rPr>
        <w:t xml:space="preserve">su trabajador </w:t>
      </w:r>
      <w:r w:rsidR="003879DA" w:rsidRPr="00377AF5">
        <w:rPr>
          <w:rFonts w:ascii="Tahoma" w:hAnsi="Tahoma" w:cs="Tahoma"/>
          <w:lang w:val="es-ES_tradnl" w:eastAsia="zh-CN"/>
        </w:rPr>
        <w:t xml:space="preserve">cumple con los requisitos de ley, solicita ante </w:t>
      </w:r>
      <w:r w:rsidR="000C37D6" w:rsidRPr="00377AF5">
        <w:rPr>
          <w:rFonts w:ascii="Tahoma" w:hAnsi="Tahoma" w:cs="Tahoma"/>
          <w:lang w:val="es-ES_tradnl" w:eastAsia="zh-CN"/>
        </w:rPr>
        <w:t xml:space="preserve">la misma </w:t>
      </w:r>
      <w:r w:rsidR="003879DA" w:rsidRPr="00377AF5">
        <w:rPr>
          <w:rFonts w:ascii="Tahoma" w:hAnsi="Tahoma" w:cs="Tahoma"/>
          <w:lang w:val="es-ES_tradnl" w:eastAsia="zh-CN"/>
        </w:rPr>
        <w:t>la pensión de vejez</w:t>
      </w:r>
      <w:r w:rsidR="00D24AEC" w:rsidRPr="00377AF5">
        <w:rPr>
          <w:rFonts w:ascii="Tahoma" w:hAnsi="Tahoma" w:cs="Tahoma"/>
          <w:lang w:val="es-ES_tradnl" w:eastAsia="zh-CN"/>
        </w:rPr>
        <w:t xml:space="preserve"> en razón a que </w:t>
      </w:r>
      <w:r w:rsidR="003879DA" w:rsidRPr="00377AF5">
        <w:rPr>
          <w:rFonts w:ascii="Tahoma" w:hAnsi="Tahoma" w:cs="Tahoma"/>
          <w:lang w:val="es-ES_tradnl" w:eastAsia="zh-CN"/>
        </w:rPr>
        <w:t xml:space="preserve">la pensión de jubilación reconocida por el empleador no tiene el carácter de compartida, </w:t>
      </w:r>
      <w:r w:rsidR="000C37D6" w:rsidRPr="00377AF5">
        <w:rPr>
          <w:rFonts w:ascii="Tahoma" w:hAnsi="Tahoma" w:cs="Tahoma"/>
          <w:lang w:val="es-ES_tradnl" w:eastAsia="zh-CN"/>
        </w:rPr>
        <w:t xml:space="preserve">siendo </w:t>
      </w:r>
      <w:r w:rsidR="003879DA" w:rsidRPr="00377AF5">
        <w:rPr>
          <w:rFonts w:ascii="Tahoma" w:hAnsi="Tahoma" w:cs="Tahoma"/>
          <w:lang w:val="es-ES_tradnl" w:eastAsia="zh-CN"/>
        </w:rPr>
        <w:t xml:space="preserve">entonces pensiones compatibles. </w:t>
      </w:r>
    </w:p>
    <w:p w14:paraId="434B2C99" w14:textId="77777777" w:rsidR="003879DA" w:rsidRPr="00377AF5" w:rsidRDefault="003879DA" w:rsidP="009174EF">
      <w:pPr>
        <w:tabs>
          <w:tab w:val="left" w:pos="3780"/>
        </w:tabs>
        <w:autoSpaceDN w:val="0"/>
        <w:spacing w:line="276" w:lineRule="auto"/>
        <w:jc w:val="both"/>
        <w:rPr>
          <w:rFonts w:ascii="Tahoma" w:hAnsi="Tahoma" w:cs="Tahoma"/>
          <w:szCs w:val="28"/>
          <w:lang w:val="es-ES_tradnl" w:eastAsia="zh-CN"/>
        </w:rPr>
      </w:pPr>
    </w:p>
    <w:p w14:paraId="481F84D2" w14:textId="5C522CC0" w:rsidR="00661381" w:rsidRPr="00377AF5" w:rsidRDefault="000C37D6" w:rsidP="009174EF">
      <w:pPr>
        <w:pStyle w:val="Textonotapie"/>
        <w:spacing w:line="276" w:lineRule="auto"/>
        <w:jc w:val="both"/>
        <w:rPr>
          <w:rFonts w:ascii="Tahoma" w:hAnsi="Tahoma" w:cs="Tahoma"/>
          <w:sz w:val="24"/>
          <w:szCs w:val="24"/>
          <w:lang w:val="es-ES" w:eastAsia="zh-CN"/>
        </w:rPr>
      </w:pPr>
      <w:r w:rsidRPr="00377AF5">
        <w:rPr>
          <w:rFonts w:ascii="Tahoma" w:hAnsi="Tahoma" w:cs="Tahoma"/>
          <w:szCs w:val="28"/>
          <w:lang w:eastAsia="zh-CN"/>
        </w:rPr>
        <w:tab/>
      </w:r>
      <w:r w:rsidR="00EE37DB" w:rsidRPr="00377AF5">
        <w:rPr>
          <w:rFonts w:ascii="Tahoma" w:hAnsi="Tahoma" w:cs="Tahoma"/>
          <w:sz w:val="24"/>
          <w:szCs w:val="24"/>
          <w:lang w:eastAsia="zh-CN"/>
        </w:rPr>
        <w:t xml:space="preserve">Por su parte, </w:t>
      </w:r>
      <w:r w:rsidR="003879DA" w:rsidRPr="00377AF5">
        <w:rPr>
          <w:rFonts w:ascii="Tahoma" w:hAnsi="Tahoma" w:cs="Tahoma"/>
          <w:sz w:val="24"/>
          <w:szCs w:val="24"/>
          <w:lang w:eastAsia="zh-CN"/>
        </w:rPr>
        <w:t xml:space="preserve">la Sala Laboral de la Corte Suprema de Justicia </w:t>
      </w:r>
      <w:r w:rsidR="00661381" w:rsidRPr="00377AF5">
        <w:rPr>
          <w:rFonts w:ascii="Tahoma" w:hAnsi="Tahoma" w:cs="Tahoma"/>
          <w:sz w:val="24"/>
          <w:szCs w:val="24"/>
          <w:lang w:eastAsia="zh-CN"/>
        </w:rPr>
        <w:t xml:space="preserve">en sentencia del 26 de mayo de 1995, proferida dentro del proceso radicado con el número </w:t>
      </w:r>
      <w:r w:rsidR="00EE37DB" w:rsidRPr="00377AF5">
        <w:rPr>
          <w:rFonts w:ascii="Tahoma" w:hAnsi="Tahoma" w:cs="Tahoma"/>
          <w:sz w:val="24"/>
          <w:szCs w:val="24"/>
          <w:lang w:eastAsia="zh-CN"/>
        </w:rPr>
        <w:t>7.481, y</w:t>
      </w:r>
      <w:r w:rsidR="00661381" w:rsidRPr="00377AF5">
        <w:rPr>
          <w:rFonts w:ascii="Tahoma" w:hAnsi="Tahoma" w:cs="Tahoma"/>
          <w:sz w:val="24"/>
          <w:szCs w:val="24"/>
          <w:lang w:eastAsia="zh-CN"/>
        </w:rPr>
        <w:t xml:space="preserve"> con ponencia del Magistrado</w:t>
      </w:r>
      <w:r w:rsidR="00661381" w:rsidRPr="00377AF5">
        <w:rPr>
          <w:rFonts w:ascii="Tahoma" w:hAnsi="Tahoma" w:cs="Tahoma"/>
          <w:sz w:val="24"/>
          <w:szCs w:val="24"/>
          <w:lang w:val="es-ES"/>
        </w:rPr>
        <w:t xml:space="preserve"> José Roberto Herrera Vergara,</w:t>
      </w:r>
      <w:r w:rsidR="003879DA" w:rsidRPr="00377AF5">
        <w:rPr>
          <w:rFonts w:ascii="Tahoma" w:hAnsi="Tahoma" w:cs="Tahoma"/>
          <w:sz w:val="24"/>
          <w:szCs w:val="24"/>
          <w:lang w:eastAsia="zh-CN"/>
        </w:rPr>
        <w:t xml:space="preserve"> </w:t>
      </w:r>
      <w:r w:rsidR="00032E4B" w:rsidRPr="00377AF5">
        <w:rPr>
          <w:rFonts w:ascii="Tahoma" w:hAnsi="Tahoma" w:cs="Tahoma"/>
          <w:sz w:val="24"/>
          <w:szCs w:val="24"/>
          <w:lang w:eastAsia="zh-CN"/>
        </w:rPr>
        <w:t xml:space="preserve">ya había </w:t>
      </w:r>
      <w:r w:rsidR="00661381" w:rsidRPr="00377AF5">
        <w:rPr>
          <w:rFonts w:ascii="Tahoma" w:hAnsi="Tahoma" w:cs="Tahoma"/>
          <w:sz w:val="24"/>
          <w:szCs w:val="24"/>
          <w:lang w:eastAsia="zh-CN"/>
        </w:rPr>
        <w:t>estableci</w:t>
      </w:r>
      <w:r w:rsidR="00032E4B" w:rsidRPr="00377AF5">
        <w:rPr>
          <w:rFonts w:ascii="Tahoma" w:hAnsi="Tahoma" w:cs="Tahoma"/>
          <w:sz w:val="24"/>
          <w:szCs w:val="24"/>
          <w:lang w:eastAsia="zh-CN"/>
        </w:rPr>
        <w:t>do</w:t>
      </w:r>
      <w:r w:rsidR="00661381" w:rsidRPr="00377AF5">
        <w:rPr>
          <w:rFonts w:ascii="Tahoma" w:hAnsi="Tahoma" w:cs="Tahoma"/>
          <w:sz w:val="24"/>
          <w:szCs w:val="24"/>
          <w:lang w:eastAsia="zh-CN"/>
        </w:rPr>
        <w:t xml:space="preserve"> que </w:t>
      </w:r>
      <w:r w:rsidR="003879DA" w:rsidRPr="00377AF5">
        <w:rPr>
          <w:rFonts w:ascii="Tahoma" w:hAnsi="Tahoma" w:cs="Tahoma"/>
          <w:sz w:val="24"/>
          <w:szCs w:val="24"/>
          <w:lang w:eastAsia="zh-CN"/>
        </w:rPr>
        <w:t>las</w:t>
      </w:r>
      <w:r w:rsidR="00661381" w:rsidRPr="00377AF5">
        <w:rPr>
          <w:rFonts w:ascii="Tahoma" w:hAnsi="Tahoma" w:cs="Tahoma"/>
          <w:sz w:val="24"/>
          <w:szCs w:val="24"/>
          <w:lang w:val="es-ES" w:eastAsia="zh-CN"/>
        </w:rPr>
        <w:t xml:space="preserve"> pensiones extralegales otorgadas por el patrono a sus servidores antes del 17 de octubre de 1985 carec</w:t>
      </w:r>
      <w:r w:rsidR="00032E4B" w:rsidRPr="00377AF5">
        <w:rPr>
          <w:rFonts w:ascii="Tahoma" w:hAnsi="Tahoma" w:cs="Tahoma"/>
          <w:sz w:val="24"/>
          <w:szCs w:val="24"/>
          <w:lang w:val="es-ES" w:eastAsia="zh-CN"/>
        </w:rPr>
        <w:t>ían</w:t>
      </w:r>
      <w:r w:rsidR="00661381" w:rsidRPr="00377AF5">
        <w:rPr>
          <w:rFonts w:ascii="Tahoma" w:hAnsi="Tahoma" w:cs="Tahoma"/>
          <w:sz w:val="24"/>
          <w:szCs w:val="24"/>
          <w:lang w:val="es-ES" w:eastAsia="zh-CN"/>
        </w:rPr>
        <w:t xml:space="preserve"> de vocación </w:t>
      </w:r>
      <w:proofErr w:type="spellStart"/>
      <w:r w:rsidR="00661381" w:rsidRPr="00377AF5">
        <w:rPr>
          <w:rFonts w:ascii="Tahoma" w:hAnsi="Tahoma" w:cs="Tahoma"/>
          <w:sz w:val="24"/>
          <w:szCs w:val="24"/>
          <w:lang w:val="es-ES" w:eastAsia="zh-CN"/>
        </w:rPr>
        <w:t>subrogatoria</w:t>
      </w:r>
      <w:proofErr w:type="spellEnd"/>
      <w:r w:rsidR="00661381" w:rsidRPr="00377AF5">
        <w:rPr>
          <w:rFonts w:ascii="Tahoma" w:hAnsi="Tahoma" w:cs="Tahoma"/>
          <w:sz w:val="24"/>
          <w:szCs w:val="24"/>
          <w:lang w:val="es-ES" w:eastAsia="zh-CN"/>
        </w:rPr>
        <w:t xml:space="preserve"> por el Institu</w:t>
      </w:r>
      <w:r w:rsidR="00661381" w:rsidRPr="00377AF5">
        <w:rPr>
          <w:rFonts w:ascii="Tahoma" w:hAnsi="Tahoma" w:cs="Tahoma"/>
          <w:sz w:val="24"/>
          <w:szCs w:val="24"/>
          <w:lang w:val="es-ES" w:eastAsia="zh-CN"/>
        </w:rPr>
        <w:softHyphen/>
        <w:t xml:space="preserve">to de Seguros Sociales, ya que corresponden a obligaciones </w:t>
      </w:r>
      <w:r w:rsidR="00032E4B" w:rsidRPr="00377AF5">
        <w:rPr>
          <w:rFonts w:ascii="Tahoma" w:hAnsi="Tahoma" w:cs="Tahoma"/>
          <w:sz w:val="24"/>
          <w:szCs w:val="24"/>
          <w:lang w:val="es-ES" w:eastAsia="zh-CN"/>
        </w:rPr>
        <w:t xml:space="preserve">contraídas </w:t>
      </w:r>
      <w:r w:rsidR="00661381" w:rsidRPr="00377AF5">
        <w:rPr>
          <w:rFonts w:ascii="Tahoma" w:hAnsi="Tahoma" w:cs="Tahoma"/>
          <w:sz w:val="24"/>
          <w:szCs w:val="24"/>
          <w:lang w:val="es-ES" w:eastAsia="zh-CN"/>
        </w:rPr>
        <w:t>voluntariamente</w:t>
      </w:r>
      <w:r w:rsidR="00032E4B" w:rsidRPr="00377AF5">
        <w:rPr>
          <w:rFonts w:ascii="Tahoma" w:hAnsi="Tahoma" w:cs="Tahoma"/>
          <w:sz w:val="24"/>
          <w:szCs w:val="24"/>
          <w:lang w:val="es-ES" w:eastAsia="zh-CN"/>
        </w:rPr>
        <w:t xml:space="preserve"> que no podían gravar la institución de seguridad social</w:t>
      </w:r>
      <w:r w:rsidR="00200981" w:rsidRPr="00377AF5">
        <w:rPr>
          <w:rFonts w:ascii="Tahoma" w:hAnsi="Tahoma" w:cs="Tahoma"/>
          <w:sz w:val="24"/>
          <w:szCs w:val="24"/>
          <w:lang w:val="es-ES" w:eastAsia="zh-CN"/>
        </w:rPr>
        <w:t>;</w:t>
      </w:r>
      <w:r w:rsidR="00661381" w:rsidRPr="00377AF5">
        <w:rPr>
          <w:rFonts w:ascii="Tahoma" w:hAnsi="Tahoma" w:cs="Tahoma"/>
          <w:sz w:val="24"/>
          <w:szCs w:val="24"/>
          <w:lang w:val="es-ES" w:eastAsia="zh-CN"/>
        </w:rPr>
        <w:t xml:space="preserve"> lo cual no ocurre con las pensiones extralegales reconocidas después de la aludida calenda,</w:t>
      </w:r>
      <w:r w:rsidR="00661381" w:rsidRPr="00377AF5">
        <w:rPr>
          <w:rFonts w:ascii="Tahoma" w:hAnsi="Tahoma" w:cs="Tahoma"/>
          <w:b/>
          <w:sz w:val="24"/>
          <w:szCs w:val="24"/>
          <w:lang w:val="es-ES" w:eastAsia="zh-CN"/>
        </w:rPr>
        <w:t xml:space="preserve"> </w:t>
      </w:r>
      <w:r w:rsidR="00661381" w:rsidRPr="00377AF5">
        <w:rPr>
          <w:rFonts w:ascii="Tahoma" w:hAnsi="Tahoma" w:cs="Tahoma"/>
          <w:sz w:val="24"/>
          <w:szCs w:val="24"/>
          <w:lang w:val="es-ES" w:eastAsia="zh-CN"/>
        </w:rPr>
        <w:t>dado que con arreglo a lo dispuesto por los artículos 5 del acuerdo 029 del I.S.S. -aprobado por decreto 2879 de 1985- y 18 del acuerdo 049 de 1990 -aprobado por el decreto 758 de 1990-, las reconocidas por el empleador en “convención colectiva, pacto colectivo, laudo arbitral o voluntariamente”, que se causen a partir de esa fecha, sol</w:t>
      </w:r>
      <w:r w:rsidR="00032E4B" w:rsidRPr="00377AF5">
        <w:rPr>
          <w:rFonts w:ascii="Tahoma" w:hAnsi="Tahoma" w:cs="Tahoma"/>
          <w:sz w:val="24"/>
          <w:szCs w:val="24"/>
          <w:lang w:val="es-ES" w:eastAsia="zh-CN"/>
        </w:rPr>
        <w:t>o eran</w:t>
      </w:r>
      <w:r w:rsidR="00661381" w:rsidRPr="00377AF5">
        <w:rPr>
          <w:rFonts w:ascii="Tahoma" w:hAnsi="Tahoma" w:cs="Tahoma"/>
          <w:sz w:val="24"/>
          <w:szCs w:val="24"/>
          <w:lang w:val="es-ES" w:eastAsia="zh-CN"/>
        </w:rPr>
        <w:t xml:space="preserve"> </w:t>
      </w:r>
      <w:proofErr w:type="spellStart"/>
      <w:r w:rsidR="00661381" w:rsidRPr="00377AF5">
        <w:rPr>
          <w:rFonts w:ascii="Tahoma" w:hAnsi="Tahoma" w:cs="Tahoma"/>
          <w:sz w:val="24"/>
          <w:szCs w:val="24"/>
          <w:lang w:val="es-ES" w:eastAsia="zh-CN"/>
        </w:rPr>
        <w:t>compartibles</w:t>
      </w:r>
      <w:proofErr w:type="spellEnd"/>
      <w:r w:rsidR="00661381" w:rsidRPr="00377AF5">
        <w:rPr>
          <w:rFonts w:ascii="Tahoma" w:hAnsi="Tahoma" w:cs="Tahoma"/>
          <w:sz w:val="24"/>
          <w:szCs w:val="24"/>
          <w:lang w:val="es-ES" w:eastAsia="zh-CN"/>
        </w:rPr>
        <w:t xml:space="preserve"> con las de vejez a cargo del I.S.S., si</w:t>
      </w:r>
      <w:r w:rsidR="00032E4B" w:rsidRPr="00377AF5">
        <w:rPr>
          <w:rFonts w:ascii="Tahoma" w:hAnsi="Tahoma" w:cs="Tahoma"/>
          <w:sz w:val="24"/>
          <w:szCs w:val="24"/>
          <w:lang w:val="es-ES" w:eastAsia="zh-CN"/>
        </w:rPr>
        <w:t xml:space="preserve"> </w:t>
      </w:r>
      <w:r w:rsidR="00661381" w:rsidRPr="00377AF5">
        <w:rPr>
          <w:rFonts w:ascii="Tahoma" w:hAnsi="Tahoma" w:cs="Tahoma"/>
          <w:sz w:val="24"/>
          <w:szCs w:val="24"/>
          <w:lang w:val="es-ES" w:eastAsia="zh-CN"/>
        </w:rPr>
        <w:t>el empleador sig</w:t>
      </w:r>
      <w:r w:rsidR="00032E4B" w:rsidRPr="00377AF5">
        <w:rPr>
          <w:rFonts w:ascii="Tahoma" w:hAnsi="Tahoma" w:cs="Tahoma"/>
          <w:sz w:val="24"/>
          <w:szCs w:val="24"/>
          <w:lang w:val="es-ES" w:eastAsia="zh-CN"/>
        </w:rPr>
        <w:t xml:space="preserve">uió </w:t>
      </w:r>
      <w:r w:rsidR="00661381" w:rsidRPr="00377AF5">
        <w:rPr>
          <w:rFonts w:ascii="Tahoma" w:hAnsi="Tahoma" w:cs="Tahoma"/>
          <w:sz w:val="24"/>
          <w:szCs w:val="24"/>
          <w:lang w:val="es-ES" w:eastAsia="zh-CN"/>
        </w:rPr>
        <w:t>cotizando hasta cuando el asegurado re</w:t>
      </w:r>
      <w:r w:rsidR="00032E4B" w:rsidRPr="00377AF5">
        <w:rPr>
          <w:rFonts w:ascii="Tahoma" w:hAnsi="Tahoma" w:cs="Tahoma"/>
          <w:sz w:val="24"/>
          <w:szCs w:val="24"/>
          <w:lang w:val="es-ES" w:eastAsia="zh-CN"/>
        </w:rPr>
        <w:t xml:space="preserve">unió </w:t>
      </w:r>
      <w:r w:rsidR="00661381" w:rsidRPr="00377AF5">
        <w:rPr>
          <w:rFonts w:ascii="Tahoma" w:hAnsi="Tahoma" w:cs="Tahoma"/>
          <w:sz w:val="24"/>
          <w:szCs w:val="24"/>
          <w:lang w:val="es-ES" w:eastAsia="zh-CN"/>
        </w:rPr>
        <w:t>los requisitos exigidos para acceder a la pensión de vejez de dicho instituto</w:t>
      </w:r>
      <w:r w:rsidR="00E850FD" w:rsidRPr="00377AF5">
        <w:rPr>
          <w:rFonts w:ascii="Tahoma" w:hAnsi="Tahoma" w:cs="Tahoma"/>
          <w:sz w:val="24"/>
          <w:szCs w:val="24"/>
          <w:lang w:val="es-ES" w:eastAsia="zh-CN"/>
        </w:rPr>
        <w:t>.</w:t>
      </w:r>
    </w:p>
    <w:p w14:paraId="28245F7A" w14:textId="77777777" w:rsidR="003879DA" w:rsidRPr="00377AF5" w:rsidRDefault="003879DA" w:rsidP="009174EF">
      <w:pPr>
        <w:pStyle w:val="Prrafodelista"/>
        <w:widowControl w:val="0"/>
        <w:autoSpaceDE w:val="0"/>
        <w:autoSpaceDN w:val="0"/>
        <w:adjustRightInd w:val="0"/>
        <w:spacing w:line="276" w:lineRule="auto"/>
        <w:ind w:left="1080"/>
        <w:jc w:val="both"/>
        <w:rPr>
          <w:rFonts w:ascii="Tahoma" w:hAnsi="Tahoma" w:cs="Tahoma"/>
          <w:b/>
        </w:rPr>
      </w:pPr>
    </w:p>
    <w:p w14:paraId="5981276C" w14:textId="77777777" w:rsidR="0010792F" w:rsidRPr="00377AF5" w:rsidRDefault="008E0F46" w:rsidP="009174EF">
      <w:pPr>
        <w:pStyle w:val="Textoindependiente"/>
        <w:numPr>
          <w:ilvl w:val="1"/>
          <w:numId w:val="1"/>
        </w:numPr>
        <w:spacing w:after="0" w:line="276" w:lineRule="auto"/>
        <w:ind w:right="51" w:hanging="371"/>
        <w:jc w:val="both"/>
        <w:rPr>
          <w:rFonts w:ascii="Tahoma" w:hAnsi="Tahoma" w:cs="Tahoma"/>
          <w:b/>
        </w:rPr>
      </w:pPr>
      <w:r w:rsidRPr="00377AF5">
        <w:rPr>
          <w:rFonts w:ascii="Tahoma" w:hAnsi="Tahoma" w:cs="Tahoma"/>
          <w:b/>
        </w:rPr>
        <w:t xml:space="preserve">Caso </w:t>
      </w:r>
      <w:r w:rsidR="0010792F" w:rsidRPr="00377AF5">
        <w:rPr>
          <w:rFonts w:ascii="Tahoma" w:hAnsi="Tahoma" w:cs="Tahoma"/>
          <w:b/>
        </w:rPr>
        <w:t>concreto</w:t>
      </w:r>
    </w:p>
    <w:p w14:paraId="5F351245" w14:textId="77777777" w:rsidR="003E105C" w:rsidRPr="00377AF5" w:rsidRDefault="003E105C" w:rsidP="009174EF">
      <w:pPr>
        <w:pStyle w:val="Textoindependiente"/>
        <w:spacing w:after="0" w:line="276" w:lineRule="auto"/>
        <w:ind w:left="1080" w:right="51"/>
        <w:jc w:val="both"/>
        <w:rPr>
          <w:rFonts w:ascii="Tahoma" w:hAnsi="Tahoma" w:cs="Tahoma"/>
          <w:b/>
        </w:rPr>
      </w:pPr>
    </w:p>
    <w:p w14:paraId="054F0DF8" w14:textId="22A3BBE3" w:rsidR="00032E4B" w:rsidRPr="00377AF5" w:rsidRDefault="00E850FD" w:rsidP="009174EF">
      <w:pPr>
        <w:tabs>
          <w:tab w:val="left" w:pos="748"/>
        </w:tabs>
        <w:spacing w:line="276" w:lineRule="auto"/>
        <w:jc w:val="both"/>
        <w:rPr>
          <w:rFonts w:ascii="Tahoma" w:hAnsi="Tahoma" w:cs="Tahoma"/>
          <w:bCs/>
        </w:rPr>
      </w:pPr>
      <w:r w:rsidRPr="00377AF5">
        <w:rPr>
          <w:rFonts w:ascii="Tahoma" w:hAnsi="Tahoma" w:cs="Tahoma"/>
          <w:bCs/>
        </w:rPr>
        <w:tab/>
      </w:r>
      <w:r w:rsidR="00EB31C5" w:rsidRPr="00377AF5">
        <w:rPr>
          <w:rFonts w:ascii="Tahoma" w:hAnsi="Tahoma" w:cs="Tahoma"/>
          <w:bCs/>
        </w:rPr>
        <w:t xml:space="preserve">Conforme </w:t>
      </w:r>
      <w:r w:rsidRPr="00377AF5">
        <w:rPr>
          <w:rFonts w:ascii="Tahoma" w:hAnsi="Tahoma" w:cs="Tahoma"/>
          <w:bCs/>
        </w:rPr>
        <w:t>al análi</w:t>
      </w:r>
      <w:r w:rsidR="00EB31C5" w:rsidRPr="00377AF5">
        <w:rPr>
          <w:rFonts w:ascii="Tahoma" w:hAnsi="Tahoma" w:cs="Tahoma"/>
          <w:bCs/>
        </w:rPr>
        <w:t xml:space="preserve">sis expuesto en precedencia, lo primero que debe indicarse es que </w:t>
      </w:r>
      <w:r w:rsidR="00D47EB0" w:rsidRPr="00377AF5">
        <w:rPr>
          <w:rFonts w:ascii="Tahoma" w:hAnsi="Tahoma" w:cs="Tahoma"/>
          <w:bCs/>
        </w:rPr>
        <w:t xml:space="preserve">fue acertada la disquisición esbozada por la A-quo </w:t>
      </w:r>
      <w:r w:rsidR="00493BCE" w:rsidRPr="00377AF5">
        <w:rPr>
          <w:rFonts w:ascii="Tahoma" w:hAnsi="Tahoma" w:cs="Tahoma"/>
          <w:bCs/>
        </w:rPr>
        <w:t xml:space="preserve">cuando encontró viable estudiar la procedencia de </w:t>
      </w:r>
      <w:r w:rsidR="00D47EB0" w:rsidRPr="00377AF5">
        <w:rPr>
          <w:rFonts w:ascii="Tahoma" w:hAnsi="Tahoma" w:cs="Tahoma"/>
          <w:bCs/>
        </w:rPr>
        <w:t xml:space="preserve"> la prestación reclamada</w:t>
      </w:r>
      <w:r w:rsidR="00C84466" w:rsidRPr="00377AF5">
        <w:rPr>
          <w:rFonts w:ascii="Tahoma" w:hAnsi="Tahoma" w:cs="Tahoma"/>
          <w:bCs/>
        </w:rPr>
        <w:t xml:space="preserve"> por el señor Laureano Gómez Salazar</w:t>
      </w:r>
      <w:r w:rsidR="00D47EB0" w:rsidRPr="00377AF5">
        <w:rPr>
          <w:rFonts w:ascii="Tahoma" w:hAnsi="Tahoma" w:cs="Tahoma"/>
          <w:bCs/>
        </w:rPr>
        <w:t xml:space="preserve">, pues </w:t>
      </w:r>
      <w:r w:rsidR="00EB31C5" w:rsidRPr="00377AF5">
        <w:rPr>
          <w:rFonts w:ascii="Tahoma" w:hAnsi="Tahoma" w:cs="Tahoma"/>
          <w:bCs/>
        </w:rPr>
        <w:t>al haberse reconocido la pensión</w:t>
      </w:r>
      <w:r w:rsidR="00D47EB0" w:rsidRPr="00377AF5">
        <w:rPr>
          <w:rFonts w:ascii="Tahoma" w:hAnsi="Tahoma" w:cs="Tahoma"/>
          <w:bCs/>
        </w:rPr>
        <w:t xml:space="preserve"> de jubilación</w:t>
      </w:r>
      <w:r w:rsidR="00EB31C5" w:rsidRPr="00377AF5">
        <w:rPr>
          <w:rFonts w:ascii="Tahoma" w:hAnsi="Tahoma" w:cs="Tahoma"/>
          <w:bCs/>
        </w:rPr>
        <w:t xml:space="preserve"> convencional por parte de las </w:t>
      </w:r>
      <w:r w:rsidR="00032E4B" w:rsidRPr="00377AF5">
        <w:rPr>
          <w:rFonts w:ascii="Tahoma" w:hAnsi="Tahoma" w:cs="Tahoma"/>
          <w:bCs/>
        </w:rPr>
        <w:t xml:space="preserve">Empresas Públicas </w:t>
      </w:r>
      <w:r w:rsidR="00EB31C5" w:rsidRPr="00377AF5">
        <w:rPr>
          <w:rFonts w:ascii="Tahoma" w:hAnsi="Tahoma" w:cs="Tahoma"/>
          <w:bCs/>
        </w:rPr>
        <w:t>de Pereira</w:t>
      </w:r>
      <w:r w:rsidR="00E071D7" w:rsidRPr="00377AF5">
        <w:rPr>
          <w:rFonts w:ascii="Tahoma" w:hAnsi="Tahoma" w:cs="Tahoma"/>
          <w:bCs/>
        </w:rPr>
        <w:t xml:space="preserve"> antes del 17 de octubre de 1985 (</w:t>
      </w:r>
      <w:proofErr w:type="spellStart"/>
      <w:r w:rsidR="00E071D7" w:rsidRPr="00377AF5">
        <w:rPr>
          <w:rFonts w:ascii="Tahoma" w:hAnsi="Tahoma" w:cs="Tahoma"/>
          <w:bCs/>
        </w:rPr>
        <w:t>fl</w:t>
      </w:r>
      <w:proofErr w:type="spellEnd"/>
      <w:r w:rsidR="00E071D7" w:rsidRPr="00377AF5">
        <w:rPr>
          <w:rFonts w:ascii="Tahoma" w:hAnsi="Tahoma" w:cs="Tahoma"/>
          <w:bCs/>
        </w:rPr>
        <w:t>. 30)</w:t>
      </w:r>
      <w:r w:rsidR="00EB31C5" w:rsidRPr="00377AF5">
        <w:rPr>
          <w:rFonts w:ascii="Tahoma" w:hAnsi="Tahoma" w:cs="Tahoma"/>
          <w:bCs/>
        </w:rPr>
        <w:t>,</w:t>
      </w:r>
      <w:r w:rsidR="00E071D7" w:rsidRPr="00377AF5">
        <w:rPr>
          <w:rFonts w:ascii="Tahoma" w:hAnsi="Tahoma" w:cs="Tahoma"/>
          <w:bCs/>
        </w:rPr>
        <w:t xml:space="preserve"> la </w:t>
      </w:r>
      <w:r w:rsidR="00D47EB0" w:rsidRPr="00377AF5">
        <w:rPr>
          <w:rFonts w:ascii="Tahoma" w:hAnsi="Tahoma" w:cs="Tahoma"/>
          <w:bCs/>
        </w:rPr>
        <w:t xml:space="preserve">de vejez </w:t>
      </w:r>
      <w:r w:rsidR="00E071D7" w:rsidRPr="00377AF5">
        <w:rPr>
          <w:rFonts w:ascii="Tahoma" w:hAnsi="Tahoma" w:cs="Tahoma"/>
          <w:bCs/>
        </w:rPr>
        <w:t>perseguida ante el entonces I.S.S. era compatible con aquella</w:t>
      </w:r>
      <w:r w:rsidR="008351D3" w:rsidRPr="00377AF5">
        <w:rPr>
          <w:rFonts w:ascii="Tahoma" w:hAnsi="Tahoma" w:cs="Tahoma"/>
          <w:bCs/>
        </w:rPr>
        <w:t xml:space="preserve">, como quiera que </w:t>
      </w:r>
      <w:r w:rsidR="006F529A" w:rsidRPr="00377AF5">
        <w:rPr>
          <w:rFonts w:ascii="Tahoma" w:hAnsi="Tahoma" w:cs="Tahoma"/>
          <w:bCs/>
        </w:rPr>
        <w:t>al momento del reconocimiento</w:t>
      </w:r>
      <w:r w:rsidR="00E071D7" w:rsidRPr="00377AF5">
        <w:rPr>
          <w:rFonts w:ascii="Tahoma" w:hAnsi="Tahoma" w:cs="Tahoma"/>
          <w:bCs/>
        </w:rPr>
        <w:t xml:space="preserve"> </w:t>
      </w:r>
      <w:r w:rsidR="006F529A" w:rsidRPr="00377AF5">
        <w:rPr>
          <w:rFonts w:ascii="Tahoma" w:hAnsi="Tahoma" w:cs="Tahoma"/>
          <w:bCs/>
        </w:rPr>
        <w:t xml:space="preserve">de la </w:t>
      </w:r>
      <w:r w:rsidR="00D47EB0" w:rsidRPr="00377AF5">
        <w:rPr>
          <w:rFonts w:ascii="Tahoma" w:hAnsi="Tahoma" w:cs="Tahoma"/>
          <w:bCs/>
        </w:rPr>
        <w:t xml:space="preserve">primera </w:t>
      </w:r>
      <w:r w:rsidR="006F529A" w:rsidRPr="00377AF5">
        <w:rPr>
          <w:rFonts w:ascii="Tahoma" w:hAnsi="Tahoma" w:cs="Tahoma"/>
          <w:bCs/>
        </w:rPr>
        <w:t>no existía la posibilidad de que el empleador subrogara su obligación a</w:t>
      </w:r>
      <w:r w:rsidR="00D47EB0" w:rsidRPr="00377AF5">
        <w:rPr>
          <w:rFonts w:ascii="Tahoma" w:hAnsi="Tahoma" w:cs="Tahoma"/>
          <w:bCs/>
        </w:rPr>
        <w:t xml:space="preserve">nte </w:t>
      </w:r>
      <w:r w:rsidR="00493BCE" w:rsidRPr="00377AF5">
        <w:rPr>
          <w:rFonts w:ascii="Tahoma" w:hAnsi="Tahoma" w:cs="Tahoma"/>
          <w:bCs/>
        </w:rPr>
        <w:t xml:space="preserve">esa </w:t>
      </w:r>
      <w:r w:rsidR="006F529A" w:rsidRPr="00377AF5">
        <w:rPr>
          <w:rFonts w:ascii="Tahoma" w:hAnsi="Tahoma" w:cs="Tahoma"/>
          <w:bCs/>
        </w:rPr>
        <w:t>entidad</w:t>
      </w:r>
      <w:r w:rsidR="00804C77" w:rsidRPr="00377AF5">
        <w:rPr>
          <w:rFonts w:ascii="Tahoma" w:hAnsi="Tahoma" w:cs="Tahoma"/>
          <w:bCs/>
        </w:rPr>
        <w:t>.</w:t>
      </w:r>
      <w:r w:rsidR="006F529A" w:rsidRPr="00377AF5">
        <w:rPr>
          <w:rFonts w:ascii="Tahoma" w:hAnsi="Tahoma" w:cs="Tahoma"/>
          <w:bCs/>
        </w:rPr>
        <w:t xml:space="preserve"> </w:t>
      </w:r>
    </w:p>
    <w:p w14:paraId="1D7EB34D" w14:textId="77777777" w:rsidR="00032E4B" w:rsidRPr="00377AF5" w:rsidRDefault="00032E4B" w:rsidP="00EB31C5">
      <w:pPr>
        <w:tabs>
          <w:tab w:val="left" w:pos="748"/>
        </w:tabs>
        <w:spacing w:line="276" w:lineRule="auto"/>
        <w:jc w:val="both"/>
        <w:rPr>
          <w:rFonts w:ascii="Tahoma" w:hAnsi="Tahoma" w:cs="Tahoma"/>
          <w:bCs/>
        </w:rPr>
      </w:pPr>
    </w:p>
    <w:p w14:paraId="20B149B2" w14:textId="77777777" w:rsidR="00032E4B" w:rsidRPr="00377AF5" w:rsidRDefault="00032E4B" w:rsidP="00EB31C5">
      <w:pPr>
        <w:tabs>
          <w:tab w:val="left" w:pos="748"/>
        </w:tabs>
        <w:spacing w:line="276" w:lineRule="auto"/>
        <w:jc w:val="both"/>
        <w:rPr>
          <w:rFonts w:ascii="Tahoma" w:hAnsi="Tahoma" w:cs="Tahoma"/>
          <w:bCs/>
        </w:rPr>
      </w:pPr>
    </w:p>
    <w:p w14:paraId="6C67E5A1" w14:textId="77777777" w:rsidR="00377AF5" w:rsidRPr="00377AF5" w:rsidRDefault="008351D3" w:rsidP="00377AF5">
      <w:pPr>
        <w:tabs>
          <w:tab w:val="left" w:pos="748"/>
        </w:tabs>
        <w:spacing w:line="276" w:lineRule="auto"/>
        <w:jc w:val="both"/>
        <w:rPr>
          <w:rFonts w:ascii="Tahoma" w:hAnsi="Tahoma" w:cs="Tahoma"/>
          <w:bCs/>
        </w:rPr>
      </w:pPr>
      <w:r w:rsidRPr="00377AF5">
        <w:rPr>
          <w:rFonts w:ascii="Tahoma" w:hAnsi="Tahoma" w:cs="Tahoma"/>
          <w:bCs/>
        </w:rPr>
        <w:lastRenderedPageBreak/>
        <w:tab/>
      </w:r>
    </w:p>
    <w:p w14:paraId="64AFF041" w14:textId="25E2923E" w:rsidR="00A301D8" w:rsidRPr="00377AF5" w:rsidRDefault="00377AF5" w:rsidP="00377AF5">
      <w:pPr>
        <w:tabs>
          <w:tab w:val="left" w:pos="748"/>
        </w:tabs>
        <w:spacing w:line="276" w:lineRule="auto"/>
        <w:jc w:val="both"/>
        <w:rPr>
          <w:rFonts w:ascii="Tahoma" w:hAnsi="Tahoma" w:cs="Tahoma"/>
          <w:bCs/>
        </w:rPr>
      </w:pPr>
      <w:r w:rsidRPr="00377AF5">
        <w:rPr>
          <w:rFonts w:ascii="Tahoma" w:hAnsi="Tahoma" w:cs="Tahoma"/>
          <w:bCs/>
        </w:rPr>
        <w:tab/>
      </w:r>
      <w:r w:rsidR="008351D3" w:rsidRPr="00377AF5">
        <w:rPr>
          <w:rFonts w:ascii="Tahoma" w:hAnsi="Tahoma" w:cs="Tahoma"/>
          <w:bCs/>
        </w:rPr>
        <w:t xml:space="preserve">En efecto, </w:t>
      </w:r>
      <w:r w:rsidR="00A301D8" w:rsidRPr="00377AF5">
        <w:rPr>
          <w:rFonts w:ascii="Tahoma" w:hAnsi="Tahoma" w:cs="Tahoma"/>
          <w:bCs/>
        </w:rPr>
        <w:t xml:space="preserve">una vez </w:t>
      </w:r>
      <w:r w:rsidR="008351D3" w:rsidRPr="00377AF5">
        <w:rPr>
          <w:rFonts w:ascii="Tahoma" w:hAnsi="Tahoma" w:cs="Tahoma"/>
          <w:bCs/>
        </w:rPr>
        <w:t>e</w:t>
      </w:r>
      <w:r w:rsidR="00A301D8" w:rsidRPr="00377AF5">
        <w:rPr>
          <w:rFonts w:ascii="Tahoma" w:hAnsi="Tahoma" w:cs="Tahoma"/>
          <w:bCs/>
        </w:rPr>
        <w:t>l actor</w:t>
      </w:r>
      <w:r w:rsidR="008351D3" w:rsidRPr="00377AF5">
        <w:rPr>
          <w:rFonts w:ascii="Tahoma" w:hAnsi="Tahoma" w:cs="Tahoma"/>
          <w:bCs/>
        </w:rPr>
        <w:t xml:space="preserve"> accedió a la pensión de jubilación convencional</w:t>
      </w:r>
      <w:r w:rsidR="00A301D8" w:rsidRPr="00377AF5">
        <w:rPr>
          <w:rFonts w:ascii="Tahoma" w:hAnsi="Tahoma" w:cs="Tahoma"/>
          <w:bCs/>
        </w:rPr>
        <w:t>, su empleadora dejó de efectuar cotizaciones ante el entonces I.S.S., tal como se aprecia en el resumen de semanas cotizadas allegado por la demandada (</w:t>
      </w:r>
      <w:proofErr w:type="spellStart"/>
      <w:r w:rsidR="00A301D8" w:rsidRPr="00377AF5">
        <w:rPr>
          <w:rFonts w:ascii="Tahoma" w:hAnsi="Tahoma" w:cs="Tahoma"/>
          <w:bCs/>
        </w:rPr>
        <w:t>fl</w:t>
      </w:r>
      <w:proofErr w:type="spellEnd"/>
      <w:r w:rsidR="00A301D8" w:rsidRPr="00377AF5">
        <w:rPr>
          <w:rFonts w:ascii="Tahoma" w:hAnsi="Tahoma" w:cs="Tahoma"/>
          <w:bCs/>
        </w:rPr>
        <w:t>. 84)</w:t>
      </w:r>
      <w:r w:rsidR="00B646E1" w:rsidRPr="00377AF5">
        <w:rPr>
          <w:rFonts w:ascii="Tahoma" w:hAnsi="Tahoma" w:cs="Tahoma"/>
          <w:bCs/>
        </w:rPr>
        <w:t>, y según se infiere del contenido de la Resolución No. 006825 de 1997 (</w:t>
      </w:r>
      <w:proofErr w:type="spellStart"/>
      <w:r w:rsidR="00B646E1" w:rsidRPr="00377AF5">
        <w:rPr>
          <w:rFonts w:ascii="Tahoma" w:hAnsi="Tahoma" w:cs="Tahoma"/>
          <w:bCs/>
        </w:rPr>
        <w:t>fl</w:t>
      </w:r>
      <w:proofErr w:type="spellEnd"/>
      <w:r w:rsidR="00B646E1" w:rsidRPr="00377AF5">
        <w:rPr>
          <w:rFonts w:ascii="Tahoma" w:hAnsi="Tahoma" w:cs="Tahoma"/>
          <w:bCs/>
        </w:rPr>
        <w:t xml:space="preserve">. 32), en la que </w:t>
      </w:r>
      <w:r w:rsidR="008351D3" w:rsidRPr="00377AF5">
        <w:rPr>
          <w:rFonts w:ascii="Tahoma" w:hAnsi="Tahoma" w:cs="Tahoma"/>
          <w:bCs/>
        </w:rPr>
        <w:t xml:space="preserve">el I.S.S. </w:t>
      </w:r>
      <w:r w:rsidR="00B646E1" w:rsidRPr="00377AF5">
        <w:rPr>
          <w:rFonts w:ascii="Tahoma" w:hAnsi="Tahoma" w:cs="Tahoma"/>
          <w:bCs/>
        </w:rPr>
        <w:t>niega la pensión de vejez consagrada en la Ley 100 de 1993, pero en razón a que el actor carecía de 1000 semanas cotizadas,</w:t>
      </w:r>
      <w:r w:rsidR="008351D3" w:rsidRPr="00377AF5">
        <w:rPr>
          <w:rFonts w:ascii="Tahoma" w:hAnsi="Tahoma" w:cs="Tahoma"/>
          <w:bCs/>
        </w:rPr>
        <w:t xml:space="preserve"> más </w:t>
      </w:r>
      <w:r w:rsidR="00B646E1" w:rsidRPr="00377AF5">
        <w:rPr>
          <w:rFonts w:ascii="Tahoma" w:hAnsi="Tahoma" w:cs="Tahoma"/>
          <w:bCs/>
        </w:rPr>
        <w:t xml:space="preserve">no porque de tiempo </w:t>
      </w:r>
      <w:r w:rsidR="008351D3" w:rsidRPr="00377AF5">
        <w:rPr>
          <w:rFonts w:ascii="Tahoma" w:hAnsi="Tahoma" w:cs="Tahoma"/>
          <w:bCs/>
        </w:rPr>
        <w:t xml:space="preserve">atrás </w:t>
      </w:r>
      <w:r w:rsidR="00B646E1" w:rsidRPr="00377AF5">
        <w:rPr>
          <w:rFonts w:ascii="Tahoma" w:hAnsi="Tahoma" w:cs="Tahoma"/>
          <w:bCs/>
        </w:rPr>
        <w:t xml:space="preserve">él viniera percibiendo una pensión de jubilación convencional. </w:t>
      </w:r>
      <w:r w:rsidR="00A301D8" w:rsidRPr="00377AF5">
        <w:rPr>
          <w:rFonts w:ascii="Tahoma" w:hAnsi="Tahoma" w:cs="Tahoma"/>
          <w:bCs/>
        </w:rPr>
        <w:t xml:space="preserve">En consecuencia, no son de recibo los argumentos del censor, pues la </w:t>
      </w:r>
      <w:proofErr w:type="spellStart"/>
      <w:r w:rsidR="00A301D8" w:rsidRPr="00377AF5">
        <w:rPr>
          <w:rFonts w:ascii="Tahoma" w:hAnsi="Tahoma" w:cs="Tahoma"/>
          <w:bCs/>
        </w:rPr>
        <w:t>compartibilidad</w:t>
      </w:r>
      <w:proofErr w:type="spellEnd"/>
      <w:r w:rsidR="00A301D8" w:rsidRPr="00377AF5">
        <w:rPr>
          <w:rFonts w:ascii="Tahoma" w:hAnsi="Tahoma" w:cs="Tahoma"/>
          <w:bCs/>
        </w:rPr>
        <w:t xml:space="preserve"> que pregona que debió negarse </w:t>
      </w:r>
      <w:r w:rsidR="008351D3" w:rsidRPr="00377AF5">
        <w:rPr>
          <w:rFonts w:ascii="Tahoma" w:hAnsi="Tahoma" w:cs="Tahoma"/>
          <w:bCs/>
        </w:rPr>
        <w:t xml:space="preserve">expresamente </w:t>
      </w:r>
      <w:r w:rsidR="00A301D8" w:rsidRPr="00377AF5">
        <w:rPr>
          <w:rFonts w:ascii="Tahoma" w:hAnsi="Tahoma" w:cs="Tahoma"/>
          <w:bCs/>
        </w:rPr>
        <w:t xml:space="preserve">en la convención colectiva, no estaba contemplada </w:t>
      </w:r>
      <w:r w:rsidR="008351D3" w:rsidRPr="00377AF5">
        <w:rPr>
          <w:rFonts w:ascii="Tahoma" w:hAnsi="Tahoma" w:cs="Tahoma"/>
          <w:bCs/>
        </w:rPr>
        <w:t xml:space="preserve">para ese entonces </w:t>
      </w:r>
      <w:r w:rsidR="00A301D8" w:rsidRPr="00377AF5">
        <w:rPr>
          <w:rFonts w:ascii="Tahoma" w:hAnsi="Tahoma" w:cs="Tahoma"/>
          <w:bCs/>
        </w:rPr>
        <w:t>en el ordenamiento jurídico.</w:t>
      </w:r>
    </w:p>
    <w:p w14:paraId="0D4A2EDC" w14:textId="77777777" w:rsidR="00A301D8" w:rsidRPr="00377AF5" w:rsidRDefault="00A301D8" w:rsidP="00377AF5">
      <w:pPr>
        <w:tabs>
          <w:tab w:val="left" w:pos="748"/>
        </w:tabs>
        <w:spacing w:line="360" w:lineRule="auto"/>
        <w:jc w:val="both"/>
        <w:rPr>
          <w:rFonts w:ascii="Tahoma" w:hAnsi="Tahoma" w:cs="Tahoma"/>
          <w:bCs/>
        </w:rPr>
      </w:pPr>
    </w:p>
    <w:p w14:paraId="7B6AAD04" w14:textId="2E49C066" w:rsidR="00C84466" w:rsidRPr="00377AF5" w:rsidRDefault="00A301D8" w:rsidP="00377AF5">
      <w:pPr>
        <w:tabs>
          <w:tab w:val="left" w:pos="748"/>
        </w:tabs>
        <w:spacing w:line="276" w:lineRule="auto"/>
        <w:jc w:val="both"/>
        <w:rPr>
          <w:rFonts w:ascii="Tahoma" w:hAnsi="Tahoma" w:cs="Tahoma"/>
          <w:bCs/>
        </w:rPr>
      </w:pPr>
      <w:r w:rsidRPr="00377AF5">
        <w:rPr>
          <w:rFonts w:ascii="Tahoma" w:hAnsi="Tahoma" w:cs="Tahoma"/>
          <w:bCs/>
        </w:rPr>
        <w:tab/>
        <w:t xml:space="preserve">Así las cosas, </w:t>
      </w:r>
      <w:r w:rsidR="008351D3" w:rsidRPr="00377AF5">
        <w:rPr>
          <w:rFonts w:ascii="Tahoma" w:hAnsi="Tahoma" w:cs="Tahoma"/>
          <w:bCs/>
        </w:rPr>
        <w:t xml:space="preserve">era del caso </w:t>
      </w:r>
      <w:r w:rsidR="00747EE3" w:rsidRPr="00377AF5">
        <w:rPr>
          <w:rFonts w:ascii="Tahoma" w:hAnsi="Tahoma" w:cs="Tahoma"/>
          <w:bCs/>
        </w:rPr>
        <w:t xml:space="preserve">abordar el estudio de la pensión de jubilación por aportes contemplada en la Ley 71 de 1988, </w:t>
      </w:r>
      <w:r w:rsidR="008D1029" w:rsidRPr="00377AF5">
        <w:rPr>
          <w:rFonts w:ascii="Tahoma" w:hAnsi="Tahoma" w:cs="Tahoma"/>
          <w:bCs/>
        </w:rPr>
        <w:t xml:space="preserve">la cual </w:t>
      </w:r>
      <w:r w:rsidR="00747EE3" w:rsidRPr="00377AF5">
        <w:rPr>
          <w:rFonts w:ascii="Tahoma" w:hAnsi="Tahoma" w:cs="Tahoma"/>
          <w:bCs/>
        </w:rPr>
        <w:t xml:space="preserve">era aplicable </w:t>
      </w:r>
      <w:r w:rsidR="008D1029" w:rsidRPr="00377AF5">
        <w:rPr>
          <w:rFonts w:ascii="Tahoma" w:hAnsi="Tahoma" w:cs="Tahoma"/>
          <w:bCs/>
        </w:rPr>
        <w:t xml:space="preserve">al actor </w:t>
      </w:r>
      <w:r w:rsidR="00747EE3" w:rsidRPr="00377AF5">
        <w:rPr>
          <w:rFonts w:ascii="Tahoma" w:hAnsi="Tahoma" w:cs="Tahoma"/>
          <w:bCs/>
        </w:rPr>
        <w:t>en virtud del régimen de transición del que fue beneficiario por contar con más de 40 años de edad y 15 años de servicios a la entrada en vigencia de la Ley 100 de 1993, y respecto de la cual, además, cumplía la totalidad de los requisitos, pues alcanzó los 60 años</w:t>
      </w:r>
      <w:r w:rsidR="00A23328" w:rsidRPr="00377AF5">
        <w:rPr>
          <w:rFonts w:ascii="Tahoma" w:hAnsi="Tahoma" w:cs="Tahoma"/>
          <w:bCs/>
        </w:rPr>
        <w:t xml:space="preserve"> de edad</w:t>
      </w:r>
      <w:r w:rsidR="00747EE3" w:rsidRPr="00377AF5">
        <w:rPr>
          <w:rFonts w:ascii="Tahoma" w:hAnsi="Tahoma" w:cs="Tahoma"/>
          <w:bCs/>
        </w:rPr>
        <w:t xml:space="preserve"> el 12 de julio de 1996</w:t>
      </w:r>
      <w:r w:rsidR="008D1029" w:rsidRPr="00377AF5">
        <w:rPr>
          <w:rFonts w:ascii="Tahoma" w:hAnsi="Tahoma" w:cs="Tahoma"/>
          <w:bCs/>
        </w:rPr>
        <w:t xml:space="preserve">, calenda en la que contaba </w:t>
      </w:r>
      <w:r w:rsidR="00747EE3" w:rsidRPr="00377AF5">
        <w:rPr>
          <w:rFonts w:ascii="Tahoma" w:hAnsi="Tahoma" w:cs="Tahoma"/>
          <w:bCs/>
        </w:rPr>
        <w:t>con más de 20 años</w:t>
      </w:r>
      <w:r w:rsidR="00A23328" w:rsidRPr="00377AF5">
        <w:rPr>
          <w:rFonts w:ascii="Tahoma" w:hAnsi="Tahoma" w:cs="Tahoma"/>
          <w:bCs/>
        </w:rPr>
        <w:t xml:space="preserve"> </w:t>
      </w:r>
      <w:r w:rsidR="00982E1D" w:rsidRPr="00377AF5">
        <w:rPr>
          <w:rFonts w:ascii="Tahoma" w:hAnsi="Tahoma" w:cs="Tahoma"/>
          <w:bCs/>
        </w:rPr>
        <w:t>s</w:t>
      </w:r>
      <w:r w:rsidR="00E36B5A" w:rsidRPr="00377AF5">
        <w:rPr>
          <w:rFonts w:ascii="Tahoma" w:hAnsi="Tahoma" w:cs="Tahoma"/>
          <w:bCs/>
        </w:rPr>
        <w:t>ufragados y acumulados en el sector público y en el I.S.S.</w:t>
      </w:r>
      <w:r w:rsidR="00EE0626" w:rsidRPr="00377AF5">
        <w:rPr>
          <w:rFonts w:ascii="Tahoma" w:hAnsi="Tahoma" w:cs="Tahoma"/>
          <w:bCs/>
        </w:rPr>
        <w:t xml:space="preserve"> (1027,57 semanas)</w:t>
      </w:r>
      <w:r w:rsidR="00747EE3" w:rsidRPr="00377AF5">
        <w:rPr>
          <w:rFonts w:ascii="Tahoma" w:hAnsi="Tahoma" w:cs="Tahoma"/>
          <w:bCs/>
        </w:rPr>
        <w:t xml:space="preserve">, </w:t>
      </w:r>
      <w:r w:rsidR="00C84466" w:rsidRPr="00377AF5">
        <w:rPr>
          <w:rFonts w:ascii="Tahoma" w:hAnsi="Tahoma" w:cs="Tahoma"/>
          <w:bCs/>
        </w:rPr>
        <w:t>discriminados así:  938,86 semanas en el régimen de prima media</w:t>
      </w:r>
      <w:r w:rsidR="00982E1D" w:rsidRPr="00377AF5">
        <w:rPr>
          <w:rFonts w:ascii="Tahoma" w:hAnsi="Tahoma" w:cs="Tahoma"/>
          <w:bCs/>
        </w:rPr>
        <w:t>,</w:t>
      </w:r>
      <w:r w:rsidR="00C84466" w:rsidRPr="00377AF5">
        <w:rPr>
          <w:rFonts w:ascii="Tahoma" w:hAnsi="Tahoma" w:cs="Tahoma"/>
          <w:bCs/>
        </w:rPr>
        <w:t xml:space="preserve"> </w:t>
      </w:r>
      <w:r w:rsidR="00E36B5A" w:rsidRPr="00377AF5">
        <w:rPr>
          <w:rFonts w:ascii="Tahoma" w:hAnsi="Tahoma" w:cs="Tahoma"/>
          <w:bCs/>
          <w:i/>
        </w:rPr>
        <w:t xml:space="preserve">tal como se observa en </w:t>
      </w:r>
      <w:r w:rsidR="00C84466" w:rsidRPr="00377AF5">
        <w:rPr>
          <w:rFonts w:ascii="Tahoma" w:hAnsi="Tahoma" w:cs="Tahoma"/>
          <w:bCs/>
          <w:i/>
        </w:rPr>
        <w:t>la Resolución 006825 de 1997</w:t>
      </w:r>
      <w:r w:rsidR="00E36B5A" w:rsidRPr="00377AF5">
        <w:rPr>
          <w:rFonts w:ascii="Tahoma" w:hAnsi="Tahoma" w:cs="Tahoma"/>
          <w:bCs/>
          <w:i/>
        </w:rPr>
        <w:t>;</w:t>
      </w:r>
      <w:r w:rsidR="00C84466" w:rsidRPr="00377AF5">
        <w:rPr>
          <w:rFonts w:ascii="Tahoma" w:hAnsi="Tahoma" w:cs="Tahoma"/>
          <w:bCs/>
          <w:i/>
        </w:rPr>
        <w:t xml:space="preserve"> la hoja de prueba con la que se liquidó la indemnización sustitutiva de la pensión de vejez (</w:t>
      </w:r>
      <w:proofErr w:type="spellStart"/>
      <w:r w:rsidR="00C84466" w:rsidRPr="00377AF5">
        <w:rPr>
          <w:rFonts w:ascii="Tahoma" w:hAnsi="Tahoma" w:cs="Tahoma"/>
          <w:bCs/>
          <w:i/>
        </w:rPr>
        <w:t>fl</w:t>
      </w:r>
      <w:proofErr w:type="spellEnd"/>
      <w:r w:rsidR="00C84466" w:rsidRPr="00377AF5">
        <w:rPr>
          <w:rFonts w:ascii="Tahoma" w:hAnsi="Tahoma" w:cs="Tahoma"/>
          <w:bCs/>
          <w:i/>
        </w:rPr>
        <w:t xml:space="preserve">. 32 y s.s.), </w:t>
      </w:r>
      <w:r w:rsidR="00E36B5A" w:rsidRPr="00377AF5">
        <w:rPr>
          <w:rFonts w:ascii="Tahoma" w:hAnsi="Tahoma" w:cs="Tahoma"/>
          <w:bCs/>
          <w:i/>
        </w:rPr>
        <w:t xml:space="preserve">y </w:t>
      </w:r>
      <w:r w:rsidR="00C84466" w:rsidRPr="00377AF5">
        <w:rPr>
          <w:rFonts w:ascii="Tahoma" w:hAnsi="Tahoma" w:cs="Tahoma"/>
          <w:bCs/>
          <w:i/>
        </w:rPr>
        <w:t>la historia laboral allegada por la demandada (</w:t>
      </w:r>
      <w:proofErr w:type="spellStart"/>
      <w:r w:rsidR="00C84466" w:rsidRPr="00377AF5">
        <w:rPr>
          <w:rFonts w:ascii="Tahoma" w:hAnsi="Tahoma" w:cs="Tahoma"/>
          <w:bCs/>
          <w:i/>
        </w:rPr>
        <w:t>fl</w:t>
      </w:r>
      <w:proofErr w:type="spellEnd"/>
      <w:r w:rsidR="00C84466" w:rsidRPr="00377AF5">
        <w:rPr>
          <w:rFonts w:ascii="Tahoma" w:hAnsi="Tahoma" w:cs="Tahoma"/>
          <w:bCs/>
          <w:i/>
        </w:rPr>
        <w:t>. 85 y s.s.-</w:t>
      </w:r>
      <w:r w:rsidR="00982E1D" w:rsidRPr="00377AF5">
        <w:rPr>
          <w:rFonts w:ascii="Tahoma" w:hAnsi="Tahoma" w:cs="Tahoma"/>
          <w:bCs/>
        </w:rPr>
        <w:t xml:space="preserve">; y 88,71 semanas </w:t>
      </w:r>
      <w:r w:rsidR="00E36B5A" w:rsidRPr="00377AF5">
        <w:rPr>
          <w:rFonts w:ascii="Tahoma" w:hAnsi="Tahoma" w:cs="Tahoma"/>
          <w:bCs/>
          <w:i/>
        </w:rPr>
        <w:t>-1 año 8 meses y 21 días-</w:t>
      </w:r>
      <w:r w:rsidR="00E36B5A" w:rsidRPr="00377AF5">
        <w:rPr>
          <w:rFonts w:ascii="Tahoma" w:hAnsi="Tahoma" w:cs="Tahoma"/>
          <w:bCs/>
        </w:rPr>
        <w:t xml:space="preserve"> cotizadas en la Caja de Previsión Social Municipal de Pereira</w:t>
      </w:r>
      <w:r w:rsidR="00A23328" w:rsidRPr="00377AF5">
        <w:rPr>
          <w:rFonts w:ascii="Tahoma" w:hAnsi="Tahoma" w:cs="Tahoma"/>
          <w:bCs/>
        </w:rPr>
        <w:t>,</w:t>
      </w:r>
      <w:r w:rsidR="00E36B5A" w:rsidRPr="00377AF5">
        <w:rPr>
          <w:rFonts w:ascii="Tahoma" w:hAnsi="Tahoma" w:cs="Tahoma"/>
          <w:bCs/>
        </w:rPr>
        <w:t xml:space="preserve"> </w:t>
      </w:r>
      <w:r w:rsidR="00982E1D" w:rsidRPr="00377AF5">
        <w:rPr>
          <w:rFonts w:ascii="Tahoma" w:hAnsi="Tahoma" w:cs="Tahoma"/>
          <w:bCs/>
        </w:rPr>
        <w:t xml:space="preserve"> </w:t>
      </w:r>
      <w:r w:rsidR="00E36B5A" w:rsidRPr="00377AF5">
        <w:rPr>
          <w:rFonts w:ascii="Tahoma" w:hAnsi="Tahoma" w:cs="Tahoma"/>
          <w:bCs/>
          <w:i/>
        </w:rPr>
        <w:t>según se extrae del certificado de información laboral expedido por e</w:t>
      </w:r>
      <w:r w:rsidR="00A23328" w:rsidRPr="00377AF5">
        <w:rPr>
          <w:rFonts w:ascii="Tahoma" w:hAnsi="Tahoma" w:cs="Tahoma"/>
          <w:bCs/>
          <w:i/>
        </w:rPr>
        <w:t xml:space="preserve">se ente </w:t>
      </w:r>
      <w:r w:rsidR="00E36B5A" w:rsidRPr="00377AF5">
        <w:rPr>
          <w:rFonts w:ascii="Tahoma" w:hAnsi="Tahoma" w:cs="Tahoma"/>
          <w:bCs/>
          <w:i/>
        </w:rPr>
        <w:t>(</w:t>
      </w:r>
      <w:proofErr w:type="spellStart"/>
      <w:r w:rsidR="00E36B5A" w:rsidRPr="00377AF5">
        <w:rPr>
          <w:rFonts w:ascii="Tahoma" w:hAnsi="Tahoma" w:cs="Tahoma"/>
          <w:bCs/>
          <w:i/>
        </w:rPr>
        <w:t>fl</w:t>
      </w:r>
      <w:proofErr w:type="spellEnd"/>
      <w:r w:rsidR="00E36B5A" w:rsidRPr="00377AF5">
        <w:rPr>
          <w:rFonts w:ascii="Tahoma" w:hAnsi="Tahoma" w:cs="Tahoma"/>
          <w:bCs/>
          <w:i/>
        </w:rPr>
        <w:t>. 39 y s.s.)</w:t>
      </w:r>
      <w:r w:rsidR="00A23328" w:rsidRPr="00377AF5">
        <w:rPr>
          <w:rFonts w:ascii="Tahoma" w:hAnsi="Tahoma" w:cs="Tahoma"/>
          <w:bCs/>
          <w:i/>
        </w:rPr>
        <w:t>.</w:t>
      </w:r>
    </w:p>
    <w:p w14:paraId="50E9E98B" w14:textId="77777777" w:rsidR="00F445B4" w:rsidRPr="00377AF5" w:rsidRDefault="00F445B4" w:rsidP="00377AF5">
      <w:pPr>
        <w:tabs>
          <w:tab w:val="left" w:pos="748"/>
        </w:tabs>
        <w:spacing w:line="360" w:lineRule="auto"/>
        <w:jc w:val="both"/>
        <w:rPr>
          <w:rFonts w:ascii="Tahoma" w:hAnsi="Tahoma" w:cs="Tahoma"/>
          <w:bCs/>
        </w:rPr>
      </w:pPr>
    </w:p>
    <w:p w14:paraId="38B150CA" w14:textId="70690102" w:rsidR="00F445B4" w:rsidRPr="00377AF5" w:rsidRDefault="00F445B4" w:rsidP="00377AF5">
      <w:pPr>
        <w:tabs>
          <w:tab w:val="left" w:pos="748"/>
        </w:tabs>
        <w:spacing w:line="276" w:lineRule="auto"/>
        <w:jc w:val="both"/>
        <w:rPr>
          <w:rFonts w:ascii="Tahoma" w:hAnsi="Tahoma" w:cs="Tahoma"/>
          <w:bCs/>
        </w:rPr>
      </w:pPr>
      <w:r w:rsidRPr="00377AF5">
        <w:rPr>
          <w:rFonts w:ascii="Tahoma" w:hAnsi="Tahoma" w:cs="Tahoma"/>
          <w:bCs/>
        </w:rPr>
        <w:tab/>
        <w:t xml:space="preserve">En ese orden de ideas, se avala </w:t>
      </w:r>
      <w:r w:rsidR="009F4C86" w:rsidRPr="00377AF5">
        <w:rPr>
          <w:rFonts w:ascii="Tahoma" w:hAnsi="Tahoma" w:cs="Tahoma"/>
          <w:bCs/>
        </w:rPr>
        <w:t xml:space="preserve">igualmente </w:t>
      </w:r>
      <w:r w:rsidRPr="00377AF5">
        <w:rPr>
          <w:rFonts w:ascii="Tahoma" w:hAnsi="Tahoma" w:cs="Tahoma"/>
          <w:bCs/>
        </w:rPr>
        <w:t xml:space="preserve">la fecha a partir de la cual se reconoció el retroactivo en primer grado, </w:t>
      </w:r>
      <w:r w:rsidR="00360E72" w:rsidRPr="00377AF5">
        <w:rPr>
          <w:rFonts w:ascii="Tahoma" w:hAnsi="Tahoma" w:cs="Tahoma"/>
          <w:bCs/>
        </w:rPr>
        <w:t>pues la reclamación administrativa de la pensión aquí pretendida se presentó el 22 de marzo de 2013, viéndose afectadas las mesadas causadas con antelación al 22 de marzo de 2010.</w:t>
      </w:r>
    </w:p>
    <w:p w14:paraId="24BEDE57" w14:textId="77777777" w:rsidR="00360E72" w:rsidRPr="00377AF5" w:rsidRDefault="00360E72" w:rsidP="00377AF5">
      <w:pPr>
        <w:tabs>
          <w:tab w:val="left" w:pos="748"/>
        </w:tabs>
        <w:spacing w:line="360" w:lineRule="auto"/>
        <w:jc w:val="both"/>
        <w:rPr>
          <w:rFonts w:ascii="Tahoma" w:hAnsi="Tahoma" w:cs="Tahoma"/>
          <w:bCs/>
        </w:rPr>
      </w:pPr>
    </w:p>
    <w:p w14:paraId="644841FF" w14:textId="0D1CBE0F" w:rsidR="00360E72" w:rsidRPr="00377AF5" w:rsidRDefault="00360E72" w:rsidP="00377AF5">
      <w:pPr>
        <w:tabs>
          <w:tab w:val="left" w:pos="748"/>
        </w:tabs>
        <w:spacing w:line="276" w:lineRule="auto"/>
        <w:jc w:val="both"/>
        <w:rPr>
          <w:rFonts w:ascii="Tahoma" w:hAnsi="Tahoma" w:cs="Tahoma"/>
          <w:bCs/>
        </w:rPr>
      </w:pPr>
      <w:r w:rsidRPr="00377AF5">
        <w:rPr>
          <w:rFonts w:ascii="Tahoma" w:hAnsi="Tahoma" w:cs="Tahoma"/>
          <w:bCs/>
        </w:rPr>
        <w:tab/>
        <w:t xml:space="preserve">En cuanto al retroactivo reconocido, la Sala encuentra acertados los cálculos efectuados en primera instancia </w:t>
      </w:r>
      <w:r w:rsidR="009F4C86" w:rsidRPr="00377AF5">
        <w:rPr>
          <w:rFonts w:ascii="Tahoma" w:hAnsi="Tahoma" w:cs="Tahoma"/>
          <w:bCs/>
        </w:rPr>
        <w:t>(</w:t>
      </w:r>
      <w:proofErr w:type="spellStart"/>
      <w:r w:rsidRPr="00377AF5">
        <w:rPr>
          <w:rFonts w:ascii="Tahoma" w:hAnsi="Tahoma" w:cs="Tahoma"/>
          <w:bCs/>
        </w:rPr>
        <w:t>fl</w:t>
      </w:r>
      <w:proofErr w:type="spellEnd"/>
      <w:r w:rsidR="009F4C86" w:rsidRPr="00377AF5">
        <w:rPr>
          <w:rFonts w:ascii="Tahoma" w:hAnsi="Tahoma" w:cs="Tahoma"/>
          <w:bCs/>
        </w:rPr>
        <w:t xml:space="preserve">. </w:t>
      </w:r>
      <w:r w:rsidRPr="00377AF5">
        <w:rPr>
          <w:rFonts w:ascii="Tahoma" w:hAnsi="Tahoma" w:cs="Tahoma"/>
          <w:bCs/>
        </w:rPr>
        <w:t>92 y s.s.</w:t>
      </w:r>
      <w:r w:rsidR="009F4C86" w:rsidRPr="00377AF5">
        <w:rPr>
          <w:rFonts w:ascii="Tahoma" w:hAnsi="Tahoma" w:cs="Tahoma"/>
          <w:bCs/>
        </w:rPr>
        <w:t>)</w:t>
      </w:r>
      <w:r w:rsidRPr="00377AF5">
        <w:rPr>
          <w:rFonts w:ascii="Tahoma" w:hAnsi="Tahoma" w:cs="Tahoma"/>
          <w:bCs/>
        </w:rPr>
        <w:t xml:space="preserve">, </w:t>
      </w:r>
      <w:r w:rsidR="009F4C86" w:rsidRPr="00377AF5">
        <w:rPr>
          <w:rFonts w:ascii="Tahoma" w:hAnsi="Tahoma" w:cs="Tahoma"/>
          <w:bCs/>
        </w:rPr>
        <w:t xml:space="preserve">pues </w:t>
      </w:r>
      <w:r w:rsidRPr="00377AF5">
        <w:rPr>
          <w:rFonts w:ascii="Tahoma" w:hAnsi="Tahoma" w:cs="Tahoma"/>
          <w:bCs/>
        </w:rPr>
        <w:t xml:space="preserve">el IBL </w:t>
      </w:r>
      <w:r w:rsidR="00EE0626" w:rsidRPr="00377AF5">
        <w:rPr>
          <w:rFonts w:ascii="Tahoma" w:hAnsi="Tahoma" w:cs="Tahoma"/>
          <w:bCs/>
        </w:rPr>
        <w:t xml:space="preserve">liquidado </w:t>
      </w:r>
      <w:r w:rsidRPr="00377AF5">
        <w:rPr>
          <w:rFonts w:ascii="Tahoma" w:hAnsi="Tahoma" w:cs="Tahoma"/>
          <w:bCs/>
        </w:rPr>
        <w:t>con el promedio del tiempo que le hacía falta al actor al momento de entrar en vigencia la Ley 100 de 1993 -966 días-</w:t>
      </w:r>
      <w:r w:rsidR="00751DB9" w:rsidRPr="00377AF5">
        <w:rPr>
          <w:rFonts w:ascii="Tahoma" w:hAnsi="Tahoma" w:cs="Tahoma"/>
          <w:bCs/>
        </w:rPr>
        <w:t xml:space="preserve">, asciende a $284.841, mismo que al aplicarle la tasa de reemplazo </w:t>
      </w:r>
      <w:r w:rsidR="008F24F5" w:rsidRPr="00377AF5">
        <w:rPr>
          <w:rFonts w:ascii="Tahoma" w:hAnsi="Tahoma" w:cs="Tahoma"/>
          <w:bCs/>
        </w:rPr>
        <w:t>del 75%, establecido para las pensiones concedidas bajo la aludida normativa, arroja una primera mesada para el año 1996 de $213.631, que actualizada al 2010 equivale a $697.</w:t>
      </w:r>
      <w:r w:rsidR="00E90EAB" w:rsidRPr="00377AF5">
        <w:rPr>
          <w:rFonts w:ascii="Tahoma" w:hAnsi="Tahoma" w:cs="Tahoma"/>
          <w:bCs/>
        </w:rPr>
        <w:t>42</w:t>
      </w:r>
      <w:r w:rsidR="00200981" w:rsidRPr="00377AF5">
        <w:rPr>
          <w:rFonts w:ascii="Tahoma" w:hAnsi="Tahoma" w:cs="Tahoma"/>
          <w:bCs/>
        </w:rPr>
        <w:t>6</w:t>
      </w:r>
      <w:r w:rsidR="009F4C86" w:rsidRPr="00377AF5">
        <w:rPr>
          <w:rFonts w:ascii="Tahoma" w:hAnsi="Tahoma" w:cs="Tahoma"/>
          <w:bCs/>
        </w:rPr>
        <w:t>, tal como se observa en la liquidación que se pone de presente a los asistentes y que hará parte del acta que se levante con ocasión de la presente diligencia</w:t>
      </w:r>
      <w:r w:rsidR="00E90EAB" w:rsidRPr="00377AF5">
        <w:rPr>
          <w:rFonts w:ascii="Tahoma" w:hAnsi="Tahoma" w:cs="Tahoma"/>
          <w:bCs/>
        </w:rPr>
        <w:t xml:space="preserve">. </w:t>
      </w:r>
      <w:r w:rsidR="009F4C86" w:rsidRPr="00377AF5">
        <w:rPr>
          <w:rFonts w:ascii="Tahoma" w:hAnsi="Tahoma" w:cs="Tahoma"/>
          <w:bCs/>
        </w:rPr>
        <w:t xml:space="preserve">Así las cosas, </w:t>
      </w:r>
      <w:r w:rsidR="005B0959" w:rsidRPr="00377AF5">
        <w:rPr>
          <w:rFonts w:ascii="Tahoma" w:hAnsi="Tahoma" w:cs="Tahoma"/>
          <w:bCs/>
        </w:rPr>
        <w:t xml:space="preserve">de conformidad con lo preceptuado en el artículo 283 del Código General del Proceso, la Sala procedió a </w:t>
      </w:r>
      <w:r w:rsidR="00E90EAB" w:rsidRPr="00377AF5">
        <w:rPr>
          <w:rFonts w:ascii="Tahoma" w:hAnsi="Tahoma" w:cs="Tahoma"/>
          <w:bCs/>
        </w:rPr>
        <w:t>actualiza</w:t>
      </w:r>
      <w:r w:rsidR="005B0959" w:rsidRPr="00377AF5">
        <w:rPr>
          <w:rFonts w:ascii="Tahoma" w:hAnsi="Tahoma" w:cs="Tahoma"/>
          <w:bCs/>
        </w:rPr>
        <w:t xml:space="preserve">r el </w:t>
      </w:r>
      <w:r w:rsidR="00E90EAB" w:rsidRPr="00377AF5">
        <w:rPr>
          <w:rFonts w:ascii="Tahoma" w:hAnsi="Tahoma" w:cs="Tahoma"/>
          <w:bCs/>
        </w:rPr>
        <w:t xml:space="preserve">retroactivo </w:t>
      </w:r>
      <w:r w:rsidR="005B0959" w:rsidRPr="00377AF5">
        <w:rPr>
          <w:rFonts w:ascii="Tahoma" w:hAnsi="Tahoma" w:cs="Tahoma"/>
          <w:bCs/>
        </w:rPr>
        <w:t xml:space="preserve">adeudado </w:t>
      </w:r>
      <w:r w:rsidR="00E90EAB" w:rsidRPr="00377AF5">
        <w:rPr>
          <w:rFonts w:ascii="Tahoma" w:hAnsi="Tahoma" w:cs="Tahoma"/>
          <w:bCs/>
        </w:rPr>
        <w:t>al 31 de mayo de 2016</w:t>
      </w:r>
      <w:r w:rsidR="005B0959" w:rsidRPr="00377AF5">
        <w:rPr>
          <w:rFonts w:ascii="Tahoma" w:hAnsi="Tahoma" w:cs="Tahoma"/>
          <w:bCs/>
        </w:rPr>
        <w:t>, o</w:t>
      </w:r>
      <w:r w:rsidR="00E90EAB" w:rsidRPr="00377AF5">
        <w:rPr>
          <w:rFonts w:ascii="Tahoma" w:hAnsi="Tahoma" w:cs="Tahoma"/>
          <w:bCs/>
        </w:rPr>
        <w:t>bt</w:t>
      </w:r>
      <w:r w:rsidR="005B0959" w:rsidRPr="00377AF5">
        <w:rPr>
          <w:rFonts w:ascii="Tahoma" w:hAnsi="Tahoma" w:cs="Tahoma"/>
          <w:bCs/>
        </w:rPr>
        <w:t xml:space="preserve">eniendo </w:t>
      </w:r>
      <w:r w:rsidR="00E90EAB" w:rsidRPr="00377AF5">
        <w:rPr>
          <w:rFonts w:ascii="Tahoma" w:hAnsi="Tahoma" w:cs="Tahoma"/>
          <w:bCs/>
        </w:rPr>
        <w:t>un</w:t>
      </w:r>
      <w:r w:rsidR="009F4C86" w:rsidRPr="00377AF5">
        <w:rPr>
          <w:rFonts w:ascii="Tahoma" w:hAnsi="Tahoma" w:cs="Tahoma"/>
          <w:bCs/>
        </w:rPr>
        <w:t xml:space="preserve"> monto de</w:t>
      </w:r>
      <w:r w:rsidR="00E90EAB" w:rsidRPr="00377AF5">
        <w:rPr>
          <w:rFonts w:ascii="Tahoma" w:hAnsi="Tahoma" w:cs="Tahoma"/>
          <w:bCs/>
        </w:rPr>
        <w:t xml:space="preserve"> </w:t>
      </w:r>
      <w:r w:rsidR="004250C8" w:rsidRPr="00377AF5">
        <w:rPr>
          <w:rFonts w:ascii="Tahoma" w:hAnsi="Tahoma" w:cs="Tahoma"/>
          <w:bCs/>
        </w:rPr>
        <w:t>$</w:t>
      </w:r>
      <w:r w:rsidR="00200981" w:rsidRPr="00377AF5">
        <w:rPr>
          <w:rFonts w:ascii="Tahoma" w:hAnsi="Tahoma" w:cs="Tahoma"/>
          <w:bCs/>
        </w:rPr>
        <w:t>65.644.772,80</w:t>
      </w:r>
      <w:r w:rsidR="00F71D82" w:rsidRPr="00377AF5">
        <w:rPr>
          <w:rFonts w:ascii="Tahoma" w:hAnsi="Tahoma" w:cs="Tahoma"/>
          <w:bCs/>
        </w:rPr>
        <w:t>.</w:t>
      </w:r>
    </w:p>
    <w:p w14:paraId="31809306" w14:textId="77777777" w:rsidR="00E90EAB" w:rsidRPr="00377AF5" w:rsidRDefault="00E90EAB" w:rsidP="00377AF5">
      <w:pPr>
        <w:tabs>
          <w:tab w:val="left" w:pos="748"/>
        </w:tabs>
        <w:spacing w:line="360" w:lineRule="auto"/>
        <w:jc w:val="both"/>
        <w:rPr>
          <w:rFonts w:ascii="Tahoma" w:hAnsi="Tahoma" w:cs="Tahoma"/>
          <w:bCs/>
        </w:rPr>
      </w:pPr>
    </w:p>
    <w:p w14:paraId="5E85A8F2" w14:textId="5DE79904" w:rsidR="0086113F" w:rsidRPr="00377AF5" w:rsidRDefault="0086113F" w:rsidP="00377AF5">
      <w:pPr>
        <w:tabs>
          <w:tab w:val="left" w:pos="142"/>
        </w:tabs>
        <w:spacing w:line="276" w:lineRule="auto"/>
        <w:ind w:firstLine="709"/>
        <w:jc w:val="both"/>
        <w:rPr>
          <w:rFonts w:ascii="Tahoma" w:hAnsi="Tahoma" w:cs="Tahoma"/>
          <w:bCs/>
        </w:rPr>
      </w:pPr>
      <w:r w:rsidRPr="00377AF5">
        <w:rPr>
          <w:rFonts w:ascii="Tahoma" w:hAnsi="Tahoma" w:cs="Tahoma"/>
          <w:bCs/>
        </w:rPr>
        <w:t xml:space="preserve">En este punto es </w:t>
      </w:r>
      <w:r w:rsidR="000B1034" w:rsidRPr="00377AF5">
        <w:rPr>
          <w:rFonts w:ascii="Tahoma" w:hAnsi="Tahoma" w:cs="Tahoma"/>
          <w:bCs/>
        </w:rPr>
        <w:t>necesario precisar que de conformidad con el artículo 6º del Decreto 813 de 1994, correspondía al I.S.S. –hoy Colpensiones- sufragar la pensión reclamada al demandante en su calidad de beneficiario del régimen de transición, en razón a que a la entrada en vigencia de la Ley 100 de 1993 este se encontraba afiliado al régimen de prima media con prestaci</w:t>
      </w:r>
      <w:r w:rsidR="00E95142" w:rsidRPr="00377AF5">
        <w:rPr>
          <w:rFonts w:ascii="Tahoma" w:hAnsi="Tahoma" w:cs="Tahoma"/>
          <w:bCs/>
        </w:rPr>
        <w:t xml:space="preserve">ón definida, debiendo, por ende, tramitar ante el municipio de Pereira el </w:t>
      </w:r>
      <w:r w:rsidR="00E95142" w:rsidRPr="00377AF5">
        <w:rPr>
          <w:rFonts w:ascii="Tahoma" w:hAnsi="Tahoma" w:cs="Tahoma"/>
          <w:bCs/>
        </w:rPr>
        <w:lastRenderedPageBreak/>
        <w:t>cobro del respectivo bono pensional correspondiente al tiempo al que se hizo alusi</w:t>
      </w:r>
      <w:r w:rsidR="005B1ABE" w:rsidRPr="00377AF5">
        <w:rPr>
          <w:rFonts w:ascii="Tahoma" w:hAnsi="Tahoma" w:cs="Tahoma"/>
          <w:bCs/>
        </w:rPr>
        <w:t>ón previamente, como quiera que se encuentra plenamente reconocido por dicho ente territorial.</w:t>
      </w:r>
    </w:p>
    <w:p w14:paraId="48AF2C46" w14:textId="77777777" w:rsidR="0086113F" w:rsidRPr="00377AF5" w:rsidRDefault="0086113F" w:rsidP="00377AF5">
      <w:pPr>
        <w:tabs>
          <w:tab w:val="left" w:pos="748"/>
        </w:tabs>
        <w:spacing w:line="360" w:lineRule="auto"/>
        <w:jc w:val="both"/>
        <w:rPr>
          <w:rFonts w:ascii="Tahoma" w:hAnsi="Tahoma" w:cs="Tahoma"/>
          <w:bCs/>
        </w:rPr>
      </w:pPr>
    </w:p>
    <w:p w14:paraId="2C95181C" w14:textId="5EAC31F8" w:rsidR="00E90EAB" w:rsidRPr="00377AF5" w:rsidRDefault="00E90EAB" w:rsidP="00377AF5">
      <w:pPr>
        <w:spacing w:line="276" w:lineRule="auto"/>
        <w:jc w:val="both"/>
        <w:rPr>
          <w:rFonts w:ascii="Calibri" w:hAnsi="Calibri"/>
          <w:i/>
          <w:iCs/>
        </w:rPr>
      </w:pPr>
      <w:r w:rsidRPr="00377AF5">
        <w:rPr>
          <w:rFonts w:ascii="Tahoma" w:hAnsi="Tahoma" w:cs="Tahoma"/>
          <w:bCs/>
        </w:rPr>
        <w:tab/>
      </w:r>
      <w:r w:rsidR="00910B0C" w:rsidRPr="00377AF5">
        <w:rPr>
          <w:rFonts w:ascii="Tahoma" w:hAnsi="Tahoma" w:cs="Tahoma"/>
          <w:bCs/>
        </w:rPr>
        <w:t>Finalmente, se ordenará que al aludido valor se descuente la cantidad reconocida por concepto de indemnización sustitutiva de la pensión de vejez</w:t>
      </w:r>
      <w:r w:rsidR="00B62822" w:rsidRPr="00377AF5">
        <w:rPr>
          <w:rFonts w:ascii="Tahoma" w:hAnsi="Tahoma" w:cs="Tahoma"/>
          <w:bCs/>
        </w:rPr>
        <w:t xml:space="preserve"> a través de la Resolución No. 6825 de 1997 (</w:t>
      </w:r>
      <w:proofErr w:type="spellStart"/>
      <w:r w:rsidR="00B62822" w:rsidRPr="00377AF5">
        <w:rPr>
          <w:rFonts w:ascii="Tahoma" w:hAnsi="Tahoma" w:cs="Tahoma"/>
          <w:bCs/>
        </w:rPr>
        <w:t>fl</w:t>
      </w:r>
      <w:proofErr w:type="spellEnd"/>
      <w:r w:rsidR="00B62822" w:rsidRPr="00377AF5">
        <w:rPr>
          <w:rFonts w:ascii="Tahoma" w:hAnsi="Tahoma" w:cs="Tahoma"/>
          <w:bCs/>
        </w:rPr>
        <w:t>. 32)</w:t>
      </w:r>
      <w:r w:rsidR="00910B0C" w:rsidRPr="00377AF5">
        <w:rPr>
          <w:rFonts w:ascii="Tahoma" w:hAnsi="Tahoma" w:cs="Tahoma"/>
          <w:bCs/>
        </w:rPr>
        <w:t>, pero a di</w:t>
      </w:r>
      <w:r w:rsidR="001C09E9" w:rsidRPr="00377AF5">
        <w:rPr>
          <w:rFonts w:ascii="Tahoma" w:hAnsi="Tahoma" w:cs="Tahoma"/>
          <w:bCs/>
        </w:rPr>
        <w:t>ferencia de la orden impartida en primer grad</w:t>
      </w:r>
      <w:r w:rsidR="006909B2" w:rsidRPr="00377AF5">
        <w:rPr>
          <w:rFonts w:ascii="Tahoma" w:hAnsi="Tahoma" w:cs="Tahoma"/>
          <w:bCs/>
        </w:rPr>
        <w:t xml:space="preserve">o, se </w:t>
      </w:r>
      <w:r w:rsidR="00B62822" w:rsidRPr="00377AF5">
        <w:rPr>
          <w:rFonts w:ascii="Tahoma" w:hAnsi="Tahoma" w:cs="Tahoma"/>
          <w:bCs/>
        </w:rPr>
        <w:t xml:space="preserve">dispondrá que </w:t>
      </w:r>
      <w:r w:rsidR="006909B2" w:rsidRPr="00377AF5">
        <w:rPr>
          <w:rFonts w:ascii="Tahoma" w:hAnsi="Tahoma" w:cs="Tahoma"/>
          <w:bCs/>
        </w:rPr>
        <w:t>dicho valor sea indexado a</w:t>
      </w:r>
      <w:r w:rsidR="00CD4DD8" w:rsidRPr="00377AF5">
        <w:rPr>
          <w:rFonts w:ascii="Tahoma" w:hAnsi="Tahoma" w:cs="Tahoma"/>
          <w:bCs/>
        </w:rPr>
        <w:t>l momento del pago efectivo de</w:t>
      </w:r>
      <w:r w:rsidR="006909B2" w:rsidRPr="00377AF5">
        <w:rPr>
          <w:rFonts w:ascii="Tahoma" w:hAnsi="Tahoma" w:cs="Tahoma"/>
          <w:bCs/>
        </w:rPr>
        <w:t>l retroactivo</w:t>
      </w:r>
      <w:r w:rsidR="00CD4DD8" w:rsidRPr="00377AF5">
        <w:rPr>
          <w:rFonts w:ascii="Tahoma" w:hAnsi="Tahoma" w:cs="Tahoma"/>
          <w:bCs/>
        </w:rPr>
        <w:t xml:space="preserve">, y que al 31 de mayo de los cursantes asciende a </w:t>
      </w:r>
      <w:r w:rsidR="004250C8" w:rsidRPr="00377AF5">
        <w:rPr>
          <w:rFonts w:ascii="Tahoma" w:hAnsi="Tahoma" w:cs="Tahoma"/>
          <w:bCs/>
        </w:rPr>
        <w:t>$8.936.317,46</w:t>
      </w:r>
      <w:r w:rsidR="006909B2" w:rsidRPr="00377AF5">
        <w:rPr>
          <w:rFonts w:ascii="Tahoma" w:hAnsi="Tahoma" w:cs="Tahoma"/>
          <w:bCs/>
        </w:rPr>
        <w:t>; siendo del caso modificar en ese sentido el ordinal cuarto de la sentencia objeto de consulta.</w:t>
      </w:r>
      <w:r w:rsidR="001C09E9" w:rsidRPr="00377AF5">
        <w:rPr>
          <w:rFonts w:ascii="Tahoma" w:hAnsi="Tahoma" w:cs="Tahoma"/>
          <w:bCs/>
        </w:rPr>
        <w:t xml:space="preserve"> </w:t>
      </w:r>
    </w:p>
    <w:p w14:paraId="62D04AB4" w14:textId="77777777" w:rsidR="006909B2" w:rsidRPr="00377AF5" w:rsidRDefault="006909B2" w:rsidP="00377AF5">
      <w:pPr>
        <w:tabs>
          <w:tab w:val="left" w:pos="748"/>
        </w:tabs>
        <w:spacing w:line="360" w:lineRule="auto"/>
        <w:jc w:val="both"/>
        <w:rPr>
          <w:rFonts w:ascii="Tahoma" w:hAnsi="Tahoma" w:cs="Tahoma"/>
          <w:bCs/>
        </w:rPr>
      </w:pPr>
    </w:p>
    <w:p w14:paraId="217EECCA" w14:textId="6D6DDF02" w:rsidR="00B463B2" w:rsidRPr="00377AF5" w:rsidRDefault="006909B2" w:rsidP="00377AF5">
      <w:pPr>
        <w:tabs>
          <w:tab w:val="left" w:pos="748"/>
        </w:tabs>
        <w:spacing w:line="276" w:lineRule="auto"/>
        <w:jc w:val="both"/>
        <w:rPr>
          <w:rFonts w:ascii="Tahoma" w:hAnsi="Tahoma" w:cs="Tahoma"/>
          <w:bCs/>
        </w:rPr>
      </w:pPr>
      <w:r w:rsidRPr="00377AF5">
        <w:rPr>
          <w:rFonts w:ascii="Tahoma" w:hAnsi="Tahoma" w:cs="Tahoma"/>
          <w:bCs/>
        </w:rPr>
        <w:tab/>
        <w:t>Las costas en esta instancia correrán a cargo de la entidad demandada en un 100% y se liquidarán por la Secretaría del Juzgado de origen</w:t>
      </w:r>
      <w:r w:rsidR="00B62822" w:rsidRPr="00377AF5">
        <w:rPr>
          <w:rFonts w:ascii="Tahoma" w:hAnsi="Tahoma" w:cs="Tahoma"/>
          <w:bCs/>
        </w:rPr>
        <w:t>.</w:t>
      </w:r>
      <w:r w:rsidR="00E90EAB" w:rsidRPr="00377AF5">
        <w:rPr>
          <w:rFonts w:ascii="Tahoma" w:hAnsi="Tahoma" w:cs="Tahoma"/>
          <w:bCs/>
        </w:rPr>
        <w:t xml:space="preserve"> </w:t>
      </w:r>
      <w:r w:rsidR="00E90EAB" w:rsidRPr="00377AF5">
        <w:rPr>
          <w:rFonts w:ascii="Tahoma" w:hAnsi="Tahoma" w:cs="Tahoma"/>
          <w:bCs/>
        </w:rPr>
        <w:tab/>
      </w:r>
    </w:p>
    <w:p w14:paraId="626BF62F" w14:textId="77777777" w:rsidR="006909B2" w:rsidRPr="00377AF5" w:rsidRDefault="006909B2" w:rsidP="00377AF5">
      <w:pPr>
        <w:tabs>
          <w:tab w:val="left" w:pos="748"/>
        </w:tabs>
        <w:spacing w:line="360" w:lineRule="auto"/>
        <w:jc w:val="both"/>
        <w:rPr>
          <w:rFonts w:ascii="Tahoma" w:hAnsi="Tahoma" w:cs="Tahoma"/>
          <w:bCs/>
        </w:rPr>
      </w:pPr>
    </w:p>
    <w:p w14:paraId="36838073" w14:textId="77777777" w:rsidR="009A4059" w:rsidRPr="00377AF5" w:rsidRDefault="009A4059" w:rsidP="00377AF5">
      <w:pPr>
        <w:pStyle w:val="Sangradetextonormal"/>
        <w:spacing w:line="276" w:lineRule="auto"/>
      </w:pPr>
      <w:r w:rsidRPr="00377AF5">
        <w:t xml:space="preserve">En mérito </w:t>
      </w:r>
      <w:r w:rsidR="006E2DDE" w:rsidRPr="00377AF5">
        <w:t>de lo</w:t>
      </w:r>
      <w:r w:rsidRPr="00377AF5">
        <w:t xml:space="preserve"> expuesto, el </w:t>
      </w:r>
      <w:r w:rsidR="00BC62EF" w:rsidRPr="00377AF5">
        <w:rPr>
          <w:b/>
        </w:rPr>
        <w:t>Tribunal Superior del Distrito Judicial de Pereira (Risaralda)</w:t>
      </w:r>
      <w:r w:rsidR="00BC62EF" w:rsidRPr="00377AF5">
        <w:t xml:space="preserve">, </w:t>
      </w:r>
      <w:r w:rsidR="00BC62EF" w:rsidRPr="00377AF5">
        <w:rPr>
          <w:b/>
        </w:rPr>
        <w:t>Sala Laboral</w:t>
      </w:r>
      <w:r w:rsidR="00BC62EF" w:rsidRPr="00377AF5">
        <w:t xml:space="preserve">, administrando justicia </w:t>
      </w:r>
      <w:r w:rsidRPr="00377AF5">
        <w:t xml:space="preserve">en </w:t>
      </w:r>
      <w:r w:rsidR="00BC62EF" w:rsidRPr="00377AF5">
        <w:t xml:space="preserve">nombre </w:t>
      </w:r>
      <w:r w:rsidRPr="00377AF5">
        <w:t>de la República y por autoridad de la Ley,</w:t>
      </w:r>
    </w:p>
    <w:p w14:paraId="6F6671D3" w14:textId="77777777" w:rsidR="00377AF5" w:rsidRPr="00377AF5" w:rsidRDefault="00377AF5" w:rsidP="00377AF5">
      <w:pPr>
        <w:pStyle w:val="Sangradetextonormal"/>
      </w:pPr>
    </w:p>
    <w:p w14:paraId="4E1529E6" w14:textId="77777777" w:rsidR="009A4059" w:rsidRPr="00377AF5" w:rsidRDefault="009A4059" w:rsidP="00377AF5">
      <w:pPr>
        <w:widowControl w:val="0"/>
        <w:autoSpaceDE w:val="0"/>
        <w:autoSpaceDN w:val="0"/>
        <w:adjustRightInd w:val="0"/>
        <w:spacing w:line="276" w:lineRule="auto"/>
        <w:jc w:val="center"/>
        <w:rPr>
          <w:rFonts w:ascii="Tahoma" w:hAnsi="Tahoma" w:cs="Tahoma"/>
          <w:b/>
        </w:rPr>
      </w:pPr>
      <w:r w:rsidRPr="00377AF5">
        <w:rPr>
          <w:rFonts w:ascii="Tahoma" w:hAnsi="Tahoma" w:cs="Tahoma"/>
          <w:b/>
        </w:rPr>
        <w:t>RESUELVE:</w:t>
      </w:r>
    </w:p>
    <w:p w14:paraId="1CF53C64" w14:textId="77777777" w:rsidR="009A4059" w:rsidRPr="00377AF5" w:rsidRDefault="009A4059" w:rsidP="00377AF5">
      <w:pPr>
        <w:widowControl w:val="0"/>
        <w:autoSpaceDE w:val="0"/>
        <w:autoSpaceDN w:val="0"/>
        <w:adjustRightInd w:val="0"/>
        <w:spacing w:line="360" w:lineRule="auto"/>
        <w:jc w:val="both"/>
        <w:rPr>
          <w:rFonts w:ascii="Tahoma" w:hAnsi="Tahoma" w:cs="Tahoma"/>
        </w:rPr>
      </w:pPr>
    </w:p>
    <w:p w14:paraId="128E43CC" w14:textId="7E67F9F4" w:rsidR="003A727A" w:rsidRPr="00377AF5" w:rsidRDefault="00960114" w:rsidP="00377AF5">
      <w:pPr>
        <w:spacing w:line="276" w:lineRule="auto"/>
        <w:ind w:firstLine="708"/>
        <w:jc w:val="both"/>
        <w:rPr>
          <w:rFonts w:ascii="Tahoma" w:hAnsi="Tahoma" w:cs="Tahoma"/>
        </w:rPr>
      </w:pPr>
      <w:r w:rsidRPr="00377AF5">
        <w:rPr>
          <w:rFonts w:ascii="Tahoma" w:hAnsi="Tahoma" w:cs="Tahoma"/>
          <w:b/>
          <w:u w:val="single"/>
        </w:rPr>
        <w:t>PRIMERO</w:t>
      </w:r>
      <w:r w:rsidR="009A4059" w:rsidRPr="00377AF5">
        <w:rPr>
          <w:rFonts w:ascii="Tahoma" w:hAnsi="Tahoma" w:cs="Tahoma"/>
        </w:rPr>
        <w:t xml:space="preserve">.- </w:t>
      </w:r>
      <w:r w:rsidR="00B62822" w:rsidRPr="00377AF5">
        <w:rPr>
          <w:rFonts w:ascii="Tahoma" w:hAnsi="Tahoma" w:cs="Tahoma"/>
        </w:rPr>
        <w:t xml:space="preserve">Modificar </w:t>
      </w:r>
      <w:r w:rsidR="006909B2" w:rsidRPr="00377AF5">
        <w:rPr>
          <w:rFonts w:ascii="Tahoma" w:hAnsi="Tahoma" w:cs="Tahoma"/>
        </w:rPr>
        <w:t xml:space="preserve">el ordinal </w:t>
      </w:r>
      <w:r w:rsidR="00B62822" w:rsidRPr="00377AF5">
        <w:rPr>
          <w:rFonts w:ascii="Tahoma" w:hAnsi="Tahoma" w:cs="Tahoma"/>
        </w:rPr>
        <w:t>cuarto de la sentencia proferida el 5 de marzo de 2015 por el Juzgado Primero Laboral del Circuito de Per</w:t>
      </w:r>
      <w:r w:rsidR="005B0959" w:rsidRPr="00377AF5">
        <w:rPr>
          <w:rFonts w:ascii="Tahoma" w:hAnsi="Tahoma" w:cs="Tahoma"/>
        </w:rPr>
        <w:t>eira, dentro del proceso adelantado por el señor Laureano Gómez Salazar en contra de la Administradora Colombiana de Pensiones – Colpensiones, el cual quedará así:</w:t>
      </w:r>
    </w:p>
    <w:p w14:paraId="2A00DE96" w14:textId="77777777" w:rsidR="005B0959" w:rsidRPr="00377AF5" w:rsidRDefault="005B0959" w:rsidP="00377AF5">
      <w:pPr>
        <w:spacing w:line="360" w:lineRule="auto"/>
        <w:ind w:firstLine="708"/>
        <w:jc w:val="both"/>
        <w:rPr>
          <w:rFonts w:ascii="Tahoma" w:hAnsi="Tahoma" w:cs="Tahoma"/>
        </w:rPr>
      </w:pPr>
    </w:p>
    <w:p w14:paraId="75ED0132" w14:textId="321F32E8" w:rsidR="005B0959" w:rsidRPr="00377AF5" w:rsidRDefault="005B0959" w:rsidP="00377AF5">
      <w:pPr>
        <w:spacing w:line="276" w:lineRule="auto"/>
        <w:ind w:left="993" w:right="817"/>
        <w:jc w:val="both"/>
        <w:rPr>
          <w:rFonts w:ascii="Arial Narrow" w:hAnsi="Arial Narrow" w:cs="Tahoma"/>
        </w:rPr>
      </w:pPr>
      <w:r w:rsidRPr="00377AF5">
        <w:rPr>
          <w:rFonts w:ascii="Arial Narrow" w:hAnsi="Arial Narrow" w:cs="Tahoma"/>
        </w:rPr>
        <w:t xml:space="preserve">“Cuarto: Condenar a la administradora colombiana de pensiones </w:t>
      </w:r>
      <w:r w:rsidR="00640249" w:rsidRPr="00377AF5">
        <w:rPr>
          <w:rFonts w:ascii="Arial Narrow" w:hAnsi="Arial Narrow" w:cs="Tahoma"/>
        </w:rPr>
        <w:t xml:space="preserve">Colpensiones </w:t>
      </w:r>
      <w:r w:rsidRPr="00377AF5">
        <w:rPr>
          <w:rFonts w:ascii="Arial Narrow" w:hAnsi="Arial Narrow" w:cs="Tahoma"/>
        </w:rPr>
        <w:t xml:space="preserve">para que a través de su representante legal cancele a favor del señor Laureano Gómez Salazar la suma de </w:t>
      </w:r>
      <w:r w:rsidR="004250C8" w:rsidRPr="00377AF5">
        <w:rPr>
          <w:rFonts w:ascii="Arial Narrow" w:hAnsi="Arial Narrow" w:cs="Tahoma"/>
          <w:bCs/>
        </w:rPr>
        <w:t>$65.644.772,80</w:t>
      </w:r>
      <w:r w:rsidRPr="00377AF5">
        <w:rPr>
          <w:rFonts w:ascii="Arial Narrow" w:hAnsi="Arial Narrow" w:cs="Tahoma"/>
        </w:rPr>
        <w:t xml:space="preserve">, por concepto de </w:t>
      </w:r>
      <w:r w:rsidR="00CD4DD8" w:rsidRPr="00377AF5">
        <w:rPr>
          <w:rFonts w:ascii="Arial Narrow" w:hAnsi="Arial Narrow" w:cs="Tahoma"/>
        </w:rPr>
        <w:t xml:space="preserve">retroactivo pensional causado entre el 22 de marzo de 2010 y el 31 de mayo de 2016, suma a la cual se deberá descontar </w:t>
      </w:r>
      <w:r w:rsidR="00640249" w:rsidRPr="00377AF5">
        <w:rPr>
          <w:rFonts w:ascii="Arial Narrow" w:hAnsi="Arial Narrow" w:cs="Tahoma"/>
        </w:rPr>
        <w:t xml:space="preserve">el valor de la </w:t>
      </w:r>
      <w:r w:rsidR="00CD4DD8" w:rsidRPr="00377AF5">
        <w:rPr>
          <w:rFonts w:ascii="Arial Narrow" w:hAnsi="Arial Narrow" w:cs="Tahoma"/>
        </w:rPr>
        <w:t xml:space="preserve">indemnización sustitutiva de la pensión de vejez </w:t>
      </w:r>
      <w:r w:rsidR="00640249" w:rsidRPr="00377AF5">
        <w:rPr>
          <w:rFonts w:ascii="Arial Narrow" w:hAnsi="Arial Narrow" w:cs="Tahoma"/>
        </w:rPr>
        <w:t xml:space="preserve">debidamente </w:t>
      </w:r>
      <w:r w:rsidR="00CD4DD8" w:rsidRPr="00377AF5">
        <w:rPr>
          <w:rFonts w:ascii="Arial Narrow" w:hAnsi="Arial Narrow" w:cs="Tahoma"/>
        </w:rPr>
        <w:t>indexada</w:t>
      </w:r>
      <w:r w:rsidR="00640249" w:rsidRPr="00377AF5">
        <w:rPr>
          <w:rFonts w:ascii="Arial Narrow" w:hAnsi="Arial Narrow" w:cs="Tahoma"/>
        </w:rPr>
        <w:t>, y que al 31 de mayo de 2016 asciende a</w:t>
      </w:r>
      <w:r w:rsidR="004250C8" w:rsidRPr="00377AF5">
        <w:rPr>
          <w:rFonts w:ascii="Arial Narrow" w:hAnsi="Arial Narrow" w:cs="Tahoma"/>
        </w:rPr>
        <w:t xml:space="preserve"> $8.936.317,46</w:t>
      </w:r>
      <w:r w:rsidR="00640249" w:rsidRPr="00377AF5">
        <w:rPr>
          <w:rFonts w:ascii="Arial Narrow" w:hAnsi="Arial Narrow" w:cs="Tahoma"/>
        </w:rPr>
        <w:t xml:space="preserve">, quedando un saldo insoluto a favor del demandante de </w:t>
      </w:r>
      <w:r w:rsidR="004250C8" w:rsidRPr="00377AF5">
        <w:rPr>
          <w:rFonts w:ascii="Arial Narrow" w:hAnsi="Arial Narrow" w:cs="Tahoma"/>
        </w:rPr>
        <w:t>$56.708.455,34</w:t>
      </w:r>
      <w:r w:rsidR="00640249" w:rsidRPr="00377AF5">
        <w:rPr>
          <w:rFonts w:ascii="Arial Narrow" w:hAnsi="Arial Narrow" w:cs="Tahoma"/>
        </w:rPr>
        <w:t>.”</w:t>
      </w:r>
    </w:p>
    <w:p w14:paraId="76CBA7AC" w14:textId="77777777" w:rsidR="001366A4" w:rsidRPr="00377AF5" w:rsidRDefault="001366A4" w:rsidP="00377AF5">
      <w:pPr>
        <w:spacing w:line="360" w:lineRule="auto"/>
        <w:ind w:firstLine="709"/>
        <w:jc w:val="both"/>
        <w:rPr>
          <w:rFonts w:ascii="Tahoma" w:hAnsi="Tahoma" w:cs="Tahoma"/>
        </w:rPr>
      </w:pPr>
    </w:p>
    <w:p w14:paraId="75493962" w14:textId="1EE9641D" w:rsidR="00013C46" w:rsidRPr="00377AF5" w:rsidRDefault="00D35B73" w:rsidP="00377AF5">
      <w:pPr>
        <w:spacing w:line="276" w:lineRule="auto"/>
        <w:ind w:firstLine="709"/>
        <w:jc w:val="both"/>
        <w:rPr>
          <w:rFonts w:ascii="Tahoma" w:hAnsi="Tahoma" w:cs="Tahoma"/>
        </w:rPr>
      </w:pPr>
      <w:r w:rsidRPr="00377AF5">
        <w:rPr>
          <w:rFonts w:ascii="Tahoma" w:hAnsi="Tahoma" w:cs="Tahoma"/>
          <w:b/>
          <w:u w:val="single"/>
        </w:rPr>
        <w:t>SEGUNDO</w:t>
      </w:r>
      <w:r w:rsidR="003F0B87" w:rsidRPr="00377AF5">
        <w:rPr>
          <w:rFonts w:ascii="Tahoma" w:hAnsi="Tahoma" w:cs="Tahoma"/>
          <w:b/>
        </w:rPr>
        <w:t>.-</w:t>
      </w:r>
      <w:r w:rsidR="00013C46" w:rsidRPr="00377AF5">
        <w:rPr>
          <w:rFonts w:ascii="Tahoma" w:hAnsi="Tahoma" w:cs="Tahoma"/>
          <w:b/>
        </w:rPr>
        <w:t xml:space="preserve"> </w:t>
      </w:r>
      <w:r w:rsidR="00640249" w:rsidRPr="00377AF5">
        <w:rPr>
          <w:rFonts w:ascii="Tahoma" w:hAnsi="Tahoma" w:cs="Tahoma"/>
          <w:b/>
        </w:rPr>
        <w:t xml:space="preserve">CONFIRMAR </w:t>
      </w:r>
      <w:r w:rsidR="00640249" w:rsidRPr="00377AF5">
        <w:rPr>
          <w:rFonts w:ascii="Tahoma" w:hAnsi="Tahoma" w:cs="Tahoma"/>
        </w:rPr>
        <w:t>en todo lo demás la sentencia de primer grado.</w:t>
      </w:r>
    </w:p>
    <w:p w14:paraId="00CE525C" w14:textId="77777777" w:rsidR="009C6F15" w:rsidRPr="00377AF5" w:rsidRDefault="009C6F15" w:rsidP="00377AF5">
      <w:pPr>
        <w:spacing w:line="360" w:lineRule="auto"/>
        <w:ind w:firstLine="709"/>
        <w:jc w:val="both"/>
        <w:rPr>
          <w:rFonts w:ascii="Tahoma" w:hAnsi="Tahoma" w:cs="Tahoma"/>
          <w:b/>
        </w:rPr>
      </w:pPr>
    </w:p>
    <w:p w14:paraId="5ABAC242" w14:textId="40509978" w:rsidR="00A73810" w:rsidRPr="00377AF5" w:rsidRDefault="00640249" w:rsidP="00377AF5">
      <w:pPr>
        <w:spacing w:line="276" w:lineRule="auto"/>
        <w:ind w:firstLine="709"/>
        <w:jc w:val="both"/>
        <w:rPr>
          <w:rFonts w:ascii="Tahoma" w:hAnsi="Tahoma" w:cs="Tahoma"/>
          <w:b/>
        </w:rPr>
      </w:pPr>
      <w:r w:rsidRPr="00377AF5">
        <w:rPr>
          <w:rFonts w:ascii="Tahoma" w:hAnsi="Tahoma" w:cs="Tahoma"/>
          <w:b/>
          <w:u w:val="single"/>
        </w:rPr>
        <w:t>TERCERO</w:t>
      </w:r>
      <w:r w:rsidRPr="00377AF5">
        <w:rPr>
          <w:rFonts w:ascii="Tahoma" w:hAnsi="Tahoma" w:cs="Tahoma"/>
          <w:b/>
        </w:rPr>
        <w:t xml:space="preserve">.- CONDENAR </w:t>
      </w:r>
      <w:r w:rsidRPr="00377AF5">
        <w:rPr>
          <w:rFonts w:ascii="Tahoma" w:hAnsi="Tahoma" w:cs="Tahoma"/>
        </w:rPr>
        <w:t>a la Administradora Colombiana de Pensiones al pago de las costas procesales a favor del demandante en un 100%. Liquídense por la Secretaría del Juzgado de origen.</w:t>
      </w:r>
    </w:p>
    <w:p w14:paraId="0DA3CEFD" w14:textId="77777777" w:rsidR="00640249" w:rsidRPr="00377AF5" w:rsidRDefault="00640249" w:rsidP="00377AF5">
      <w:pPr>
        <w:spacing w:line="276" w:lineRule="auto"/>
        <w:ind w:firstLine="709"/>
        <w:jc w:val="both"/>
        <w:rPr>
          <w:rFonts w:ascii="Tahoma" w:hAnsi="Tahoma" w:cs="Tahoma"/>
          <w:b/>
        </w:rPr>
      </w:pPr>
    </w:p>
    <w:p w14:paraId="541C2A48" w14:textId="77777777" w:rsidR="00377AF5" w:rsidRPr="00377AF5" w:rsidRDefault="00377AF5" w:rsidP="00377AF5">
      <w:pPr>
        <w:spacing w:line="276" w:lineRule="auto"/>
        <w:ind w:firstLine="709"/>
        <w:jc w:val="both"/>
        <w:rPr>
          <w:rFonts w:ascii="Tahoma" w:hAnsi="Tahoma" w:cs="Tahoma"/>
          <w:b/>
        </w:rPr>
      </w:pPr>
    </w:p>
    <w:p w14:paraId="3A42985B" w14:textId="77777777" w:rsidR="009A4059" w:rsidRPr="00377AF5" w:rsidRDefault="009A4059" w:rsidP="00377AF5">
      <w:pPr>
        <w:widowControl w:val="0"/>
        <w:autoSpaceDE w:val="0"/>
        <w:autoSpaceDN w:val="0"/>
        <w:adjustRightInd w:val="0"/>
        <w:spacing w:line="276" w:lineRule="auto"/>
        <w:jc w:val="both"/>
        <w:rPr>
          <w:rFonts w:ascii="Tahoma" w:hAnsi="Tahoma" w:cs="Tahoma"/>
          <w:b/>
          <w:bCs/>
        </w:rPr>
      </w:pPr>
      <w:r w:rsidRPr="00377AF5">
        <w:rPr>
          <w:rFonts w:ascii="Tahoma" w:hAnsi="Tahoma" w:cs="Tahoma"/>
        </w:rPr>
        <w:tab/>
      </w:r>
      <w:r w:rsidR="00FB2BDC" w:rsidRPr="00377AF5">
        <w:rPr>
          <w:rFonts w:ascii="Tahoma" w:hAnsi="Tahoma" w:cs="Tahoma"/>
          <w:b/>
          <w:bCs/>
        </w:rPr>
        <w:t>Notificación surtida en estrados</w:t>
      </w:r>
      <w:r w:rsidRPr="00377AF5">
        <w:rPr>
          <w:rFonts w:ascii="Tahoma" w:hAnsi="Tahoma" w:cs="Tahoma"/>
          <w:b/>
          <w:bCs/>
        </w:rPr>
        <w:t>.</w:t>
      </w:r>
    </w:p>
    <w:p w14:paraId="27DBB580" w14:textId="77777777" w:rsidR="009A4059" w:rsidRPr="00377AF5" w:rsidRDefault="009A4059" w:rsidP="00377AF5">
      <w:pPr>
        <w:widowControl w:val="0"/>
        <w:autoSpaceDE w:val="0"/>
        <w:autoSpaceDN w:val="0"/>
        <w:adjustRightInd w:val="0"/>
        <w:spacing w:line="276" w:lineRule="auto"/>
        <w:jc w:val="both"/>
        <w:rPr>
          <w:rFonts w:ascii="Tahoma" w:hAnsi="Tahoma" w:cs="Tahoma"/>
          <w:b/>
          <w:bCs/>
        </w:rPr>
      </w:pPr>
    </w:p>
    <w:p w14:paraId="578EF4FB" w14:textId="77777777" w:rsidR="00377AF5" w:rsidRPr="00377AF5" w:rsidRDefault="00377AF5" w:rsidP="00377AF5">
      <w:pPr>
        <w:widowControl w:val="0"/>
        <w:autoSpaceDE w:val="0"/>
        <w:autoSpaceDN w:val="0"/>
        <w:adjustRightInd w:val="0"/>
        <w:spacing w:line="276" w:lineRule="auto"/>
        <w:jc w:val="both"/>
        <w:rPr>
          <w:rFonts w:ascii="Tahoma" w:hAnsi="Tahoma" w:cs="Tahoma"/>
          <w:b/>
          <w:bCs/>
        </w:rPr>
      </w:pPr>
    </w:p>
    <w:p w14:paraId="32CEAC31" w14:textId="77777777" w:rsidR="009A4059" w:rsidRPr="00377AF5" w:rsidRDefault="00FB2BDC" w:rsidP="00377AF5">
      <w:pPr>
        <w:widowControl w:val="0"/>
        <w:autoSpaceDE w:val="0"/>
        <w:autoSpaceDN w:val="0"/>
        <w:adjustRightInd w:val="0"/>
        <w:spacing w:line="276" w:lineRule="auto"/>
        <w:ind w:firstLine="708"/>
        <w:jc w:val="both"/>
        <w:rPr>
          <w:rFonts w:ascii="Tahoma" w:hAnsi="Tahoma" w:cs="Tahoma"/>
        </w:rPr>
      </w:pPr>
      <w:r w:rsidRPr="00377AF5">
        <w:rPr>
          <w:rFonts w:ascii="Tahoma" w:hAnsi="Tahoma" w:cs="Tahoma"/>
          <w:b/>
        </w:rPr>
        <w:t>Cúmplase</w:t>
      </w:r>
      <w:r w:rsidRPr="00377AF5">
        <w:rPr>
          <w:rFonts w:ascii="Tahoma" w:hAnsi="Tahoma" w:cs="Tahoma"/>
        </w:rPr>
        <w:t xml:space="preserve"> </w:t>
      </w:r>
      <w:r w:rsidR="009A4059" w:rsidRPr="00377AF5">
        <w:rPr>
          <w:rFonts w:ascii="Tahoma" w:hAnsi="Tahoma" w:cs="Tahoma"/>
        </w:rPr>
        <w:t xml:space="preserve">y </w:t>
      </w:r>
      <w:r w:rsidRPr="00377AF5">
        <w:rPr>
          <w:rFonts w:ascii="Tahoma" w:hAnsi="Tahoma" w:cs="Tahoma"/>
          <w:b/>
        </w:rPr>
        <w:t>devuélvase</w:t>
      </w:r>
      <w:r w:rsidRPr="00377AF5">
        <w:rPr>
          <w:rFonts w:ascii="Tahoma" w:hAnsi="Tahoma" w:cs="Tahoma"/>
        </w:rPr>
        <w:t xml:space="preserve"> </w:t>
      </w:r>
      <w:r w:rsidR="009A4059" w:rsidRPr="00377AF5">
        <w:rPr>
          <w:rFonts w:ascii="Tahoma" w:hAnsi="Tahoma" w:cs="Tahoma"/>
        </w:rPr>
        <w:t>el expediente al Juzgado de origen.</w:t>
      </w:r>
    </w:p>
    <w:p w14:paraId="3DB0B296" w14:textId="77777777" w:rsidR="009A4059" w:rsidRPr="00377AF5" w:rsidRDefault="009A4059" w:rsidP="000F3C74">
      <w:pPr>
        <w:widowControl w:val="0"/>
        <w:autoSpaceDE w:val="0"/>
        <w:autoSpaceDN w:val="0"/>
        <w:adjustRightInd w:val="0"/>
        <w:spacing w:line="276" w:lineRule="auto"/>
        <w:jc w:val="both"/>
        <w:rPr>
          <w:rFonts w:ascii="Tahoma" w:hAnsi="Tahoma" w:cs="Tahoma"/>
        </w:rPr>
      </w:pPr>
    </w:p>
    <w:p w14:paraId="22591F72" w14:textId="77777777" w:rsidR="00377AF5" w:rsidRPr="00377AF5" w:rsidRDefault="00377AF5" w:rsidP="000F3C74">
      <w:pPr>
        <w:widowControl w:val="0"/>
        <w:autoSpaceDE w:val="0"/>
        <w:autoSpaceDN w:val="0"/>
        <w:adjustRightInd w:val="0"/>
        <w:spacing w:line="276" w:lineRule="auto"/>
        <w:jc w:val="both"/>
        <w:rPr>
          <w:rFonts w:ascii="Tahoma" w:hAnsi="Tahoma" w:cs="Tahoma"/>
        </w:rPr>
      </w:pPr>
    </w:p>
    <w:p w14:paraId="4AB1ED27" w14:textId="77777777" w:rsidR="009A4059" w:rsidRPr="00335BD8" w:rsidRDefault="009A4059" w:rsidP="000F3C74">
      <w:pPr>
        <w:spacing w:line="276" w:lineRule="auto"/>
        <w:ind w:firstLine="708"/>
        <w:jc w:val="both"/>
        <w:rPr>
          <w:rFonts w:ascii="Tahoma" w:hAnsi="Tahoma" w:cs="Tahoma"/>
          <w:color w:val="FFFFFF" w:themeColor="background1"/>
        </w:rPr>
      </w:pPr>
      <w:r w:rsidRPr="00335BD8">
        <w:rPr>
          <w:rFonts w:ascii="Tahoma" w:hAnsi="Tahoma" w:cs="Tahoma"/>
          <w:color w:val="FFFFFF" w:themeColor="background1"/>
        </w:rPr>
        <w:lastRenderedPageBreak/>
        <w:t>L</w:t>
      </w:r>
      <w:r w:rsidR="004A0AAF" w:rsidRPr="00335BD8">
        <w:rPr>
          <w:rFonts w:ascii="Tahoma" w:hAnsi="Tahoma" w:cs="Tahoma"/>
          <w:color w:val="FFFFFF" w:themeColor="background1"/>
        </w:rPr>
        <w:t>a Magistrada</w:t>
      </w:r>
      <w:r w:rsidRPr="00335BD8">
        <w:rPr>
          <w:rFonts w:ascii="Tahoma" w:hAnsi="Tahoma" w:cs="Tahoma"/>
          <w:color w:val="FFFFFF" w:themeColor="background1"/>
        </w:rPr>
        <w:t>,</w:t>
      </w:r>
    </w:p>
    <w:p w14:paraId="26E3BBE0" w14:textId="77777777" w:rsidR="00E5032B" w:rsidRPr="00335BD8" w:rsidRDefault="00E5032B" w:rsidP="000F3C74">
      <w:pPr>
        <w:rPr>
          <w:color w:val="FFFFFF" w:themeColor="background1"/>
        </w:rPr>
      </w:pPr>
    </w:p>
    <w:p w14:paraId="6F1C6FAD" w14:textId="12FC8CA9" w:rsidR="00640249" w:rsidRPr="00335BD8" w:rsidRDefault="00335BD8" w:rsidP="00335BD8">
      <w:pPr>
        <w:tabs>
          <w:tab w:val="left" w:pos="2139"/>
        </w:tabs>
        <w:rPr>
          <w:color w:val="FFFFFF" w:themeColor="background1"/>
        </w:rPr>
      </w:pPr>
      <w:r>
        <w:rPr>
          <w:color w:val="FFFFFF" w:themeColor="background1"/>
        </w:rPr>
        <w:tab/>
      </w:r>
    </w:p>
    <w:p w14:paraId="5D895198" w14:textId="77777777" w:rsidR="009C6F15" w:rsidRPr="00335BD8" w:rsidRDefault="009C6F15" w:rsidP="000F3C74">
      <w:pPr>
        <w:rPr>
          <w:color w:val="FFFFFF" w:themeColor="background1"/>
        </w:rPr>
      </w:pPr>
    </w:p>
    <w:p w14:paraId="780C20C9" w14:textId="77777777" w:rsidR="009C6F15" w:rsidRPr="00335BD8" w:rsidRDefault="009C6F15" w:rsidP="000F3C74">
      <w:pPr>
        <w:rPr>
          <w:color w:val="FFFFFF" w:themeColor="background1"/>
        </w:rPr>
      </w:pPr>
    </w:p>
    <w:p w14:paraId="7EADDC3D" w14:textId="77777777" w:rsidR="009A4059" w:rsidRPr="00335BD8" w:rsidRDefault="009A4059" w:rsidP="000F3C74">
      <w:pPr>
        <w:pStyle w:val="Ttulo3"/>
        <w:spacing w:before="0" w:after="0"/>
        <w:jc w:val="center"/>
        <w:rPr>
          <w:rFonts w:ascii="Tahoma" w:hAnsi="Tahoma" w:cs="Tahoma"/>
          <w:bCs w:val="0"/>
          <w:color w:val="FFFFFF" w:themeColor="background1"/>
          <w:sz w:val="24"/>
          <w:szCs w:val="24"/>
        </w:rPr>
      </w:pPr>
      <w:r w:rsidRPr="00335BD8">
        <w:rPr>
          <w:rFonts w:ascii="Tahoma" w:hAnsi="Tahoma" w:cs="Tahoma"/>
          <w:bCs w:val="0"/>
          <w:color w:val="FFFFFF" w:themeColor="background1"/>
          <w:sz w:val="24"/>
          <w:szCs w:val="24"/>
        </w:rPr>
        <w:t>ANA LUCÍA CAICEDO CALDERÓN</w:t>
      </w:r>
    </w:p>
    <w:p w14:paraId="6EE7001A" w14:textId="77777777" w:rsidR="00BF0FC3" w:rsidRPr="00335BD8" w:rsidRDefault="00BF0FC3" w:rsidP="000F3C74">
      <w:pPr>
        <w:ind w:firstLine="708"/>
        <w:jc w:val="both"/>
        <w:rPr>
          <w:rFonts w:ascii="Tahoma" w:hAnsi="Tahoma" w:cs="Tahoma"/>
          <w:color w:val="FFFFFF" w:themeColor="background1"/>
        </w:rPr>
      </w:pPr>
    </w:p>
    <w:p w14:paraId="2EFBCDAC" w14:textId="77777777" w:rsidR="0052015E" w:rsidRPr="00335BD8" w:rsidRDefault="004A0AAF" w:rsidP="000F3C74">
      <w:pPr>
        <w:ind w:firstLine="708"/>
        <w:jc w:val="both"/>
        <w:rPr>
          <w:rFonts w:ascii="Tahoma" w:hAnsi="Tahoma" w:cs="Tahoma"/>
          <w:color w:val="FFFFFF" w:themeColor="background1"/>
        </w:rPr>
      </w:pPr>
      <w:r w:rsidRPr="00335BD8">
        <w:rPr>
          <w:rFonts w:ascii="Tahoma" w:hAnsi="Tahoma" w:cs="Tahoma"/>
          <w:color w:val="FFFFFF" w:themeColor="background1"/>
        </w:rPr>
        <w:t>Los Magistrados,</w:t>
      </w:r>
    </w:p>
    <w:p w14:paraId="0D0E0C70" w14:textId="77777777" w:rsidR="00083031" w:rsidRPr="00335BD8" w:rsidRDefault="00083031" w:rsidP="000F3C74">
      <w:pPr>
        <w:ind w:firstLine="708"/>
        <w:jc w:val="both"/>
        <w:rPr>
          <w:rFonts w:ascii="Tahoma" w:hAnsi="Tahoma" w:cs="Tahoma"/>
          <w:color w:val="FFFFFF" w:themeColor="background1"/>
        </w:rPr>
      </w:pPr>
    </w:p>
    <w:p w14:paraId="30F52CF2" w14:textId="77777777" w:rsidR="00640249" w:rsidRPr="00335BD8" w:rsidRDefault="00640249" w:rsidP="000F3C74">
      <w:pPr>
        <w:ind w:firstLine="708"/>
        <w:jc w:val="both"/>
        <w:rPr>
          <w:rFonts w:ascii="Tahoma" w:hAnsi="Tahoma" w:cs="Tahoma"/>
          <w:color w:val="FFFFFF" w:themeColor="background1"/>
        </w:rPr>
      </w:pPr>
    </w:p>
    <w:p w14:paraId="48CA055F" w14:textId="77777777" w:rsidR="00640249" w:rsidRPr="00335BD8" w:rsidRDefault="00640249" w:rsidP="000F3C74">
      <w:pPr>
        <w:ind w:firstLine="708"/>
        <w:jc w:val="both"/>
        <w:rPr>
          <w:rFonts w:ascii="Tahoma" w:hAnsi="Tahoma" w:cs="Tahoma"/>
          <w:color w:val="FFFFFF" w:themeColor="background1"/>
        </w:rPr>
      </w:pPr>
    </w:p>
    <w:p w14:paraId="093CF5F7" w14:textId="77777777" w:rsidR="00640249" w:rsidRPr="00335BD8" w:rsidRDefault="00640249" w:rsidP="000F3C74">
      <w:pPr>
        <w:ind w:firstLine="708"/>
        <w:jc w:val="both"/>
        <w:rPr>
          <w:rFonts w:ascii="Tahoma" w:hAnsi="Tahoma" w:cs="Tahoma"/>
          <w:color w:val="FFFFFF" w:themeColor="background1"/>
        </w:rPr>
      </w:pPr>
    </w:p>
    <w:p w14:paraId="0452C6CB" w14:textId="77777777" w:rsidR="009C6F15" w:rsidRPr="00335BD8" w:rsidRDefault="009C6F15" w:rsidP="000F3C74">
      <w:pPr>
        <w:ind w:firstLine="708"/>
        <w:jc w:val="both"/>
        <w:rPr>
          <w:rFonts w:ascii="Tahoma" w:hAnsi="Tahoma" w:cs="Tahoma"/>
          <w:color w:val="FFFFFF" w:themeColor="background1"/>
        </w:rPr>
      </w:pPr>
    </w:p>
    <w:p w14:paraId="6100B0B2" w14:textId="77777777" w:rsidR="00437AF7" w:rsidRPr="00335BD8" w:rsidRDefault="00437AF7" w:rsidP="000F3C74">
      <w:pPr>
        <w:rPr>
          <w:rFonts w:ascii="Tahoma" w:hAnsi="Tahoma" w:cs="Tahoma"/>
          <w:b/>
          <w:color w:val="FFFFFF" w:themeColor="background1"/>
        </w:rPr>
      </w:pPr>
    </w:p>
    <w:p w14:paraId="728790E0" w14:textId="77777777" w:rsidR="009A4059" w:rsidRPr="00335BD8" w:rsidRDefault="009A4059" w:rsidP="000F3C74">
      <w:pPr>
        <w:jc w:val="center"/>
        <w:rPr>
          <w:rFonts w:ascii="Tahoma" w:hAnsi="Tahoma" w:cs="Tahoma"/>
          <w:b/>
          <w:color w:val="FFFFFF" w:themeColor="background1"/>
        </w:rPr>
      </w:pPr>
      <w:r w:rsidRPr="00335BD8">
        <w:rPr>
          <w:rFonts w:ascii="Tahoma" w:hAnsi="Tahoma" w:cs="Tahoma"/>
          <w:b/>
          <w:color w:val="FFFFFF" w:themeColor="background1"/>
        </w:rPr>
        <w:t>JULIO CÉSAR SALAZAR MUÑOZ</w:t>
      </w:r>
      <w:r w:rsidRPr="00335BD8">
        <w:rPr>
          <w:rFonts w:ascii="Tahoma" w:hAnsi="Tahoma" w:cs="Tahoma"/>
          <w:b/>
          <w:color w:val="FFFFFF" w:themeColor="background1"/>
        </w:rPr>
        <w:tab/>
      </w:r>
      <w:r w:rsidR="00B15DC8" w:rsidRPr="00335BD8">
        <w:rPr>
          <w:rFonts w:ascii="Tahoma" w:hAnsi="Tahoma" w:cs="Tahoma"/>
          <w:b/>
          <w:color w:val="FFFFFF" w:themeColor="background1"/>
        </w:rPr>
        <w:t xml:space="preserve">      </w:t>
      </w:r>
      <w:r w:rsidRPr="00335BD8">
        <w:rPr>
          <w:rFonts w:ascii="Tahoma" w:hAnsi="Tahoma" w:cs="Tahoma"/>
          <w:b/>
          <w:color w:val="FFFFFF" w:themeColor="background1"/>
        </w:rPr>
        <w:t xml:space="preserve"> FRANCISCO JAVIER TAMAYO TABARES</w:t>
      </w:r>
    </w:p>
    <w:p w14:paraId="55CDD703" w14:textId="77777777" w:rsidR="00437AF7" w:rsidRPr="00335BD8" w:rsidRDefault="00437AF7" w:rsidP="000F3C74">
      <w:pPr>
        <w:jc w:val="center"/>
        <w:rPr>
          <w:rFonts w:ascii="Tahoma" w:hAnsi="Tahoma" w:cs="Tahoma"/>
          <w:color w:val="FFFFFF" w:themeColor="background1"/>
        </w:rPr>
      </w:pPr>
    </w:p>
    <w:p w14:paraId="12254FF4" w14:textId="77777777" w:rsidR="00BF0FC3" w:rsidRPr="00335BD8" w:rsidRDefault="00BF0FC3" w:rsidP="000F3C74">
      <w:pPr>
        <w:jc w:val="center"/>
        <w:rPr>
          <w:rFonts w:ascii="Tahoma" w:hAnsi="Tahoma" w:cs="Tahoma"/>
          <w:b/>
          <w:color w:val="FFFFFF" w:themeColor="background1"/>
        </w:rPr>
      </w:pPr>
    </w:p>
    <w:p w14:paraId="02B4C027" w14:textId="77777777" w:rsidR="00640249" w:rsidRPr="00335BD8" w:rsidRDefault="00640249" w:rsidP="000F3C74">
      <w:pPr>
        <w:jc w:val="center"/>
        <w:rPr>
          <w:rFonts w:ascii="Tahoma" w:hAnsi="Tahoma" w:cs="Tahoma"/>
          <w:b/>
          <w:color w:val="FFFFFF" w:themeColor="background1"/>
        </w:rPr>
      </w:pPr>
    </w:p>
    <w:p w14:paraId="6B3C4D37" w14:textId="77777777" w:rsidR="00640249" w:rsidRPr="00335BD8" w:rsidRDefault="00640249" w:rsidP="000F3C74">
      <w:pPr>
        <w:jc w:val="center"/>
        <w:rPr>
          <w:rFonts w:ascii="Tahoma" w:hAnsi="Tahoma" w:cs="Tahoma"/>
          <w:b/>
          <w:color w:val="FFFFFF" w:themeColor="background1"/>
        </w:rPr>
      </w:pPr>
    </w:p>
    <w:p w14:paraId="3C78FFBC" w14:textId="77777777" w:rsidR="00BF0FC3" w:rsidRPr="00335BD8" w:rsidRDefault="00BF0FC3" w:rsidP="000F3C74">
      <w:pPr>
        <w:jc w:val="center"/>
        <w:rPr>
          <w:rFonts w:ascii="Tahoma" w:hAnsi="Tahoma" w:cs="Tahoma"/>
          <w:b/>
          <w:color w:val="FFFFFF" w:themeColor="background1"/>
        </w:rPr>
      </w:pPr>
    </w:p>
    <w:p w14:paraId="76A11250" w14:textId="77777777" w:rsidR="009C6F15" w:rsidRPr="00335BD8" w:rsidRDefault="009C6F15" w:rsidP="000F3C74">
      <w:pPr>
        <w:jc w:val="center"/>
        <w:rPr>
          <w:rFonts w:ascii="Tahoma" w:hAnsi="Tahoma" w:cs="Tahoma"/>
          <w:b/>
          <w:color w:val="FFFFFF" w:themeColor="background1"/>
        </w:rPr>
      </w:pPr>
    </w:p>
    <w:p w14:paraId="08F79CB4" w14:textId="5F4097B4" w:rsidR="008F6797" w:rsidRPr="00335BD8" w:rsidRDefault="001B5A0C" w:rsidP="000F3C74">
      <w:pPr>
        <w:jc w:val="center"/>
        <w:rPr>
          <w:rFonts w:ascii="Tahoma" w:hAnsi="Tahoma" w:cs="Tahoma"/>
          <w:b/>
          <w:color w:val="FFFFFF" w:themeColor="background1"/>
        </w:rPr>
      </w:pPr>
      <w:r w:rsidRPr="00335BD8">
        <w:rPr>
          <w:rFonts w:ascii="Tahoma" w:hAnsi="Tahoma" w:cs="Tahoma"/>
          <w:b/>
          <w:color w:val="FFFFFF" w:themeColor="background1"/>
        </w:rPr>
        <w:t>JAIR JOHAN JACOME OROZCO</w:t>
      </w:r>
    </w:p>
    <w:p w14:paraId="1E434ADB" w14:textId="03B7C31E" w:rsidR="00821189" w:rsidRPr="00335BD8" w:rsidRDefault="00821189" w:rsidP="000F3C74">
      <w:pPr>
        <w:jc w:val="center"/>
        <w:rPr>
          <w:rFonts w:ascii="Tahoma" w:hAnsi="Tahoma" w:cs="Tahoma"/>
          <w:color w:val="FFFFFF" w:themeColor="background1"/>
        </w:rPr>
      </w:pPr>
      <w:r w:rsidRPr="00335BD8">
        <w:rPr>
          <w:rFonts w:ascii="Tahoma" w:hAnsi="Tahoma" w:cs="Tahoma"/>
          <w:color w:val="FFFFFF" w:themeColor="background1"/>
        </w:rPr>
        <w:t>Secretari</w:t>
      </w:r>
      <w:r w:rsidR="001B5A0C" w:rsidRPr="00335BD8">
        <w:rPr>
          <w:rFonts w:ascii="Tahoma" w:hAnsi="Tahoma" w:cs="Tahoma"/>
          <w:color w:val="FFFFFF" w:themeColor="background1"/>
        </w:rPr>
        <w:t>o</w:t>
      </w:r>
      <w:r w:rsidRPr="00335BD8">
        <w:rPr>
          <w:rFonts w:ascii="Tahoma" w:hAnsi="Tahoma" w:cs="Tahoma"/>
          <w:color w:val="FFFFFF" w:themeColor="background1"/>
        </w:rPr>
        <w:t xml:space="preserve"> Ad-Hoc</w:t>
      </w:r>
    </w:p>
    <w:p w14:paraId="169B8682" w14:textId="77777777" w:rsidR="009750A9" w:rsidRPr="00377AF5" w:rsidRDefault="009750A9" w:rsidP="000F3C74">
      <w:pPr>
        <w:jc w:val="center"/>
        <w:rPr>
          <w:rFonts w:ascii="Tahoma" w:hAnsi="Tahoma" w:cs="Tahoma"/>
        </w:rPr>
      </w:pPr>
    </w:p>
    <w:p w14:paraId="008D783D" w14:textId="77777777" w:rsidR="004250C8" w:rsidRDefault="004250C8" w:rsidP="000F3C74">
      <w:pPr>
        <w:jc w:val="center"/>
        <w:rPr>
          <w:rFonts w:ascii="Tahoma" w:hAnsi="Tahoma" w:cs="Tahoma"/>
        </w:rPr>
      </w:pPr>
    </w:p>
    <w:p w14:paraId="7AE05764" w14:textId="77777777" w:rsidR="00377AF5" w:rsidRDefault="00377AF5" w:rsidP="000F3C74">
      <w:pPr>
        <w:jc w:val="center"/>
        <w:rPr>
          <w:rFonts w:ascii="Tahoma" w:hAnsi="Tahoma" w:cs="Tahoma"/>
        </w:rPr>
      </w:pPr>
    </w:p>
    <w:p w14:paraId="0B85A339" w14:textId="77777777" w:rsidR="00377AF5" w:rsidRDefault="00377AF5" w:rsidP="000F3C74">
      <w:pPr>
        <w:jc w:val="center"/>
        <w:rPr>
          <w:rFonts w:ascii="Tahoma" w:hAnsi="Tahoma" w:cs="Tahoma"/>
        </w:rPr>
      </w:pPr>
    </w:p>
    <w:p w14:paraId="20D379FB" w14:textId="77777777" w:rsidR="00377AF5" w:rsidRDefault="00377AF5" w:rsidP="000F3C74">
      <w:pPr>
        <w:jc w:val="center"/>
        <w:rPr>
          <w:rFonts w:ascii="Tahoma" w:hAnsi="Tahoma" w:cs="Tahoma"/>
        </w:rPr>
      </w:pPr>
    </w:p>
    <w:p w14:paraId="6BFB5578" w14:textId="77777777" w:rsidR="00377AF5" w:rsidRDefault="00377AF5" w:rsidP="000F3C74">
      <w:pPr>
        <w:jc w:val="center"/>
        <w:rPr>
          <w:rFonts w:ascii="Tahoma" w:hAnsi="Tahoma" w:cs="Tahoma"/>
        </w:rPr>
      </w:pPr>
    </w:p>
    <w:p w14:paraId="240ABAC8" w14:textId="77777777" w:rsidR="00377AF5" w:rsidRDefault="00377AF5" w:rsidP="000F3C74">
      <w:pPr>
        <w:jc w:val="center"/>
        <w:rPr>
          <w:rFonts w:ascii="Tahoma" w:hAnsi="Tahoma" w:cs="Tahoma"/>
        </w:rPr>
      </w:pPr>
    </w:p>
    <w:p w14:paraId="4AAC4A92" w14:textId="77777777" w:rsidR="00377AF5" w:rsidRDefault="00377AF5" w:rsidP="000F3C74">
      <w:pPr>
        <w:jc w:val="center"/>
        <w:rPr>
          <w:rFonts w:ascii="Tahoma" w:hAnsi="Tahoma" w:cs="Tahoma"/>
        </w:rPr>
      </w:pPr>
    </w:p>
    <w:p w14:paraId="4EB59A8E" w14:textId="77777777" w:rsidR="00377AF5" w:rsidRDefault="00377AF5" w:rsidP="000F3C74">
      <w:pPr>
        <w:jc w:val="center"/>
        <w:rPr>
          <w:rFonts w:ascii="Tahoma" w:hAnsi="Tahoma" w:cs="Tahoma"/>
        </w:rPr>
      </w:pPr>
    </w:p>
    <w:p w14:paraId="27F7196C" w14:textId="77777777" w:rsidR="00377AF5" w:rsidRDefault="00377AF5" w:rsidP="000F3C74">
      <w:pPr>
        <w:jc w:val="center"/>
        <w:rPr>
          <w:rFonts w:ascii="Tahoma" w:hAnsi="Tahoma" w:cs="Tahoma"/>
        </w:rPr>
      </w:pPr>
    </w:p>
    <w:p w14:paraId="4D9703EC" w14:textId="77777777" w:rsidR="00377AF5" w:rsidRDefault="00377AF5" w:rsidP="000F3C74">
      <w:pPr>
        <w:jc w:val="center"/>
        <w:rPr>
          <w:rFonts w:ascii="Tahoma" w:hAnsi="Tahoma" w:cs="Tahoma"/>
        </w:rPr>
      </w:pPr>
    </w:p>
    <w:p w14:paraId="357E5DB6" w14:textId="77777777" w:rsidR="00377AF5" w:rsidRDefault="00377AF5" w:rsidP="000F3C74">
      <w:pPr>
        <w:jc w:val="center"/>
        <w:rPr>
          <w:rFonts w:ascii="Tahoma" w:hAnsi="Tahoma" w:cs="Tahoma"/>
        </w:rPr>
      </w:pPr>
    </w:p>
    <w:p w14:paraId="4BDDD4F3" w14:textId="77777777" w:rsidR="00377AF5" w:rsidRDefault="00377AF5" w:rsidP="000F3C74">
      <w:pPr>
        <w:jc w:val="center"/>
        <w:rPr>
          <w:rFonts w:ascii="Tahoma" w:hAnsi="Tahoma" w:cs="Tahoma"/>
        </w:rPr>
      </w:pPr>
    </w:p>
    <w:p w14:paraId="183F5335" w14:textId="77777777" w:rsidR="00377AF5" w:rsidRDefault="00377AF5" w:rsidP="000F3C74">
      <w:pPr>
        <w:jc w:val="center"/>
        <w:rPr>
          <w:rFonts w:ascii="Tahoma" w:hAnsi="Tahoma" w:cs="Tahoma"/>
        </w:rPr>
      </w:pPr>
    </w:p>
    <w:p w14:paraId="5067E56E" w14:textId="77777777" w:rsidR="00377AF5" w:rsidRDefault="00377AF5" w:rsidP="000F3C74">
      <w:pPr>
        <w:jc w:val="center"/>
        <w:rPr>
          <w:rFonts w:ascii="Tahoma" w:hAnsi="Tahoma" w:cs="Tahoma"/>
        </w:rPr>
      </w:pPr>
    </w:p>
    <w:p w14:paraId="3CD98A3F" w14:textId="77777777" w:rsidR="00377AF5" w:rsidRDefault="00377AF5" w:rsidP="000F3C74">
      <w:pPr>
        <w:jc w:val="center"/>
        <w:rPr>
          <w:rFonts w:ascii="Tahoma" w:hAnsi="Tahoma" w:cs="Tahoma"/>
        </w:rPr>
      </w:pPr>
    </w:p>
    <w:p w14:paraId="00997233" w14:textId="77777777" w:rsidR="00377AF5" w:rsidRDefault="00377AF5" w:rsidP="000F3C74">
      <w:pPr>
        <w:jc w:val="center"/>
        <w:rPr>
          <w:rFonts w:ascii="Tahoma" w:hAnsi="Tahoma" w:cs="Tahoma"/>
        </w:rPr>
      </w:pPr>
    </w:p>
    <w:p w14:paraId="19BEC3CE" w14:textId="77777777" w:rsidR="00377AF5" w:rsidRDefault="00377AF5" w:rsidP="000F3C74">
      <w:pPr>
        <w:jc w:val="center"/>
        <w:rPr>
          <w:rFonts w:ascii="Tahoma" w:hAnsi="Tahoma" w:cs="Tahoma"/>
        </w:rPr>
      </w:pPr>
    </w:p>
    <w:p w14:paraId="466A6EEF" w14:textId="77777777" w:rsidR="00377AF5" w:rsidRDefault="00377AF5" w:rsidP="000F3C74">
      <w:pPr>
        <w:jc w:val="center"/>
        <w:rPr>
          <w:rFonts w:ascii="Tahoma" w:hAnsi="Tahoma" w:cs="Tahoma"/>
        </w:rPr>
      </w:pPr>
    </w:p>
    <w:p w14:paraId="7C2E9588" w14:textId="77777777" w:rsidR="00377AF5" w:rsidRDefault="00377AF5" w:rsidP="000F3C74">
      <w:pPr>
        <w:jc w:val="center"/>
        <w:rPr>
          <w:rFonts w:ascii="Tahoma" w:hAnsi="Tahoma" w:cs="Tahoma"/>
        </w:rPr>
      </w:pPr>
    </w:p>
    <w:p w14:paraId="222B8EAD" w14:textId="77777777" w:rsidR="00377AF5" w:rsidRDefault="00377AF5" w:rsidP="000F3C74">
      <w:pPr>
        <w:jc w:val="center"/>
        <w:rPr>
          <w:rFonts w:ascii="Tahoma" w:hAnsi="Tahoma" w:cs="Tahoma"/>
        </w:rPr>
      </w:pPr>
    </w:p>
    <w:p w14:paraId="7C0D3785" w14:textId="77777777" w:rsidR="00377AF5" w:rsidRDefault="00377AF5" w:rsidP="000F3C74">
      <w:pPr>
        <w:jc w:val="center"/>
        <w:rPr>
          <w:rFonts w:ascii="Tahoma" w:hAnsi="Tahoma" w:cs="Tahoma"/>
        </w:rPr>
      </w:pPr>
    </w:p>
    <w:p w14:paraId="2217DDC2" w14:textId="77777777" w:rsidR="00377AF5" w:rsidRDefault="00377AF5" w:rsidP="000F3C74">
      <w:pPr>
        <w:jc w:val="center"/>
        <w:rPr>
          <w:rFonts w:ascii="Tahoma" w:hAnsi="Tahoma" w:cs="Tahoma"/>
        </w:rPr>
      </w:pPr>
    </w:p>
    <w:p w14:paraId="08A31972" w14:textId="77777777" w:rsidR="00377AF5" w:rsidRDefault="00377AF5" w:rsidP="000F3C74">
      <w:pPr>
        <w:jc w:val="center"/>
        <w:rPr>
          <w:rFonts w:ascii="Tahoma" w:hAnsi="Tahoma" w:cs="Tahoma"/>
        </w:rPr>
      </w:pPr>
    </w:p>
    <w:p w14:paraId="7413E634" w14:textId="77777777" w:rsidR="00377AF5" w:rsidRDefault="00377AF5" w:rsidP="000F3C74">
      <w:pPr>
        <w:jc w:val="center"/>
        <w:rPr>
          <w:rFonts w:ascii="Tahoma" w:hAnsi="Tahoma" w:cs="Tahoma"/>
        </w:rPr>
      </w:pPr>
    </w:p>
    <w:p w14:paraId="3A735725" w14:textId="77777777" w:rsidR="00377AF5" w:rsidRDefault="00377AF5" w:rsidP="000F3C74">
      <w:pPr>
        <w:jc w:val="center"/>
        <w:rPr>
          <w:rFonts w:ascii="Tahoma" w:hAnsi="Tahoma" w:cs="Tahoma"/>
        </w:rPr>
      </w:pPr>
    </w:p>
    <w:p w14:paraId="75E302D3" w14:textId="77777777" w:rsidR="00377AF5" w:rsidRDefault="00377AF5" w:rsidP="000F3C74">
      <w:pPr>
        <w:jc w:val="center"/>
        <w:rPr>
          <w:rFonts w:ascii="Tahoma" w:hAnsi="Tahoma" w:cs="Tahoma"/>
        </w:rPr>
      </w:pPr>
    </w:p>
    <w:p w14:paraId="20F0576F" w14:textId="77777777" w:rsidR="00377AF5" w:rsidRDefault="00377AF5" w:rsidP="000F3C74">
      <w:pPr>
        <w:jc w:val="center"/>
        <w:rPr>
          <w:rFonts w:ascii="Tahoma" w:hAnsi="Tahoma" w:cs="Tahoma"/>
        </w:rPr>
      </w:pPr>
    </w:p>
    <w:p w14:paraId="3F56FDB0" w14:textId="77777777" w:rsidR="00377AF5" w:rsidRDefault="00377AF5" w:rsidP="000F3C74">
      <w:pPr>
        <w:jc w:val="center"/>
        <w:rPr>
          <w:rFonts w:ascii="Tahoma" w:hAnsi="Tahoma" w:cs="Tahoma"/>
        </w:rPr>
      </w:pPr>
    </w:p>
    <w:p w14:paraId="074F23E7" w14:textId="77777777" w:rsidR="00377AF5" w:rsidRDefault="00377AF5" w:rsidP="000F3C74">
      <w:pPr>
        <w:jc w:val="center"/>
        <w:rPr>
          <w:rFonts w:ascii="Tahoma" w:hAnsi="Tahoma" w:cs="Tahoma"/>
        </w:rPr>
      </w:pPr>
    </w:p>
    <w:p w14:paraId="02211C07" w14:textId="77777777" w:rsidR="00377AF5" w:rsidRDefault="00377AF5" w:rsidP="000F3C74">
      <w:pPr>
        <w:jc w:val="center"/>
        <w:rPr>
          <w:rFonts w:ascii="Tahoma" w:hAnsi="Tahoma" w:cs="Tahoma"/>
        </w:rPr>
      </w:pPr>
    </w:p>
    <w:p w14:paraId="4B3CFA7B" w14:textId="77777777" w:rsidR="00377AF5" w:rsidRDefault="00377AF5" w:rsidP="000F3C74">
      <w:pPr>
        <w:jc w:val="center"/>
        <w:rPr>
          <w:rFonts w:ascii="Tahoma" w:hAnsi="Tahoma" w:cs="Tahoma"/>
        </w:rPr>
      </w:pPr>
    </w:p>
    <w:p w14:paraId="4E4A5C01" w14:textId="77777777" w:rsidR="004250C8" w:rsidRPr="00377AF5" w:rsidRDefault="004250C8" w:rsidP="000F3C74">
      <w:pPr>
        <w:jc w:val="center"/>
        <w:rPr>
          <w:rFonts w:ascii="Tahoma" w:hAnsi="Tahoma" w:cs="Tahoma"/>
        </w:rPr>
      </w:pPr>
    </w:p>
    <w:tbl>
      <w:tblPr>
        <w:tblW w:w="9783" w:type="dxa"/>
        <w:tblInd w:w="-70" w:type="dxa"/>
        <w:tblCellMar>
          <w:left w:w="70" w:type="dxa"/>
          <w:right w:w="70" w:type="dxa"/>
        </w:tblCellMar>
        <w:tblLook w:val="04A0" w:firstRow="1" w:lastRow="0" w:firstColumn="1" w:lastColumn="0" w:noHBand="0" w:noVBand="1"/>
      </w:tblPr>
      <w:tblGrid>
        <w:gridCol w:w="1000"/>
        <w:gridCol w:w="716"/>
        <w:gridCol w:w="716"/>
        <w:gridCol w:w="695"/>
        <w:gridCol w:w="923"/>
        <w:gridCol w:w="146"/>
        <w:gridCol w:w="1444"/>
        <w:gridCol w:w="1167"/>
        <w:gridCol w:w="1389"/>
        <w:gridCol w:w="1587"/>
      </w:tblGrid>
      <w:tr w:rsidR="00377AF5" w:rsidRPr="00377AF5" w14:paraId="6AA7153B" w14:textId="77777777" w:rsidTr="00F44ED1">
        <w:trPr>
          <w:trHeight w:val="20"/>
        </w:trPr>
        <w:tc>
          <w:tcPr>
            <w:tcW w:w="0" w:type="auto"/>
            <w:tcBorders>
              <w:top w:val="single" w:sz="8" w:space="0" w:color="auto"/>
              <w:left w:val="single" w:sz="8" w:space="0" w:color="auto"/>
              <w:bottom w:val="single" w:sz="8" w:space="0" w:color="auto"/>
              <w:right w:val="nil"/>
            </w:tcBorders>
            <w:shd w:val="clear" w:color="000000" w:fill="FFFF99"/>
            <w:vAlign w:val="center"/>
            <w:hideMark/>
          </w:tcPr>
          <w:p w14:paraId="0DB39012" w14:textId="77777777" w:rsidR="00F44ED1" w:rsidRPr="00377AF5" w:rsidRDefault="00F44ED1">
            <w:pPr>
              <w:rPr>
                <w:rFonts w:ascii="Calibri" w:hAnsi="Calibri"/>
                <w:b/>
                <w:bCs/>
                <w:i/>
                <w:iCs/>
                <w:sz w:val="14"/>
                <w:szCs w:val="14"/>
              </w:rPr>
            </w:pPr>
            <w:r w:rsidRPr="00377AF5">
              <w:rPr>
                <w:rFonts w:ascii="Calibri" w:hAnsi="Calibri"/>
                <w:b/>
                <w:bCs/>
                <w:i/>
                <w:iCs/>
                <w:sz w:val="14"/>
                <w:szCs w:val="14"/>
              </w:rPr>
              <w:t>DEMANDANTE</w:t>
            </w:r>
          </w:p>
          <w:p w14:paraId="30D6E06E" w14:textId="77777777" w:rsidR="00F44ED1" w:rsidRPr="00377AF5" w:rsidRDefault="00F44ED1">
            <w:pPr>
              <w:rPr>
                <w:rFonts w:ascii="Calibri" w:hAnsi="Calibri"/>
                <w:b/>
                <w:bCs/>
                <w:i/>
                <w:iCs/>
                <w:sz w:val="14"/>
                <w:szCs w:val="14"/>
              </w:rPr>
            </w:pPr>
          </w:p>
        </w:tc>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3E6CAFF5"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LAUREANO GOMEZ SALAZAR</w:t>
            </w:r>
          </w:p>
        </w:tc>
      </w:tr>
      <w:tr w:rsidR="00377AF5" w:rsidRPr="00377AF5" w14:paraId="4FF5141C" w14:textId="77777777" w:rsidTr="00F44ED1">
        <w:trPr>
          <w:trHeight w:val="20"/>
        </w:trPr>
        <w:tc>
          <w:tcPr>
            <w:tcW w:w="0" w:type="auto"/>
            <w:gridSpan w:val="4"/>
            <w:tcBorders>
              <w:top w:val="single" w:sz="8" w:space="0" w:color="auto"/>
              <w:left w:val="single" w:sz="8" w:space="0" w:color="auto"/>
              <w:bottom w:val="single" w:sz="4" w:space="0" w:color="auto"/>
              <w:right w:val="nil"/>
            </w:tcBorders>
            <w:shd w:val="clear" w:color="000000" w:fill="FFFF99"/>
            <w:vAlign w:val="center"/>
            <w:hideMark/>
          </w:tcPr>
          <w:p w14:paraId="26E6605C" w14:textId="77777777" w:rsidR="00F44ED1" w:rsidRPr="00377AF5" w:rsidRDefault="00F44ED1">
            <w:pPr>
              <w:rPr>
                <w:rFonts w:ascii="Calibri" w:hAnsi="Calibri"/>
                <w:b/>
                <w:bCs/>
                <w:i/>
                <w:iCs/>
                <w:sz w:val="14"/>
                <w:szCs w:val="14"/>
              </w:rPr>
            </w:pPr>
            <w:r w:rsidRPr="00377AF5">
              <w:rPr>
                <w:rFonts w:ascii="Calibri" w:hAnsi="Calibri"/>
                <w:b/>
                <w:bCs/>
                <w:i/>
                <w:iCs/>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14:paraId="6F0B80C9" w14:textId="31B74536" w:rsidR="00F44ED1" w:rsidRPr="00377AF5" w:rsidRDefault="00F44ED1" w:rsidP="00F44ED1">
            <w:pPr>
              <w:jc w:val="center"/>
              <w:rPr>
                <w:rFonts w:ascii="Calibri" w:hAnsi="Calibri"/>
                <w:i/>
                <w:iCs/>
                <w:sz w:val="14"/>
                <w:szCs w:val="14"/>
              </w:rPr>
            </w:pPr>
            <w:r w:rsidRPr="00377AF5">
              <w:rPr>
                <w:rFonts w:ascii="Calibri" w:hAnsi="Calibri"/>
                <w:i/>
                <w:iCs/>
                <w:sz w:val="14"/>
                <w:szCs w:val="14"/>
              </w:rPr>
              <w:t>7-dic-1936</w:t>
            </w:r>
          </w:p>
        </w:tc>
        <w:tc>
          <w:tcPr>
            <w:tcW w:w="0" w:type="auto"/>
            <w:tcBorders>
              <w:top w:val="nil"/>
              <w:left w:val="nil"/>
              <w:bottom w:val="nil"/>
              <w:right w:val="nil"/>
            </w:tcBorders>
            <w:shd w:val="clear" w:color="auto" w:fill="auto"/>
            <w:noWrap/>
            <w:vAlign w:val="bottom"/>
            <w:hideMark/>
          </w:tcPr>
          <w:p w14:paraId="27589748" w14:textId="77777777" w:rsidR="00F44ED1" w:rsidRPr="00377AF5" w:rsidRDefault="00F44ED1">
            <w:pPr>
              <w:jc w:val="center"/>
              <w:rPr>
                <w:rFonts w:ascii="Calibri" w:hAnsi="Calibri"/>
                <w:i/>
                <w:iCs/>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0CB06D2A" w14:textId="77777777" w:rsidR="00F44ED1" w:rsidRPr="00377AF5" w:rsidRDefault="00F44ED1">
            <w:pPr>
              <w:rPr>
                <w:rFonts w:ascii="Calibri" w:hAnsi="Calibri"/>
                <w:b/>
                <w:bCs/>
                <w:i/>
                <w:iCs/>
                <w:sz w:val="14"/>
                <w:szCs w:val="14"/>
              </w:rPr>
            </w:pPr>
            <w:r w:rsidRPr="00377AF5">
              <w:rPr>
                <w:rFonts w:ascii="Calibri" w:hAnsi="Calibri"/>
                <w:b/>
                <w:bCs/>
                <w:i/>
                <w:iCs/>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6758AD16" w14:textId="77777777" w:rsidR="00F44ED1" w:rsidRPr="00377AF5" w:rsidRDefault="00F44ED1">
            <w:pPr>
              <w:jc w:val="center"/>
              <w:rPr>
                <w:rFonts w:ascii="Calibri" w:hAnsi="Calibri"/>
                <w:i/>
                <w:iCs/>
                <w:sz w:val="14"/>
                <w:szCs w:val="14"/>
              </w:rPr>
            </w:pPr>
            <w:r w:rsidRPr="00377AF5">
              <w:rPr>
                <w:rFonts w:ascii="Calibri" w:hAnsi="Calibri"/>
                <w:i/>
                <w:iCs/>
                <w:sz w:val="14"/>
                <w:szCs w:val="14"/>
              </w:rPr>
              <w:t xml:space="preserve">             35.253,00 </w:t>
            </w:r>
          </w:p>
        </w:tc>
      </w:tr>
      <w:tr w:rsidR="00377AF5" w:rsidRPr="00377AF5" w14:paraId="5B8AFF2B" w14:textId="77777777" w:rsidTr="00F44ED1">
        <w:trPr>
          <w:trHeight w:val="20"/>
        </w:trPr>
        <w:tc>
          <w:tcPr>
            <w:tcW w:w="0" w:type="auto"/>
            <w:gridSpan w:val="4"/>
            <w:tcBorders>
              <w:top w:val="single" w:sz="4" w:space="0" w:color="auto"/>
              <w:left w:val="single" w:sz="8" w:space="0" w:color="auto"/>
              <w:bottom w:val="single" w:sz="8" w:space="0" w:color="auto"/>
              <w:right w:val="nil"/>
            </w:tcBorders>
            <w:shd w:val="clear" w:color="000000" w:fill="FFFF99"/>
            <w:vAlign w:val="center"/>
            <w:hideMark/>
          </w:tcPr>
          <w:p w14:paraId="08115E53" w14:textId="77777777" w:rsidR="00F44ED1" w:rsidRPr="00377AF5" w:rsidRDefault="00F44ED1">
            <w:pPr>
              <w:rPr>
                <w:rFonts w:ascii="Calibri" w:hAnsi="Calibri"/>
                <w:b/>
                <w:bCs/>
                <w:i/>
                <w:iCs/>
                <w:sz w:val="14"/>
                <w:szCs w:val="14"/>
              </w:rPr>
            </w:pPr>
            <w:r w:rsidRPr="00377AF5">
              <w:rPr>
                <w:rFonts w:ascii="Calibri" w:hAnsi="Calibri"/>
                <w:b/>
                <w:bCs/>
                <w:i/>
                <w:iCs/>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14:paraId="1D5C5C10" w14:textId="77777777" w:rsidR="00F44ED1" w:rsidRPr="00377AF5" w:rsidRDefault="00F44ED1">
            <w:pPr>
              <w:jc w:val="center"/>
              <w:rPr>
                <w:rFonts w:ascii="Calibri" w:hAnsi="Calibri"/>
                <w:sz w:val="14"/>
                <w:szCs w:val="14"/>
              </w:rPr>
            </w:pPr>
            <w:r w:rsidRPr="00377AF5">
              <w:rPr>
                <w:rFonts w:ascii="Calibri" w:hAnsi="Calibri"/>
                <w:sz w:val="14"/>
                <w:szCs w:val="14"/>
              </w:rPr>
              <w:t>138,00</w:t>
            </w:r>
          </w:p>
        </w:tc>
        <w:tc>
          <w:tcPr>
            <w:tcW w:w="0" w:type="auto"/>
            <w:tcBorders>
              <w:top w:val="nil"/>
              <w:left w:val="nil"/>
              <w:bottom w:val="nil"/>
              <w:right w:val="nil"/>
            </w:tcBorders>
            <w:shd w:val="clear" w:color="auto" w:fill="auto"/>
            <w:noWrap/>
            <w:vAlign w:val="bottom"/>
            <w:hideMark/>
          </w:tcPr>
          <w:p w14:paraId="7B449758" w14:textId="77777777" w:rsidR="00F44ED1" w:rsidRPr="00377AF5" w:rsidRDefault="00F44ED1">
            <w:pPr>
              <w:jc w:val="center"/>
              <w:rPr>
                <w:rFonts w:ascii="Calibri" w:hAnsi="Calibri"/>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116EFA64" w14:textId="77777777" w:rsidR="00F44ED1" w:rsidRPr="00377AF5" w:rsidRDefault="00F44ED1">
            <w:pPr>
              <w:jc w:val="right"/>
              <w:rPr>
                <w:rFonts w:ascii="Calibri" w:hAnsi="Calibri"/>
                <w:b/>
                <w:bCs/>
                <w:i/>
                <w:iCs/>
                <w:sz w:val="14"/>
                <w:szCs w:val="14"/>
              </w:rPr>
            </w:pPr>
            <w:r w:rsidRPr="00377AF5">
              <w:rPr>
                <w:rFonts w:ascii="Calibri" w:hAnsi="Calibri"/>
                <w:b/>
                <w:bCs/>
                <w:i/>
                <w:iCs/>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698885B3" w14:textId="77777777" w:rsidR="00F44ED1" w:rsidRPr="00377AF5" w:rsidRDefault="00F44ED1">
            <w:pPr>
              <w:jc w:val="center"/>
              <w:rPr>
                <w:rFonts w:ascii="Calibri" w:hAnsi="Calibri"/>
                <w:b/>
                <w:bCs/>
                <w:sz w:val="14"/>
                <w:szCs w:val="14"/>
              </w:rPr>
            </w:pPr>
            <w:r w:rsidRPr="00377AF5">
              <w:rPr>
                <w:rFonts w:ascii="Calibri" w:hAnsi="Calibri"/>
                <w:b/>
                <w:bCs/>
                <w:sz w:val="14"/>
                <w:szCs w:val="14"/>
              </w:rPr>
              <w:t xml:space="preserve"> NO </w:t>
            </w:r>
          </w:p>
        </w:tc>
        <w:tc>
          <w:tcPr>
            <w:tcW w:w="0" w:type="auto"/>
            <w:tcBorders>
              <w:top w:val="nil"/>
              <w:left w:val="single" w:sz="4" w:space="0" w:color="808000"/>
              <w:bottom w:val="single" w:sz="4" w:space="0" w:color="auto"/>
              <w:right w:val="nil"/>
            </w:tcBorders>
            <w:shd w:val="clear" w:color="000000" w:fill="FFFF99"/>
            <w:noWrap/>
            <w:vAlign w:val="center"/>
            <w:hideMark/>
          </w:tcPr>
          <w:p w14:paraId="357E06C9"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75%</w:t>
            </w:r>
          </w:p>
        </w:tc>
        <w:tc>
          <w:tcPr>
            <w:tcW w:w="0" w:type="auto"/>
            <w:tcBorders>
              <w:top w:val="nil"/>
              <w:left w:val="nil"/>
              <w:bottom w:val="single" w:sz="4" w:space="0" w:color="auto"/>
              <w:right w:val="single" w:sz="8" w:space="0" w:color="auto"/>
            </w:tcBorders>
            <w:shd w:val="clear" w:color="auto" w:fill="auto"/>
            <w:noWrap/>
            <w:vAlign w:val="bottom"/>
            <w:hideMark/>
          </w:tcPr>
          <w:p w14:paraId="3ED70FEE" w14:textId="77777777" w:rsidR="00F44ED1" w:rsidRPr="00377AF5" w:rsidRDefault="00F44ED1">
            <w:pPr>
              <w:rPr>
                <w:rFonts w:ascii="Calibri" w:hAnsi="Calibri"/>
                <w:i/>
                <w:iCs/>
                <w:sz w:val="14"/>
                <w:szCs w:val="14"/>
              </w:rPr>
            </w:pPr>
            <w:r w:rsidRPr="00377AF5">
              <w:rPr>
                <w:rFonts w:ascii="Calibri" w:hAnsi="Calibri"/>
                <w:i/>
                <w:iCs/>
                <w:sz w:val="14"/>
                <w:szCs w:val="14"/>
              </w:rPr>
              <w:t> </w:t>
            </w:r>
          </w:p>
        </w:tc>
      </w:tr>
      <w:tr w:rsidR="00377AF5" w:rsidRPr="00377AF5" w14:paraId="617156E0" w14:textId="77777777" w:rsidTr="00F44ED1">
        <w:trPr>
          <w:trHeight w:val="20"/>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14:paraId="0529B003"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HISTORIA LABORAL DEL AFILIADO</w:t>
            </w:r>
          </w:p>
        </w:tc>
        <w:tc>
          <w:tcPr>
            <w:tcW w:w="0" w:type="auto"/>
            <w:tcBorders>
              <w:top w:val="nil"/>
              <w:left w:val="nil"/>
              <w:bottom w:val="nil"/>
              <w:right w:val="nil"/>
            </w:tcBorders>
            <w:shd w:val="clear" w:color="auto" w:fill="auto"/>
            <w:noWrap/>
            <w:vAlign w:val="bottom"/>
            <w:hideMark/>
          </w:tcPr>
          <w:p w14:paraId="2B52113F" w14:textId="77777777" w:rsidR="00F44ED1" w:rsidRPr="00377AF5" w:rsidRDefault="00F44ED1">
            <w:pPr>
              <w:jc w:val="center"/>
              <w:rPr>
                <w:rFonts w:ascii="Calibri" w:hAnsi="Calibri"/>
                <w:b/>
                <w:bCs/>
                <w:i/>
                <w:iCs/>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066C7389"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0998F37D"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IPC </w:t>
            </w:r>
            <w:proofErr w:type="spellStart"/>
            <w:r w:rsidRPr="00377AF5">
              <w:rPr>
                <w:rFonts w:ascii="Calibri" w:hAnsi="Calibri"/>
                <w:b/>
                <w:bCs/>
                <w:i/>
                <w:iCs/>
                <w:sz w:val="14"/>
                <w:szCs w:val="14"/>
              </w:rPr>
              <w:t>Dane</w:t>
            </w:r>
            <w:proofErr w:type="spellEnd"/>
            <w:r w:rsidRPr="00377AF5">
              <w:rPr>
                <w:rFonts w:ascii="Calibri" w:hAnsi="Calibri"/>
                <w:b/>
                <w:bCs/>
                <w:i/>
                <w:iCs/>
                <w:sz w:val="14"/>
                <w:szCs w:val="14"/>
              </w:rPr>
              <w:t xml:space="preserve">                                    (serie de empalme) </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4BC1B609"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Promedio Salarial        (</w:t>
            </w:r>
            <w:proofErr w:type="spellStart"/>
            <w:r w:rsidRPr="00377AF5">
              <w:rPr>
                <w:rFonts w:ascii="Calibri" w:hAnsi="Calibri"/>
                <w:b/>
                <w:bCs/>
                <w:i/>
                <w:iCs/>
                <w:sz w:val="14"/>
                <w:szCs w:val="14"/>
              </w:rPr>
              <w:t>Dias</w:t>
            </w:r>
            <w:proofErr w:type="spellEnd"/>
            <w:r w:rsidRPr="00377AF5">
              <w:rPr>
                <w:rFonts w:ascii="Calibri" w:hAnsi="Calibri"/>
                <w:b/>
                <w:bCs/>
                <w:i/>
                <w:iCs/>
                <w:sz w:val="14"/>
                <w:szCs w:val="14"/>
              </w:rPr>
              <w:t xml:space="preserve"> x IBC actualizado/total </w:t>
            </w:r>
            <w:proofErr w:type="spellStart"/>
            <w:r w:rsidRPr="00377AF5">
              <w:rPr>
                <w:rFonts w:ascii="Calibri" w:hAnsi="Calibri"/>
                <w:b/>
                <w:bCs/>
                <w:i/>
                <w:iCs/>
                <w:sz w:val="14"/>
                <w:szCs w:val="14"/>
              </w:rPr>
              <w:t>dias</w:t>
            </w:r>
            <w:proofErr w:type="spellEnd"/>
            <w:r w:rsidRPr="00377AF5">
              <w:rPr>
                <w:rFonts w:ascii="Calibri" w:hAnsi="Calibri"/>
                <w:b/>
                <w:bCs/>
                <w:i/>
                <w:iCs/>
                <w:sz w:val="14"/>
                <w:szCs w:val="14"/>
              </w:rPr>
              <w:t xml:space="preserve">) </w:t>
            </w:r>
          </w:p>
        </w:tc>
      </w:tr>
      <w:tr w:rsidR="00377AF5" w:rsidRPr="00377AF5" w14:paraId="60EC0FF4" w14:textId="77777777" w:rsidTr="00F44ED1">
        <w:trPr>
          <w:trHeight w:val="20"/>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14:paraId="541EC6E2"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BC0C171"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6CC9D0C2"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Ingreso Base de Cotización</w:t>
            </w:r>
          </w:p>
        </w:tc>
        <w:tc>
          <w:tcPr>
            <w:tcW w:w="0" w:type="auto"/>
            <w:tcBorders>
              <w:top w:val="nil"/>
              <w:left w:val="nil"/>
              <w:bottom w:val="nil"/>
              <w:right w:val="nil"/>
            </w:tcBorders>
            <w:shd w:val="clear" w:color="auto" w:fill="auto"/>
            <w:noWrap/>
            <w:vAlign w:val="bottom"/>
            <w:hideMark/>
          </w:tcPr>
          <w:p w14:paraId="155A91F9" w14:textId="77777777" w:rsidR="00F44ED1" w:rsidRPr="00377AF5" w:rsidRDefault="00F44ED1">
            <w:pPr>
              <w:jc w:val="center"/>
              <w:rPr>
                <w:rFonts w:ascii="Calibri" w:hAnsi="Calibri"/>
                <w:b/>
                <w:bCs/>
                <w:i/>
                <w:iCs/>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4E9EBBB9" w14:textId="77777777" w:rsidR="00F44ED1" w:rsidRPr="00377AF5" w:rsidRDefault="00F44ED1">
            <w:pPr>
              <w:rPr>
                <w:rFonts w:ascii="Calibri" w:hAnsi="Calibri"/>
                <w:b/>
                <w:bCs/>
                <w:i/>
                <w:iCs/>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3A947FE0"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IPC Final </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6DFA7BC7"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IPC Inicial </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3D6B8578" w14:textId="77777777" w:rsidR="00F44ED1" w:rsidRPr="00377AF5" w:rsidRDefault="00F44ED1">
            <w:pPr>
              <w:rPr>
                <w:rFonts w:ascii="Calibri" w:hAnsi="Calibri"/>
                <w:b/>
                <w:bCs/>
                <w:i/>
                <w:iCs/>
                <w:sz w:val="14"/>
                <w:szCs w:val="14"/>
              </w:rPr>
            </w:pPr>
          </w:p>
        </w:tc>
      </w:tr>
      <w:tr w:rsidR="00377AF5" w:rsidRPr="00377AF5" w14:paraId="7D04C064" w14:textId="77777777" w:rsidTr="00F44ED1">
        <w:trPr>
          <w:trHeight w:val="20"/>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14:paraId="5B2CE8CB"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14:paraId="64EB95D3"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3CDFB6F0"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14:paraId="6D79F59E" w14:textId="77777777" w:rsidR="00F44ED1" w:rsidRPr="00377AF5" w:rsidRDefault="00F44ED1">
            <w:pPr>
              <w:rPr>
                <w:rFonts w:ascii="Calibri" w:hAnsi="Calibri"/>
                <w:b/>
                <w:bCs/>
                <w:i/>
                <w:iCs/>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14:paraId="7AD0A5D5" w14:textId="77777777" w:rsidR="00F44ED1" w:rsidRPr="00377AF5" w:rsidRDefault="00F44ED1">
            <w:pPr>
              <w:rPr>
                <w:rFonts w:ascii="Calibri" w:hAnsi="Calibri"/>
                <w:b/>
                <w:bCs/>
                <w:i/>
                <w:iCs/>
                <w:sz w:val="14"/>
                <w:szCs w:val="14"/>
              </w:rPr>
            </w:pPr>
          </w:p>
        </w:tc>
        <w:tc>
          <w:tcPr>
            <w:tcW w:w="0" w:type="auto"/>
            <w:tcBorders>
              <w:top w:val="nil"/>
              <w:left w:val="nil"/>
              <w:bottom w:val="nil"/>
              <w:right w:val="nil"/>
            </w:tcBorders>
            <w:shd w:val="clear" w:color="auto" w:fill="auto"/>
            <w:noWrap/>
            <w:vAlign w:val="bottom"/>
            <w:hideMark/>
          </w:tcPr>
          <w:p w14:paraId="3176CAE6" w14:textId="77777777" w:rsidR="00F44ED1" w:rsidRPr="00377AF5" w:rsidRDefault="00F44ED1">
            <w:pPr>
              <w:jc w:val="center"/>
              <w:rPr>
                <w:rFonts w:ascii="Calibri" w:hAnsi="Calibri"/>
                <w:b/>
                <w:bCs/>
                <w:i/>
                <w:iCs/>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3552B066" w14:textId="77777777" w:rsidR="00F44ED1" w:rsidRPr="00377AF5" w:rsidRDefault="00F44ED1">
            <w:pPr>
              <w:rPr>
                <w:rFonts w:ascii="Calibri" w:hAnsi="Calibri"/>
                <w:b/>
                <w:bCs/>
                <w:i/>
                <w:iCs/>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14:paraId="40460089" w14:textId="77777777" w:rsidR="00F44ED1" w:rsidRPr="00377AF5" w:rsidRDefault="00F44ED1">
            <w:pPr>
              <w:rPr>
                <w:rFonts w:ascii="Calibri" w:hAnsi="Calibri"/>
                <w:b/>
                <w:bCs/>
                <w:i/>
                <w:iCs/>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14:paraId="588F6C8C" w14:textId="77777777" w:rsidR="00F44ED1" w:rsidRPr="00377AF5" w:rsidRDefault="00F44ED1">
            <w:pPr>
              <w:rPr>
                <w:rFonts w:ascii="Calibri" w:hAnsi="Calibri"/>
                <w:b/>
                <w:bCs/>
                <w:i/>
                <w:iCs/>
                <w:sz w:val="14"/>
                <w:szCs w:val="14"/>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11441C77" w14:textId="77777777" w:rsidR="00F44ED1" w:rsidRPr="00377AF5" w:rsidRDefault="00F44ED1">
            <w:pPr>
              <w:rPr>
                <w:rFonts w:ascii="Calibri" w:hAnsi="Calibri"/>
                <w:b/>
                <w:bCs/>
                <w:i/>
                <w:iCs/>
                <w:sz w:val="14"/>
                <w:szCs w:val="14"/>
              </w:rPr>
            </w:pPr>
          </w:p>
        </w:tc>
      </w:tr>
      <w:tr w:rsidR="00377AF5" w:rsidRPr="00377AF5" w14:paraId="25435342" w14:textId="77777777" w:rsidTr="00F44ED1">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6F862EA"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1F77FE7" w14:textId="77777777" w:rsidR="00F44ED1" w:rsidRPr="00377AF5" w:rsidRDefault="00F44ED1">
            <w:pPr>
              <w:jc w:val="center"/>
              <w:rPr>
                <w:rFonts w:ascii="Calibri" w:hAnsi="Calibri"/>
                <w:i/>
                <w:iCs/>
                <w:sz w:val="14"/>
                <w:szCs w:val="14"/>
              </w:rPr>
            </w:pPr>
            <w:r w:rsidRPr="00377AF5">
              <w:rPr>
                <w:rFonts w:ascii="Calibri" w:hAnsi="Calibri"/>
                <w:i/>
                <w:iCs/>
                <w:sz w:val="14"/>
                <w:szCs w:val="14"/>
              </w:rPr>
              <w:t>28-oct-82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EF2930A" w14:textId="77777777" w:rsidR="00F44ED1" w:rsidRPr="00377AF5" w:rsidRDefault="00F44ED1">
            <w:pPr>
              <w:jc w:val="right"/>
              <w:rPr>
                <w:rFonts w:ascii="Calibri" w:hAnsi="Calibri"/>
                <w:i/>
                <w:iCs/>
                <w:sz w:val="14"/>
                <w:szCs w:val="14"/>
              </w:rPr>
            </w:pPr>
            <w:r w:rsidRPr="00377AF5">
              <w:rPr>
                <w:rFonts w:ascii="Calibri" w:hAnsi="Calibri"/>
                <w:i/>
                <w:iCs/>
                <w:sz w:val="14"/>
                <w:szCs w:val="14"/>
              </w:rPr>
              <w:t>31-dic-82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14:paraId="2AFFC378" w14:textId="77777777" w:rsidR="00F44ED1" w:rsidRPr="00377AF5" w:rsidRDefault="00F44ED1">
            <w:pPr>
              <w:jc w:val="center"/>
              <w:rPr>
                <w:rFonts w:ascii="Calibri" w:hAnsi="Calibri"/>
                <w:i/>
                <w:iCs/>
                <w:sz w:val="14"/>
                <w:szCs w:val="14"/>
              </w:rPr>
            </w:pPr>
            <w:r w:rsidRPr="00377AF5">
              <w:rPr>
                <w:rFonts w:ascii="Calibri" w:hAnsi="Calibri"/>
                <w:i/>
                <w:iCs/>
                <w:sz w:val="14"/>
                <w:szCs w:val="14"/>
              </w:rPr>
              <w:t>65</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14:paraId="30FAAE75" w14:textId="77777777" w:rsidR="00F44ED1" w:rsidRPr="00377AF5" w:rsidRDefault="00F44ED1">
            <w:pPr>
              <w:rPr>
                <w:rFonts w:ascii="Calibri" w:hAnsi="Calibri"/>
                <w:i/>
                <w:iCs/>
                <w:sz w:val="14"/>
                <w:szCs w:val="14"/>
              </w:rPr>
            </w:pPr>
            <w:r w:rsidRPr="00377AF5">
              <w:rPr>
                <w:rFonts w:ascii="Calibri" w:hAnsi="Calibri"/>
                <w:i/>
                <w:iCs/>
                <w:sz w:val="14"/>
                <w:szCs w:val="14"/>
              </w:rPr>
              <w:t xml:space="preserve">   14.610 </w:t>
            </w:r>
          </w:p>
        </w:tc>
        <w:tc>
          <w:tcPr>
            <w:tcW w:w="0" w:type="auto"/>
            <w:tcBorders>
              <w:top w:val="nil"/>
              <w:left w:val="nil"/>
              <w:bottom w:val="nil"/>
              <w:right w:val="nil"/>
            </w:tcBorders>
            <w:shd w:val="clear" w:color="auto" w:fill="auto"/>
            <w:noWrap/>
            <w:vAlign w:val="center"/>
            <w:hideMark/>
          </w:tcPr>
          <w:p w14:paraId="1C038C82" w14:textId="77777777" w:rsidR="00F44ED1" w:rsidRPr="00377AF5" w:rsidRDefault="00F44ED1">
            <w:pPr>
              <w:rPr>
                <w:rFonts w:ascii="Calibri" w:hAnsi="Calibri"/>
                <w:i/>
                <w:iCs/>
                <w:sz w:val="14"/>
                <w:szCs w:val="14"/>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4F320E13" w14:textId="77777777" w:rsidR="00F44ED1" w:rsidRPr="00377AF5" w:rsidRDefault="00F44ED1">
            <w:pPr>
              <w:rPr>
                <w:rFonts w:ascii="Calibri" w:hAnsi="Calibri"/>
                <w:b/>
                <w:bCs/>
                <w:i/>
                <w:iCs/>
                <w:sz w:val="14"/>
                <w:szCs w:val="14"/>
              </w:rPr>
            </w:pPr>
            <w:r w:rsidRPr="00377AF5">
              <w:rPr>
                <w:rFonts w:ascii="Calibri" w:hAnsi="Calibri"/>
                <w:b/>
                <w:bCs/>
                <w:i/>
                <w:iCs/>
                <w:sz w:val="14"/>
                <w:szCs w:val="14"/>
              </w:rPr>
              <w:t xml:space="preserve">              279.910,88 </w:t>
            </w:r>
          </w:p>
        </w:tc>
        <w:tc>
          <w:tcPr>
            <w:tcW w:w="0" w:type="auto"/>
            <w:tcBorders>
              <w:top w:val="nil"/>
              <w:left w:val="nil"/>
              <w:bottom w:val="single" w:sz="4" w:space="0" w:color="808000"/>
              <w:right w:val="single" w:sz="4" w:space="0" w:color="808000"/>
            </w:tcBorders>
            <w:shd w:val="clear" w:color="auto" w:fill="auto"/>
            <w:noWrap/>
            <w:vAlign w:val="center"/>
            <w:hideMark/>
          </w:tcPr>
          <w:p w14:paraId="4E52C73E"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31,24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8B27548"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1,63 </w:t>
            </w:r>
          </w:p>
        </w:tc>
        <w:tc>
          <w:tcPr>
            <w:tcW w:w="0" w:type="auto"/>
            <w:tcBorders>
              <w:top w:val="nil"/>
              <w:left w:val="nil"/>
              <w:bottom w:val="single" w:sz="4" w:space="0" w:color="808000"/>
              <w:right w:val="single" w:sz="8" w:space="0" w:color="auto"/>
            </w:tcBorders>
            <w:shd w:val="clear" w:color="auto" w:fill="auto"/>
            <w:noWrap/>
            <w:vAlign w:val="center"/>
            <w:hideMark/>
          </w:tcPr>
          <w:p w14:paraId="514A2A3D" w14:textId="77777777" w:rsidR="00F44ED1" w:rsidRPr="00377AF5" w:rsidRDefault="00F44ED1">
            <w:pPr>
              <w:rPr>
                <w:rFonts w:ascii="Calibri" w:hAnsi="Calibri"/>
                <w:i/>
                <w:iCs/>
                <w:sz w:val="14"/>
                <w:szCs w:val="14"/>
              </w:rPr>
            </w:pPr>
            <w:r w:rsidRPr="00377AF5">
              <w:rPr>
                <w:rFonts w:ascii="Calibri" w:hAnsi="Calibri"/>
                <w:i/>
                <w:iCs/>
                <w:sz w:val="14"/>
                <w:szCs w:val="14"/>
              </w:rPr>
              <w:t xml:space="preserve">             18.834,58 </w:t>
            </w:r>
          </w:p>
        </w:tc>
      </w:tr>
      <w:tr w:rsidR="00377AF5" w:rsidRPr="00377AF5" w14:paraId="73A3A4A0" w14:textId="77777777" w:rsidTr="00F44ED1">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22DDD070"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32921AC7" w14:textId="77777777" w:rsidR="00F44ED1" w:rsidRPr="00377AF5" w:rsidRDefault="00F44ED1">
            <w:pPr>
              <w:jc w:val="center"/>
              <w:rPr>
                <w:rFonts w:ascii="Calibri" w:hAnsi="Calibri"/>
                <w:i/>
                <w:iCs/>
                <w:sz w:val="14"/>
                <w:szCs w:val="14"/>
              </w:rPr>
            </w:pPr>
            <w:r w:rsidRPr="00377AF5">
              <w:rPr>
                <w:rFonts w:ascii="Calibri" w:hAnsi="Calibri"/>
                <w:i/>
                <w:iCs/>
                <w:sz w:val="14"/>
                <w:szCs w:val="14"/>
              </w:rPr>
              <w:t>01-ene-83</w:t>
            </w:r>
          </w:p>
        </w:tc>
        <w:tc>
          <w:tcPr>
            <w:tcW w:w="0" w:type="auto"/>
            <w:tcBorders>
              <w:top w:val="nil"/>
              <w:left w:val="nil"/>
              <w:bottom w:val="single" w:sz="4" w:space="0" w:color="808000"/>
              <w:right w:val="single" w:sz="4" w:space="0" w:color="808000"/>
            </w:tcBorders>
            <w:shd w:val="clear" w:color="auto" w:fill="auto"/>
            <w:noWrap/>
            <w:vAlign w:val="center"/>
            <w:hideMark/>
          </w:tcPr>
          <w:p w14:paraId="2A19FFB6" w14:textId="77777777" w:rsidR="00F44ED1" w:rsidRPr="00377AF5" w:rsidRDefault="00F44ED1">
            <w:pPr>
              <w:jc w:val="right"/>
              <w:rPr>
                <w:rFonts w:ascii="Calibri" w:hAnsi="Calibri"/>
                <w:i/>
                <w:iCs/>
                <w:sz w:val="14"/>
                <w:szCs w:val="14"/>
              </w:rPr>
            </w:pPr>
            <w:r w:rsidRPr="00377AF5">
              <w:rPr>
                <w:rFonts w:ascii="Calibri" w:hAnsi="Calibri"/>
                <w:i/>
                <w:iCs/>
                <w:sz w:val="14"/>
                <w:szCs w:val="14"/>
              </w:rPr>
              <w:t>31-ene-83</w:t>
            </w:r>
          </w:p>
        </w:tc>
        <w:tc>
          <w:tcPr>
            <w:tcW w:w="0" w:type="auto"/>
            <w:tcBorders>
              <w:top w:val="nil"/>
              <w:left w:val="nil"/>
              <w:bottom w:val="single" w:sz="4" w:space="0" w:color="808000"/>
              <w:right w:val="single" w:sz="4" w:space="0" w:color="808000"/>
            </w:tcBorders>
            <w:shd w:val="clear" w:color="auto" w:fill="auto"/>
            <w:noWrap/>
            <w:vAlign w:val="center"/>
            <w:hideMark/>
          </w:tcPr>
          <w:p w14:paraId="4273C488" w14:textId="77777777" w:rsidR="00F44ED1" w:rsidRPr="00377AF5" w:rsidRDefault="00F44ED1">
            <w:pPr>
              <w:jc w:val="center"/>
              <w:rPr>
                <w:rFonts w:ascii="Calibri" w:hAnsi="Calibri"/>
                <w:i/>
                <w:iCs/>
                <w:sz w:val="14"/>
                <w:szCs w:val="14"/>
              </w:rPr>
            </w:pPr>
            <w:r w:rsidRPr="00377AF5">
              <w:rPr>
                <w:rFonts w:ascii="Calibri" w:hAnsi="Calibri"/>
                <w:i/>
                <w:iCs/>
                <w:sz w:val="14"/>
                <w:szCs w:val="14"/>
              </w:rPr>
              <w:t>31</w:t>
            </w:r>
          </w:p>
        </w:tc>
        <w:tc>
          <w:tcPr>
            <w:tcW w:w="0" w:type="auto"/>
            <w:tcBorders>
              <w:top w:val="nil"/>
              <w:left w:val="nil"/>
              <w:bottom w:val="single" w:sz="4" w:space="0" w:color="808000"/>
              <w:right w:val="single" w:sz="8" w:space="0" w:color="auto"/>
            </w:tcBorders>
            <w:shd w:val="clear" w:color="auto" w:fill="auto"/>
            <w:noWrap/>
            <w:vAlign w:val="center"/>
            <w:hideMark/>
          </w:tcPr>
          <w:p w14:paraId="6E475FF5" w14:textId="77777777" w:rsidR="00F44ED1" w:rsidRPr="00377AF5" w:rsidRDefault="00F44ED1">
            <w:pPr>
              <w:rPr>
                <w:rFonts w:ascii="Calibri" w:hAnsi="Calibri"/>
                <w:i/>
                <w:iCs/>
                <w:sz w:val="14"/>
                <w:szCs w:val="14"/>
              </w:rPr>
            </w:pPr>
            <w:r w:rsidRPr="00377AF5">
              <w:rPr>
                <w:rFonts w:ascii="Calibri" w:hAnsi="Calibri"/>
                <w:i/>
                <w:iCs/>
                <w:sz w:val="14"/>
                <w:szCs w:val="14"/>
              </w:rPr>
              <w:t xml:space="preserve">   14.610 </w:t>
            </w:r>
          </w:p>
        </w:tc>
        <w:tc>
          <w:tcPr>
            <w:tcW w:w="0" w:type="auto"/>
            <w:tcBorders>
              <w:top w:val="nil"/>
              <w:left w:val="nil"/>
              <w:bottom w:val="nil"/>
              <w:right w:val="nil"/>
            </w:tcBorders>
            <w:shd w:val="clear" w:color="auto" w:fill="auto"/>
            <w:noWrap/>
            <w:vAlign w:val="center"/>
            <w:hideMark/>
          </w:tcPr>
          <w:p w14:paraId="43392FF1" w14:textId="77777777" w:rsidR="00F44ED1" w:rsidRPr="00377AF5" w:rsidRDefault="00F44ED1">
            <w:pPr>
              <w:rPr>
                <w:rFonts w:ascii="Calibri" w:hAnsi="Calibri"/>
                <w:i/>
                <w:iCs/>
                <w:sz w:val="14"/>
                <w:szCs w:val="14"/>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03F106CC" w14:textId="77777777" w:rsidR="00F44ED1" w:rsidRPr="00377AF5" w:rsidRDefault="00F44ED1">
            <w:pPr>
              <w:rPr>
                <w:rFonts w:ascii="Calibri" w:hAnsi="Calibri"/>
                <w:b/>
                <w:bCs/>
                <w:i/>
                <w:iCs/>
                <w:sz w:val="14"/>
                <w:szCs w:val="14"/>
              </w:rPr>
            </w:pPr>
            <w:r w:rsidRPr="00377AF5">
              <w:rPr>
                <w:rFonts w:ascii="Calibri" w:hAnsi="Calibri"/>
                <w:b/>
                <w:bCs/>
                <w:i/>
                <w:iCs/>
                <w:sz w:val="14"/>
                <w:szCs w:val="14"/>
              </w:rPr>
              <w:t xml:space="preserve">              225.679,19 </w:t>
            </w:r>
          </w:p>
        </w:tc>
        <w:tc>
          <w:tcPr>
            <w:tcW w:w="0" w:type="auto"/>
            <w:tcBorders>
              <w:top w:val="nil"/>
              <w:left w:val="nil"/>
              <w:bottom w:val="single" w:sz="4" w:space="0" w:color="808000"/>
              <w:right w:val="single" w:sz="4" w:space="0" w:color="808000"/>
            </w:tcBorders>
            <w:shd w:val="clear" w:color="auto" w:fill="auto"/>
            <w:noWrap/>
            <w:vAlign w:val="center"/>
            <w:hideMark/>
          </w:tcPr>
          <w:p w14:paraId="509E7635"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31,24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A29AEA3"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2,02 </w:t>
            </w:r>
          </w:p>
        </w:tc>
        <w:tc>
          <w:tcPr>
            <w:tcW w:w="0" w:type="auto"/>
            <w:tcBorders>
              <w:top w:val="nil"/>
              <w:left w:val="nil"/>
              <w:bottom w:val="single" w:sz="4" w:space="0" w:color="808000"/>
              <w:right w:val="single" w:sz="8" w:space="0" w:color="auto"/>
            </w:tcBorders>
            <w:shd w:val="clear" w:color="auto" w:fill="auto"/>
            <w:noWrap/>
            <w:vAlign w:val="center"/>
            <w:hideMark/>
          </w:tcPr>
          <w:p w14:paraId="5C1D85D2" w14:textId="77777777" w:rsidR="00F44ED1" w:rsidRPr="00377AF5" w:rsidRDefault="00F44ED1">
            <w:pPr>
              <w:rPr>
                <w:rFonts w:ascii="Calibri" w:hAnsi="Calibri"/>
                <w:i/>
                <w:iCs/>
                <w:sz w:val="14"/>
                <w:szCs w:val="14"/>
              </w:rPr>
            </w:pPr>
            <w:r w:rsidRPr="00377AF5">
              <w:rPr>
                <w:rFonts w:ascii="Calibri" w:hAnsi="Calibri"/>
                <w:i/>
                <w:iCs/>
                <w:sz w:val="14"/>
                <w:szCs w:val="14"/>
              </w:rPr>
              <w:t xml:space="preserve">                7.242,29 </w:t>
            </w:r>
          </w:p>
        </w:tc>
      </w:tr>
      <w:tr w:rsidR="00377AF5" w:rsidRPr="00377AF5" w14:paraId="3D03BD6B" w14:textId="77777777" w:rsidTr="00F44ED1">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7EF7812"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8DE44BF" w14:textId="77777777" w:rsidR="00F44ED1" w:rsidRPr="00377AF5" w:rsidRDefault="00F44ED1">
            <w:pPr>
              <w:jc w:val="center"/>
              <w:rPr>
                <w:rFonts w:ascii="Calibri" w:hAnsi="Calibri"/>
                <w:i/>
                <w:iCs/>
                <w:sz w:val="14"/>
                <w:szCs w:val="14"/>
              </w:rPr>
            </w:pPr>
            <w:r w:rsidRPr="00377AF5">
              <w:rPr>
                <w:rFonts w:ascii="Calibri" w:hAnsi="Calibri"/>
                <w:i/>
                <w:iCs/>
                <w:sz w:val="14"/>
                <w:szCs w:val="14"/>
              </w:rPr>
              <w:t>01-feb-83</w:t>
            </w:r>
          </w:p>
        </w:tc>
        <w:tc>
          <w:tcPr>
            <w:tcW w:w="0" w:type="auto"/>
            <w:tcBorders>
              <w:top w:val="nil"/>
              <w:left w:val="nil"/>
              <w:bottom w:val="single" w:sz="4" w:space="0" w:color="808000"/>
              <w:right w:val="single" w:sz="4" w:space="0" w:color="808000"/>
            </w:tcBorders>
            <w:shd w:val="clear" w:color="auto" w:fill="auto"/>
            <w:noWrap/>
            <w:vAlign w:val="center"/>
            <w:hideMark/>
          </w:tcPr>
          <w:p w14:paraId="3200370B" w14:textId="77777777" w:rsidR="00F44ED1" w:rsidRPr="00377AF5" w:rsidRDefault="00F44ED1">
            <w:pPr>
              <w:jc w:val="right"/>
              <w:rPr>
                <w:rFonts w:ascii="Calibri" w:hAnsi="Calibri"/>
                <w:i/>
                <w:iCs/>
                <w:sz w:val="14"/>
                <w:szCs w:val="14"/>
              </w:rPr>
            </w:pPr>
            <w:r w:rsidRPr="00377AF5">
              <w:rPr>
                <w:rFonts w:ascii="Calibri" w:hAnsi="Calibri"/>
                <w:i/>
                <w:iCs/>
                <w:sz w:val="14"/>
                <w:szCs w:val="14"/>
              </w:rPr>
              <w:t>31-dic-83</w:t>
            </w:r>
          </w:p>
        </w:tc>
        <w:tc>
          <w:tcPr>
            <w:tcW w:w="0" w:type="auto"/>
            <w:tcBorders>
              <w:top w:val="nil"/>
              <w:left w:val="nil"/>
              <w:bottom w:val="single" w:sz="4" w:space="0" w:color="808000"/>
              <w:right w:val="single" w:sz="4" w:space="0" w:color="808000"/>
            </w:tcBorders>
            <w:shd w:val="clear" w:color="auto" w:fill="auto"/>
            <w:noWrap/>
            <w:vAlign w:val="center"/>
            <w:hideMark/>
          </w:tcPr>
          <w:p w14:paraId="4D4C6ACD" w14:textId="77777777" w:rsidR="00F44ED1" w:rsidRPr="00377AF5" w:rsidRDefault="00F44ED1">
            <w:pPr>
              <w:jc w:val="center"/>
              <w:rPr>
                <w:rFonts w:ascii="Calibri" w:hAnsi="Calibri"/>
                <w:i/>
                <w:iCs/>
                <w:sz w:val="14"/>
                <w:szCs w:val="14"/>
              </w:rPr>
            </w:pPr>
            <w:r w:rsidRPr="00377AF5">
              <w:rPr>
                <w:rFonts w:ascii="Calibri" w:hAnsi="Calibri"/>
                <w:i/>
                <w:iCs/>
                <w:sz w:val="14"/>
                <w:szCs w:val="14"/>
              </w:rPr>
              <w:t>334</w:t>
            </w:r>
          </w:p>
        </w:tc>
        <w:tc>
          <w:tcPr>
            <w:tcW w:w="0" w:type="auto"/>
            <w:tcBorders>
              <w:top w:val="nil"/>
              <w:left w:val="nil"/>
              <w:bottom w:val="single" w:sz="4" w:space="0" w:color="808000"/>
              <w:right w:val="single" w:sz="8" w:space="0" w:color="auto"/>
            </w:tcBorders>
            <w:shd w:val="clear" w:color="auto" w:fill="auto"/>
            <w:noWrap/>
            <w:vAlign w:val="center"/>
            <w:hideMark/>
          </w:tcPr>
          <w:p w14:paraId="07AA1118" w14:textId="77777777" w:rsidR="00F44ED1" w:rsidRPr="00377AF5" w:rsidRDefault="00F44ED1">
            <w:pPr>
              <w:rPr>
                <w:rFonts w:ascii="Calibri" w:hAnsi="Calibri"/>
                <w:i/>
                <w:iCs/>
                <w:sz w:val="14"/>
                <w:szCs w:val="14"/>
              </w:rPr>
            </w:pPr>
            <w:r w:rsidRPr="00377AF5">
              <w:rPr>
                <w:rFonts w:ascii="Calibri" w:hAnsi="Calibri"/>
                <w:i/>
                <w:iCs/>
                <w:sz w:val="14"/>
                <w:szCs w:val="14"/>
              </w:rPr>
              <w:t xml:space="preserve">   17.790 </w:t>
            </w:r>
          </w:p>
        </w:tc>
        <w:tc>
          <w:tcPr>
            <w:tcW w:w="0" w:type="auto"/>
            <w:tcBorders>
              <w:top w:val="nil"/>
              <w:left w:val="nil"/>
              <w:bottom w:val="nil"/>
              <w:right w:val="nil"/>
            </w:tcBorders>
            <w:shd w:val="clear" w:color="auto" w:fill="auto"/>
            <w:noWrap/>
            <w:vAlign w:val="center"/>
            <w:hideMark/>
          </w:tcPr>
          <w:p w14:paraId="225E784C" w14:textId="77777777" w:rsidR="00F44ED1" w:rsidRPr="00377AF5" w:rsidRDefault="00F44ED1">
            <w:pPr>
              <w:rPr>
                <w:rFonts w:ascii="Calibri" w:hAnsi="Calibri"/>
                <w:i/>
                <w:iCs/>
                <w:sz w:val="14"/>
                <w:szCs w:val="14"/>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1D39C664" w14:textId="77777777" w:rsidR="00F44ED1" w:rsidRPr="00377AF5" w:rsidRDefault="00F44ED1">
            <w:pPr>
              <w:rPr>
                <w:rFonts w:ascii="Calibri" w:hAnsi="Calibri"/>
                <w:b/>
                <w:bCs/>
                <w:i/>
                <w:iCs/>
                <w:sz w:val="14"/>
                <w:szCs w:val="14"/>
              </w:rPr>
            </w:pPr>
            <w:r w:rsidRPr="00377AF5">
              <w:rPr>
                <w:rFonts w:ascii="Calibri" w:hAnsi="Calibri"/>
                <w:b/>
                <w:bCs/>
                <w:i/>
                <w:iCs/>
                <w:sz w:val="14"/>
                <w:szCs w:val="14"/>
              </w:rPr>
              <w:t xml:space="preserve">              274.800,33 </w:t>
            </w:r>
          </w:p>
        </w:tc>
        <w:tc>
          <w:tcPr>
            <w:tcW w:w="0" w:type="auto"/>
            <w:tcBorders>
              <w:top w:val="nil"/>
              <w:left w:val="nil"/>
              <w:bottom w:val="single" w:sz="4" w:space="0" w:color="808000"/>
              <w:right w:val="single" w:sz="4" w:space="0" w:color="808000"/>
            </w:tcBorders>
            <w:shd w:val="clear" w:color="auto" w:fill="auto"/>
            <w:noWrap/>
            <w:vAlign w:val="center"/>
            <w:hideMark/>
          </w:tcPr>
          <w:p w14:paraId="4C7CA871"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31,24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556E724"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2,02 </w:t>
            </w:r>
          </w:p>
        </w:tc>
        <w:tc>
          <w:tcPr>
            <w:tcW w:w="0" w:type="auto"/>
            <w:tcBorders>
              <w:top w:val="nil"/>
              <w:left w:val="nil"/>
              <w:bottom w:val="single" w:sz="4" w:space="0" w:color="808000"/>
              <w:right w:val="single" w:sz="8" w:space="0" w:color="auto"/>
            </w:tcBorders>
            <w:shd w:val="clear" w:color="auto" w:fill="auto"/>
            <w:noWrap/>
            <w:vAlign w:val="center"/>
            <w:hideMark/>
          </w:tcPr>
          <w:p w14:paraId="51EE4617" w14:textId="77777777" w:rsidR="00F44ED1" w:rsidRPr="00377AF5" w:rsidRDefault="00F44ED1">
            <w:pPr>
              <w:rPr>
                <w:rFonts w:ascii="Calibri" w:hAnsi="Calibri"/>
                <w:i/>
                <w:iCs/>
                <w:sz w:val="14"/>
                <w:szCs w:val="14"/>
              </w:rPr>
            </w:pPr>
            <w:r w:rsidRPr="00377AF5">
              <w:rPr>
                <w:rFonts w:ascii="Calibri" w:hAnsi="Calibri"/>
                <w:i/>
                <w:iCs/>
                <w:sz w:val="14"/>
                <w:szCs w:val="14"/>
              </w:rPr>
              <w:t xml:space="preserve">             95.013,78 </w:t>
            </w:r>
          </w:p>
        </w:tc>
      </w:tr>
      <w:tr w:rsidR="00377AF5" w:rsidRPr="00377AF5" w14:paraId="582EBB38" w14:textId="77777777" w:rsidTr="00F44ED1">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53867C46"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695A716E" w14:textId="77777777" w:rsidR="00F44ED1" w:rsidRPr="00377AF5" w:rsidRDefault="00F44ED1">
            <w:pPr>
              <w:jc w:val="center"/>
              <w:rPr>
                <w:rFonts w:ascii="Calibri" w:hAnsi="Calibri"/>
                <w:i/>
                <w:iCs/>
                <w:sz w:val="14"/>
                <w:szCs w:val="14"/>
              </w:rPr>
            </w:pPr>
            <w:r w:rsidRPr="00377AF5">
              <w:rPr>
                <w:rFonts w:ascii="Calibri" w:hAnsi="Calibri"/>
                <w:i/>
                <w:iCs/>
                <w:sz w:val="14"/>
                <w:szCs w:val="14"/>
              </w:rPr>
              <w:t>01-ene-84</w:t>
            </w:r>
          </w:p>
        </w:tc>
        <w:tc>
          <w:tcPr>
            <w:tcW w:w="0" w:type="auto"/>
            <w:tcBorders>
              <w:top w:val="nil"/>
              <w:left w:val="nil"/>
              <w:bottom w:val="single" w:sz="4" w:space="0" w:color="808000"/>
              <w:right w:val="single" w:sz="4" w:space="0" w:color="808000"/>
            </w:tcBorders>
            <w:shd w:val="clear" w:color="auto" w:fill="auto"/>
            <w:noWrap/>
            <w:vAlign w:val="center"/>
            <w:hideMark/>
          </w:tcPr>
          <w:p w14:paraId="4DBE674C" w14:textId="77777777" w:rsidR="00F44ED1" w:rsidRPr="00377AF5" w:rsidRDefault="00F44ED1">
            <w:pPr>
              <w:jc w:val="right"/>
              <w:rPr>
                <w:rFonts w:ascii="Calibri" w:hAnsi="Calibri"/>
                <w:i/>
                <w:iCs/>
                <w:sz w:val="14"/>
                <w:szCs w:val="14"/>
              </w:rPr>
            </w:pPr>
            <w:r w:rsidRPr="00377AF5">
              <w:rPr>
                <w:rFonts w:ascii="Calibri" w:hAnsi="Calibri"/>
                <w:i/>
                <w:iCs/>
                <w:sz w:val="14"/>
                <w:szCs w:val="14"/>
              </w:rPr>
              <w:t>31-dic-84</w:t>
            </w:r>
          </w:p>
        </w:tc>
        <w:tc>
          <w:tcPr>
            <w:tcW w:w="0" w:type="auto"/>
            <w:tcBorders>
              <w:top w:val="nil"/>
              <w:left w:val="nil"/>
              <w:bottom w:val="single" w:sz="4" w:space="0" w:color="808000"/>
              <w:right w:val="single" w:sz="4" w:space="0" w:color="808000"/>
            </w:tcBorders>
            <w:shd w:val="clear" w:color="auto" w:fill="auto"/>
            <w:noWrap/>
            <w:vAlign w:val="center"/>
            <w:hideMark/>
          </w:tcPr>
          <w:p w14:paraId="1C8D9C63" w14:textId="77777777" w:rsidR="00F44ED1" w:rsidRPr="00377AF5" w:rsidRDefault="00F44ED1">
            <w:pPr>
              <w:jc w:val="center"/>
              <w:rPr>
                <w:rFonts w:ascii="Calibri" w:hAnsi="Calibri"/>
                <w:i/>
                <w:iCs/>
                <w:sz w:val="14"/>
                <w:szCs w:val="14"/>
              </w:rPr>
            </w:pPr>
            <w:r w:rsidRPr="00377AF5">
              <w:rPr>
                <w:rFonts w:ascii="Calibri" w:hAnsi="Calibri"/>
                <w:i/>
                <w:iCs/>
                <w:sz w:val="14"/>
                <w:szCs w:val="14"/>
              </w:rPr>
              <w:t>366</w:t>
            </w:r>
          </w:p>
        </w:tc>
        <w:tc>
          <w:tcPr>
            <w:tcW w:w="0" w:type="auto"/>
            <w:tcBorders>
              <w:top w:val="nil"/>
              <w:left w:val="nil"/>
              <w:bottom w:val="single" w:sz="4" w:space="0" w:color="808000"/>
              <w:right w:val="single" w:sz="8" w:space="0" w:color="auto"/>
            </w:tcBorders>
            <w:shd w:val="clear" w:color="auto" w:fill="auto"/>
            <w:noWrap/>
            <w:vAlign w:val="center"/>
            <w:hideMark/>
          </w:tcPr>
          <w:p w14:paraId="7FB54A44" w14:textId="77777777" w:rsidR="00F44ED1" w:rsidRPr="00377AF5" w:rsidRDefault="00F44ED1">
            <w:pPr>
              <w:rPr>
                <w:rFonts w:ascii="Calibri" w:hAnsi="Calibri"/>
                <w:i/>
                <w:iCs/>
                <w:sz w:val="14"/>
                <w:szCs w:val="14"/>
              </w:rPr>
            </w:pPr>
            <w:r w:rsidRPr="00377AF5">
              <w:rPr>
                <w:rFonts w:ascii="Calibri" w:hAnsi="Calibri"/>
                <w:i/>
                <w:iCs/>
                <w:sz w:val="14"/>
                <w:szCs w:val="14"/>
              </w:rPr>
              <w:t xml:space="preserve">   21.420 </w:t>
            </w:r>
          </w:p>
        </w:tc>
        <w:tc>
          <w:tcPr>
            <w:tcW w:w="0" w:type="auto"/>
            <w:tcBorders>
              <w:top w:val="nil"/>
              <w:left w:val="nil"/>
              <w:bottom w:val="nil"/>
              <w:right w:val="nil"/>
            </w:tcBorders>
            <w:shd w:val="clear" w:color="auto" w:fill="auto"/>
            <w:noWrap/>
            <w:vAlign w:val="center"/>
            <w:hideMark/>
          </w:tcPr>
          <w:p w14:paraId="68EF1DC5" w14:textId="77777777" w:rsidR="00F44ED1" w:rsidRPr="00377AF5" w:rsidRDefault="00F44ED1">
            <w:pPr>
              <w:rPr>
                <w:rFonts w:ascii="Calibri" w:hAnsi="Calibri"/>
                <w:i/>
                <w:iCs/>
                <w:sz w:val="14"/>
                <w:szCs w:val="14"/>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3855ED34" w14:textId="77777777" w:rsidR="00F44ED1" w:rsidRPr="00377AF5" w:rsidRDefault="00F44ED1">
            <w:pPr>
              <w:rPr>
                <w:rFonts w:ascii="Calibri" w:hAnsi="Calibri"/>
                <w:b/>
                <w:bCs/>
                <w:i/>
                <w:iCs/>
                <w:sz w:val="14"/>
                <w:szCs w:val="14"/>
              </w:rPr>
            </w:pPr>
            <w:r w:rsidRPr="00377AF5">
              <w:rPr>
                <w:rFonts w:ascii="Calibri" w:hAnsi="Calibri"/>
                <w:b/>
                <w:bCs/>
                <w:i/>
                <w:iCs/>
                <w:sz w:val="14"/>
                <w:szCs w:val="14"/>
              </w:rPr>
              <w:t xml:space="preserve">              283.676,74 </w:t>
            </w:r>
          </w:p>
        </w:tc>
        <w:tc>
          <w:tcPr>
            <w:tcW w:w="0" w:type="auto"/>
            <w:tcBorders>
              <w:top w:val="nil"/>
              <w:left w:val="nil"/>
              <w:bottom w:val="single" w:sz="4" w:space="0" w:color="808000"/>
              <w:right w:val="single" w:sz="4" w:space="0" w:color="808000"/>
            </w:tcBorders>
            <w:shd w:val="clear" w:color="auto" w:fill="auto"/>
            <w:noWrap/>
            <w:vAlign w:val="center"/>
            <w:hideMark/>
          </w:tcPr>
          <w:p w14:paraId="5379A72D"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31,24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D0F4787"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2,36 </w:t>
            </w:r>
          </w:p>
        </w:tc>
        <w:tc>
          <w:tcPr>
            <w:tcW w:w="0" w:type="auto"/>
            <w:tcBorders>
              <w:top w:val="nil"/>
              <w:left w:val="nil"/>
              <w:bottom w:val="single" w:sz="4" w:space="0" w:color="808000"/>
              <w:right w:val="single" w:sz="8" w:space="0" w:color="auto"/>
            </w:tcBorders>
            <w:shd w:val="clear" w:color="auto" w:fill="auto"/>
            <w:noWrap/>
            <w:vAlign w:val="center"/>
            <w:hideMark/>
          </w:tcPr>
          <w:p w14:paraId="4E38129C" w14:textId="77777777" w:rsidR="00F44ED1" w:rsidRPr="00377AF5" w:rsidRDefault="00F44ED1">
            <w:pPr>
              <w:rPr>
                <w:rFonts w:ascii="Calibri" w:hAnsi="Calibri"/>
                <w:i/>
                <w:iCs/>
                <w:sz w:val="14"/>
                <w:szCs w:val="14"/>
              </w:rPr>
            </w:pPr>
            <w:r w:rsidRPr="00377AF5">
              <w:rPr>
                <w:rFonts w:ascii="Calibri" w:hAnsi="Calibri"/>
                <w:i/>
                <w:iCs/>
                <w:sz w:val="14"/>
                <w:szCs w:val="14"/>
              </w:rPr>
              <w:t xml:space="preserve">          107.480,01 </w:t>
            </w:r>
          </w:p>
        </w:tc>
      </w:tr>
      <w:tr w:rsidR="00377AF5" w:rsidRPr="00377AF5" w14:paraId="244E5FF2" w14:textId="77777777" w:rsidTr="00F44ED1">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13D1374D"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5C434449" w14:textId="77777777" w:rsidR="00F44ED1" w:rsidRPr="00377AF5" w:rsidRDefault="00F44ED1">
            <w:pPr>
              <w:jc w:val="center"/>
              <w:rPr>
                <w:rFonts w:ascii="Calibri" w:hAnsi="Calibri"/>
                <w:i/>
                <w:iCs/>
                <w:sz w:val="14"/>
                <w:szCs w:val="14"/>
              </w:rPr>
            </w:pPr>
            <w:r w:rsidRPr="00377AF5">
              <w:rPr>
                <w:rFonts w:ascii="Calibri" w:hAnsi="Calibri"/>
                <w:i/>
                <w:iCs/>
                <w:sz w:val="14"/>
                <w:szCs w:val="14"/>
              </w:rPr>
              <w:t>01-ene-85</w:t>
            </w:r>
          </w:p>
        </w:tc>
        <w:tc>
          <w:tcPr>
            <w:tcW w:w="0" w:type="auto"/>
            <w:tcBorders>
              <w:top w:val="nil"/>
              <w:left w:val="nil"/>
              <w:bottom w:val="single" w:sz="4" w:space="0" w:color="808000"/>
              <w:right w:val="single" w:sz="4" w:space="0" w:color="808000"/>
            </w:tcBorders>
            <w:shd w:val="clear" w:color="auto" w:fill="auto"/>
            <w:noWrap/>
            <w:vAlign w:val="center"/>
            <w:hideMark/>
          </w:tcPr>
          <w:p w14:paraId="1B9F9105" w14:textId="77777777" w:rsidR="00F44ED1" w:rsidRPr="00377AF5" w:rsidRDefault="00F44ED1">
            <w:pPr>
              <w:jc w:val="right"/>
              <w:rPr>
                <w:rFonts w:ascii="Calibri" w:hAnsi="Calibri"/>
                <w:i/>
                <w:iCs/>
                <w:sz w:val="14"/>
                <w:szCs w:val="14"/>
              </w:rPr>
            </w:pPr>
            <w:r w:rsidRPr="00377AF5">
              <w:rPr>
                <w:rFonts w:ascii="Calibri" w:hAnsi="Calibri"/>
                <w:i/>
                <w:iCs/>
                <w:sz w:val="14"/>
                <w:szCs w:val="14"/>
              </w:rPr>
              <w:t>31-ene-85</w:t>
            </w:r>
          </w:p>
        </w:tc>
        <w:tc>
          <w:tcPr>
            <w:tcW w:w="0" w:type="auto"/>
            <w:tcBorders>
              <w:top w:val="nil"/>
              <w:left w:val="nil"/>
              <w:bottom w:val="single" w:sz="4" w:space="0" w:color="808000"/>
              <w:right w:val="single" w:sz="4" w:space="0" w:color="808000"/>
            </w:tcBorders>
            <w:shd w:val="clear" w:color="auto" w:fill="auto"/>
            <w:noWrap/>
            <w:vAlign w:val="center"/>
            <w:hideMark/>
          </w:tcPr>
          <w:p w14:paraId="538B20E4" w14:textId="77777777" w:rsidR="00F44ED1" w:rsidRPr="00377AF5" w:rsidRDefault="00F44ED1">
            <w:pPr>
              <w:jc w:val="center"/>
              <w:rPr>
                <w:rFonts w:ascii="Calibri" w:hAnsi="Calibri"/>
                <w:i/>
                <w:iCs/>
                <w:sz w:val="14"/>
                <w:szCs w:val="14"/>
              </w:rPr>
            </w:pPr>
            <w:r w:rsidRPr="00377AF5">
              <w:rPr>
                <w:rFonts w:ascii="Calibri" w:hAnsi="Calibri"/>
                <w:i/>
                <w:iCs/>
                <w:sz w:val="14"/>
                <w:szCs w:val="14"/>
              </w:rPr>
              <w:t>31</w:t>
            </w:r>
          </w:p>
        </w:tc>
        <w:tc>
          <w:tcPr>
            <w:tcW w:w="0" w:type="auto"/>
            <w:tcBorders>
              <w:top w:val="nil"/>
              <w:left w:val="nil"/>
              <w:bottom w:val="single" w:sz="4" w:space="0" w:color="808000"/>
              <w:right w:val="single" w:sz="8" w:space="0" w:color="auto"/>
            </w:tcBorders>
            <w:shd w:val="clear" w:color="auto" w:fill="auto"/>
            <w:noWrap/>
            <w:vAlign w:val="center"/>
            <w:hideMark/>
          </w:tcPr>
          <w:p w14:paraId="1B79ADE3" w14:textId="77777777" w:rsidR="00F44ED1" w:rsidRPr="00377AF5" w:rsidRDefault="00F44ED1">
            <w:pPr>
              <w:rPr>
                <w:rFonts w:ascii="Calibri" w:hAnsi="Calibri"/>
                <w:i/>
                <w:iCs/>
                <w:sz w:val="14"/>
                <w:szCs w:val="14"/>
              </w:rPr>
            </w:pPr>
            <w:r w:rsidRPr="00377AF5">
              <w:rPr>
                <w:rFonts w:ascii="Calibri" w:hAnsi="Calibri"/>
                <w:i/>
                <w:iCs/>
                <w:sz w:val="14"/>
                <w:szCs w:val="14"/>
              </w:rPr>
              <w:t xml:space="preserve">   21.420 </w:t>
            </w:r>
          </w:p>
        </w:tc>
        <w:tc>
          <w:tcPr>
            <w:tcW w:w="0" w:type="auto"/>
            <w:tcBorders>
              <w:top w:val="nil"/>
              <w:left w:val="nil"/>
              <w:bottom w:val="nil"/>
              <w:right w:val="nil"/>
            </w:tcBorders>
            <w:shd w:val="clear" w:color="auto" w:fill="auto"/>
            <w:noWrap/>
            <w:vAlign w:val="center"/>
            <w:hideMark/>
          </w:tcPr>
          <w:p w14:paraId="261095E3" w14:textId="77777777" w:rsidR="00F44ED1" w:rsidRPr="00377AF5" w:rsidRDefault="00F44ED1">
            <w:pPr>
              <w:rPr>
                <w:rFonts w:ascii="Calibri" w:hAnsi="Calibri"/>
                <w:i/>
                <w:iCs/>
                <w:sz w:val="14"/>
                <w:szCs w:val="14"/>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6552F6AF" w14:textId="77777777" w:rsidR="00F44ED1" w:rsidRPr="00377AF5" w:rsidRDefault="00F44ED1">
            <w:pPr>
              <w:rPr>
                <w:rFonts w:ascii="Calibri" w:hAnsi="Calibri"/>
                <w:b/>
                <w:bCs/>
                <w:i/>
                <w:iCs/>
                <w:sz w:val="14"/>
                <w:szCs w:val="14"/>
              </w:rPr>
            </w:pPr>
            <w:r w:rsidRPr="00377AF5">
              <w:rPr>
                <w:rFonts w:ascii="Calibri" w:hAnsi="Calibri"/>
                <w:b/>
                <w:bCs/>
                <w:i/>
                <w:iCs/>
                <w:sz w:val="14"/>
                <w:szCs w:val="14"/>
              </w:rPr>
              <w:t xml:space="preserve">              239.827,66 </w:t>
            </w:r>
          </w:p>
        </w:tc>
        <w:tc>
          <w:tcPr>
            <w:tcW w:w="0" w:type="auto"/>
            <w:tcBorders>
              <w:top w:val="nil"/>
              <w:left w:val="nil"/>
              <w:bottom w:val="single" w:sz="4" w:space="0" w:color="808000"/>
              <w:right w:val="single" w:sz="4" w:space="0" w:color="808000"/>
            </w:tcBorders>
            <w:shd w:val="clear" w:color="auto" w:fill="auto"/>
            <w:noWrap/>
            <w:vAlign w:val="center"/>
            <w:hideMark/>
          </w:tcPr>
          <w:p w14:paraId="3ACE93E2"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31,24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20C05B1"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2,79 </w:t>
            </w:r>
          </w:p>
        </w:tc>
        <w:tc>
          <w:tcPr>
            <w:tcW w:w="0" w:type="auto"/>
            <w:tcBorders>
              <w:top w:val="nil"/>
              <w:left w:val="nil"/>
              <w:bottom w:val="single" w:sz="4" w:space="0" w:color="808000"/>
              <w:right w:val="single" w:sz="8" w:space="0" w:color="auto"/>
            </w:tcBorders>
            <w:shd w:val="clear" w:color="auto" w:fill="auto"/>
            <w:noWrap/>
            <w:vAlign w:val="center"/>
            <w:hideMark/>
          </w:tcPr>
          <w:p w14:paraId="424320CE" w14:textId="77777777" w:rsidR="00F44ED1" w:rsidRPr="00377AF5" w:rsidRDefault="00F44ED1">
            <w:pPr>
              <w:rPr>
                <w:rFonts w:ascii="Calibri" w:hAnsi="Calibri"/>
                <w:i/>
                <w:iCs/>
                <w:sz w:val="14"/>
                <w:szCs w:val="14"/>
              </w:rPr>
            </w:pPr>
            <w:r w:rsidRPr="00377AF5">
              <w:rPr>
                <w:rFonts w:ascii="Calibri" w:hAnsi="Calibri"/>
                <w:i/>
                <w:iCs/>
                <w:sz w:val="14"/>
                <w:szCs w:val="14"/>
              </w:rPr>
              <w:t xml:space="preserve">                7.696,33 </w:t>
            </w:r>
          </w:p>
        </w:tc>
      </w:tr>
      <w:tr w:rsidR="00377AF5" w:rsidRPr="00377AF5" w14:paraId="56426205" w14:textId="77777777" w:rsidTr="00F44ED1">
        <w:trPr>
          <w:trHeight w:val="20"/>
        </w:trPr>
        <w:tc>
          <w:tcPr>
            <w:tcW w:w="0" w:type="auto"/>
            <w:tcBorders>
              <w:top w:val="nil"/>
              <w:left w:val="single" w:sz="8" w:space="0" w:color="auto"/>
              <w:bottom w:val="nil"/>
              <w:right w:val="single" w:sz="4" w:space="0" w:color="808000"/>
            </w:tcBorders>
            <w:shd w:val="clear" w:color="auto" w:fill="auto"/>
            <w:noWrap/>
            <w:vAlign w:val="center"/>
            <w:hideMark/>
          </w:tcPr>
          <w:p w14:paraId="6DC389F9"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14:paraId="0191051B" w14:textId="77777777" w:rsidR="00F44ED1" w:rsidRPr="00377AF5" w:rsidRDefault="00F44ED1">
            <w:pPr>
              <w:jc w:val="center"/>
              <w:rPr>
                <w:rFonts w:ascii="Calibri" w:hAnsi="Calibri"/>
                <w:i/>
                <w:iCs/>
                <w:sz w:val="14"/>
                <w:szCs w:val="14"/>
              </w:rPr>
            </w:pPr>
            <w:r w:rsidRPr="00377AF5">
              <w:rPr>
                <w:rFonts w:ascii="Calibri" w:hAnsi="Calibri"/>
                <w:i/>
                <w:iCs/>
                <w:sz w:val="14"/>
                <w:szCs w:val="14"/>
              </w:rPr>
              <w:t>01-feb-85</w:t>
            </w:r>
          </w:p>
        </w:tc>
        <w:tc>
          <w:tcPr>
            <w:tcW w:w="0" w:type="auto"/>
            <w:tcBorders>
              <w:top w:val="nil"/>
              <w:left w:val="nil"/>
              <w:bottom w:val="single" w:sz="4" w:space="0" w:color="808000"/>
              <w:right w:val="single" w:sz="4" w:space="0" w:color="808000"/>
            </w:tcBorders>
            <w:shd w:val="clear" w:color="auto" w:fill="auto"/>
            <w:noWrap/>
            <w:vAlign w:val="center"/>
            <w:hideMark/>
          </w:tcPr>
          <w:p w14:paraId="337D82CC" w14:textId="77777777" w:rsidR="00F44ED1" w:rsidRPr="00377AF5" w:rsidRDefault="00F44ED1">
            <w:pPr>
              <w:jc w:val="right"/>
              <w:rPr>
                <w:rFonts w:ascii="Calibri" w:hAnsi="Calibri"/>
                <w:i/>
                <w:iCs/>
                <w:sz w:val="14"/>
                <w:szCs w:val="14"/>
              </w:rPr>
            </w:pPr>
            <w:r w:rsidRPr="00377AF5">
              <w:rPr>
                <w:rFonts w:ascii="Calibri" w:hAnsi="Calibri"/>
                <w:i/>
                <w:iCs/>
                <w:sz w:val="14"/>
                <w:szCs w:val="14"/>
              </w:rPr>
              <w:t>19-jun-85</w:t>
            </w:r>
          </w:p>
        </w:tc>
        <w:tc>
          <w:tcPr>
            <w:tcW w:w="0" w:type="auto"/>
            <w:tcBorders>
              <w:top w:val="nil"/>
              <w:left w:val="nil"/>
              <w:bottom w:val="single" w:sz="4" w:space="0" w:color="808000"/>
              <w:right w:val="single" w:sz="4" w:space="0" w:color="808000"/>
            </w:tcBorders>
            <w:shd w:val="clear" w:color="auto" w:fill="auto"/>
            <w:noWrap/>
            <w:vAlign w:val="center"/>
            <w:hideMark/>
          </w:tcPr>
          <w:p w14:paraId="710FA978" w14:textId="77777777" w:rsidR="00F44ED1" w:rsidRPr="00377AF5" w:rsidRDefault="00F44ED1">
            <w:pPr>
              <w:jc w:val="center"/>
              <w:rPr>
                <w:rFonts w:ascii="Calibri" w:hAnsi="Calibri"/>
                <w:i/>
                <w:iCs/>
                <w:sz w:val="14"/>
                <w:szCs w:val="14"/>
              </w:rPr>
            </w:pPr>
            <w:r w:rsidRPr="00377AF5">
              <w:rPr>
                <w:rFonts w:ascii="Calibri" w:hAnsi="Calibri"/>
                <w:i/>
                <w:iCs/>
                <w:sz w:val="14"/>
                <w:szCs w:val="14"/>
              </w:rPr>
              <w:t>139</w:t>
            </w:r>
          </w:p>
        </w:tc>
        <w:tc>
          <w:tcPr>
            <w:tcW w:w="0" w:type="auto"/>
            <w:tcBorders>
              <w:top w:val="nil"/>
              <w:left w:val="nil"/>
              <w:bottom w:val="single" w:sz="4" w:space="0" w:color="808000"/>
              <w:right w:val="single" w:sz="8" w:space="0" w:color="auto"/>
            </w:tcBorders>
            <w:shd w:val="clear" w:color="auto" w:fill="auto"/>
            <w:noWrap/>
            <w:vAlign w:val="center"/>
            <w:hideMark/>
          </w:tcPr>
          <w:p w14:paraId="00E55260" w14:textId="77777777" w:rsidR="00F44ED1" w:rsidRPr="00377AF5" w:rsidRDefault="00F44ED1">
            <w:pPr>
              <w:rPr>
                <w:rFonts w:ascii="Calibri" w:hAnsi="Calibri"/>
                <w:i/>
                <w:iCs/>
                <w:sz w:val="14"/>
                <w:szCs w:val="14"/>
              </w:rPr>
            </w:pPr>
            <w:r w:rsidRPr="00377AF5">
              <w:rPr>
                <w:rFonts w:ascii="Calibri" w:hAnsi="Calibri"/>
                <w:i/>
                <w:iCs/>
                <w:sz w:val="14"/>
                <w:szCs w:val="14"/>
              </w:rPr>
              <w:t xml:space="preserve">   30.150 </w:t>
            </w:r>
          </w:p>
        </w:tc>
        <w:tc>
          <w:tcPr>
            <w:tcW w:w="0" w:type="auto"/>
            <w:tcBorders>
              <w:top w:val="nil"/>
              <w:left w:val="nil"/>
              <w:bottom w:val="nil"/>
              <w:right w:val="nil"/>
            </w:tcBorders>
            <w:shd w:val="clear" w:color="auto" w:fill="auto"/>
            <w:noWrap/>
            <w:vAlign w:val="center"/>
            <w:hideMark/>
          </w:tcPr>
          <w:p w14:paraId="7895ECC9" w14:textId="77777777" w:rsidR="00F44ED1" w:rsidRPr="00377AF5" w:rsidRDefault="00F44ED1">
            <w:pPr>
              <w:rPr>
                <w:rFonts w:ascii="Calibri" w:hAnsi="Calibri"/>
                <w:i/>
                <w:iCs/>
                <w:sz w:val="14"/>
                <w:szCs w:val="14"/>
              </w:rPr>
            </w:pPr>
          </w:p>
        </w:tc>
        <w:tc>
          <w:tcPr>
            <w:tcW w:w="0" w:type="auto"/>
            <w:tcBorders>
              <w:top w:val="nil"/>
              <w:left w:val="single" w:sz="8" w:space="0" w:color="auto"/>
              <w:bottom w:val="single" w:sz="4" w:space="0" w:color="808000"/>
              <w:right w:val="single" w:sz="4" w:space="0" w:color="808000"/>
            </w:tcBorders>
            <w:shd w:val="clear" w:color="000000" w:fill="FFFF99"/>
            <w:noWrap/>
            <w:vAlign w:val="center"/>
            <w:hideMark/>
          </w:tcPr>
          <w:p w14:paraId="2AA9D8E7" w14:textId="77777777" w:rsidR="00F44ED1" w:rsidRPr="00377AF5" w:rsidRDefault="00F44ED1">
            <w:pPr>
              <w:rPr>
                <w:rFonts w:ascii="Calibri" w:hAnsi="Calibri"/>
                <w:b/>
                <w:bCs/>
                <w:i/>
                <w:iCs/>
                <w:sz w:val="14"/>
                <w:szCs w:val="14"/>
              </w:rPr>
            </w:pPr>
            <w:r w:rsidRPr="00377AF5">
              <w:rPr>
                <w:rFonts w:ascii="Calibri" w:hAnsi="Calibri"/>
                <w:b/>
                <w:bCs/>
                <w:i/>
                <w:iCs/>
                <w:sz w:val="14"/>
                <w:szCs w:val="14"/>
              </w:rPr>
              <w:t xml:space="preserve">              337.572,54 </w:t>
            </w:r>
          </w:p>
        </w:tc>
        <w:tc>
          <w:tcPr>
            <w:tcW w:w="0" w:type="auto"/>
            <w:tcBorders>
              <w:top w:val="nil"/>
              <w:left w:val="nil"/>
              <w:bottom w:val="single" w:sz="4" w:space="0" w:color="808000"/>
              <w:right w:val="single" w:sz="4" w:space="0" w:color="808000"/>
            </w:tcBorders>
            <w:shd w:val="clear" w:color="auto" w:fill="auto"/>
            <w:noWrap/>
            <w:vAlign w:val="center"/>
            <w:hideMark/>
          </w:tcPr>
          <w:p w14:paraId="50F2DAED"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31,24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FC59B1B"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2,79 </w:t>
            </w:r>
          </w:p>
        </w:tc>
        <w:tc>
          <w:tcPr>
            <w:tcW w:w="0" w:type="auto"/>
            <w:tcBorders>
              <w:top w:val="nil"/>
              <w:left w:val="nil"/>
              <w:bottom w:val="single" w:sz="4" w:space="0" w:color="808000"/>
              <w:right w:val="single" w:sz="8" w:space="0" w:color="auto"/>
            </w:tcBorders>
            <w:shd w:val="clear" w:color="auto" w:fill="auto"/>
            <w:noWrap/>
            <w:vAlign w:val="center"/>
            <w:hideMark/>
          </w:tcPr>
          <w:p w14:paraId="2ADC0897" w14:textId="77777777" w:rsidR="00F44ED1" w:rsidRPr="00377AF5" w:rsidRDefault="00F44ED1">
            <w:pPr>
              <w:rPr>
                <w:rFonts w:ascii="Calibri" w:hAnsi="Calibri"/>
                <w:i/>
                <w:iCs/>
                <w:sz w:val="14"/>
                <w:szCs w:val="14"/>
              </w:rPr>
            </w:pPr>
            <w:r w:rsidRPr="00377AF5">
              <w:rPr>
                <w:rFonts w:ascii="Calibri" w:hAnsi="Calibri"/>
                <w:i/>
                <w:iCs/>
                <w:sz w:val="14"/>
                <w:szCs w:val="14"/>
              </w:rPr>
              <w:t xml:space="preserve">             48.574,10 </w:t>
            </w:r>
          </w:p>
        </w:tc>
      </w:tr>
      <w:tr w:rsidR="00377AF5" w:rsidRPr="00377AF5" w14:paraId="7C5E9187" w14:textId="77777777" w:rsidTr="00F44ED1">
        <w:trPr>
          <w:trHeight w:val="20"/>
        </w:trPr>
        <w:tc>
          <w:tcPr>
            <w:tcW w:w="0" w:type="auto"/>
            <w:tcBorders>
              <w:top w:val="nil"/>
              <w:left w:val="nil"/>
              <w:bottom w:val="nil"/>
              <w:right w:val="nil"/>
            </w:tcBorders>
            <w:shd w:val="clear" w:color="auto" w:fill="auto"/>
            <w:noWrap/>
            <w:vAlign w:val="bottom"/>
            <w:hideMark/>
          </w:tcPr>
          <w:p w14:paraId="4BB73980" w14:textId="77777777" w:rsidR="00F44ED1" w:rsidRPr="00377AF5" w:rsidRDefault="00F44ED1">
            <w:pPr>
              <w:rPr>
                <w:rFonts w:ascii="Calibri" w:hAnsi="Calibri"/>
                <w:i/>
                <w:iCs/>
                <w:sz w:val="14"/>
                <w:szCs w:val="14"/>
              </w:rPr>
            </w:pPr>
          </w:p>
        </w:tc>
        <w:tc>
          <w:tcPr>
            <w:tcW w:w="0" w:type="auto"/>
            <w:tcBorders>
              <w:top w:val="nil"/>
              <w:left w:val="nil"/>
              <w:bottom w:val="nil"/>
              <w:right w:val="nil"/>
            </w:tcBorders>
            <w:shd w:val="clear" w:color="auto" w:fill="auto"/>
            <w:noWrap/>
            <w:vAlign w:val="bottom"/>
            <w:hideMark/>
          </w:tcPr>
          <w:p w14:paraId="4F25BB9D"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759B6740"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65D4EDB2"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34AFB1C9"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534449FB"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7DD6F37A"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3A479298"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66CFB40C"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493B209A" w14:textId="77777777" w:rsidR="00F44ED1" w:rsidRPr="00377AF5" w:rsidRDefault="00F44ED1">
            <w:pPr>
              <w:rPr>
                <w:sz w:val="14"/>
                <w:szCs w:val="14"/>
              </w:rPr>
            </w:pPr>
          </w:p>
        </w:tc>
      </w:tr>
      <w:tr w:rsidR="00377AF5" w:rsidRPr="00377AF5" w14:paraId="512C4999" w14:textId="77777777" w:rsidTr="00F44ED1">
        <w:trPr>
          <w:trHeight w:val="20"/>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301E339"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0A76F33A"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966</w:t>
            </w:r>
          </w:p>
        </w:tc>
        <w:tc>
          <w:tcPr>
            <w:tcW w:w="0" w:type="auto"/>
            <w:tcBorders>
              <w:top w:val="nil"/>
              <w:left w:val="nil"/>
              <w:bottom w:val="nil"/>
              <w:right w:val="nil"/>
            </w:tcBorders>
            <w:shd w:val="clear" w:color="auto" w:fill="auto"/>
            <w:noWrap/>
            <w:vAlign w:val="bottom"/>
            <w:hideMark/>
          </w:tcPr>
          <w:p w14:paraId="105DB2AB" w14:textId="77777777" w:rsidR="00F44ED1" w:rsidRPr="00377AF5" w:rsidRDefault="00F44ED1">
            <w:pPr>
              <w:jc w:val="center"/>
              <w:rPr>
                <w:rFonts w:ascii="Calibri" w:hAnsi="Calibri"/>
                <w:b/>
                <w:bCs/>
                <w:i/>
                <w:iCs/>
                <w:sz w:val="14"/>
                <w:szCs w:val="14"/>
              </w:rPr>
            </w:pPr>
          </w:p>
        </w:tc>
        <w:tc>
          <w:tcPr>
            <w:tcW w:w="0" w:type="auto"/>
            <w:tcBorders>
              <w:top w:val="nil"/>
              <w:left w:val="nil"/>
              <w:bottom w:val="nil"/>
              <w:right w:val="nil"/>
            </w:tcBorders>
            <w:shd w:val="clear" w:color="auto" w:fill="auto"/>
            <w:noWrap/>
            <w:vAlign w:val="bottom"/>
            <w:hideMark/>
          </w:tcPr>
          <w:p w14:paraId="759BFF3E"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7C9BE568" w14:textId="77777777" w:rsidR="00F44ED1" w:rsidRPr="00377AF5" w:rsidRDefault="00F44ED1">
            <w:pPr>
              <w:rPr>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03BCB89A"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IBL </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7A029C1F" w14:textId="77777777" w:rsidR="00F44ED1" w:rsidRPr="00377AF5" w:rsidRDefault="00F44ED1">
            <w:pPr>
              <w:jc w:val="center"/>
              <w:rPr>
                <w:rFonts w:ascii="Calibri" w:hAnsi="Calibri"/>
                <w:sz w:val="14"/>
                <w:szCs w:val="14"/>
              </w:rPr>
            </w:pPr>
            <w:r w:rsidRPr="00377AF5">
              <w:rPr>
                <w:rFonts w:ascii="Calibri" w:hAnsi="Calibri"/>
                <w:sz w:val="14"/>
                <w:szCs w:val="14"/>
              </w:rPr>
              <w:t xml:space="preserve">   284.841,10 </w:t>
            </w:r>
          </w:p>
        </w:tc>
      </w:tr>
      <w:tr w:rsidR="00377AF5" w:rsidRPr="00377AF5" w14:paraId="7F573D2D" w14:textId="77777777" w:rsidTr="00F44ED1">
        <w:trPr>
          <w:trHeight w:val="20"/>
        </w:trPr>
        <w:tc>
          <w:tcPr>
            <w:tcW w:w="0" w:type="auto"/>
            <w:tcBorders>
              <w:top w:val="nil"/>
              <w:left w:val="nil"/>
              <w:bottom w:val="nil"/>
              <w:right w:val="nil"/>
            </w:tcBorders>
            <w:shd w:val="clear" w:color="auto" w:fill="auto"/>
            <w:noWrap/>
            <w:vAlign w:val="bottom"/>
            <w:hideMark/>
          </w:tcPr>
          <w:p w14:paraId="2B1041A2" w14:textId="77777777" w:rsidR="00F44ED1" w:rsidRPr="00377AF5" w:rsidRDefault="00F44ED1">
            <w:pPr>
              <w:jc w:val="center"/>
              <w:rPr>
                <w:rFonts w:ascii="Calibri" w:hAnsi="Calibri"/>
                <w:sz w:val="14"/>
                <w:szCs w:val="14"/>
              </w:rPr>
            </w:pPr>
          </w:p>
        </w:tc>
        <w:tc>
          <w:tcPr>
            <w:tcW w:w="0" w:type="auto"/>
            <w:tcBorders>
              <w:top w:val="nil"/>
              <w:left w:val="nil"/>
              <w:bottom w:val="nil"/>
              <w:right w:val="nil"/>
            </w:tcBorders>
            <w:shd w:val="clear" w:color="auto" w:fill="auto"/>
            <w:noWrap/>
            <w:vAlign w:val="bottom"/>
            <w:hideMark/>
          </w:tcPr>
          <w:p w14:paraId="29B2AF88"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4704B96A"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1B49FC84"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006901BD"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57746276"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26F2288E"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330A8FBA"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373898A1"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11442BF6" w14:textId="77777777" w:rsidR="00F44ED1" w:rsidRPr="00377AF5" w:rsidRDefault="00F44ED1">
            <w:pPr>
              <w:rPr>
                <w:sz w:val="14"/>
                <w:szCs w:val="14"/>
              </w:rPr>
            </w:pPr>
          </w:p>
        </w:tc>
      </w:tr>
      <w:tr w:rsidR="00377AF5" w:rsidRPr="00377AF5" w14:paraId="72829E05" w14:textId="77777777" w:rsidTr="00F44ED1">
        <w:trPr>
          <w:trHeight w:val="20"/>
        </w:trPr>
        <w:tc>
          <w:tcPr>
            <w:tcW w:w="0" w:type="auto"/>
            <w:tcBorders>
              <w:top w:val="nil"/>
              <w:left w:val="nil"/>
              <w:bottom w:val="nil"/>
              <w:right w:val="nil"/>
            </w:tcBorders>
            <w:shd w:val="clear" w:color="auto" w:fill="auto"/>
            <w:noWrap/>
            <w:vAlign w:val="bottom"/>
            <w:hideMark/>
          </w:tcPr>
          <w:p w14:paraId="50D2EC1F"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46B93601"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4A59AEE9"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6D9805B8"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7C206551"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01DBCFD6" w14:textId="77777777" w:rsidR="00F44ED1" w:rsidRPr="00377AF5" w:rsidRDefault="00F44ED1">
            <w:pPr>
              <w:rPr>
                <w:sz w:val="14"/>
                <w:szCs w:val="14"/>
              </w:rPr>
            </w:pPr>
          </w:p>
        </w:tc>
        <w:tc>
          <w:tcPr>
            <w:tcW w:w="0" w:type="auto"/>
            <w:tcBorders>
              <w:top w:val="nil"/>
              <w:left w:val="nil"/>
              <w:bottom w:val="nil"/>
              <w:right w:val="nil"/>
            </w:tcBorders>
            <w:shd w:val="clear" w:color="auto" w:fill="auto"/>
            <w:noWrap/>
            <w:vAlign w:val="bottom"/>
            <w:hideMark/>
          </w:tcPr>
          <w:p w14:paraId="68C0FE82" w14:textId="77777777" w:rsidR="00F44ED1" w:rsidRPr="00377AF5" w:rsidRDefault="00F44ED1">
            <w:pPr>
              <w:rPr>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EF0C327"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Mesada </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057B9EAA" w14:textId="77777777" w:rsidR="00F44ED1" w:rsidRPr="00377AF5" w:rsidRDefault="00F44ED1">
            <w:pPr>
              <w:jc w:val="center"/>
              <w:rPr>
                <w:rFonts w:ascii="Calibri" w:hAnsi="Calibri"/>
                <w:b/>
                <w:bCs/>
                <w:i/>
                <w:iCs/>
                <w:sz w:val="14"/>
                <w:szCs w:val="14"/>
              </w:rPr>
            </w:pPr>
            <w:r w:rsidRPr="00377AF5">
              <w:rPr>
                <w:rFonts w:ascii="Calibri" w:hAnsi="Calibri"/>
                <w:b/>
                <w:bCs/>
                <w:i/>
                <w:iCs/>
                <w:sz w:val="14"/>
                <w:szCs w:val="14"/>
              </w:rPr>
              <w:t xml:space="preserve">   213.630,82 </w:t>
            </w:r>
          </w:p>
        </w:tc>
      </w:tr>
    </w:tbl>
    <w:p w14:paraId="413901BE" w14:textId="77777777" w:rsidR="00F44ED1" w:rsidRPr="00377AF5" w:rsidRDefault="00F44ED1" w:rsidP="000F3C74">
      <w:pPr>
        <w:jc w:val="center"/>
        <w:rPr>
          <w:rFonts w:ascii="Tahoma" w:hAnsi="Tahoma" w:cs="Tahoma"/>
        </w:rPr>
      </w:pPr>
    </w:p>
    <w:p w14:paraId="5EE700F5" w14:textId="77777777" w:rsidR="00F44ED1" w:rsidRPr="00377AF5" w:rsidRDefault="00F44ED1" w:rsidP="000F3C74">
      <w:pPr>
        <w:jc w:val="center"/>
        <w:rPr>
          <w:rFonts w:ascii="Tahoma" w:hAnsi="Tahoma" w:cs="Tahoma"/>
        </w:rPr>
      </w:pPr>
    </w:p>
    <w:tbl>
      <w:tblPr>
        <w:tblW w:w="0" w:type="auto"/>
        <w:tblInd w:w="-145" w:type="dxa"/>
        <w:tblCellMar>
          <w:left w:w="70" w:type="dxa"/>
          <w:right w:w="70" w:type="dxa"/>
        </w:tblCellMar>
        <w:tblLook w:val="04A0" w:firstRow="1" w:lastRow="0" w:firstColumn="1" w:lastColumn="0" w:noHBand="0" w:noVBand="1"/>
      </w:tblPr>
      <w:tblGrid>
        <w:gridCol w:w="986"/>
        <w:gridCol w:w="855"/>
        <w:gridCol w:w="2273"/>
        <w:gridCol w:w="783"/>
        <w:gridCol w:w="803"/>
        <w:gridCol w:w="757"/>
        <w:gridCol w:w="1515"/>
        <w:gridCol w:w="1655"/>
      </w:tblGrid>
      <w:tr w:rsidR="00377AF5" w:rsidRPr="00377AF5" w14:paraId="24E08272" w14:textId="77777777" w:rsidTr="00377AF5">
        <w:trPr>
          <w:trHeight w:val="20"/>
        </w:trPr>
        <w:tc>
          <w:tcPr>
            <w:tcW w:w="986" w:type="dxa"/>
            <w:tcBorders>
              <w:top w:val="single" w:sz="4" w:space="0" w:color="auto"/>
              <w:left w:val="single" w:sz="4" w:space="0" w:color="auto"/>
              <w:bottom w:val="single" w:sz="4" w:space="0" w:color="auto"/>
              <w:right w:val="single" w:sz="4" w:space="0" w:color="808000"/>
            </w:tcBorders>
            <w:shd w:val="clear" w:color="000000" w:fill="FFFFCC"/>
            <w:vAlign w:val="center"/>
            <w:hideMark/>
          </w:tcPr>
          <w:p w14:paraId="2C721B37" w14:textId="77777777" w:rsidR="00F44ED1" w:rsidRPr="00377AF5" w:rsidRDefault="00F44ED1">
            <w:pPr>
              <w:jc w:val="center"/>
              <w:rPr>
                <w:rFonts w:ascii="Calibri" w:hAnsi="Calibri"/>
                <w:b/>
                <w:bCs/>
                <w:sz w:val="14"/>
                <w:szCs w:val="14"/>
              </w:rPr>
            </w:pPr>
            <w:r w:rsidRPr="00377AF5">
              <w:rPr>
                <w:rFonts w:ascii="Calibri" w:hAnsi="Calibri"/>
                <w:b/>
                <w:bCs/>
                <w:sz w:val="14"/>
                <w:szCs w:val="14"/>
              </w:rPr>
              <w:t>Fecha Liquida:</w:t>
            </w:r>
          </w:p>
          <w:p w14:paraId="773532F0" w14:textId="77777777" w:rsidR="00377AF5" w:rsidRPr="00377AF5" w:rsidRDefault="00377AF5">
            <w:pPr>
              <w:jc w:val="center"/>
              <w:rPr>
                <w:rFonts w:ascii="Calibri" w:hAnsi="Calibri"/>
                <w:b/>
                <w:bCs/>
                <w:sz w:val="14"/>
                <w:szCs w:val="14"/>
              </w:rPr>
            </w:pPr>
          </w:p>
        </w:tc>
        <w:tc>
          <w:tcPr>
            <w:tcW w:w="855" w:type="dxa"/>
            <w:tcBorders>
              <w:top w:val="single" w:sz="4" w:space="0" w:color="auto"/>
              <w:left w:val="nil"/>
              <w:bottom w:val="single" w:sz="4" w:space="0" w:color="auto"/>
              <w:right w:val="single" w:sz="4" w:space="0" w:color="808000"/>
            </w:tcBorders>
            <w:shd w:val="clear" w:color="auto" w:fill="auto"/>
            <w:noWrap/>
            <w:vAlign w:val="center"/>
            <w:hideMark/>
          </w:tcPr>
          <w:p w14:paraId="4EF00B49" w14:textId="77777777" w:rsidR="00F44ED1" w:rsidRPr="00377AF5" w:rsidRDefault="00F44ED1">
            <w:pPr>
              <w:jc w:val="right"/>
              <w:rPr>
                <w:rFonts w:ascii="Calibri" w:hAnsi="Calibri"/>
                <w:sz w:val="14"/>
                <w:szCs w:val="14"/>
              </w:rPr>
            </w:pPr>
            <w:r w:rsidRPr="00377AF5">
              <w:rPr>
                <w:rFonts w:ascii="Calibri" w:hAnsi="Calibri"/>
                <w:sz w:val="14"/>
                <w:szCs w:val="14"/>
              </w:rPr>
              <w:t>01-dic-15</w:t>
            </w:r>
          </w:p>
        </w:tc>
        <w:tc>
          <w:tcPr>
            <w:tcW w:w="2273" w:type="dxa"/>
            <w:tcBorders>
              <w:top w:val="single" w:sz="4" w:space="0" w:color="auto"/>
              <w:left w:val="nil"/>
              <w:bottom w:val="single" w:sz="4" w:space="0" w:color="auto"/>
              <w:right w:val="single" w:sz="4" w:space="0" w:color="808000"/>
            </w:tcBorders>
            <w:shd w:val="clear" w:color="000000" w:fill="FFFFCC"/>
            <w:vAlign w:val="center"/>
            <w:hideMark/>
          </w:tcPr>
          <w:p w14:paraId="69EDD126" w14:textId="77777777" w:rsidR="00F44ED1" w:rsidRPr="00377AF5" w:rsidRDefault="00F44ED1">
            <w:pPr>
              <w:jc w:val="center"/>
              <w:rPr>
                <w:rFonts w:ascii="Calibri" w:hAnsi="Calibri"/>
                <w:b/>
                <w:bCs/>
                <w:sz w:val="14"/>
                <w:szCs w:val="14"/>
              </w:rPr>
            </w:pPr>
            <w:proofErr w:type="spellStart"/>
            <w:r w:rsidRPr="00377AF5">
              <w:rPr>
                <w:rFonts w:ascii="Calibri" w:hAnsi="Calibri"/>
                <w:b/>
                <w:bCs/>
                <w:sz w:val="14"/>
                <w:szCs w:val="14"/>
              </w:rPr>
              <w:t>Ipc</w:t>
            </w:r>
            <w:proofErr w:type="spellEnd"/>
            <w:r w:rsidRPr="00377AF5">
              <w:rPr>
                <w:rFonts w:ascii="Calibri" w:hAnsi="Calibri"/>
                <w:b/>
                <w:bCs/>
                <w:sz w:val="14"/>
                <w:szCs w:val="14"/>
              </w:rPr>
              <w:t xml:space="preserve"> (</w:t>
            </w:r>
            <w:proofErr w:type="spellStart"/>
            <w:r w:rsidRPr="00377AF5">
              <w:rPr>
                <w:rFonts w:ascii="Calibri" w:hAnsi="Calibri"/>
                <w:b/>
                <w:bCs/>
                <w:sz w:val="14"/>
                <w:szCs w:val="14"/>
              </w:rPr>
              <w:t>Vf</w:t>
            </w:r>
            <w:proofErr w:type="spellEnd"/>
            <w:r w:rsidRPr="00377AF5">
              <w:rPr>
                <w:rFonts w:ascii="Calibri" w:hAnsi="Calibri"/>
                <w:b/>
                <w:bCs/>
                <w:sz w:val="14"/>
                <w:szCs w:val="14"/>
              </w:rPr>
              <w:t>)</w:t>
            </w:r>
          </w:p>
        </w:tc>
        <w:tc>
          <w:tcPr>
            <w:tcW w:w="783" w:type="dxa"/>
            <w:tcBorders>
              <w:top w:val="single" w:sz="4" w:space="0" w:color="auto"/>
              <w:left w:val="nil"/>
              <w:bottom w:val="single" w:sz="4" w:space="0" w:color="auto"/>
              <w:right w:val="single" w:sz="4" w:space="0" w:color="auto"/>
            </w:tcBorders>
            <w:shd w:val="clear" w:color="FFFFFF" w:fill="33CCCC"/>
            <w:vAlign w:val="center"/>
            <w:hideMark/>
          </w:tcPr>
          <w:p w14:paraId="637D92A4" w14:textId="77777777" w:rsidR="00F44ED1" w:rsidRPr="00377AF5" w:rsidRDefault="00F44ED1">
            <w:pPr>
              <w:jc w:val="center"/>
              <w:rPr>
                <w:rFonts w:ascii="Calibri" w:hAnsi="Calibri"/>
                <w:sz w:val="14"/>
                <w:szCs w:val="14"/>
              </w:rPr>
            </w:pPr>
            <w:r w:rsidRPr="00377AF5">
              <w:rPr>
                <w:rFonts w:ascii="Calibri" w:hAnsi="Calibri"/>
                <w:sz w:val="14"/>
                <w:szCs w:val="14"/>
              </w:rPr>
              <w:t xml:space="preserve"> 126,15 </w:t>
            </w:r>
          </w:p>
        </w:tc>
        <w:tc>
          <w:tcPr>
            <w:tcW w:w="803" w:type="dxa"/>
            <w:tcBorders>
              <w:top w:val="nil"/>
              <w:left w:val="single" w:sz="4" w:space="0" w:color="auto"/>
              <w:bottom w:val="nil"/>
              <w:right w:val="nil"/>
            </w:tcBorders>
            <w:shd w:val="clear" w:color="auto" w:fill="auto"/>
            <w:noWrap/>
            <w:vAlign w:val="bottom"/>
            <w:hideMark/>
          </w:tcPr>
          <w:p w14:paraId="636F96BC" w14:textId="77777777" w:rsidR="00F44ED1" w:rsidRPr="00377AF5" w:rsidRDefault="00F44ED1">
            <w:pPr>
              <w:jc w:val="center"/>
              <w:rPr>
                <w:rFonts w:ascii="Calibri" w:hAnsi="Calibri"/>
                <w:sz w:val="14"/>
                <w:szCs w:val="14"/>
              </w:rPr>
            </w:pPr>
          </w:p>
        </w:tc>
        <w:tc>
          <w:tcPr>
            <w:tcW w:w="757" w:type="dxa"/>
            <w:tcBorders>
              <w:top w:val="nil"/>
              <w:left w:val="nil"/>
              <w:bottom w:val="nil"/>
              <w:right w:val="nil"/>
            </w:tcBorders>
            <w:shd w:val="clear" w:color="auto" w:fill="auto"/>
            <w:noWrap/>
            <w:vAlign w:val="bottom"/>
            <w:hideMark/>
          </w:tcPr>
          <w:p w14:paraId="4AF69F7C" w14:textId="77777777" w:rsidR="00F44ED1" w:rsidRPr="00377AF5" w:rsidRDefault="00F44ED1">
            <w:pPr>
              <w:rPr>
                <w:sz w:val="14"/>
                <w:szCs w:val="14"/>
              </w:rPr>
            </w:pPr>
          </w:p>
        </w:tc>
        <w:tc>
          <w:tcPr>
            <w:tcW w:w="1515" w:type="dxa"/>
            <w:tcBorders>
              <w:top w:val="nil"/>
              <w:left w:val="nil"/>
              <w:bottom w:val="nil"/>
              <w:right w:val="nil"/>
            </w:tcBorders>
            <w:shd w:val="clear" w:color="auto" w:fill="auto"/>
            <w:noWrap/>
            <w:vAlign w:val="bottom"/>
            <w:hideMark/>
          </w:tcPr>
          <w:p w14:paraId="7251352E" w14:textId="77777777" w:rsidR="00F44ED1" w:rsidRPr="00377AF5" w:rsidRDefault="00F44ED1">
            <w:pPr>
              <w:rPr>
                <w:sz w:val="14"/>
                <w:szCs w:val="14"/>
              </w:rPr>
            </w:pPr>
          </w:p>
        </w:tc>
        <w:tc>
          <w:tcPr>
            <w:tcW w:w="1655" w:type="dxa"/>
            <w:tcBorders>
              <w:top w:val="nil"/>
              <w:left w:val="nil"/>
              <w:bottom w:val="nil"/>
              <w:right w:val="nil"/>
            </w:tcBorders>
            <w:shd w:val="clear" w:color="auto" w:fill="auto"/>
            <w:noWrap/>
            <w:vAlign w:val="bottom"/>
            <w:hideMark/>
          </w:tcPr>
          <w:p w14:paraId="30721D73" w14:textId="77777777" w:rsidR="00F44ED1" w:rsidRPr="00377AF5" w:rsidRDefault="00F44ED1">
            <w:pPr>
              <w:rPr>
                <w:sz w:val="14"/>
                <w:szCs w:val="14"/>
              </w:rPr>
            </w:pPr>
          </w:p>
        </w:tc>
      </w:tr>
      <w:tr w:rsidR="00377AF5" w:rsidRPr="00377AF5" w14:paraId="586F4512" w14:textId="77777777" w:rsidTr="00377AF5">
        <w:trPr>
          <w:trHeight w:val="20"/>
        </w:trPr>
        <w:tc>
          <w:tcPr>
            <w:tcW w:w="986" w:type="dxa"/>
            <w:tcBorders>
              <w:top w:val="single" w:sz="4" w:space="0" w:color="auto"/>
              <w:left w:val="nil"/>
              <w:bottom w:val="nil"/>
              <w:right w:val="nil"/>
            </w:tcBorders>
            <w:shd w:val="clear" w:color="auto" w:fill="auto"/>
            <w:noWrap/>
            <w:vAlign w:val="bottom"/>
            <w:hideMark/>
          </w:tcPr>
          <w:p w14:paraId="53F915B2" w14:textId="77777777" w:rsidR="00F44ED1" w:rsidRPr="00377AF5" w:rsidRDefault="00F44ED1">
            <w:pPr>
              <w:rPr>
                <w:sz w:val="14"/>
                <w:szCs w:val="14"/>
              </w:rPr>
            </w:pPr>
          </w:p>
        </w:tc>
        <w:tc>
          <w:tcPr>
            <w:tcW w:w="855" w:type="dxa"/>
            <w:tcBorders>
              <w:top w:val="single" w:sz="4" w:space="0" w:color="auto"/>
              <w:left w:val="nil"/>
              <w:bottom w:val="nil"/>
              <w:right w:val="nil"/>
            </w:tcBorders>
            <w:shd w:val="clear" w:color="auto" w:fill="auto"/>
            <w:noWrap/>
            <w:vAlign w:val="bottom"/>
            <w:hideMark/>
          </w:tcPr>
          <w:p w14:paraId="15C2360B" w14:textId="77777777" w:rsidR="00F44ED1" w:rsidRPr="00377AF5" w:rsidRDefault="00F44ED1">
            <w:pPr>
              <w:rPr>
                <w:sz w:val="14"/>
                <w:szCs w:val="14"/>
              </w:rPr>
            </w:pPr>
          </w:p>
        </w:tc>
        <w:tc>
          <w:tcPr>
            <w:tcW w:w="2273" w:type="dxa"/>
            <w:tcBorders>
              <w:top w:val="single" w:sz="4" w:space="0" w:color="auto"/>
              <w:left w:val="nil"/>
              <w:bottom w:val="nil"/>
              <w:right w:val="nil"/>
            </w:tcBorders>
            <w:shd w:val="clear" w:color="auto" w:fill="auto"/>
            <w:noWrap/>
            <w:vAlign w:val="bottom"/>
            <w:hideMark/>
          </w:tcPr>
          <w:p w14:paraId="569FF872" w14:textId="77777777" w:rsidR="00F44ED1" w:rsidRPr="00377AF5" w:rsidRDefault="00F44ED1">
            <w:pPr>
              <w:rPr>
                <w:sz w:val="14"/>
                <w:szCs w:val="14"/>
              </w:rPr>
            </w:pPr>
          </w:p>
        </w:tc>
        <w:tc>
          <w:tcPr>
            <w:tcW w:w="783" w:type="dxa"/>
            <w:tcBorders>
              <w:top w:val="single" w:sz="4" w:space="0" w:color="auto"/>
              <w:left w:val="nil"/>
              <w:bottom w:val="nil"/>
              <w:right w:val="nil"/>
            </w:tcBorders>
            <w:shd w:val="clear" w:color="auto" w:fill="auto"/>
            <w:noWrap/>
            <w:vAlign w:val="bottom"/>
            <w:hideMark/>
          </w:tcPr>
          <w:p w14:paraId="520B0CF2" w14:textId="77777777" w:rsidR="00F44ED1" w:rsidRPr="00377AF5" w:rsidRDefault="00F44ED1">
            <w:pPr>
              <w:rPr>
                <w:sz w:val="14"/>
                <w:szCs w:val="14"/>
              </w:rPr>
            </w:pPr>
          </w:p>
        </w:tc>
        <w:tc>
          <w:tcPr>
            <w:tcW w:w="803" w:type="dxa"/>
            <w:tcBorders>
              <w:top w:val="nil"/>
              <w:left w:val="nil"/>
              <w:bottom w:val="nil"/>
              <w:right w:val="nil"/>
            </w:tcBorders>
            <w:shd w:val="clear" w:color="auto" w:fill="auto"/>
            <w:noWrap/>
            <w:vAlign w:val="bottom"/>
            <w:hideMark/>
          </w:tcPr>
          <w:p w14:paraId="0CFC9076" w14:textId="77777777" w:rsidR="00F44ED1" w:rsidRPr="00377AF5" w:rsidRDefault="00F44ED1">
            <w:pPr>
              <w:rPr>
                <w:sz w:val="14"/>
                <w:szCs w:val="14"/>
              </w:rPr>
            </w:pPr>
          </w:p>
        </w:tc>
        <w:tc>
          <w:tcPr>
            <w:tcW w:w="757" w:type="dxa"/>
            <w:tcBorders>
              <w:top w:val="nil"/>
              <w:left w:val="nil"/>
              <w:bottom w:val="nil"/>
              <w:right w:val="nil"/>
            </w:tcBorders>
            <w:shd w:val="clear" w:color="auto" w:fill="auto"/>
            <w:noWrap/>
            <w:vAlign w:val="bottom"/>
            <w:hideMark/>
          </w:tcPr>
          <w:p w14:paraId="503EAB99" w14:textId="77777777" w:rsidR="00F44ED1" w:rsidRPr="00377AF5" w:rsidRDefault="00F44ED1">
            <w:pPr>
              <w:rPr>
                <w:sz w:val="14"/>
                <w:szCs w:val="14"/>
              </w:rPr>
            </w:pPr>
          </w:p>
        </w:tc>
        <w:tc>
          <w:tcPr>
            <w:tcW w:w="1515" w:type="dxa"/>
            <w:tcBorders>
              <w:top w:val="nil"/>
              <w:left w:val="nil"/>
              <w:bottom w:val="nil"/>
              <w:right w:val="nil"/>
            </w:tcBorders>
            <w:shd w:val="clear" w:color="auto" w:fill="auto"/>
            <w:noWrap/>
            <w:vAlign w:val="bottom"/>
            <w:hideMark/>
          </w:tcPr>
          <w:p w14:paraId="0F49F749" w14:textId="77777777" w:rsidR="00F44ED1" w:rsidRPr="00377AF5" w:rsidRDefault="00F44ED1">
            <w:pPr>
              <w:rPr>
                <w:sz w:val="14"/>
                <w:szCs w:val="14"/>
              </w:rPr>
            </w:pPr>
          </w:p>
        </w:tc>
        <w:tc>
          <w:tcPr>
            <w:tcW w:w="1655" w:type="dxa"/>
            <w:tcBorders>
              <w:top w:val="nil"/>
              <w:left w:val="nil"/>
              <w:bottom w:val="nil"/>
              <w:right w:val="nil"/>
            </w:tcBorders>
            <w:shd w:val="clear" w:color="auto" w:fill="auto"/>
            <w:noWrap/>
            <w:vAlign w:val="bottom"/>
            <w:hideMark/>
          </w:tcPr>
          <w:p w14:paraId="23A051CF" w14:textId="77777777" w:rsidR="00F44ED1" w:rsidRPr="00377AF5" w:rsidRDefault="00F44ED1">
            <w:pPr>
              <w:rPr>
                <w:sz w:val="14"/>
                <w:szCs w:val="14"/>
              </w:rPr>
            </w:pPr>
          </w:p>
        </w:tc>
      </w:tr>
      <w:tr w:rsidR="00377AF5" w:rsidRPr="00377AF5" w14:paraId="7DF5ABF3" w14:textId="77777777" w:rsidTr="00377AF5">
        <w:trPr>
          <w:trHeight w:val="20"/>
        </w:trPr>
        <w:tc>
          <w:tcPr>
            <w:tcW w:w="986" w:type="dxa"/>
            <w:tcBorders>
              <w:top w:val="single" w:sz="8" w:space="0" w:color="auto"/>
              <w:left w:val="single" w:sz="4" w:space="0" w:color="808000"/>
              <w:bottom w:val="single" w:sz="8" w:space="0" w:color="auto"/>
              <w:right w:val="single" w:sz="4" w:space="0" w:color="808000"/>
            </w:tcBorders>
            <w:shd w:val="clear" w:color="000000" w:fill="FFFF99"/>
            <w:vAlign w:val="center"/>
            <w:hideMark/>
          </w:tcPr>
          <w:p w14:paraId="3FB99955" w14:textId="77777777" w:rsidR="00F44ED1" w:rsidRPr="00377AF5" w:rsidRDefault="00F44ED1">
            <w:pPr>
              <w:jc w:val="center"/>
              <w:rPr>
                <w:rFonts w:ascii="Calibri" w:hAnsi="Calibri"/>
                <w:b/>
                <w:bCs/>
                <w:sz w:val="14"/>
                <w:szCs w:val="14"/>
              </w:rPr>
            </w:pPr>
            <w:r w:rsidRPr="00377AF5">
              <w:rPr>
                <w:rFonts w:ascii="Calibri" w:hAnsi="Calibri"/>
                <w:b/>
                <w:bCs/>
                <w:sz w:val="14"/>
                <w:szCs w:val="14"/>
              </w:rPr>
              <w:t>IPC   (Var. Año anterior)</w:t>
            </w:r>
          </w:p>
        </w:tc>
        <w:tc>
          <w:tcPr>
            <w:tcW w:w="855" w:type="dxa"/>
            <w:tcBorders>
              <w:top w:val="single" w:sz="8" w:space="0" w:color="auto"/>
              <w:left w:val="nil"/>
              <w:bottom w:val="single" w:sz="8" w:space="0" w:color="auto"/>
              <w:right w:val="single" w:sz="4" w:space="0" w:color="808000"/>
            </w:tcBorders>
            <w:shd w:val="clear" w:color="000000" w:fill="FFFF99"/>
            <w:vAlign w:val="center"/>
            <w:hideMark/>
          </w:tcPr>
          <w:p w14:paraId="4E3C2AE5" w14:textId="77777777" w:rsidR="00F44ED1" w:rsidRPr="00377AF5" w:rsidRDefault="00F44ED1">
            <w:pPr>
              <w:jc w:val="center"/>
              <w:rPr>
                <w:rFonts w:ascii="Calibri" w:hAnsi="Calibri"/>
                <w:b/>
                <w:bCs/>
                <w:sz w:val="14"/>
                <w:szCs w:val="14"/>
              </w:rPr>
            </w:pPr>
            <w:r w:rsidRPr="00377AF5">
              <w:rPr>
                <w:rFonts w:ascii="Calibri" w:hAnsi="Calibri"/>
                <w:b/>
                <w:bCs/>
                <w:sz w:val="14"/>
                <w:szCs w:val="14"/>
              </w:rPr>
              <w:t>Desde</w:t>
            </w:r>
          </w:p>
        </w:tc>
        <w:tc>
          <w:tcPr>
            <w:tcW w:w="2273" w:type="dxa"/>
            <w:tcBorders>
              <w:top w:val="single" w:sz="8" w:space="0" w:color="auto"/>
              <w:left w:val="nil"/>
              <w:bottom w:val="single" w:sz="8" w:space="0" w:color="auto"/>
              <w:right w:val="single" w:sz="4" w:space="0" w:color="808000"/>
            </w:tcBorders>
            <w:shd w:val="clear" w:color="000000" w:fill="FFFF99"/>
            <w:vAlign w:val="center"/>
            <w:hideMark/>
          </w:tcPr>
          <w:p w14:paraId="754664EF" w14:textId="77777777" w:rsidR="00F44ED1" w:rsidRPr="00377AF5" w:rsidRDefault="00F44ED1">
            <w:pPr>
              <w:jc w:val="center"/>
              <w:rPr>
                <w:rFonts w:ascii="Calibri" w:hAnsi="Calibri"/>
                <w:b/>
                <w:bCs/>
                <w:sz w:val="14"/>
                <w:szCs w:val="14"/>
              </w:rPr>
            </w:pPr>
            <w:r w:rsidRPr="00377AF5">
              <w:rPr>
                <w:rFonts w:ascii="Calibri" w:hAnsi="Calibri"/>
                <w:b/>
                <w:bCs/>
                <w:sz w:val="14"/>
                <w:szCs w:val="14"/>
              </w:rPr>
              <w:t>Hasta</w:t>
            </w:r>
          </w:p>
        </w:tc>
        <w:tc>
          <w:tcPr>
            <w:tcW w:w="783" w:type="dxa"/>
            <w:tcBorders>
              <w:top w:val="single" w:sz="8" w:space="0" w:color="auto"/>
              <w:left w:val="nil"/>
              <w:bottom w:val="single" w:sz="8" w:space="0" w:color="auto"/>
              <w:right w:val="single" w:sz="4" w:space="0" w:color="808000"/>
            </w:tcBorders>
            <w:shd w:val="clear" w:color="000000" w:fill="FFFF99"/>
            <w:vAlign w:val="center"/>
            <w:hideMark/>
          </w:tcPr>
          <w:p w14:paraId="289B2B8C" w14:textId="77777777" w:rsidR="00F44ED1" w:rsidRPr="00377AF5" w:rsidRDefault="00F44ED1">
            <w:pPr>
              <w:jc w:val="center"/>
              <w:rPr>
                <w:rFonts w:ascii="Calibri" w:hAnsi="Calibri"/>
                <w:b/>
                <w:bCs/>
                <w:sz w:val="14"/>
                <w:szCs w:val="14"/>
              </w:rPr>
            </w:pPr>
            <w:r w:rsidRPr="00377AF5">
              <w:rPr>
                <w:rFonts w:ascii="Calibri" w:hAnsi="Calibri"/>
                <w:b/>
                <w:bCs/>
                <w:sz w:val="14"/>
                <w:szCs w:val="14"/>
              </w:rPr>
              <w:t>Causadas</w:t>
            </w:r>
          </w:p>
        </w:tc>
        <w:tc>
          <w:tcPr>
            <w:tcW w:w="803" w:type="dxa"/>
            <w:tcBorders>
              <w:top w:val="single" w:sz="8" w:space="0" w:color="auto"/>
              <w:left w:val="nil"/>
              <w:bottom w:val="single" w:sz="8" w:space="0" w:color="auto"/>
              <w:right w:val="single" w:sz="4" w:space="0" w:color="808000"/>
            </w:tcBorders>
            <w:shd w:val="clear" w:color="000000" w:fill="FFFF99"/>
            <w:vAlign w:val="center"/>
            <w:hideMark/>
          </w:tcPr>
          <w:p w14:paraId="63E2641D" w14:textId="77777777" w:rsidR="00F44ED1" w:rsidRPr="00377AF5" w:rsidRDefault="00F44ED1">
            <w:pPr>
              <w:jc w:val="center"/>
              <w:rPr>
                <w:rFonts w:ascii="Calibri" w:hAnsi="Calibri"/>
                <w:b/>
                <w:bCs/>
                <w:sz w:val="14"/>
                <w:szCs w:val="14"/>
              </w:rPr>
            </w:pPr>
            <w:r w:rsidRPr="00377AF5">
              <w:rPr>
                <w:rFonts w:ascii="Calibri" w:hAnsi="Calibri"/>
                <w:b/>
                <w:bCs/>
                <w:sz w:val="14"/>
                <w:szCs w:val="14"/>
              </w:rPr>
              <w:t xml:space="preserve">Mesada </w:t>
            </w:r>
            <w:proofErr w:type="spellStart"/>
            <w:r w:rsidRPr="00377AF5">
              <w:rPr>
                <w:rFonts w:ascii="Calibri" w:hAnsi="Calibri"/>
                <w:b/>
                <w:bCs/>
                <w:sz w:val="14"/>
                <w:szCs w:val="14"/>
              </w:rPr>
              <w:t>reliquidada</w:t>
            </w:r>
            <w:proofErr w:type="spellEnd"/>
          </w:p>
        </w:tc>
        <w:tc>
          <w:tcPr>
            <w:tcW w:w="757" w:type="dxa"/>
            <w:tcBorders>
              <w:top w:val="single" w:sz="8" w:space="0" w:color="auto"/>
              <w:left w:val="nil"/>
              <w:bottom w:val="single" w:sz="8" w:space="0" w:color="auto"/>
              <w:right w:val="single" w:sz="4" w:space="0" w:color="808000"/>
            </w:tcBorders>
            <w:shd w:val="clear" w:color="000000" w:fill="FFFF99"/>
            <w:vAlign w:val="center"/>
            <w:hideMark/>
          </w:tcPr>
          <w:p w14:paraId="7F278698" w14:textId="77777777" w:rsidR="00F44ED1" w:rsidRPr="00377AF5" w:rsidRDefault="00F44ED1">
            <w:pPr>
              <w:jc w:val="center"/>
              <w:rPr>
                <w:rFonts w:ascii="Calibri" w:hAnsi="Calibri"/>
                <w:b/>
                <w:bCs/>
                <w:sz w:val="14"/>
                <w:szCs w:val="14"/>
              </w:rPr>
            </w:pPr>
            <w:r w:rsidRPr="00377AF5">
              <w:rPr>
                <w:rFonts w:ascii="Calibri" w:hAnsi="Calibri"/>
                <w:b/>
                <w:bCs/>
                <w:sz w:val="14"/>
                <w:szCs w:val="14"/>
              </w:rPr>
              <w:t>Mesada anterior</w:t>
            </w:r>
          </w:p>
        </w:tc>
        <w:tc>
          <w:tcPr>
            <w:tcW w:w="1515" w:type="dxa"/>
            <w:tcBorders>
              <w:top w:val="single" w:sz="8" w:space="0" w:color="auto"/>
              <w:left w:val="nil"/>
              <w:bottom w:val="single" w:sz="8" w:space="0" w:color="auto"/>
              <w:right w:val="single" w:sz="4" w:space="0" w:color="808000"/>
            </w:tcBorders>
            <w:shd w:val="clear" w:color="000000" w:fill="FFFF99"/>
            <w:vAlign w:val="center"/>
            <w:hideMark/>
          </w:tcPr>
          <w:p w14:paraId="2A638229" w14:textId="77777777" w:rsidR="00F44ED1" w:rsidRPr="00377AF5" w:rsidRDefault="00F44ED1">
            <w:pPr>
              <w:jc w:val="center"/>
              <w:rPr>
                <w:rFonts w:ascii="Calibri" w:hAnsi="Calibri"/>
                <w:b/>
                <w:bCs/>
                <w:sz w:val="14"/>
                <w:szCs w:val="14"/>
              </w:rPr>
            </w:pPr>
            <w:r w:rsidRPr="00377AF5">
              <w:rPr>
                <w:rFonts w:ascii="Calibri" w:hAnsi="Calibri"/>
                <w:b/>
                <w:bCs/>
                <w:sz w:val="14"/>
                <w:szCs w:val="14"/>
              </w:rPr>
              <w:t xml:space="preserve"> Prescritas </w:t>
            </w:r>
          </w:p>
        </w:tc>
        <w:tc>
          <w:tcPr>
            <w:tcW w:w="1655" w:type="dxa"/>
            <w:tcBorders>
              <w:top w:val="single" w:sz="8" w:space="0" w:color="auto"/>
              <w:left w:val="nil"/>
              <w:bottom w:val="single" w:sz="8" w:space="0" w:color="auto"/>
              <w:right w:val="single" w:sz="4" w:space="0" w:color="808000"/>
            </w:tcBorders>
            <w:shd w:val="clear" w:color="000000" w:fill="FFFF99"/>
            <w:vAlign w:val="center"/>
            <w:hideMark/>
          </w:tcPr>
          <w:p w14:paraId="46852BFF" w14:textId="77777777" w:rsidR="00F44ED1" w:rsidRPr="00377AF5" w:rsidRDefault="00F44ED1">
            <w:pPr>
              <w:jc w:val="center"/>
              <w:rPr>
                <w:rFonts w:ascii="Calibri" w:hAnsi="Calibri"/>
                <w:b/>
                <w:bCs/>
                <w:sz w:val="14"/>
                <w:szCs w:val="14"/>
              </w:rPr>
            </w:pPr>
            <w:r w:rsidRPr="00377AF5">
              <w:rPr>
                <w:rFonts w:ascii="Calibri" w:hAnsi="Calibri"/>
                <w:b/>
                <w:bCs/>
                <w:sz w:val="14"/>
                <w:szCs w:val="14"/>
              </w:rPr>
              <w:t xml:space="preserve"> Diferencias a cancelar </w:t>
            </w:r>
          </w:p>
        </w:tc>
      </w:tr>
      <w:tr w:rsidR="00377AF5" w:rsidRPr="00377AF5" w14:paraId="1B596D32"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4D29312" w14:textId="77777777" w:rsidR="00F44ED1" w:rsidRPr="00377AF5" w:rsidRDefault="00F44ED1">
            <w:pPr>
              <w:jc w:val="center"/>
              <w:rPr>
                <w:rFonts w:ascii="Calibri" w:hAnsi="Calibri"/>
                <w:sz w:val="14"/>
                <w:szCs w:val="14"/>
              </w:rPr>
            </w:pPr>
            <w:r w:rsidRPr="00377AF5">
              <w:rPr>
                <w:rFonts w:ascii="Calibri" w:hAnsi="Calibri"/>
                <w:sz w:val="14"/>
                <w:szCs w:val="14"/>
              </w:rPr>
              <w:t>21,63</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2D60F4E1" w14:textId="77777777" w:rsidR="00F44ED1" w:rsidRPr="00377AF5" w:rsidRDefault="00F44ED1">
            <w:pPr>
              <w:jc w:val="right"/>
              <w:rPr>
                <w:rFonts w:ascii="Calibri" w:hAnsi="Calibri"/>
                <w:sz w:val="14"/>
                <w:szCs w:val="14"/>
              </w:rPr>
            </w:pPr>
            <w:r w:rsidRPr="00377AF5">
              <w:rPr>
                <w:rFonts w:ascii="Calibri" w:hAnsi="Calibri"/>
                <w:sz w:val="14"/>
                <w:szCs w:val="14"/>
              </w:rPr>
              <w:t>07-dic-96</w:t>
            </w:r>
          </w:p>
        </w:tc>
        <w:tc>
          <w:tcPr>
            <w:tcW w:w="2273" w:type="dxa"/>
            <w:tcBorders>
              <w:top w:val="nil"/>
              <w:left w:val="nil"/>
              <w:bottom w:val="single" w:sz="4" w:space="0" w:color="808000"/>
              <w:right w:val="single" w:sz="4" w:space="0" w:color="808000"/>
            </w:tcBorders>
            <w:shd w:val="clear" w:color="auto" w:fill="auto"/>
            <w:noWrap/>
            <w:vAlign w:val="center"/>
            <w:hideMark/>
          </w:tcPr>
          <w:p w14:paraId="7B9F1F52"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31-dic-96</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228186D9" w14:textId="77777777" w:rsidR="00F44ED1" w:rsidRPr="00377AF5" w:rsidRDefault="00F44ED1">
            <w:pPr>
              <w:jc w:val="center"/>
              <w:rPr>
                <w:rFonts w:ascii="Calibri" w:hAnsi="Calibri"/>
                <w:sz w:val="14"/>
                <w:szCs w:val="14"/>
              </w:rPr>
            </w:pPr>
            <w:r w:rsidRPr="00377AF5">
              <w:rPr>
                <w:rFonts w:ascii="Calibri" w:hAnsi="Calibri"/>
                <w:sz w:val="14"/>
                <w:szCs w:val="14"/>
              </w:rPr>
              <w:t>1,23</w:t>
            </w:r>
          </w:p>
        </w:tc>
        <w:tc>
          <w:tcPr>
            <w:tcW w:w="803" w:type="dxa"/>
            <w:tcBorders>
              <w:top w:val="nil"/>
              <w:left w:val="nil"/>
              <w:bottom w:val="single" w:sz="4" w:space="0" w:color="003366"/>
              <w:right w:val="single" w:sz="4" w:space="0" w:color="003366"/>
            </w:tcBorders>
            <w:shd w:val="clear" w:color="000000" w:fill="FFFFCC"/>
            <w:vAlign w:val="bottom"/>
            <w:hideMark/>
          </w:tcPr>
          <w:p w14:paraId="5E1F08A0" w14:textId="77777777" w:rsidR="00F44ED1" w:rsidRPr="00377AF5" w:rsidRDefault="00F44ED1">
            <w:pPr>
              <w:rPr>
                <w:rFonts w:ascii="Calibri" w:hAnsi="Calibri"/>
                <w:sz w:val="14"/>
                <w:szCs w:val="14"/>
              </w:rPr>
            </w:pPr>
            <w:r w:rsidRPr="00377AF5">
              <w:rPr>
                <w:rFonts w:ascii="Calibri" w:hAnsi="Calibri"/>
                <w:sz w:val="14"/>
                <w:szCs w:val="14"/>
              </w:rPr>
              <w:t xml:space="preserve">                 213.631 </w:t>
            </w:r>
          </w:p>
        </w:tc>
        <w:tc>
          <w:tcPr>
            <w:tcW w:w="757" w:type="dxa"/>
            <w:tcBorders>
              <w:top w:val="nil"/>
              <w:left w:val="nil"/>
              <w:bottom w:val="single" w:sz="4" w:space="0" w:color="003366"/>
              <w:right w:val="single" w:sz="4" w:space="0" w:color="003366"/>
            </w:tcBorders>
            <w:shd w:val="clear" w:color="000000" w:fill="FFFFFF"/>
            <w:noWrap/>
            <w:vAlign w:val="center"/>
            <w:hideMark/>
          </w:tcPr>
          <w:p w14:paraId="679ABB23" w14:textId="77777777" w:rsidR="00F44ED1" w:rsidRPr="00377AF5" w:rsidRDefault="00F44ED1">
            <w:pPr>
              <w:jc w:val="right"/>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360A25D3" w14:textId="77777777" w:rsidR="00F44ED1" w:rsidRPr="00377AF5" w:rsidRDefault="00F44ED1">
            <w:pPr>
              <w:jc w:val="center"/>
              <w:rPr>
                <w:rFonts w:ascii="Calibri" w:hAnsi="Calibri"/>
                <w:sz w:val="14"/>
                <w:szCs w:val="14"/>
              </w:rPr>
            </w:pPr>
            <w:r w:rsidRPr="00377AF5">
              <w:rPr>
                <w:rFonts w:ascii="Calibri" w:hAnsi="Calibri"/>
                <w:sz w:val="14"/>
                <w:szCs w:val="14"/>
              </w:rPr>
              <w:t xml:space="preserve">               1,23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3E59F003"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4F69E90D"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0BEE34A" w14:textId="77777777" w:rsidR="00F44ED1" w:rsidRPr="00377AF5" w:rsidRDefault="00F44ED1">
            <w:pPr>
              <w:jc w:val="center"/>
              <w:rPr>
                <w:rFonts w:ascii="Calibri" w:hAnsi="Calibri"/>
                <w:sz w:val="14"/>
                <w:szCs w:val="14"/>
              </w:rPr>
            </w:pPr>
            <w:r w:rsidRPr="00377AF5">
              <w:rPr>
                <w:rFonts w:ascii="Calibri" w:hAnsi="Calibri"/>
                <w:sz w:val="14"/>
                <w:szCs w:val="14"/>
              </w:rPr>
              <w:t>17,68</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46227CB4" w14:textId="77777777" w:rsidR="00F44ED1" w:rsidRPr="00377AF5" w:rsidRDefault="00F44ED1">
            <w:pPr>
              <w:jc w:val="right"/>
              <w:rPr>
                <w:rFonts w:ascii="Calibri" w:hAnsi="Calibri"/>
                <w:sz w:val="14"/>
                <w:szCs w:val="14"/>
              </w:rPr>
            </w:pPr>
            <w:r w:rsidRPr="00377AF5">
              <w:rPr>
                <w:rFonts w:ascii="Calibri" w:hAnsi="Calibri"/>
                <w:sz w:val="14"/>
                <w:szCs w:val="14"/>
              </w:rPr>
              <w:t>01-ene-97</w:t>
            </w:r>
          </w:p>
        </w:tc>
        <w:tc>
          <w:tcPr>
            <w:tcW w:w="2273" w:type="dxa"/>
            <w:tcBorders>
              <w:top w:val="nil"/>
              <w:left w:val="nil"/>
              <w:bottom w:val="single" w:sz="4" w:space="0" w:color="808000"/>
              <w:right w:val="single" w:sz="4" w:space="0" w:color="808000"/>
            </w:tcBorders>
            <w:shd w:val="clear" w:color="auto" w:fill="auto"/>
            <w:noWrap/>
            <w:vAlign w:val="center"/>
            <w:hideMark/>
          </w:tcPr>
          <w:p w14:paraId="3416D1AB"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31-dic-97</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A766383"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5AD482FD" w14:textId="77777777" w:rsidR="00F44ED1" w:rsidRPr="00377AF5" w:rsidRDefault="00F44ED1">
            <w:pPr>
              <w:rPr>
                <w:rFonts w:ascii="Calibri" w:hAnsi="Calibri"/>
                <w:sz w:val="14"/>
                <w:szCs w:val="14"/>
              </w:rPr>
            </w:pPr>
            <w:r w:rsidRPr="00377AF5">
              <w:rPr>
                <w:rFonts w:ascii="Calibri" w:hAnsi="Calibri"/>
                <w:sz w:val="14"/>
                <w:szCs w:val="14"/>
              </w:rPr>
              <w:t xml:space="preserve">                 259.839 </w:t>
            </w:r>
          </w:p>
        </w:tc>
        <w:tc>
          <w:tcPr>
            <w:tcW w:w="757" w:type="dxa"/>
            <w:tcBorders>
              <w:top w:val="nil"/>
              <w:left w:val="nil"/>
              <w:bottom w:val="single" w:sz="4" w:space="0" w:color="003366"/>
              <w:right w:val="single" w:sz="4" w:space="0" w:color="003366"/>
            </w:tcBorders>
            <w:shd w:val="clear" w:color="000000" w:fill="FFFFCC"/>
            <w:vAlign w:val="bottom"/>
            <w:hideMark/>
          </w:tcPr>
          <w:p w14:paraId="25B1FB0E"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37F90514"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6744A48F"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60C146A8"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2D1E6F2A" w14:textId="77777777" w:rsidR="00F44ED1" w:rsidRPr="00377AF5" w:rsidRDefault="00F44ED1">
            <w:pPr>
              <w:jc w:val="center"/>
              <w:rPr>
                <w:rFonts w:ascii="Calibri" w:hAnsi="Calibri"/>
                <w:sz w:val="14"/>
                <w:szCs w:val="14"/>
              </w:rPr>
            </w:pPr>
            <w:r w:rsidRPr="00377AF5">
              <w:rPr>
                <w:rFonts w:ascii="Calibri" w:hAnsi="Calibri"/>
                <w:sz w:val="14"/>
                <w:szCs w:val="14"/>
              </w:rPr>
              <w:t>16,70</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039B7720" w14:textId="77777777" w:rsidR="00F44ED1" w:rsidRPr="00377AF5" w:rsidRDefault="00F44ED1">
            <w:pPr>
              <w:jc w:val="right"/>
              <w:rPr>
                <w:rFonts w:ascii="Calibri" w:hAnsi="Calibri"/>
                <w:sz w:val="14"/>
                <w:szCs w:val="14"/>
              </w:rPr>
            </w:pPr>
            <w:r w:rsidRPr="00377AF5">
              <w:rPr>
                <w:rFonts w:ascii="Calibri" w:hAnsi="Calibri"/>
                <w:sz w:val="14"/>
                <w:szCs w:val="14"/>
              </w:rPr>
              <w:t>01-ene-98</w:t>
            </w:r>
          </w:p>
        </w:tc>
        <w:tc>
          <w:tcPr>
            <w:tcW w:w="2273" w:type="dxa"/>
            <w:tcBorders>
              <w:top w:val="nil"/>
              <w:left w:val="nil"/>
              <w:bottom w:val="single" w:sz="4" w:space="0" w:color="808000"/>
              <w:right w:val="single" w:sz="4" w:space="0" w:color="808000"/>
            </w:tcBorders>
            <w:shd w:val="clear" w:color="auto" w:fill="auto"/>
            <w:noWrap/>
            <w:vAlign w:val="center"/>
            <w:hideMark/>
          </w:tcPr>
          <w:p w14:paraId="7E35CA6E"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31-dic-98</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70A3ECEC"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5BC50973" w14:textId="77777777" w:rsidR="00F44ED1" w:rsidRPr="00377AF5" w:rsidRDefault="00F44ED1">
            <w:pPr>
              <w:rPr>
                <w:rFonts w:ascii="Calibri" w:hAnsi="Calibri"/>
                <w:sz w:val="14"/>
                <w:szCs w:val="14"/>
              </w:rPr>
            </w:pPr>
            <w:r w:rsidRPr="00377AF5">
              <w:rPr>
                <w:rFonts w:ascii="Calibri" w:hAnsi="Calibri"/>
                <w:sz w:val="14"/>
                <w:szCs w:val="14"/>
              </w:rPr>
              <w:t xml:space="preserve">                 305.779 </w:t>
            </w:r>
          </w:p>
        </w:tc>
        <w:tc>
          <w:tcPr>
            <w:tcW w:w="757" w:type="dxa"/>
            <w:tcBorders>
              <w:top w:val="nil"/>
              <w:left w:val="nil"/>
              <w:bottom w:val="single" w:sz="4" w:space="0" w:color="003366"/>
              <w:right w:val="single" w:sz="4" w:space="0" w:color="003366"/>
            </w:tcBorders>
            <w:shd w:val="clear" w:color="000000" w:fill="FFFFCC"/>
            <w:vAlign w:val="bottom"/>
            <w:hideMark/>
          </w:tcPr>
          <w:p w14:paraId="31087A63"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2D4BFA3D"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56CBBA92"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1777AB64"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71C09024" w14:textId="77777777" w:rsidR="00F44ED1" w:rsidRPr="00377AF5" w:rsidRDefault="00F44ED1">
            <w:pPr>
              <w:jc w:val="center"/>
              <w:rPr>
                <w:rFonts w:ascii="Calibri" w:hAnsi="Calibri"/>
                <w:sz w:val="14"/>
                <w:szCs w:val="14"/>
              </w:rPr>
            </w:pPr>
            <w:r w:rsidRPr="00377AF5">
              <w:rPr>
                <w:rFonts w:ascii="Calibri" w:hAnsi="Calibri"/>
                <w:sz w:val="14"/>
                <w:szCs w:val="14"/>
              </w:rPr>
              <w:t>9,23</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0366B19D" w14:textId="77777777" w:rsidR="00F44ED1" w:rsidRPr="00377AF5" w:rsidRDefault="00F44ED1">
            <w:pPr>
              <w:jc w:val="right"/>
              <w:rPr>
                <w:rFonts w:ascii="Calibri" w:hAnsi="Calibri"/>
                <w:sz w:val="14"/>
                <w:szCs w:val="14"/>
              </w:rPr>
            </w:pPr>
            <w:r w:rsidRPr="00377AF5">
              <w:rPr>
                <w:rFonts w:ascii="Calibri" w:hAnsi="Calibri"/>
                <w:sz w:val="14"/>
                <w:szCs w:val="14"/>
              </w:rPr>
              <w:t>01-ene-99</w:t>
            </w:r>
          </w:p>
        </w:tc>
        <w:tc>
          <w:tcPr>
            <w:tcW w:w="2273" w:type="dxa"/>
            <w:tcBorders>
              <w:top w:val="nil"/>
              <w:left w:val="nil"/>
              <w:bottom w:val="single" w:sz="4" w:space="0" w:color="808000"/>
              <w:right w:val="single" w:sz="4" w:space="0" w:color="808000"/>
            </w:tcBorders>
            <w:shd w:val="clear" w:color="auto" w:fill="auto"/>
            <w:noWrap/>
            <w:vAlign w:val="center"/>
            <w:hideMark/>
          </w:tcPr>
          <w:p w14:paraId="15B88351"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31-dic-99</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2928581"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2A187FDB" w14:textId="77777777" w:rsidR="00F44ED1" w:rsidRPr="00377AF5" w:rsidRDefault="00F44ED1">
            <w:pPr>
              <w:rPr>
                <w:rFonts w:ascii="Calibri" w:hAnsi="Calibri"/>
                <w:sz w:val="14"/>
                <w:szCs w:val="14"/>
              </w:rPr>
            </w:pPr>
            <w:r w:rsidRPr="00377AF5">
              <w:rPr>
                <w:rFonts w:ascii="Calibri" w:hAnsi="Calibri"/>
                <w:sz w:val="14"/>
                <w:szCs w:val="14"/>
              </w:rPr>
              <w:t xml:space="preserve">                 356.844 </w:t>
            </w:r>
          </w:p>
        </w:tc>
        <w:tc>
          <w:tcPr>
            <w:tcW w:w="757" w:type="dxa"/>
            <w:tcBorders>
              <w:top w:val="nil"/>
              <w:left w:val="nil"/>
              <w:bottom w:val="single" w:sz="4" w:space="0" w:color="003366"/>
              <w:right w:val="single" w:sz="4" w:space="0" w:color="003366"/>
            </w:tcBorders>
            <w:shd w:val="clear" w:color="000000" w:fill="FFFFCC"/>
            <w:vAlign w:val="bottom"/>
            <w:hideMark/>
          </w:tcPr>
          <w:p w14:paraId="08EDADCF"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213188FC"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0460FA86"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1BA335C6"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64F6E475" w14:textId="77777777" w:rsidR="00F44ED1" w:rsidRPr="00377AF5" w:rsidRDefault="00F44ED1">
            <w:pPr>
              <w:jc w:val="center"/>
              <w:rPr>
                <w:rFonts w:ascii="Calibri" w:hAnsi="Calibri"/>
                <w:sz w:val="14"/>
                <w:szCs w:val="14"/>
              </w:rPr>
            </w:pPr>
            <w:r w:rsidRPr="00377AF5">
              <w:rPr>
                <w:rFonts w:ascii="Calibri" w:hAnsi="Calibri"/>
                <w:sz w:val="14"/>
                <w:szCs w:val="14"/>
              </w:rPr>
              <w:t>8,75</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6EA74121" w14:textId="77777777" w:rsidR="00F44ED1" w:rsidRPr="00377AF5" w:rsidRDefault="00F44ED1">
            <w:pPr>
              <w:jc w:val="right"/>
              <w:rPr>
                <w:rFonts w:ascii="Calibri" w:hAnsi="Calibri"/>
                <w:sz w:val="14"/>
                <w:szCs w:val="14"/>
              </w:rPr>
            </w:pPr>
            <w:r w:rsidRPr="00377AF5">
              <w:rPr>
                <w:rFonts w:ascii="Calibri" w:hAnsi="Calibri"/>
                <w:sz w:val="14"/>
                <w:szCs w:val="14"/>
              </w:rPr>
              <w:t>01-ene-00</w:t>
            </w:r>
          </w:p>
        </w:tc>
        <w:tc>
          <w:tcPr>
            <w:tcW w:w="2273" w:type="dxa"/>
            <w:tcBorders>
              <w:top w:val="nil"/>
              <w:left w:val="nil"/>
              <w:bottom w:val="single" w:sz="4" w:space="0" w:color="808000"/>
              <w:right w:val="single" w:sz="4" w:space="0" w:color="808000"/>
            </w:tcBorders>
            <w:shd w:val="clear" w:color="auto" w:fill="auto"/>
            <w:noWrap/>
            <w:vAlign w:val="center"/>
            <w:hideMark/>
          </w:tcPr>
          <w:p w14:paraId="217A8D05"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31-dic-00</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7580C05F"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6760E842" w14:textId="77777777" w:rsidR="00F44ED1" w:rsidRPr="00377AF5" w:rsidRDefault="00F44ED1">
            <w:pPr>
              <w:rPr>
                <w:rFonts w:ascii="Calibri" w:hAnsi="Calibri"/>
                <w:sz w:val="14"/>
                <w:szCs w:val="14"/>
              </w:rPr>
            </w:pPr>
            <w:r w:rsidRPr="00377AF5">
              <w:rPr>
                <w:rFonts w:ascii="Calibri" w:hAnsi="Calibri"/>
                <w:sz w:val="14"/>
                <w:szCs w:val="14"/>
              </w:rPr>
              <w:t xml:space="preserve">                 389.780 </w:t>
            </w:r>
          </w:p>
        </w:tc>
        <w:tc>
          <w:tcPr>
            <w:tcW w:w="757" w:type="dxa"/>
            <w:tcBorders>
              <w:top w:val="nil"/>
              <w:left w:val="nil"/>
              <w:bottom w:val="single" w:sz="4" w:space="0" w:color="003366"/>
              <w:right w:val="single" w:sz="4" w:space="0" w:color="003366"/>
            </w:tcBorders>
            <w:shd w:val="clear" w:color="000000" w:fill="FFFFCC"/>
            <w:vAlign w:val="bottom"/>
            <w:hideMark/>
          </w:tcPr>
          <w:p w14:paraId="0BBB0D9D"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2205E726"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57816F99"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1D1A6BC9"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F52A3B3" w14:textId="77777777" w:rsidR="00F44ED1" w:rsidRPr="00377AF5" w:rsidRDefault="00F44ED1">
            <w:pPr>
              <w:jc w:val="center"/>
              <w:rPr>
                <w:rFonts w:ascii="Calibri" w:hAnsi="Calibri"/>
                <w:sz w:val="14"/>
                <w:szCs w:val="14"/>
              </w:rPr>
            </w:pPr>
            <w:r w:rsidRPr="00377AF5">
              <w:rPr>
                <w:rFonts w:ascii="Calibri" w:hAnsi="Calibri"/>
                <w:sz w:val="14"/>
                <w:szCs w:val="14"/>
              </w:rPr>
              <w:t>7,65</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005F01C4" w14:textId="77777777" w:rsidR="00F44ED1" w:rsidRPr="00377AF5" w:rsidRDefault="00F44ED1">
            <w:pPr>
              <w:jc w:val="right"/>
              <w:rPr>
                <w:rFonts w:ascii="Calibri" w:hAnsi="Calibri"/>
                <w:sz w:val="14"/>
                <w:szCs w:val="14"/>
              </w:rPr>
            </w:pPr>
            <w:r w:rsidRPr="00377AF5">
              <w:rPr>
                <w:rFonts w:ascii="Calibri" w:hAnsi="Calibri"/>
                <w:sz w:val="14"/>
                <w:szCs w:val="14"/>
              </w:rPr>
              <w:t>01-ene-01</w:t>
            </w:r>
          </w:p>
        </w:tc>
        <w:tc>
          <w:tcPr>
            <w:tcW w:w="2273" w:type="dxa"/>
            <w:tcBorders>
              <w:top w:val="nil"/>
              <w:left w:val="nil"/>
              <w:bottom w:val="single" w:sz="4" w:space="0" w:color="808000"/>
              <w:right w:val="single" w:sz="4" w:space="0" w:color="808000"/>
            </w:tcBorders>
            <w:shd w:val="clear" w:color="auto" w:fill="auto"/>
            <w:noWrap/>
            <w:vAlign w:val="center"/>
            <w:hideMark/>
          </w:tcPr>
          <w:p w14:paraId="57D379B8"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31-dic-01</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6F1668D"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55F82E3A" w14:textId="77777777" w:rsidR="00F44ED1" w:rsidRPr="00377AF5" w:rsidRDefault="00F44ED1">
            <w:pPr>
              <w:rPr>
                <w:rFonts w:ascii="Calibri" w:hAnsi="Calibri"/>
                <w:sz w:val="14"/>
                <w:szCs w:val="14"/>
              </w:rPr>
            </w:pPr>
            <w:r w:rsidRPr="00377AF5">
              <w:rPr>
                <w:rFonts w:ascii="Calibri" w:hAnsi="Calibri"/>
                <w:sz w:val="14"/>
                <w:szCs w:val="14"/>
              </w:rPr>
              <w:t xml:space="preserve">                 423.886 </w:t>
            </w:r>
          </w:p>
        </w:tc>
        <w:tc>
          <w:tcPr>
            <w:tcW w:w="757" w:type="dxa"/>
            <w:tcBorders>
              <w:top w:val="nil"/>
              <w:left w:val="nil"/>
              <w:bottom w:val="single" w:sz="4" w:space="0" w:color="003366"/>
              <w:right w:val="single" w:sz="4" w:space="0" w:color="003366"/>
            </w:tcBorders>
            <w:shd w:val="clear" w:color="000000" w:fill="FFFFCC"/>
            <w:vAlign w:val="bottom"/>
            <w:hideMark/>
          </w:tcPr>
          <w:p w14:paraId="2D123C57"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2FA1A435"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67254D7C"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4CF9369B"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19A5BA6A" w14:textId="77777777" w:rsidR="00F44ED1" w:rsidRPr="00377AF5" w:rsidRDefault="00F44ED1">
            <w:pPr>
              <w:jc w:val="center"/>
              <w:rPr>
                <w:rFonts w:ascii="Calibri" w:hAnsi="Calibri"/>
                <w:sz w:val="14"/>
                <w:szCs w:val="14"/>
              </w:rPr>
            </w:pPr>
            <w:r w:rsidRPr="00377AF5">
              <w:rPr>
                <w:rFonts w:ascii="Calibri" w:hAnsi="Calibri"/>
                <w:sz w:val="14"/>
                <w:szCs w:val="14"/>
              </w:rPr>
              <w:t>6,99</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05ED376C" w14:textId="77777777" w:rsidR="00F44ED1" w:rsidRPr="00377AF5" w:rsidRDefault="00F44ED1">
            <w:pPr>
              <w:jc w:val="right"/>
              <w:rPr>
                <w:rFonts w:ascii="Calibri" w:hAnsi="Calibri"/>
                <w:sz w:val="14"/>
                <w:szCs w:val="14"/>
              </w:rPr>
            </w:pPr>
            <w:r w:rsidRPr="00377AF5">
              <w:rPr>
                <w:rFonts w:ascii="Calibri" w:hAnsi="Calibri"/>
                <w:sz w:val="14"/>
                <w:szCs w:val="14"/>
              </w:rPr>
              <w:t>01-ene-02</w:t>
            </w:r>
          </w:p>
        </w:tc>
        <w:tc>
          <w:tcPr>
            <w:tcW w:w="2273" w:type="dxa"/>
            <w:tcBorders>
              <w:top w:val="nil"/>
              <w:left w:val="nil"/>
              <w:bottom w:val="single" w:sz="4" w:space="0" w:color="808000"/>
              <w:right w:val="single" w:sz="4" w:space="0" w:color="808000"/>
            </w:tcBorders>
            <w:shd w:val="clear" w:color="auto" w:fill="auto"/>
            <w:noWrap/>
            <w:vAlign w:val="center"/>
            <w:hideMark/>
          </w:tcPr>
          <w:p w14:paraId="7873E593"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31-dic-02</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113B3337"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27286D5E" w14:textId="77777777" w:rsidR="00F44ED1" w:rsidRPr="00377AF5" w:rsidRDefault="00F44ED1">
            <w:pPr>
              <w:rPr>
                <w:rFonts w:ascii="Calibri" w:hAnsi="Calibri"/>
                <w:sz w:val="14"/>
                <w:szCs w:val="14"/>
              </w:rPr>
            </w:pPr>
            <w:r w:rsidRPr="00377AF5">
              <w:rPr>
                <w:rFonts w:ascii="Calibri" w:hAnsi="Calibri"/>
                <w:sz w:val="14"/>
                <w:szCs w:val="14"/>
              </w:rPr>
              <w:t xml:space="preserve">                 456.314 </w:t>
            </w:r>
          </w:p>
        </w:tc>
        <w:tc>
          <w:tcPr>
            <w:tcW w:w="757" w:type="dxa"/>
            <w:tcBorders>
              <w:top w:val="nil"/>
              <w:left w:val="nil"/>
              <w:bottom w:val="single" w:sz="4" w:space="0" w:color="003366"/>
              <w:right w:val="single" w:sz="4" w:space="0" w:color="003366"/>
            </w:tcBorders>
            <w:shd w:val="clear" w:color="000000" w:fill="FFFFCC"/>
            <w:vAlign w:val="bottom"/>
            <w:hideMark/>
          </w:tcPr>
          <w:p w14:paraId="54F88551"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5D1F49EB"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14639FE1"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4C0102C7"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0FB0B72C" w14:textId="77777777" w:rsidR="00F44ED1" w:rsidRPr="00377AF5" w:rsidRDefault="00F44ED1">
            <w:pPr>
              <w:jc w:val="center"/>
              <w:rPr>
                <w:rFonts w:ascii="Calibri" w:hAnsi="Calibri"/>
                <w:sz w:val="14"/>
                <w:szCs w:val="14"/>
              </w:rPr>
            </w:pPr>
            <w:r w:rsidRPr="00377AF5">
              <w:rPr>
                <w:rFonts w:ascii="Calibri" w:hAnsi="Calibri"/>
                <w:sz w:val="14"/>
                <w:szCs w:val="14"/>
              </w:rPr>
              <w:t>6,49</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096FC4D1" w14:textId="77777777" w:rsidR="00F44ED1" w:rsidRPr="00377AF5" w:rsidRDefault="00F44ED1">
            <w:pPr>
              <w:jc w:val="right"/>
              <w:rPr>
                <w:rFonts w:ascii="Calibri" w:hAnsi="Calibri"/>
                <w:sz w:val="14"/>
                <w:szCs w:val="14"/>
              </w:rPr>
            </w:pPr>
            <w:r w:rsidRPr="00377AF5">
              <w:rPr>
                <w:rFonts w:ascii="Calibri" w:hAnsi="Calibri"/>
                <w:sz w:val="14"/>
                <w:szCs w:val="14"/>
              </w:rPr>
              <w:t>01-ene-03</w:t>
            </w:r>
          </w:p>
        </w:tc>
        <w:tc>
          <w:tcPr>
            <w:tcW w:w="2273" w:type="dxa"/>
            <w:tcBorders>
              <w:top w:val="nil"/>
              <w:left w:val="nil"/>
              <w:bottom w:val="single" w:sz="4" w:space="0" w:color="808000"/>
              <w:right w:val="single" w:sz="4" w:space="0" w:color="808000"/>
            </w:tcBorders>
            <w:shd w:val="clear" w:color="auto" w:fill="auto"/>
            <w:noWrap/>
            <w:vAlign w:val="center"/>
            <w:hideMark/>
          </w:tcPr>
          <w:p w14:paraId="1FDE3163"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31-dic-03</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2A1963EE"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2B1B6772" w14:textId="77777777" w:rsidR="00F44ED1" w:rsidRPr="00377AF5" w:rsidRDefault="00F44ED1">
            <w:pPr>
              <w:rPr>
                <w:rFonts w:ascii="Calibri" w:hAnsi="Calibri"/>
                <w:sz w:val="14"/>
                <w:szCs w:val="14"/>
              </w:rPr>
            </w:pPr>
            <w:r w:rsidRPr="00377AF5">
              <w:rPr>
                <w:rFonts w:ascii="Calibri" w:hAnsi="Calibri"/>
                <w:sz w:val="14"/>
                <w:szCs w:val="14"/>
              </w:rPr>
              <w:t xml:space="preserve">                 488.210 </w:t>
            </w:r>
          </w:p>
        </w:tc>
        <w:tc>
          <w:tcPr>
            <w:tcW w:w="757" w:type="dxa"/>
            <w:tcBorders>
              <w:top w:val="nil"/>
              <w:left w:val="nil"/>
              <w:bottom w:val="single" w:sz="4" w:space="0" w:color="003366"/>
              <w:right w:val="single" w:sz="4" w:space="0" w:color="003366"/>
            </w:tcBorders>
            <w:shd w:val="clear" w:color="000000" w:fill="FFFFCC"/>
            <w:vAlign w:val="bottom"/>
            <w:hideMark/>
          </w:tcPr>
          <w:p w14:paraId="555C4CEA"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50FF984E"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7882C65E"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16C7187C"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DD4653B" w14:textId="77777777" w:rsidR="00F44ED1" w:rsidRPr="00377AF5" w:rsidRDefault="00F44ED1">
            <w:pPr>
              <w:jc w:val="center"/>
              <w:rPr>
                <w:rFonts w:ascii="Calibri" w:hAnsi="Calibri"/>
                <w:sz w:val="14"/>
                <w:szCs w:val="14"/>
              </w:rPr>
            </w:pPr>
            <w:r w:rsidRPr="00377AF5">
              <w:rPr>
                <w:rFonts w:ascii="Calibri" w:hAnsi="Calibri"/>
                <w:sz w:val="14"/>
                <w:szCs w:val="14"/>
              </w:rPr>
              <w:t>5,50</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383C7993" w14:textId="77777777" w:rsidR="00F44ED1" w:rsidRPr="00377AF5" w:rsidRDefault="00F44ED1">
            <w:pPr>
              <w:jc w:val="right"/>
              <w:rPr>
                <w:rFonts w:ascii="Calibri" w:hAnsi="Calibri"/>
                <w:sz w:val="14"/>
                <w:szCs w:val="14"/>
              </w:rPr>
            </w:pPr>
            <w:r w:rsidRPr="00377AF5">
              <w:rPr>
                <w:rFonts w:ascii="Calibri" w:hAnsi="Calibri"/>
                <w:sz w:val="14"/>
                <w:szCs w:val="14"/>
              </w:rPr>
              <w:t>01-ene-04</w:t>
            </w:r>
          </w:p>
        </w:tc>
        <w:tc>
          <w:tcPr>
            <w:tcW w:w="2273" w:type="dxa"/>
            <w:tcBorders>
              <w:top w:val="nil"/>
              <w:left w:val="nil"/>
              <w:bottom w:val="single" w:sz="4" w:space="0" w:color="808000"/>
              <w:right w:val="single" w:sz="4" w:space="0" w:color="808000"/>
            </w:tcBorders>
            <w:shd w:val="clear" w:color="auto" w:fill="auto"/>
            <w:noWrap/>
            <w:vAlign w:val="center"/>
            <w:hideMark/>
          </w:tcPr>
          <w:p w14:paraId="0310E0E3"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31-dic-04</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399007D5"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65894607" w14:textId="77777777" w:rsidR="00F44ED1" w:rsidRPr="00377AF5" w:rsidRDefault="00F44ED1">
            <w:pPr>
              <w:rPr>
                <w:rFonts w:ascii="Calibri" w:hAnsi="Calibri"/>
                <w:sz w:val="14"/>
                <w:szCs w:val="14"/>
              </w:rPr>
            </w:pPr>
            <w:r w:rsidRPr="00377AF5">
              <w:rPr>
                <w:rFonts w:ascii="Calibri" w:hAnsi="Calibri"/>
                <w:sz w:val="14"/>
                <w:szCs w:val="14"/>
              </w:rPr>
              <w:t xml:space="preserve">                 519.895 </w:t>
            </w:r>
          </w:p>
        </w:tc>
        <w:tc>
          <w:tcPr>
            <w:tcW w:w="757" w:type="dxa"/>
            <w:tcBorders>
              <w:top w:val="nil"/>
              <w:left w:val="nil"/>
              <w:bottom w:val="single" w:sz="4" w:space="0" w:color="003366"/>
              <w:right w:val="single" w:sz="4" w:space="0" w:color="003366"/>
            </w:tcBorders>
            <w:shd w:val="clear" w:color="000000" w:fill="FFFFCC"/>
            <w:vAlign w:val="bottom"/>
            <w:hideMark/>
          </w:tcPr>
          <w:p w14:paraId="5E506E9B"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4EB01802"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5495ED8D"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3D94C08A"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6F0313DA" w14:textId="77777777" w:rsidR="00F44ED1" w:rsidRPr="00377AF5" w:rsidRDefault="00F44ED1">
            <w:pPr>
              <w:jc w:val="center"/>
              <w:rPr>
                <w:rFonts w:ascii="Calibri" w:hAnsi="Calibri"/>
                <w:sz w:val="14"/>
                <w:szCs w:val="14"/>
              </w:rPr>
            </w:pPr>
            <w:r w:rsidRPr="00377AF5">
              <w:rPr>
                <w:rFonts w:ascii="Calibri" w:hAnsi="Calibri"/>
                <w:sz w:val="14"/>
                <w:szCs w:val="14"/>
              </w:rPr>
              <w:t>4,85</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641D84FC" w14:textId="77777777" w:rsidR="00F44ED1" w:rsidRPr="00377AF5" w:rsidRDefault="00F44ED1">
            <w:pPr>
              <w:jc w:val="right"/>
              <w:rPr>
                <w:rFonts w:ascii="Calibri" w:hAnsi="Calibri"/>
                <w:sz w:val="14"/>
                <w:szCs w:val="14"/>
              </w:rPr>
            </w:pPr>
            <w:r w:rsidRPr="00377AF5">
              <w:rPr>
                <w:rFonts w:ascii="Calibri" w:hAnsi="Calibri"/>
                <w:sz w:val="14"/>
                <w:szCs w:val="14"/>
              </w:rPr>
              <w:t>01-ene-05</w:t>
            </w:r>
          </w:p>
        </w:tc>
        <w:tc>
          <w:tcPr>
            <w:tcW w:w="2273" w:type="dxa"/>
            <w:tcBorders>
              <w:top w:val="nil"/>
              <w:left w:val="nil"/>
              <w:bottom w:val="single" w:sz="4" w:space="0" w:color="808000"/>
              <w:right w:val="single" w:sz="4" w:space="0" w:color="808000"/>
            </w:tcBorders>
            <w:shd w:val="clear" w:color="auto" w:fill="auto"/>
            <w:noWrap/>
            <w:vAlign w:val="center"/>
            <w:hideMark/>
          </w:tcPr>
          <w:p w14:paraId="5B839BE0"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31-dic-05</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2FFC287"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08D6B34D" w14:textId="77777777" w:rsidR="00F44ED1" w:rsidRPr="00377AF5" w:rsidRDefault="00F44ED1">
            <w:pPr>
              <w:rPr>
                <w:rFonts w:ascii="Calibri" w:hAnsi="Calibri"/>
                <w:sz w:val="14"/>
                <w:szCs w:val="14"/>
              </w:rPr>
            </w:pPr>
            <w:r w:rsidRPr="00377AF5">
              <w:rPr>
                <w:rFonts w:ascii="Calibri" w:hAnsi="Calibri"/>
                <w:sz w:val="14"/>
                <w:szCs w:val="14"/>
              </w:rPr>
              <w:t xml:space="preserve">                 548.489 </w:t>
            </w:r>
          </w:p>
        </w:tc>
        <w:tc>
          <w:tcPr>
            <w:tcW w:w="757" w:type="dxa"/>
            <w:tcBorders>
              <w:top w:val="nil"/>
              <w:left w:val="nil"/>
              <w:bottom w:val="single" w:sz="4" w:space="0" w:color="003366"/>
              <w:right w:val="single" w:sz="4" w:space="0" w:color="003366"/>
            </w:tcBorders>
            <w:shd w:val="clear" w:color="000000" w:fill="FFFFCC"/>
            <w:vAlign w:val="bottom"/>
            <w:hideMark/>
          </w:tcPr>
          <w:p w14:paraId="2FA946EC"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0C129D2F"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4124D88F"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0E079E4E"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0EAB38C4" w14:textId="77777777" w:rsidR="00F44ED1" w:rsidRPr="00377AF5" w:rsidRDefault="00F44ED1">
            <w:pPr>
              <w:jc w:val="center"/>
              <w:rPr>
                <w:rFonts w:ascii="Calibri" w:hAnsi="Calibri"/>
                <w:sz w:val="14"/>
                <w:szCs w:val="14"/>
              </w:rPr>
            </w:pPr>
            <w:r w:rsidRPr="00377AF5">
              <w:rPr>
                <w:rFonts w:ascii="Calibri" w:hAnsi="Calibri"/>
                <w:sz w:val="14"/>
                <w:szCs w:val="14"/>
              </w:rPr>
              <w:t>4,48</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59AD6761" w14:textId="77777777" w:rsidR="00F44ED1" w:rsidRPr="00377AF5" w:rsidRDefault="00F44ED1">
            <w:pPr>
              <w:jc w:val="right"/>
              <w:rPr>
                <w:rFonts w:ascii="Calibri" w:hAnsi="Calibri"/>
                <w:sz w:val="14"/>
                <w:szCs w:val="14"/>
              </w:rPr>
            </w:pPr>
            <w:r w:rsidRPr="00377AF5">
              <w:rPr>
                <w:rFonts w:ascii="Calibri" w:hAnsi="Calibri"/>
                <w:sz w:val="14"/>
                <w:szCs w:val="14"/>
              </w:rPr>
              <w:t>01-ene-06</w:t>
            </w:r>
          </w:p>
        </w:tc>
        <w:tc>
          <w:tcPr>
            <w:tcW w:w="2273" w:type="dxa"/>
            <w:tcBorders>
              <w:top w:val="nil"/>
              <w:left w:val="nil"/>
              <w:bottom w:val="single" w:sz="4" w:space="0" w:color="808000"/>
              <w:right w:val="single" w:sz="4" w:space="0" w:color="808000"/>
            </w:tcBorders>
            <w:shd w:val="clear" w:color="auto" w:fill="auto"/>
            <w:noWrap/>
            <w:vAlign w:val="center"/>
            <w:hideMark/>
          </w:tcPr>
          <w:p w14:paraId="6C63EC92"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31-dic-06</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5077924D"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16347828" w14:textId="77777777" w:rsidR="00F44ED1" w:rsidRPr="00377AF5" w:rsidRDefault="00F44ED1">
            <w:pPr>
              <w:rPr>
                <w:rFonts w:ascii="Calibri" w:hAnsi="Calibri"/>
                <w:sz w:val="14"/>
                <w:szCs w:val="14"/>
              </w:rPr>
            </w:pPr>
            <w:r w:rsidRPr="00377AF5">
              <w:rPr>
                <w:rFonts w:ascii="Calibri" w:hAnsi="Calibri"/>
                <w:sz w:val="14"/>
                <w:szCs w:val="14"/>
              </w:rPr>
              <w:t xml:space="preserve">                 575.091 </w:t>
            </w:r>
          </w:p>
        </w:tc>
        <w:tc>
          <w:tcPr>
            <w:tcW w:w="757" w:type="dxa"/>
            <w:tcBorders>
              <w:top w:val="nil"/>
              <w:left w:val="nil"/>
              <w:bottom w:val="single" w:sz="4" w:space="0" w:color="003366"/>
              <w:right w:val="single" w:sz="4" w:space="0" w:color="003366"/>
            </w:tcBorders>
            <w:shd w:val="clear" w:color="000000" w:fill="FFFFCC"/>
            <w:vAlign w:val="bottom"/>
            <w:hideMark/>
          </w:tcPr>
          <w:p w14:paraId="75F24462"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6A366A18"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44911CB8"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15A5B1C9"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550D98C" w14:textId="77777777" w:rsidR="00F44ED1" w:rsidRPr="00377AF5" w:rsidRDefault="00F44ED1">
            <w:pPr>
              <w:jc w:val="center"/>
              <w:rPr>
                <w:rFonts w:ascii="Calibri" w:hAnsi="Calibri"/>
                <w:sz w:val="14"/>
                <w:szCs w:val="14"/>
              </w:rPr>
            </w:pPr>
            <w:r w:rsidRPr="00377AF5">
              <w:rPr>
                <w:rFonts w:ascii="Calibri" w:hAnsi="Calibri"/>
                <w:sz w:val="14"/>
                <w:szCs w:val="14"/>
              </w:rPr>
              <w:t>5,69</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19B6A714" w14:textId="77777777" w:rsidR="00F44ED1" w:rsidRPr="00377AF5" w:rsidRDefault="00F44ED1">
            <w:pPr>
              <w:jc w:val="right"/>
              <w:rPr>
                <w:rFonts w:ascii="Calibri" w:hAnsi="Calibri"/>
                <w:sz w:val="14"/>
                <w:szCs w:val="14"/>
              </w:rPr>
            </w:pPr>
            <w:r w:rsidRPr="00377AF5">
              <w:rPr>
                <w:rFonts w:ascii="Calibri" w:hAnsi="Calibri"/>
                <w:sz w:val="14"/>
                <w:szCs w:val="14"/>
              </w:rPr>
              <w:t>01-ene-07</w:t>
            </w:r>
          </w:p>
        </w:tc>
        <w:tc>
          <w:tcPr>
            <w:tcW w:w="2273" w:type="dxa"/>
            <w:tcBorders>
              <w:top w:val="nil"/>
              <w:left w:val="nil"/>
              <w:bottom w:val="single" w:sz="4" w:space="0" w:color="808000"/>
              <w:right w:val="single" w:sz="4" w:space="0" w:color="808000"/>
            </w:tcBorders>
            <w:shd w:val="clear" w:color="auto" w:fill="auto"/>
            <w:noWrap/>
            <w:vAlign w:val="center"/>
            <w:hideMark/>
          </w:tcPr>
          <w:p w14:paraId="0F346E3B"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31-dic-07</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975773E"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5A6C6D00" w14:textId="77777777" w:rsidR="00F44ED1" w:rsidRPr="00377AF5" w:rsidRDefault="00F44ED1">
            <w:pPr>
              <w:rPr>
                <w:rFonts w:ascii="Calibri" w:hAnsi="Calibri"/>
                <w:sz w:val="14"/>
                <w:szCs w:val="14"/>
              </w:rPr>
            </w:pPr>
            <w:r w:rsidRPr="00377AF5">
              <w:rPr>
                <w:rFonts w:ascii="Calibri" w:hAnsi="Calibri"/>
                <w:sz w:val="14"/>
                <w:szCs w:val="14"/>
              </w:rPr>
              <w:t xml:space="preserve">                 600.855 </w:t>
            </w:r>
          </w:p>
        </w:tc>
        <w:tc>
          <w:tcPr>
            <w:tcW w:w="757" w:type="dxa"/>
            <w:tcBorders>
              <w:top w:val="nil"/>
              <w:left w:val="nil"/>
              <w:bottom w:val="single" w:sz="4" w:space="0" w:color="003366"/>
              <w:right w:val="single" w:sz="4" w:space="0" w:color="003366"/>
            </w:tcBorders>
            <w:shd w:val="clear" w:color="000000" w:fill="FFFFCC"/>
            <w:vAlign w:val="bottom"/>
            <w:hideMark/>
          </w:tcPr>
          <w:p w14:paraId="0C9E6CEC"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34C55DFF"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12B3C553"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53982F1D"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10A21B14" w14:textId="77777777" w:rsidR="00F44ED1" w:rsidRPr="00377AF5" w:rsidRDefault="00F44ED1">
            <w:pPr>
              <w:jc w:val="center"/>
              <w:rPr>
                <w:rFonts w:ascii="Calibri" w:hAnsi="Calibri"/>
                <w:sz w:val="14"/>
                <w:szCs w:val="14"/>
              </w:rPr>
            </w:pPr>
            <w:r w:rsidRPr="00377AF5">
              <w:rPr>
                <w:rFonts w:ascii="Calibri" w:hAnsi="Calibri"/>
                <w:sz w:val="14"/>
                <w:szCs w:val="14"/>
              </w:rPr>
              <w:t>7,67</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35F58471" w14:textId="77777777" w:rsidR="00F44ED1" w:rsidRPr="00377AF5" w:rsidRDefault="00F44ED1">
            <w:pPr>
              <w:jc w:val="right"/>
              <w:rPr>
                <w:rFonts w:ascii="Calibri" w:hAnsi="Calibri"/>
                <w:sz w:val="14"/>
                <w:szCs w:val="14"/>
              </w:rPr>
            </w:pPr>
            <w:r w:rsidRPr="00377AF5">
              <w:rPr>
                <w:rFonts w:ascii="Calibri" w:hAnsi="Calibri"/>
                <w:sz w:val="14"/>
                <w:szCs w:val="14"/>
              </w:rPr>
              <w:t>01-ene-08</w:t>
            </w:r>
          </w:p>
        </w:tc>
        <w:tc>
          <w:tcPr>
            <w:tcW w:w="2273" w:type="dxa"/>
            <w:tcBorders>
              <w:top w:val="nil"/>
              <w:left w:val="nil"/>
              <w:bottom w:val="single" w:sz="4" w:space="0" w:color="808000"/>
              <w:right w:val="single" w:sz="4" w:space="0" w:color="808000"/>
            </w:tcBorders>
            <w:shd w:val="clear" w:color="auto" w:fill="auto"/>
            <w:noWrap/>
            <w:vAlign w:val="center"/>
            <w:hideMark/>
          </w:tcPr>
          <w:p w14:paraId="26E6A30B"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31-dic-08</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7909951D"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7FAA7B9B" w14:textId="77777777" w:rsidR="00F44ED1" w:rsidRPr="00377AF5" w:rsidRDefault="00F44ED1">
            <w:pPr>
              <w:rPr>
                <w:rFonts w:ascii="Calibri" w:hAnsi="Calibri"/>
                <w:sz w:val="14"/>
                <w:szCs w:val="14"/>
              </w:rPr>
            </w:pPr>
            <w:r w:rsidRPr="00377AF5">
              <w:rPr>
                <w:rFonts w:ascii="Calibri" w:hAnsi="Calibri"/>
                <w:sz w:val="14"/>
                <w:szCs w:val="14"/>
              </w:rPr>
              <w:t xml:space="preserve">                 635.043 </w:t>
            </w:r>
          </w:p>
        </w:tc>
        <w:tc>
          <w:tcPr>
            <w:tcW w:w="757" w:type="dxa"/>
            <w:tcBorders>
              <w:top w:val="nil"/>
              <w:left w:val="nil"/>
              <w:bottom w:val="single" w:sz="4" w:space="0" w:color="003366"/>
              <w:right w:val="single" w:sz="4" w:space="0" w:color="003366"/>
            </w:tcBorders>
            <w:shd w:val="clear" w:color="000000" w:fill="FFFFCC"/>
            <w:vAlign w:val="bottom"/>
            <w:hideMark/>
          </w:tcPr>
          <w:p w14:paraId="4A54F619"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3872029C"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08DAF93C"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4CF4D4F4"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10544DD8" w14:textId="77777777" w:rsidR="00F44ED1" w:rsidRPr="00377AF5" w:rsidRDefault="00F44ED1">
            <w:pPr>
              <w:jc w:val="center"/>
              <w:rPr>
                <w:rFonts w:ascii="Calibri" w:hAnsi="Calibri"/>
                <w:sz w:val="14"/>
                <w:szCs w:val="14"/>
              </w:rPr>
            </w:pPr>
            <w:r w:rsidRPr="00377AF5">
              <w:rPr>
                <w:rFonts w:ascii="Calibri" w:hAnsi="Calibri"/>
                <w:sz w:val="14"/>
                <w:szCs w:val="14"/>
              </w:rPr>
              <w:t>2,00</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0D3B16F0" w14:textId="77777777" w:rsidR="00F44ED1" w:rsidRPr="00377AF5" w:rsidRDefault="00F44ED1">
            <w:pPr>
              <w:jc w:val="right"/>
              <w:rPr>
                <w:rFonts w:ascii="Calibri" w:hAnsi="Calibri"/>
                <w:sz w:val="14"/>
                <w:szCs w:val="14"/>
              </w:rPr>
            </w:pPr>
            <w:r w:rsidRPr="00377AF5">
              <w:rPr>
                <w:rFonts w:ascii="Calibri" w:hAnsi="Calibri"/>
                <w:sz w:val="14"/>
                <w:szCs w:val="14"/>
              </w:rPr>
              <w:t>01-ene-09</w:t>
            </w:r>
          </w:p>
        </w:tc>
        <w:tc>
          <w:tcPr>
            <w:tcW w:w="2273" w:type="dxa"/>
            <w:tcBorders>
              <w:top w:val="nil"/>
              <w:left w:val="nil"/>
              <w:bottom w:val="single" w:sz="4" w:space="0" w:color="808000"/>
              <w:right w:val="single" w:sz="4" w:space="0" w:color="808000"/>
            </w:tcBorders>
            <w:shd w:val="clear" w:color="auto" w:fill="auto"/>
            <w:noWrap/>
            <w:vAlign w:val="center"/>
            <w:hideMark/>
          </w:tcPr>
          <w:p w14:paraId="2EEBA2E5"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31-dic-09</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20D4FD64"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2609A2C5" w14:textId="77777777" w:rsidR="00F44ED1" w:rsidRPr="00377AF5" w:rsidRDefault="00F44ED1">
            <w:pPr>
              <w:rPr>
                <w:rFonts w:ascii="Calibri" w:hAnsi="Calibri"/>
                <w:sz w:val="14"/>
                <w:szCs w:val="14"/>
              </w:rPr>
            </w:pPr>
            <w:r w:rsidRPr="00377AF5">
              <w:rPr>
                <w:rFonts w:ascii="Calibri" w:hAnsi="Calibri"/>
                <w:sz w:val="14"/>
                <w:szCs w:val="14"/>
              </w:rPr>
              <w:t xml:space="preserve">                 683.751 </w:t>
            </w:r>
          </w:p>
        </w:tc>
        <w:tc>
          <w:tcPr>
            <w:tcW w:w="757" w:type="dxa"/>
            <w:tcBorders>
              <w:top w:val="nil"/>
              <w:left w:val="nil"/>
              <w:bottom w:val="single" w:sz="4" w:space="0" w:color="003366"/>
              <w:right w:val="single" w:sz="4" w:space="0" w:color="003366"/>
            </w:tcBorders>
            <w:shd w:val="clear" w:color="000000" w:fill="FFFFCC"/>
            <w:vAlign w:val="bottom"/>
            <w:hideMark/>
          </w:tcPr>
          <w:p w14:paraId="5AB6374E"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1B74A014" w14:textId="77777777" w:rsidR="00F44ED1" w:rsidRPr="00377AF5" w:rsidRDefault="00F44ED1">
            <w:pPr>
              <w:jc w:val="center"/>
              <w:rPr>
                <w:rFonts w:ascii="Calibri" w:hAnsi="Calibri"/>
                <w:sz w:val="14"/>
                <w:szCs w:val="14"/>
              </w:rPr>
            </w:pPr>
            <w:r w:rsidRPr="00377AF5">
              <w:rPr>
                <w:rFonts w:ascii="Calibri" w:hAnsi="Calibri"/>
                <w:sz w:val="14"/>
                <w:szCs w:val="14"/>
              </w:rPr>
              <w:t xml:space="preserve">             14,00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642DD297"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16E542A1"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679A7645" w14:textId="77777777" w:rsidR="00F44ED1" w:rsidRPr="00377AF5" w:rsidRDefault="00F44ED1">
            <w:pPr>
              <w:jc w:val="center"/>
              <w:rPr>
                <w:rFonts w:ascii="Calibri" w:hAnsi="Calibri"/>
                <w:sz w:val="14"/>
                <w:szCs w:val="14"/>
              </w:rPr>
            </w:pPr>
            <w:r w:rsidRPr="00377AF5">
              <w:rPr>
                <w:rFonts w:ascii="Calibri" w:hAnsi="Calibri"/>
                <w:sz w:val="14"/>
                <w:szCs w:val="14"/>
              </w:rPr>
              <w:t>3,17</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2BB828E8" w14:textId="77777777" w:rsidR="00F44ED1" w:rsidRPr="00377AF5" w:rsidRDefault="00F44ED1">
            <w:pPr>
              <w:jc w:val="right"/>
              <w:rPr>
                <w:rFonts w:ascii="Calibri" w:hAnsi="Calibri"/>
                <w:sz w:val="14"/>
                <w:szCs w:val="14"/>
              </w:rPr>
            </w:pPr>
            <w:r w:rsidRPr="00377AF5">
              <w:rPr>
                <w:rFonts w:ascii="Calibri" w:hAnsi="Calibri"/>
                <w:sz w:val="14"/>
                <w:szCs w:val="14"/>
              </w:rPr>
              <w:t>01-ene-10</w:t>
            </w:r>
          </w:p>
        </w:tc>
        <w:tc>
          <w:tcPr>
            <w:tcW w:w="2273" w:type="dxa"/>
            <w:tcBorders>
              <w:top w:val="nil"/>
              <w:left w:val="nil"/>
              <w:bottom w:val="single" w:sz="4" w:space="0" w:color="808000"/>
              <w:right w:val="single" w:sz="4" w:space="0" w:color="808000"/>
            </w:tcBorders>
            <w:shd w:val="clear" w:color="auto" w:fill="auto"/>
            <w:noWrap/>
            <w:vAlign w:val="center"/>
            <w:hideMark/>
          </w:tcPr>
          <w:p w14:paraId="53061F14" w14:textId="77777777" w:rsidR="00F44ED1" w:rsidRPr="00377AF5" w:rsidRDefault="00F44ED1" w:rsidP="00692BA6">
            <w:pPr>
              <w:jc w:val="center"/>
              <w:rPr>
                <w:rFonts w:ascii="Calibri" w:hAnsi="Calibri"/>
                <w:sz w:val="14"/>
                <w:szCs w:val="14"/>
              </w:rPr>
            </w:pPr>
            <w:r w:rsidRPr="00377AF5">
              <w:rPr>
                <w:rFonts w:ascii="Calibri" w:hAnsi="Calibri"/>
                <w:sz w:val="14"/>
                <w:szCs w:val="14"/>
              </w:rPr>
              <w:t>21-mar-10</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2CE31117" w14:textId="77777777" w:rsidR="00F44ED1" w:rsidRPr="00377AF5" w:rsidRDefault="00F44ED1">
            <w:pPr>
              <w:jc w:val="center"/>
              <w:rPr>
                <w:rFonts w:ascii="Calibri" w:hAnsi="Calibri"/>
                <w:sz w:val="14"/>
                <w:szCs w:val="14"/>
              </w:rPr>
            </w:pPr>
            <w:r w:rsidRPr="00377AF5">
              <w:rPr>
                <w:rFonts w:ascii="Calibri" w:hAnsi="Calibri"/>
                <w:sz w:val="14"/>
                <w:szCs w:val="14"/>
              </w:rPr>
              <w:t>2,70</w:t>
            </w:r>
          </w:p>
        </w:tc>
        <w:tc>
          <w:tcPr>
            <w:tcW w:w="803" w:type="dxa"/>
            <w:tcBorders>
              <w:top w:val="nil"/>
              <w:left w:val="nil"/>
              <w:bottom w:val="single" w:sz="4" w:space="0" w:color="003366"/>
              <w:right w:val="single" w:sz="4" w:space="0" w:color="003366"/>
            </w:tcBorders>
            <w:shd w:val="clear" w:color="000000" w:fill="FFFFCC"/>
            <w:vAlign w:val="bottom"/>
            <w:hideMark/>
          </w:tcPr>
          <w:p w14:paraId="1E137C7E" w14:textId="77777777" w:rsidR="00F44ED1" w:rsidRPr="00377AF5" w:rsidRDefault="00F44ED1">
            <w:pPr>
              <w:rPr>
                <w:rFonts w:ascii="Calibri" w:hAnsi="Calibri"/>
                <w:sz w:val="14"/>
                <w:szCs w:val="14"/>
              </w:rPr>
            </w:pPr>
            <w:r w:rsidRPr="00377AF5">
              <w:rPr>
                <w:rFonts w:ascii="Calibri" w:hAnsi="Calibri"/>
                <w:sz w:val="14"/>
                <w:szCs w:val="14"/>
              </w:rPr>
              <w:t xml:space="preserve">                 697.426 </w:t>
            </w:r>
          </w:p>
        </w:tc>
        <w:tc>
          <w:tcPr>
            <w:tcW w:w="757" w:type="dxa"/>
            <w:tcBorders>
              <w:top w:val="nil"/>
              <w:left w:val="nil"/>
              <w:bottom w:val="single" w:sz="4" w:space="0" w:color="003366"/>
              <w:right w:val="single" w:sz="4" w:space="0" w:color="003366"/>
            </w:tcBorders>
            <w:shd w:val="clear" w:color="000000" w:fill="FFFFCC"/>
            <w:vAlign w:val="bottom"/>
            <w:hideMark/>
          </w:tcPr>
          <w:p w14:paraId="6C9BBF25"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2E00D252" w14:textId="77777777" w:rsidR="00F44ED1" w:rsidRPr="00377AF5" w:rsidRDefault="00F44ED1">
            <w:pPr>
              <w:jc w:val="center"/>
              <w:rPr>
                <w:rFonts w:ascii="Calibri" w:hAnsi="Calibri"/>
                <w:sz w:val="14"/>
                <w:szCs w:val="14"/>
              </w:rPr>
            </w:pPr>
            <w:r w:rsidRPr="00377AF5">
              <w:rPr>
                <w:rFonts w:ascii="Calibri" w:hAnsi="Calibri"/>
                <w:sz w:val="14"/>
                <w:szCs w:val="14"/>
              </w:rPr>
              <w:t xml:space="preserve">               2,70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70917292" w14:textId="77777777" w:rsidR="00F44ED1" w:rsidRPr="00377AF5" w:rsidRDefault="00F44ED1">
            <w:pPr>
              <w:rPr>
                <w:rFonts w:ascii="Calibri" w:hAnsi="Calibri"/>
                <w:sz w:val="14"/>
                <w:szCs w:val="14"/>
              </w:rPr>
            </w:pPr>
            <w:r w:rsidRPr="00377AF5">
              <w:rPr>
                <w:rFonts w:ascii="Calibri" w:hAnsi="Calibri"/>
                <w:sz w:val="14"/>
                <w:szCs w:val="14"/>
              </w:rPr>
              <w:t xml:space="preserve">                            -   </w:t>
            </w:r>
          </w:p>
        </w:tc>
      </w:tr>
      <w:tr w:rsidR="00377AF5" w:rsidRPr="00377AF5" w14:paraId="56A3D7CA"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7439CA11" w14:textId="77777777" w:rsidR="00F44ED1" w:rsidRPr="00377AF5" w:rsidRDefault="00F44ED1">
            <w:pPr>
              <w:jc w:val="center"/>
              <w:rPr>
                <w:rFonts w:ascii="Calibri" w:hAnsi="Calibri"/>
                <w:sz w:val="14"/>
                <w:szCs w:val="14"/>
              </w:rPr>
            </w:pPr>
            <w:r w:rsidRPr="00377AF5">
              <w:rPr>
                <w:rFonts w:ascii="Calibri" w:hAnsi="Calibri"/>
                <w:sz w:val="14"/>
                <w:szCs w:val="14"/>
              </w:rPr>
              <w:t>3,17</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6809D520" w14:textId="77777777" w:rsidR="00F44ED1" w:rsidRPr="00377AF5" w:rsidRDefault="00F44ED1">
            <w:pPr>
              <w:jc w:val="right"/>
              <w:rPr>
                <w:rFonts w:ascii="Calibri" w:hAnsi="Calibri"/>
                <w:sz w:val="14"/>
                <w:szCs w:val="14"/>
              </w:rPr>
            </w:pPr>
            <w:r w:rsidRPr="00377AF5">
              <w:rPr>
                <w:rFonts w:ascii="Calibri" w:hAnsi="Calibri"/>
                <w:sz w:val="14"/>
                <w:szCs w:val="14"/>
              </w:rPr>
              <w:t>22-mar-10</w:t>
            </w:r>
          </w:p>
        </w:tc>
        <w:tc>
          <w:tcPr>
            <w:tcW w:w="2273" w:type="dxa"/>
            <w:tcBorders>
              <w:top w:val="nil"/>
              <w:left w:val="nil"/>
              <w:bottom w:val="single" w:sz="4" w:space="0" w:color="808000"/>
              <w:right w:val="single" w:sz="4" w:space="0" w:color="808000"/>
            </w:tcBorders>
            <w:shd w:val="clear" w:color="auto" w:fill="auto"/>
            <w:noWrap/>
            <w:vAlign w:val="center"/>
            <w:hideMark/>
          </w:tcPr>
          <w:p w14:paraId="5C421CA4"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31-dic-10</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F51AE9F" w14:textId="77777777" w:rsidR="00F44ED1" w:rsidRPr="00377AF5" w:rsidRDefault="00F44ED1">
            <w:pPr>
              <w:jc w:val="center"/>
              <w:rPr>
                <w:rFonts w:ascii="Calibri" w:hAnsi="Calibri"/>
                <w:sz w:val="14"/>
                <w:szCs w:val="14"/>
              </w:rPr>
            </w:pPr>
            <w:r w:rsidRPr="00377AF5">
              <w:rPr>
                <w:rFonts w:ascii="Calibri" w:hAnsi="Calibri"/>
                <w:sz w:val="14"/>
                <w:szCs w:val="14"/>
              </w:rPr>
              <w:t>11,30</w:t>
            </w:r>
          </w:p>
        </w:tc>
        <w:tc>
          <w:tcPr>
            <w:tcW w:w="803" w:type="dxa"/>
            <w:tcBorders>
              <w:top w:val="nil"/>
              <w:left w:val="nil"/>
              <w:bottom w:val="single" w:sz="4" w:space="0" w:color="003366"/>
              <w:right w:val="single" w:sz="4" w:space="0" w:color="003366"/>
            </w:tcBorders>
            <w:shd w:val="clear" w:color="000000" w:fill="FFFFCC"/>
            <w:vAlign w:val="bottom"/>
            <w:hideMark/>
          </w:tcPr>
          <w:p w14:paraId="2BA4EAF2" w14:textId="77777777" w:rsidR="00F44ED1" w:rsidRPr="00377AF5" w:rsidRDefault="00F44ED1">
            <w:pPr>
              <w:rPr>
                <w:rFonts w:ascii="Calibri" w:hAnsi="Calibri"/>
                <w:sz w:val="14"/>
                <w:szCs w:val="14"/>
              </w:rPr>
            </w:pPr>
            <w:r w:rsidRPr="00377AF5">
              <w:rPr>
                <w:rFonts w:ascii="Calibri" w:hAnsi="Calibri"/>
                <w:sz w:val="14"/>
                <w:szCs w:val="14"/>
              </w:rPr>
              <w:t xml:space="preserve">                 697.426 </w:t>
            </w:r>
          </w:p>
        </w:tc>
        <w:tc>
          <w:tcPr>
            <w:tcW w:w="757" w:type="dxa"/>
            <w:tcBorders>
              <w:top w:val="nil"/>
              <w:left w:val="nil"/>
              <w:bottom w:val="single" w:sz="4" w:space="0" w:color="003366"/>
              <w:right w:val="single" w:sz="4" w:space="0" w:color="003366"/>
            </w:tcBorders>
            <w:shd w:val="clear" w:color="000000" w:fill="FFFFCC"/>
            <w:vAlign w:val="bottom"/>
            <w:hideMark/>
          </w:tcPr>
          <w:p w14:paraId="70D61004"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5F315BF1"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03A11B60" w14:textId="2E923333" w:rsidR="00F44ED1" w:rsidRPr="00377AF5" w:rsidRDefault="00F44ED1" w:rsidP="00692BA6">
            <w:pPr>
              <w:jc w:val="center"/>
              <w:rPr>
                <w:rFonts w:ascii="Calibri" w:hAnsi="Calibri"/>
                <w:sz w:val="14"/>
                <w:szCs w:val="14"/>
              </w:rPr>
            </w:pPr>
            <w:r w:rsidRPr="00377AF5">
              <w:rPr>
                <w:rFonts w:ascii="Calibri" w:hAnsi="Calibri"/>
                <w:sz w:val="14"/>
                <w:szCs w:val="14"/>
              </w:rPr>
              <w:t>7.880.915,49</w:t>
            </w:r>
          </w:p>
        </w:tc>
      </w:tr>
      <w:tr w:rsidR="00377AF5" w:rsidRPr="00377AF5" w14:paraId="4417B217"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669A36C6" w14:textId="77777777" w:rsidR="00F44ED1" w:rsidRPr="00377AF5" w:rsidRDefault="00F44ED1">
            <w:pPr>
              <w:jc w:val="center"/>
              <w:rPr>
                <w:rFonts w:ascii="Calibri" w:hAnsi="Calibri"/>
                <w:sz w:val="14"/>
                <w:szCs w:val="14"/>
              </w:rPr>
            </w:pPr>
            <w:r w:rsidRPr="00377AF5">
              <w:rPr>
                <w:rFonts w:ascii="Calibri" w:hAnsi="Calibri"/>
                <w:sz w:val="14"/>
                <w:szCs w:val="14"/>
              </w:rPr>
              <w:t>3,73</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45343454" w14:textId="77777777" w:rsidR="00F44ED1" w:rsidRPr="00377AF5" w:rsidRDefault="00F44ED1">
            <w:pPr>
              <w:jc w:val="right"/>
              <w:rPr>
                <w:rFonts w:ascii="Calibri" w:hAnsi="Calibri"/>
                <w:sz w:val="14"/>
                <w:szCs w:val="14"/>
              </w:rPr>
            </w:pPr>
            <w:r w:rsidRPr="00377AF5">
              <w:rPr>
                <w:rFonts w:ascii="Calibri" w:hAnsi="Calibri"/>
                <w:sz w:val="14"/>
                <w:szCs w:val="14"/>
              </w:rPr>
              <w:t>01-ene-11</w:t>
            </w:r>
          </w:p>
        </w:tc>
        <w:tc>
          <w:tcPr>
            <w:tcW w:w="2273" w:type="dxa"/>
            <w:tcBorders>
              <w:top w:val="nil"/>
              <w:left w:val="nil"/>
              <w:bottom w:val="single" w:sz="4" w:space="0" w:color="808000"/>
              <w:right w:val="single" w:sz="4" w:space="0" w:color="808000"/>
            </w:tcBorders>
            <w:shd w:val="clear" w:color="auto" w:fill="auto"/>
            <w:noWrap/>
            <w:vAlign w:val="center"/>
            <w:hideMark/>
          </w:tcPr>
          <w:p w14:paraId="7EC851A7"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31-dic-11</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65F17D62"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7C641368" w14:textId="77777777" w:rsidR="00F44ED1" w:rsidRPr="00377AF5" w:rsidRDefault="00F44ED1">
            <w:pPr>
              <w:rPr>
                <w:rFonts w:ascii="Calibri" w:hAnsi="Calibri"/>
                <w:sz w:val="14"/>
                <w:szCs w:val="14"/>
              </w:rPr>
            </w:pPr>
            <w:r w:rsidRPr="00377AF5">
              <w:rPr>
                <w:rFonts w:ascii="Calibri" w:hAnsi="Calibri"/>
                <w:sz w:val="14"/>
                <w:szCs w:val="14"/>
              </w:rPr>
              <w:t xml:space="preserve">                 719.543 </w:t>
            </w:r>
          </w:p>
        </w:tc>
        <w:tc>
          <w:tcPr>
            <w:tcW w:w="757" w:type="dxa"/>
            <w:tcBorders>
              <w:top w:val="nil"/>
              <w:left w:val="nil"/>
              <w:bottom w:val="single" w:sz="4" w:space="0" w:color="003366"/>
              <w:right w:val="single" w:sz="4" w:space="0" w:color="003366"/>
            </w:tcBorders>
            <w:shd w:val="clear" w:color="000000" w:fill="FFFFCC"/>
            <w:vAlign w:val="bottom"/>
            <w:hideMark/>
          </w:tcPr>
          <w:p w14:paraId="264971D2"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6AA054A3"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23DBD8C5" w14:textId="075BD3B9" w:rsidR="00F44ED1" w:rsidRPr="00377AF5" w:rsidRDefault="00F44ED1" w:rsidP="00692BA6">
            <w:pPr>
              <w:jc w:val="center"/>
              <w:rPr>
                <w:rFonts w:ascii="Calibri" w:hAnsi="Calibri"/>
                <w:sz w:val="14"/>
                <w:szCs w:val="14"/>
              </w:rPr>
            </w:pPr>
            <w:r w:rsidRPr="00377AF5">
              <w:rPr>
                <w:rFonts w:ascii="Calibri" w:hAnsi="Calibri"/>
                <w:sz w:val="14"/>
                <w:szCs w:val="14"/>
              </w:rPr>
              <w:t>10.073.603,16</w:t>
            </w:r>
          </w:p>
        </w:tc>
      </w:tr>
      <w:tr w:rsidR="00377AF5" w:rsidRPr="00377AF5" w14:paraId="4B8C7DB4"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C1802DB" w14:textId="77777777" w:rsidR="00F44ED1" w:rsidRPr="00377AF5" w:rsidRDefault="00F44ED1">
            <w:pPr>
              <w:jc w:val="center"/>
              <w:rPr>
                <w:rFonts w:ascii="Calibri" w:hAnsi="Calibri"/>
                <w:sz w:val="14"/>
                <w:szCs w:val="14"/>
              </w:rPr>
            </w:pPr>
            <w:r w:rsidRPr="00377AF5">
              <w:rPr>
                <w:rFonts w:ascii="Calibri" w:hAnsi="Calibri"/>
                <w:sz w:val="14"/>
                <w:szCs w:val="14"/>
              </w:rPr>
              <w:t>2,44</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203277FB" w14:textId="77777777" w:rsidR="00F44ED1" w:rsidRPr="00377AF5" w:rsidRDefault="00F44ED1">
            <w:pPr>
              <w:jc w:val="right"/>
              <w:rPr>
                <w:rFonts w:ascii="Calibri" w:hAnsi="Calibri"/>
                <w:sz w:val="14"/>
                <w:szCs w:val="14"/>
              </w:rPr>
            </w:pPr>
            <w:r w:rsidRPr="00377AF5">
              <w:rPr>
                <w:rFonts w:ascii="Calibri" w:hAnsi="Calibri"/>
                <w:sz w:val="14"/>
                <w:szCs w:val="14"/>
              </w:rPr>
              <w:t>01-ene-12</w:t>
            </w:r>
          </w:p>
        </w:tc>
        <w:tc>
          <w:tcPr>
            <w:tcW w:w="2273" w:type="dxa"/>
            <w:tcBorders>
              <w:top w:val="nil"/>
              <w:left w:val="nil"/>
              <w:bottom w:val="single" w:sz="4" w:space="0" w:color="808000"/>
              <w:right w:val="single" w:sz="4" w:space="0" w:color="808000"/>
            </w:tcBorders>
            <w:shd w:val="clear" w:color="auto" w:fill="auto"/>
            <w:noWrap/>
            <w:vAlign w:val="center"/>
            <w:hideMark/>
          </w:tcPr>
          <w:p w14:paraId="4B31ABA7"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31-dic-12</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4B930CD8"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636098E0" w14:textId="77777777" w:rsidR="00F44ED1" w:rsidRPr="00377AF5" w:rsidRDefault="00F44ED1">
            <w:pPr>
              <w:rPr>
                <w:rFonts w:ascii="Calibri" w:hAnsi="Calibri"/>
                <w:sz w:val="14"/>
                <w:szCs w:val="14"/>
              </w:rPr>
            </w:pPr>
            <w:r w:rsidRPr="00377AF5">
              <w:rPr>
                <w:rFonts w:ascii="Calibri" w:hAnsi="Calibri"/>
                <w:sz w:val="14"/>
                <w:szCs w:val="14"/>
              </w:rPr>
              <w:t xml:space="preserve">                 746.382 </w:t>
            </w:r>
          </w:p>
        </w:tc>
        <w:tc>
          <w:tcPr>
            <w:tcW w:w="757" w:type="dxa"/>
            <w:tcBorders>
              <w:top w:val="nil"/>
              <w:left w:val="nil"/>
              <w:bottom w:val="single" w:sz="4" w:space="0" w:color="003366"/>
              <w:right w:val="single" w:sz="4" w:space="0" w:color="003366"/>
            </w:tcBorders>
            <w:shd w:val="clear" w:color="000000" w:fill="FFFFCC"/>
            <w:vAlign w:val="bottom"/>
            <w:hideMark/>
          </w:tcPr>
          <w:p w14:paraId="0BD5C47C"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22DF8D3C"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7539F582" w14:textId="79A69C42" w:rsidR="00F44ED1" w:rsidRPr="00377AF5" w:rsidRDefault="00F44ED1" w:rsidP="00692BA6">
            <w:pPr>
              <w:jc w:val="center"/>
              <w:rPr>
                <w:rFonts w:ascii="Calibri" w:hAnsi="Calibri"/>
                <w:sz w:val="14"/>
                <w:szCs w:val="14"/>
              </w:rPr>
            </w:pPr>
            <w:r w:rsidRPr="00377AF5">
              <w:rPr>
                <w:rFonts w:ascii="Calibri" w:hAnsi="Calibri"/>
                <w:sz w:val="14"/>
                <w:szCs w:val="14"/>
              </w:rPr>
              <w:t>10.449.348,56</w:t>
            </w:r>
          </w:p>
        </w:tc>
      </w:tr>
      <w:tr w:rsidR="00377AF5" w:rsidRPr="00377AF5" w14:paraId="066AFA79"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67BF376F" w14:textId="77777777" w:rsidR="00F44ED1" w:rsidRPr="00377AF5" w:rsidRDefault="00F44ED1">
            <w:pPr>
              <w:jc w:val="center"/>
              <w:rPr>
                <w:rFonts w:ascii="Calibri" w:hAnsi="Calibri"/>
                <w:sz w:val="14"/>
                <w:szCs w:val="14"/>
              </w:rPr>
            </w:pPr>
            <w:r w:rsidRPr="00377AF5">
              <w:rPr>
                <w:rFonts w:ascii="Calibri" w:hAnsi="Calibri"/>
                <w:sz w:val="14"/>
                <w:szCs w:val="14"/>
              </w:rPr>
              <w:t>1,94</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2DBE7D62" w14:textId="77777777" w:rsidR="00F44ED1" w:rsidRPr="00377AF5" w:rsidRDefault="00F44ED1">
            <w:pPr>
              <w:jc w:val="right"/>
              <w:rPr>
                <w:rFonts w:ascii="Calibri" w:hAnsi="Calibri"/>
                <w:sz w:val="14"/>
                <w:szCs w:val="14"/>
              </w:rPr>
            </w:pPr>
            <w:r w:rsidRPr="00377AF5">
              <w:rPr>
                <w:rFonts w:ascii="Calibri" w:hAnsi="Calibri"/>
                <w:sz w:val="14"/>
                <w:szCs w:val="14"/>
              </w:rPr>
              <w:t>01-ene-13</w:t>
            </w:r>
          </w:p>
        </w:tc>
        <w:tc>
          <w:tcPr>
            <w:tcW w:w="2273" w:type="dxa"/>
            <w:tcBorders>
              <w:top w:val="nil"/>
              <w:left w:val="nil"/>
              <w:bottom w:val="single" w:sz="4" w:space="0" w:color="808000"/>
              <w:right w:val="single" w:sz="4" w:space="0" w:color="808000"/>
            </w:tcBorders>
            <w:shd w:val="clear" w:color="auto" w:fill="auto"/>
            <w:noWrap/>
            <w:vAlign w:val="center"/>
            <w:hideMark/>
          </w:tcPr>
          <w:p w14:paraId="7FDCED31"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31-dic-13</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598473C6"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495A6040" w14:textId="77777777" w:rsidR="00F44ED1" w:rsidRPr="00377AF5" w:rsidRDefault="00F44ED1">
            <w:pPr>
              <w:rPr>
                <w:rFonts w:ascii="Calibri" w:hAnsi="Calibri"/>
                <w:sz w:val="14"/>
                <w:szCs w:val="14"/>
              </w:rPr>
            </w:pPr>
            <w:r w:rsidRPr="00377AF5">
              <w:rPr>
                <w:rFonts w:ascii="Calibri" w:hAnsi="Calibri"/>
                <w:sz w:val="14"/>
                <w:szCs w:val="14"/>
              </w:rPr>
              <w:t xml:space="preserve">                 764.594 </w:t>
            </w:r>
          </w:p>
        </w:tc>
        <w:tc>
          <w:tcPr>
            <w:tcW w:w="757" w:type="dxa"/>
            <w:tcBorders>
              <w:top w:val="nil"/>
              <w:left w:val="nil"/>
              <w:bottom w:val="single" w:sz="4" w:space="0" w:color="003366"/>
              <w:right w:val="single" w:sz="4" w:space="0" w:color="003366"/>
            </w:tcBorders>
            <w:shd w:val="clear" w:color="000000" w:fill="FFFFCC"/>
            <w:vAlign w:val="bottom"/>
            <w:hideMark/>
          </w:tcPr>
          <w:p w14:paraId="2B2B519D"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37E6D01F"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2CCB182B" w14:textId="3FA69890" w:rsidR="00F44ED1" w:rsidRPr="00377AF5" w:rsidRDefault="00F44ED1" w:rsidP="00692BA6">
            <w:pPr>
              <w:jc w:val="center"/>
              <w:rPr>
                <w:rFonts w:ascii="Calibri" w:hAnsi="Calibri"/>
                <w:sz w:val="14"/>
                <w:szCs w:val="14"/>
              </w:rPr>
            </w:pPr>
            <w:r w:rsidRPr="00377AF5">
              <w:rPr>
                <w:rFonts w:ascii="Calibri" w:hAnsi="Calibri"/>
                <w:sz w:val="14"/>
                <w:szCs w:val="14"/>
              </w:rPr>
              <w:t>10.704.312,66</w:t>
            </w:r>
          </w:p>
        </w:tc>
      </w:tr>
      <w:tr w:rsidR="00377AF5" w:rsidRPr="00377AF5" w14:paraId="0FF73C3F"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5117A70F" w14:textId="77777777" w:rsidR="00F44ED1" w:rsidRPr="00377AF5" w:rsidRDefault="00F44ED1">
            <w:pPr>
              <w:jc w:val="center"/>
              <w:rPr>
                <w:rFonts w:ascii="Calibri" w:hAnsi="Calibri"/>
                <w:sz w:val="14"/>
                <w:szCs w:val="14"/>
              </w:rPr>
            </w:pPr>
            <w:r w:rsidRPr="00377AF5">
              <w:rPr>
                <w:rFonts w:ascii="Calibri" w:hAnsi="Calibri"/>
                <w:sz w:val="14"/>
                <w:szCs w:val="14"/>
              </w:rPr>
              <w:t>3,66</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1370BFA5" w14:textId="77777777" w:rsidR="00F44ED1" w:rsidRPr="00377AF5" w:rsidRDefault="00F44ED1">
            <w:pPr>
              <w:jc w:val="right"/>
              <w:rPr>
                <w:rFonts w:ascii="Calibri" w:hAnsi="Calibri"/>
                <w:sz w:val="14"/>
                <w:szCs w:val="14"/>
              </w:rPr>
            </w:pPr>
            <w:r w:rsidRPr="00377AF5">
              <w:rPr>
                <w:rFonts w:ascii="Calibri" w:hAnsi="Calibri"/>
                <w:sz w:val="14"/>
                <w:szCs w:val="14"/>
              </w:rPr>
              <w:t>01-ene-14</w:t>
            </w:r>
          </w:p>
        </w:tc>
        <w:tc>
          <w:tcPr>
            <w:tcW w:w="2273" w:type="dxa"/>
            <w:tcBorders>
              <w:top w:val="nil"/>
              <w:left w:val="nil"/>
              <w:bottom w:val="single" w:sz="4" w:space="0" w:color="808000"/>
              <w:right w:val="single" w:sz="4" w:space="0" w:color="808000"/>
            </w:tcBorders>
            <w:shd w:val="clear" w:color="auto" w:fill="auto"/>
            <w:noWrap/>
            <w:vAlign w:val="center"/>
            <w:hideMark/>
          </w:tcPr>
          <w:p w14:paraId="6774E492"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31-dic-14</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0A71A7C2"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453D7479" w14:textId="77777777" w:rsidR="00F44ED1" w:rsidRPr="00377AF5" w:rsidRDefault="00F44ED1">
            <w:pPr>
              <w:rPr>
                <w:rFonts w:ascii="Calibri" w:hAnsi="Calibri"/>
                <w:sz w:val="14"/>
                <w:szCs w:val="14"/>
              </w:rPr>
            </w:pPr>
            <w:r w:rsidRPr="00377AF5">
              <w:rPr>
                <w:rFonts w:ascii="Calibri" w:hAnsi="Calibri"/>
                <w:sz w:val="14"/>
                <w:szCs w:val="14"/>
              </w:rPr>
              <w:t xml:space="preserve">                 779.427 </w:t>
            </w:r>
          </w:p>
        </w:tc>
        <w:tc>
          <w:tcPr>
            <w:tcW w:w="757" w:type="dxa"/>
            <w:tcBorders>
              <w:top w:val="nil"/>
              <w:left w:val="nil"/>
              <w:bottom w:val="single" w:sz="4" w:space="0" w:color="003366"/>
              <w:right w:val="single" w:sz="4" w:space="0" w:color="003366"/>
            </w:tcBorders>
            <w:shd w:val="clear" w:color="000000" w:fill="FFFFCC"/>
            <w:vAlign w:val="bottom"/>
            <w:hideMark/>
          </w:tcPr>
          <w:p w14:paraId="61AA2C3B"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586FD150"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54BDC9E5" w14:textId="74218A00" w:rsidR="00F44ED1" w:rsidRPr="00377AF5" w:rsidRDefault="00F44ED1" w:rsidP="00692BA6">
            <w:pPr>
              <w:jc w:val="center"/>
              <w:rPr>
                <w:rFonts w:ascii="Calibri" w:hAnsi="Calibri"/>
                <w:sz w:val="14"/>
                <w:szCs w:val="14"/>
              </w:rPr>
            </w:pPr>
            <w:r w:rsidRPr="00377AF5">
              <w:rPr>
                <w:rFonts w:ascii="Calibri" w:hAnsi="Calibri"/>
                <w:sz w:val="14"/>
                <w:szCs w:val="14"/>
              </w:rPr>
              <w:t>10.911.976,33</w:t>
            </w:r>
          </w:p>
        </w:tc>
      </w:tr>
      <w:tr w:rsidR="00377AF5" w:rsidRPr="00377AF5" w14:paraId="71A0BA12" w14:textId="77777777" w:rsidTr="00377AF5">
        <w:trPr>
          <w:trHeight w:val="20"/>
        </w:trPr>
        <w:tc>
          <w:tcPr>
            <w:tcW w:w="986" w:type="dxa"/>
            <w:tcBorders>
              <w:top w:val="nil"/>
              <w:left w:val="single" w:sz="4" w:space="0" w:color="003366"/>
              <w:bottom w:val="single" w:sz="4" w:space="0" w:color="003366"/>
              <w:right w:val="single" w:sz="4" w:space="0" w:color="003366"/>
            </w:tcBorders>
            <w:shd w:val="clear" w:color="000000" w:fill="FFFFCC"/>
            <w:noWrap/>
            <w:vAlign w:val="bottom"/>
            <w:hideMark/>
          </w:tcPr>
          <w:p w14:paraId="1ACEFF80" w14:textId="77777777" w:rsidR="00F44ED1" w:rsidRPr="00377AF5" w:rsidRDefault="00F44ED1">
            <w:pPr>
              <w:jc w:val="center"/>
              <w:rPr>
                <w:rFonts w:ascii="Calibri" w:hAnsi="Calibri"/>
                <w:sz w:val="14"/>
                <w:szCs w:val="14"/>
              </w:rPr>
            </w:pPr>
            <w:r w:rsidRPr="00377AF5">
              <w:rPr>
                <w:rFonts w:ascii="Calibri" w:hAnsi="Calibri"/>
                <w:sz w:val="14"/>
                <w:szCs w:val="14"/>
              </w:rPr>
              <w:t>6,77</w:t>
            </w:r>
          </w:p>
        </w:tc>
        <w:tc>
          <w:tcPr>
            <w:tcW w:w="855" w:type="dxa"/>
            <w:tcBorders>
              <w:top w:val="nil"/>
              <w:left w:val="single" w:sz="4" w:space="0" w:color="808000"/>
              <w:bottom w:val="single" w:sz="4" w:space="0" w:color="808000"/>
              <w:right w:val="single" w:sz="4" w:space="0" w:color="808000"/>
            </w:tcBorders>
            <w:shd w:val="clear" w:color="auto" w:fill="auto"/>
            <w:noWrap/>
            <w:vAlign w:val="center"/>
            <w:hideMark/>
          </w:tcPr>
          <w:p w14:paraId="122C9756" w14:textId="77777777" w:rsidR="00F44ED1" w:rsidRPr="00377AF5" w:rsidRDefault="00F44ED1">
            <w:pPr>
              <w:jc w:val="right"/>
              <w:rPr>
                <w:rFonts w:ascii="Calibri" w:hAnsi="Calibri"/>
                <w:sz w:val="14"/>
                <w:szCs w:val="14"/>
              </w:rPr>
            </w:pPr>
            <w:r w:rsidRPr="00377AF5">
              <w:rPr>
                <w:rFonts w:ascii="Calibri" w:hAnsi="Calibri"/>
                <w:sz w:val="14"/>
                <w:szCs w:val="14"/>
              </w:rPr>
              <w:t>01-ene-15</w:t>
            </w:r>
          </w:p>
        </w:tc>
        <w:tc>
          <w:tcPr>
            <w:tcW w:w="2273" w:type="dxa"/>
            <w:tcBorders>
              <w:top w:val="nil"/>
              <w:left w:val="nil"/>
              <w:bottom w:val="single" w:sz="4" w:space="0" w:color="808000"/>
              <w:right w:val="single" w:sz="4" w:space="0" w:color="808000"/>
            </w:tcBorders>
            <w:shd w:val="clear" w:color="auto" w:fill="auto"/>
            <w:noWrap/>
            <w:vAlign w:val="center"/>
            <w:hideMark/>
          </w:tcPr>
          <w:p w14:paraId="53B67CCE" w14:textId="77777777" w:rsidR="00F44ED1" w:rsidRPr="00377AF5" w:rsidRDefault="00F44ED1" w:rsidP="00692BA6">
            <w:pPr>
              <w:jc w:val="center"/>
              <w:rPr>
                <w:rFonts w:ascii="Calibri" w:hAnsi="Calibri"/>
                <w:sz w:val="14"/>
                <w:szCs w:val="14"/>
              </w:rPr>
            </w:pPr>
            <w:r w:rsidRPr="00377AF5">
              <w:rPr>
                <w:rFonts w:ascii="Calibri" w:hAnsi="Calibri"/>
                <w:sz w:val="14"/>
                <w:szCs w:val="14"/>
              </w:rPr>
              <w:t>31-dic-15</w:t>
            </w:r>
          </w:p>
        </w:tc>
        <w:tc>
          <w:tcPr>
            <w:tcW w:w="783" w:type="dxa"/>
            <w:tcBorders>
              <w:top w:val="nil"/>
              <w:left w:val="single" w:sz="4" w:space="0" w:color="003366"/>
              <w:bottom w:val="single" w:sz="4" w:space="0" w:color="003366"/>
              <w:right w:val="single" w:sz="4" w:space="0" w:color="003366"/>
            </w:tcBorders>
            <w:shd w:val="clear" w:color="000000" w:fill="FFFFCC"/>
            <w:noWrap/>
            <w:vAlign w:val="bottom"/>
            <w:hideMark/>
          </w:tcPr>
          <w:p w14:paraId="1ADEDE61" w14:textId="77777777" w:rsidR="00F44ED1" w:rsidRPr="00377AF5" w:rsidRDefault="00F44ED1">
            <w:pPr>
              <w:jc w:val="center"/>
              <w:rPr>
                <w:rFonts w:ascii="Calibri" w:hAnsi="Calibri"/>
                <w:sz w:val="14"/>
                <w:szCs w:val="14"/>
              </w:rPr>
            </w:pPr>
            <w:r w:rsidRPr="00377AF5">
              <w:rPr>
                <w:rFonts w:ascii="Calibri" w:hAnsi="Calibri"/>
                <w:sz w:val="14"/>
                <w:szCs w:val="14"/>
              </w:rPr>
              <w:t>14,00</w:t>
            </w:r>
          </w:p>
        </w:tc>
        <w:tc>
          <w:tcPr>
            <w:tcW w:w="803" w:type="dxa"/>
            <w:tcBorders>
              <w:top w:val="nil"/>
              <w:left w:val="nil"/>
              <w:bottom w:val="single" w:sz="4" w:space="0" w:color="003366"/>
              <w:right w:val="single" w:sz="4" w:space="0" w:color="003366"/>
            </w:tcBorders>
            <w:shd w:val="clear" w:color="000000" w:fill="FFFFCC"/>
            <w:vAlign w:val="bottom"/>
            <w:hideMark/>
          </w:tcPr>
          <w:p w14:paraId="7305E628" w14:textId="77777777" w:rsidR="00F44ED1" w:rsidRPr="00377AF5" w:rsidRDefault="00F44ED1">
            <w:pPr>
              <w:rPr>
                <w:rFonts w:ascii="Calibri" w:hAnsi="Calibri"/>
                <w:sz w:val="14"/>
                <w:szCs w:val="14"/>
              </w:rPr>
            </w:pPr>
            <w:r w:rsidRPr="00377AF5">
              <w:rPr>
                <w:rFonts w:ascii="Calibri" w:hAnsi="Calibri"/>
                <w:sz w:val="14"/>
                <w:szCs w:val="14"/>
              </w:rPr>
              <w:t xml:space="preserve">                 807.954 </w:t>
            </w:r>
          </w:p>
        </w:tc>
        <w:tc>
          <w:tcPr>
            <w:tcW w:w="757" w:type="dxa"/>
            <w:tcBorders>
              <w:top w:val="nil"/>
              <w:left w:val="nil"/>
              <w:bottom w:val="single" w:sz="4" w:space="0" w:color="003366"/>
              <w:right w:val="single" w:sz="4" w:space="0" w:color="003366"/>
            </w:tcBorders>
            <w:shd w:val="clear" w:color="000000" w:fill="FFFFCC"/>
            <w:vAlign w:val="bottom"/>
            <w:hideMark/>
          </w:tcPr>
          <w:p w14:paraId="445B9234"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003366"/>
              <w:right w:val="single" w:sz="4" w:space="0" w:color="003366"/>
            </w:tcBorders>
            <w:shd w:val="clear" w:color="000000" w:fill="FFFFFF"/>
            <w:noWrap/>
            <w:vAlign w:val="bottom"/>
            <w:hideMark/>
          </w:tcPr>
          <w:p w14:paraId="0804B088"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808000"/>
              <w:right w:val="single" w:sz="4" w:space="0" w:color="808000"/>
            </w:tcBorders>
            <w:shd w:val="clear" w:color="000000" w:fill="FFFFCC"/>
            <w:noWrap/>
            <w:vAlign w:val="center"/>
            <w:hideMark/>
          </w:tcPr>
          <w:p w14:paraId="36F50A81" w14:textId="411F5801" w:rsidR="00F44ED1" w:rsidRPr="00377AF5" w:rsidRDefault="00F44ED1" w:rsidP="00692BA6">
            <w:pPr>
              <w:jc w:val="center"/>
              <w:rPr>
                <w:rFonts w:ascii="Calibri" w:hAnsi="Calibri"/>
                <w:sz w:val="14"/>
                <w:szCs w:val="14"/>
              </w:rPr>
            </w:pPr>
            <w:r w:rsidRPr="00377AF5">
              <w:rPr>
                <w:rFonts w:ascii="Calibri" w:hAnsi="Calibri"/>
                <w:sz w:val="14"/>
                <w:szCs w:val="14"/>
              </w:rPr>
              <w:t>11.311.354,66</w:t>
            </w:r>
          </w:p>
        </w:tc>
      </w:tr>
      <w:tr w:rsidR="00377AF5" w:rsidRPr="00377AF5" w14:paraId="6AFFE511" w14:textId="77777777" w:rsidTr="00377AF5">
        <w:trPr>
          <w:trHeight w:val="20"/>
        </w:trPr>
        <w:tc>
          <w:tcPr>
            <w:tcW w:w="986" w:type="dxa"/>
            <w:tcBorders>
              <w:top w:val="nil"/>
              <w:left w:val="single" w:sz="4" w:space="0" w:color="003366"/>
              <w:bottom w:val="nil"/>
              <w:right w:val="single" w:sz="4" w:space="0" w:color="003366"/>
            </w:tcBorders>
            <w:shd w:val="clear" w:color="000000" w:fill="FFFFCC"/>
            <w:noWrap/>
            <w:vAlign w:val="bottom"/>
            <w:hideMark/>
          </w:tcPr>
          <w:p w14:paraId="3E0F421F" w14:textId="77777777" w:rsidR="00F44ED1" w:rsidRPr="00377AF5" w:rsidRDefault="00F44ED1">
            <w:pPr>
              <w:jc w:val="center"/>
              <w:rPr>
                <w:rFonts w:ascii="Calibri" w:hAnsi="Calibri"/>
                <w:sz w:val="14"/>
                <w:szCs w:val="14"/>
              </w:rPr>
            </w:pPr>
            <w:r w:rsidRPr="00377AF5">
              <w:rPr>
                <w:rFonts w:ascii="Calibri" w:hAnsi="Calibri"/>
                <w:sz w:val="14"/>
                <w:szCs w:val="14"/>
              </w:rPr>
              <w:t>0,00</w:t>
            </w:r>
          </w:p>
        </w:tc>
        <w:tc>
          <w:tcPr>
            <w:tcW w:w="855" w:type="dxa"/>
            <w:tcBorders>
              <w:top w:val="nil"/>
              <w:left w:val="single" w:sz="4" w:space="0" w:color="808000"/>
              <w:bottom w:val="nil"/>
              <w:right w:val="single" w:sz="4" w:space="0" w:color="808000"/>
            </w:tcBorders>
            <w:shd w:val="clear" w:color="auto" w:fill="auto"/>
            <w:noWrap/>
            <w:vAlign w:val="center"/>
            <w:hideMark/>
          </w:tcPr>
          <w:p w14:paraId="6A686338" w14:textId="77777777" w:rsidR="00F44ED1" w:rsidRPr="00377AF5" w:rsidRDefault="00F44ED1">
            <w:pPr>
              <w:jc w:val="right"/>
              <w:rPr>
                <w:rFonts w:ascii="Calibri" w:hAnsi="Calibri"/>
                <w:sz w:val="14"/>
                <w:szCs w:val="14"/>
              </w:rPr>
            </w:pPr>
            <w:r w:rsidRPr="00377AF5">
              <w:rPr>
                <w:rFonts w:ascii="Calibri" w:hAnsi="Calibri"/>
                <w:sz w:val="14"/>
                <w:szCs w:val="14"/>
              </w:rPr>
              <w:t>01-ene-16</w:t>
            </w:r>
          </w:p>
        </w:tc>
        <w:tc>
          <w:tcPr>
            <w:tcW w:w="2273" w:type="dxa"/>
            <w:tcBorders>
              <w:top w:val="nil"/>
              <w:left w:val="nil"/>
              <w:bottom w:val="single" w:sz="4" w:space="0" w:color="auto"/>
              <w:right w:val="single" w:sz="4" w:space="0" w:color="808000"/>
            </w:tcBorders>
            <w:shd w:val="clear" w:color="auto" w:fill="auto"/>
            <w:noWrap/>
            <w:vAlign w:val="center"/>
            <w:hideMark/>
          </w:tcPr>
          <w:p w14:paraId="41B351E1" w14:textId="77777777" w:rsidR="00F44ED1" w:rsidRPr="00377AF5" w:rsidRDefault="00F44ED1" w:rsidP="00692BA6">
            <w:pPr>
              <w:jc w:val="center"/>
              <w:rPr>
                <w:rFonts w:ascii="Calibri" w:hAnsi="Calibri"/>
                <w:sz w:val="14"/>
                <w:szCs w:val="14"/>
              </w:rPr>
            </w:pPr>
            <w:r w:rsidRPr="00377AF5">
              <w:rPr>
                <w:rFonts w:ascii="Calibri" w:hAnsi="Calibri"/>
                <w:sz w:val="14"/>
                <w:szCs w:val="14"/>
              </w:rPr>
              <w:t>31-may-16</w:t>
            </w:r>
          </w:p>
        </w:tc>
        <w:tc>
          <w:tcPr>
            <w:tcW w:w="783" w:type="dxa"/>
            <w:tcBorders>
              <w:top w:val="nil"/>
              <w:left w:val="single" w:sz="4" w:space="0" w:color="003366"/>
              <w:bottom w:val="single" w:sz="4" w:space="0" w:color="auto"/>
              <w:right w:val="single" w:sz="4" w:space="0" w:color="003366"/>
            </w:tcBorders>
            <w:shd w:val="clear" w:color="000000" w:fill="FFFFCC"/>
            <w:noWrap/>
            <w:vAlign w:val="bottom"/>
            <w:hideMark/>
          </w:tcPr>
          <w:p w14:paraId="17590C38" w14:textId="77777777" w:rsidR="00F44ED1" w:rsidRPr="00377AF5" w:rsidRDefault="00F44ED1">
            <w:pPr>
              <w:jc w:val="center"/>
              <w:rPr>
                <w:rFonts w:ascii="Calibri" w:hAnsi="Calibri"/>
                <w:sz w:val="14"/>
                <w:szCs w:val="14"/>
              </w:rPr>
            </w:pPr>
            <w:r w:rsidRPr="00377AF5">
              <w:rPr>
                <w:rFonts w:ascii="Calibri" w:hAnsi="Calibri"/>
                <w:sz w:val="14"/>
                <w:szCs w:val="14"/>
              </w:rPr>
              <w:t>5,00</w:t>
            </w:r>
          </w:p>
        </w:tc>
        <w:tc>
          <w:tcPr>
            <w:tcW w:w="803" w:type="dxa"/>
            <w:tcBorders>
              <w:top w:val="nil"/>
              <w:left w:val="nil"/>
              <w:bottom w:val="single" w:sz="4" w:space="0" w:color="auto"/>
              <w:right w:val="single" w:sz="4" w:space="0" w:color="003366"/>
            </w:tcBorders>
            <w:shd w:val="clear" w:color="000000" w:fill="FFFFCC"/>
            <w:vAlign w:val="bottom"/>
            <w:hideMark/>
          </w:tcPr>
          <w:p w14:paraId="4E366DE6" w14:textId="77777777" w:rsidR="00F44ED1" w:rsidRPr="00377AF5" w:rsidRDefault="00F44ED1">
            <w:pPr>
              <w:rPr>
                <w:rFonts w:ascii="Calibri" w:hAnsi="Calibri"/>
                <w:sz w:val="14"/>
                <w:szCs w:val="14"/>
              </w:rPr>
            </w:pPr>
            <w:r w:rsidRPr="00377AF5">
              <w:rPr>
                <w:rFonts w:ascii="Calibri" w:hAnsi="Calibri"/>
                <w:sz w:val="14"/>
                <w:szCs w:val="14"/>
              </w:rPr>
              <w:t xml:space="preserve">                 862.652 </w:t>
            </w:r>
          </w:p>
        </w:tc>
        <w:tc>
          <w:tcPr>
            <w:tcW w:w="757" w:type="dxa"/>
            <w:tcBorders>
              <w:top w:val="nil"/>
              <w:left w:val="nil"/>
              <w:bottom w:val="single" w:sz="4" w:space="0" w:color="auto"/>
              <w:right w:val="single" w:sz="4" w:space="0" w:color="003366"/>
            </w:tcBorders>
            <w:shd w:val="clear" w:color="000000" w:fill="FFFFCC"/>
            <w:vAlign w:val="bottom"/>
            <w:hideMark/>
          </w:tcPr>
          <w:p w14:paraId="1922FB2E" w14:textId="77777777" w:rsidR="00F44ED1" w:rsidRPr="00377AF5" w:rsidRDefault="00F44ED1">
            <w:pPr>
              <w:rPr>
                <w:rFonts w:ascii="Calibri" w:hAnsi="Calibri"/>
                <w:sz w:val="14"/>
                <w:szCs w:val="14"/>
              </w:rPr>
            </w:pPr>
            <w:r w:rsidRPr="00377AF5">
              <w:rPr>
                <w:rFonts w:ascii="Calibri" w:hAnsi="Calibri"/>
                <w:sz w:val="14"/>
                <w:szCs w:val="14"/>
              </w:rPr>
              <w:t> </w:t>
            </w:r>
          </w:p>
        </w:tc>
        <w:tc>
          <w:tcPr>
            <w:tcW w:w="1515" w:type="dxa"/>
            <w:tcBorders>
              <w:top w:val="nil"/>
              <w:left w:val="nil"/>
              <w:bottom w:val="single" w:sz="4" w:space="0" w:color="auto"/>
              <w:right w:val="single" w:sz="4" w:space="0" w:color="003366"/>
            </w:tcBorders>
            <w:shd w:val="clear" w:color="000000" w:fill="FFFFFF"/>
            <w:noWrap/>
            <w:vAlign w:val="bottom"/>
            <w:hideMark/>
          </w:tcPr>
          <w:p w14:paraId="6E0AD964" w14:textId="77777777" w:rsidR="00F44ED1" w:rsidRPr="00377AF5" w:rsidRDefault="00F44ED1">
            <w:pPr>
              <w:jc w:val="center"/>
              <w:rPr>
                <w:rFonts w:ascii="Calibri" w:hAnsi="Calibri"/>
                <w:sz w:val="14"/>
                <w:szCs w:val="14"/>
              </w:rPr>
            </w:pPr>
            <w:r w:rsidRPr="00377AF5">
              <w:rPr>
                <w:rFonts w:ascii="Calibri" w:hAnsi="Calibri"/>
                <w:sz w:val="14"/>
                <w:szCs w:val="14"/>
              </w:rPr>
              <w:t> </w:t>
            </w:r>
          </w:p>
        </w:tc>
        <w:tc>
          <w:tcPr>
            <w:tcW w:w="1655" w:type="dxa"/>
            <w:tcBorders>
              <w:top w:val="nil"/>
              <w:left w:val="single" w:sz="4" w:space="0" w:color="808000"/>
              <w:bottom w:val="single" w:sz="4" w:space="0" w:color="auto"/>
              <w:right w:val="single" w:sz="4" w:space="0" w:color="808000"/>
            </w:tcBorders>
            <w:shd w:val="clear" w:color="000000" w:fill="FFFFCC"/>
            <w:noWrap/>
            <w:vAlign w:val="center"/>
            <w:hideMark/>
          </w:tcPr>
          <w:p w14:paraId="3142CEAF" w14:textId="49B81C31" w:rsidR="00F44ED1" w:rsidRPr="00377AF5" w:rsidRDefault="00F44ED1" w:rsidP="00692BA6">
            <w:pPr>
              <w:jc w:val="center"/>
              <w:rPr>
                <w:rFonts w:ascii="Calibri" w:hAnsi="Calibri"/>
                <w:sz w:val="14"/>
                <w:szCs w:val="14"/>
              </w:rPr>
            </w:pPr>
            <w:r w:rsidRPr="00377AF5">
              <w:rPr>
                <w:rFonts w:ascii="Calibri" w:hAnsi="Calibri"/>
                <w:sz w:val="14"/>
                <w:szCs w:val="14"/>
              </w:rPr>
              <w:t>4.313.261,92</w:t>
            </w:r>
          </w:p>
        </w:tc>
      </w:tr>
      <w:tr w:rsidR="00377AF5" w:rsidRPr="00377AF5" w14:paraId="55CF2C88" w14:textId="77777777" w:rsidTr="00377AF5">
        <w:trPr>
          <w:trHeight w:val="20"/>
        </w:trPr>
        <w:tc>
          <w:tcPr>
            <w:tcW w:w="986" w:type="dxa"/>
            <w:tcBorders>
              <w:top w:val="single" w:sz="8" w:space="0" w:color="auto"/>
              <w:left w:val="single" w:sz="8" w:space="0" w:color="auto"/>
              <w:bottom w:val="nil"/>
              <w:right w:val="nil"/>
            </w:tcBorders>
            <w:shd w:val="clear" w:color="000000" w:fill="FFFF99"/>
            <w:noWrap/>
            <w:vAlign w:val="center"/>
            <w:hideMark/>
          </w:tcPr>
          <w:p w14:paraId="7603A0AD"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855" w:type="dxa"/>
            <w:tcBorders>
              <w:top w:val="single" w:sz="8" w:space="0" w:color="auto"/>
              <w:left w:val="nil"/>
              <w:bottom w:val="nil"/>
              <w:right w:val="single" w:sz="4" w:space="0" w:color="auto"/>
            </w:tcBorders>
            <w:shd w:val="clear" w:color="000000" w:fill="FFFF99"/>
            <w:noWrap/>
            <w:vAlign w:val="center"/>
            <w:hideMark/>
          </w:tcPr>
          <w:p w14:paraId="04381572"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2273" w:type="dxa"/>
            <w:tcBorders>
              <w:top w:val="single" w:sz="4" w:space="0" w:color="auto"/>
              <w:left w:val="single" w:sz="4" w:space="0" w:color="auto"/>
              <w:bottom w:val="single" w:sz="4" w:space="0" w:color="auto"/>
              <w:right w:val="single" w:sz="4" w:space="0" w:color="003366"/>
            </w:tcBorders>
            <w:shd w:val="clear" w:color="000000" w:fill="FFFFCC"/>
            <w:vAlign w:val="center"/>
            <w:hideMark/>
          </w:tcPr>
          <w:p w14:paraId="769B6EFB" w14:textId="6ABD9B0F" w:rsidR="00692BA6" w:rsidRPr="00377AF5" w:rsidRDefault="00692BA6" w:rsidP="00692BA6">
            <w:pPr>
              <w:rPr>
                <w:rFonts w:ascii="Calibri" w:hAnsi="Calibri"/>
                <w:sz w:val="14"/>
                <w:szCs w:val="14"/>
              </w:rPr>
            </w:pPr>
            <w:r w:rsidRPr="00377AF5">
              <w:rPr>
                <w:rFonts w:ascii="Calibri" w:hAnsi="Calibri"/>
                <w:b/>
                <w:bCs/>
                <w:sz w:val="14"/>
                <w:szCs w:val="14"/>
              </w:rPr>
              <w:t xml:space="preserve"> Valores a cancelar ===&gt; </w:t>
            </w:r>
          </w:p>
        </w:tc>
        <w:tc>
          <w:tcPr>
            <w:tcW w:w="783" w:type="dxa"/>
            <w:tcBorders>
              <w:top w:val="single" w:sz="4" w:space="0" w:color="auto"/>
              <w:left w:val="nil"/>
              <w:bottom w:val="single" w:sz="4" w:space="0" w:color="auto"/>
              <w:right w:val="single" w:sz="4" w:space="0" w:color="003366"/>
            </w:tcBorders>
            <w:shd w:val="clear" w:color="000000" w:fill="FFFFCC"/>
            <w:vAlign w:val="center"/>
            <w:hideMark/>
          </w:tcPr>
          <w:p w14:paraId="43FD98B5" w14:textId="20DEDF49" w:rsidR="00692BA6" w:rsidRPr="00377AF5" w:rsidRDefault="00692BA6" w:rsidP="00692BA6">
            <w:pPr>
              <w:rPr>
                <w:rFonts w:ascii="Calibri" w:hAnsi="Calibri"/>
                <w:sz w:val="14"/>
                <w:szCs w:val="14"/>
              </w:rPr>
            </w:pPr>
            <w:r w:rsidRPr="00377AF5">
              <w:rPr>
                <w:rFonts w:ascii="Calibri" w:hAnsi="Calibri"/>
                <w:b/>
                <w:bCs/>
                <w:sz w:val="14"/>
                <w:szCs w:val="14"/>
              </w:rPr>
              <w:t> </w:t>
            </w:r>
          </w:p>
        </w:tc>
        <w:tc>
          <w:tcPr>
            <w:tcW w:w="803" w:type="dxa"/>
            <w:tcBorders>
              <w:top w:val="single" w:sz="4" w:space="0" w:color="auto"/>
              <w:left w:val="nil"/>
              <w:bottom w:val="single" w:sz="4" w:space="0" w:color="auto"/>
              <w:right w:val="single" w:sz="4" w:space="0" w:color="003366"/>
            </w:tcBorders>
            <w:shd w:val="clear" w:color="000000" w:fill="FFFFCC"/>
            <w:vAlign w:val="center"/>
            <w:hideMark/>
          </w:tcPr>
          <w:p w14:paraId="72D8259A" w14:textId="2FF4724D" w:rsidR="00692BA6" w:rsidRPr="00377AF5" w:rsidRDefault="00692BA6" w:rsidP="00692BA6">
            <w:pPr>
              <w:rPr>
                <w:rFonts w:ascii="Calibri" w:hAnsi="Calibri"/>
                <w:sz w:val="14"/>
                <w:szCs w:val="14"/>
              </w:rPr>
            </w:pPr>
            <w:r w:rsidRPr="00377AF5">
              <w:rPr>
                <w:rFonts w:ascii="Calibri" w:hAnsi="Calibri"/>
                <w:b/>
                <w:bCs/>
                <w:sz w:val="14"/>
                <w:szCs w:val="14"/>
              </w:rPr>
              <w:t> </w:t>
            </w:r>
          </w:p>
        </w:tc>
        <w:tc>
          <w:tcPr>
            <w:tcW w:w="757" w:type="dxa"/>
            <w:tcBorders>
              <w:top w:val="single" w:sz="4" w:space="0" w:color="auto"/>
              <w:left w:val="nil"/>
              <w:bottom w:val="single" w:sz="4" w:space="0" w:color="auto"/>
              <w:right w:val="single" w:sz="4" w:space="0" w:color="003366"/>
            </w:tcBorders>
            <w:shd w:val="clear" w:color="000000" w:fill="FFFFCC"/>
            <w:vAlign w:val="center"/>
            <w:hideMark/>
          </w:tcPr>
          <w:p w14:paraId="69277A95" w14:textId="3CDA6CDE" w:rsidR="00692BA6" w:rsidRPr="00377AF5" w:rsidRDefault="00692BA6" w:rsidP="00692BA6">
            <w:pPr>
              <w:rPr>
                <w:rFonts w:ascii="Calibri" w:hAnsi="Calibri"/>
                <w:sz w:val="14"/>
                <w:szCs w:val="14"/>
              </w:rPr>
            </w:pPr>
            <w:r w:rsidRPr="00377AF5">
              <w:rPr>
                <w:rFonts w:ascii="Calibri" w:hAnsi="Calibri"/>
                <w:b/>
                <w:bCs/>
                <w:sz w:val="14"/>
                <w:szCs w:val="14"/>
              </w:rPr>
              <w:t> </w:t>
            </w:r>
          </w:p>
        </w:tc>
        <w:tc>
          <w:tcPr>
            <w:tcW w:w="1515" w:type="dxa"/>
            <w:tcBorders>
              <w:top w:val="single" w:sz="4" w:space="0" w:color="auto"/>
              <w:left w:val="nil"/>
              <w:bottom w:val="single" w:sz="4" w:space="0" w:color="auto"/>
              <w:right w:val="single" w:sz="4" w:space="0" w:color="003366"/>
            </w:tcBorders>
            <w:shd w:val="clear" w:color="000000" w:fill="FFFFFF"/>
            <w:noWrap/>
            <w:vAlign w:val="center"/>
            <w:hideMark/>
          </w:tcPr>
          <w:p w14:paraId="2A9686DD" w14:textId="0B3481F2" w:rsidR="00692BA6" w:rsidRPr="00377AF5" w:rsidRDefault="00692BA6" w:rsidP="00692BA6">
            <w:pPr>
              <w:jc w:val="center"/>
              <w:rPr>
                <w:rFonts w:ascii="Calibri" w:hAnsi="Calibri"/>
                <w:sz w:val="14"/>
                <w:szCs w:val="14"/>
              </w:rPr>
            </w:pPr>
            <w:r w:rsidRPr="00377AF5">
              <w:rPr>
                <w:rFonts w:ascii="Calibri" w:hAnsi="Calibri"/>
                <w:b/>
                <w:bCs/>
                <w:sz w:val="14"/>
                <w:szCs w:val="14"/>
              </w:rPr>
              <w:t xml:space="preserve">     </w:t>
            </w:r>
          </w:p>
        </w:tc>
        <w:tc>
          <w:tcPr>
            <w:tcW w:w="1655" w:type="dxa"/>
            <w:tcBorders>
              <w:top w:val="single" w:sz="4" w:space="0" w:color="auto"/>
              <w:left w:val="single" w:sz="4" w:space="0" w:color="808000"/>
              <w:bottom w:val="single" w:sz="4" w:space="0" w:color="auto"/>
              <w:right w:val="single" w:sz="4" w:space="0" w:color="auto"/>
            </w:tcBorders>
            <w:shd w:val="clear" w:color="000000" w:fill="FFFFCC"/>
            <w:noWrap/>
            <w:vAlign w:val="center"/>
            <w:hideMark/>
          </w:tcPr>
          <w:p w14:paraId="6BC092DE" w14:textId="3624E993" w:rsidR="00692BA6" w:rsidRPr="00377AF5" w:rsidRDefault="00692BA6" w:rsidP="00692BA6">
            <w:pPr>
              <w:ind w:left="-45" w:firstLine="45"/>
              <w:jc w:val="center"/>
              <w:rPr>
                <w:rFonts w:ascii="Calibri" w:hAnsi="Calibri"/>
                <w:sz w:val="14"/>
                <w:szCs w:val="14"/>
              </w:rPr>
            </w:pPr>
            <w:r w:rsidRPr="00377AF5">
              <w:rPr>
                <w:rFonts w:ascii="Calibri" w:hAnsi="Calibri"/>
                <w:b/>
                <w:bCs/>
                <w:sz w:val="14"/>
                <w:szCs w:val="14"/>
              </w:rPr>
              <w:t>65.644.772,80</w:t>
            </w:r>
          </w:p>
        </w:tc>
      </w:tr>
      <w:tr w:rsidR="00377AF5" w:rsidRPr="00377AF5" w14:paraId="4D7FA99B" w14:textId="77777777" w:rsidTr="00377AF5">
        <w:trPr>
          <w:trHeight w:val="20"/>
        </w:trPr>
        <w:tc>
          <w:tcPr>
            <w:tcW w:w="986" w:type="dxa"/>
            <w:tcBorders>
              <w:top w:val="nil"/>
              <w:left w:val="single" w:sz="8" w:space="0" w:color="auto"/>
              <w:bottom w:val="nil"/>
              <w:right w:val="nil"/>
            </w:tcBorders>
            <w:shd w:val="clear" w:color="000000" w:fill="FFFF99"/>
            <w:noWrap/>
            <w:vAlign w:val="center"/>
            <w:hideMark/>
          </w:tcPr>
          <w:p w14:paraId="1EBB1347"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855" w:type="dxa"/>
            <w:tcBorders>
              <w:top w:val="nil"/>
              <w:left w:val="nil"/>
              <w:bottom w:val="nil"/>
              <w:right w:val="nil"/>
            </w:tcBorders>
            <w:shd w:val="clear" w:color="000000" w:fill="FFFF99"/>
            <w:noWrap/>
            <w:vAlign w:val="center"/>
            <w:hideMark/>
          </w:tcPr>
          <w:p w14:paraId="09DF477D"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2273" w:type="dxa"/>
            <w:tcBorders>
              <w:top w:val="single" w:sz="4" w:space="0" w:color="auto"/>
              <w:left w:val="single" w:sz="8" w:space="0" w:color="auto"/>
              <w:bottom w:val="single" w:sz="8" w:space="0" w:color="auto"/>
              <w:right w:val="single" w:sz="4" w:space="0" w:color="003366"/>
            </w:tcBorders>
            <w:shd w:val="clear" w:color="000000" w:fill="FFFF99"/>
            <w:noWrap/>
            <w:vAlign w:val="center"/>
            <w:hideMark/>
          </w:tcPr>
          <w:p w14:paraId="55C63ED5" w14:textId="3C739DB1" w:rsidR="00692BA6" w:rsidRPr="00377AF5" w:rsidRDefault="00692BA6" w:rsidP="00692BA6">
            <w:pPr>
              <w:rPr>
                <w:rFonts w:ascii="Calibri" w:hAnsi="Calibri"/>
                <w:b/>
                <w:bCs/>
                <w:sz w:val="14"/>
                <w:szCs w:val="14"/>
              </w:rPr>
            </w:pPr>
            <w:r w:rsidRPr="00377AF5">
              <w:rPr>
                <w:rFonts w:ascii="Calibri" w:hAnsi="Calibri"/>
                <w:b/>
                <w:bCs/>
                <w:sz w:val="14"/>
                <w:szCs w:val="14"/>
              </w:rPr>
              <w:t xml:space="preserve"> Menos Indemnización sustitutiva 31/12/97 </w:t>
            </w:r>
          </w:p>
        </w:tc>
        <w:tc>
          <w:tcPr>
            <w:tcW w:w="783" w:type="dxa"/>
            <w:tcBorders>
              <w:top w:val="single" w:sz="4" w:space="0" w:color="auto"/>
              <w:left w:val="nil"/>
              <w:bottom w:val="single" w:sz="8" w:space="0" w:color="auto"/>
              <w:right w:val="single" w:sz="4" w:space="0" w:color="003366"/>
            </w:tcBorders>
            <w:shd w:val="clear" w:color="000000" w:fill="FFFF99"/>
            <w:noWrap/>
            <w:vAlign w:val="center"/>
            <w:hideMark/>
          </w:tcPr>
          <w:p w14:paraId="3165429A"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803" w:type="dxa"/>
            <w:tcBorders>
              <w:top w:val="single" w:sz="4" w:space="0" w:color="auto"/>
              <w:left w:val="nil"/>
              <w:bottom w:val="single" w:sz="8" w:space="0" w:color="auto"/>
              <w:right w:val="single" w:sz="4" w:space="0" w:color="003366"/>
            </w:tcBorders>
            <w:shd w:val="clear" w:color="000000" w:fill="FFFF99"/>
            <w:noWrap/>
            <w:vAlign w:val="center"/>
            <w:hideMark/>
          </w:tcPr>
          <w:p w14:paraId="14B8E3E4"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757" w:type="dxa"/>
            <w:tcBorders>
              <w:top w:val="single" w:sz="4" w:space="0" w:color="auto"/>
              <w:left w:val="nil"/>
              <w:bottom w:val="single" w:sz="8" w:space="0" w:color="auto"/>
              <w:right w:val="nil"/>
            </w:tcBorders>
            <w:shd w:val="clear" w:color="000000" w:fill="FFFF99"/>
            <w:noWrap/>
            <w:vAlign w:val="center"/>
            <w:hideMark/>
          </w:tcPr>
          <w:p w14:paraId="140B626B"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1515" w:type="dxa"/>
            <w:tcBorders>
              <w:top w:val="single" w:sz="4" w:space="0" w:color="auto"/>
              <w:left w:val="nil"/>
              <w:bottom w:val="single" w:sz="8" w:space="0" w:color="auto"/>
              <w:right w:val="single" w:sz="8" w:space="0" w:color="auto"/>
            </w:tcBorders>
            <w:shd w:val="clear" w:color="000000" w:fill="FFFF99"/>
            <w:noWrap/>
            <w:vAlign w:val="center"/>
            <w:hideMark/>
          </w:tcPr>
          <w:p w14:paraId="13CB6C61"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1655" w:type="dxa"/>
            <w:tcBorders>
              <w:top w:val="single" w:sz="4" w:space="0" w:color="auto"/>
              <w:left w:val="nil"/>
              <w:bottom w:val="single" w:sz="8" w:space="0" w:color="auto"/>
              <w:right w:val="single" w:sz="8" w:space="0" w:color="auto"/>
            </w:tcBorders>
            <w:shd w:val="clear" w:color="000000" w:fill="FFFF99"/>
            <w:noWrap/>
            <w:vAlign w:val="center"/>
            <w:hideMark/>
          </w:tcPr>
          <w:p w14:paraId="7E097FFB" w14:textId="3D19965A" w:rsidR="00692BA6" w:rsidRPr="00377AF5" w:rsidRDefault="00692BA6" w:rsidP="00692BA6">
            <w:pPr>
              <w:jc w:val="center"/>
              <w:rPr>
                <w:rFonts w:ascii="Calibri" w:hAnsi="Calibri"/>
                <w:b/>
                <w:bCs/>
                <w:sz w:val="14"/>
                <w:szCs w:val="14"/>
              </w:rPr>
            </w:pPr>
            <w:r w:rsidRPr="00377AF5">
              <w:rPr>
                <w:rFonts w:ascii="Calibri" w:hAnsi="Calibri"/>
                <w:b/>
                <w:bCs/>
                <w:sz w:val="14"/>
                <w:szCs w:val="14"/>
              </w:rPr>
              <w:t>2.691.628,00</w:t>
            </w:r>
          </w:p>
        </w:tc>
      </w:tr>
      <w:tr w:rsidR="00377AF5" w:rsidRPr="00377AF5" w14:paraId="7FE17DFD" w14:textId="77777777" w:rsidTr="00377AF5">
        <w:trPr>
          <w:trHeight w:val="20"/>
        </w:trPr>
        <w:tc>
          <w:tcPr>
            <w:tcW w:w="986" w:type="dxa"/>
            <w:tcBorders>
              <w:top w:val="nil"/>
              <w:left w:val="single" w:sz="8" w:space="0" w:color="auto"/>
              <w:bottom w:val="nil"/>
              <w:right w:val="nil"/>
            </w:tcBorders>
            <w:shd w:val="clear" w:color="000000" w:fill="FFFF99"/>
            <w:noWrap/>
            <w:vAlign w:val="center"/>
            <w:hideMark/>
          </w:tcPr>
          <w:p w14:paraId="359A8F07"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855" w:type="dxa"/>
            <w:tcBorders>
              <w:top w:val="nil"/>
              <w:left w:val="nil"/>
              <w:bottom w:val="nil"/>
              <w:right w:val="nil"/>
            </w:tcBorders>
            <w:shd w:val="clear" w:color="000000" w:fill="FFFF99"/>
            <w:noWrap/>
            <w:vAlign w:val="center"/>
            <w:hideMark/>
          </w:tcPr>
          <w:p w14:paraId="056DD2B8"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2273" w:type="dxa"/>
            <w:tcBorders>
              <w:top w:val="nil"/>
              <w:left w:val="single" w:sz="8" w:space="0" w:color="auto"/>
              <w:bottom w:val="single" w:sz="8" w:space="0" w:color="auto"/>
              <w:right w:val="single" w:sz="4" w:space="0" w:color="003366"/>
            </w:tcBorders>
            <w:shd w:val="clear" w:color="000000" w:fill="FFFF99"/>
            <w:noWrap/>
            <w:vAlign w:val="center"/>
            <w:hideMark/>
          </w:tcPr>
          <w:p w14:paraId="613981C8" w14:textId="45B9B6F7" w:rsidR="00692BA6" w:rsidRPr="00377AF5" w:rsidRDefault="00692BA6" w:rsidP="00692BA6">
            <w:pPr>
              <w:rPr>
                <w:rFonts w:ascii="Calibri" w:hAnsi="Calibri"/>
                <w:b/>
                <w:bCs/>
                <w:sz w:val="14"/>
                <w:szCs w:val="14"/>
              </w:rPr>
            </w:pPr>
            <w:r w:rsidRPr="00377AF5">
              <w:rPr>
                <w:rFonts w:ascii="Calibri" w:hAnsi="Calibri"/>
                <w:b/>
                <w:bCs/>
                <w:sz w:val="14"/>
                <w:szCs w:val="14"/>
              </w:rPr>
              <w:t xml:space="preserve"> Menos Indexación Indemnización sustitutiva al 31/5/16 </w:t>
            </w:r>
          </w:p>
        </w:tc>
        <w:tc>
          <w:tcPr>
            <w:tcW w:w="783" w:type="dxa"/>
            <w:tcBorders>
              <w:top w:val="nil"/>
              <w:left w:val="nil"/>
              <w:bottom w:val="single" w:sz="8" w:space="0" w:color="auto"/>
              <w:right w:val="nil"/>
            </w:tcBorders>
            <w:shd w:val="clear" w:color="000000" w:fill="FFFF99"/>
            <w:noWrap/>
            <w:vAlign w:val="center"/>
            <w:hideMark/>
          </w:tcPr>
          <w:p w14:paraId="7634C48C"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803" w:type="dxa"/>
            <w:tcBorders>
              <w:top w:val="nil"/>
              <w:left w:val="nil"/>
              <w:bottom w:val="single" w:sz="8" w:space="0" w:color="auto"/>
              <w:right w:val="nil"/>
            </w:tcBorders>
            <w:shd w:val="clear" w:color="000000" w:fill="FFFF99"/>
            <w:noWrap/>
            <w:vAlign w:val="center"/>
            <w:hideMark/>
          </w:tcPr>
          <w:p w14:paraId="61652877"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757" w:type="dxa"/>
            <w:tcBorders>
              <w:top w:val="nil"/>
              <w:left w:val="nil"/>
              <w:bottom w:val="single" w:sz="8" w:space="0" w:color="auto"/>
              <w:right w:val="nil"/>
            </w:tcBorders>
            <w:shd w:val="clear" w:color="000000" w:fill="FFFF99"/>
            <w:noWrap/>
            <w:vAlign w:val="center"/>
            <w:hideMark/>
          </w:tcPr>
          <w:p w14:paraId="00CE55F2"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1515" w:type="dxa"/>
            <w:tcBorders>
              <w:top w:val="nil"/>
              <w:left w:val="nil"/>
              <w:bottom w:val="single" w:sz="8" w:space="0" w:color="auto"/>
              <w:right w:val="single" w:sz="8" w:space="0" w:color="auto"/>
            </w:tcBorders>
            <w:shd w:val="clear" w:color="000000" w:fill="FFFF99"/>
            <w:noWrap/>
            <w:vAlign w:val="center"/>
            <w:hideMark/>
          </w:tcPr>
          <w:p w14:paraId="06C3C9EF"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1655" w:type="dxa"/>
            <w:tcBorders>
              <w:top w:val="nil"/>
              <w:left w:val="nil"/>
              <w:bottom w:val="single" w:sz="8" w:space="0" w:color="auto"/>
              <w:right w:val="single" w:sz="8" w:space="0" w:color="auto"/>
            </w:tcBorders>
            <w:shd w:val="clear" w:color="000000" w:fill="FFFF99"/>
            <w:noWrap/>
            <w:vAlign w:val="center"/>
            <w:hideMark/>
          </w:tcPr>
          <w:p w14:paraId="20267EF7" w14:textId="23C9D7C1" w:rsidR="00692BA6" w:rsidRPr="00377AF5" w:rsidRDefault="00692BA6" w:rsidP="00692BA6">
            <w:pPr>
              <w:jc w:val="center"/>
              <w:rPr>
                <w:rFonts w:ascii="Calibri" w:hAnsi="Calibri"/>
                <w:b/>
                <w:bCs/>
                <w:sz w:val="14"/>
                <w:szCs w:val="14"/>
              </w:rPr>
            </w:pPr>
            <w:r w:rsidRPr="00377AF5">
              <w:rPr>
                <w:rFonts w:ascii="Calibri" w:hAnsi="Calibri"/>
                <w:b/>
                <w:bCs/>
                <w:sz w:val="14"/>
                <w:szCs w:val="14"/>
              </w:rPr>
              <w:t>6.244.689,46</w:t>
            </w:r>
          </w:p>
        </w:tc>
      </w:tr>
      <w:tr w:rsidR="00377AF5" w:rsidRPr="00377AF5" w14:paraId="253A01E5" w14:textId="77777777" w:rsidTr="00377AF5">
        <w:trPr>
          <w:trHeight w:val="20"/>
        </w:trPr>
        <w:tc>
          <w:tcPr>
            <w:tcW w:w="986" w:type="dxa"/>
            <w:tcBorders>
              <w:top w:val="nil"/>
              <w:left w:val="single" w:sz="8" w:space="0" w:color="auto"/>
              <w:bottom w:val="single" w:sz="8" w:space="0" w:color="auto"/>
              <w:right w:val="nil"/>
            </w:tcBorders>
            <w:shd w:val="clear" w:color="000000" w:fill="FFFF99"/>
            <w:noWrap/>
            <w:vAlign w:val="center"/>
            <w:hideMark/>
          </w:tcPr>
          <w:p w14:paraId="08AB5A92"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855" w:type="dxa"/>
            <w:tcBorders>
              <w:top w:val="nil"/>
              <w:left w:val="nil"/>
              <w:bottom w:val="single" w:sz="8" w:space="0" w:color="auto"/>
              <w:right w:val="nil"/>
            </w:tcBorders>
            <w:shd w:val="clear" w:color="000000" w:fill="FFFF99"/>
            <w:noWrap/>
            <w:vAlign w:val="center"/>
            <w:hideMark/>
          </w:tcPr>
          <w:p w14:paraId="30BE5474" w14:textId="77777777" w:rsidR="00692BA6" w:rsidRPr="00377AF5" w:rsidRDefault="00692BA6" w:rsidP="00692BA6">
            <w:pPr>
              <w:rPr>
                <w:rFonts w:ascii="Calibri" w:hAnsi="Calibri"/>
                <w:b/>
                <w:bCs/>
                <w:sz w:val="14"/>
                <w:szCs w:val="14"/>
              </w:rPr>
            </w:pPr>
            <w:r w:rsidRPr="00377AF5">
              <w:rPr>
                <w:rFonts w:ascii="Calibri" w:hAnsi="Calibri"/>
                <w:b/>
                <w:bCs/>
                <w:sz w:val="14"/>
                <w:szCs w:val="14"/>
              </w:rPr>
              <w:t> </w:t>
            </w:r>
          </w:p>
        </w:tc>
        <w:tc>
          <w:tcPr>
            <w:tcW w:w="4616" w:type="dxa"/>
            <w:gridSpan w:val="4"/>
            <w:tcBorders>
              <w:top w:val="nil"/>
              <w:left w:val="single" w:sz="8" w:space="0" w:color="auto"/>
              <w:bottom w:val="single" w:sz="8" w:space="0" w:color="auto"/>
              <w:right w:val="nil"/>
            </w:tcBorders>
            <w:shd w:val="clear" w:color="000000" w:fill="FFFF99"/>
            <w:noWrap/>
            <w:vAlign w:val="center"/>
            <w:hideMark/>
          </w:tcPr>
          <w:p w14:paraId="10BAAF93" w14:textId="77777777" w:rsidR="00692BA6" w:rsidRPr="00377AF5" w:rsidRDefault="00692BA6" w:rsidP="00692BA6">
            <w:pPr>
              <w:rPr>
                <w:rFonts w:ascii="Calibri" w:hAnsi="Calibri"/>
                <w:b/>
                <w:bCs/>
                <w:sz w:val="14"/>
                <w:szCs w:val="14"/>
              </w:rPr>
            </w:pPr>
            <w:r w:rsidRPr="00377AF5">
              <w:rPr>
                <w:rFonts w:ascii="Calibri" w:hAnsi="Calibri"/>
                <w:b/>
                <w:bCs/>
                <w:sz w:val="14"/>
                <w:szCs w:val="14"/>
              </w:rPr>
              <w:t xml:space="preserve"> TOTAL RETROACTIVO 22 DE MARZO DE 2010 AL 31 MAYO 2016 </w:t>
            </w:r>
          </w:p>
        </w:tc>
        <w:tc>
          <w:tcPr>
            <w:tcW w:w="3170" w:type="dxa"/>
            <w:gridSpan w:val="2"/>
            <w:tcBorders>
              <w:top w:val="nil"/>
              <w:left w:val="nil"/>
              <w:bottom w:val="single" w:sz="8" w:space="0" w:color="auto"/>
              <w:right w:val="single" w:sz="8" w:space="0" w:color="auto"/>
            </w:tcBorders>
            <w:shd w:val="clear" w:color="000000" w:fill="FFFF99"/>
            <w:noWrap/>
            <w:vAlign w:val="center"/>
            <w:hideMark/>
          </w:tcPr>
          <w:p w14:paraId="64EE4E2D" w14:textId="09193A62" w:rsidR="00692BA6" w:rsidRPr="00377AF5" w:rsidRDefault="00692BA6" w:rsidP="00692BA6">
            <w:pPr>
              <w:jc w:val="center"/>
              <w:rPr>
                <w:rFonts w:ascii="Calibri" w:hAnsi="Calibri"/>
                <w:b/>
                <w:bCs/>
                <w:sz w:val="14"/>
                <w:szCs w:val="14"/>
              </w:rPr>
            </w:pPr>
            <w:r w:rsidRPr="00377AF5">
              <w:rPr>
                <w:rFonts w:ascii="Calibri" w:hAnsi="Calibri"/>
                <w:b/>
                <w:bCs/>
                <w:sz w:val="14"/>
                <w:szCs w:val="14"/>
              </w:rPr>
              <w:t xml:space="preserve">                             56.708.455</w:t>
            </w:r>
          </w:p>
        </w:tc>
      </w:tr>
      <w:tr w:rsidR="00377AF5" w:rsidRPr="00377AF5" w14:paraId="0FC87C6C" w14:textId="77777777" w:rsidTr="00377AF5">
        <w:trPr>
          <w:trHeight w:val="20"/>
        </w:trPr>
        <w:tc>
          <w:tcPr>
            <w:tcW w:w="986" w:type="dxa"/>
            <w:tcBorders>
              <w:top w:val="nil"/>
              <w:left w:val="nil"/>
              <w:bottom w:val="nil"/>
              <w:right w:val="nil"/>
            </w:tcBorders>
            <w:shd w:val="clear" w:color="auto" w:fill="auto"/>
            <w:noWrap/>
            <w:vAlign w:val="bottom"/>
            <w:hideMark/>
          </w:tcPr>
          <w:p w14:paraId="3D677719" w14:textId="77777777" w:rsidR="00692BA6" w:rsidRPr="00377AF5" w:rsidRDefault="00692BA6" w:rsidP="00692BA6">
            <w:pPr>
              <w:rPr>
                <w:rFonts w:ascii="Calibri" w:hAnsi="Calibri"/>
                <w:b/>
                <w:bCs/>
                <w:sz w:val="14"/>
                <w:szCs w:val="14"/>
              </w:rPr>
            </w:pPr>
          </w:p>
        </w:tc>
        <w:tc>
          <w:tcPr>
            <w:tcW w:w="855" w:type="dxa"/>
            <w:tcBorders>
              <w:top w:val="nil"/>
              <w:left w:val="nil"/>
              <w:bottom w:val="nil"/>
              <w:right w:val="nil"/>
            </w:tcBorders>
            <w:shd w:val="clear" w:color="auto" w:fill="auto"/>
            <w:noWrap/>
            <w:vAlign w:val="bottom"/>
            <w:hideMark/>
          </w:tcPr>
          <w:p w14:paraId="4550C9CE" w14:textId="77777777" w:rsidR="00692BA6" w:rsidRPr="00377AF5" w:rsidRDefault="00692BA6" w:rsidP="00692BA6">
            <w:pPr>
              <w:rPr>
                <w:sz w:val="14"/>
                <w:szCs w:val="14"/>
              </w:rPr>
            </w:pPr>
          </w:p>
        </w:tc>
        <w:tc>
          <w:tcPr>
            <w:tcW w:w="2273" w:type="dxa"/>
            <w:tcBorders>
              <w:top w:val="nil"/>
              <w:left w:val="nil"/>
              <w:bottom w:val="nil"/>
              <w:right w:val="nil"/>
            </w:tcBorders>
            <w:shd w:val="clear" w:color="auto" w:fill="auto"/>
            <w:noWrap/>
            <w:vAlign w:val="bottom"/>
            <w:hideMark/>
          </w:tcPr>
          <w:p w14:paraId="475AC7DD" w14:textId="77777777" w:rsidR="00692BA6" w:rsidRPr="00377AF5" w:rsidRDefault="00692BA6" w:rsidP="00692BA6">
            <w:pPr>
              <w:rPr>
                <w:sz w:val="14"/>
                <w:szCs w:val="14"/>
              </w:rPr>
            </w:pPr>
          </w:p>
        </w:tc>
        <w:tc>
          <w:tcPr>
            <w:tcW w:w="783" w:type="dxa"/>
            <w:tcBorders>
              <w:top w:val="nil"/>
              <w:left w:val="nil"/>
              <w:bottom w:val="nil"/>
              <w:right w:val="nil"/>
            </w:tcBorders>
            <w:shd w:val="clear" w:color="auto" w:fill="auto"/>
            <w:noWrap/>
            <w:vAlign w:val="bottom"/>
            <w:hideMark/>
          </w:tcPr>
          <w:p w14:paraId="00B255EF" w14:textId="77777777" w:rsidR="00692BA6" w:rsidRPr="00377AF5" w:rsidRDefault="00692BA6" w:rsidP="00692BA6">
            <w:pPr>
              <w:rPr>
                <w:sz w:val="14"/>
                <w:szCs w:val="14"/>
              </w:rPr>
            </w:pPr>
          </w:p>
        </w:tc>
        <w:tc>
          <w:tcPr>
            <w:tcW w:w="803" w:type="dxa"/>
            <w:tcBorders>
              <w:top w:val="nil"/>
              <w:left w:val="nil"/>
              <w:bottom w:val="nil"/>
              <w:right w:val="nil"/>
            </w:tcBorders>
            <w:shd w:val="clear" w:color="auto" w:fill="auto"/>
            <w:noWrap/>
            <w:vAlign w:val="center"/>
            <w:hideMark/>
          </w:tcPr>
          <w:p w14:paraId="549773D6" w14:textId="77777777" w:rsidR="00692BA6" w:rsidRPr="00377AF5" w:rsidRDefault="00692BA6" w:rsidP="00692BA6">
            <w:pPr>
              <w:rPr>
                <w:sz w:val="14"/>
                <w:szCs w:val="14"/>
              </w:rPr>
            </w:pPr>
          </w:p>
        </w:tc>
        <w:tc>
          <w:tcPr>
            <w:tcW w:w="757" w:type="dxa"/>
            <w:tcBorders>
              <w:top w:val="nil"/>
              <w:left w:val="nil"/>
              <w:bottom w:val="nil"/>
              <w:right w:val="nil"/>
            </w:tcBorders>
            <w:shd w:val="clear" w:color="auto" w:fill="auto"/>
            <w:noWrap/>
            <w:vAlign w:val="center"/>
            <w:hideMark/>
          </w:tcPr>
          <w:p w14:paraId="5143B38E" w14:textId="77777777" w:rsidR="00692BA6" w:rsidRPr="00377AF5" w:rsidRDefault="00692BA6" w:rsidP="00692BA6">
            <w:pPr>
              <w:rPr>
                <w:sz w:val="14"/>
                <w:szCs w:val="14"/>
              </w:rPr>
            </w:pPr>
          </w:p>
        </w:tc>
        <w:tc>
          <w:tcPr>
            <w:tcW w:w="1515" w:type="dxa"/>
            <w:tcBorders>
              <w:top w:val="nil"/>
              <w:left w:val="nil"/>
              <w:bottom w:val="nil"/>
              <w:right w:val="nil"/>
            </w:tcBorders>
            <w:shd w:val="clear" w:color="auto" w:fill="auto"/>
            <w:noWrap/>
            <w:vAlign w:val="center"/>
            <w:hideMark/>
          </w:tcPr>
          <w:p w14:paraId="2D4C3996" w14:textId="77777777" w:rsidR="00692BA6" w:rsidRPr="00377AF5" w:rsidRDefault="00692BA6" w:rsidP="00692BA6">
            <w:pPr>
              <w:rPr>
                <w:sz w:val="14"/>
                <w:szCs w:val="14"/>
              </w:rPr>
            </w:pPr>
          </w:p>
        </w:tc>
        <w:tc>
          <w:tcPr>
            <w:tcW w:w="1655" w:type="dxa"/>
            <w:tcBorders>
              <w:top w:val="nil"/>
              <w:left w:val="nil"/>
              <w:bottom w:val="nil"/>
              <w:right w:val="nil"/>
            </w:tcBorders>
            <w:shd w:val="clear" w:color="auto" w:fill="auto"/>
            <w:noWrap/>
            <w:vAlign w:val="center"/>
            <w:hideMark/>
          </w:tcPr>
          <w:p w14:paraId="6049F1A7" w14:textId="77777777" w:rsidR="00692BA6" w:rsidRPr="00377AF5" w:rsidRDefault="00692BA6" w:rsidP="00692BA6">
            <w:pPr>
              <w:rPr>
                <w:sz w:val="14"/>
                <w:szCs w:val="14"/>
              </w:rPr>
            </w:pPr>
          </w:p>
        </w:tc>
      </w:tr>
      <w:tr w:rsidR="00377AF5" w:rsidRPr="00377AF5" w14:paraId="0F3F400A" w14:textId="77777777" w:rsidTr="00377AF5">
        <w:trPr>
          <w:trHeight w:val="20"/>
        </w:trPr>
        <w:tc>
          <w:tcPr>
            <w:tcW w:w="986" w:type="dxa"/>
            <w:tcBorders>
              <w:top w:val="nil"/>
              <w:left w:val="nil"/>
              <w:bottom w:val="nil"/>
              <w:right w:val="nil"/>
            </w:tcBorders>
            <w:shd w:val="clear" w:color="auto" w:fill="auto"/>
            <w:noWrap/>
            <w:vAlign w:val="bottom"/>
            <w:hideMark/>
          </w:tcPr>
          <w:p w14:paraId="1959EC2A" w14:textId="77777777" w:rsidR="00692BA6" w:rsidRPr="00377AF5" w:rsidRDefault="00692BA6" w:rsidP="00692BA6">
            <w:pPr>
              <w:rPr>
                <w:sz w:val="14"/>
                <w:szCs w:val="14"/>
              </w:rPr>
            </w:pPr>
          </w:p>
        </w:tc>
        <w:tc>
          <w:tcPr>
            <w:tcW w:w="855" w:type="dxa"/>
            <w:tcBorders>
              <w:top w:val="nil"/>
              <w:left w:val="nil"/>
              <w:bottom w:val="nil"/>
              <w:right w:val="nil"/>
            </w:tcBorders>
            <w:shd w:val="clear" w:color="auto" w:fill="auto"/>
            <w:noWrap/>
            <w:vAlign w:val="bottom"/>
            <w:hideMark/>
          </w:tcPr>
          <w:p w14:paraId="29C5D230" w14:textId="77777777" w:rsidR="00692BA6" w:rsidRPr="00377AF5" w:rsidRDefault="00692BA6" w:rsidP="00692BA6">
            <w:pPr>
              <w:rPr>
                <w:sz w:val="14"/>
                <w:szCs w:val="14"/>
              </w:rPr>
            </w:pPr>
          </w:p>
        </w:tc>
        <w:tc>
          <w:tcPr>
            <w:tcW w:w="2273" w:type="dxa"/>
            <w:tcBorders>
              <w:top w:val="nil"/>
              <w:left w:val="nil"/>
              <w:bottom w:val="nil"/>
              <w:right w:val="nil"/>
            </w:tcBorders>
            <w:shd w:val="clear" w:color="auto" w:fill="auto"/>
            <w:noWrap/>
            <w:vAlign w:val="bottom"/>
            <w:hideMark/>
          </w:tcPr>
          <w:p w14:paraId="251D477E" w14:textId="77777777" w:rsidR="00692BA6" w:rsidRPr="00377AF5" w:rsidRDefault="00692BA6" w:rsidP="00692BA6">
            <w:pPr>
              <w:rPr>
                <w:sz w:val="14"/>
                <w:szCs w:val="14"/>
              </w:rPr>
            </w:pPr>
          </w:p>
        </w:tc>
        <w:tc>
          <w:tcPr>
            <w:tcW w:w="783" w:type="dxa"/>
            <w:tcBorders>
              <w:top w:val="nil"/>
              <w:left w:val="nil"/>
              <w:bottom w:val="nil"/>
              <w:right w:val="nil"/>
            </w:tcBorders>
            <w:shd w:val="clear" w:color="auto" w:fill="auto"/>
            <w:noWrap/>
            <w:vAlign w:val="bottom"/>
            <w:hideMark/>
          </w:tcPr>
          <w:p w14:paraId="6F4C6E42" w14:textId="77777777" w:rsidR="00692BA6" w:rsidRPr="00377AF5" w:rsidRDefault="00692BA6" w:rsidP="00692BA6">
            <w:pPr>
              <w:rPr>
                <w:sz w:val="14"/>
                <w:szCs w:val="14"/>
              </w:rPr>
            </w:pPr>
          </w:p>
        </w:tc>
        <w:tc>
          <w:tcPr>
            <w:tcW w:w="803" w:type="dxa"/>
            <w:tcBorders>
              <w:top w:val="nil"/>
              <w:left w:val="nil"/>
              <w:bottom w:val="nil"/>
              <w:right w:val="nil"/>
            </w:tcBorders>
            <w:shd w:val="clear" w:color="auto" w:fill="auto"/>
            <w:noWrap/>
            <w:vAlign w:val="bottom"/>
            <w:hideMark/>
          </w:tcPr>
          <w:p w14:paraId="622ED0BC" w14:textId="77777777" w:rsidR="00692BA6" w:rsidRPr="00377AF5" w:rsidRDefault="00692BA6" w:rsidP="00692BA6">
            <w:pPr>
              <w:rPr>
                <w:sz w:val="14"/>
                <w:szCs w:val="14"/>
              </w:rPr>
            </w:pPr>
          </w:p>
        </w:tc>
        <w:tc>
          <w:tcPr>
            <w:tcW w:w="757" w:type="dxa"/>
            <w:tcBorders>
              <w:top w:val="nil"/>
              <w:left w:val="nil"/>
              <w:bottom w:val="nil"/>
              <w:right w:val="nil"/>
            </w:tcBorders>
            <w:shd w:val="clear" w:color="auto" w:fill="auto"/>
            <w:noWrap/>
            <w:vAlign w:val="bottom"/>
            <w:hideMark/>
          </w:tcPr>
          <w:p w14:paraId="390AB8C1" w14:textId="77777777" w:rsidR="00692BA6" w:rsidRPr="00377AF5" w:rsidRDefault="00692BA6" w:rsidP="00692BA6">
            <w:pPr>
              <w:rPr>
                <w:sz w:val="14"/>
                <w:szCs w:val="14"/>
              </w:rPr>
            </w:pPr>
          </w:p>
        </w:tc>
        <w:tc>
          <w:tcPr>
            <w:tcW w:w="1515" w:type="dxa"/>
            <w:tcBorders>
              <w:top w:val="nil"/>
              <w:left w:val="nil"/>
              <w:bottom w:val="nil"/>
              <w:right w:val="nil"/>
            </w:tcBorders>
            <w:shd w:val="clear" w:color="auto" w:fill="auto"/>
            <w:noWrap/>
            <w:vAlign w:val="bottom"/>
            <w:hideMark/>
          </w:tcPr>
          <w:p w14:paraId="6B5E92A3" w14:textId="77777777" w:rsidR="00692BA6" w:rsidRPr="00377AF5" w:rsidRDefault="00692BA6" w:rsidP="00692BA6">
            <w:pPr>
              <w:rPr>
                <w:sz w:val="14"/>
                <w:szCs w:val="14"/>
              </w:rPr>
            </w:pPr>
          </w:p>
        </w:tc>
        <w:tc>
          <w:tcPr>
            <w:tcW w:w="1655" w:type="dxa"/>
            <w:tcBorders>
              <w:top w:val="nil"/>
              <w:left w:val="nil"/>
              <w:bottom w:val="nil"/>
              <w:right w:val="nil"/>
            </w:tcBorders>
            <w:shd w:val="clear" w:color="auto" w:fill="auto"/>
            <w:noWrap/>
            <w:vAlign w:val="bottom"/>
            <w:hideMark/>
          </w:tcPr>
          <w:p w14:paraId="262C5ED8" w14:textId="77777777" w:rsidR="00692BA6" w:rsidRPr="00377AF5" w:rsidRDefault="00692BA6" w:rsidP="00692BA6">
            <w:pPr>
              <w:rPr>
                <w:sz w:val="14"/>
                <w:szCs w:val="14"/>
              </w:rPr>
            </w:pPr>
          </w:p>
        </w:tc>
      </w:tr>
    </w:tbl>
    <w:p w14:paraId="5F1C96C3" w14:textId="77777777" w:rsidR="00F44ED1" w:rsidRPr="00377AF5" w:rsidRDefault="00F44ED1" w:rsidP="000F3C74">
      <w:pPr>
        <w:jc w:val="center"/>
        <w:rPr>
          <w:rFonts w:ascii="Tahoma" w:hAnsi="Tahoma" w:cs="Tahoma"/>
        </w:rPr>
      </w:pPr>
    </w:p>
    <w:p w14:paraId="66D095EC" w14:textId="77777777" w:rsidR="00F44ED1" w:rsidRPr="00377AF5" w:rsidRDefault="00F44ED1" w:rsidP="000F3C74">
      <w:pPr>
        <w:jc w:val="center"/>
        <w:rPr>
          <w:rFonts w:ascii="Tahoma" w:hAnsi="Tahoma" w:cs="Tahoma"/>
        </w:rPr>
      </w:pPr>
    </w:p>
    <w:sectPr w:rsidR="00F44ED1" w:rsidRPr="00377AF5"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6EDE" w14:textId="77777777" w:rsidR="00136CF2" w:rsidRDefault="00136CF2">
      <w:r>
        <w:separator/>
      </w:r>
    </w:p>
  </w:endnote>
  <w:endnote w:type="continuationSeparator" w:id="0">
    <w:p w14:paraId="17D3844C" w14:textId="77777777" w:rsidR="00136CF2" w:rsidRDefault="001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2E545" w14:textId="77777777" w:rsidR="00136CF2" w:rsidRDefault="00136CF2">
      <w:r>
        <w:separator/>
      </w:r>
    </w:p>
  </w:footnote>
  <w:footnote w:type="continuationSeparator" w:id="0">
    <w:p w14:paraId="307CCCBF" w14:textId="77777777" w:rsidR="00136CF2" w:rsidRDefault="00136CF2">
      <w:r>
        <w:continuationSeparator/>
      </w:r>
    </w:p>
  </w:footnote>
  <w:footnote w:id="1">
    <w:p w14:paraId="13C1B270" w14:textId="77777777" w:rsidR="00A23328" w:rsidRDefault="00A23328" w:rsidP="0095324E">
      <w:pPr>
        <w:pStyle w:val="Textonotapie"/>
      </w:pPr>
      <w:r w:rsidRPr="00CA212D">
        <w:rPr>
          <w:rStyle w:val="Refdenotaalpie"/>
        </w:rPr>
        <w:footnoteRef/>
      </w:r>
      <w:r w:rsidRPr="00CA212D">
        <w:t xml:space="preserve"> </w:t>
      </w:r>
      <w:r w:rsidRPr="00B463B2">
        <w:rPr>
          <w:sz w:val="16"/>
          <w:szCs w:val="16"/>
          <w:lang w:val="es-MX"/>
        </w:rPr>
        <w:t>Sentencia T-438 de 2010.</w:t>
      </w:r>
      <w:r w:rsidRPr="00CA212D">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A23328" w:rsidRDefault="00A2332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A23328" w:rsidRDefault="00A233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A23328" w:rsidRPr="005F30DD" w:rsidRDefault="00A23328">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0F560E">
      <w:rPr>
        <w:rStyle w:val="Nmerodepgina"/>
        <w:noProof/>
      </w:rPr>
      <w:t>8</w:t>
    </w:r>
    <w:r w:rsidRPr="005F30DD">
      <w:rPr>
        <w:rStyle w:val="Nmerodepgina"/>
      </w:rPr>
      <w:fldChar w:fldCharType="end"/>
    </w:r>
  </w:p>
  <w:p w14:paraId="4D583AF5" w14:textId="3486166A" w:rsidR="00A23328" w:rsidRPr="005F30DD" w:rsidRDefault="00A23328"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Pr>
        <w:rFonts w:ascii="Tahoma" w:hAnsi="Tahoma" w:cs="Tahoma"/>
        <w:b w:val="0"/>
        <w:sz w:val="14"/>
        <w:szCs w:val="14"/>
      </w:rPr>
      <w:t>1</w:t>
    </w:r>
    <w:r w:rsidRPr="005F30DD">
      <w:rPr>
        <w:rFonts w:ascii="Tahoma" w:hAnsi="Tahoma" w:cs="Tahoma"/>
        <w:b w:val="0"/>
        <w:sz w:val="14"/>
        <w:szCs w:val="14"/>
      </w:rPr>
      <w:t>-201</w:t>
    </w:r>
    <w:r>
      <w:rPr>
        <w:rFonts w:ascii="Tahoma" w:hAnsi="Tahoma" w:cs="Tahoma"/>
        <w:b w:val="0"/>
        <w:sz w:val="14"/>
        <w:szCs w:val="14"/>
      </w:rPr>
      <w:t>4-00292</w:t>
    </w:r>
    <w:r w:rsidRPr="005F30DD">
      <w:rPr>
        <w:rFonts w:ascii="Tahoma" w:hAnsi="Tahoma" w:cs="Tahoma"/>
        <w:b w:val="0"/>
        <w:sz w:val="14"/>
        <w:szCs w:val="14"/>
      </w:rPr>
      <w:t>-01</w:t>
    </w:r>
  </w:p>
  <w:p w14:paraId="4CDAA10B" w14:textId="11BD9AE5" w:rsidR="00A23328" w:rsidRPr="005F30DD" w:rsidRDefault="00A23328"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 xml:space="preserve">Laureano Gómez Salazar </w:t>
    </w:r>
  </w:p>
  <w:p w14:paraId="7A610D3E" w14:textId="590EF904" w:rsidR="00A23328" w:rsidRPr="005F30DD" w:rsidRDefault="00A23328" w:rsidP="005F30DD">
    <w:pPr>
      <w:pStyle w:val="Puesto"/>
      <w:tabs>
        <w:tab w:val="left" w:pos="2132"/>
      </w:tabs>
      <w:spacing w:line="240" w:lineRule="auto"/>
      <w:ind w:left="708" w:hanging="708"/>
      <w:jc w:val="both"/>
      <w:rPr>
        <w:rFonts w:ascii="Tahoma" w:hAnsi="Tahoma" w:cs="Tahoma"/>
        <w:b w:val="0"/>
        <w:sz w:val="14"/>
        <w:szCs w:val="14"/>
      </w:rPr>
    </w:pPr>
    <w:r>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A23328" w:rsidRPr="005F30DD" w:rsidRDefault="00A23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659E"/>
    <w:rsid w:val="00007724"/>
    <w:rsid w:val="00007D41"/>
    <w:rsid w:val="0001152B"/>
    <w:rsid w:val="00012DB5"/>
    <w:rsid w:val="00013C46"/>
    <w:rsid w:val="00016005"/>
    <w:rsid w:val="0001750E"/>
    <w:rsid w:val="00020603"/>
    <w:rsid w:val="00020B69"/>
    <w:rsid w:val="00023A63"/>
    <w:rsid w:val="00024982"/>
    <w:rsid w:val="00026766"/>
    <w:rsid w:val="00026F7F"/>
    <w:rsid w:val="00032E31"/>
    <w:rsid w:val="00032E4B"/>
    <w:rsid w:val="0003464F"/>
    <w:rsid w:val="00036C6C"/>
    <w:rsid w:val="000476CA"/>
    <w:rsid w:val="000509AC"/>
    <w:rsid w:val="00051289"/>
    <w:rsid w:val="000571D6"/>
    <w:rsid w:val="00060000"/>
    <w:rsid w:val="00063238"/>
    <w:rsid w:val="00063D58"/>
    <w:rsid w:val="00066A9C"/>
    <w:rsid w:val="00073D25"/>
    <w:rsid w:val="00077D79"/>
    <w:rsid w:val="000809AA"/>
    <w:rsid w:val="00080BD3"/>
    <w:rsid w:val="00082A4D"/>
    <w:rsid w:val="00083031"/>
    <w:rsid w:val="00084711"/>
    <w:rsid w:val="00085DEA"/>
    <w:rsid w:val="00086572"/>
    <w:rsid w:val="00092DE0"/>
    <w:rsid w:val="00094FE8"/>
    <w:rsid w:val="00095B04"/>
    <w:rsid w:val="00095B50"/>
    <w:rsid w:val="00095F3A"/>
    <w:rsid w:val="000964B4"/>
    <w:rsid w:val="000973FA"/>
    <w:rsid w:val="000A0609"/>
    <w:rsid w:val="000A7885"/>
    <w:rsid w:val="000B0AAB"/>
    <w:rsid w:val="000B1034"/>
    <w:rsid w:val="000B4DDE"/>
    <w:rsid w:val="000B6A20"/>
    <w:rsid w:val="000C26E7"/>
    <w:rsid w:val="000C343C"/>
    <w:rsid w:val="000C37D6"/>
    <w:rsid w:val="000C72D6"/>
    <w:rsid w:val="000D25EC"/>
    <w:rsid w:val="000D54F9"/>
    <w:rsid w:val="000D6DC3"/>
    <w:rsid w:val="000D7F81"/>
    <w:rsid w:val="000E1A83"/>
    <w:rsid w:val="000E6166"/>
    <w:rsid w:val="000F0BF3"/>
    <w:rsid w:val="000F3C74"/>
    <w:rsid w:val="000F456C"/>
    <w:rsid w:val="000F560E"/>
    <w:rsid w:val="000F67F1"/>
    <w:rsid w:val="000F73D8"/>
    <w:rsid w:val="00100C29"/>
    <w:rsid w:val="0010277E"/>
    <w:rsid w:val="00105AB4"/>
    <w:rsid w:val="001073B4"/>
    <w:rsid w:val="001073E8"/>
    <w:rsid w:val="0010792F"/>
    <w:rsid w:val="00110BBD"/>
    <w:rsid w:val="001124D2"/>
    <w:rsid w:val="00112949"/>
    <w:rsid w:val="00112FDA"/>
    <w:rsid w:val="001205FA"/>
    <w:rsid w:val="00123C66"/>
    <w:rsid w:val="0012436C"/>
    <w:rsid w:val="0013008E"/>
    <w:rsid w:val="00135300"/>
    <w:rsid w:val="00135805"/>
    <w:rsid w:val="00135BFA"/>
    <w:rsid w:val="001366A4"/>
    <w:rsid w:val="00136CF2"/>
    <w:rsid w:val="001406DC"/>
    <w:rsid w:val="0014255F"/>
    <w:rsid w:val="0014590F"/>
    <w:rsid w:val="00145A7C"/>
    <w:rsid w:val="001460B1"/>
    <w:rsid w:val="00147837"/>
    <w:rsid w:val="00152E81"/>
    <w:rsid w:val="00152F0A"/>
    <w:rsid w:val="00153691"/>
    <w:rsid w:val="0015678E"/>
    <w:rsid w:val="0015714C"/>
    <w:rsid w:val="001630F2"/>
    <w:rsid w:val="00163120"/>
    <w:rsid w:val="00163CAF"/>
    <w:rsid w:val="00164C6E"/>
    <w:rsid w:val="0017161D"/>
    <w:rsid w:val="0017333E"/>
    <w:rsid w:val="00173907"/>
    <w:rsid w:val="00175149"/>
    <w:rsid w:val="001766A0"/>
    <w:rsid w:val="00184D9A"/>
    <w:rsid w:val="00185933"/>
    <w:rsid w:val="00187141"/>
    <w:rsid w:val="00190CF5"/>
    <w:rsid w:val="00191E34"/>
    <w:rsid w:val="00194A2A"/>
    <w:rsid w:val="0019546F"/>
    <w:rsid w:val="001A029F"/>
    <w:rsid w:val="001B08B9"/>
    <w:rsid w:val="001B1969"/>
    <w:rsid w:val="001B4FD7"/>
    <w:rsid w:val="001B5A0C"/>
    <w:rsid w:val="001B6341"/>
    <w:rsid w:val="001B6BB3"/>
    <w:rsid w:val="001B71BE"/>
    <w:rsid w:val="001C09E9"/>
    <w:rsid w:val="001D3F42"/>
    <w:rsid w:val="001D5AFE"/>
    <w:rsid w:val="001D77FA"/>
    <w:rsid w:val="001E2836"/>
    <w:rsid w:val="001E4329"/>
    <w:rsid w:val="001E4A76"/>
    <w:rsid w:val="001E4F25"/>
    <w:rsid w:val="001E59B4"/>
    <w:rsid w:val="001E5F13"/>
    <w:rsid w:val="001E662C"/>
    <w:rsid w:val="001E7305"/>
    <w:rsid w:val="001E7821"/>
    <w:rsid w:val="001F0C1D"/>
    <w:rsid w:val="001F10CC"/>
    <w:rsid w:val="001F2136"/>
    <w:rsid w:val="001F2407"/>
    <w:rsid w:val="001F2A66"/>
    <w:rsid w:val="001F30B1"/>
    <w:rsid w:val="001F35FF"/>
    <w:rsid w:val="001F581F"/>
    <w:rsid w:val="00200981"/>
    <w:rsid w:val="002047F0"/>
    <w:rsid w:val="002108C4"/>
    <w:rsid w:val="002111AA"/>
    <w:rsid w:val="0021237B"/>
    <w:rsid w:val="00212C99"/>
    <w:rsid w:val="002133DC"/>
    <w:rsid w:val="002150F3"/>
    <w:rsid w:val="00216E05"/>
    <w:rsid w:val="0022180D"/>
    <w:rsid w:val="00231EF8"/>
    <w:rsid w:val="00237416"/>
    <w:rsid w:val="002405E7"/>
    <w:rsid w:val="002405F7"/>
    <w:rsid w:val="00240606"/>
    <w:rsid w:val="0024296A"/>
    <w:rsid w:val="00246892"/>
    <w:rsid w:val="00246D63"/>
    <w:rsid w:val="00251376"/>
    <w:rsid w:val="00260404"/>
    <w:rsid w:val="002611B0"/>
    <w:rsid w:val="0026255C"/>
    <w:rsid w:val="00264D93"/>
    <w:rsid w:val="00271256"/>
    <w:rsid w:val="00274936"/>
    <w:rsid w:val="002759FE"/>
    <w:rsid w:val="00282759"/>
    <w:rsid w:val="00284E7D"/>
    <w:rsid w:val="00286870"/>
    <w:rsid w:val="0028780E"/>
    <w:rsid w:val="002915A0"/>
    <w:rsid w:val="00293216"/>
    <w:rsid w:val="002A2D5B"/>
    <w:rsid w:val="002A60CF"/>
    <w:rsid w:val="002A7C4F"/>
    <w:rsid w:val="002B4ADF"/>
    <w:rsid w:val="002B7B53"/>
    <w:rsid w:val="002C2FEC"/>
    <w:rsid w:val="002C5F28"/>
    <w:rsid w:val="002C64AE"/>
    <w:rsid w:val="002C6B17"/>
    <w:rsid w:val="002C7790"/>
    <w:rsid w:val="002D3EC2"/>
    <w:rsid w:val="002D7EE7"/>
    <w:rsid w:val="002E54DE"/>
    <w:rsid w:val="002E7568"/>
    <w:rsid w:val="002E7E3B"/>
    <w:rsid w:val="002F12F5"/>
    <w:rsid w:val="002F2301"/>
    <w:rsid w:val="002F700C"/>
    <w:rsid w:val="00303C61"/>
    <w:rsid w:val="00304C37"/>
    <w:rsid w:val="00307241"/>
    <w:rsid w:val="00310A68"/>
    <w:rsid w:val="00311F25"/>
    <w:rsid w:val="003149B8"/>
    <w:rsid w:val="00316741"/>
    <w:rsid w:val="003204B5"/>
    <w:rsid w:val="00321053"/>
    <w:rsid w:val="00324119"/>
    <w:rsid w:val="00330EFA"/>
    <w:rsid w:val="00332A0C"/>
    <w:rsid w:val="00334230"/>
    <w:rsid w:val="00335BD8"/>
    <w:rsid w:val="00344A67"/>
    <w:rsid w:val="00346A42"/>
    <w:rsid w:val="00354339"/>
    <w:rsid w:val="003547A0"/>
    <w:rsid w:val="00355A36"/>
    <w:rsid w:val="0036013A"/>
    <w:rsid w:val="00360E72"/>
    <w:rsid w:val="00360E93"/>
    <w:rsid w:val="00363101"/>
    <w:rsid w:val="00363949"/>
    <w:rsid w:val="003646D3"/>
    <w:rsid w:val="00372B34"/>
    <w:rsid w:val="00373B73"/>
    <w:rsid w:val="003741A0"/>
    <w:rsid w:val="00375007"/>
    <w:rsid w:val="003763B5"/>
    <w:rsid w:val="00376CE9"/>
    <w:rsid w:val="00376D60"/>
    <w:rsid w:val="003775DF"/>
    <w:rsid w:val="00377AF5"/>
    <w:rsid w:val="00384A70"/>
    <w:rsid w:val="00385863"/>
    <w:rsid w:val="00387181"/>
    <w:rsid w:val="003879DA"/>
    <w:rsid w:val="00393E2F"/>
    <w:rsid w:val="00393FCA"/>
    <w:rsid w:val="003A274B"/>
    <w:rsid w:val="003A55A8"/>
    <w:rsid w:val="003A727A"/>
    <w:rsid w:val="003A7AB2"/>
    <w:rsid w:val="003B61F8"/>
    <w:rsid w:val="003C3C56"/>
    <w:rsid w:val="003C4C94"/>
    <w:rsid w:val="003C628A"/>
    <w:rsid w:val="003D58AF"/>
    <w:rsid w:val="003E0B20"/>
    <w:rsid w:val="003E105C"/>
    <w:rsid w:val="003E1280"/>
    <w:rsid w:val="003E5672"/>
    <w:rsid w:val="003F0B87"/>
    <w:rsid w:val="003F2AA8"/>
    <w:rsid w:val="003F4632"/>
    <w:rsid w:val="004036A0"/>
    <w:rsid w:val="00404698"/>
    <w:rsid w:val="00410778"/>
    <w:rsid w:val="00410EB2"/>
    <w:rsid w:val="00412FEA"/>
    <w:rsid w:val="00414086"/>
    <w:rsid w:val="00422E74"/>
    <w:rsid w:val="004230D6"/>
    <w:rsid w:val="0042440F"/>
    <w:rsid w:val="004250C8"/>
    <w:rsid w:val="004269C9"/>
    <w:rsid w:val="00426A89"/>
    <w:rsid w:val="00431010"/>
    <w:rsid w:val="00434695"/>
    <w:rsid w:val="0043557F"/>
    <w:rsid w:val="00437AF7"/>
    <w:rsid w:val="00440972"/>
    <w:rsid w:val="00440A70"/>
    <w:rsid w:val="00441417"/>
    <w:rsid w:val="0044398F"/>
    <w:rsid w:val="00443DEE"/>
    <w:rsid w:val="00444DBD"/>
    <w:rsid w:val="00447070"/>
    <w:rsid w:val="004470B8"/>
    <w:rsid w:val="0044717D"/>
    <w:rsid w:val="004471DD"/>
    <w:rsid w:val="00453839"/>
    <w:rsid w:val="00465A32"/>
    <w:rsid w:val="00465FF1"/>
    <w:rsid w:val="00471C5D"/>
    <w:rsid w:val="0047338F"/>
    <w:rsid w:val="00474334"/>
    <w:rsid w:val="004807E4"/>
    <w:rsid w:val="004826C6"/>
    <w:rsid w:val="00483B41"/>
    <w:rsid w:val="00484D64"/>
    <w:rsid w:val="0049019F"/>
    <w:rsid w:val="004904A5"/>
    <w:rsid w:val="00493BCE"/>
    <w:rsid w:val="00493CA6"/>
    <w:rsid w:val="00493CA8"/>
    <w:rsid w:val="00494A43"/>
    <w:rsid w:val="004A0AAF"/>
    <w:rsid w:val="004A43E7"/>
    <w:rsid w:val="004A4728"/>
    <w:rsid w:val="004A788C"/>
    <w:rsid w:val="004B2204"/>
    <w:rsid w:val="004B2A64"/>
    <w:rsid w:val="004B6F3A"/>
    <w:rsid w:val="004C07CD"/>
    <w:rsid w:val="004C1635"/>
    <w:rsid w:val="004C2AC4"/>
    <w:rsid w:val="004C38F9"/>
    <w:rsid w:val="004D1857"/>
    <w:rsid w:val="004D1F25"/>
    <w:rsid w:val="004D23FB"/>
    <w:rsid w:val="004D5406"/>
    <w:rsid w:val="004D6EC4"/>
    <w:rsid w:val="004D7FBE"/>
    <w:rsid w:val="004E0864"/>
    <w:rsid w:val="004E6866"/>
    <w:rsid w:val="004E6CB1"/>
    <w:rsid w:val="004F1A32"/>
    <w:rsid w:val="004F25B1"/>
    <w:rsid w:val="004F4325"/>
    <w:rsid w:val="00501D35"/>
    <w:rsid w:val="00503B2B"/>
    <w:rsid w:val="005139F2"/>
    <w:rsid w:val="0052015E"/>
    <w:rsid w:val="00520F2F"/>
    <w:rsid w:val="00523662"/>
    <w:rsid w:val="00525DE5"/>
    <w:rsid w:val="00527639"/>
    <w:rsid w:val="005308F5"/>
    <w:rsid w:val="00530D41"/>
    <w:rsid w:val="00531779"/>
    <w:rsid w:val="0053245F"/>
    <w:rsid w:val="00533B90"/>
    <w:rsid w:val="00534A69"/>
    <w:rsid w:val="00554F1C"/>
    <w:rsid w:val="00561269"/>
    <w:rsid w:val="005620B2"/>
    <w:rsid w:val="00562633"/>
    <w:rsid w:val="005738BE"/>
    <w:rsid w:val="00575A38"/>
    <w:rsid w:val="0057601B"/>
    <w:rsid w:val="005810F9"/>
    <w:rsid w:val="00582ABD"/>
    <w:rsid w:val="00583488"/>
    <w:rsid w:val="00587857"/>
    <w:rsid w:val="00587FDA"/>
    <w:rsid w:val="005A2280"/>
    <w:rsid w:val="005A45B1"/>
    <w:rsid w:val="005B0581"/>
    <w:rsid w:val="005B0959"/>
    <w:rsid w:val="005B1ABE"/>
    <w:rsid w:val="005B2066"/>
    <w:rsid w:val="005B488B"/>
    <w:rsid w:val="005C21B1"/>
    <w:rsid w:val="005C47A8"/>
    <w:rsid w:val="005C7BE4"/>
    <w:rsid w:val="005D471D"/>
    <w:rsid w:val="005D5FFC"/>
    <w:rsid w:val="005E0C28"/>
    <w:rsid w:val="005E147D"/>
    <w:rsid w:val="005E14FF"/>
    <w:rsid w:val="005E2583"/>
    <w:rsid w:val="005E31B0"/>
    <w:rsid w:val="005E354F"/>
    <w:rsid w:val="005E7AD6"/>
    <w:rsid w:val="005F1883"/>
    <w:rsid w:val="005F1D75"/>
    <w:rsid w:val="005F30DD"/>
    <w:rsid w:val="005F4320"/>
    <w:rsid w:val="005F4AEF"/>
    <w:rsid w:val="005F6EE0"/>
    <w:rsid w:val="005F7E61"/>
    <w:rsid w:val="00601E52"/>
    <w:rsid w:val="00602742"/>
    <w:rsid w:val="00604B14"/>
    <w:rsid w:val="0060503B"/>
    <w:rsid w:val="00607149"/>
    <w:rsid w:val="0061129F"/>
    <w:rsid w:val="00614A8A"/>
    <w:rsid w:val="0061581E"/>
    <w:rsid w:val="0061584A"/>
    <w:rsid w:val="00615CE8"/>
    <w:rsid w:val="00616F3F"/>
    <w:rsid w:val="00617150"/>
    <w:rsid w:val="00620D17"/>
    <w:rsid w:val="0062158A"/>
    <w:rsid w:val="00626628"/>
    <w:rsid w:val="006305E4"/>
    <w:rsid w:val="00632E6F"/>
    <w:rsid w:val="006332C2"/>
    <w:rsid w:val="00633D46"/>
    <w:rsid w:val="0063505B"/>
    <w:rsid w:val="00640249"/>
    <w:rsid w:val="0064155A"/>
    <w:rsid w:val="00644CAA"/>
    <w:rsid w:val="00652A50"/>
    <w:rsid w:val="00661381"/>
    <w:rsid w:val="00665F8F"/>
    <w:rsid w:val="0066746C"/>
    <w:rsid w:val="0067096B"/>
    <w:rsid w:val="00670E29"/>
    <w:rsid w:val="006716A1"/>
    <w:rsid w:val="00674579"/>
    <w:rsid w:val="00674952"/>
    <w:rsid w:val="00676B61"/>
    <w:rsid w:val="00677340"/>
    <w:rsid w:val="00681D42"/>
    <w:rsid w:val="0068260D"/>
    <w:rsid w:val="006909B2"/>
    <w:rsid w:val="00692BA6"/>
    <w:rsid w:val="00692CD9"/>
    <w:rsid w:val="006A141E"/>
    <w:rsid w:val="006A1441"/>
    <w:rsid w:val="006A1E2F"/>
    <w:rsid w:val="006A25F8"/>
    <w:rsid w:val="006A2B76"/>
    <w:rsid w:val="006B0498"/>
    <w:rsid w:val="006B3E8D"/>
    <w:rsid w:val="006C72F8"/>
    <w:rsid w:val="006C7F8D"/>
    <w:rsid w:val="006D0471"/>
    <w:rsid w:val="006D0CD9"/>
    <w:rsid w:val="006D1C85"/>
    <w:rsid w:val="006D4B20"/>
    <w:rsid w:val="006D64B3"/>
    <w:rsid w:val="006D790F"/>
    <w:rsid w:val="006E2486"/>
    <w:rsid w:val="006E2DDE"/>
    <w:rsid w:val="006E374D"/>
    <w:rsid w:val="006E6388"/>
    <w:rsid w:val="006E715D"/>
    <w:rsid w:val="006E78E8"/>
    <w:rsid w:val="006E7C2D"/>
    <w:rsid w:val="006F29C8"/>
    <w:rsid w:val="006F529A"/>
    <w:rsid w:val="00702240"/>
    <w:rsid w:val="007028F1"/>
    <w:rsid w:val="00705A6C"/>
    <w:rsid w:val="007064B0"/>
    <w:rsid w:val="00713FA1"/>
    <w:rsid w:val="007142EA"/>
    <w:rsid w:val="00723025"/>
    <w:rsid w:val="00725A45"/>
    <w:rsid w:val="00726DCF"/>
    <w:rsid w:val="007305F3"/>
    <w:rsid w:val="007318E8"/>
    <w:rsid w:val="00731BDE"/>
    <w:rsid w:val="00736E0C"/>
    <w:rsid w:val="007371D8"/>
    <w:rsid w:val="00740218"/>
    <w:rsid w:val="00741DFF"/>
    <w:rsid w:val="00747BE3"/>
    <w:rsid w:val="00747EE3"/>
    <w:rsid w:val="00751DB9"/>
    <w:rsid w:val="00753464"/>
    <w:rsid w:val="00755A0C"/>
    <w:rsid w:val="00765BF1"/>
    <w:rsid w:val="00775A48"/>
    <w:rsid w:val="00775D84"/>
    <w:rsid w:val="007773D0"/>
    <w:rsid w:val="00781178"/>
    <w:rsid w:val="00783996"/>
    <w:rsid w:val="00794A40"/>
    <w:rsid w:val="00794F03"/>
    <w:rsid w:val="00796460"/>
    <w:rsid w:val="007A0D6B"/>
    <w:rsid w:val="007A479B"/>
    <w:rsid w:val="007A5829"/>
    <w:rsid w:val="007B002F"/>
    <w:rsid w:val="007B4DD3"/>
    <w:rsid w:val="007B712E"/>
    <w:rsid w:val="007D0E2C"/>
    <w:rsid w:val="007D15D1"/>
    <w:rsid w:val="007E2121"/>
    <w:rsid w:val="007E550E"/>
    <w:rsid w:val="007E5A2D"/>
    <w:rsid w:val="007E769F"/>
    <w:rsid w:val="007F0B8F"/>
    <w:rsid w:val="007F2E9C"/>
    <w:rsid w:val="007F3EB3"/>
    <w:rsid w:val="007F5254"/>
    <w:rsid w:val="007F7A0D"/>
    <w:rsid w:val="0080025B"/>
    <w:rsid w:val="008010A1"/>
    <w:rsid w:val="00804C77"/>
    <w:rsid w:val="00805336"/>
    <w:rsid w:val="0081336D"/>
    <w:rsid w:val="00813FA7"/>
    <w:rsid w:val="00814CCB"/>
    <w:rsid w:val="0082096F"/>
    <w:rsid w:val="00820E3B"/>
    <w:rsid w:val="00821023"/>
    <w:rsid w:val="00821189"/>
    <w:rsid w:val="00821719"/>
    <w:rsid w:val="0082271F"/>
    <w:rsid w:val="00822D5F"/>
    <w:rsid w:val="00824FCB"/>
    <w:rsid w:val="00831631"/>
    <w:rsid w:val="00834E1F"/>
    <w:rsid w:val="008351D3"/>
    <w:rsid w:val="0084104B"/>
    <w:rsid w:val="008422C1"/>
    <w:rsid w:val="00842538"/>
    <w:rsid w:val="0084767D"/>
    <w:rsid w:val="00847FBB"/>
    <w:rsid w:val="0086113F"/>
    <w:rsid w:val="00861E9E"/>
    <w:rsid w:val="00866024"/>
    <w:rsid w:val="00866D3F"/>
    <w:rsid w:val="008707D9"/>
    <w:rsid w:val="00871E94"/>
    <w:rsid w:val="0087256C"/>
    <w:rsid w:val="008742C2"/>
    <w:rsid w:val="00874C91"/>
    <w:rsid w:val="00876304"/>
    <w:rsid w:val="00876491"/>
    <w:rsid w:val="00876E35"/>
    <w:rsid w:val="00877A9C"/>
    <w:rsid w:val="008802D1"/>
    <w:rsid w:val="0088082B"/>
    <w:rsid w:val="00882D6A"/>
    <w:rsid w:val="008943D7"/>
    <w:rsid w:val="008943FE"/>
    <w:rsid w:val="008A7934"/>
    <w:rsid w:val="008B1E89"/>
    <w:rsid w:val="008B2C9E"/>
    <w:rsid w:val="008D1029"/>
    <w:rsid w:val="008D149B"/>
    <w:rsid w:val="008D319E"/>
    <w:rsid w:val="008E0E1E"/>
    <w:rsid w:val="008E0F46"/>
    <w:rsid w:val="008E17BD"/>
    <w:rsid w:val="008E44DA"/>
    <w:rsid w:val="008F24F5"/>
    <w:rsid w:val="008F2512"/>
    <w:rsid w:val="008F6797"/>
    <w:rsid w:val="00903C1D"/>
    <w:rsid w:val="0090458E"/>
    <w:rsid w:val="00907272"/>
    <w:rsid w:val="00910B0C"/>
    <w:rsid w:val="00910F1A"/>
    <w:rsid w:val="0091175F"/>
    <w:rsid w:val="0091375E"/>
    <w:rsid w:val="00913C3C"/>
    <w:rsid w:val="0091448D"/>
    <w:rsid w:val="00914F24"/>
    <w:rsid w:val="009156BA"/>
    <w:rsid w:val="00915FDE"/>
    <w:rsid w:val="009174EF"/>
    <w:rsid w:val="00920F05"/>
    <w:rsid w:val="00924682"/>
    <w:rsid w:val="00931AF2"/>
    <w:rsid w:val="00937773"/>
    <w:rsid w:val="00937C8A"/>
    <w:rsid w:val="00941D3B"/>
    <w:rsid w:val="00950969"/>
    <w:rsid w:val="009518ED"/>
    <w:rsid w:val="0095324E"/>
    <w:rsid w:val="00956DBB"/>
    <w:rsid w:val="00957E5E"/>
    <w:rsid w:val="00960114"/>
    <w:rsid w:val="0096113F"/>
    <w:rsid w:val="009617A3"/>
    <w:rsid w:val="009638A9"/>
    <w:rsid w:val="009646C3"/>
    <w:rsid w:val="009676A3"/>
    <w:rsid w:val="00970BB6"/>
    <w:rsid w:val="00972BBF"/>
    <w:rsid w:val="009750A9"/>
    <w:rsid w:val="009768DE"/>
    <w:rsid w:val="00982E1D"/>
    <w:rsid w:val="00985F49"/>
    <w:rsid w:val="0098712E"/>
    <w:rsid w:val="00997B7B"/>
    <w:rsid w:val="009A33C7"/>
    <w:rsid w:val="009A3EDB"/>
    <w:rsid w:val="009A4059"/>
    <w:rsid w:val="009A6FC0"/>
    <w:rsid w:val="009B1C64"/>
    <w:rsid w:val="009B2694"/>
    <w:rsid w:val="009B7540"/>
    <w:rsid w:val="009B7E62"/>
    <w:rsid w:val="009C29D3"/>
    <w:rsid w:val="009C30B5"/>
    <w:rsid w:val="009C3992"/>
    <w:rsid w:val="009C6CCA"/>
    <w:rsid w:val="009C6F15"/>
    <w:rsid w:val="009C72CF"/>
    <w:rsid w:val="009C74E1"/>
    <w:rsid w:val="009C7CEA"/>
    <w:rsid w:val="009D2F25"/>
    <w:rsid w:val="009D7B4A"/>
    <w:rsid w:val="009E0590"/>
    <w:rsid w:val="009E2CE9"/>
    <w:rsid w:val="009E7143"/>
    <w:rsid w:val="009E73F7"/>
    <w:rsid w:val="009F2237"/>
    <w:rsid w:val="009F2AE3"/>
    <w:rsid w:val="009F4C86"/>
    <w:rsid w:val="009F52A4"/>
    <w:rsid w:val="009F6BD3"/>
    <w:rsid w:val="00A0080A"/>
    <w:rsid w:val="00A01D9E"/>
    <w:rsid w:val="00A111FA"/>
    <w:rsid w:val="00A113B0"/>
    <w:rsid w:val="00A11B21"/>
    <w:rsid w:val="00A147BB"/>
    <w:rsid w:val="00A1731C"/>
    <w:rsid w:val="00A2022C"/>
    <w:rsid w:val="00A226E5"/>
    <w:rsid w:val="00A23328"/>
    <w:rsid w:val="00A23AD9"/>
    <w:rsid w:val="00A23D20"/>
    <w:rsid w:val="00A2556B"/>
    <w:rsid w:val="00A26F16"/>
    <w:rsid w:val="00A301D8"/>
    <w:rsid w:val="00A323B0"/>
    <w:rsid w:val="00A33347"/>
    <w:rsid w:val="00A355DC"/>
    <w:rsid w:val="00A40E3C"/>
    <w:rsid w:val="00A40FE7"/>
    <w:rsid w:val="00A415ED"/>
    <w:rsid w:val="00A43408"/>
    <w:rsid w:val="00A4593F"/>
    <w:rsid w:val="00A46EBD"/>
    <w:rsid w:val="00A5007C"/>
    <w:rsid w:val="00A50403"/>
    <w:rsid w:val="00A52B4D"/>
    <w:rsid w:val="00A53B13"/>
    <w:rsid w:val="00A561C3"/>
    <w:rsid w:val="00A565C4"/>
    <w:rsid w:val="00A57848"/>
    <w:rsid w:val="00A6237C"/>
    <w:rsid w:val="00A6619E"/>
    <w:rsid w:val="00A7124B"/>
    <w:rsid w:val="00A73810"/>
    <w:rsid w:val="00A76C95"/>
    <w:rsid w:val="00A866D0"/>
    <w:rsid w:val="00A87CB1"/>
    <w:rsid w:val="00A912DF"/>
    <w:rsid w:val="00A96754"/>
    <w:rsid w:val="00AA05DF"/>
    <w:rsid w:val="00AA1037"/>
    <w:rsid w:val="00AA407F"/>
    <w:rsid w:val="00AA7FE0"/>
    <w:rsid w:val="00AB34E3"/>
    <w:rsid w:val="00AB5BC8"/>
    <w:rsid w:val="00AB5E63"/>
    <w:rsid w:val="00AB7A2F"/>
    <w:rsid w:val="00AC4184"/>
    <w:rsid w:val="00AD58A6"/>
    <w:rsid w:val="00AE103C"/>
    <w:rsid w:val="00AF2681"/>
    <w:rsid w:val="00AF37C3"/>
    <w:rsid w:val="00B003F1"/>
    <w:rsid w:val="00B01DEC"/>
    <w:rsid w:val="00B02817"/>
    <w:rsid w:val="00B02E21"/>
    <w:rsid w:val="00B04CE1"/>
    <w:rsid w:val="00B078D3"/>
    <w:rsid w:val="00B12EB7"/>
    <w:rsid w:val="00B138CF"/>
    <w:rsid w:val="00B15DC8"/>
    <w:rsid w:val="00B1619D"/>
    <w:rsid w:val="00B16FEA"/>
    <w:rsid w:val="00B17684"/>
    <w:rsid w:val="00B2085B"/>
    <w:rsid w:val="00B225F6"/>
    <w:rsid w:val="00B22B3B"/>
    <w:rsid w:val="00B23567"/>
    <w:rsid w:val="00B23BA7"/>
    <w:rsid w:val="00B246D4"/>
    <w:rsid w:val="00B30E20"/>
    <w:rsid w:val="00B37F4F"/>
    <w:rsid w:val="00B4239D"/>
    <w:rsid w:val="00B44497"/>
    <w:rsid w:val="00B454FF"/>
    <w:rsid w:val="00B463B2"/>
    <w:rsid w:val="00B47552"/>
    <w:rsid w:val="00B47E25"/>
    <w:rsid w:val="00B503FA"/>
    <w:rsid w:val="00B62822"/>
    <w:rsid w:val="00B646E1"/>
    <w:rsid w:val="00B647EE"/>
    <w:rsid w:val="00B651D1"/>
    <w:rsid w:val="00B660AE"/>
    <w:rsid w:val="00B66A97"/>
    <w:rsid w:val="00B67A12"/>
    <w:rsid w:val="00B70BC1"/>
    <w:rsid w:val="00B7145D"/>
    <w:rsid w:val="00B72282"/>
    <w:rsid w:val="00B76B89"/>
    <w:rsid w:val="00B80804"/>
    <w:rsid w:val="00B808BF"/>
    <w:rsid w:val="00B836FB"/>
    <w:rsid w:val="00B84672"/>
    <w:rsid w:val="00B86F89"/>
    <w:rsid w:val="00B870FC"/>
    <w:rsid w:val="00B915E1"/>
    <w:rsid w:val="00B926F5"/>
    <w:rsid w:val="00BA1BAD"/>
    <w:rsid w:val="00BA1C09"/>
    <w:rsid w:val="00BA3DE3"/>
    <w:rsid w:val="00BB3A8B"/>
    <w:rsid w:val="00BB563F"/>
    <w:rsid w:val="00BC0060"/>
    <w:rsid w:val="00BC3710"/>
    <w:rsid w:val="00BC5024"/>
    <w:rsid w:val="00BC62EF"/>
    <w:rsid w:val="00BD42A2"/>
    <w:rsid w:val="00BD53C4"/>
    <w:rsid w:val="00BD5E93"/>
    <w:rsid w:val="00BD6904"/>
    <w:rsid w:val="00BD7903"/>
    <w:rsid w:val="00BE67C4"/>
    <w:rsid w:val="00BF0FC3"/>
    <w:rsid w:val="00BF3826"/>
    <w:rsid w:val="00BF3B8F"/>
    <w:rsid w:val="00BF70E8"/>
    <w:rsid w:val="00C016D1"/>
    <w:rsid w:val="00C03C43"/>
    <w:rsid w:val="00C03F4A"/>
    <w:rsid w:val="00C141B3"/>
    <w:rsid w:val="00C1612B"/>
    <w:rsid w:val="00C16548"/>
    <w:rsid w:val="00C21A2F"/>
    <w:rsid w:val="00C22A2B"/>
    <w:rsid w:val="00C24558"/>
    <w:rsid w:val="00C2605A"/>
    <w:rsid w:val="00C26D09"/>
    <w:rsid w:val="00C30D72"/>
    <w:rsid w:val="00C313FE"/>
    <w:rsid w:val="00C32647"/>
    <w:rsid w:val="00C360BB"/>
    <w:rsid w:val="00C3636F"/>
    <w:rsid w:val="00C40D90"/>
    <w:rsid w:val="00C47C71"/>
    <w:rsid w:val="00C51721"/>
    <w:rsid w:val="00C521B0"/>
    <w:rsid w:val="00C52AB3"/>
    <w:rsid w:val="00C56292"/>
    <w:rsid w:val="00C61A77"/>
    <w:rsid w:val="00C64F60"/>
    <w:rsid w:val="00C65305"/>
    <w:rsid w:val="00C670DA"/>
    <w:rsid w:val="00C711F9"/>
    <w:rsid w:val="00C74A18"/>
    <w:rsid w:val="00C75AA9"/>
    <w:rsid w:val="00C83808"/>
    <w:rsid w:val="00C84466"/>
    <w:rsid w:val="00C84642"/>
    <w:rsid w:val="00C8527A"/>
    <w:rsid w:val="00C86B1E"/>
    <w:rsid w:val="00C90795"/>
    <w:rsid w:val="00C93C87"/>
    <w:rsid w:val="00C96EB6"/>
    <w:rsid w:val="00CA310A"/>
    <w:rsid w:val="00CA3F65"/>
    <w:rsid w:val="00CA5FE4"/>
    <w:rsid w:val="00CB3A9E"/>
    <w:rsid w:val="00CB4077"/>
    <w:rsid w:val="00CD05C1"/>
    <w:rsid w:val="00CD3541"/>
    <w:rsid w:val="00CD4B55"/>
    <w:rsid w:val="00CD4DD8"/>
    <w:rsid w:val="00CD7C37"/>
    <w:rsid w:val="00CE02F8"/>
    <w:rsid w:val="00CE0D35"/>
    <w:rsid w:val="00CE0F94"/>
    <w:rsid w:val="00CE1FFF"/>
    <w:rsid w:val="00CE48AF"/>
    <w:rsid w:val="00CE4A89"/>
    <w:rsid w:val="00CE719F"/>
    <w:rsid w:val="00CF00BA"/>
    <w:rsid w:val="00CF0A2C"/>
    <w:rsid w:val="00CF4B8A"/>
    <w:rsid w:val="00CF6476"/>
    <w:rsid w:val="00D001D9"/>
    <w:rsid w:val="00D00A44"/>
    <w:rsid w:val="00D03EDB"/>
    <w:rsid w:val="00D161AA"/>
    <w:rsid w:val="00D24AEC"/>
    <w:rsid w:val="00D277E9"/>
    <w:rsid w:val="00D32BEB"/>
    <w:rsid w:val="00D32EAE"/>
    <w:rsid w:val="00D34070"/>
    <w:rsid w:val="00D347C4"/>
    <w:rsid w:val="00D34818"/>
    <w:rsid w:val="00D35B73"/>
    <w:rsid w:val="00D36A75"/>
    <w:rsid w:val="00D40A51"/>
    <w:rsid w:val="00D436A6"/>
    <w:rsid w:val="00D45CF5"/>
    <w:rsid w:val="00D47EB0"/>
    <w:rsid w:val="00D50BC7"/>
    <w:rsid w:val="00D52475"/>
    <w:rsid w:val="00D524E2"/>
    <w:rsid w:val="00D572B8"/>
    <w:rsid w:val="00D57FAC"/>
    <w:rsid w:val="00D60597"/>
    <w:rsid w:val="00D609CF"/>
    <w:rsid w:val="00D64222"/>
    <w:rsid w:val="00D6746B"/>
    <w:rsid w:val="00D67A8F"/>
    <w:rsid w:val="00D73198"/>
    <w:rsid w:val="00D73A8A"/>
    <w:rsid w:val="00D749EF"/>
    <w:rsid w:val="00D75703"/>
    <w:rsid w:val="00D7714B"/>
    <w:rsid w:val="00D77B1A"/>
    <w:rsid w:val="00D80187"/>
    <w:rsid w:val="00D8346D"/>
    <w:rsid w:val="00D83F33"/>
    <w:rsid w:val="00D85EEC"/>
    <w:rsid w:val="00D8628F"/>
    <w:rsid w:val="00D90180"/>
    <w:rsid w:val="00D9299C"/>
    <w:rsid w:val="00D929CB"/>
    <w:rsid w:val="00D92E29"/>
    <w:rsid w:val="00D935D6"/>
    <w:rsid w:val="00D93FF5"/>
    <w:rsid w:val="00D943F7"/>
    <w:rsid w:val="00D95BB4"/>
    <w:rsid w:val="00D97C0D"/>
    <w:rsid w:val="00DA0D50"/>
    <w:rsid w:val="00DA18EA"/>
    <w:rsid w:val="00DA3BE3"/>
    <w:rsid w:val="00DA5B4B"/>
    <w:rsid w:val="00DB2B94"/>
    <w:rsid w:val="00DB6A92"/>
    <w:rsid w:val="00DC36D4"/>
    <w:rsid w:val="00DC42AB"/>
    <w:rsid w:val="00DD19DB"/>
    <w:rsid w:val="00DD22B3"/>
    <w:rsid w:val="00DD2B8C"/>
    <w:rsid w:val="00DD3B1E"/>
    <w:rsid w:val="00DF491D"/>
    <w:rsid w:val="00DF4C31"/>
    <w:rsid w:val="00DF4FF0"/>
    <w:rsid w:val="00DF64E3"/>
    <w:rsid w:val="00E00D95"/>
    <w:rsid w:val="00E071D7"/>
    <w:rsid w:val="00E073A2"/>
    <w:rsid w:val="00E10576"/>
    <w:rsid w:val="00E1276E"/>
    <w:rsid w:val="00E131D2"/>
    <w:rsid w:val="00E1749E"/>
    <w:rsid w:val="00E21AB6"/>
    <w:rsid w:val="00E234DC"/>
    <w:rsid w:val="00E2535D"/>
    <w:rsid w:val="00E26F24"/>
    <w:rsid w:val="00E35029"/>
    <w:rsid w:val="00E35E46"/>
    <w:rsid w:val="00E36B5A"/>
    <w:rsid w:val="00E36C81"/>
    <w:rsid w:val="00E40E54"/>
    <w:rsid w:val="00E41811"/>
    <w:rsid w:val="00E42849"/>
    <w:rsid w:val="00E4447C"/>
    <w:rsid w:val="00E445E2"/>
    <w:rsid w:val="00E44FA7"/>
    <w:rsid w:val="00E46003"/>
    <w:rsid w:val="00E5011F"/>
    <w:rsid w:val="00E5032B"/>
    <w:rsid w:val="00E526FB"/>
    <w:rsid w:val="00E52C11"/>
    <w:rsid w:val="00E542E8"/>
    <w:rsid w:val="00E55C09"/>
    <w:rsid w:val="00E576AC"/>
    <w:rsid w:val="00E60B5A"/>
    <w:rsid w:val="00E62A49"/>
    <w:rsid w:val="00E63451"/>
    <w:rsid w:val="00E642D7"/>
    <w:rsid w:val="00E65DDC"/>
    <w:rsid w:val="00E65E36"/>
    <w:rsid w:val="00E672D3"/>
    <w:rsid w:val="00E70D00"/>
    <w:rsid w:val="00E72D08"/>
    <w:rsid w:val="00E80074"/>
    <w:rsid w:val="00E850FD"/>
    <w:rsid w:val="00E85619"/>
    <w:rsid w:val="00E85ADA"/>
    <w:rsid w:val="00E90014"/>
    <w:rsid w:val="00E90EAB"/>
    <w:rsid w:val="00E94E91"/>
    <w:rsid w:val="00E94EF1"/>
    <w:rsid w:val="00E95142"/>
    <w:rsid w:val="00E963B2"/>
    <w:rsid w:val="00E97163"/>
    <w:rsid w:val="00EA12F2"/>
    <w:rsid w:val="00EA1312"/>
    <w:rsid w:val="00EA3B25"/>
    <w:rsid w:val="00EA56D6"/>
    <w:rsid w:val="00EA764E"/>
    <w:rsid w:val="00EA77EE"/>
    <w:rsid w:val="00EA7AD9"/>
    <w:rsid w:val="00EB0692"/>
    <w:rsid w:val="00EB0716"/>
    <w:rsid w:val="00EB1EA8"/>
    <w:rsid w:val="00EB2F39"/>
    <w:rsid w:val="00EB31C5"/>
    <w:rsid w:val="00EB474A"/>
    <w:rsid w:val="00EB62BC"/>
    <w:rsid w:val="00EC5CE1"/>
    <w:rsid w:val="00EC7E81"/>
    <w:rsid w:val="00ED17B2"/>
    <w:rsid w:val="00ED60E8"/>
    <w:rsid w:val="00ED656D"/>
    <w:rsid w:val="00ED6E5F"/>
    <w:rsid w:val="00ED731C"/>
    <w:rsid w:val="00EE0626"/>
    <w:rsid w:val="00EE09BF"/>
    <w:rsid w:val="00EE1CD0"/>
    <w:rsid w:val="00EE37DB"/>
    <w:rsid w:val="00EE6FA1"/>
    <w:rsid w:val="00EF49BC"/>
    <w:rsid w:val="00F013B8"/>
    <w:rsid w:val="00F0144A"/>
    <w:rsid w:val="00F04CB3"/>
    <w:rsid w:val="00F2087F"/>
    <w:rsid w:val="00F22BD0"/>
    <w:rsid w:val="00F307AF"/>
    <w:rsid w:val="00F310ED"/>
    <w:rsid w:val="00F31F81"/>
    <w:rsid w:val="00F41A6B"/>
    <w:rsid w:val="00F41AE1"/>
    <w:rsid w:val="00F42839"/>
    <w:rsid w:val="00F445B4"/>
    <w:rsid w:val="00F44ED1"/>
    <w:rsid w:val="00F51547"/>
    <w:rsid w:val="00F559DA"/>
    <w:rsid w:val="00F56080"/>
    <w:rsid w:val="00F56C84"/>
    <w:rsid w:val="00F628C2"/>
    <w:rsid w:val="00F62B16"/>
    <w:rsid w:val="00F649A6"/>
    <w:rsid w:val="00F64A7C"/>
    <w:rsid w:val="00F66D37"/>
    <w:rsid w:val="00F67BDF"/>
    <w:rsid w:val="00F70C54"/>
    <w:rsid w:val="00F70EF6"/>
    <w:rsid w:val="00F71D82"/>
    <w:rsid w:val="00F732E3"/>
    <w:rsid w:val="00F73B81"/>
    <w:rsid w:val="00F75697"/>
    <w:rsid w:val="00F76301"/>
    <w:rsid w:val="00F7690A"/>
    <w:rsid w:val="00F77CD6"/>
    <w:rsid w:val="00F80278"/>
    <w:rsid w:val="00F80A59"/>
    <w:rsid w:val="00F81435"/>
    <w:rsid w:val="00F96FDC"/>
    <w:rsid w:val="00FA13AA"/>
    <w:rsid w:val="00FA42FA"/>
    <w:rsid w:val="00FA5074"/>
    <w:rsid w:val="00FA6AA2"/>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21C7"/>
    <w:rsid w:val="00FE2E5F"/>
    <w:rsid w:val="00FE3604"/>
    <w:rsid w:val="00FE462C"/>
    <w:rsid w:val="00FE59E4"/>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character" w:styleId="Textoennegrita">
    <w:name w:val="Strong"/>
    <w:basedOn w:val="Fuentedeprrafopredeter"/>
    <w:qFormat/>
    <w:rsid w:val="00B22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15562715">
      <w:bodyDiv w:val="1"/>
      <w:marLeft w:val="0"/>
      <w:marRight w:val="0"/>
      <w:marTop w:val="0"/>
      <w:marBottom w:val="0"/>
      <w:divBdr>
        <w:top w:val="none" w:sz="0" w:space="0" w:color="auto"/>
        <w:left w:val="none" w:sz="0" w:space="0" w:color="auto"/>
        <w:bottom w:val="none" w:sz="0" w:space="0" w:color="auto"/>
        <w:right w:val="none" w:sz="0" w:space="0" w:color="auto"/>
      </w:divBdr>
    </w:div>
    <w:div w:id="166021238">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73249964">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4181770">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82269779">
      <w:bodyDiv w:val="1"/>
      <w:marLeft w:val="0"/>
      <w:marRight w:val="0"/>
      <w:marTop w:val="0"/>
      <w:marBottom w:val="0"/>
      <w:divBdr>
        <w:top w:val="none" w:sz="0" w:space="0" w:color="auto"/>
        <w:left w:val="none" w:sz="0" w:space="0" w:color="auto"/>
        <w:bottom w:val="none" w:sz="0" w:space="0" w:color="auto"/>
        <w:right w:val="none" w:sz="0" w:space="0" w:color="auto"/>
      </w:divBdr>
    </w:div>
    <w:div w:id="1027410205">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12175809">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26365665">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5413621">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107338890">
      <w:bodyDiv w:val="1"/>
      <w:marLeft w:val="0"/>
      <w:marRight w:val="0"/>
      <w:marTop w:val="0"/>
      <w:marBottom w:val="0"/>
      <w:divBdr>
        <w:top w:val="none" w:sz="0" w:space="0" w:color="auto"/>
        <w:left w:val="none" w:sz="0" w:space="0" w:color="auto"/>
        <w:bottom w:val="none" w:sz="0" w:space="0" w:color="auto"/>
        <w:right w:val="none" w:sz="0" w:space="0" w:color="auto"/>
      </w:divBdr>
    </w:div>
    <w:div w:id="21365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9A7E-C139-47B2-9B28-914E00E1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8</Pages>
  <Words>3666</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81</cp:revision>
  <cp:lastPrinted>2016-06-23T12:56:00Z</cp:lastPrinted>
  <dcterms:created xsi:type="dcterms:W3CDTF">2016-05-18T13:00:00Z</dcterms:created>
  <dcterms:modified xsi:type="dcterms:W3CDTF">2016-06-24T20:22:00Z</dcterms:modified>
</cp:coreProperties>
</file>