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FF4B" w14:textId="51B2680D"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00651A27">
        <w:rPr>
          <w:rFonts w:ascii="Tahoma" w:hAnsi="Tahoma" w:cs="Tahoma"/>
          <w:b w:val="0"/>
          <w:bCs/>
          <w:sz w:val="18"/>
          <w:szCs w:val="18"/>
        </w:rPr>
        <w:t>Sentencia del 30</w:t>
      </w:r>
      <w:r>
        <w:rPr>
          <w:rFonts w:ascii="Tahoma" w:hAnsi="Tahoma" w:cs="Tahoma"/>
          <w:b w:val="0"/>
          <w:bCs/>
          <w:sz w:val="18"/>
          <w:szCs w:val="18"/>
        </w:rPr>
        <w:t xml:space="preserve"> de agosto </w:t>
      </w:r>
      <w:r w:rsidRPr="002B7B53">
        <w:rPr>
          <w:rFonts w:ascii="Tahoma" w:hAnsi="Tahoma" w:cs="Tahoma"/>
          <w:b w:val="0"/>
          <w:bCs/>
          <w:sz w:val="18"/>
          <w:szCs w:val="18"/>
        </w:rPr>
        <w:t>de 201</w:t>
      </w:r>
      <w:r>
        <w:rPr>
          <w:rFonts w:ascii="Tahoma" w:hAnsi="Tahoma" w:cs="Tahoma"/>
          <w:b w:val="0"/>
          <w:bCs/>
          <w:sz w:val="18"/>
          <w:szCs w:val="18"/>
        </w:rPr>
        <w:t>6</w:t>
      </w:r>
      <w:r w:rsidRPr="002B7B53">
        <w:rPr>
          <w:rFonts w:ascii="Tahoma" w:hAnsi="Tahoma" w:cs="Tahoma"/>
          <w:b w:val="0"/>
          <w:bCs/>
          <w:sz w:val="18"/>
          <w:szCs w:val="18"/>
        </w:rPr>
        <w:t xml:space="preserve"> </w:t>
      </w:r>
    </w:p>
    <w:p w14:paraId="524BB703" w14:textId="3541CBA0"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1</w:t>
      </w:r>
      <w:r w:rsidRPr="002B7B53">
        <w:rPr>
          <w:rFonts w:ascii="Tahoma" w:hAnsi="Tahoma" w:cs="Tahoma"/>
          <w:b w:val="0"/>
          <w:sz w:val="18"/>
          <w:szCs w:val="18"/>
        </w:rPr>
        <w:t>-201</w:t>
      </w:r>
      <w:r w:rsidR="003A642D">
        <w:rPr>
          <w:rFonts w:ascii="Tahoma" w:hAnsi="Tahoma" w:cs="Tahoma"/>
          <w:b w:val="0"/>
          <w:sz w:val="18"/>
          <w:szCs w:val="18"/>
        </w:rPr>
        <w:t>5</w:t>
      </w:r>
      <w:r w:rsidRPr="002B7B53">
        <w:rPr>
          <w:rFonts w:ascii="Tahoma" w:hAnsi="Tahoma" w:cs="Tahoma"/>
          <w:b w:val="0"/>
          <w:sz w:val="18"/>
          <w:szCs w:val="18"/>
        </w:rPr>
        <w:t>-00</w:t>
      </w:r>
      <w:r w:rsidR="003A642D">
        <w:rPr>
          <w:rFonts w:ascii="Tahoma" w:hAnsi="Tahoma" w:cs="Tahoma"/>
          <w:b w:val="0"/>
          <w:sz w:val="18"/>
          <w:szCs w:val="18"/>
        </w:rPr>
        <w:t>373</w:t>
      </w:r>
      <w:r w:rsidRPr="002B7B53">
        <w:rPr>
          <w:rFonts w:ascii="Tahoma" w:hAnsi="Tahoma" w:cs="Tahoma"/>
          <w:b w:val="0"/>
          <w:sz w:val="18"/>
          <w:szCs w:val="18"/>
        </w:rPr>
        <w:t>-01</w:t>
      </w:r>
    </w:p>
    <w:p w14:paraId="3DB8D4F8" w14:textId="77777777"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76CEF0A1" w14:textId="188387E7"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003A642D">
        <w:rPr>
          <w:rFonts w:ascii="Tahoma" w:hAnsi="Tahoma" w:cs="Tahoma"/>
          <w:b w:val="0"/>
          <w:sz w:val="18"/>
          <w:szCs w:val="18"/>
        </w:rPr>
        <w:tab/>
      </w:r>
      <w:r w:rsidR="003A642D">
        <w:rPr>
          <w:rFonts w:ascii="Tahoma" w:hAnsi="Tahoma" w:cs="Tahoma"/>
          <w:b w:val="0"/>
          <w:sz w:val="18"/>
          <w:szCs w:val="18"/>
        </w:rPr>
        <w:tab/>
        <w:t>Carmenza Diva Ríos</w:t>
      </w:r>
      <w:r>
        <w:rPr>
          <w:rFonts w:ascii="Tahoma" w:hAnsi="Tahoma" w:cs="Tahoma"/>
          <w:b w:val="0"/>
          <w:sz w:val="18"/>
          <w:szCs w:val="18"/>
        </w:rPr>
        <w:t xml:space="preserve">  </w:t>
      </w:r>
    </w:p>
    <w:p w14:paraId="7BF235B7" w14:textId="2341621F" w:rsidR="000F1FC1" w:rsidRPr="002B7B53" w:rsidRDefault="000F1FC1" w:rsidP="000F1FC1">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3A642D">
        <w:rPr>
          <w:rFonts w:ascii="Tahoma" w:hAnsi="Tahoma" w:cs="Tahoma"/>
          <w:b w:val="0"/>
          <w:sz w:val="18"/>
          <w:szCs w:val="18"/>
        </w:rPr>
        <w:tab/>
      </w:r>
      <w:r w:rsidR="003A642D">
        <w:rPr>
          <w:rFonts w:ascii="Tahoma" w:hAnsi="Tahoma" w:cs="Tahoma"/>
          <w:b w:val="0"/>
          <w:sz w:val="18"/>
          <w:szCs w:val="18"/>
        </w:rPr>
        <w:tab/>
        <w:t>Patrimonio Autónomo de Remanentes del ISS –PAR ISS Liquidado--</w:t>
      </w:r>
      <w:r w:rsidRPr="002B7B53">
        <w:rPr>
          <w:rFonts w:ascii="Tahoma" w:hAnsi="Tahoma" w:cs="Tahoma"/>
          <w:b w:val="0"/>
          <w:sz w:val="18"/>
          <w:szCs w:val="18"/>
        </w:rPr>
        <w:t xml:space="preserve"> </w:t>
      </w:r>
    </w:p>
    <w:p w14:paraId="1603969C" w14:textId="181BACF8"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3A642D">
        <w:rPr>
          <w:rFonts w:ascii="Tahoma" w:hAnsi="Tahoma" w:cs="Tahoma"/>
          <w:b w:val="0"/>
          <w:sz w:val="18"/>
          <w:szCs w:val="18"/>
        </w:rPr>
        <w:t>Juzgado Tercero</w:t>
      </w:r>
      <w:r>
        <w:rPr>
          <w:rFonts w:ascii="Tahoma" w:hAnsi="Tahoma" w:cs="Tahoma"/>
          <w:b w:val="0"/>
          <w:sz w:val="18"/>
          <w:szCs w:val="18"/>
        </w:rPr>
        <w:t xml:space="preserve"> </w:t>
      </w:r>
      <w:r w:rsidRPr="002B7B53">
        <w:rPr>
          <w:rFonts w:ascii="Tahoma" w:hAnsi="Tahoma" w:cs="Tahoma"/>
          <w:b w:val="0"/>
          <w:sz w:val="18"/>
          <w:szCs w:val="18"/>
        </w:rPr>
        <w:t>Laboral del Circuito de Pereira</w:t>
      </w:r>
    </w:p>
    <w:p w14:paraId="22B58C28" w14:textId="77777777"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0063726B" w14:textId="77777777" w:rsidR="000F1FC1" w:rsidRDefault="000F1FC1" w:rsidP="000F1FC1">
      <w:pPr>
        <w:ind w:left="2127" w:hanging="2127"/>
        <w:jc w:val="both"/>
        <w:rPr>
          <w:rFonts w:ascii="Tahoma" w:hAnsi="Tahoma" w:cs="Tahoma"/>
          <w:sz w:val="18"/>
          <w:szCs w:val="18"/>
        </w:rPr>
      </w:pPr>
      <w:r w:rsidRPr="009E3949">
        <w:rPr>
          <w:rFonts w:ascii="Tahoma" w:hAnsi="Tahoma" w:cs="Tahoma"/>
          <w:sz w:val="18"/>
          <w:szCs w:val="18"/>
        </w:rPr>
        <w:tab/>
      </w:r>
    </w:p>
    <w:p w14:paraId="3D0538C0" w14:textId="77777777" w:rsidR="00D8277A" w:rsidRDefault="00D8277A" w:rsidP="000F1FC1">
      <w:pPr>
        <w:ind w:left="2127" w:hanging="2127"/>
        <w:jc w:val="both"/>
        <w:rPr>
          <w:rFonts w:ascii="Tahoma" w:hAnsi="Tahoma" w:cs="Tahoma"/>
          <w:sz w:val="18"/>
          <w:szCs w:val="18"/>
        </w:rPr>
      </w:pPr>
    </w:p>
    <w:p w14:paraId="0C5EE4B6" w14:textId="77777777" w:rsidR="00D8277A" w:rsidRPr="000D2784" w:rsidRDefault="00D8277A" w:rsidP="000F1FC1">
      <w:pPr>
        <w:ind w:left="2127" w:hanging="2127"/>
        <w:jc w:val="both"/>
        <w:rPr>
          <w:rFonts w:ascii="Tahoma" w:hAnsi="Tahoma" w:cs="Tahoma"/>
          <w:b/>
          <w:sz w:val="18"/>
          <w:szCs w:val="18"/>
        </w:rPr>
      </w:pPr>
    </w:p>
    <w:p w14:paraId="022931E4" w14:textId="77777777" w:rsidR="000F1FC1" w:rsidRPr="000D2784" w:rsidRDefault="000F1FC1" w:rsidP="000F1FC1">
      <w:pPr>
        <w:pStyle w:val="Ttulo4"/>
        <w:widowControl w:val="0"/>
        <w:tabs>
          <w:tab w:val="clear" w:pos="0"/>
        </w:tabs>
        <w:spacing w:line="276" w:lineRule="auto"/>
        <w:rPr>
          <w:rFonts w:ascii="Tahoma" w:hAnsi="Tahoma" w:cs="Tahoma"/>
          <w:bCs/>
          <w:szCs w:val="24"/>
          <w:lang w:eastAsia="es-MX"/>
        </w:rPr>
      </w:pPr>
      <w:r w:rsidRPr="000D2784">
        <w:rPr>
          <w:rFonts w:ascii="Tahoma" w:hAnsi="Tahoma" w:cs="Tahoma"/>
          <w:bCs/>
          <w:szCs w:val="24"/>
          <w:lang w:eastAsia="es-MX"/>
        </w:rPr>
        <w:t>TRIBUNAL SUPERIOR DEL DISTRITO JUDICIAL DE PEREIRA</w:t>
      </w:r>
    </w:p>
    <w:p w14:paraId="016BA218" w14:textId="77777777" w:rsidR="000F1FC1" w:rsidRDefault="000F1FC1" w:rsidP="000F1FC1">
      <w:pPr>
        <w:pStyle w:val="Ttulo4"/>
        <w:widowControl w:val="0"/>
        <w:tabs>
          <w:tab w:val="clear" w:pos="0"/>
        </w:tabs>
        <w:spacing w:line="276" w:lineRule="auto"/>
        <w:rPr>
          <w:rFonts w:ascii="Tahoma" w:hAnsi="Tahoma" w:cs="Tahoma"/>
          <w:bCs/>
          <w:szCs w:val="24"/>
          <w:lang w:eastAsia="es-MX"/>
        </w:rPr>
      </w:pPr>
      <w:r w:rsidRPr="000D2784">
        <w:rPr>
          <w:rFonts w:ascii="Tahoma" w:hAnsi="Tahoma" w:cs="Tahoma"/>
          <w:bCs/>
          <w:szCs w:val="24"/>
          <w:lang w:eastAsia="es-MX"/>
        </w:rPr>
        <w:t>SALA LABORAL</w:t>
      </w:r>
    </w:p>
    <w:p w14:paraId="19361F4B" w14:textId="77777777" w:rsidR="000F1FC1" w:rsidRPr="00463937" w:rsidRDefault="000F1FC1" w:rsidP="000F1FC1">
      <w:pPr>
        <w:rPr>
          <w:lang w:eastAsia="es-MX"/>
        </w:rPr>
      </w:pPr>
    </w:p>
    <w:p w14:paraId="4C5B36C1" w14:textId="77777777" w:rsidR="000F1FC1" w:rsidRPr="000D2784" w:rsidRDefault="000F1FC1" w:rsidP="000F1FC1">
      <w:pPr>
        <w:jc w:val="center"/>
        <w:rPr>
          <w:rFonts w:ascii="Tahoma" w:hAnsi="Tahoma" w:cs="Tahoma"/>
          <w:b/>
          <w:bCs/>
        </w:rPr>
      </w:pPr>
      <w:r w:rsidRPr="000D2784">
        <w:rPr>
          <w:rFonts w:ascii="Tahoma" w:hAnsi="Tahoma" w:cs="Tahoma"/>
          <w:bCs/>
        </w:rPr>
        <w:t>Magistrada Ponente:</w:t>
      </w:r>
      <w:r w:rsidRPr="000D2784">
        <w:rPr>
          <w:rFonts w:ascii="Tahoma" w:hAnsi="Tahoma" w:cs="Tahoma"/>
          <w:b/>
          <w:bCs/>
        </w:rPr>
        <w:t xml:space="preserve"> Ana Lucía Caicedo Calderón</w:t>
      </w:r>
    </w:p>
    <w:p w14:paraId="62507123" w14:textId="77777777" w:rsidR="000F1FC1" w:rsidRPr="000D2784" w:rsidRDefault="000F1FC1" w:rsidP="000F1FC1">
      <w:pPr>
        <w:jc w:val="center"/>
        <w:rPr>
          <w:rFonts w:ascii="Tahoma" w:hAnsi="Tahoma" w:cs="Tahoma"/>
          <w:b/>
        </w:rPr>
      </w:pPr>
    </w:p>
    <w:p w14:paraId="4311428D" w14:textId="77777777" w:rsidR="000F1FC1" w:rsidRPr="000D2784" w:rsidRDefault="000F1FC1" w:rsidP="000F1FC1">
      <w:pPr>
        <w:jc w:val="center"/>
        <w:rPr>
          <w:rFonts w:ascii="Tahoma" w:hAnsi="Tahoma" w:cs="Tahoma"/>
          <w:b/>
        </w:rPr>
      </w:pPr>
      <w:r w:rsidRPr="000D2784">
        <w:rPr>
          <w:rFonts w:ascii="Tahoma" w:hAnsi="Tahoma" w:cs="Tahoma"/>
          <w:b/>
        </w:rPr>
        <w:t>Acta No. ____</w:t>
      </w:r>
    </w:p>
    <w:p w14:paraId="0832F836" w14:textId="17891443" w:rsidR="000F1FC1" w:rsidRPr="000D2784" w:rsidRDefault="00651A27" w:rsidP="000F1FC1">
      <w:pPr>
        <w:jc w:val="center"/>
        <w:rPr>
          <w:rFonts w:ascii="Tahoma" w:hAnsi="Tahoma" w:cs="Tahoma"/>
          <w:b/>
        </w:rPr>
      </w:pPr>
      <w:r>
        <w:rPr>
          <w:rFonts w:ascii="Tahoma" w:hAnsi="Tahoma" w:cs="Tahoma"/>
          <w:b/>
        </w:rPr>
        <w:t>(Agosto 30</w:t>
      </w:r>
      <w:r w:rsidR="000F1FC1" w:rsidRPr="000D2784">
        <w:rPr>
          <w:rFonts w:ascii="Tahoma" w:hAnsi="Tahoma" w:cs="Tahoma"/>
          <w:b/>
        </w:rPr>
        <w:t xml:space="preserve"> de 2016)</w:t>
      </w:r>
    </w:p>
    <w:p w14:paraId="2668F30E" w14:textId="77777777" w:rsidR="000F1FC1" w:rsidRDefault="000F1FC1" w:rsidP="000F1FC1">
      <w:pPr>
        <w:jc w:val="both"/>
        <w:rPr>
          <w:rFonts w:ascii="Tahoma" w:hAnsi="Tahoma" w:cs="Tahoma"/>
          <w:b/>
        </w:rPr>
      </w:pPr>
      <w:r w:rsidRPr="000D2784">
        <w:rPr>
          <w:rFonts w:ascii="Tahoma" w:hAnsi="Tahoma" w:cs="Tahoma"/>
          <w:b/>
        </w:rPr>
        <w:tab/>
      </w:r>
    </w:p>
    <w:p w14:paraId="457DA486" w14:textId="361DFCD4" w:rsidR="006C5117" w:rsidRDefault="000F1FC1" w:rsidP="000F1FC1">
      <w:pPr>
        <w:pStyle w:val="Textoindependiente"/>
        <w:widowControl w:val="0"/>
        <w:autoSpaceDE w:val="0"/>
        <w:autoSpaceDN w:val="0"/>
        <w:adjustRightInd w:val="0"/>
        <w:spacing w:after="0" w:line="276" w:lineRule="auto"/>
        <w:ind w:firstLine="709"/>
        <w:jc w:val="both"/>
        <w:rPr>
          <w:rFonts w:ascii="Tahoma" w:hAnsi="Tahoma" w:cs="Tahoma"/>
        </w:rPr>
      </w:pPr>
      <w:r>
        <w:rPr>
          <w:rFonts w:ascii="Tahoma" w:hAnsi="Tahoma" w:cs="Tahoma"/>
        </w:rPr>
        <w:t>La ponente en este asunto</w:t>
      </w:r>
      <w:r w:rsidRPr="004E72EE">
        <w:rPr>
          <w:rFonts w:ascii="Tahoma" w:hAnsi="Tahoma" w:cs="Tahoma"/>
        </w:rPr>
        <w:t xml:space="preserve">, </w:t>
      </w:r>
      <w:r w:rsidRPr="00B45447">
        <w:rPr>
          <w:rFonts w:ascii="Tahoma" w:hAnsi="Tahoma" w:cs="Tahoma"/>
        </w:rPr>
        <w:t>en uso de sus facultades constitucionales y legales,</w:t>
      </w:r>
      <w:r>
        <w:rPr>
          <w:rFonts w:ascii="Tahoma" w:hAnsi="Tahoma" w:cs="Tahoma"/>
        </w:rPr>
        <w:t xml:space="preserve"> e</w:t>
      </w:r>
      <w:r w:rsidR="000E0B21">
        <w:rPr>
          <w:rFonts w:ascii="Tahoma" w:hAnsi="Tahoma" w:cs="Tahoma"/>
        </w:rPr>
        <w:t>n especial las consagradas en los</w:t>
      </w:r>
      <w:r>
        <w:rPr>
          <w:rFonts w:ascii="Tahoma" w:hAnsi="Tahoma" w:cs="Tahoma"/>
        </w:rPr>
        <w:t xml:space="preserve"> artículo</w:t>
      </w:r>
      <w:r w:rsidR="000E0B21">
        <w:rPr>
          <w:rFonts w:ascii="Tahoma" w:hAnsi="Tahoma" w:cs="Tahoma"/>
        </w:rPr>
        <w:t>s</w:t>
      </w:r>
      <w:r>
        <w:rPr>
          <w:rFonts w:ascii="Tahoma" w:hAnsi="Tahoma" w:cs="Tahoma"/>
        </w:rPr>
        <w:t xml:space="preserve"> 48 del C.P.T. y de la S.S. y 32 del C.G.P., luego de examinar detenidamente las actuaciones surtidas dentro del proceso, advierte que en primera instancia se configuró una irregularidad que no admite convalidación y frente a la cual sólo procede la declaración oficiosa y de plano de la nulidad, en virtud de los hechos que a continuación se pasan a explicar:</w:t>
      </w:r>
    </w:p>
    <w:p w14:paraId="33E8C5C7" w14:textId="77777777" w:rsidR="00237D35" w:rsidRDefault="00237D35" w:rsidP="000F1FC1">
      <w:pPr>
        <w:pStyle w:val="Textoindependiente"/>
        <w:widowControl w:val="0"/>
        <w:autoSpaceDE w:val="0"/>
        <w:autoSpaceDN w:val="0"/>
        <w:adjustRightInd w:val="0"/>
        <w:spacing w:after="0" w:line="276" w:lineRule="auto"/>
        <w:ind w:firstLine="709"/>
        <w:jc w:val="both"/>
        <w:rPr>
          <w:rFonts w:ascii="Tahoma" w:hAnsi="Tahoma" w:cs="Tahoma"/>
        </w:rPr>
      </w:pPr>
    </w:p>
    <w:p w14:paraId="03F83A97" w14:textId="4B8F4D27" w:rsidR="00237D35" w:rsidRPr="000F1FC1" w:rsidRDefault="00237D35" w:rsidP="000F1FC1">
      <w:pPr>
        <w:pStyle w:val="Textoindependiente"/>
        <w:widowControl w:val="0"/>
        <w:autoSpaceDE w:val="0"/>
        <w:autoSpaceDN w:val="0"/>
        <w:adjustRightInd w:val="0"/>
        <w:spacing w:after="0" w:line="276" w:lineRule="auto"/>
        <w:ind w:firstLine="709"/>
        <w:jc w:val="both"/>
        <w:rPr>
          <w:rFonts w:ascii="Tahoma" w:hAnsi="Tahoma" w:cs="Tahoma"/>
        </w:rPr>
      </w:pPr>
      <w:r>
        <w:rPr>
          <w:rFonts w:ascii="Tahoma" w:hAnsi="Tahoma" w:cs="Tahoma"/>
        </w:rPr>
        <w:t xml:space="preserve">La demanda ordinaria fue presentada con posterioridad a la finalización del proceso de liquidación del INSTITUTO DE SEGUROS SOCIALES como bien advirtió en su oportunidad la fiduciaria demandada que tiene a su cargo la administración del patrimonio autónomo de remanentes del extinto ISS. </w:t>
      </w:r>
    </w:p>
    <w:p w14:paraId="001D78DB" w14:textId="77777777" w:rsidR="006C5117" w:rsidRDefault="006C5117" w:rsidP="006C5117">
      <w:pPr>
        <w:spacing w:line="276" w:lineRule="auto"/>
        <w:ind w:firstLine="708"/>
        <w:jc w:val="both"/>
        <w:rPr>
          <w:rFonts w:ascii="Tahoma" w:hAnsi="Tahoma" w:cs="Tahoma"/>
          <w:color w:val="222222"/>
          <w:lang w:val="es-ES_tradnl"/>
        </w:rPr>
      </w:pPr>
    </w:p>
    <w:p w14:paraId="599FC226" w14:textId="4B648BC7" w:rsidR="002E1DFC" w:rsidRPr="009B5A30" w:rsidRDefault="00151EED" w:rsidP="006C5117">
      <w:pPr>
        <w:spacing w:line="276" w:lineRule="auto"/>
        <w:ind w:firstLine="708"/>
        <w:jc w:val="both"/>
        <w:rPr>
          <w:rFonts w:ascii="Tahoma" w:hAnsi="Tahoma" w:cs="Tahoma"/>
          <w:lang w:val="es-ES_tradnl"/>
        </w:rPr>
      </w:pPr>
      <w:r>
        <w:rPr>
          <w:rFonts w:ascii="Tahoma" w:hAnsi="Tahoma" w:cs="Tahoma"/>
          <w:lang w:val="es-ES_tradnl"/>
        </w:rPr>
        <w:t>Es bien sabido que e</w:t>
      </w:r>
      <w:r w:rsidR="002E1DFC" w:rsidRPr="009B5A30">
        <w:rPr>
          <w:rFonts w:ascii="Tahoma" w:hAnsi="Tahoma" w:cs="Tahoma"/>
          <w:lang w:val="es-ES_tradnl"/>
        </w:rPr>
        <w:t xml:space="preserve">l artículo 83 del C.P.C., aplicable al proceso laboral, tiene previsto que cuando el proceso verse sobre relaciones o actos jurídicos respecto de los cuales, </w:t>
      </w:r>
      <w:r w:rsidR="002E1DFC" w:rsidRPr="009B5A30">
        <w:rPr>
          <w:rFonts w:ascii="Tahoma" w:hAnsi="Tahoma" w:cs="Tahoma"/>
          <w:u w:val="single"/>
          <w:lang w:val="es-ES_tradnl"/>
        </w:rPr>
        <w:t>por su naturaleza</w:t>
      </w:r>
      <w:r w:rsidR="002E1DFC" w:rsidRPr="009B5A30">
        <w:rPr>
          <w:rFonts w:ascii="Tahoma" w:hAnsi="Tahoma" w:cs="Tahoma"/>
          <w:lang w:val="es-ES_tradnl"/>
        </w:rPr>
        <w:t xml:space="preserve"> </w:t>
      </w:r>
      <w:r w:rsidR="002E1DFC" w:rsidRPr="003A642D">
        <w:rPr>
          <w:rFonts w:ascii="Tahoma" w:hAnsi="Tahoma" w:cs="Tahoma"/>
          <w:u w:val="single"/>
          <w:lang w:val="es-ES_tradnl"/>
        </w:rPr>
        <w:t>o disposición legal</w:t>
      </w:r>
      <w:r w:rsidR="002E1DFC" w:rsidRPr="009B5A30">
        <w:rPr>
          <w:rFonts w:ascii="Tahoma" w:hAnsi="Tahoma" w:cs="Tahoma"/>
          <w:lang w:val="es-ES_tradnl"/>
        </w:rPr>
        <w:t>, no fuere posible resolver de mérito sin la comparecencia de las personas que sean sujetos de tales relaciones o que intervinieron en dichos actos, la demanda deberá formularse por todas o dirigirse contra todas y si así no se hiciere, el juez en el auto admisorio de la demanda ordenará dar traslado de éstas a quienes falten para integrar el contradictorio, en la forma y con el término de comparecencia dispuesto para el demandado, e incluso faculta al juez para integrarlo oficiosamente o a petición de parte mientras no se haya dictado sentencia de primera instancia.</w:t>
      </w:r>
    </w:p>
    <w:p w14:paraId="60E80B90" w14:textId="7087A288" w:rsidR="002E1DFC" w:rsidRPr="009B5A30" w:rsidRDefault="006C5117" w:rsidP="006C5117">
      <w:pPr>
        <w:tabs>
          <w:tab w:val="left" w:pos="2411"/>
        </w:tabs>
        <w:spacing w:line="276" w:lineRule="auto"/>
        <w:jc w:val="both"/>
        <w:rPr>
          <w:rFonts w:ascii="Tahoma" w:hAnsi="Tahoma" w:cs="Tahoma"/>
          <w:lang w:val="es-ES_tradnl"/>
        </w:rPr>
      </w:pPr>
      <w:r w:rsidRPr="009B5A30">
        <w:rPr>
          <w:rFonts w:ascii="Tahoma" w:hAnsi="Tahoma" w:cs="Tahoma"/>
          <w:lang w:val="es-ES_tradnl"/>
        </w:rPr>
        <w:tab/>
      </w:r>
    </w:p>
    <w:p w14:paraId="7476D073" w14:textId="6434A05E" w:rsidR="007371A6" w:rsidRDefault="00D8537B" w:rsidP="007D0D7C">
      <w:pPr>
        <w:spacing w:line="276" w:lineRule="auto"/>
        <w:ind w:firstLine="708"/>
        <w:jc w:val="both"/>
        <w:rPr>
          <w:rFonts w:ascii="Tahoma" w:hAnsi="Tahoma" w:cs="Tahoma"/>
          <w:lang w:val="es-ES_tradnl"/>
        </w:rPr>
      </w:pPr>
      <w:r>
        <w:rPr>
          <w:rFonts w:ascii="Tahoma" w:hAnsi="Tahoma" w:cs="Tahoma"/>
          <w:lang w:val="es-ES_tradnl"/>
        </w:rPr>
        <w:t xml:space="preserve">Según </w:t>
      </w:r>
      <w:r w:rsidR="00BA7FD1">
        <w:rPr>
          <w:rFonts w:ascii="Tahoma" w:hAnsi="Tahoma" w:cs="Tahoma"/>
          <w:lang w:val="es-ES_tradnl"/>
        </w:rPr>
        <w:t xml:space="preserve">lo previsto en la </w:t>
      </w:r>
      <w:r>
        <w:rPr>
          <w:rFonts w:ascii="Tahoma" w:hAnsi="Tahoma" w:cs="Tahoma"/>
          <w:lang w:val="es-ES_tradnl"/>
        </w:rPr>
        <w:t>precitada</w:t>
      </w:r>
      <w:r w:rsidR="00BA7FD1">
        <w:rPr>
          <w:rFonts w:ascii="Tahoma" w:hAnsi="Tahoma" w:cs="Tahoma"/>
          <w:lang w:val="es-ES_tradnl"/>
        </w:rPr>
        <w:t xml:space="preserve"> norma procesal</w:t>
      </w:r>
      <w:r>
        <w:rPr>
          <w:rFonts w:ascii="Tahoma" w:hAnsi="Tahoma" w:cs="Tahoma"/>
          <w:lang w:val="es-ES_tradnl"/>
        </w:rPr>
        <w:t xml:space="preserve"> (Art. 83 del C.P.C.) </w:t>
      </w:r>
      <w:r w:rsidR="00BA7FD1">
        <w:rPr>
          <w:rFonts w:ascii="Tahoma" w:hAnsi="Tahoma" w:cs="Tahoma"/>
          <w:lang w:val="es-ES_tradnl"/>
        </w:rPr>
        <w:t xml:space="preserve">de cara al </w:t>
      </w:r>
      <w:r w:rsidR="00366515">
        <w:rPr>
          <w:rFonts w:ascii="Tahoma" w:hAnsi="Tahoma" w:cs="Tahoma"/>
          <w:lang w:val="es-ES_tradnl"/>
        </w:rPr>
        <w:t>artículo 19 del Decreto 2013 de 2013, modificado por el artículo 3º del Decreto 652 de 2014</w:t>
      </w:r>
      <w:r w:rsidR="00366515">
        <w:rPr>
          <w:rStyle w:val="Refdenotaalpie"/>
          <w:rFonts w:ascii="Tahoma" w:hAnsi="Tahoma" w:cs="Tahoma"/>
          <w:lang w:val="es-ES_tradnl"/>
        </w:rPr>
        <w:footnoteReference w:id="1"/>
      </w:r>
      <w:r w:rsidR="00366515">
        <w:rPr>
          <w:rFonts w:ascii="Tahoma" w:hAnsi="Tahoma" w:cs="Tahoma"/>
          <w:lang w:val="es-ES_tradnl"/>
        </w:rPr>
        <w:t xml:space="preserve">, en concordancia con el </w:t>
      </w:r>
      <w:r w:rsidR="00623453">
        <w:rPr>
          <w:rFonts w:ascii="Tahoma" w:hAnsi="Tahoma" w:cs="Tahoma"/>
          <w:lang w:val="es-ES_tradnl"/>
        </w:rPr>
        <w:t>artículo 32 del Decreto 254 de 2000</w:t>
      </w:r>
      <w:r w:rsidR="00CF5A17">
        <w:rPr>
          <w:rStyle w:val="Refdenotaalpie"/>
          <w:rFonts w:ascii="Tahoma" w:hAnsi="Tahoma" w:cs="Tahoma"/>
          <w:lang w:val="es-ES_tradnl"/>
        </w:rPr>
        <w:footnoteReference w:id="2"/>
      </w:r>
      <w:r>
        <w:rPr>
          <w:rFonts w:ascii="Tahoma" w:hAnsi="Tahoma" w:cs="Tahoma"/>
          <w:lang w:val="es-ES_tradnl"/>
        </w:rPr>
        <w:t xml:space="preserve"> en virtud de </w:t>
      </w:r>
      <w:r w:rsidR="007371A6">
        <w:rPr>
          <w:rFonts w:ascii="Tahoma" w:hAnsi="Tahoma" w:cs="Tahoma"/>
          <w:lang w:val="es-ES_tradnl"/>
        </w:rPr>
        <w:t>cuy</w:t>
      </w:r>
      <w:r w:rsidR="00E41468">
        <w:rPr>
          <w:rFonts w:ascii="Tahoma" w:hAnsi="Tahoma" w:cs="Tahoma"/>
          <w:lang w:val="es-ES_tradnl"/>
        </w:rPr>
        <w:t>o t</w:t>
      </w:r>
      <w:r w:rsidR="00A35EE1">
        <w:rPr>
          <w:rFonts w:ascii="Tahoma" w:hAnsi="Tahoma" w:cs="Tahoma"/>
          <w:lang w:val="es-ES_tradnl"/>
        </w:rPr>
        <w:t>exto se prefijan</w:t>
      </w:r>
      <w:r>
        <w:rPr>
          <w:rFonts w:ascii="Tahoma" w:hAnsi="Tahoma" w:cs="Tahoma"/>
          <w:lang w:val="es-ES_tradnl"/>
        </w:rPr>
        <w:t xml:space="preserve"> las</w:t>
      </w:r>
      <w:r w:rsidR="00237D35">
        <w:rPr>
          <w:rFonts w:ascii="Tahoma" w:hAnsi="Tahoma" w:cs="Tahoma"/>
          <w:lang w:val="es-ES_tradnl"/>
        </w:rPr>
        <w:t xml:space="preserve"> reglas acerca del</w:t>
      </w:r>
      <w:r w:rsidR="007371A6">
        <w:rPr>
          <w:rFonts w:ascii="Tahoma" w:hAnsi="Tahoma" w:cs="Tahoma"/>
          <w:lang w:val="es-ES_tradnl"/>
        </w:rPr>
        <w:t xml:space="preserve"> pago de obligaciones a cargo de entidades púb</w:t>
      </w:r>
      <w:r w:rsidR="00631F74">
        <w:rPr>
          <w:rFonts w:ascii="Tahoma" w:hAnsi="Tahoma" w:cs="Tahoma"/>
          <w:lang w:val="es-ES_tradnl"/>
        </w:rPr>
        <w:t xml:space="preserve">licas en proceso de </w:t>
      </w:r>
      <w:r w:rsidR="00631F74">
        <w:rPr>
          <w:rFonts w:ascii="Tahoma" w:hAnsi="Tahoma" w:cs="Tahoma"/>
          <w:lang w:val="es-ES_tradnl"/>
        </w:rPr>
        <w:lastRenderedPageBreak/>
        <w:t>liquidación</w:t>
      </w:r>
      <w:r w:rsidR="00366515">
        <w:rPr>
          <w:rFonts w:ascii="Tahoma" w:hAnsi="Tahoma" w:cs="Tahoma"/>
          <w:lang w:val="es-ES_tradnl"/>
        </w:rPr>
        <w:t>,</w:t>
      </w:r>
      <w:r w:rsidR="00631F74">
        <w:rPr>
          <w:rFonts w:ascii="Tahoma" w:hAnsi="Tahoma" w:cs="Tahoma"/>
          <w:lang w:val="es-ES_tradnl"/>
        </w:rPr>
        <w:t xml:space="preserve"> </w:t>
      </w:r>
      <w:r w:rsidR="00623453">
        <w:rPr>
          <w:rFonts w:ascii="Tahoma" w:hAnsi="Tahoma" w:cs="Tahoma"/>
          <w:lang w:val="es-ES_tradnl"/>
        </w:rPr>
        <w:t xml:space="preserve">se juzga </w:t>
      </w:r>
      <w:r w:rsidR="00506ED7">
        <w:rPr>
          <w:rFonts w:ascii="Tahoma" w:hAnsi="Tahoma" w:cs="Tahoma"/>
          <w:lang w:val="es-ES_tradnl"/>
        </w:rPr>
        <w:t xml:space="preserve">imprescindible </w:t>
      </w:r>
      <w:r w:rsidR="0039475C">
        <w:rPr>
          <w:rFonts w:ascii="Tahoma" w:hAnsi="Tahoma" w:cs="Tahoma"/>
          <w:lang w:val="es-ES_tradnl"/>
        </w:rPr>
        <w:t xml:space="preserve">integrar en debida forma el </w:t>
      </w:r>
      <w:r w:rsidR="00506ED7">
        <w:rPr>
          <w:rFonts w:ascii="Tahoma" w:hAnsi="Tahoma" w:cs="Tahoma"/>
          <w:lang w:val="es-ES_tradnl"/>
        </w:rPr>
        <w:t>contradictorio vinculando al</w:t>
      </w:r>
      <w:r w:rsidR="007D0D7C">
        <w:rPr>
          <w:rFonts w:ascii="Tahoma" w:hAnsi="Tahoma" w:cs="Tahoma"/>
          <w:lang w:val="es-ES_tradnl"/>
        </w:rPr>
        <w:t xml:space="preserve"> presente</w:t>
      </w:r>
      <w:r w:rsidR="00506ED7">
        <w:rPr>
          <w:rFonts w:ascii="Tahoma" w:hAnsi="Tahoma" w:cs="Tahoma"/>
          <w:lang w:val="es-ES_tradnl"/>
        </w:rPr>
        <w:t xml:space="preserve"> proceso</w:t>
      </w:r>
      <w:r w:rsidR="00631F74">
        <w:rPr>
          <w:rFonts w:ascii="Tahoma" w:hAnsi="Tahoma" w:cs="Tahoma"/>
          <w:lang w:val="es-ES_tradnl"/>
        </w:rPr>
        <w:t>,</w:t>
      </w:r>
      <w:r w:rsidR="001E592D">
        <w:rPr>
          <w:rFonts w:ascii="Tahoma" w:hAnsi="Tahoma" w:cs="Tahoma"/>
          <w:lang w:val="es-ES_tradnl"/>
        </w:rPr>
        <w:t xml:space="preserve"> como sujeto pasivo</w:t>
      </w:r>
      <w:r w:rsidR="00506ED7">
        <w:rPr>
          <w:rFonts w:ascii="Tahoma" w:hAnsi="Tahoma" w:cs="Tahoma"/>
          <w:lang w:val="es-ES_tradnl"/>
        </w:rPr>
        <w:t xml:space="preserve"> de la relación jurídico procesal a LA NACIÓN -</w:t>
      </w:r>
      <w:r w:rsidR="00631F74">
        <w:rPr>
          <w:rFonts w:ascii="Tahoma" w:hAnsi="Tahoma" w:cs="Tahoma"/>
          <w:lang w:val="es-ES_tradnl"/>
        </w:rPr>
        <w:t>MINISTERIO DE SALUD Y PROTECCIÓN SOCIAL</w:t>
      </w:r>
      <w:r w:rsidR="00506ED7">
        <w:rPr>
          <w:rFonts w:ascii="Tahoma" w:hAnsi="Tahoma" w:cs="Tahoma"/>
          <w:lang w:val="es-ES_tradnl"/>
        </w:rPr>
        <w:t>-</w:t>
      </w:r>
      <w:r w:rsidR="00366515">
        <w:rPr>
          <w:rStyle w:val="Refdenotaalpie"/>
          <w:rFonts w:ascii="Tahoma" w:hAnsi="Tahoma" w:cs="Tahoma"/>
          <w:lang w:val="es-ES_tradnl"/>
        </w:rPr>
        <w:footnoteReference w:id="3"/>
      </w:r>
      <w:r w:rsidR="001E592D">
        <w:rPr>
          <w:rFonts w:ascii="Tahoma" w:hAnsi="Tahoma" w:cs="Tahoma"/>
          <w:lang w:val="es-ES_tradnl"/>
        </w:rPr>
        <w:t xml:space="preserve">, </w:t>
      </w:r>
      <w:r w:rsidR="00506ED7">
        <w:rPr>
          <w:rFonts w:ascii="Tahoma" w:hAnsi="Tahoma" w:cs="Tahoma"/>
          <w:lang w:val="es-ES_tradnl"/>
        </w:rPr>
        <w:t>a quien deberá co</w:t>
      </w:r>
      <w:r w:rsidR="007D0D7C">
        <w:rPr>
          <w:rFonts w:ascii="Tahoma" w:hAnsi="Tahoma" w:cs="Tahoma"/>
          <w:lang w:val="es-ES_tradnl"/>
        </w:rPr>
        <w:t>rrérsele t</w:t>
      </w:r>
      <w:r w:rsidR="00631F74">
        <w:rPr>
          <w:rFonts w:ascii="Tahoma" w:hAnsi="Tahoma" w:cs="Tahoma"/>
          <w:lang w:val="es-ES_tradnl"/>
        </w:rPr>
        <w:t xml:space="preserve">raslado de la demanda a efectos de que ejerza su derecho de defensa. </w:t>
      </w:r>
    </w:p>
    <w:p w14:paraId="1E3C7F6C" w14:textId="77777777" w:rsidR="00BA7FD1" w:rsidRDefault="00BA7FD1" w:rsidP="007D0D7C">
      <w:pPr>
        <w:spacing w:line="276" w:lineRule="auto"/>
        <w:ind w:firstLine="708"/>
        <w:jc w:val="both"/>
        <w:rPr>
          <w:rFonts w:ascii="Tahoma" w:hAnsi="Tahoma" w:cs="Tahoma"/>
          <w:lang w:val="es-ES_tradnl"/>
        </w:rPr>
      </w:pPr>
    </w:p>
    <w:p w14:paraId="199F16C2" w14:textId="64507586" w:rsidR="00CF5A17" w:rsidRPr="00BA7FD1" w:rsidRDefault="00651A27" w:rsidP="00BA7FD1">
      <w:pPr>
        <w:spacing w:line="276" w:lineRule="auto"/>
        <w:ind w:firstLine="708"/>
        <w:jc w:val="both"/>
        <w:rPr>
          <w:rFonts w:ascii="Tahoma" w:hAnsi="Tahoma" w:cs="Tahoma"/>
          <w:lang w:val="es-ES_tradnl"/>
        </w:rPr>
      </w:pPr>
      <w:r>
        <w:rPr>
          <w:rFonts w:ascii="Tahoma" w:hAnsi="Tahoma" w:cs="Tahoma"/>
          <w:lang w:val="es-ES_tradnl"/>
        </w:rPr>
        <w:t>Ahora bien, a</w:t>
      </w:r>
      <w:r w:rsidR="00BA7FD1">
        <w:rPr>
          <w:rFonts w:ascii="Tahoma" w:hAnsi="Tahoma" w:cs="Tahoma"/>
          <w:lang w:val="es-ES_tradnl"/>
        </w:rPr>
        <w:t>unque la</w:t>
      </w:r>
      <w:r w:rsidR="00237D35">
        <w:rPr>
          <w:rFonts w:ascii="Tahoma" w:hAnsi="Tahoma" w:cs="Tahoma"/>
          <w:lang w:val="es-ES_tradnl"/>
        </w:rPr>
        <w:t xml:space="preserve"> presente</w:t>
      </w:r>
      <w:r w:rsidR="00BA7FD1">
        <w:rPr>
          <w:rFonts w:ascii="Tahoma" w:hAnsi="Tahoma" w:cs="Tahoma"/>
          <w:lang w:val="es-ES_tradnl"/>
        </w:rPr>
        <w:t xml:space="preserve"> decisión no corresponde ni debe concebirse como definición anticipada del ámbito de responsabilidad frente a las acreencias laborales reclamadas en la demanda</w:t>
      </w:r>
      <w:r w:rsidR="00237D35">
        <w:rPr>
          <w:rFonts w:ascii="Tahoma" w:hAnsi="Tahoma" w:cs="Tahoma"/>
          <w:lang w:val="es-ES_tradnl"/>
        </w:rPr>
        <w:t>,</w:t>
      </w:r>
      <w:r w:rsidR="00BA7FD1">
        <w:rPr>
          <w:rFonts w:ascii="Tahoma" w:hAnsi="Tahoma" w:cs="Tahoma"/>
          <w:lang w:val="es-ES_tradnl"/>
        </w:rPr>
        <w:t xml:space="preserve"> pues este es un aspecto de la Litis que tendrá que ser valorado y resuelto en su momento por el Despacho de primera instancia, n</w:t>
      </w:r>
      <w:r w:rsidR="007371A6">
        <w:rPr>
          <w:rFonts w:ascii="Tahoma" w:hAnsi="Tahoma" w:cs="Tahoma"/>
          <w:lang w:val="es-ES_tradnl"/>
        </w:rPr>
        <w:t xml:space="preserve">o sobra </w:t>
      </w:r>
      <w:r w:rsidR="00E41468">
        <w:rPr>
          <w:rFonts w:ascii="Tahoma" w:hAnsi="Tahoma" w:cs="Tahoma"/>
          <w:lang w:val="es-ES_tradnl"/>
        </w:rPr>
        <w:t>anotar</w:t>
      </w:r>
      <w:r w:rsidR="007371A6">
        <w:rPr>
          <w:rFonts w:ascii="Tahoma" w:hAnsi="Tahoma" w:cs="Tahoma"/>
          <w:lang w:val="es-ES_tradnl"/>
        </w:rPr>
        <w:t xml:space="preserve"> que </w:t>
      </w:r>
      <w:r w:rsidR="007D0D7C">
        <w:rPr>
          <w:rFonts w:ascii="Tahoma" w:hAnsi="Tahoma" w:cs="Tahoma"/>
          <w:lang w:val="es-ES_tradnl"/>
        </w:rPr>
        <w:t>la Corte Constitucional</w:t>
      </w:r>
      <w:r w:rsidR="008E4341">
        <w:rPr>
          <w:rFonts w:ascii="Tahoma" w:hAnsi="Tahoma" w:cs="Tahoma"/>
          <w:lang w:val="es-ES_tradnl"/>
        </w:rPr>
        <w:t xml:space="preserve">, </w:t>
      </w:r>
      <w:r w:rsidR="008E4341" w:rsidRPr="006432BB">
        <w:rPr>
          <w:rFonts w:ascii="Tahoma" w:hAnsi="Tahoma" w:cs="Tahoma"/>
          <w:color w:val="000000" w:themeColor="text1"/>
          <w:lang w:val="es-ES_tradnl"/>
        </w:rPr>
        <w:t>tras</w:t>
      </w:r>
      <w:r w:rsidR="007D0D7C" w:rsidRPr="006432BB">
        <w:rPr>
          <w:rFonts w:ascii="Tahoma" w:eastAsia="Times New Roman" w:hAnsi="Tahoma" w:cs="Tahoma"/>
          <w:color w:val="000000" w:themeColor="text1"/>
          <w:bdr w:val="none" w:sz="0" w:space="0" w:color="auto" w:frame="1"/>
          <w:lang w:val="es-CO" w:eastAsia="es-ES"/>
        </w:rPr>
        <w:t xml:space="preserve"> an</w:t>
      </w:r>
      <w:r w:rsidR="007371A6" w:rsidRPr="006432BB">
        <w:rPr>
          <w:rFonts w:ascii="Tahoma" w:eastAsia="Times New Roman" w:hAnsi="Tahoma" w:cs="Tahoma"/>
          <w:color w:val="000000" w:themeColor="text1"/>
          <w:bdr w:val="none" w:sz="0" w:space="0" w:color="auto" w:frame="1"/>
          <w:lang w:val="es-CO" w:eastAsia="es-ES"/>
        </w:rPr>
        <w:t>alizar la exequibilidad del artículo 12 de la Ley 1105 de 2006, modificatorio del artí</w:t>
      </w:r>
      <w:r w:rsidR="008E4341" w:rsidRPr="006432BB">
        <w:rPr>
          <w:rFonts w:ascii="Tahoma" w:eastAsia="Times New Roman" w:hAnsi="Tahoma" w:cs="Tahoma"/>
          <w:color w:val="000000" w:themeColor="text1"/>
          <w:bdr w:val="none" w:sz="0" w:space="0" w:color="auto" w:frame="1"/>
          <w:lang w:val="es-CO" w:eastAsia="es-ES"/>
        </w:rPr>
        <w:t>culo 23 del Decreto-Ley 254 de 2000</w:t>
      </w:r>
      <w:r w:rsidR="007D0D7C" w:rsidRPr="006432BB">
        <w:rPr>
          <w:rFonts w:ascii="Tahoma" w:eastAsia="Times New Roman" w:hAnsi="Tahoma" w:cs="Tahoma"/>
          <w:color w:val="000000" w:themeColor="text1"/>
          <w:bdr w:val="none" w:sz="0" w:space="0" w:color="auto" w:frame="1"/>
          <w:lang w:val="es-CO" w:eastAsia="es-ES"/>
        </w:rPr>
        <w:t>, advirtió</w:t>
      </w:r>
      <w:r w:rsidR="008E4341" w:rsidRPr="006432BB">
        <w:rPr>
          <w:rFonts w:ascii="Tahoma" w:eastAsia="Times New Roman" w:hAnsi="Tahoma" w:cs="Tahoma"/>
          <w:color w:val="000000" w:themeColor="text1"/>
          <w:bdr w:val="none" w:sz="0" w:space="0" w:color="auto" w:frame="1"/>
          <w:lang w:val="es-CO" w:eastAsia="es-ES"/>
        </w:rPr>
        <w:t xml:space="preserve">, refiriendose a los virtuales efectos del emplazamiento del liquidador </w:t>
      </w:r>
      <w:r w:rsidR="008E4341" w:rsidRPr="006432BB">
        <w:rPr>
          <w:rFonts w:ascii="Tahoma" w:hAnsi="Tahoma" w:cs="Tahoma"/>
          <w:color w:val="000000" w:themeColor="text1"/>
          <w:lang w:val="es-ES_tradnl"/>
        </w:rPr>
        <w:t>a quienes tengan reclamaciones de cualquier índole contra la entidad pública en liquidación</w:t>
      </w:r>
      <w:r w:rsidR="007D0D7C" w:rsidRPr="006432BB">
        <w:rPr>
          <w:rFonts w:ascii="Tahoma" w:eastAsia="Times New Roman" w:hAnsi="Tahoma" w:cs="Tahoma"/>
          <w:color w:val="000000" w:themeColor="text1"/>
          <w:bdr w:val="none" w:sz="0" w:space="0" w:color="auto" w:frame="1"/>
          <w:lang w:val="es-CO" w:eastAsia="es-ES"/>
        </w:rPr>
        <w:t xml:space="preserve">, </w:t>
      </w:r>
      <w:r w:rsidR="008E4341" w:rsidRPr="006432BB">
        <w:rPr>
          <w:rFonts w:ascii="Arial Narrow" w:eastAsia="Times New Roman" w:hAnsi="Arial Narrow" w:cs="Tahoma"/>
          <w:i/>
          <w:color w:val="000000" w:themeColor="text1"/>
          <w:bdr w:val="none" w:sz="0" w:space="0" w:color="auto" w:frame="1"/>
          <w:lang w:val="es-CO" w:eastAsia="es-ES"/>
        </w:rPr>
        <w:t>“</w:t>
      </w:r>
      <w:r w:rsidR="007D0D7C" w:rsidRPr="006432BB">
        <w:rPr>
          <w:rFonts w:ascii="Arial Narrow" w:eastAsia="Times New Roman" w:hAnsi="Arial Narrow" w:cs="Tahoma"/>
          <w:i/>
          <w:color w:val="000000" w:themeColor="text1"/>
          <w:bdr w:val="none" w:sz="0" w:space="0" w:color="auto" w:frame="1"/>
          <w:lang w:val="es-CO" w:eastAsia="es-ES"/>
        </w:rPr>
        <w:t>que en</w:t>
      </w:r>
      <w:r w:rsidR="00CF5A17" w:rsidRPr="006432BB">
        <w:rPr>
          <w:rFonts w:ascii="Arial Narrow" w:eastAsia="Times New Roman" w:hAnsi="Arial Narrow" w:cs="Tahoma"/>
          <w:i/>
          <w:color w:val="000000" w:themeColor="text1"/>
          <w:bdr w:val="none" w:sz="0" w:space="0" w:color="auto" w:frame="1"/>
          <w:lang w:val="es-CO" w:eastAsia="es-ES"/>
        </w:rPr>
        <w:t xml:space="preserve"> caso de que el acreedor no formule reclamación, o la formule extemporáneamente, el liquidador debe efectuar una provisión para pagar los créditos que se encuentren debidamente comprobados en el proceso de liquidación</w:t>
      </w:r>
      <w:r w:rsidR="007D0D7C" w:rsidRPr="006432BB">
        <w:rPr>
          <w:rFonts w:ascii="Arial Narrow" w:eastAsia="Times New Roman" w:hAnsi="Arial Narrow" w:cs="Tahoma"/>
          <w:i/>
          <w:color w:val="000000" w:themeColor="text1"/>
          <w:bdr w:val="none" w:sz="0" w:space="0" w:color="auto" w:frame="1"/>
          <w:lang w:val="es-CO" w:eastAsia="es-ES"/>
        </w:rPr>
        <w:t xml:space="preserve"> y si</w:t>
      </w:r>
      <w:r w:rsidR="00CF5A17" w:rsidRPr="006432BB">
        <w:rPr>
          <w:rFonts w:ascii="Arial Narrow" w:eastAsia="Times New Roman" w:hAnsi="Arial Narrow" w:cs="Tahoma"/>
          <w:i/>
          <w:color w:val="000000" w:themeColor="text1"/>
          <w:bdr w:val="none" w:sz="0" w:space="0" w:color="auto" w:frame="1"/>
          <w:lang w:val="es-CO" w:eastAsia="es-ES"/>
        </w:rPr>
        <w:t xml:space="preserve"> finalmente no fuere posible el pago de un crédito determinado en el proceso de liquidación, el acreedor podrá hacerlo valer, inclusive judicialmente si fuere necesario, con posterioridad a aquel y mientras el derecho no prescriba</w:t>
      </w:r>
      <w:r w:rsidR="00CF5A17" w:rsidRPr="00D82F4D">
        <w:rPr>
          <w:rFonts w:ascii="Arial Narrow" w:eastAsia="Times New Roman" w:hAnsi="Arial Narrow" w:cs="Tahoma"/>
          <w:i/>
          <w:color w:val="000000" w:themeColor="text1"/>
          <w:u w:val="single"/>
          <w:bdr w:val="none" w:sz="0" w:space="0" w:color="auto" w:frame="1"/>
          <w:lang w:val="es-CO" w:eastAsia="es-ES"/>
        </w:rPr>
        <w:t>, frente a la entidad que se subrogue en los derechos y las obligaciones de la entidad liquidada</w:t>
      </w:r>
      <w:r w:rsidR="00CF5A17" w:rsidRPr="006432BB">
        <w:rPr>
          <w:rFonts w:ascii="Arial Narrow" w:eastAsia="Times New Roman" w:hAnsi="Arial Narrow" w:cs="Tahoma"/>
          <w:i/>
          <w:color w:val="000000" w:themeColor="text1"/>
          <w:bdr w:val="none" w:sz="0" w:space="0" w:color="auto" w:frame="1"/>
          <w:lang w:val="es-CO" w:eastAsia="es-ES"/>
        </w:rPr>
        <w:t>, la cual debe ser señalada en el acto que ordene la supresión o disolución y consiguiente liquidación de la entidad pública, conforme a lo dispuesto en los Arts. 2° del citado Decreto y 52 de la Ley 489 de 1998.</w:t>
      </w:r>
    </w:p>
    <w:p w14:paraId="0D31F190" w14:textId="319E549B" w:rsidR="00BF11CA" w:rsidRPr="00366515" w:rsidRDefault="00CF5A17" w:rsidP="000709FE">
      <w:pPr>
        <w:shd w:val="clear" w:color="auto" w:fill="FFFFFF"/>
        <w:spacing w:line="293" w:lineRule="atLeast"/>
        <w:jc w:val="both"/>
        <w:textAlignment w:val="baseline"/>
        <w:rPr>
          <w:rFonts w:ascii="Times New Roman" w:eastAsia="Times New Roman" w:hAnsi="Times New Roman" w:cs="Times New Roman"/>
          <w:color w:val="000000" w:themeColor="text1"/>
          <w:sz w:val="28"/>
          <w:szCs w:val="28"/>
          <w:lang w:eastAsia="es-ES"/>
        </w:rPr>
      </w:pPr>
      <w:r w:rsidRPr="00366515">
        <w:rPr>
          <w:rFonts w:ascii="Times New Roman" w:eastAsia="Times New Roman" w:hAnsi="Times New Roman" w:cs="Times New Roman"/>
          <w:color w:val="000000" w:themeColor="text1"/>
          <w:sz w:val="28"/>
          <w:szCs w:val="28"/>
          <w:bdr w:val="none" w:sz="0" w:space="0" w:color="auto" w:frame="1"/>
          <w:lang w:val="es-CO" w:eastAsia="es-ES"/>
        </w:rPr>
        <w:t> </w:t>
      </w:r>
    </w:p>
    <w:p w14:paraId="4AF6CD23" w14:textId="627D5473" w:rsidR="00C0782C" w:rsidRDefault="00122E8C" w:rsidP="009B5A30">
      <w:pPr>
        <w:spacing w:line="276" w:lineRule="auto"/>
        <w:ind w:firstLine="708"/>
        <w:jc w:val="both"/>
        <w:rPr>
          <w:rFonts w:ascii="Tahoma" w:hAnsi="Tahoma" w:cs="Tahoma"/>
          <w:lang w:val="es-ES_tradnl"/>
        </w:rPr>
      </w:pPr>
      <w:r>
        <w:rPr>
          <w:rFonts w:ascii="Tahoma" w:hAnsi="Tahoma" w:cs="Tahoma"/>
          <w:lang w:val="es-ES_tradnl"/>
        </w:rPr>
        <w:t>Por lo anterior, es evidente que l</w:t>
      </w:r>
      <w:r w:rsidR="00A67BE3" w:rsidRPr="009B5A30">
        <w:rPr>
          <w:rFonts w:ascii="Tahoma" w:hAnsi="Tahoma" w:cs="Tahoma"/>
          <w:lang w:val="es-ES_tradnl"/>
        </w:rPr>
        <w:t>a resolución material del asunto puesto a consideración de la justicia requiere de la concurrencia del</w:t>
      </w:r>
      <w:r>
        <w:rPr>
          <w:rFonts w:ascii="Tahoma" w:hAnsi="Tahoma" w:cs="Tahoma"/>
          <w:lang w:val="es-ES_tradnl"/>
        </w:rPr>
        <w:t xml:space="preserve"> citado Ministerio</w:t>
      </w:r>
      <w:r w:rsidR="00A67BE3" w:rsidRPr="009B5A30">
        <w:rPr>
          <w:rFonts w:ascii="Tahoma" w:hAnsi="Tahoma" w:cs="Tahoma"/>
          <w:lang w:val="es-ES_tradnl"/>
        </w:rPr>
        <w:t xml:space="preserve">, lo </w:t>
      </w:r>
      <w:r w:rsidR="000F1FC1" w:rsidRPr="009B5A30">
        <w:rPr>
          <w:rFonts w:ascii="Tahoma" w:hAnsi="Tahoma" w:cs="Tahoma"/>
          <w:lang w:val="es-ES_tradnl"/>
        </w:rPr>
        <w:t xml:space="preserve">que </w:t>
      </w:r>
      <w:r w:rsidR="00A67BE3" w:rsidRPr="009B5A30">
        <w:rPr>
          <w:rFonts w:ascii="Tahoma" w:hAnsi="Tahoma" w:cs="Tahoma"/>
          <w:lang w:val="es-ES_tradnl"/>
        </w:rPr>
        <w:t>hace forzosa la declaración oficiosa de</w:t>
      </w:r>
      <w:r w:rsidR="009B5A30">
        <w:rPr>
          <w:rFonts w:ascii="Tahoma" w:hAnsi="Tahoma" w:cs="Tahoma"/>
          <w:lang w:val="es-ES_tradnl"/>
        </w:rPr>
        <w:t xml:space="preserve"> la nulidad de la sentencia de primera instancia,</w:t>
      </w:r>
      <w:r w:rsidR="00A67BE3" w:rsidRPr="009B5A30">
        <w:rPr>
          <w:rFonts w:ascii="Tahoma" w:hAnsi="Tahoma" w:cs="Tahoma"/>
          <w:lang w:val="es-ES_tradnl"/>
        </w:rPr>
        <w:t xml:space="preserve"> en su defecto, la jueza de primera instancia deberá conforma</w:t>
      </w:r>
      <w:r w:rsidR="009B5A30">
        <w:rPr>
          <w:rFonts w:ascii="Tahoma" w:hAnsi="Tahoma" w:cs="Tahoma"/>
          <w:lang w:val="es-ES_tradnl"/>
        </w:rPr>
        <w:t>r</w:t>
      </w:r>
      <w:r w:rsidR="00A67BE3" w:rsidRPr="009B5A30">
        <w:rPr>
          <w:rFonts w:ascii="Tahoma" w:hAnsi="Tahoma" w:cs="Tahoma"/>
          <w:lang w:val="es-ES_tradnl"/>
        </w:rPr>
        <w:t xml:space="preserve"> el contradictorio en debida forma, dejando </w:t>
      </w:r>
      <w:r w:rsidR="00C0782C">
        <w:rPr>
          <w:rFonts w:ascii="Tahoma" w:hAnsi="Tahoma" w:cs="Tahoma"/>
          <w:lang w:val="es-ES_tradnl"/>
        </w:rPr>
        <w:t xml:space="preserve">a salvo las pruebas practicadas, vinculando al </w:t>
      </w:r>
      <w:r w:rsidR="00D8537B">
        <w:rPr>
          <w:rFonts w:ascii="Tahoma" w:hAnsi="Tahoma" w:cs="Tahoma"/>
          <w:lang w:val="es-ES_tradnl"/>
        </w:rPr>
        <w:t xml:space="preserve">citado </w:t>
      </w:r>
      <w:r w:rsidR="00D82F4D">
        <w:rPr>
          <w:rFonts w:ascii="Tahoma" w:hAnsi="Tahoma" w:cs="Tahoma"/>
          <w:lang w:val="es-ES_tradnl"/>
        </w:rPr>
        <w:t>Ministerio</w:t>
      </w:r>
      <w:r w:rsidR="00C0782C">
        <w:rPr>
          <w:rFonts w:ascii="Tahoma" w:hAnsi="Tahoma" w:cs="Tahoma"/>
          <w:lang w:val="es-ES_tradnl"/>
        </w:rPr>
        <w:t xml:space="preserve"> en calidad de sujeto pasivo de la relación jurídico-procesal, a quien</w:t>
      </w:r>
      <w:r w:rsidR="00D82F4D">
        <w:rPr>
          <w:rFonts w:ascii="Tahoma" w:hAnsi="Tahoma" w:cs="Tahoma"/>
          <w:lang w:val="es-ES_tradnl"/>
        </w:rPr>
        <w:t>, como se ha dicho,</w:t>
      </w:r>
      <w:r w:rsidR="00C0782C">
        <w:rPr>
          <w:rFonts w:ascii="Tahoma" w:hAnsi="Tahoma" w:cs="Tahoma"/>
          <w:lang w:val="es-ES_tradnl"/>
        </w:rPr>
        <w:t xml:space="preserve"> deberá corrérsele traslado de la demanda.</w:t>
      </w:r>
    </w:p>
    <w:p w14:paraId="0C2E6B44" w14:textId="7928A6D5" w:rsidR="000D2D3C" w:rsidRDefault="00A67BE3" w:rsidP="009B5A30">
      <w:pPr>
        <w:spacing w:line="276" w:lineRule="auto"/>
        <w:ind w:firstLine="708"/>
        <w:jc w:val="both"/>
        <w:rPr>
          <w:rFonts w:ascii="Tahoma" w:hAnsi="Tahoma" w:cs="Tahoma"/>
          <w:lang w:val="es-ES_tradnl"/>
        </w:rPr>
      </w:pPr>
      <w:r w:rsidRPr="009B5A30">
        <w:rPr>
          <w:rFonts w:ascii="Tahoma" w:hAnsi="Tahoma" w:cs="Tahoma"/>
          <w:lang w:val="es-ES_tradnl"/>
        </w:rPr>
        <w:t xml:space="preserve"> </w:t>
      </w:r>
    </w:p>
    <w:p w14:paraId="27DD6933" w14:textId="77777777" w:rsidR="009B5A30" w:rsidRPr="00D641F4" w:rsidRDefault="009B5A30" w:rsidP="009B5A30">
      <w:pPr>
        <w:widowControl w:val="0"/>
        <w:autoSpaceDE w:val="0"/>
        <w:autoSpaceDN w:val="0"/>
        <w:adjustRightInd w:val="0"/>
        <w:spacing w:line="276" w:lineRule="auto"/>
        <w:ind w:firstLine="708"/>
        <w:jc w:val="both"/>
        <w:rPr>
          <w:rFonts w:ascii="Tahoma" w:hAnsi="Tahoma" w:cs="Tahoma"/>
        </w:rPr>
      </w:pPr>
      <w:r w:rsidRPr="00D641F4">
        <w:rPr>
          <w:rFonts w:ascii="Tahoma" w:hAnsi="Tahoma" w:cs="Tahoma"/>
        </w:rPr>
        <w:t xml:space="preserve">En mérito de  lo expuesto, el </w:t>
      </w:r>
      <w:r w:rsidRPr="00D641F4">
        <w:rPr>
          <w:rFonts w:ascii="Tahoma" w:hAnsi="Tahoma" w:cs="Tahoma"/>
          <w:b/>
        </w:rPr>
        <w:t>TRIBUNAL SUPERIOR DEL DISTRITO JUDICIAL DE PEREIRA (RISARALDA)</w:t>
      </w:r>
      <w:r w:rsidRPr="00D641F4">
        <w:rPr>
          <w:rFonts w:ascii="Tahoma" w:hAnsi="Tahoma" w:cs="Tahoma"/>
        </w:rPr>
        <w:t xml:space="preserve">, </w:t>
      </w:r>
      <w:r w:rsidRPr="00D641F4">
        <w:rPr>
          <w:rFonts w:ascii="Tahoma" w:hAnsi="Tahoma" w:cs="Tahoma"/>
          <w:b/>
        </w:rPr>
        <w:t>SALA LABORAL</w:t>
      </w:r>
      <w:r w:rsidRPr="00D641F4">
        <w:rPr>
          <w:rFonts w:ascii="Tahoma" w:hAnsi="Tahoma" w:cs="Tahoma"/>
        </w:rPr>
        <w:t xml:space="preserve">, </w:t>
      </w:r>
    </w:p>
    <w:p w14:paraId="7AA1A27A" w14:textId="25E32A9E" w:rsidR="006432BB" w:rsidRPr="00D641F4" w:rsidRDefault="009B5A30" w:rsidP="009B5A30">
      <w:pPr>
        <w:widowControl w:val="0"/>
        <w:tabs>
          <w:tab w:val="left" w:pos="2865"/>
        </w:tabs>
        <w:autoSpaceDE w:val="0"/>
        <w:autoSpaceDN w:val="0"/>
        <w:adjustRightInd w:val="0"/>
        <w:jc w:val="both"/>
        <w:rPr>
          <w:rFonts w:ascii="Tahoma" w:hAnsi="Tahoma" w:cs="Tahoma"/>
          <w:b/>
        </w:rPr>
      </w:pPr>
      <w:r w:rsidRPr="00D641F4">
        <w:rPr>
          <w:rFonts w:ascii="Tahoma" w:hAnsi="Tahoma" w:cs="Tahoma"/>
          <w:b/>
        </w:rPr>
        <w:tab/>
      </w:r>
    </w:p>
    <w:p w14:paraId="1144DC62" w14:textId="77777777" w:rsidR="009B5A30" w:rsidRPr="00D641F4" w:rsidRDefault="009B5A30" w:rsidP="009B5A30">
      <w:pPr>
        <w:widowControl w:val="0"/>
        <w:autoSpaceDE w:val="0"/>
        <w:autoSpaceDN w:val="0"/>
        <w:adjustRightInd w:val="0"/>
        <w:jc w:val="center"/>
        <w:rPr>
          <w:rFonts w:ascii="Tahoma" w:hAnsi="Tahoma" w:cs="Tahoma"/>
          <w:b/>
        </w:rPr>
      </w:pPr>
      <w:r w:rsidRPr="00D641F4">
        <w:rPr>
          <w:rFonts w:ascii="Tahoma" w:hAnsi="Tahoma" w:cs="Tahoma"/>
          <w:b/>
        </w:rPr>
        <w:t>R E S U E L V E:</w:t>
      </w:r>
    </w:p>
    <w:p w14:paraId="34AB6BCA" w14:textId="77777777" w:rsidR="00DA45FF" w:rsidRPr="00D641F4" w:rsidRDefault="00DA45FF" w:rsidP="00DA45FF">
      <w:pPr>
        <w:widowControl w:val="0"/>
        <w:autoSpaceDE w:val="0"/>
        <w:autoSpaceDN w:val="0"/>
        <w:adjustRightInd w:val="0"/>
        <w:spacing w:line="276" w:lineRule="auto"/>
        <w:jc w:val="both"/>
        <w:rPr>
          <w:rFonts w:ascii="Tahoma" w:hAnsi="Tahoma" w:cs="Tahoma"/>
        </w:rPr>
      </w:pPr>
    </w:p>
    <w:p w14:paraId="2E39E095" w14:textId="490C25EA" w:rsidR="009B5A30" w:rsidRDefault="009B5A30" w:rsidP="00DA45FF">
      <w:pPr>
        <w:spacing w:line="276" w:lineRule="auto"/>
        <w:jc w:val="both"/>
        <w:rPr>
          <w:rFonts w:ascii="Tahoma" w:hAnsi="Tahoma" w:cs="Tahoma"/>
        </w:rPr>
      </w:pPr>
      <w:r w:rsidRPr="00D641F4">
        <w:rPr>
          <w:rFonts w:ascii="Tahoma" w:hAnsi="Tahoma" w:cs="Tahoma"/>
        </w:rPr>
        <w:tab/>
      </w:r>
      <w:r w:rsidRPr="00D641F4">
        <w:rPr>
          <w:rFonts w:ascii="Tahoma" w:hAnsi="Tahoma" w:cs="Tahoma"/>
          <w:b/>
        </w:rPr>
        <w:t>PRIMERO: DECRETAR</w:t>
      </w:r>
      <w:r w:rsidRPr="00D641F4">
        <w:rPr>
          <w:rFonts w:ascii="Tahoma" w:hAnsi="Tahoma" w:cs="Tahoma"/>
        </w:rPr>
        <w:t xml:space="preserve"> la nulidad </w:t>
      </w:r>
      <w:r>
        <w:rPr>
          <w:rFonts w:ascii="Tahoma" w:hAnsi="Tahoma" w:cs="Tahoma"/>
        </w:rPr>
        <w:t>de</w:t>
      </w:r>
      <w:r w:rsidR="00DA45FF">
        <w:rPr>
          <w:rFonts w:ascii="Tahoma" w:hAnsi="Tahoma" w:cs="Tahoma"/>
        </w:rPr>
        <w:t xml:space="preserve"> la sentencia de primera instancia dictada el </w:t>
      </w:r>
      <w:r w:rsidR="00D82F4D">
        <w:rPr>
          <w:rFonts w:ascii="Tahoma" w:hAnsi="Tahoma" w:cs="Tahoma"/>
          <w:color w:val="000000" w:themeColor="text1"/>
        </w:rPr>
        <w:t>(15) de febrero</w:t>
      </w:r>
      <w:r w:rsidR="00DA45FF">
        <w:rPr>
          <w:rFonts w:ascii="Tahoma" w:hAnsi="Tahoma" w:cs="Tahoma"/>
          <w:color w:val="000000" w:themeColor="text1"/>
        </w:rPr>
        <w:t xml:space="preserve"> de 201</w:t>
      </w:r>
      <w:r w:rsidR="00D82F4D">
        <w:rPr>
          <w:rFonts w:ascii="Tahoma" w:hAnsi="Tahoma" w:cs="Tahoma"/>
          <w:color w:val="000000" w:themeColor="text1"/>
        </w:rPr>
        <w:t>6</w:t>
      </w:r>
      <w:r w:rsidR="00DA45FF">
        <w:rPr>
          <w:rFonts w:ascii="Tahoma" w:hAnsi="Tahoma" w:cs="Tahoma"/>
        </w:rPr>
        <w:t>.</w:t>
      </w:r>
    </w:p>
    <w:p w14:paraId="690D0CA8" w14:textId="77777777" w:rsidR="00DA45FF" w:rsidRPr="00D641F4" w:rsidRDefault="00DA45FF" w:rsidP="00DA45FF">
      <w:pPr>
        <w:spacing w:line="276" w:lineRule="auto"/>
        <w:jc w:val="both"/>
        <w:rPr>
          <w:rFonts w:ascii="Tahoma" w:hAnsi="Tahoma" w:cs="Tahoma"/>
        </w:rPr>
      </w:pPr>
    </w:p>
    <w:p w14:paraId="7D6973F7" w14:textId="6FC89FAE" w:rsidR="009B5A30" w:rsidRPr="00D641F4" w:rsidRDefault="009B5A30" w:rsidP="00DA45FF">
      <w:pPr>
        <w:spacing w:line="276" w:lineRule="auto"/>
        <w:jc w:val="both"/>
        <w:rPr>
          <w:rFonts w:ascii="Tahoma" w:hAnsi="Tahoma" w:cs="Tahoma"/>
        </w:rPr>
      </w:pPr>
      <w:r w:rsidRPr="00D641F4">
        <w:rPr>
          <w:rFonts w:ascii="Tahoma" w:hAnsi="Tahoma" w:cs="Tahoma"/>
        </w:rPr>
        <w:lastRenderedPageBreak/>
        <w:tab/>
      </w:r>
      <w:r w:rsidRPr="00D641F4">
        <w:rPr>
          <w:rFonts w:ascii="Tahoma" w:hAnsi="Tahoma" w:cs="Tahoma"/>
          <w:b/>
        </w:rPr>
        <w:t>SEGUNDO: REMITIR</w:t>
      </w:r>
      <w:r w:rsidRPr="00D641F4">
        <w:rPr>
          <w:rFonts w:ascii="Tahoma" w:hAnsi="Tahoma" w:cs="Tahoma"/>
        </w:rPr>
        <w:t xml:space="preserve"> el </w:t>
      </w:r>
      <w:r w:rsidR="000932D8">
        <w:rPr>
          <w:rFonts w:ascii="Tahoma" w:hAnsi="Tahoma" w:cs="Tahoma"/>
        </w:rPr>
        <w:t>expediente al juzgado de origen</w:t>
      </w:r>
      <w:r w:rsidRPr="00D641F4">
        <w:rPr>
          <w:rFonts w:ascii="Tahoma" w:hAnsi="Tahoma" w:cs="Tahoma"/>
        </w:rPr>
        <w:t xml:space="preserve"> a efectos de que la jueza de primer grado </w:t>
      </w:r>
      <w:r w:rsidR="00634140">
        <w:rPr>
          <w:rFonts w:ascii="Tahoma" w:hAnsi="Tahoma" w:cs="Tahoma"/>
        </w:rPr>
        <w:t>adecú</w:t>
      </w:r>
      <w:r w:rsidR="00DA45FF">
        <w:rPr>
          <w:rFonts w:ascii="Tahoma" w:hAnsi="Tahoma" w:cs="Tahoma"/>
        </w:rPr>
        <w:t>e la actuación conforme</w:t>
      </w:r>
      <w:r w:rsidR="000932D8">
        <w:rPr>
          <w:rFonts w:ascii="Tahoma" w:hAnsi="Tahoma" w:cs="Tahoma"/>
        </w:rPr>
        <w:t xml:space="preserve"> a</w:t>
      </w:r>
      <w:r w:rsidR="00DA45FF">
        <w:rPr>
          <w:rFonts w:ascii="Tahoma" w:hAnsi="Tahoma" w:cs="Tahoma"/>
        </w:rPr>
        <w:t xml:space="preserve"> lo expuesto en precedencia.</w:t>
      </w:r>
      <w:r>
        <w:rPr>
          <w:rFonts w:ascii="Tahoma" w:hAnsi="Tahoma" w:cs="Tahoma"/>
        </w:rPr>
        <w:t xml:space="preserve"> </w:t>
      </w:r>
    </w:p>
    <w:p w14:paraId="5192C1A4" w14:textId="77777777" w:rsidR="009B5A30" w:rsidRDefault="009B5A30" w:rsidP="009B5A30">
      <w:pPr>
        <w:jc w:val="both"/>
        <w:rPr>
          <w:rFonts w:ascii="Tahoma" w:hAnsi="Tahoma" w:cs="Tahoma"/>
        </w:rPr>
      </w:pPr>
    </w:p>
    <w:p w14:paraId="101AA3DD" w14:textId="77777777" w:rsidR="00DA45FF" w:rsidRPr="00D641F4" w:rsidRDefault="00DA45FF" w:rsidP="009B5A30">
      <w:pPr>
        <w:jc w:val="both"/>
        <w:rPr>
          <w:rFonts w:ascii="Tahoma" w:hAnsi="Tahoma" w:cs="Tahoma"/>
        </w:rPr>
      </w:pPr>
    </w:p>
    <w:p w14:paraId="061B949C" w14:textId="77777777" w:rsidR="009B5A30" w:rsidRPr="00D641F4" w:rsidRDefault="009B5A30" w:rsidP="009B5A30">
      <w:pPr>
        <w:widowControl w:val="0"/>
        <w:autoSpaceDE w:val="0"/>
        <w:autoSpaceDN w:val="0"/>
        <w:adjustRightInd w:val="0"/>
        <w:jc w:val="both"/>
        <w:rPr>
          <w:rFonts w:ascii="Tahoma" w:hAnsi="Tahoma" w:cs="Tahoma"/>
        </w:rPr>
      </w:pPr>
      <w:r w:rsidRPr="00D641F4">
        <w:rPr>
          <w:rFonts w:ascii="Tahoma" w:hAnsi="Tahoma" w:cs="Tahoma"/>
        </w:rPr>
        <w:tab/>
        <w:t>La Magistrada,</w:t>
      </w:r>
    </w:p>
    <w:p w14:paraId="6B20EAF4" w14:textId="77777777" w:rsidR="009B5A30" w:rsidRPr="00D641F4" w:rsidRDefault="009B5A30" w:rsidP="009B5A30">
      <w:pPr>
        <w:widowControl w:val="0"/>
        <w:autoSpaceDE w:val="0"/>
        <w:autoSpaceDN w:val="0"/>
        <w:adjustRightInd w:val="0"/>
        <w:jc w:val="both"/>
        <w:rPr>
          <w:rFonts w:ascii="Tahoma" w:hAnsi="Tahoma" w:cs="Tahoma"/>
        </w:rPr>
      </w:pPr>
    </w:p>
    <w:p w14:paraId="68E27B03" w14:textId="77777777" w:rsidR="009B5A30" w:rsidRDefault="009B5A30" w:rsidP="009B5A30">
      <w:pPr>
        <w:widowControl w:val="0"/>
        <w:autoSpaceDE w:val="0"/>
        <w:autoSpaceDN w:val="0"/>
        <w:adjustRightInd w:val="0"/>
        <w:jc w:val="both"/>
        <w:rPr>
          <w:rFonts w:ascii="Tahoma" w:hAnsi="Tahoma" w:cs="Tahoma"/>
        </w:rPr>
      </w:pPr>
    </w:p>
    <w:p w14:paraId="3A599866" w14:textId="77777777" w:rsidR="00D8277A" w:rsidRDefault="00D8277A" w:rsidP="009B5A30">
      <w:pPr>
        <w:widowControl w:val="0"/>
        <w:autoSpaceDE w:val="0"/>
        <w:autoSpaceDN w:val="0"/>
        <w:adjustRightInd w:val="0"/>
        <w:jc w:val="both"/>
        <w:rPr>
          <w:rFonts w:ascii="Tahoma" w:hAnsi="Tahoma" w:cs="Tahoma"/>
        </w:rPr>
      </w:pPr>
    </w:p>
    <w:p w14:paraId="1A38531B" w14:textId="77777777" w:rsidR="00D8277A" w:rsidRDefault="00D8277A" w:rsidP="009B5A30">
      <w:pPr>
        <w:widowControl w:val="0"/>
        <w:autoSpaceDE w:val="0"/>
        <w:autoSpaceDN w:val="0"/>
        <w:adjustRightInd w:val="0"/>
        <w:jc w:val="both"/>
        <w:rPr>
          <w:rFonts w:ascii="Tahoma" w:hAnsi="Tahoma" w:cs="Tahoma"/>
        </w:rPr>
      </w:pPr>
    </w:p>
    <w:p w14:paraId="2F78CE1E" w14:textId="77777777" w:rsidR="00D8277A" w:rsidRPr="00C54890" w:rsidRDefault="00D8277A" w:rsidP="009B5A30">
      <w:pPr>
        <w:widowControl w:val="0"/>
        <w:autoSpaceDE w:val="0"/>
        <w:autoSpaceDN w:val="0"/>
        <w:adjustRightInd w:val="0"/>
        <w:jc w:val="both"/>
        <w:rPr>
          <w:rFonts w:ascii="Tahoma" w:hAnsi="Tahoma" w:cs="Tahoma"/>
        </w:rPr>
      </w:pPr>
    </w:p>
    <w:p w14:paraId="53962357" w14:textId="77777777" w:rsidR="009B5A30" w:rsidRPr="00C54890" w:rsidRDefault="009B5A30" w:rsidP="009B5A30">
      <w:pPr>
        <w:widowControl w:val="0"/>
        <w:autoSpaceDE w:val="0"/>
        <w:autoSpaceDN w:val="0"/>
        <w:adjustRightInd w:val="0"/>
        <w:jc w:val="center"/>
        <w:rPr>
          <w:rFonts w:ascii="Tahoma" w:hAnsi="Tahoma" w:cs="Tahoma"/>
          <w:b/>
        </w:rPr>
      </w:pPr>
      <w:r w:rsidRPr="00C54890">
        <w:rPr>
          <w:rFonts w:ascii="Tahoma" w:hAnsi="Tahoma" w:cs="Tahoma"/>
          <w:b/>
        </w:rPr>
        <w:t>ANA LUCÍA CAICEDO CALDERÓN</w:t>
      </w:r>
    </w:p>
    <w:p w14:paraId="41D6A71C" w14:textId="77777777" w:rsidR="009B5A30" w:rsidRPr="00C54890" w:rsidRDefault="009B5A30" w:rsidP="009B5A30">
      <w:pPr>
        <w:widowControl w:val="0"/>
        <w:autoSpaceDE w:val="0"/>
        <w:autoSpaceDN w:val="0"/>
        <w:adjustRightInd w:val="0"/>
        <w:jc w:val="center"/>
        <w:rPr>
          <w:rFonts w:ascii="Tahoma" w:hAnsi="Tahoma" w:cs="Tahoma"/>
          <w:b/>
        </w:rPr>
      </w:pPr>
    </w:p>
    <w:p w14:paraId="4D31977B" w14:textId="448C0A25" w:rsidR="009B5A30" w:rsidRPr="00C54890" w:rsidRDefault="009B5A30" w:rsidP="009B5A30">
      <w:pPr>
        <w:widowControl w:val="0"/>
        <w:autoSpaceDE w:val="0"/>
        <w:autoSpaceDN w:val="0"/>
        <w:adjustRightInd w:val="0"/>
        <w:rPr>
          <w:rFonts w:ascii="Tahoma" w:hAnsi="Tahoma" w:cs="Tahoma"/>
          <w:b/>
          <w:bCs/>
          <w:spacing w:val="2"/>
        </w:rPr>
      </w:pPr>
      <w:r w:rsidRPr="00C54890">
        <w:rPr>
          <w:rFonts w:ascii="Tahoma" w:hAnsi="Tahoma" w:cs="Tahoma"/>
        </w:rPr>
        <w:tab/>
      </w:r>
    </w:p>
    <w:p w14:paraId="028D2EC4" w14:textId="77777777" w:rsidR="009B5A30" w:rsidRDefault="009B5A30" w:rsidP="009B5A30">
      <w:pPr>
        <w:tabs>
          <w:tab w:val="left" w:pos="2580"/>
        </w:tabs>
        <w:rPr>
          <w:rFonts w:ascii="Tahoma" w:hAnsi="Tahoma" w:cs="Tahoma"/>
          <w:b/>
          <w:bCs/>
          <w:spacing w:val="2"/>
        </w:rPr>
      </w:pPr>
    </w:p>
    <w:p w14:paraId="046EF70D" w14:textId="77777777" w:rsidR="00D8277A" w:rsidRDefault="00D8277A" w:rsidP="009B5A30">
      <w:pPr>
        <w:tabs>
          <w:tab w:val="left" w:pos="2580"/>
        </w:tabs>
        <w:rPr>
          <w:rFonts w:ascii="Tahoma" w:hAnsi="Tahoma" w:cs="Tahoma"/>
          <w:b/>
          <w:bCs/>
          <w:spacing w:val="2"/>
        </w:rPr>
      </w:pPr>
    </w:p>
    <w:p w14:paraId="30085510" w14:textId="77777777" w:rsidR="00D8277A" w:rsidRDefault="00D8277A" w:rsidP="009B5A30">
      <w:pPr>
        <w:tabs>
          <w:tab w:val="left" w:pos="2580"/>
        </w:tabs>
        <w:rPr>
          <w:rFonts w:ascii="Tahoma" w:hAnsi="Tahoma" w:cs="Tahoma"/>
          <w:b/>
          <w:bCs/>
          <w:spacing w:val="2"/>
        </w:rPr>
      </w:pPr>
    </w:p>
    <w:p w14:paraId="4AB40826" w14:textId="77777777" w:rsidR="00D8277A" w:rsidRPr="00C54890" w:rsidRDefault="00D8277A" w:rsidP="009B5A30">
      <w:pPr>
        <w:tabs>
          <w:tab w:val="left" w:pos="2580"/>
        </w:tabs>
        <w:rPr>
          <w:rFonts w:ascii="Tahoma" w:hAnsi="Tahoma" w:cs="Tahoma"/>
          <w:b/>
          <w:bCs/>
          <w:spacing w:val="2"/>
        </w:rPr>
      </w:pPr>
    </w:p>
    <w:p w14:paraId="7D47C9F3" w14:textId="77777777" w:rsidR="009B5A30" w:rsidRPr="00C54890" w:rsidRDefault="009B5A30" w:rsidP="009B5A30">
      <w:pPr>
        <w:jc w:val="center"/>
        <w:rPr>
          <w:rFonts w:ascii="Tahoma" w:hAnsi="Tahoma" w:cs="Tahoma"/>
          <w:b/>
          <w:bCs/>
          <w:spacing w:val="2"/>
        </w:rPr>
      </w:pPr>
      <w:r>
        <w:rPr>
          <w:rFonts w:ascii="Tahoma" w:hAnsi="Tahoma" w:cs="Tahoma"/>
          <w:b/>
          <w:bCs/>
          <w:spacing w:val="2"/>
        </w:rPr>
        <w:t>ALONSO GAVIRIA OCAMPO</w:t>
      </w:r>
    </w:p>
    <w:p w14:paraId="461B6AB0" w14:textId="2BCC1674" w:rsidR="009B5A30" w:rsidRPr="00C54890" w:rsidRDefault="00D8277A" w:rsidP="009B5A30">
      <w:pPr>
        <w:jc w:val="center"/>
        <w:rPr>
          <w:rFonts w:ascii="Tahoma" w:hAnsi="Tahoma" w:cs="Tahoma"/>
          <w:lang w:val="es-CO"/>
        </w:rPr>
      </w:pPr>
      <w:r>
        <w:rPr>
          <w:rFonts w:ascii="Tahoma" w:hAnsi="Tahoma" w:cs="Tahoma"/>
        </w:rPr>
        <w:t>Secretario</w:t>
      </w:r>
      <w:bookmarkStart w:id="0" w:name="_GoBack"/>
      <w:bookmarkEnd w:id="0"/>
      <w:r w:rsidR="009B5A30" w:rsidRPr="00C54890">
        <w:rPr>
          <w:rFonts w:ascii="Tahoma" w:hAnsi="Tahoma" w:cs="Tahoma"/>
          <w:lang w:val="es-CO"/>
        </w:rPr>
        <w:t xml:space="preserve">  </w:t>
      </w:r>
    </w:p>
    <w:p w14:paraId="24D8B2A3" w14:textId="77777777" w:rsidR="009B5A30" w:rsidRPr="00C54890" w:rsidRDefault="009B5A30" w:rsidP="009B5A30">
      <w:pPr>
        <w:jc w:val="both"/>
        <w:rPr>
          <w:rFonts w:ascii="Tahoma" w:hAnsi="Tahoma" w:cs="Tahoma"/>
          <w:lang w:val="es-CO"/>
        </w:rPr>
      </w:pPr>
    </w:p>
    <w:p w14:paraId="2849E2BF" w14:textId="77777777" w:rsidR="009B5A30" w:rsidRPr="000D2784" w:rsidRDefault="009B5A30" w:rsidP="009B5A30">
      <w:pPr>
        <w:jc w:val="both"/>
        <w:rPr>
          <w:rFonts w:ascii="Tahoma" w:hAnsi="Tahoma" w:cs="Tahoma"/>
          <w:lang w:val="es-CO"/>
        </w:rPr>
      </w:pPr>
      <w:r w:rsidRPr="000D2784">
        <w:rPr>
          <w:rFonts w:ascii="Tahoma" w:hAnsi="Tahoma" w:cs="Tahoma"/>
          <w:lang w:val="es-CO"/>
        </w:rPr>
        <w:t xml:space="preserve">     </w:t>
      </w:r>
    </w:p>
    <w:p w14:paraId="697D325D" w14:textId="77777777" w:rsidR="009B5A30" w:rsidRPr="009B5A30" w:rsidRDefault="009B5A30" w:rsidP="009B5A30">
      <w:pPr>
        <w:spacing w:line="276" w:lineRule="auto"/>
        <w:ind w:firstLine="708"/>
        <w:jc w:val="both"/>
        <w:rPr>
          <w:rFonts w:ascii="Tahoma" w:hAnsi="Tahoma" w:cs="Tahoma"/>
          <w:lang w:val="es-ES_tradnl"/>
        </w:rPr>
      </w:pPr>
    </w:p>
    <w:sectPr w:rsidR="009B5A30" w:rsidRPr="009B5A30" w:rsidSect="00D8277A">
      <w:pgSz w:w="12242" w:h="18722" w:code="12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09B0C" w14:textId="77777777" w:rsidR="00B842DE" w:rsidRDefault="00B842DE" w:rsidP="00506ED7">
      <w:r>
        <w:separator/>
      </w:r>
    </w:p>
  </w:endnote>
  <w:endnote w:type="continuationSeparator" w:id="0">
    <w:p w14:paraId="35E3B784" w14:textId="77777777" w:rsidR="00B842DE" w:rsidRDefault="00B842DE" w:rsidP="0050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78F38" w14:textId="77777777" w:rsidR="00B842DE" w:rsidRDefault="00B842DE" w:rsidP="00506ED7">
      <w:r>
        <w:separator/>
      </w:r>
    </w:p>
  </w:footnote>
  <w:footnote w:type="continuationSeparator" w:id="0">
    <w:p w14:paraId="54184B8A" w14:textId="77777777" w:rsidR="00B842DE" w:rsidRDefault="00B842DE" w:rsidP="00506ED7">
      <w:r>
        <w:continuationSeparator/>
      </w:r>
    </w:p>
  </w:footnote>
  <w:footnote w:id="1">
    <w:p w14:paraId="6CB6D2B0" w14:textId="77777777" w:rsidR="00366515" w:rsidRPr="00366515" w:rsidRDefault="00366515" w:rsidP="00366515">
      <w:pPr>
        <w:pStyle w:val="NormalWeb"/>
        <w:jc w:val="both"/>
        <w:rPr>
          <w:sz w:val="12"/>
          <w:szCs w:val="12"/>
        </w:rPr>
      </w:pPr>
      <w:r w:rsidRPr="00366515">
        <w:rPr>
          <w:rStyle w:val="Refdenotaalpie"/>
          <w:rFonts w:ascii="Arial Narrow" w:hAnsi="Arial Narrow"/>
          <w:sz w:val="16"/>
          <w:szCs w:val="16"/>
        </w:rPr>
        <w:footnoteRef/>
      </w:r>
      <w:r w:rsidRPr="00366515">
        <w:rPr>
          <w:rFonts w:ascii="Arial Narrow" w:hAnsi="Arial Narrow"/>
          <w:sz w:val="16"/>
          <w:szCs w:val="16"/>
        </w:rPr>
        <w:t xml:space="preserve"> Artículo 3.- Modificáse el artículo 19 del Decreto 2013 de 2012, el cual quedará así́: </w:t>
      </w:r>
      <w:r w:rsidRPr="00366515">
        <w:rPr>
          <w:rFonts w:ascii="Arial Narrow" w:hAnsi="Arial Narrow"/>
          <w:i/>
          <w:iCs/>
          <w:sz w:val="16"/>
          <w:szCs w:val="16"/>
        </w:rPr>
        <w:t xml:space="preserve">"artículo </w:t>
      </w:r>
      <w:r w:rsidRPr="00366515">
        <w:rPr>
          <w:rFonts w:ascii="Arial Narrow" w:hAnsi="Arial Narrow"/>
          <w:sz w:val="16"/>
          <w:szCs w:val="16"/>
        </w:rPr>
        <w:t xml:space="preserve">19. </w:t>
      </w:r>
      <w:r w:rsidRPr="00366515">
        <w:rPr>
          <w:rFonts w:ascii="Arial Narrow" w:hAnsi="Arial Narrow"/>
          <w:i/>
          <w:iCs/>
          <w:sz w:val="16"/>
          <w:szCs w:val="16"/>
        </w:rPr>
        <w:t xml:space="preserve">De la financiación de las acreencias laborales y de la liquidación. El pago de las indemnizaciones, acreencias laborales y gastos propios del proceso Liquidatorio, se hará́ con cargo </w:t>
      </w:r>
      <w:r w:rsidRPr="00366515">
        <w:rPr>
          <w:rFonts w:ascii="Arial Narrow" w:hAnsi="Arial Narrow"/>
          <w:sz w:val="16"/>
          <w:szCs w:val="16"/>
        </w:rPr>
        <w:t xml:space="preserve">a </w:t>
      </w:r>
      <w:r w:rsidRPr="00366515">
        <w:rPr>
          <w:rFonts w:ascii="Arial Narrow" w:hAnsi="Arial Narrow"/>
          <w:i/>
          <w:iCs/>
          <w:sz w:val="16"/>
          <w:szCs w:val="16"/>
        </w:rPr>
        <w:t xml:space="preserve">los recursos del Instituto de Seguros Sociales en Liquidación. </w:t>
      </w:r>
      <w:r w:rsidRPr="00366515">
        <w:rPr>
          <w:rFonts w:ascii="Arial Narrow" w:hAnsi="Arial Narrow"/>
          <w:i/>
          <w:iCs/>
          <w:sz w:val="16"/>
          <w:szCs w:val="16"/>
          <w:u w:val="single"/>
        </w:rPr>
        <w:t xml:space="preserve">En caso en que los recursos de la Entidad en Liquidación no sean suficientes, la Nación atenderá́ estas obligaciones con cargo </w:t>
      </w:r>
      <w:r w:rsidRPr="00366515">
        <w:rPr>
          <w:rFonts w:ascii="Arial Narrow" w:hAnsi="Arial Narrow"/>
          <w:sz w:val="16"/>
          <w:szCs w:val="16"/>
          <w:u w:val="single"/>
        </w:rPr>
        <w:t xml:space="preserve">a </w:t>
      </w:r>
      <w:r w:rsidRPr="00366515">
        <w:rPr>
          <w:rFonts w:ascii="Arial Narrow" w:hAnsi="Arial Narrow"/>
          <w:i/>
          <w:iCs/>
          <w:sz w:val="16"/>
          <w:szCs w:val="16"/>
          <w:u w:val="single"/>
        </w:rPr>
        <w:t>los recursos del Presupuesto General de la Nación".</w:t>
      </w:r>
      <w:r w:rsidRPr="00366515">
        <w:rPr>
          <w:rFonts w:ascii="Helvetica" w:hAnsi="Helvetica"/>
          <w:i/>
          <w:iCs/>
          <w:sz w:val="16"/>
          <w:szCs w:val="16"/>
          <w:u w:val="single"/>
        </w:rPr>
        <w:t xml:space="preserve"> </w:t>
      </w:r>
    </w:p>
  </w:footnote>
  <w:footnote w:id="2">
    <w:p w14:paraId="3CE2E858" w14:textId="5B128DF8" w:rsidR="00CF5A17" w:rsidRDefault="00CF5A17" w:rsidP="00366515">
      <w:pPr>
        <w:shd w:val="clear" w:color="auto" w:fill="FFFFFF"/>
        <w:ind w:right="51"/>
        <w:jc w:val="both"/>
        <w:textAlignment w:val="baseline"/>
        <w:rPr>
          <w:rFonts w:ascii="Arial Narrow" w:eastAsia="Times New Roman" w:hAnsi="Arial Narrow" w:cs="Times New Roman"/>
          <w:i/>
          <w:color w:val="000000"/>
          <w:sz w:val="16"/>
          <w:szCs w:val="16"/>
          <w:bdr w:val="none" w:sz="0" w:space="0" w:color="auto" w:frame="1"/>
          <w:lang w:val="es-CO" w:eastAsia="es-ES"/>
        </w:rPr>
      </w:pPr>
      <w:r w:rsidRPr="00CF5A17">
        <w:rPr>
          <w:rStyle w:val="Refdenotaalpie"/>
          <w:rFonts w:ascii="Arial Narrow" w:hAnsi="Arial Narrow"/>
          <w:i/>
          <w:sz w:val="20"/>
          <w:szCs w:val="20"/>
        </w:rPr>
        <w:footnoteRef/>
      </w:r>
      <w:r w:rsidRPr="00CF5A17">
        <w:rPr>
          <w:rFonts w:ascii="Arial Narrow" w:eastAsia="Times New Roman" w:hAnsi="Arial Narrow" w:cs="Times New Roman"/>
          <w:i/>
          <w:color w:val="000000"/>
          <w:sz w:val="16"/>
          <w:szCs w:val="16"/>
          <w:bdr w:val="none" w:sz="0" w:space="0" w:color="auto" w:frame="1"/>
          <w:lang w:val="es-CO" w:eastAsia="es-ES"/>
        </w:rPr>
        <w:t>En lo relativo al pago de las obligaciones, el Art. 32 del decreto</w:t>
      </w:r>
      <w:r w:rsidR="0039475C">
        <w:rPr>
          <w:rFonts w:ascii="Arial Narrow" w:eastAsia="Times New Roman" w:hAnsi="Arial Narrow" w:cs="Times New Roman"/>
          <w:i/>
          <w:color w:val="000000"/>
          <w:sz w:val="16"/>
          <w:szCs w:val="16"/>
          <w:bdr w:val="none" w:sz="0" w:space="0" w:color="auto" w:frame="1"/>
          <w:lang w:val="es-CO" w:eastAsia="es-ES"/>
        </w:rPr>
        <w:t xml:space="preserve"> citado</w:t>
      </w:r>
      <w:r w:rsidRPr="00CF5A17">
        <w:rPr>
          <w:rFonts w:ascii="Arial Narrow" w:eastAsia="Times New Roman" w:hAnsi="Arial Narrow" w:cs="Times New Roman"/>
          <w:i/>
          <w:color w:val="000000"/>
          <w:sz w:val="16"/>
          <w:szCs w:val="16"/>
          <w:bdr w:val="none" w:sz="0" w:space="0" w:color="auto" w:frame="1"/>
          <w:lang w:val="es-CO" w:eastAsia="es-ES"/>
        </w:rPr>
        <w:t xml:space="preserve"> prevé que la liquidación será progresiva y que en ella se tendrán en cuenta, entre otras, las siguientes reglas:</w:t>
      </w:r>
      <w:r w:rsidRPr="00CF5A17">
        <w:rPr>
          <w:rFonts w:ascii="Arial Narrow" w:eastAsia="Times New Roman" w:hAnsi="Arial Narrow" w:cs="Times New Roman"/>
          <w:b/>
          <w:i/>
          <w:color w:val="000000"/>
          <w:sz w:val="16"/>
          <w:szCs w:val="16"/>
          <w:bdr w:val="none" w:sz="0" w:space="0" w:color="auto" w:frame="1"/>
          <w:lang w:val="es-CO" w:eastAsia="es-ES"/>
        </w:rPr>
        <w:t> i)</w:t>
      </w:r>
      <w:r w:rsidRPr="00CF5A17">
        <w:rPr>
          <w:rFonts w:ascii="Arial Narrow" w:eastAsia="Times New Roman" w:hAnsi="Arial Narrow" w:cs="Times New Roman"/>
          <w:i/>
          <w:color w:val="000000"/>
          <w:sz w:val="16"/>
          <w:szCs w:val="16"/>
          <w:bdr w:val="none" w:sz="0" w:space="0" w:color="auto" w:frame="1"/>
          <w:lang w:val="es-CO" w:eastAsia="es-ES"/>
        </w:rPr>
        <w:t xml:space="preserve"> Toda obligación a cargo de la entidad en liquidación deberá estar relacionada en un inventario de pasivos y debidamente comprobada (Num. 1);</w:t>
      </w:r>
      <w:r w:rsidRPr="00CF5A17">
        <w:rPr>
          <w:rFonts w:ascii="Arial Narrow" w:eastAsia="Times New Roman" w:hAnsi="Arial Narrow" w:cs="Times New Roman"/>
          <w:b/>
          <w:i/>
          <w:color w:val="000000"/>
          <w:sz w:val="16"/>
          <w:szCs w:val="16"/>
          <w:bdr w:val="none" w:sz="0" w:space="0" w:color="auto" w:frame="1"/>
          <w:lang w:val="es-CO" w:eastAsia="es-ES"/>
        </w:rPr>
        <w:t> ii)</w:t>
      </w:r>
      <w:r w:rsidRPr="00CF5A17">
        <w:rPr>
          <w:rFonts w:ascii="Arial Narrow" w:eastAsia="Times New Roman" w:hAnsi="Arial Narrow" w:cs="Times New Roman"/>
          <w:i/>
          <w:color w:val="000000"/>
          <w:sz w:val="16"/>
          <w:szCs w:val="16"/>
          <w:bdr w:val="none" w:sz="0" w:space="0" w:color="auto" w:frame="1"/>
          <w:lang w:val="es-CO" w:eastAsia="es-ES"/>
        </w:rPr>
        <w:t xml:space="preserve"> En el pago de las obligaciones se observará la prelación de créditos establecida en las normas legales. Para el pago de las obligaciones laborales el liquidador deberá elaborar un plan de pagos, de acuerdo con las indemnizaciones a que hubiere lugar; este programa deberá ser aprobado por la Junta Liquidadora, cuando sea del caso (Num. 2);</w:t>
      </w:r>
      <w:r w:rsidR="00366515">
        <w:rPr>
          <w:rFonts w:ascii="Arial Narrow" w:eastAsia="Times New Roman" w:hAnsi="Arial Narrow" w:cs="Times New Roman"/>
          <w:i/>
          <w:color w:val="000000"/>
          <w:sz w:val="16"/>
          <w:szCs w:val="16"/>
          <w:bdr w:val="none" w:sz="0" w:space="0" w:color="auto" w:frame="1"/>
          <w:lang w:val="es-CO" w:eastAsia="es-ES"/>
        </w:rPr>
        <w:t xml:space="preserve"> </w:t>
      </w:r>
      <w:r w:rsidRPr="00CF5A17">
        <w:rPr>
          <w:rFonts w:ascii="Arial Narrow" w:eastAsia="Times New Roman" w:hAnsi="Arial Narrow" w:cs="Times New Roman"/>
          <w:b/>
          <w:i/>
          <w:color w:val="000000"/>
          <w:sz w:val="16"/>
          <w:szCs w:val="16"/>
          <w:bdr w:val="none" w:sz="0" w:space="0" w:color="auto" w:frame="1"/>
          <w:lang w:val="es-CO" w:eastAsia="es-ES"/>
        </w:rPr>
        <w:t>iii) </w:t>
      </w:r>
      <w:r w:rsidRPr="00CF5A17">
        <w:rPr>
          <w:rFonts w:ascii="Arial Narrow" w:eastAsia="Times New Roman" w:hAnsi="Arial Narrow" w:cs="Times New Roman"/>
          <w:i/>
          <w:iCs/>
          <w:color w:val="000000"/>
          <w:sz w:val="16"/>
          <w:szCs w:val="16"/>
          <w:bdr w:val="none" w:sz="0" w:space="0" w:color="auto" w:frame="1"/>
          <w:lang w:val="es-CO" w:eastAsia="es-ES"/>
        </w:rPr>
        <w:t>Para el pago del pasivo se tendrá en cuenta la caducidad y la prescripción de las obligaciones, contenidas en las normas legales vigentes".</w:t>
      </w:r>
      <w:r>
        <w:rPr>
          <w:rFonts w:ascii="Arial Narrow" w:eastAsia="Times New Roman" w:hAnsi="Arial Narrow" w:cs="Times New Roman"/>
          <w:i/>
          <w:color w:val="000000"/>
          <w:sz w:val="16"/>
          <w:szCs w:val="16"/>
          <w:bdr w:val="none" w:sz="0" w:space="0" w:color="auto" w:frame="1"/>
          <w:lang w:val="es-CO" w:eastAsia="es-ES"/>
        </w:rPr>
        <w:t> </w:t>
      </w:r>
      <w:r w:rsidRPr="00366515">
        <w:rPr>
          <w:rFonts w:ascii="Arial Narrow" w:eastAsia="Times New Roman" w:hAnsi="Arial Narrow" w:cs="Times New Roman"/>
          <w:i/>
          <w:color w:val="000000"/>
          <w:sz w:val="16"/>
          <w:szCs w:val="16"/>
          <w:bdr w:val="none" w:sz="0" w:space="0" w:color="auto" w:frame="1"/>
          <w:lang w:val="es-CO" w:eastAsia="es-ES"/>
        </w:rPr>
        <w:t>(Num. 5).</w:t>
      </w:r>
    </w:p>
    <w:p w14:paraId="17F29EDA" w14:textId="65FAE9DB" w:rsidR="00CF5A17" w:rsidRPr="00CF5A17" w:rsidRDefault="00CF5A17" w:rsidP="000932D8">
      <w:pPr>
        <w:shd w:val="clear" w:color="auto" w:fill="FFFFFF"/>
        <w:tabs>
          <w:tab w:val="left" w:pos="763"/>
        </w:tabs>
        <w:ind w:right="51"/>
        <w:jc w:val="both"/>
        <w:textAlignment w:val="baseline"/>
        <w:rPr>
          <w:rFonts w:ascii="Arial Narrow" w:eastAsia="Times New Roman" w:hAnsi="Arial Narrow" w:cs="Times New Roman"/>
          <w:i/>
          <w:color w:val="2D2D2D"/>
          <w:sz w:val="10"/>
          <w:szCs w:val="10"/>
          <w:lang w:eastAsia="es-ES"/>
        </w:rPr>
      </w:pPr>
    </w:p>
    <w:p w14:paraId="201F6895" w14:textId="6671ABF3" w:rsidR="00CF5A17" w:rsidRPr="006432BB" w:rsidRDefault="00CF5A17" w:rsidP="006432BB">
      <w:pPr>
        <w:shd w:val="clear" w:color="auto" w:fill="FFFFFF"/>
        <w:ind w:right="51"/>
        <w:jc w:val="both"/>
        <w:textAlignment w:val="baseline"/>
        <w:rPr>
          <w:rFonts w:ascii="Arial Narrow" w:eastAsia="Times New Roman" w:hAnsi="Arial Narrow" w:cs="Times New Roman"/>
          <w:i/>
          <w:color w:val="2D2D2D"/>
          <w:sz w:val="16"/>
          <w:szCs w:val="16"/>
          <w:lang w:eastAsia="es-ES"/>
        </w:rPr>
      </w:pPr>
      <w:r w:rsidRPr="00CF5A17">
        <w:rPr>
          <w:rFonts w:ascii="Arial Narrow" w:eastAsia="Times New Roman" w:hAnsi="Arial Narrow" w:cs="Times New Roman"/>
          <w:i/>
          <w:color w:val="000000"/>
          <w:sz w:val="16"/>
          <w:szCs w:val="16"/>
          <w:bdr w:val="none" w:sz="0" w:space="0" w:color="auto" w:frame="1"/>
          <w:lang w:val="es-CO" w:eastAsia="es-ES"/>
        </w:rPr>
        <w:t xml:space="preserve">El parágrafo de la misma disposición señala que </w:t>
      </w:r>
      <w:r w:rsidRPr="0039475C">
        <w:rPr>
          <w:rFonts w:ascii="Arial Narrow" w:eastAsia="Times New Roman" w:hAnsi="Arial Narrow" w:cs="Times New Roman"/>
          <w:i/>
          <w:color w:val="000000"/>
          <w:sz w:val="16"/>
          <w:szCs w:val="16"/>
          <w:u w:val="single"/>
          <w:bdr w:val="none" w:sz="0" w:space="0" w:color="auto" w:frame="1"/>
          <w:lang w:val="es-CO" w:eastAsia="es-ES"/>
        </w:rPr>
        <w:t>en caso de que los recursos de la liquidación de un establecimiento público o de una empresa industrial y comercial del Estado del orden nacional no societaria sean insuficientes, las obligaciones laborales estarán a cargo de la Nación o de la entidad pública del orden nacional que se designe en el decreto que ordene la supresión y liquidación de la entidad.</w:t>
      </w:r>
      <w:r w:rsidRPr="00CF5A17">
        <w:rPr>
          <w:rFonts w:ascii="Arial Narrow" w:eastAsia="Times New Roman" w:hAnsi="Arial Narrow" w:cs="Times New Roman"/>
          <w:i/>
          <w:color w:val="000000"/>
          <w:sz w:val="16"/>
          <w:szCs w:val="16"/>
          <w:bdr w:val="none" w:sz="0" w:space="0" w:color="auto" w:frame="1"/>
          <w:lang w:val="es-CO" w:eastAsia="es-ES"/>
        </w:rPr>
        <w:t xml:space="preserve"> Para tal efecto se deberá tomar en cuenta la entidad que debía financiar la constitución de las reservas pensionales.</w:t>
      </w:r>
    </w:p>
  </w:footnote>
  <w:footnote w:id="3">
    <w:p w14:paraId="37120CBC" w14:textId="71ABC6EA" w:rsidR="00286170" w:rsidRPr="000932D8" w:rsidRDefault="00366515" w:rsidP="00286170">
      <w:pPr>
        <w:pStyle w:val="NormalWeb"/>
        <w:jc w:val="both"/>
        <w:rPr>
          <w:rFonts w:ascii="Tahoma" w:hAnsi="Tahoma" w:cs="Tahoma"/>
          <w:color w:val="141414"/>
          <w:sz w:val="16"/>
          <w:szCs w:val="16"/>
        </w:rPr>
      </w:pPr>
      <w:r w:rsidRPr="000932D8">
        <w:rPr>
          <w:rStyle w:val="Refdenotaalpie"/>
          <w:rFonts w:ascii="Tahoma" w:hAnsi="Tahoma" w:cs="Tahoma"/>
          <w:sz w:val="16"/>
          <w:szCs w:val="16"/>
        </w:rPr>
        <w:footnoteRef/>
      </w:r>
      <w:r w:rsidRPr="000932D8">
        <w:rPr>
          <w:rFonts w:ascii="Tahoma" w:hAnsi="Tahoma" w:cs="Tahoma"/>
          <w:sz w:val="16"/>
          <w:szCs w:val="16"/>
        </w:rPr>
        <w:t xml:space="preserve"> De acuerdo a lo previsto en el Decreto 541 de 2016 (emanado de la Presidencia de la República)</w:t>
      </w:r>
      <w:r w:rsidR="000932D8">
        <w:rPr>
          <w:rFonts w:ascii="Tahoma" w:hAnsi="Tahoma" w:cs="Tahoma"/>
          <w:sz w:val="16"/>
          <w:szCs w:val="16"/>
        </w:rPr>
        <w:t>.</w:t>
      </w:r>
      <w:r w:rsidR="006432BB" w:rsidRPr="000932D8">
        <w:rPr>
          <w:rFonts w:ascii="Tahoma" w:hAnsi="Tahoma" w:cs="Tahoma"/>
          <w:sz w:val="16"/>
          <w:szCs w:val="16"/>
        </w:rPr>
        <w:t xml:space="preserve"> </w:t>
      </w:r>
      <w:r w:rsidR="006432BB">
        <w:rPr>
          <w:rFonts w:ascii="Tahoma" w:hAnsi="Tahoma" w:cs="Tahoma"/>
          <w:color w:val="141414"/>
          <w:sz w:val="16"/>
          <w:szCs w:val="16"/>
        </w:rPr>
        <w:t>Vale anotar que e</w:t>
      </w:r>
      <w:r w:rsidR="006432BB" w:rsidRPr="006432BB">
        <w:rPr>
          <w:rFonts w:ascii="Tahoma" w:hAnsi="Tahoma" w:cs="Tahoma"/>
          <w:color w:val="141414"/>
          <w:sz w:val="16"/>
          <w:szCs w:val="16"/>
        </w:rPr>
        <w:t>l Consejo de Estado - Sala de lo Contencioso Administrativo - Sección Quinta, mediante sentencia del 15 de diciembre de 2015, dentro de la acción de cumplimiento No. 76001-23-33</w:t>
      </w:r>
      <w:r w:rsidR="006432BB" w:rsidRPr="006432BB">
        <w:rPr>
          <w:rFonts w:ascii="Tahoma" w:hAnsi="Tahoma" w:cs="Tahoma"/>
          <w:color w:val="141414"/>
          <w:sz w:val="16"/>
          <w:szCs w:val="16"/>
        </w:rPr>
        <w:softHyphen/>
        <w:t xml:space="preserve"> 000-2015-01089-01, dispuso: </w:t>
      </w:r>
      <w:r w:rsidR="006432BB" w:rsidRPr="006432BB">
        <w:rPr>
          <w:rFonts w:ascii="Arial" w:hAnsi="Arial" w:cs="Arial"/>
          <w:i/>
          <w:iCs/>
          <w:color w:val="141414"/>
          <w:sz w:val="16"/>
          <w:szCs w:val="16"/>
        </w:rPr>
        <w:t>"</w:t>
      </w:r>
      <w:r w:rsidR="006432BB" w:rsidRPr="006432BB">
        <w:rPr>
          <w:rFonts w:ascii="Arial" w:hAnsi="Arial" w:cs="Arial"/>
          <w:b/>
          <w:i/>
          <w:iCs/>
          <w:color w:val="141414"/>
          <w:sz w:val="16"/>
          <w:szCs w:val="16"/>
        </w:rPr>
        <w:t>ORDENAR</w:t>
      </w:r>
      <w:r w:rsidR="006432BB" w:rsidRPr="006432BB">
        <w:rPr>
          <w:rFonts w:ascii="Arial" w:hAnsi="Arial" w:cs="Arial"/>
          <w:i/>
          <w:iCs/>
          <w:color w:val="141414"/>
          <w:sz w:val="16"/>
          <w:szCs w:val="16"/>
        </w:rPr>
        <w:t xml:space="preserve"> al Gobierno Nacional conformado en esta oportunidad por el Presidente de la República </w:t>
      </w:r>
      <w:r w:rsidR="006432BB" w:rsidRPr="006432BB">
        <w:rPr>
          <w:rFonts w:ascii="Arial" w:hAnsi="Arial" w:cs="Arial"/>
          <w:color w:val="141414"/>
          <w:sz w:val="16"/>
          <w:szCs w:val="16"/>
        </w:rPr>
        <w:t xml:space="preserve">y </w:t>
      </w:r>
      <w:r w:rsidR="006432BB" w:rsidRPr="006432BB">
        <w:rPr>
          <w:rFonts w:ascii="Arial" w:hAnsi="Arial" w:cs="Arial"/>
          <w:i/>
          <w:iCs/>
          <w:color w:val="141414"/>
          <w:sz w:val="16"/>
          <w:szCs w:val="16"/>
        </w:rPr>
        <w:t xml:space="preserve">los Ministros de Salud </w:t>
      </w:r>
      <w:r w:rsidR="006432BB" w:rsidRPr="006432BB">
        <w:rPr>
          <w:rFonts w:ascii="Arial" w:hAnsi="Arial" w:cs="Arial"/>
          <w:color w:val="141414"/>
          <w:sz w:val="16"/>
          <w:szCs w:val="16"/>
        </w:rPr>
        <w:t xml:space="preserve">y </w:t>
      </w:r>
      <w:r w:rsidR="006432BB" w:rsidRPr="006432BB">
        <w:rPr>
          <w:rFonts w:ascii="Arial" w:hAnsi="Arial" w:cs="Arial"/>
          <w:i/>
          <w:iCs/>
          <w:color w:val="141414"/>
          <w:sz w:val="16"/>
          <w:szCs w:val="16"/>
        </w:rPr>
        <w:t xml:space="preserve">Protección Social; Hacienda </w:t>
      </w:r>
      <w:r w:rsidR="006432BB" w:rsidRPr="006432BB">
        <w:rPr>
          <w:rFonts w:ascii="Arial" w:hAnsi="Arial" w:cs="Arial"/>
          <w:color w:val="141414"/>
          <w:sz w:val="16"/>
          <w:szCs w:val="16"/>
        </w:rPr>
        <w:t xml:space="preserve">y </w:t>
      </w:r>
      <w:r w:rsidR="006432BB" w:rsidRPr="006432BB">
        <w:rPr>
          <w:rFonts w:ascii="Arial" w:hAnsi="Arial" w:cs="Arial"/>
          <w:i/>
          <w:iCs/>
          <w:color w:val="141414"/>
          <w:sz w:val="16"/>
          <w:szCs w:val="16"/>
        </w:rPr>
        <w:t>Crédito Público</w:t>
      </w:r>
      <w:r w:rsidR="006432BB" w:rsidRPr="006432BB">
        <w:rPr>
          <w:rFonts w:ascii="Arial" w:hAnsi="Arial" w:cs="Arial"/>
          <w:i/>
          <w:iCs/>
          <w:color w:val="333333"/>
          <w:sz w:val="16"/>
          <w:szCs w:val="16"/>
        </w:rPr>
        <w:t xml:space="preserve">; </w:t>
      </w:r>
      <w:r w:rsidR="006432BB" w:rsidRPr="006432BB">
        <w:rPr>
          <w:rFonts w:ascii="Arial" w:hAnsi="Arial" w:cs="Arial"/>
          <w:i/>
          <w:iCs/>
          <w:color w:val="141414"/>
          <w:sz w:val="16"/>
          <w:szCs w:val="16"/>
        </w:rPr>
        <w:t xml:space="preserve">Trabajo </w:t>
      </w:r>
      <w:r w:rsidR="006432BB" w:rsidRPr="006432BB">
        <w:rPr>
          <w:rFonts w:ascii="Arial" w:hAnsi="Arial" w:cs="Arial"/>
          <w:color w:val="141414"/>
          <w:sz w:val="16"/>
          <w:szCs w:val="16"/>
        </w:rPr>
        <w:t xml:space="preserve">y </w:t>
      </w:r>
      <w:r w:rsidR="006432BB" w:rsidRPr="006432BB">
        <w:rPr>
          <w:rFonts w:ascii="Arial" w:hAnsi="Arial" w:cs="Arial"/>
          <w:i/>
          <w:iCs/>
          <w:color w:val="141414"/>
          <w:sz w:val="16"/>
          <w:szCs w:val="16"/>
        </w:rPr>
        <w:t xml:space="preserve">el Director del Departamento Administrativo de la Función Pública el cumplimiento del parágrafo </w:t>
      </w:r>
      <w:r w:rsidR="006432BB" w:rsidRPr="006432BB">
        <w:rPr>
          <w:rFonts w:ascii="Arial" w:hAnsi="Arial" w:cs="Arial"/>
          <w:color w:val="141414"/>
          <w:sz w:val="16"/>
          <w:szCs w:val="16"/>
        </w:rPr>
        <w:t xml:space="preserve">1° </w:t>
      </w:r>
      <w:r w:rsidR="006432BB" w:rsidRPr="006432BB">
        <w:rPr>
          <w:rFonts w:ascii="Arial" w:hAnsi="Arial" w:cs="Arial"/>
          <w:i/>
          <w:iCs/>
          <w:color w:val="141414"/>
          <w:sz w:val="16"/>
          <w:szCs w:val="16"/>
        </w:rPr>
        <w:t xml:space="preserve">del artículo </w:t>
      </w:r>
      <w:r w:rsidR="006432BB" w:rsidRPr="006432BB">
        <w:rPr>
          <w:rFonts w:ascii="Arial" w:hAnsi="Arial" w:cs="Arial"/>
          <w:color w:val="141414"/>
          <w:sz w:val="16"/>
          <w:szCs w:val="16"/>
        </w:rPr>
        <w:t xml:space="preserve">52 </w:t>
      </w:r>
      <w:r w:rsidR="006432BB" w:rsidRPr="006432BB">
        <w:rPr>
          <w:rFonts w:ascii="Arial" w:hAnsi="Arial" w:cs="Arial"/>
          <w:i/>
          <w:iCs/>
          <w:color w:val="141414"/>
          <w:sz w:val="16"/>
          <w:szCs w:val="16"/>
        </w:rPr>
        <w:t xml:space="preserve">de la Ley </w:t>
      </w:r>
      <w:r w:rsidR="006432BB" w:rsidRPr="006432BB">
        <w:rPr>
          <w:rFonts w:ascii="Arial" w:hAnsi="Arial" w:cs="Arial"/>
          <w:color w:val="141414"/>
          <w:sz w:val="16"/>
          <w:szCs w:val="16"/>
        </w:rPr>
        <w:t xml:space="preserve">489 </w:t>
      </w:r>
      <w:r w:rsidR="006432BB" w:rsidRPr="006432BB">
        <w:rPr>
          <w:rFonts w:ascii="Arial" w:hAnsi="Arial" w:cs="Arial"/>
          <w:i/>
          <w:iCs/>
          <w:color w:val="141414"/>
          <w:sz w:val="16"/>
          <w:szCs w:val="16"/>
        </w:rPr>
        <w:t xml:space="preserve">de </w:t>
      </w:r>
      <w:r w:rsidR="006432BB" w:rsidRPr="006432BB">
        <w:rPr>
          <w:rFonts w:ascii="Arial" w:hAnsi="Arial" w:cs="Arial"/>
          <w:color w:val="141414"/>
          <w:sz w:val="16"/>
          <w:szCs w:val="16"/>
        </w:rPr>
        <w:t xml:space="preserve">1998, </w:t>
      </w:r>
      <w:r w:rsidR="006432BB" w:rsidRPr="006432BB">
        <w:rPr>
          <w:rFonts w:ascii="Arial" w:hAnsi="Arial" w:cs="Arial"/>
          <w:i/>
          <w:iCs/>
          <w:color w:val="141414"/>
          <w:sz w:val="16"/>
          <w:szCs w:val="16"/>
        </w:rPr>
        <w:t xml:space="preserve">en el sentido de que se disponga sobre la subrogación de las obligaciones del ISS liquidado, en materia de condena de sentencias contractuales </w:t>
      </w:r>
      <w:r w:rsidR="006432BB" w:rsidRPr="006432BB">
        <w:rPr>
          <w:rFonts w:ascii="Arial" w:hAnsi="Arial" w:cs="Arial"/>
          <w:color w:val="141414"/>
          <w:sz w:val="16"/>
          <w:szCs w:val="16"/>
        </w:rPr>
        <w:t xml:space="preserve">y </w:t>
      </w:r>
      <w:r w:rsidR="006432BB" w:rsidRPr="006432BB">
        <w:rPr>
          <w:rFonts w:ascii="Arial" w:hAnsi="Arial" w:cs="Arial"/>
          <w:i/>
          <w:iCs/>
          <w:color w:val="141414"/>
          <w:sz w:val="16"/>
          <w:szCs w:val="16"/>
        </w:rPr>
        <w:t xml:space="preserve">extracontractuales, dentro de los dos (2) meses siguientes </w:t>
      </w:r>
      <w:r w:rsidR="006432BB" w:rsidRPr="006432BB">
        <w:rPr>
          <w:rFonts w:ascii="Arial" w:hAnsi="Arial" w:cs="Arial"/>
          <w:color w:val="141414"/>
          <w:sz w:val="16"/>
          <w:szCs w:val="16"/>
        </w:rPr>
        <w:t xml:space="preserve">a </w:t>
      </w:r>
      <w:r w:rsidR="006432BB" w:rsidRPr="006432BB">
        <w:rPr>
          <w:rFonts w:ascii="Arial" w:hAnsi="Arial" w:cs="Arial"/>
          <w:i/>
          <w:iCs/>
          <w:color w:val="141414"/>
          <w:sz w:val="16"/>
          <w:szCs w:val="16"/>
        </w:rPr>
        <w:t>la ejecutoria de esta sentencia</w:t>
      </w:r>
      <w:r w:rsidR="006432BB" w:rsidRPr="006432BB">
        <w:rPr>
          <w:rFonts w:ascii="Arial" w:hAnsi="Arial" w:cs="Arial"/>
          <w:i/>
          <w:iCs/>
          <w:color w:val="333333"/>
          <w:sz w:val="16"/>
          <w:szCs w:val="16"/>
        </w:rPr>
        <w:t xml:space="preserve">, </w:t>
      </w:r>
      <w:r w:rsidR="006432BB" w:rsidRPr="006432BB">
        <w:rPr>
          <w:rFonts w:ascii="Arial" w:hAnsi="Arial" w:cs="Arial"/>
          <w:i/>
          <w:iCs/>
          <w:color w:val="141414"/>
          <w:sz w:val="16"/>
          <w:szCs w:val="16"/>
        </w:rPr>
        <w:t>teniendo en</w:t>
      </w:r>
      <w:r w:rsidR="006432BB">
        <w:rPr>
          <w:rFonts w:ascii="Arial" w:hAnsi="Arial" w:cs="Arial"/>
          <w:i/>
          <w:iCs/>
          <w:color w:val="141414"/>
          <w:sz w:val="16"/>
          <w:szCs w:val="16"/>
        </w:rPr>
        <w:t xml:space="preserve"> cuenta la complejidad del tema”. </w:t>
      </w:r>
      <w:r w:rsidR="00286170">
        <w:rPr>
          <w:rFonts w:ascii="Arial" w:hAnsi="Arial" w:cs="Arial"/>
          <w:i/>
          <w:iCs/>
          <w:color w:val="141414"/>
          <w:sz w:val="16"/>
          <w:szCs w:val="16"/>
        </w:rPr>
        <w:t xml:space="preserve">El gobierno Nacional, en acatamiento de la mencionada sentencia, emitió el Decreto 542 de 2016, que en lo que interesa al proceso, señala en su artículo 1º: </w:t>
      </w:r>
      <w:r w:rsidR="00286170" w:rsidRPr="00286170">
        <w:rPr>
          <w:rFonts w:ascii="Tahoma" w:hAnsi="Tahoma" w:cs="Tahoma"/>
          <w:i/>
          <w:iCs/>
          <w:color w:val="141414"/>
          <w:sz w:val="16"/>
          <w:szCs w:val="16"/>
          <w:u w:val="single"/>
        </w:rPr>
        <w:t xml:space="preserve">de la competencia para el pago de las sentencias derivadas de obligaciones contractuales y extracontractuales. </w:t>
      </w:r>
      <w:r w:rsidR="00286170" w:rsidRPr="00286170">
        <w:rPr>
          <w:rFonts w:ascii="Tahoma" w:hAnsi="Tahoma" w:cs="Tahoma"/>
          <w:color w:val="141414"/>
          <w:sz w:val="16"/>
          <w:szCs w:val="16"/>
          <w:u w:val="single"/>
        </w:rPr>
        <w:t xml:space="preserve">Será competencia del Ministerio de Salud y Protección Social asumir el pago de las sentencias judiciales derivadas de obligaciones contractuales y extracontractuales a cargo del Instituto de Seguros Sociales Liquidado. </w:t>
      </w:r>
    </w:p>
    <w:p w14:paraId="2038806B" w14:textId="49D6DBF3" w:rsidR="006432BB" w:rsidRPr="00286170" w:rsidRDefault="006432BB" w:rsidP="00286170">
      <w:pPr>
        <w:pStyle w:val="NormalWeb"/>
        <w:jc w:val="both"/>
        <w:rPr>
          <w:rFonts w:ascii="Tahoma" w:hAnsi="Tahoma" w:cs="Tahoma"/>
          <w:sz w:val="16"/>
          <w:szCs w:val="16"/>
        </w:rPr>
      </w:pPr>
      <w:r w:rsidRPr="00286170">
        <w:rPr>
          <w:rFonts w:ascii="Tahoma" w:hAnsi="Tahoma" w:cs="Tahoma"/>
          <w:i/>
          <w:iCs/>
          <w:color w:val="141414"/>
          <w:sz w:val="16"/>
          <w:szCs w:val="16"/>
        </w:rPr>
        <w:t xml:space="preserve"> </w:t>
      </w:r>
    </w:p>
    <w:p w14:paraId="3B29A0FA" w14:textId="2B592226" w:rsidR="00366515" w:rsidRDefault="00366515">
      <w:pPr>
        <w:pStyle w:val="Textonotapie"/>
        <w:rPr>
          <w:rFonts w:ascii="Arial Narrow" w:hAnsi="Arial Narrow" w:cs="Tahoma"/>
          <w:sz w:val="20"/>
          <w:szCs w:val="20"/>
          <w:lang w:val="es-ES_tradnl"/>
        </w:rPr>
      </w:pPr>
    </w:p>
    <w:p w14:paraId="16E6B276" w14:textId="77777777" w:rsidR="006432BB" w:rsidRDefault="006432BB">
      <w:pPr>
        <w:pStyle w:val="Textonotapie"/>
      </w:pPr>
    </w:p>
    <w:p w14:paraId="7DD8E24F" w14:textId="77777777" w:rsidR="00D8277A" w:rsidRDefault="00D8277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B54F4"/>
    <w:multiLevelType w:val="hybridMultilevel"/>
    <w:tmpl w:val="D362038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3C"/>
    <w:rsid w:val="000033E6"/>
    <w:rsid w:val="000709FE"/>
    <w:rsid w:val="000932D8"/>
    <w:rsid w:val="000B22F7"/>
    <w:rsid w:val="000D2D3C"/>
    <w:rsid w:val="000E0B21"/>
    <w:rsid w:val="000E2618"/>
    <w:rsid w:val="000F1FC1"/>
    <w:rsid w:val="001026B7"/>
    <w:rsid w:val="00122E8C"/>
    <w:rsid w:val="00151EED"/>
    <w:rsid w:val="001E592D"/>
    <w:rsid w:val="00215A58"/>
    <w:rsid w:val="00233A1F"/>
    <w:rsid w:val="00237D35"/>
    <w:rsid w:val="00286170"/>
    <w:rsid w:val="002E1DFC"/>
    <w:rsid w:val="002E70AB"/>
    <w:rsid w:val="00366515"/>
    <w:rsid w:val="0039475C"/>
    <w:rsid w:val="003A642D"/>
    <w:rsid w:val="0045033E"/>
    <w:rsid w:val="004D603A"/>
    <w:rsid w:val="00506ED7"/>
    <w:rsid w:val="005F1326"/>
    <w:rsid w:val="00623453"/>
    <w:rsid w:val="00631F74"/>
    <w:rsid w:val="00634140"/>
    <w:rsid w:val="006366E9"/>
    <w:rsid w:val="006432BB"/>
    <w:rsid w:val="00651A27"/>
    <w:rsid w:val="006C5117"/>
    <w:rsid w:val="007371A6"/>
    <w:rsid w:val="007867F6"/>
    <w:rsid w:val="007D0D7C"/>
    <w:rsid w:val="00807D0A"/>
    <w:rsid w:val="008E4341"/>
    <w:rsid w:val="009B5A30"/>
    <w:rsid w:val="009E4A63"/>
    <w:rsid w:val="00A35EE1"/>
    <w:rsid w:val="00A5357A"/>
    <w:rsid w:val="00A67BE3"/>
    <w:rsid w:val="00AB5B07"/>
    <w:rsid w:val="00B842DE"/>
    <w:rsid w:val="00B845B6"/>
    <w:rsid w:val="00B97F96"/>
    <w:rsid w:val="00BA06DF"/>
    <w:rsid w:val="00BA7FD1"/>
    <w:rsid w:val="00BF11CA"/>
    <w:rsid w:val="00C0782C"/>
    <w:rsid w:val="00C818D3"/>
    <w:rsid w:val="00CF5A17"/>
    <w:rsid w:val="00D8277A"/>
    <w:rsid w:val="00D82F4D"/>
    <w:rsid w:val="00D8537B"/>
    <w:rsid w:val="00DA45FF"/>
    <w:rsid w:val="00E41468"/>
    <w:rsid w:val="00F752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C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4">
    <w:name w:val="heading 4"/>
    <w:basedOn w:val="Normal"/>
    <w:next w:val="Normal"/>
    <w:link w:val="Ttulo4Car"/>
    <w:qFormat/>
    <w:rsid w:val="000F1FC1"/>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DFC"/>
    <w:pPr>
      <w:ind w:left="720"/>
      <w:contextualSpacing/>
    </w:pPr>
  </w:style>
  <w:style w:type="character" w:customStyle="1" w:styleId="Ttulo4Car">
    <w:name w:val="Título 4 Car"/>
    <w:basedOn w:val="Fuentedeprrafopredeter"/>
    <w:link w:val="Ttulo4"/>
    <w:rsid w:val="000F1FC1"/>
    <w:rPr>
      <w:rFonts w:ascii="Times New Roman" w:eastAsia="Times New Roman" w:hAnsi="Times New Roman" w:cs="Times New Roman"/>
      <w:b/>
      <w:szCs w:val="20"/>
      <w:lang w:val="es-ES" w:eastAsia="es-ES"/>
    </w:rPr>
  </w:style>
  <w:style w:type="paragraph" w:styleId="Textoindependiente">
    <w:name w:val="Body Text"/>
    <w:basedOn w:val="Normal"/>
    <w:link w:val="TextoindependienteCar"/>
    <w:rsid w:val="000F1FC1"/>
    <w:pPr>
      <w:spacing w:after="120"/>
    </w:pPr>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rsid w:val="000F1FC1"/>
    <w:rPr>
      <w:rFonts w:ascii="Times New Roman" w:eastAsia="Times New Roman" w:hAnsi="Times New Roman" w:cs="Times New Roman"/>
      <w:lang w:val="es-ES" w:eastAsia="es-ES"/>
    </w:rPr>
  </w:style>
  <w:style w:type="paragraph" w:styleId="Puesto">
    <w:name w:val="Title"/>
    <w:basedOn w:val="Normal"/>
    <w:link w:val="PuestoCar"/>
    <w:qFormat/>
    <w:rsid w:val="000F1FC1"/>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PuestoCar">
    <w:name w:val="Puesto Car"/>
    <w:basedOn w:val="Fuentedeprrafopredeter"/>
    <w:link w:val="Puesto"/>
    <w:rsid w:val="000F1FC1"/>
    <w:rPr>
      <w:rFonts w:ascii="Arial" w:eastAsia="Times New Roman" w:hAnsi="Arial" w:cs="Arial"/>
      <w:b/>
      <w:lang w:val="es-ES" w:eastAsia="es-ES"/>
    </w:rPr>
  </w:style>
  <w:style w:type="paragraph" w:styleId="Piedepgina">
    <w:name w:val="footer"/>
    <w:basedOn w:val="Normal"/>
    <w:link w:val="PiedepginaCar"/>
    <w:uiPriority w:val="99"/>
    <w:unhideWhenUsed/>
    <w:rsid w:val="00506ED7"/>
    <w:pPr>
      <w:tabs>
        <w:tab w:val="center" w:pos="4252"/>
        <w:tab w:val="right" w:pos="8504"/>
      </w:tabs>
    </w:pPr>
  </w:style>
  <w:style w:type="character" w:customStyle="1" w:styleId="PiedepginaCar">
    <w:name w:val="Pie de página Car"/>
    <w:basedOn w:val="Fuentedeprrafopredeter"/>
    <w:link w:val="Piedepgina"/>
    <w:uiPriority w:val="99"/>
    <w:rsid w:val="00506ED7"/>
    <w:rPr>
      <w:lang w:val="es-ES"/>
    </w:rPr>
  </w:style>
  <w:style w:type="character" w:styleId="Nmerodepgina">
    <w:name w:val="page number"/>
    <w:basedOn w:val="Fuentedeprrafopredeter"/>
    <w:uiPriority w:val="99"/>
    <w:semiHidden/>
    <w:unhideWhenUsed/>
    <w:rsid w:val="00506ED7"/>
  </w:style>
  <w:style w:type="paragraph" w:styleId="Textonotapie">
    <w:name w:val="footnote text"/>
    <w:basedOn w:val="Normal"/>
    <w:link w:val="TextonotapieCar"/>
    <w:uiPriority w:val="99"/>
    <w:unhideWhenUsed/>
    <w:rsid w:val="00CF5A17"/>
  </w:style>
  <w:style w:type="character" w:customStyle="1" w:styleId="TextonotapieCar">
    <w:name w:val="Texto nota pie Car"/>
    <w:basedOn w:val="Fuentedeprrafopredeter"/>
    <w:link w:val="Textonotapie"/>
    <w:uiPriority w:val="99"/>
    <w:rsid w:val="00CF5A17"/>
    <w:rPr>
      <w:lang w:val="es-ES"/>
    </w:rPr>
  </w:style>
  <w:style w:type="character" w:styleId="Refdenotaalpie">
    <w:name w:val="footnote reference"/>
    <w:basedOn w:val="Fuentedeprrafopredeter"/>
    <w:uiPriority w:val="99"/>
    <w:unhideWhenUsed/>
    <w:rsid w:val="00CF5A17"/>
    <w:rPr>
      <w:vertAlign w:val="superscript"/>
    </w:rPr>
  </w:style>
  <w:style w:type="paragraph" w:styleId="NormalWeb">
    <w:name w:val="Normal (Web)"/>
    <w:basedOn w:val="Normal"/>
    <w:uiPriority w:val="99"/>
    <w:unhideWhenUsed/>
    <w:rsid w:val="00233A1F"/>
    <w:pPr>
      <w:spacing w:before="100" w:beforeAutospacing="1" w:after="100" w:afterAutospacing="1"/>
    </w:pPr>
    <w:rPr>
      <w:rFonts w:ascii="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027">
      <w:bodyDiv w:val="1"/>
      <w:marLeft w:val="0"/>
      <w:marRight w:val="0"/>
      <w:marTop w:val="0"/>
      <w:marBottom w:val="0"/>
      <w:divBdr>
        <w:top w:val="none" w:sz="0" w:space="0" w:color="auto"/>
        <w:left w:val="none" w:sz="0" w:space="0" w:color="auto"/>
        <w:bottom w:val="none" w:sz="0" w:space="0" w:color="auto"/>
        <w:right w:val="none" w:sz="0" w:space="0" w:color="auto"/>
      </w:divBdr>
      <w:divsChild>
        <w:div w:id="1175726533">
          <w:marLeft w:val="0"/>
          <w:marRight w:val="0"/>
          <w:marTop w:val="0"/>
          <w:marBottom w:val="0"/>
          <w:divBdr>
            <w:top w:val="none" w:sz="0" w:space="0" w:color="auto"/>
            <w:left w:val="none" w:sz="0" w:space="0" w:color="auto"/>
            <w:bottom w:val="none" w:sz="0" w:space="0" w:color="auto"/>
            <w:right w:val="none" w:sz="0" w:space="0" w:color="auto"/>
          </w:divBdr>
          <w:divsChild>
            <w:div w:id="981933330">
              <w:marLeft w:val="0"/>
              <w:marRight w:val="0"/>
              <w:marTop w:val="0"/>
              <w:marBottom w:val="0"/>
              <w:divBdr>
                <w:top w:val="none" w:sz="0" w:space="0" w:color="auto"/>
                <w:left w:val="none" w:sz="0" w:space="0" w:color="auto"/>
                <w:bottom w:val="none" w:sz="0" w:space="0" w:color="auto"/>
                <w:right w:val="none" w:sz="0" w:space="0" w:color="auto"/>
              </w:divBdr>
              <w:divsChild>
                <w:div w:id="1653867265">
                  <w:marLeft w:val="0"/>
                  <w:marRight w:val="0"/>
                  <w:marTop w:val="0"/>
                  <w:marBottom w:val="0"/>
                  <w:divBdr>
                    <w:top w:val="none" w:sz="0" w:space="0" w:color="auto"/>
                    <w:left w:val="none" w:sz="0" w:space="0" w:color="auto"/>
                    <w:bottom w:val="none" w:sz="0" w:space="0" w:color="auto"/>
                    <w:right w:val="none" w:sz="0" w:space="0" w:color="auto"/>
                  </w:divBdr>
                  <w:divsChild>
                    <w:div w:id="6828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4138">
      <w:bodyDiv w:val="1"/>
      <w:marLeft w:val="0"/>
      <w:marRight w:val="0"/>
      <w:marTop w:val="0"/>
      <w:marBottom w:val="0"/>
      <w:divBdr>
        <w:top w:val="none" w:sz="0" w:space="0" w:color="auto"/>
        <w:left w:val="none" w:sz="0" w:space="0" w:color="auto"/>
        <w:bottom w:val="none" w:sz="0" w:space="0" w:color="auto"/>
        <w:right w:val="none" w:sz="0" w:space="0" w:color="auto"/>
      </w:divBdr>
      <w:divsChild>
        <w:div w:id="106127704">
          <w:marLeft w:val="0"/>
          <w:marRight w:val="0"/>
          <w:marTop w:val="0"/>
          <w:marBottom w:val="0"/>
          <w:divBdr>
            <w:top w:val="none" w:sz="0" w:space="0" w:color="auto"/>
            <w:left w:val="none" w:sz="0" w:space="0" w:color="auto"/>
            <w:bottom w:val="none" w:sz="0" w:space="0" w:color="auto"/>
            <w:right w:val="none" w:sz="0" w:space="0" w:color="auto"/>
          </w:divBdr>
          <w:divsChild>
            <w:div w:id="433717762">
              <w:marLeft w:val="0"/>
              <w:marRight w:val="0"/>
              <w:marTop w:val="0"/>
              <w:marBottom w:val="0"/>
              <w:divBdr>
                <w:top w:val="none" w:sz="0" w:space="0" w:color="auto"/>
                <w:left w:val="none" w:sz="0" w:space="0" w:color="auto"/>
                <w:bottom w:val="none" w:sz="0" w:space="0" w:color="auto"/>
                <w:right w:val="none" w:sz="0" w:space="0" w:color="auto"/>
              </w:divBdr>
              <w:divsChild>
                <w:div w:id="792552352">
                  <w:marLeft w:val="0"/>
                  <w:marRight w:val="0"/>
                  <w:marTop w:val="0"/>
                  <w:marBottom w:val="0"/>
                  <w:divBdr>
                    <w:top w:val="none" w:sz="0" w:space="0" w:color="auto"/>
                    <w:left w:val="none" w:sz="0" w:space="0" w:color="auto"/>
                    <w:bottom w:val="none" w:sz="0" w:space="0" w:color="auto"/>
                    <w:right w:val="none" w:sz="0" w:space="0" w:color="auto"/>
                  </w:divBdr>
                  <w:divsChild>
                    <w:div w:id="78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1271">
      <w:bodyDiv w:val="1"/>
      <w:marLeft w:val="0"/>
      <w:marRight w:val="0"/>
      <w:marTop w:val="0"/>
      <w:marBottom w:val="0"/>
      <w:divBdr>
        <w:top w:val="none" w:sz="0" w:space="0" w:color="auto"/>
        <w:left w:val="none" w:sz="0" w:space="0" w:color="auto"/>
        <w:bottom w:val="none" w:sz="0" w:space="0" w:color="auto"/>
        <w:right w:val="none" w:sz="0" w:space="0" w:color="auto"/>
      </w:divBdr>
      <w:divsChild>
        <w:div w:id="536355740">
          <w:marLeft w:val="0"/>
          <w:marRight w:val="0"/>
          <w:marTop w:val="0"/>
          <w:marBottom w:val="0"/>
          <w:divBdr>
            <w:top w:val="none" w:sz="0" w:space="0" w:color="auto"/>
            <w:left w:val="none" w:sz="0" w:space="0" w:color="auto"/>
            <w:bottom w:val="none" w:sz="0" w:space="0" w:color="auto"/>
            <w:right w:val="none" w:sz="0" w:space="0" w:color="auto"/>
          </w:divBdr>
          <w:divsChild>
            <w:div w:id="1767799811">
              <w:marLeft w:val="0"/>
              <w:marRight w:val="0"/>
              <w:marTop w:val="0"/>
              <w:marBottom w:val="0"/>
              <w:divBdr>
                <w:top w:val="none" w:sz="0" w:space="0" w:color="auto"/>
                <w:left w:val="none" w:sz="0" w:space="0" w:color="auto"/>
                <w:bottom w:val="none" w:sz="0" w:space="0" w:color="auto"/>
                <w:right w:val="none" w:sz="0" w:space="0" w:color="auto"/>
              </w:divBdr>
              <w:divsChild>
                <w:div w:id="156658388">
                  <w:marLeft w:val="0"/>
                  <w:marRight w:val="0"/>
                  <w:marTop w:val="0"/>
                  <w:marBottom w:val="0"/>
                  <w:divBdr>
                    <w:top w:val="none" w:sz="0" w:space="0" w:color="auto"/>
                    <w:left w:val="none" w:sz="0" w:space="0" w:color="auto"/>
                    <w:bottom w:val="none" w:sz="0" w:space="0" w:color="auto"/>
                    <w:right w:val="none" w:sz="0" w:space="0" w:color="auto"/>
                  </w:divBdr>
                  <w:divsChild>
                    <w:div w:id="13899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83657">
      <w:bodyDiv w:val="1"/>
      <w:marLeft w:val="0"/>
      <w:marRight w:val="0"/>
      <w:marTop w:val="0"/>
      <w:marBottom w:val="0"/>
      <w:divBdr>
        <w:top w:val="none" w:sz="0" w:space="0" w:color="auto"/>
        <w:left w:val="none" w:sz="0" w:space="0" w:color="auto"/>
        <w:bottom w:val="none" w:sz="0" w:space="0" w:color="auto"/>
        <w:right w:val="none" w:sz="0" w:space="0" w:color="auto"/>
      </w:divBdr>
      <w:divsChild>
        <w:div w:id="997273121">
          <w:marLeft w:val="0"/>
          <w:marRight w:val="0"/>
          <w:marTop w:val="0"/>
          <w:marBottom w:val="0"/>
          <w:divBdr>
            <w:top w:val="none" w:sz="0" w:space="0" w:color="auto"/>
            <w:left w:val="none" w:sz="0" w:space="0" w:color="auto"/>
            <w:bottom w:val="none" w:sz="0" w:space="0" w:color="auto"/>
            <w:right w:val="none" w:sz="0" w:space="0" w:color="auto"/>
          </w:divBdr>
          <w:divsChild>
            <w:div w:id="721102375">
              <w:marLeft w:val="0"/>
              <w:marRight w:val="0"/>
              <w:marTop w:val="0"/>
              <w:marBottom w:val="0"/>
              <w:divBdr>
                <w:top w:val="none" w:sz="0" w:space="0" w:color="auto"/>
                <w:left w:val="none" w:sz="0" w:space="0" w:color="auto"/>
                <w:bottom w:val="none" w:sz="0" w:space="0" w:color="auto"/>
                <w:right w:val="none" w:sz="0" w:space="0" w:color="auto"/>
              </w:divBdr>
              <w:divsChild>
                <w:div w:id="890847538">
                  <w:marLeft w:val="0"/>
                  <w:marRight w:val="0"/>
                  <w:marTop w:val="0"/>
                  <w:marBottom w:val="0"/>
                  <w:divBdr>
                    <w:top w:val="none" w:sz="0" w:space="0" w:color="auto"/>
                    <w:left w:val="none" w:sz="0" w:space="0" w:color="auto"/>
                    <w:bottom w:val="none" w:sz="0" w:space="0" w:color="auto"/>
                    <w:right w:val="none" w:sz="0" w:space="0" w:color="auto"/>
                  </w:divBdr>
                  <w:divsChild>
                    <w:div w:id="18032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1019">
      <w:bodyDiv w:val="1"/>
      <w:marLeft w:val="0"/>
      <w:marRight w:val="0"/>
      <w:marTop w:val="0"/>
      <w:marBottom w:val="0"/>
      <w:divBdr>
        <w:top w:val="none" w:sz="0" w:space="0" w:color="auto"/>
        <w:left w:val="none" w:sz="0" w:space="0" w:color="auto"/>
        <w:bottom w:val="none" w:sz="0" w:space="0" w:color="auto"/>
        <w:right w:val="none" w:sz="0" w:space="0" w:color="auto"/>
      </w:divBdr>
      <w:divsChild>
        <w:div w:id="1552840324">
          <w:marLeft w:val="0"/>
          <w:marRight w:val="0"/>
          <w:marTop w:val="0"/>
          <w:marBottom w:val="0"/>
          <w:divBdr>
            <w:top w:val="none" w:sz="0" w:space="0" w:color="auto"/>
            <w:left w:val="none" w:sz="0" w:space="0" w:color="auto"/>
            <w:bottom w:val="none" w:sz="0" w:space="0" w:color="auto"/>
            <w:right w:val="none" w:sz="0" w:space="0" w:color="auto"/>
          </w:divBdr>
          <w:divsChild>
            <w:div w:id="2044557223">
              <w:marLeft w:val="0"/>
              <w:marRight w:val="0"/>
              <w:marTop w:val="0"/>
              <w:marBottom w:val="0"/>
              <w:divBdr>
                <w:top w:val="none" w:sz="0" w:space="0" w:color="auto"/>
                <w:left w:val="none" w:sz="0" w:space="0" w:color="auto"/>
                <w:bottom w:val="none" w:sz="0" w:space="0" w:color="auto"/>
                <w:right w:val="none" w:sz="0" w:space="0" w:color="auto"/>
              </w:divBdr>
              <w:divsChild>
                <w:div w:id="1810510811">
                  <w:marLeft w:val="0"/>
                  <w:marRight w:val="0"/>
                  <w:marTop w:val="0"/>
                  <w:marBottom w:val="0"/>
                  <w:divBdr>
                    <w:top w:val="none" w:sz="0" w:space="0" w:color="auto"/>
                    <w:left w:val="none" w:sz="0" w:space="0" w:color="auto"/>
                    <w:bottom w:val="none" w:sz="0" w:space="0" w:color="auto"/>
                    <w:right w:val="none" w:sz="0" w:space="0" w:color="auto"/>
                  </w:divBdr>
                  <w:divsChild>
                    <w:div w:id="12890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3B298C-96F9-44C1-B117-B41DCC1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Richard Giovanny Diaz Moncayo</cp:lastModifiedBy>
  <cp:revision>8</cp:revision>
  <dcterms:created xsi:type="dcterms:W3CDTF">2016-08-26T13:20:00Z</dcterms:created>
  <dcterms:modified xsi:type="dcterms:W3CDTF">2016-08-30T19:59:00Z</dcterms:modified>
</cp:coreProperties>
</file>