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aconcuadrcula"/>
        <w:tblW w:w="0" w:type="auto"/>
        <w:tblLook w:val="04A0" w:firstRow="1" w:lastRow="0" w:firstColumn="1" w:lastColumn="0" w:noHBand="0" w:noVBand="1"/>
      </w:tblPr>
      <w:tblGrid>
        <w:gridCol w:w="9964"/>
      </w:tblGrid>
      <w:tr w:rsidR="00871F9F" w:rsidTr="00871F9F">
        <w:tc>
          <w:tcPr>
            <w:tcW w:w="9964" w:type="dxa"/>
          </w:tcPr>
          <w:p w:rsidR="00871F9F" w:rsidRPr="00871F9F" w:rsidRDefault="00871F9F" w:rsidP="00871F9F">
            <w:pPr>
              <w:jc w:val="both"/>
              <w:rPr>
                <w:rFonts w:ascii="Arial Narrow" w:hAnsi="Arial Narrow" w:cs="Tahoma"/>
                <w:sz w:val="16"/>
                <w:szCs w:val="16"/>
              </w:rPr>
            </w:pPr>
            <w:r w:rsidRPr="00871F9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tc>
      </w:tr>
    </w:tbl>
    <w:p w:rsidR="009C50D0" w:rsidRPr="003D36AB" w:rsidRDefault="009C50D0" w:rsidP="009C50D0">
      <w:pPr>
        <w:pStyle w:val="Puesto"/>
        <w:spacing w:line="240" w:lineRule="auto"/>
        <w:jc w:val="both"/>
        <w:rPr>
          <w:rFonts w:ascii="Tahoma" w:hAnsi="Tahoma" w:cs="Tahoma"/>
          <w:b w:val="0"/>
          <w:sz w:val="18"/>
          <w:szCs w:val="18"/>
        </w:rPr>
      </w:pP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Providencia:</w:t>
      </w:r>
      <w:r w:rsidRPr="003D36AB">
        <w:rPr>
          <w:rFonts w:ascii="Tahoma" w:hAnsi="Tahoma" w:cs="Tahoma"/>
          <w:b w:val="0"/>
          <w:sz w:val="18"/>
          <w:szCs w:val="18"/>
        </w:rPr>
        <w:t xml:space="preserve"> </w:t>
      </w:r>
      <w:r w:rsidRPr="003D36AB">
        <w:rPr>
          <w:rFonts w:ascii="Tahoma" w:hAnsi="Tahoma" w:cs="Tahoma"/>
          <w:b w:val="0"/>
          <w:sz w:val="18"/>
          <w:szCs w:val="18"/>
        </w:rPr>
        <w:tab/>
      </w:r>
      <w:r w:rsidRPr="003D36AB">
        <w:rPr>
          <w:rFonts w:ascii="Tahoma" w:hAnsi="Tahoma" w:cs="Tahoma"/>
          <w:b w:val="0"/>
          <w:sz w:val="18"/>
          <w:szCs w:val="18"/>
        </w:rPr>
        <w:tab/>
      </w:r>
      <w:r w:rsidR="00F42643">
        <w:rPr>
          <w:rFonts w:ascii="Tahoma" w:hAnsi="Tahoma" w:cs="Tahoma"/>
          <w:b w:val="0"/>
          <w:bCs/>
          <w:sz w:val="18"/>
          <w:szCs w:val="18"/>
        </w:rPr>
        <w:t>Sentencia del 12 de agosto</w:t>
      </w:r>
      <w:r w:rsidRPr="003D36AB">
        <w:rPr>
          <w:rFonts w:ascii="Tahoma" w:hAnsi="Tahoma" w:cs="Tahoma"/>
          <w:b w:val="0"/>
          <w:bCs/>
          <w:sz w:val="18"/>
          <w:szCs w:val="18"/>
        </w:rPr>
        <w:t xml:space="preserve"> de 201</w:t>
      </w:r>
      <w:r w:rsidR="00F42643">
        <w:rPr>
          <w:rFonts w:ascii="Tahoma" w:hAnsi="Tahoma" w:cs="Tahoma"/>
          <w:b w:val="0"/>
          <w:bCs/>
          <w:sz w:val="18"/>
          <w:szCs w:val="18"/>
        </w:rPr>
        <w:t>2</w:t>
      </w:r>
      <w:r w:rsidRPr="003D36AB">
        <w:rPr>
          <w:rFonts w:ascii="Tahoma" w:hAnsi="Tahoma" w:cs="Tahoma"/>
          <w:b w:val="0"/>
          <w:bCs/>
          <w:sz w:val="18"/>
          <w:szCs w:val="18"/>
        </w:rPr>
        <w:t xml:space="preserve">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Radicación No.:</w:t>
      </w:r>
      <w:r w:rsidR="00F42643">
        <w:rPr>
          <w:rFonts w:ascii="Tahoma" w:hAnsi="Tahoma" w:cs="Tahoma"/>
          <w:b w:val="0"/>
          <w:sz w:val="18"/>
          <w:szCs w:val="18"/>
        </w:rPr>
        <w:tab/>
      </w:r>
      <w:r w:rsidR="00F42643">
        <w:rPr>
          <w:rFonts w:ascii="Tahoma" w:hAnsi="Tahoma" w:cs="Tahoma"/>
          <w:b w:val="0"/>
          <w:sz w:val="18"/>
          <w:szCs w:val="18"/>
        </w:rPr>
        <w:tab/>
        <w:t>66001-31-05-001</w:t>
      </w:r>
      <w:r w:rsidRPr="003D36AB">
        <w:rPr>
          <w:rFonts w:ascii="Tahoma" w:hAnsi="Tahoma" w:cs="Tahoma"/>
          <w:b w:val="0"/>
          <w:sz w:val="18"/>
          <w:szCs w:val="18"/>
        </w:rPr>
        <w:t>-2014-00</w:t>
      </w:r>
      <w:r w:rsidR="00F42643">
        <w:rPr>
          <w:rFonts w:ascii="Tahoma" w:hAnsi="Tahoma" w:cs="Tahoma"/>
          <w:b w:val="0"/>
          <w:sz w:val="18"/>
          <w:szCs w:val="18"/>
        </w:rPr>
        <w:t>598</w:t>
      </w:r>
      <w:r w:rsidRPr="003D36AB">
        <w:rPr>
          <w:rFonts w:ascii="Tahoma" w:hAnsi="Tahoma" w:cs="Tahoma"/>
          <w:b w:val="0"/>
          <w:sz w:val="18"/>
          <w:szCs w:val="18"/>
        </w:rPr>
        <w:t>-01</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Proceso:</w:t>
      </w:r>
      <w:r w:rsidRPr="003D36AB">
        <w:rPr>
          <w:rFonts w:ascii="Tahoma" w:hAnsi="Tahoma" w:cs="Tahoma"/>
          <w:b w:val="0"/>
          <w:sz w:val="18"/>
          <w:szCs w:val="18"/>
        </w:rPr>
        <w:tab/>
      </w:r>
      <w:r w:rsidRPr="003D36AB">
        <w:rPr>
          <w:rFonts w:ascii="Tahoma" w:hAnsi="Tahoma" w:cs="Tahoma"/>
          <w:b w:val="0"/>
          <w:sz w:val="18"/>
          <w:szCs w:val="18"/>
        </w:rPr>
        <w:tab/>
        <w:t xml:space="preserve">Ordinario laboral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Demandante:</w:t>
      </w:r>
      <w:r w:rsidRPr="003D36AB">
        <w:rPr>
          <w:rFonts w:ascii="Tahoma" w:hAnsi="Tahoma" w:cs="Tahoma"/>
          <w:b w:val="0"/>
          <w:sz w:val="18"/>
          <w:szCs w:val="18"/>
        </w:rPr>
        <w:tab/>
      </w:r>
      <w:r w:rsidRPr="003D36AB">
        <w:rPr>
          <w:rFonts w:ascii="Tahoma" w:hAnsi="Tahoma" w:cs="Tahoma"/>
          <w:b w:val="0"/>
          <w:sz w:val="18"/>
          <w:szCs w:val="18"/>
        </w:rPr>
        <w:tab/>
      </w:r>
      <w:r w:rsidR="00F42643">
        <w:rPr>
          <w:rFonts w:ascii="Tahoma" w:hAnsi="Tahoma" w:cs="Tahoma"/>
          <w:b w:val="0"/>
          <w:sz w:val="18"/>
          <w:szCs w:val="18"/>
        </w:rPr>
        <w:t>María Rosalba Aguirre Arias</w:t>
      </w:r>
      <w:r w:rsidR="002F5C10">
        <w:rPr>
          <w:rFonts w:ascii="Tahoma" w:hAnsi="Tahoma" w:cs="Tahoma"/>
          <w:b w:val="0"/>
          <w:sz w:val="18"/>
          <w:szCs w:val="18"/>
        </w:rPr>
        <w:t xml:space="preserve"> </w:t>
      </w:r>
      <w:r w:rsidR="0049366E" w:rsidRPr="003D36AB">
        <w:rPr>
          <w:rFonts w:ascii="Tahoma" w:hAnsi="Tahoma" w:cs="Tahoma"/>
          <w:b w:val="0"/>
          <w:sz w:val="18"/>
          <w:szCs w:val="18"/>
        </w:rPr>
        <w:t xml:space="preserve"> </w:t>
      </w:r>
    </w:p>
    <w:p w:rsidR="009C50D0" w:rsidRPr="003D36AB" w:rsidRDefault="009C50D0" w:rsidP="009C50D0">
      <w:pPr>
        <w:pStyle w:val="Puesto"/>
        <w:spacing w:line="240" w:lineRule="auto"/>
        <w:ind w:left="708" w:hanging="708"/>
        <w:jc w:val="both"/>
        <w:rPr>
          <w:rFonts w:ascii="Tahoma" w:hAnsi="Tahoma" w:cs="Tahoma"/>
          <w:b w:val="0"/>
          <w:sz w:val="18"/>
          <w:szCs w:val="18"/>
        </w:rPr>
      </w:pPr>
      <w:r w:rsidRPr="003D36AB">
        <w:rPr>
          <w:rFonts w:ascii="Tahoma" w:hAnsi="Tahoma" w:cs="Tahoma"/>
          <w:sz w:val="18"/>
          <w:szCs w:val="18"/>
        </w:rPr>
        <w:t>Demandado:</w:t>
      </w:r>
      <w:r w:rsidR="00F42643">
        <w:rPr>
          <w:rFonts w:ascii="Tahoma" w:hAnsi="Tahoma" w:cs="Tahoma"/>
          <w:b w:val="0"/>
          <w:sz w:val="18"/>
          <w:szCs w:val="18"/>
        </w:rPr>
        <w:tab/>
      </w:r>
      <w:r w:rsidR="00F42643">
        <w:rPr>
          <w:rFonts w:ascii="Tahoma" w:hAnsi="Tahoma" w:cs="Tahoma"/>
          <w:b w:val="0"/>
          <w:sz w:val="18"/>
          <w:szCs w:val="18"/>
        </w:rPr>
        <w:tab/>
        <w:t>Colpensiones</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Juzgado de origen:</w:t>
      </w:r>
      <w:r w:rsidR="00F42643">
        <w:rPr>
          <w:rFonts w:ascii="Tahoma" w:hAnsi="Tahoma" w:cs="Tahoma"/>
          <w:b w:val="0"/>
          <w:sz w:val="18"/>
          <w:szCs w:val="18"/>
        </w:rPr>
        <w:t xml:space="preserve"> </w:t>
      </w:r>
      <w:r w:rsidR="00F42643">
        <w:rPr>
          <w:rFonts w:ascii="Tahoma" w:hAnsi="Tahoma" w:cs="Tahoma"/>
          <w:b w:val="0"/>
          <w:sz w:val="18"/>
          <w:szCs w:val="18"/>
        </w:rPr>
        <w:tab/>
        <w:t>Primero</w:t>
      </w:r>
      <w:r w:rsidRPr="003D36AB">
        <w:rPr>
          <w:rFonts w:ascii="Tahoma" w:hAnsi="Tahoma" w:cs="Tahoma"/>
          <w:b w:val="0"/>
          <w:sz w:val="18"/>
          <w:szCs w:val="18"/>
        </w:rPr>
        <w:t xml:space="preserve"> Laboral del Circuito de Pereira</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Magistrada ponente:</w:t>
      </w:r>
      <w:r w:rsidRPr="003D36AB">
        <w:rPr>
          <w:rFonts w:ascii="Tahoma" w:hAnsi="Tahoma" w:cs="Tahoma"/>
          <w:b w:val="0"/>
          <w:sz w:val="18"/>
          <w:szCs w:val="18"/>
        </w:rPr>
        <w:tab/>
        <w:t>Dra. Ana Lucía Caicedo Calderón</w:t>
      </w:r>
    </w:p>
    <w:p w:rsidR="00433B83" w:rsidRPr="00D10D0C" w:rsidRDefault="009C50D0" w:rsidP="00F42643">
      <w:pPr>
        <w:pStyle w:val="Puesto"/>
        <w:spacing w:line="240" w:lineRule="auto"/>
        <w:ind w:left="2127" w:hanging="2127"/>
        <w:jc w:val="both"/>
        <w:rPr>
          <w:rFonts w:ascii="Tahoma" w:hAnsi="Tahoma" w:cs="Tahoma"/>
          <w:sz w:val="18"/>
          <w:szCs w:val="18"/>
        </w:rPr>
      </w:pPr>
      <w:r w:rsidRPr="003D36AB">
        <w:rPr>
          <w:rFonts w:ascii="Tahoma" w:hAnsi="Tahoma" w:cs="Tahoma"/>
          <w:sz w:val="18"/>
          <w:szCs w:val="18"/>
        </w:rPr>
        <w:t>Tema:</w:t>
      </w:r>
      <w:r w:rsidRPr="003D36AB">
        <w:rPr>
          <w:rFonts w:ascii="Tahoma" w:hAnsi="Tahoma" w:cs="Tahoma"/>
          <w:sz w:val="18"/>
          <w:szCs w:val="18"/>
        </w:rPr>
        <w:tab/>
      </w:r>
      <w:r w:rsidR="00433B83" w:rsidRPr="005169A3">
        <w:rPr>
          <w:rFonts w:ascii="Tahoma" w:hAnsi="Tahoma" w:cs="Tahoma"/>
          <w:sz w:val="18"/>
          <w:szCs w:val="18"/>
          <w:u w:val="single"/>
        </w:rPr>
        <w:t>Aplicación del principio de la condición más beneficiosa</w:t>
      </w:r>
      <w:r w:rsidR="00F42643">
        <w:rPr>
          <w:rFonts w:ascii="Tahoma" w:hAnsi="Tahoma" w:cs="Tahoma"/>
          <w:sz w:val="18"/>
          <w:szCs w:val="18"/>
          <w:u w:val="single"/>
        </w:rPr>
        <w:t xml:space="preserve"> – De la Ley 797</w:t>
      </w:r>
      <w:r w:rsidR="0060747A">
        <w:rPr>
          <w:rFonts w:ascii="Tahoma" w:hAnsi="Tahoma" w:cs="Tahoma"/>
          <w:sz w:val="18"/>
          <w:szCs w:val="18"/>
          <w:u w:val="single"/>
        </w:rPr>
        <w:t xml:space="preserve"> de 2003 a</w:t>
      </w:r>
      <w:r w:rsidR="00F42643">
        <w:rPr>
          <w:rFonts w:ascii="Tahoma" w:hAnsi="Tahoma" w:cs="Tahoma"/>
          <w:sz w:val="18"/>
          <w:szCs w:val="18"/>
          <w:u w:val="single"/>
        </w:rPr>
        <w:t>l</w:t>
      </w:r>
      <w:r w:rsidR="0060747A">
        <w:rPr>
          <w:rFonts w:ascii="Tahoma" w:hAnsi="Tahoma" w:cs="Tahoma"/>
          <w:sz w:val="18"/>
          <w:szCs w:val="18"/>
          <w:u w:val="single"/>
        </w:rPr>
        <w:t xml:space="preserve"> Acuerdo 049 de 1990</w:t>
      </w:r>
      <w:r w:rsidR="00F42643">
        <w:rPr>
          <w:rFonts w:ascii="Tahoma" w:hAnsi="Tahoma" w:cs="Tahoma"/>
          <w:sz w:val="18"/>
          <w:szCs w:val="18"/>
          <w:u w:val="single"/>
        </w:rPr>
        <w:t xml:space="preserve"> aprobado por el Decreto 758 del mismo año</w:t>
      </w:r>
      <w:r w:rsidR="00433B83" w:rsidRPr="005169A3">
        <w:rPr>
          <w:rFonts w:ascii="Tahoma" w:hAnsi="Tahoma" w:cs="Tahoma"/>
          <w:sz w:val="18"/>
          <w:szCs w:val="18"/>
        </w:rPr>
        <w:t xml:space="preserve">: </w:t>
      </w:r>
      <w:r w:rsidR="00433B83" w:rsidRPr="005169A3">
        <w:rPr>
          <w:rFonts w:ascii="Tahoma" w:hAnsi="Tahoma" w:cs="Tahoma"/>
          <w:b w:val="0"/>
          <w:bCs/>
          <w:sz w:val="18"/>
          <w:szCs w:val="18"/>
          <w:lang w:val="es-MX"/>
        </w:rPr>
        <w:t>Esta Sala ha venido sosteniendo que e</w:t>
      </w:r>
      <w:r w:rsidR="00433B83" w:rsidRPr="005169A3">
        <w:rPr>
          <w:rFonts w:ascii="Tahoma" w:hAnsi="Tahoma" w:cs="Tahoma"/>
          <w:b w:val="0"/>
          <w:sz w:val="18"/>
          <w:szCs w:val="18"/>
        </w:rPr>
        <w:t xml:space="preserve">l derecho a </w:t>
      </w:r>
      <w:r w:rsidR="00F42643">
        <w:rPr>
          <w:rFonts w:ascii="Tahoma" w:hAnsi="Tahoma" w:cs="Tahoma"/>
          <w:b w:val="0"/>
          <w:sz w:val="18"/>
          <w:szCs w:val="18"/>
        </w:rPr>
        <w:t>la pensión de sobrevivientes</w:t>
      </w:r>
      <w:r w:rsidR="00433B83" w:rsidRPr="005169A3">
        <w:rPr>
          <w:rFonts w:ascii="Tahoma" w:hAnsi="Tahoma" w:cs="Tahoma"/>
          <w:b w:val="0"/>
          <w:sz w:val="18"/>
          <w:szCs w:val="18"/>
        </w:rPr>
        <w:t xml:space="preserve"> se rige por el cuerpo legal que se encuentre vigente al momento </w:t>
      </w:r>
      <w:r w:rsidR="00F42643">
        <w:rPr>
          <w:rFonts w:ascii="Tahoma" w:hAnsi="Tahoma" w:cs="Tahoma"/>
          <w:b w:val="0"/>
          <w:sz w:val="18"/>
          <w:szCs w:val="18"/>
        </w:rPr>
        <w:t>del fallecimiento</w:t>
      </w:r>
      <w:r w:rsidR="00433B83" w:rsidRPr="005169A3">
        <w:rPr>
          <w:rFonts w:ascii="Tahoma" w:hAnsi="Tahoma" w:cs="Tahoma"/>
          <w:b w:val="0"/>
          <w:sz w:val="18"/>
          <w:szCs w:val="18"/>
        </w:rPr>
        <w:t>. No obstante, ha considerado que es posible que en desarrollo de principios como el de condición más beneficiosa o el de progresividad, se admita una excepción a esa regla general para acudir a un sistema pensional o normatividad anterior, siem</w:t>
      </w:r>
      <w:r w:rsidR="00F42643">
        <w:rPr>
          <w:rFonts w:ascii="Tahoma" w:hAnsi="Tahoma" w:cs="Tahoma"/>
          <w:b w:val="0"/>
          <w:sz w:val="18"/>
          <w:szCs w:val="18"/>
        </w:rPr>
        <w:t>pre y cuando en vigencia de la l</w:t>
      </w:r>
      <w:r w:rsidR="00433B83" w:rsidRPr="005169A3">
        <w:rPr>
          <w:rFonts w:ascii="Tahoma" w:hAnsi="Tahoma" w:cs="Tahoma"/>
          <w:b w:val="0"/>
          <w:sz w:val="18"/>
          <w:szCs w:val="18"/>
        </w:rPr>
        <w:t>ey anterior se hubieren efectuado todos los aportes exigidos por dicha norma.</w:t>
      </w:r>
    </w:p>
    <w:p w:rsidR="001C0A43" w:rsidRPr="003D36AB" w:rsidRDefault="001C0A43" w:rsidP="00F42643">
      <w:pPr>
        <w:pStyle w:val="Puesto"/>
        <w:spacing w:line="240" w:lineRule="auto"/>
        <w:jc w:val="both"/>
        <w:rPr>
          <w:rFonts w:ascii="Tahoma" w:hAnsi="Tahoma" w:cs="Tahoma"/>
          <w:b w:val="0"/>
          <w:sz w:val="18"/>
          <w:szCs w:val="18"/>
        </w:rPr>
      </w:pPr>
    </w:p>
    <w:p w:rsidR="009C50D0" w:rsidRPr="003D36AB" w:rsidRDefault="009C50D0" w:rsidP="00871F9F">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TRIBUNAL SUPERIOR DEL DISTRITO JUDICIAL DE PEREIRA</w:t>
      </w:r>
    </w:p>
    <w:p w:rsidR="009C50D0" w:rsidRPr="003D36AB" w:rsidRDefault="009C50D0" w:rsidP="00871F9F">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SALA LABORAL</w:t>
      </w:r>
    </w:p>
    <w:p w:rsidR="009C50D0" w:rsidRPr="003D36AB" w:rsidRDefault="009C50D0" w:rsidP="00871F9F">
      <w:pPr>
        <w:spacing w:line="276" w:lineRule="auto"/>
        <w:jc w:val="center"/>
        <w:rPr>
          <w:rFonts w:ascii="Tahoma" w:hAnsi="Tahoma" w:cs="Tahoma"/>
          <w:bCs/>
        </w:rPr>
      </w:pPr>
    </w:p>
    <w:p w:rsidR="009C50D0" w:rsidRPr="003D36AB" w:rsidRDefault="009C50D0" w:rsidP="00871F9F">
      <w:pPr>
        <w:spacing w:line="276" w:lineRule="auto"/>
        <w:jc w:val="center"/>
        <w:rPr>
          <w:rFonts w:ascii="Tahoma" w:hAnsi="Tahoma" w:cs="Tahoma"/>
          <w:b/>
          <w:bCs/>
        </w:rPr>
      </w:pPr>
      <w:r w:rsidRPr="003D36AB">
        <w:rPr>
          <w:rFonts w:ascii="Tahoma" w:hAnsi="Tahoma" w:cs="Tahoma"/>
          <w:bCs/>
        </w:rPr>
        <w:t>Magistrada Ponente:</w:t>
      </w:r>
      <w:r w:rsidRPr="003D36AB">
        <w:rPr>
          <w:rFonts w:ascii="Tahoma" w:hAnsi="Tahoma" w:cs="Tahoma"/>
          <w:b/>
          <w:bCs/>
        </w:rPr>
        <w:t xml:space="preserve"> Ana Lucía Caicedo Calderón</w:t>
      </w:r>
    </w:p>
    <w:p w:rsidR="009C50D0" w:rsidRPr="003D36AB" w:rsidRDefault="009C50D0" w:rsidP="00871F9F">
      <w:pPr>
        <w:spacing w:line="276" w:lineRule="auto"/>
        <w:jc w:val="center"/>
        <w:rPr>
          <w:rFonts w:ascii="Tahoma" w:hAnsi="Tahoma" w:cs="Tahoma"/>
          <w:b/>
        </w:rPr>
      </w:pPr>
    </w:p>
    <w:p w:rsidR="009C50D0" w:rsidRPr="003D36AB" w:rsidRDefault="009C50D0" w:rsidP="00871F9F">
      <w:pPr>
        <w:spacing w:line="276" w:lineRule="auto"/>
        <w:jc w:val="center"/>
        <w:rPr>
          <w:rFonts w:ascii="Tahoma" w:hAnsi="Tahoma" w:cs="Tahoma"/>
          <w:b/>
        </w:rPr>
      </w:pPr>
      <w:r w:rsidRPr="003D36AB">
        <w:rPr>
          <w:rFonts w:ascii="Tahoma" w:hAnsi="Tahoma" w:cs="Tahoma"/>
          <w:b/>
        </w:rPr>
        <w:t>Acta No. ____</w:t>
      </w:r>
    </w:p>
    <w:p w:rsidR="009C50D0" w:rsidRPr="003D36AB" w:rsidRDefault="009C50D0" w:rsidP="00871F9F">
      <w:pPr>
        <w:spacing w:line="276" w:lineRule="auto"/>
        <w:jc w:val="center"/>
        <w:rPr>
          <w:rFonts w:ascii="Tahoma" w:hAnsi="Tahoma" w:cs="Tahoma"/>
          <w:b/>
        </w:rPr>
      </w:pPr>
      <w:r w:rsidRPr="003D36AB">
        <w:rPr>
          <w:rFonts w:ascii="Tahoma" w:hAnsi="Tahoma" w:cs="Tahoma"/>
          <w:b/>
        </w:rPr>
        <w:t>(</w:t>
      </w:r>
      <w:r w:rsidR="00F42643">
        <w:rPr>
          <w:rFonts w:ascii="Tahoma" w:hAnsi="Tahoma" w:cs="Tahoma"/>
          <w:b/>
        </w:rPr>
        <w:t>Agosto</w:t>
      </w:r>
      <w:r w:rsidR="002F5C10">
        <w:rPr>
          <w:rFonts w:ascii="Tahoma" w:hAnsi="Tahoma" w:cs="Tahoma"/>
          <w:b/>
        </w:rPr>
        <w:t xml:space="preserve"> </w:t>
      </w:r>
      <w:r w:rsidR="00F42643">
        <w:rPr>
          <w:rFonts w:ascii="Tahoma" w:hAnsi="Tahoma" w:cs="Tahoma"/>
          <w:b/>
        </w:rPr>
        <w:t>12</w:t>
      </w:r>
      <w:r w:rsidRPr="003D36AB">
        <w:rPr>
          <w:rFonts w:ascii="Tahoma" w:hAnsi="Tahoma" w:cs="Tahoma"/>
          <w:b/>
        </w:rPr>
        <w:t xml:space="preserve"> de 201</w:t>
      </w:r>
      <w:r w:rsidR="000954F5">
        <w:rPr>
          <w:rFonts w:ascii="Tahoma" w:hAnsi="Tahoma" w:cs="Tahoma"/>
          <w:b/>
        </w:rPr>
        <w:t>6</w:t>
      </w:r>
      <w:r w:rsidRPr="003D36AB">
        <w:rPr>
          <w:rFonts w:ascii="Tahoma" w:hAnsi="Tahoma" w:cs="Tahoma"/>
          <w:b/>
        </w:rPr>
        <w:t>)</w:t>
      </w:r>
    </w:p>
    <w:p w:rsidR="009C50D0" w:rsidRPr="003D36AB" w:rsidRDefault="009C50D0" w:rsidP="00871F9F">
      <w:pPr>
        <w:spacing w:line="276" w:lineRule="auto"/>
        <w:jc w:val="both"/>
        <w:rPr>
          <w:rFonts w:ascii="Tahoma" w:hAnsi="Tahoma" w:cs="Tahoma"/>
        </w:rPr>
      </w:pPr>
    </w:p>
    <w:p w:rsidR="009C50D0" w:rsidRPr="003D36AB" w:rsidRDefault="009C50D0" w:rsidP="00871F9F">
      <w:pPr>
        <w:pStyle w:val="Ttulo5"/>
        <w:spacing w:line="276" w:lineRule="auto"/>
        <w:ind w:firstLine="0"/>
        <w:jc w:val="center"/>
        <w:rPr>
          <w:rFonts w:ascii="Tahoma" w:hAnsi="Tahoma" w:cs="Tahoma"/>
        </w:rPr>
      </w:pPr>
      <w:r w:rsidRPr="003D36AB">
        <w:rPr>
          <w:rFonts w:ascii="Tahoma" w:hAnsi="Tahoma" w:cs="Tahoma"/>
        </w:rPr>
        <w:t>Sistema oral - Audiencia de juzgamiento</w:t>
      </w:r>
    </w:p>
    <w:p w:rsidR="009C50D0" w:rsidRPr="003D36AB" w:rsidRDefault="009C50D0" w:rsidP="00871F9F">
      <w:pPr>
        <w:spacing w:line="276" w:lineRule="auto"/>
        <w:jc w:val="both"/>
        <w:rPr>
          <w:rFonts w:ascii="Tahoma" w:hAnsi="Tahoma" w:cs="Tahoma"/>
          <w:lang w:val="es-ES_tradnl"/>
        </w:rPr>
      </w:pPr>
      <w:r w:rsidRPr="003D36AB">
        <w:rPr>
          <w:rFonts w:ascii="Tahoma" w:hAnsi="Tahoma" w:cs="Tahoma"/>
          <w:b/>
        </w:rPr>
        <w:tab/>
      </w:r>
    </w:p>
    <w:p w:rsidR="00C1665C" w:rsidRDefault="00D4443D" w:rsidP="00F42643">
      <w:pPr>
        <w:spacing w:line="276" w:lineRule="auto"/>
        <w:ind w:firstLine="708"/>
        <w:jc w:val="both"/>
        <w:rPr>
          <w:rFonts w:ascii="Tahoma" w:hAnsi="Tahoma" w:cs="Tahoma"/>
          <w:caps/>
          <w:lang w:val="es-ES_tradnl"/>
        </w:rPr>
      </w:pPr>
      <w:r>
        <w:rPr>
          <w:rFonts w:ascii="Tahoma" w:hAnsi="Tahoma" w:cs="Tahoma"/>
          <w:lang w:val="es-ES_tradnl"/>
        </w:rPr>
        <w:t xml:space="preserve">Buenos días, siendo las </w:t>
      </w:r>
      <w:r w:rsidR="00F42643">
        <w:rPr>
          <w:rFonts w:ascii="Tahoma" w:hAnsi="Tahoma" w:cs="Tahoma"/>
          <w:lang w:val="es-ES_tradnl"/>
        </w:rPr>
        <w:t>09</w:t>
      </w:r>
      <w:r w:rsidR="009C50D0" w:rsidRPr="000954F5">
        <w:rPr>
          <w:rFonts w:ascii="Tahoma" w:hAnsi="Tahoma" w:cs="Tahoma"/>
          <w:lang w:val="es-ES_tradnl"/>
        </w:rPr>
        <w:t>:</w:t>
      </w:r>
      <w:r w:rsidR="00F42643">
        <w:rPr>
          <w:rFonts w:ascii="Tahoma" w:hAnsi="Tahoma" w:cs="Tahoma"/>
          <w:lang w:val="es-ES_tradnl"/>
        </w:rPr>
        <w:t>0</w:t>
      </w:r>
      <w:r w:rsidR="000954F5" w:rsidRPr="000954F5">
        <w:rPr>
          <w:rFonts w:ascii="Tahoma" w:hAnsi="Tahoma" w:cs="Tahoma"/>
          <w:lang w:val="es-ES_tradnl"/>
        </w:rPr>
        <w:t>0</w:t>
      </w:r>
      <w:r w:rsidR="009C50D0" w:rsidRPr="000954F5">
        <w:rPr>
          <w:rFonts w:ascii="Tahoma" w:hAnsi="Tahoma" w:cs="Tahoma"/>
          <w:lang w:val="es-ES_tradnl"/>
        </w:rPr>
        <w:t xml:space="preserve"> a.m.</w:t>
      </w:r>
      <w:r w:rsidR="009C50D0" w:rsidRPr="003D36AB">
        <w:rPr>
          <w:rFonts w:ascii="Tahoma" w:hAnsi="Tahoma" w:cs="Tahoma"/>
          <w:lang w:val="es-ES_tradnl"/>
        </w:rPr>
        <w:t xml:space="preserve"> de hoy, viernes </w:t>
      </w:r>
      <w:r w:rsidR="00F42643">
        <w:rPr>
          <w:rFonts w:ascii="Tahoma" w:hAnsi="Tahoma" w:cs="Tahoma"/>
          <w:lang w:val="es-ES_tradnl"/>
        </w:rPr>
        <w:t>12 de agosto</w:t>
      </w:r>
      <w:r w:rsidR="009C50D0" w:rsidRPr="003D36AB">
        <w:rPr>
          <w:rFonts w:ascii="Tahoma" w:hAnsi="Tahoma" w:cs="Tahoma"/>
          <w:lang w:val="es-ES_tradnl"/>
        </w:rPr>
        <w:t xml:space="preserve"> de 201</w:t>
      </w:r>
      <w:r w:rsidR="000954F5">
        <w:rPr>
          <w:rFonts w:ascii="Tahoma" w:hAnsi="Tahoma" w:cs="Tahoma"/>
          <w:lang w:val="es-ES_tradnl"/>
        </w:rPr>
        <w:t>6</w:t>
      </w:r>
      <w:r w:rsidR="009C50D0" w:rsidRPr="003D36AB">
        <w:rPr>
          <w:rFonts w:ascii="Tahoma" w:hAnsi="Tahoma" w:cs="Tahoma"/>
          <w:lang w:val="es-ES_tradnl"/>
        </w:rPr>
        <w:t xml:space="preserve">, </w:t>
      </w:r>
      <w:r w:rsidR="004A2169" w:rsidRPr="006A2178">
        <w:rPr>
          <w:rFonts w:ascii="Tahoma" w:hAnsi="Tahoma" w:cs="Tahoma"/>
          <w:lang w:val="es-ES_tradnl"/>
        </w:rPr>
        <w:t xml:space="preserve">la Sala No. 1º de Decisión Laboral del Tribunal Superior de Pereira </w:t>
      </w:r>
      <w:r w:rsidR="009C50D0" w:rsidRPr="003D36AB">
        <w:rPr>
          <w:rFonts w:ascii="Tahoma" w:hAnsi="Tahoma" w:cs="Tahoma"/>
          <w:lang w:val="es-ES_tradnl"/>
        </w:rPr>
        <w:t xml:space="preserve">se constituye en audiencia pública de juzgamiento en el proceso ordinario laboral instaurado por </w:t>
      </w:r>
      <w:r w:rsidR="00F42643">
        <w:rPr>
          <w:rFonts w:ascii="Tahoma" w:hAnsi="Tahoma" w:cs="Tahoma"/>
          <w:b/>
          <w:lang w:val="es-ES_tradnl"/>
        </w:rPr>
        <w:t xml:space="preserve">MARIA ROSALBA AGUIRRE ARIAS </w:t>
      </w:r>
      <w:r w:rsidR="009C50D0" w:rsidRPr="003D36AB">
        <w:rPr>
          <w:rFonts w:ascii="Tahoma" w:hAnsi="Tahoma" w:cs="Tahoma"/>
          <w:lang w:val="es-ES_tradnl"/>
        </w:rPr>
        <w:t xml:space="preserve">en contra de la </w:t>
      </w:r>
      <w:r w:rsidR="009C50D0" w:rsidRPr="00F42643">
        <w:rPr>
          <w:rFonts w:ascii="Tahoma" w:hAnsi="Tahoma" w:cs="Tahoma"/>
          <w:b/>
          <w:caps/>
          <w:lang w:val="es-ES_tradnl"/>
        </w:rPr>
        <w:t>Administ</w:t>
      </w:r>
      <w:r w:rsidR="00F42643">
        <w:rPr>
          <w:rFonts w:ascii="Tahoma" w:hAnsi="Tahoma" w:cs="Tahoma"/>
          <w:b/>
          <w:caps/>
          <w:lang w:val="es-ES_tradnl"/>
        </w:rPr>
        <w:t>radora Colombiana de Pensiones -</w:t>
      </w:r>
      <w:r w:rsidR="009C50D0" w:rsidRPr="00F42643">
        <w:rPr>
          <w:rFonts w:ascii="Tahoma" w:hAnsi="Tahoma" w:cs="Tahoma"/>
          <w:b/>
          <w:caps/>
          <w:lang w:val="es-ES_tradnl"/>
        </w:rPr>
        <w:t>Colpensi</w:t>
      </w:r>
      <w:r w:rsidR="00F42643">
        <w:rPr>
          <w:rFonts w:ascii="Tahoma" w:hAnsi="Tahoma" w:cs="Tahoma"/>
          <w:b/>
          <w:caps/>
          <w:lang w:val="es-ES_tradnl"/>
        </w:rPr>
        <w:t>ones-</w:t>
      </w:r>
      <w:r w:rsidR="009C50D0" w:rsidRPr="00F42643">
        <w:rPr>
          <w:rFonts w:ascii="Tahoma" w:hAnsi="Tahoma" w:cs="Tahoma"/>
          <w:caps/>
          <w:lang w:val="es-ES_tradnl"/>
        </w:rPr>
        <w:t>.</w:t>
      </w:r>
      <w:r w:rsidR="00F42643">
        <w:rPr>
          <w:rFonts w:ascii="Tahoma" w:hAnsi="Tahoma" w:cs="Tahoma"/>
          <w:caps/>
          <w:lang w:val="es-ES_tradnl"/>
        </w:rPr>
        <w:t xml:space="preserve"> </w:t>
      </w:r>
    </w:p>
    <w:p w:rsidR="00C1665C" w:rsidRDefault="00C1665C" w:rsidP="00F42643">
      <w:pPr>
        <w:spacing w:line="276" w:lineRule="auto"/>
        <w:ind w:firstLine="708"/>
        <w:jc w:val="both"/>
        <w:rPr>
          <w:rFonts w:ascii="Tahoma" w:hAnsi="Tahoma" w:cs="Tahoma"/>
          <w:caps/>
          <w:lang w:val="es-ES_tradnl"/>
        </w:rPr>
      </w:pPr>
    </w:p>
    <w:p w:rsidR="009C50D0" w:rsidRPr="00F42643" w:rsidRDefault="009C50D0" w:rsidP="00F42643">
      <w:pPr>
        <w:spacing w:line="276" w:lineRule="auto"/>
        <w:ind w:firstLine="708"/>
        <w:jc w:val="both"/>
        <w:rPr>
          <w:rFonts w:ascii="Tahoma" w:hAnsi="Tahoma" w:cs="Tahoma"/>
          <w:caps/>
          <w:lang w:val="es-ES_tradnl"/>
        </w:rPr>
      </w:pPr>
      <w:r w:rsidRPr="003D36AB">
        <w:rPr>
          <w:rFonts w:ascii="Tahoma" w:hAnsi="Tahoma" w:cs="Tahoma"/>
          <w:lang w:val="es-ES_tradnl"/>
        </w:rPr>
        <w:t>Para el efecto, se verifica la asistencia de las partes a la presente diligencia: Por la parte demandante… Por la demandada…</w:t>
      </w:r>
    </w:p>
    <w:p w:rsidR="009C50D0" w:rsidRPr="003D36AB" w:rsidRDefault="009C50D0" w:rsidP="00C1665C">
      <w:pPr>
        <w:ind w:firstLine="1122"/>
        <w:jc w:val="both"/>
        <w:rPr>
          <w:rFonts w:ascii="Tahoma" w:hAnsi="Tahoma" w:cs="Tahoma"/>
          <w:lang w:val="es-ES_tradnl"/>
        </w:rPr>
      </w:pPr>
    </w:p>
    <w:p w:rsidR="009C50D0" w:rsidRPr="003D36AB" w:rsidRDefault="009C50D0" w:rsidP="00871F9F">
      <w:pPr>
        <w:widowControl w:val="0"/>
        <w:autoSpaceDE w:val="0"/>
        <w:autoSpaceDN w:val="0"/>
        <w:adjustRightInd w:val="0"/>
        <w:spacing w:line="276" w:lineRule="auto"/>
        <w:jc w:val="center"/>
        <w:rPr>
          <w:rFonts w:ascii="Tahoma" w:hAnsi="Tahoma" w:cs="Tahoma"/>
          <w:b/>
        </w:rPr>
      </w:pPr>
      <w:r w:rsidRPr="003D36AB">
        <w:rPr>
          <w:rFonts w:ascii="Tahoma" w:hAnsi="Tahoma" w:cs="Tahoma"/>
          <w:b/>
        </w:rPr>
        <w:t>Alegatos de conclusión</w:t>
      </w:r>
    </w:p>
    <w:p w:rsidR="009C50D0" w:rsidRPr="003D36AB" w:rsidRDefault="009C50D0" w:rsidP="00871F9F">
      <w:pPr>
        <w:widowControl w:val="0"/>
        <w:autoSpaceDE w:val="0"/>
        <w:autoSpaceDN w:val="0"/>
        <w:adjustRightInd w:val="0"/>
        <w:spacing w:line="276" w:lineRule="auto"/>
        <w:jc w:val="both"/>
        <w:rPr>
          <w:rFonts w:ascii="Tahoma" w:hAnsi="Tahoma" w:cs="Tahoma"/>
        </w:rPr>
      </w:pPr>
    </w:p>
    <w:p w:rsidR="009C50D0" w:rsidRPr="003D36AB" w:rsidRDefault="009C50D0" w:rsidP="00871F9F">
      <w:pPr>
        <w:spacing w:line="276" w:lineRule="auto"/>
        <w:ind w:firstLine="708"/>
        <w:jc w:val="both"/>
        <w:rPr>
          <w:rFonts w:ascii="Tahoma" w:hAnsi="Tahoma" w:cs="Tahoma"/>
          <w:lang w:val="es-ES_tradnl"/>
        </w:rPr>
      </w:pPr>
      <w:r w:rsidRPr="003D36AB">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C50D0" w:rsidRPr="003D36AB" w:rsidRDefault="009C50D0" w:rsidP="00871F9F">
      <w:pPr>
        <w:spacing w:line="276" w:lineRule="auto"/>
        <w:ind w:firstLine="708"/>
        <w:jc w:val="both"/>
        <w:rPr>
          <w:rFonts w:ascii="Tahoma" w:hAnsi="Tahoma" w:cs="Tahoma"/>
          <w:lang w:val="es-ES_tradnl"/>
        </w:rPr>
      </w:pPr>
    </w:p>
    <w:p w:rsidR="009C50D0" w:rsidRPr="003D36AB" w:rsidRDefault="009C50D0" w:rsidP="00871F9F">
      <w:pPr>
        <w:widowControl w:val="0"/>
        <w:autoSpaceDE w:val="0"/>
        <w:autoSpaceDN w:val="0"/>
        <w:adjustRightInd w:val="0"/>
        <w:spacing w:line="276" w:lineRule="auto"/>
        <w:jc w:val="center"/>
        <w:rPr>
          <w:rFonts w:ascii="Tahoma" w:hAnsi="Tahoma" w:cs="Tahoma"/>
          <w:b/>
        </w:rPr>
      </w:pPr>
      <w:r w:rsidRPr="003D36AB">
        <w:rPr>
          <w:rFonts w:ascii="Tahoma" w:hAnsi="Tahoma" w:cs="Tahoma"/>
          <w:b/>
        </w:rPr>
        <w:t>SENTENCIA</w:t>
      </w:r>
    </w:p>
    <w:p w:rsidR="009C50D0" w:rsidRPr="003D36AB" w:rsidRDefault="009C50D0" w:rsidP="00C1665C">
      <w:pPr>
        <w:widowControl w:val="0"/>
        <w:autoSpaceDE w:val="0"/>
        <w:autoSpaceDN w:val="0"/>
        <w:adjustRightInd w:val="0"/>
        <w:jc w:val="center"/>
        <w:rPr>
          <w:rFonts w:ascii="Tahoma" w:hAnsi="Tahoma" w:cs="Tahoma"/>
          <w:b/>
        </w:rPr>
      </w:pPr>
    </w:p>
    <w:p w:rsidR="00F42643" w:rsidRPr="000C1918" w:rsidRDefault="00F42643" w:rsidP="00F42643">
      <w:pPr>
        <w:widowControl w:val="0"/>
        <w:autoSpaceDE w:val="0"/>
        <w:autoSpaceDN w:val="0"/>
        <w:adjustRightInd w:val="0"/>
        <w:spacing w:line="276" w:lineRule="auto"/>
        <w:ind w:firstLine="708"/>
        <w:jc w:val="both"/>
        <w:rPr>
          <w:rFonts w:ascii="Tahoma" w:hAnsi="Tahoma" w:cs="Tahoma"/>
          <w:color w:val="000000" w:themeColor="text1"/>
        </w:rPr>
      </w:pPr>
      <w:r w:rsidRPr="00364064">
        <w:rPr>
          <w:rFonts w:ascii="Tahoma" w:hAnsi="Tahoma" w:cs="Tahoma"/>
          <w:color w:val="000000" w:themeColor="text1"/>
        </w:rPr>
        <w:t>Como quiera que los alegatos</w:t>
      </w:r>
      <w:r>
        <w:rPr>
          <w:rFonts w:ascii="Tahoma" w:hAnsi="Tahoma" w:cs="Tahoma"/>
          <w:color w:val="000000" w:themeColor="text1"/>
        </w:rPr>
        <w:t xml:space="preserve"> acabados de escuchar</w:t>
      </w:r>
      <w:r w:rsidRPr="00364064">
        <w:rPr>
          <w:rFonts w:ascii="Tahoma" w:hAnsi="Tahoma" w:cs="Tahoma"/>
          <w:color w:val="000000" w:themeColor="text1"/>
        </w:rPr>
        <w:t xml:space="preserve"> coinciden a cabalidad con los puntos fácticos y jurídicos objeto de discusión en esta instancia, procede la Sala</w:t>
      </w:r>
      <w:r>
        <w:rPr>
          <w:rFonts w:ascii="Tahoma" w:hAnsi="Tahoma" w:cs="Tahoma"/>
          <w:color w:val="000000" w:themeColor="text1"/>
        </w:rPr>
        <w:t xml:space="preserve"> a desatar el recurso de apelación promovido por la demandante</w:t>
      </w:r>
      <w:r>
        <w:rPr>
          <w:rFonts w:ascii="Tahoma" w:hAnsi="Tahoma" w:cs="Tahoma"/>
          <w:lang w:val="es-CO"/>
        </w:rPr>
        <w:t xml:space="preserve"> contra de la sentencia emitida por el Juzgado Primero Laboral del Circuito de Pereira el pasado 25 de marzo de 2015.</w:t>
      </w:r>
    </w:p>
    <w:p w:rsidR="001C0A43" w:rsidRPr="003D36AB" w:rsidRDefault="001C0A43" w:rsidP="00F42643">
      <w:pPr>
        <w:widowControl w:val="0"/>
        <w:autoSpaceDE w:val="0"/>
        <w:autoSpaceDN w:val="0"/>
        <w:adjustRightInd w:val="0"/>
        <w:spacing w:line="276" w:lineRule="auto"/>
        <w:jc w:val="both"/>
        <w:rPr>
          <w:rFonts w:ascii="Tahoma" w:hAnsi="Tahoma" w:cs="Tahoma"/>
        </w:rPr>
      </w:pPr>
    </w:p>
    <w:p w:rsidR="009C50D0" w:rsidRPr="00F42643" w:rsidRDefault="009C50D0" w:rsidP="00871F9F">
      <w:pPr>
        <w:widowControl w:val="0"/>
        <w:autoSpaceDE w:val="0"/>
        <w:autoSpaceDN w:val="0"/>
        <w:adjustRightInd w:val="0"/>
        <w:spacing w:line="276" w:lineRule="auto"/>
        <w:jc w:val="center"/>
        <w:rPr>
          <w:rFonts w:ascii="Tahoma" w:hAnsi="Tahoma" w:cs="Tahoma"/>
          <w:b/>
          <w:bCs/>
          <w:caps/>
        </w:rPr>
      </w:pPr>
      <w:r w:rsidRPr="00F42643">
        <w:rPr>
          <w:rFonts w:ascii="Tahoma" w:hAnsi="Tahoma" w:cs="Tahoma"/>
          <w:b/>
          <w:bCs/>
          <w:caps/>
        </w:rPr>
        <w:t>Problema jurídico por resolver</w:t>
      </w:r>
    </w:p>
    <w:p w:rsidR="009C50D0" w:rsidRPr="003D36AB" w:rsidRDefault="009C50D0" w:rsidP="00871F9F">
      <w:pPr>
        <w:widowControl w:val="0"/>
        <w:tabs>
          <w:tab w:val="left" w:pos="748"/>
        </w:tabs>
        <w:autoSpaceDE w:val="0"/>
        <w:autoSpaceDN w:val="0"/>
        <w:adjustRightInd w:val="0"/>
        <w:spacing w:line="276" w:lineRule="auto"/>
        <w:ind w:left="748"/>
        <w:jc w:val="center"/>
        <w:rPr>
          <w:rFonts w:ascii="Tahoma" w:hAnsi="Tahoma" w:cs="Tahoma"/>
          <w:b/>
          <w:bCs/>
        </w:rPr>
      </w:pPr>
    </w:p>
    <w:p w:rsidR="009C50D0" w:rsidRPr="003D36AB" w:rsidRDefault="009C50D0" w:rsidP="00C1665C">
      <w:pPr>
        <w:tabs>
          <w:tab w:val="left" w:pos="567"/>
        </w:tabs>
        <w:spacing w:line="276" w:lineRule="auto"/>
        <w:jc w:val="both"/>
        <w:rPr>
          <w:rFonts w:ascii="Tahoma" w:hAnsi="Tahoma" w:cs="Tahoma"/>
        </w:rPr>
      </w:pPr>
      <w:r w:rsidRPr="003D36AB">
        <w:rPr>
          <w:rFonts w:ascii="Tahoma" w:hAnsi="Tahoma" w:cs="Tahoma"/>
        </w:rPr>
        <w:tab/>
      </w:r>
      <w:r w:rsidRPr="003D36AB">
        <w:rPr>
          <w:rFonts w:ascii="Tahoma" w:hAnsi="Tahoma" w:cs="Tahoma"/>
        </w:rPr>
        <w:tab/>
      </w:r>
      <w:r w:rsidRPr="00A47EAC">
        <w:rPr>
          <w:rFonts w:ascii="Tahoma" w:hAnsi="Tahoma" w:cs="Tahoma"/>
          <w:color w:val="000000" w:themeColor="text1"/>
        </w:rPr>
        <w:t>De acuerdo a lo expuesto en la sentencia de primera instancia le corresponde a la Sala determinar</w:t>
      </w:r>
      <w:r w:rsidR="001C0A43" w:rsidRPr="00A47EAC">
        <w:rPr>
          <w:rFonts w:ascii="Tahoma" w:hAnsi="Tahoma" w:cs="Tahoma"/>
          <w:color w:val="000000" w:themeColor="text1"/>
        </w:rPr>
        <w:t xml:space="preserve"> </w:t>
      </w:r>
      <w:r w:rsidRPr="00A47EAC">
        <w:rPr>
          <w:rFonts w:ascii="Tahoma" w:hAnsi="Tahoma" w:cs="Tahoma"/>
          <w:color w:val="000000" w:themeColor="text1"/>
        </w:rPr>
        <w:t>si es procedente r</w:t>
      </w:r>
      <w:r w:rsidR="00F42643">
        <w:rPr>
          <w:rFonts w:ascii="Tahoma" w:hAnsi="Tahoma" w:cs="Tahoma"/>
          <w:color w:val="000000" w:themeColor="text1"/>
        </w:rPr>
        <w:t>econocer la pensión de sobreviviente a la</w:t>
      </w:r>
      <w:r w:rsidRPr="00A47EAC">
        <w:rPr>
          <w:rFonts w:ascii="Tahoma" w:hAnsi="Tahoma" w:cs="Tahoma"/>
          <w:color w:val="000000" w:themeColor="text1"/>
        </w:rPr>
        <w:t xml:space="preserve"> demandante</w:t>
      </w:r>
      <w:r w:rsidR="00F42643">
        <w:rPr>
          <w:rFonts w:ascii="Tahoma" w:hAnsi="Tahoma" w:cs="Tahoma"/>
          <w:color w:val="000000" w:themeColor="text1"/>
        </w:rPr>
        <w:t xml:space="preserve"> </w:t>
      </w:r>
      <w:r w:rsidR="005516DF" w:rsidRPr="00A47EAC">
        <w:rPr>
          <w:rFonts w:ascii="Tahoma" w:hAnsi="Tahoma" w:cs="Tahoma"/>
          <w:color w:val="000000" w:themeColor="text1"/>
        </w:rPr>
        <w:t>en aplicación d</w:t>
      </w:r>
      <w:r w:rsidR="00F42643">
        <w:rPr>
          <w:rFonts w:ascii="Tahoma" w:hAnsi="Tahoma" w:cs="Tahoma"/>
          <w:color w:val="000000" w:themeColor="text1"/>
        </w:rPr>
        <w:t>el principio constitucional</w:t>
      </w:r>
      <w:r w:rsidR="00D13712" w:rsidRPr="00A47EAC">
        <w:rPr>
          <w:rFonts w:ascii="Tahoma" w:hAnsi="Tahoma" w:cs="Tahoma"/>
          <w:color w:val="000000" w:themeColor="text1"/>
        </w:rPr>
        <w:t xml:space="preserve"> de </w:t>
      </w:r>
      <w:r w:rsidR="000361D9" w:rsidRPr="00A47EAC">
        <w:rPr>
          <w:rFonts w:ascii="Tahoma" w:hAnsi="Tahoma" w:cs="Tahoma"/>
          <w:color w:val="000000" w:themeColor="text1"/>
        </w:rPr>
        <w:t xml:space="preserve">la </w:t>
      </w:r>
      <w:r w:rsidR="00D13712" w:rsidRPr="00A47EAC">
        <w:rPr>
          <w:rFonts w:ascii="Tahoma" w:hAnsi="Tahoma" w:cs="Tahoma"/>
          <w:color w:val="000000" w:themeColor="text1"/>
        </w:rPr>
        <w:t xml:space="preserve">condición más </w:t>
      </w:r>
      <w:r w:rsidR="001C0A43" w:rsidRPr="00A47EAC">
        <w:rPr>
          <w:rFonts w:ascii="Tahoma" w:hAnsi="Tahoma" w:cs="Tahoma"/>
          <w:color w:val="000000" w:themeColor="text1"/>
        </w:rPr>
        <w:t>beneficiosa</w:t>
      </w:r>
      <w:r w:rsidRPr="00A47EAC">
        <w:rPr>
          <w:rFonts w:ascii="Tahoma" w:hAnsi="Tahoma" w:cs="Tahoma"/>
          <w:color w:val="000000" w:themeColor="text1"/>
        </w:rPr>
        <w:t>.</w:t>
      </w:r>
    </w:p>
    <w:p w:rsidR="009C50D0" w:rsidRPr="00F42643" w:rsidRDefault="009C50D0" w:rsidP="00871F9F">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rPr>
      </w:pPr>
      <w:r w:rsidRPr="00F42643">
        <w:rPr>
          <w:rFonts w:ascii="Tahoma" w:hAnsi="Tahoma" w:cs="Tahoma"/>
          <w:b/>
          <w:caps/>
        </w:rPr>
        <w:lastRenderedPageBreak/>
        <w:t>La demanda y su contestación</w:t>
      </w:r>
    </w:p>
    <w:p w:rsidR="009C50D0" w:rsidRPr="003D36AB" w:rsidRDefault="009C50D0" w:rsidP="00871F9F">
      <w:pPr>
        <w:widowControl w:val="0"/>
        <w:autoSpaceDE w:val="0"/>
        <w:autoSpaceDN w:val="0"/>
        <w:adjustRightInd w:val="0"/>
        <w:spacing w:line="276" w:lineRule="auto"/>
        <w:jc w:val="both"/>
        <w:rPr>
          <w:rFonts w:ascii="Tahoma" w:hAnsi="Tahoma" w:cs="Tahoma"/>
        </w:rPr>
      </w:pPr>
    </w:p>
    <w:p w:rsidR="00F42643" w:rsidRPr="00470EBE" w:rsidRDefault="00F42643" w:rsidP="00F42643">
      <w:pPr>
        <w:widowControl w:val="0"/>
        <w:autoSpaceDE w:val="0"/>
        <w:autoSpaceDN w:val="0"/>
        <w:adjustRightInd w:val="0"/>
        <w:spacing w:line="276" w:lineRule="auto"/>
        <w:ind w:firstLine="708"/>
        <w:jc w:val="both"/>
        <w:rPr>
          <w:rFonts w:ascii="Tahoma" w:hAnsi="Tahoma" w:cs="Tahoma"/>
        </w:rPr>
      </w:pPr>
      <w:r w:rsidRPr="00470EBE">
        <w:rPr>
          <w:rFonts w:ascii="Tahoma" w:hAnsi="Tahoma" w:cs="Tahoma"/>
        </w:rPr>
        <w:t xml:space="preserve">La citada demandante solicita que la justicia laboral declare que el señor </w:t>
      </w:r>
      <w:r w:rsidR="006C569E">
        <w:rPr>
          <w:rFonts w:ascii="Tahoma" w:hAnsi="Tahoma" w:cs="Tahoma"/>
        </w:rPr>
        <w:t>ALFONSO ALDANA SUARÉZ</w:t>
      </w:r>
      <w:r w:rsidRPr="00470EBE">
        <w:rPr>
          <w:rFonts w:ascii="Tahoma" w:hAnsi="Tahoma" w:cs="Tahoma"/>
        </w:rPr>
        <w:t xml:space="preserve"> dejó causado el derecho a la pensión </w:t>
      </w:r>
      <w:r w:rsidR="00074EC5">
        <w:rPr>
          <w:rFonts w:ascii="Tahoma" w:hAnsi="Tahoma" w:cs="Tahoma"/>
        </w:rPr>
        <w:t>de sobreviviente, y que ella, dada su</w:t>
      </w:r>
      <w:r w:rsidRPr="00470EBE">
        <w:rPr>
          <w:rFonts w:ascii="Tahoma" w:hAnsi="Tahoma" w:cs="Tahoma"/>
        </w:rPr>
        <w:t xml:space="preserve"> calidad de esposa y por haber convivido mucho más de cinco años con el afiliado hasta su muerte, es la única beneficiaria del pago de tal prestación econó</w:t>
      </w:r>
      <w:r w:rsidR="006C569E">
        <w:rPr>
          <w:rFonts w:ascii="Tahoma" w:hAnsi="Tahoma" w:cs="Tahoma"/>
        </w:rPr>
        <w:t>mica, la que reclama desde el 1º de diciembre de 2007</w:t>
      </w:r>
      <w:r w:rsidRPr="00470EBE">
        <w:rPr>
          <w:rFonts w:ascii="Tahoma" w:hAnsi="Tahoma" w:cs="Tahoma"/>
        </w:rPr>
        <w:t xml:space="preserve">, fecha </w:t>
      </w:r>
      <w:r w:rsidR="006C569E">
        <w:rPr>
          <w:rFonts w:ascii="Tahoma" w:hAnsi="Tahoma" w:cs="Tahoma"/>
        </w:rPr>
        <w:t>del deceso de su esposo. I</w:t>
      </w:r>
      <w:r w:rsidRPr="00470EBE">
        <w:rPr>
          <w:rFonts w:ascii="Tahoma" w:hAnsi="Tahoma" w:cs="Tahoma"/>
        </w:rPr>
        <w:t xml:space="preserve">gualmente, por haber incurrido la Administrador de Pensiones en mora del pago de la prestación económica, reclama el pago de los intereses moratorios previstos en el artículo 141 de la Ley 100 de 1993, teniendo en cuenta que elevó reclamación administrativa </w:t>
      </w:r>
      <w:r w:rsidR="006C569E">
        <w:rPr>
          <w:rFonts w:ascii="Tahoma" w:hAnsi="Tahoma" w:cs="Tahoma"/>
        </w:rPr>
        <w:t>desde el 15 de diciembre de 2011</w:t>
      </w:r>
      <w:r w:rsidR="00C17EEE">
        <w:rPr>
          <w:rFonts w:ascii="Tahoma" w:hAnsi="Tahoma" w:cs="Tahoma"/>
        </w:rPr>
        <w:t xml:space="preserve"> y</w:t>
      </w:r>
      <w:r w:rsidRPr="00470EBE">
        <w:rPr>
          <w:rFonts w:ascii="Tahoma" w:hAnsi="Tahoma" w:cs="Tahoma"/>
        </w:rPr>
        <w:t xml:space="preserve"> mediante r</w:t>
      </w:r>
      <w:r w:rsidR="00C17EEE">
        <w:rPr>
          <w:rFonts w:ascii="Tahoma" w:hAnsi="Tahoma" w:cs="Tahoma"/>
        </w:rPr>
        <w:t>esolución GNR 048628 la entidad demandada</w:t>
      </w:r>
      <w:r w:rsidRPr="00470EBE">
        <w:rPr>
          <w:rFonts w:ascii="Tahoma" w:hAnsi="Tahoma" w:cs="Tahoma"/>
        </w:rPr>
        <w:t xml:space="preserve"> le negó la pensión porque el afiliado no dejó c</w:t>
      </w:r>
      <w:r w:rsidR="00AD058E">
        <w:rPr>
          <w:rFonts w:ascii="Tahoma" w:hAnsi="Tahoma" w:cs="Tahoma"/>
        </w:rPr>
        <w:t>otizadas el mínimo de cincuenta (50</w:t>
      </w:r>
      <w:r w:rsidRPr="00470EBE">
        <w:rPr>
          <w:rFonts w:ascii="Tahoma" w:hAnsi="Tahoma" w:cs="Tahoma"/>
        </w:rPr>
        <w:t>) semana</w:t>
      </w:r>
      <w:r w:rsidR="00AD058E">
        <w:rPr>
          <w:rFonts w:ascii="Tahoma" w:hAnsi="Tahoma" w:cs="Tahoma"/>
        </w:rPr>
        <w:t>s dentro de los</w:t>
      </w:r>
      <w:r w:rsidR="00C17EEE">
        <w:rPr>
          <w:rFonts w:ascii="Tahoma" w:hAnsi="Tahoma" w:cs="Tahoma"/>
        </w:rPr>
        <w:t xml:space="preserve"> último</w:t>
      </w:r>
      <w:r w:rsidR="00AD058E">
        <w:rPr>
          <w:rFonts w:ascii="Tahoma" w:hAnsi="Tahoma" w:cs="Tahoma"/>
        </w:rPr>
        <w:t>s</w:t>
      </w:r>
      <w:r w:rsidR="00C17EEE">
        <w:rPr>
          <w:rFonts w:ascii="Tahoma" w:hAnsi="Tahoma" w:cs="Tahoma"/>
        </w:rPr>
        <w:t xml:space="preserve"> </w:t>
      </w:r>
      <w:r w:rsidR="00AD058E">
        <w:rPr>
          <w:rFonts w:ascii="Tahoma" w:hAnsi="Tahoma" w:cs="Tahoma"/>
        </w:rPr>
        <w:t xml:space="preserve">tres (3) </w:t>
      </w:r>
      <w:r w:rsidR="00C17EEE">
        <w:rPr>
          <w:rFonts w:ascii="Tahoma" w:hAnsi="Tahoma" w:cs="Tahoma"/>
        </w:rPr>
        <w:t>año</w:t>
      </w:r>
      <w:r w:rsidR="00AD058E">
        <w:rPr>
          <w:rFonts w:ascii="Tahoma" w:hAnsi="Tahoma" w:cs="Tahoma"/>
        </w:rPr>
        <w:t>s</w:t>
      </w:r>
      <w:r w:rsidR="00C17EEE">
        <w:rPr>
          <w:rFonts w:ascii="Tahoma" w:hAnsi="Tahoma" w:cs="Tahoma"/>
        </w:rPr>
        <w:t xml:space="preserve"> de vida, habiendo cotizado 405 semanas entre el 1 de agosto de 1978 y el 31 de diciembre de 1994, de la cuales 394,42 </w:t>
      </w:r>
      <w:r w:rsidR="00AD058E">
        <w:rPr>
          <w:rFonts w:ascii="Tahoma" w:hAnsi="Tahoma" w:cs="Tahoma"/>
        </w:rPr>
        <w:t>corresponden a las cotizaciones registradas antes del 1º de abril de 1994, fecha en que entró en vigencia la Ley 100 de 1993.</w:t>
      </w:r>
    </w:p>
    <w:p w:rsidR="00F42643" w:rsidRPr="00470EBE" w:rsidRDefault="00F42643" w:rsidP="00F42643">
      <w:pPr>
        <w:widowControl w:val="0"/>
        <w:autoSpaceDE w:val="0"/>
        <w:autoSpaceDN w:val="0"/>
        <w:adjustRightInd w:val="0"/>
        <w:spacing w:line="276" w:lineRule="auto"/>
        <w:ind w:firstLine="708"/>
        <w:jc w:val="both"/>
        <w:rPr>
          <w:rFonts w:ascii="Tahoma" w:hAnsi="Tahoma" w:cs="Tahoma"/>
        </w:rPr>
      </w:pPr>
    </w:p>
    <w:p w:rsidR="00F42643" w:rsidRPr="00470EBE" w:rsidRDefault="00F42643" w:rsidP="00F42643">
      <w:pPr>
        <w:widowControl w:val="0"/>
        <w:autoSpaceDE w:val="0"/>
        <w:autoSpaceDN w:val="0"/>
        <w:adjustRightInd w:val="0"/>
        <w:spacing w:line="276" w:lineRule="auto"/>
        <w:ind w:firstLine="708"/>
        <w:jc w:val="both"/>
        <w:rPr>
          <w:rFonts w:ascii="Tahoma" w:hAnsi="Tahoma" w:cs="Tahoma"/>
        </w:rPr>
      </w:pPr>
      <w:r w:rsidRPr="00470EBE">
        <w:rPr>
          <w:rFonts w:ascii="Tahoma" w:hAnsi="Tahoma" w:cs="Tahoma"/>
        </w:rPr>
        <w:t xml:space="preserve">Ninguno de los hechos de la demanda fue expresamente negado por Colpensiones, quien sin embargo se opuso a la prosperidad de las prestaciones, pues la pensión se negó con fundamento en la normativa vigente a la fecha del fallecimiento del afiliado. De otra parte, propuso como excepciones perentorias las que denominó estricto cumplimiento a los mandatos legales, inexistencia de la obligación demandada, prescripción y la genérica. </w:t>
      </w:r>
    </w:p>
    <w:p w:rsidR="009C50D0" w:rsidRPr="003D36AB" w:rsidRDefault="009C50D0" w:rsidP="00871F9F">
      <w:pPr>
        <w:widowControl w:val="0"/>
        <w:autoSpaceDE w:val="0"/>
        <w:autoSpaceDN w:val="0"/>
        <w:adjustRightInd w:val="0"/>
        <w:spacing w:line="276" w:lineRule="auto"/>
        <w:ind w:firstLine="708"/>
        <w:jc w:val="both"/>
        <w:rPr>
          <w:rFonts w:ascii="Tahoma" w:hAnsi="Tahoma" w:cs="Tahoma"/>
        </w:rPr>
      </w:pPr>
    </w:p>
    <w:p w:rsidR="009C50D0" w:rsidRPr="00DD6F75" w:rsidRDefault="009C50D0" w:rsidP="00871F9F">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rPr>
      </w:pPr>
      <w:r w:rsidRPr="00DD6F75">
        <w:rPr>
          <w:rFonts w:ascii="Tahoma" w:hAnsi="Tahoma" w:cs="Tahoma"/>
          <w:b/>
          <w:caps/>
        </w:rPr>
        <w:t>La sentencia de primera instancia</w:t>
      </w:r>
    </w:p>
    <w:p w:rsidR="009C50D0" w:rsidRDefault="009C50D0" w:rsidP="00871F9F">
      <w:pPr>
        <w:tabs>
          <w:tab w:val="left" w:pos="748"/>
        </w:tabs>
        <w:spacing w:line="276" w:lineRule="auto"/>
        <w:ind w:firstLine="1122"/>
        <w:jc w:val="both"/>
        <w:rPr>
          <w:rFonts w:ascii="Tahoma" w:hAnsi="Tahoma" w:cs="Tahoma"/>
        </w:rPr>
      </w:pPr>
    </w:p>
    <w:p w:rsidR="00041EC9" w:rsidRDefault="00276CCA" w:rsidP="00E5584B">
      <w:pPr>
        <w:tabs>
          <w:tab w:val="left" w:pos="748"/>
        </w:tabs>
        <w:spacing w:line="276" w:lineRule="auto"/>
        <w:ind w:firstLine="709"/>
        <w:jc w:val="both"/>
        <w:rPr>
          <w:rFonts w:ascii="Tahoma" w:hAnsi="Tahoma" w:cs="Tahoma"/>
        </w:rPr>
      </w:pPr>
      <w:r>
        <w:rPr>
          <w:rFonts w:ascii="Tahoma" w:hAnsi="Tahoma" w:cs="Tahoma"/>
        </w:rPr>
        <w:t xml:space="preserve">La Jueza de conocimiento </w:t>
      </w:r>
      <w:r w:rsidR="009C5DC2">
        <w:rPr>
          <w:rFonts w:ascii="Tahoma" w:hAnsi="Tahoma" w:cs="Tahoma"/>
        </w:rPr>
        <w:t xml:space="preserve">negó las pretensiones de </w:t>
      </w:r>
      <w:r w:rsidR="00E5584B">
        <w:rPr>
          <w:rFonts w:ascii="Tahoma" w:hAnsi="Tahoma" w:cs="Tahoma"/>
        </w:rPr>
        <w:t xml:space="preserve">la demandante y la </w:t>
      </w:r>
      <w:r w:rsidR="00021B2B">
        <w:rPr>
          <w:rFonts w:ascii="Tahoma" w:hAnsi="Tahoma" w:cs="Tahoma"/>
        </w:rPr>
        <w:t>condenó al</w:t>
      </w:r>
      <w:r w:rsidR="00E5584B">
        <w:rPr>
          <w:rFonts w:ascii="Tahoma" w:hAnsi="Tahoma" w:cs="Tahoma"/>
        </w:rPr>
        <w:t xml:space="preserve"> </w:t>
      </w:r>
      <w:r w:rsidR="00994D91">
        <w:rPr>
          <w:rFonts w:ascii="Tahoma" w:hAnsi="Tahoma" w:cs="Tahoma"/>
        </w:rPr>
        <w:t xml:space="preserve">pago de las costas procesales </w:t>
      </w:r>
      <w:r w:rsidR="00C97D28">
        <w:rPr>
          <w:rFonts w:ascii="Tahoma" w:hAnsi="Tahoma" w:cs="Tahoma"/>
        </w:rPr>
        <w:t>a</w:t>
      </w:r>
      <w:r w:rsidR="00021B2B">
        <w:rPr>
          <w:rFonts w:ascii="Tahoma" w:hAnsi="Tahoma" w:cs="Tahoma"/>
        </w:rPr>
        <w:t xml:space="preserve"> favor de la accionada.</w:t>
      </w:r>
      <w:r w:rsidR="00E5584B">
        <w:rPr>
          <w:rFonts w:ascii="Tahoma" w:hAnsi="Tahoma" w:cs="Tahoma"/>
        </w:rPr>
        <w:t xml:space="preserve"> </w:t>
      </w:r>
      <w:r w:rsidR="00021B2B">
        <w:rPr>
          <w:rFonts w:ascii="Tahoma" w:hAnsi="Tahoma" w:cs="Tahoma"/>
        </w:rPr>
        <w:t>Para</w:t>
      </w:r>
      <w:r w:rsidR="00671614">
        <w:rPr>
          <w:rFonts w:ascii="Tahoma" w:hAnsi="Tahoma" w:cs="Tahoma"/>
        </w:rPr>
        <w:t xml:space="preserve"> llegar a tal determinación</w:t>
      </w:r>
      <w:r w:rsidR="00E5584B">
        <w:rPr>
          <w:rFonts w:ascii="Tahoma" w:hAnsi="Tahoma" w:cs="Tahoma"/>
        </w:rPr>
        <w:t xml:space="preserve"> consideró, en síntesis, que la</w:t>
      </w:r>
      <w:r w:rsidR="00021B2B">
        <w:rPr>
          <w:rFonts w:ascii="Tahoma" w:hAnsi="Tahoma" w:cs="Tahoma"/>
        </w:rPr>
        <w:t xml:space="preserve"> demandante no cumplía</w:t>
      </w:r>
      <w:r w:rsidR="00E5584B">
        <w:rPr>
          <w:rFonts w:ascii="Tahoma" w:hAnsi="Tahoma" w:cs="Tahoma"/>
        </w:rPr>
        <w:t xml:space="preserve"> con</w:t>
      </w:r>
      <w:r w:rsidR="00021B2B">
        <w:rPr>
          <w:rFonts w:ascii="Tahoma" w:hAnsi="Tahoma" w:cs="Tahoma"/>
        </w:rPr>
        <w:t xml:space="preserve"> los requisitos establecidos jurisprudencialmente por la Sala de Casación Laboral de la Corte Suprema de Justicia para a</w:t>
      </w:r>
      <w:r w:rsidR="00E5584B">
        <w:rPr>
          <w:rFonts w:ascii="Tahoma" w:hAnsi="Tahoma" w:cs="Tahoma"/>
        </w:rPr>
        <w:t>cceder a la pensión de sobreviviente</w:t>
      </w:r>
      <w:r w:rsidR="00021B2B">
        <w:rPr>
          <w:rFonts w:ascii="Tahoma" w:hAnsi="Tahoma" w:cs="Tahoma"/>
        </w:rPr>
        <w:t xml:space="preserve"> en aplicación del principio de la condición más beneficiosa, pues</w:t>
      </w:r>
      <w:r w:rsidR="00E5584B">
        <w:rPr>
          <w:rFonts w:ascii="Tahoma" w:hAnsi="Tahoma" w:cs="Tahoma"/>
        </w:rPr>
        <w:t xml:space="preserve"> su esposo</w:t>
      </w:r>
      <w:r w:rsidR="00021B2B">
        <w:rPr>
          <w:rFonts w:ascii="Tahoma" w:hAnsi="Tahoma" w:cs="Tahoma"/>
        </w:rPr>
        <w:t xml:space="preserve"> </w:t>
      </w:r>
      <w:r w:rsidR="00E5584B">
        <w:rPr>
          <w:rFonts w:ascii="Tahoma" w:hAnsi="Tahoma" w:cs="Tahoma"/>
        </w:rPr>
        <w:t>carecía de 50</w:t>
      </w:r>
      <w:r w:rsidR="00A579E0">
        <w:rPr>
          <w:rFonts w:ascii="Tahoma" w:hAnsi="Tahoma" w:cs="Tahoma"/>
        </w:rPr>
        <w:t xml:space="preserve"> semanas cotizadas e</w:t>
      </w:r>
      <w:r w:rsidR="00E5584B">
        <w:rPr>
          <w:rFonts w:ascii="Tahoma" w:hAnsi="Tahoma" w:cs="Tahoma"/>
        </w:rPr>
        <w:t>n los tres años anteriores al deceso</w:t>
      </w:r>
      <w:r w:rsidR="001B0081">
        <w:rPr>
          <w:rFonts w:ascii="Tahoma" w:hAnsi="Tahoma" w:cs="Tahoma"/>
        </w:rPr>
        <w:t>. Así mismo, refirió que no era posible acudir al contenido del Acuerdo 049 de 1990</w:t>
      </w:r>
      <w:r w:rsidR="00E5584B">
        <w:rPr>
          <w:rFonts w:ascii="Tahoma" w:hAnsi="Tahoma" w:cs="Tahoma"/>
        </w:rPr>
        <w:t xml:space="preserve"> porque</w:t>
      </w:r>
      <w:r w:rsidR="00C97D28">
        <w:rPr>
          <w:rFonts w:ascii="Tahoma" w:hAnsi="Tahoma" w:cs="Tahoma"/>
        </w:rPr>
        <w:t>, según lo indicado por la</w:t>
      </w:r>
      <w:r w:rsidR="00E5584B">
        <w:rPr>
          <w:rFonts w:ascii="Tahoma" w:hAnsi="Tahoma" w:cs="Tahoma"/>
        </w:rPr>
        <w:t xml:space="preserve"> mencionada</w:t>
      </w:r>
      <w:r w:rsidR="008F610D">
        <w:rPr>
          <w:rFonts w:ascii="Tahoma" w:hAnsi="Tahoma" w:cs="Tahoma"/>
        </w:rPr>
        <w:t xml:space="preserve"> </w:t>
      </w:r>
      <w:r w:rsidR="00E5584B">
        <w:rPr>
          <w:rFonts w:ascii="Tahoma" w:hAnsi="Tahoma" w:cs="Tahoma"/>
        </w:rPr>
        <w:t>corporación</w:t>
      </w:r>
      <w:r w:rsidR="00C97D28">
        <w:rPr>
          <w:rFonts w:ascii="Tahoma" w:hAnsi="Tahoma" w:cs="Tahoma"/>
        </w:rPr>
        <w:t xml:space="preserve"> judicial,</w:t>
      </w:r>
      <w:r w:rsidR="001B0081">
        <w:rPr>
          <w:rFonts w:ascii="Tahoma" w:hAnsi="Tahoma" w:cs="Tahoma"/>
        </w:rPr>
        <w:t xml:space="preserve"> </w:t>
      </w:r>
      <w:r w:rsidR="008F610D">
        <w:rPr>
          <w:rFonts w:ascii="Tahoma" w:hAnsi="Tahoma" w:cs="Tahoma"/>
        </w:rPr>
        <w:t>no es dable buscar indefinidamente la norma que mej</w:t>
      </w:r>
      <w:r w:rsidR="00E5584B">
        <w:rPr>
          <w:rFonts w:ascii="Tahoma" w:hAnsi="Tahoma" w:cs="Tahoma"/>
        </w:rPr>
        <w:t>or se adapte a los intereses de la</w:t>
      </w:r>
      <w:r w:rsidR="008F610D">
        <w:rPr>
          <w:rFonts w:ascii="Tahoma" w:hAnsi="Tahoma" w:cs="Tahoma"/>
        </w:rPr>
        <w:t xml:space="preserve"> demandante</w:t>
      </w:r>
      <w:r w:rsidR="00A579E0">
        <w:rPr>
          <w:rFonts w:ascii="Tahoma" w:hAnsi="Tahoma" w:cs="Tahoma"/>
        </w:rPr>
        <w:t xml:space="preserve">, como quiera </w:t>
      </w:r>
      <w:r w:rsidR="008F610D">
        <w:rPr>
          <w:rFonts w:ascii="Tahoma" w:hAnsi="Tahoma" w:cs="Tahoma"/>
        </w:rPr>
        <w:t xml:space="preserve">que </w:t>
      </w:r>
      <w:r w:rsidR="00A579E0">
        <w:rPr>
          <w:rFonts w:ascii="Tahoma" w:hAnsi="Tahoma" w:cs="Tahoma"/>
        </w:rPr>
        <w:t xml:space="preserve">con </w:t>
      </w:r>
      <w:r w:rsidR="008F610D">
        <w:rPr>
          <w:rFonts w:ascii="Tahoma" w:hAnsi="Tahoma" w:cs="Tahoma"/>
        </w:rPr>
        <w:t xml:space="preserve">ello </w:t>
      </w:r>
      <w:r w:rsidR="00A579E0">
        <w:rPr>
          <w:rFonts w:ascii="Tahoma" w:hAnsi="Tahoma" w:cs="Tahoma"/>
        </w:rPr>
        <w:t xml:space="preserve">se </w:t>
      </w:r>
      <w:r w:rsidR="008F610D">
        <w:rPr>
          <w:rFonts w:ascii="Tahoma" w:hAnsi="Tahoma" w:cs="Tahoma"/>
        </w:rPr>
        <w:t xml:space="preserve">afectaría la sostenibilidad </w:t>
      </w:r>
      <w:r w:rsidR="00E5584B">
        <w:rPr>
          <w:rFonts w:ascii="Tahoma" w:hAnsi="Tahoma" w:cs="Tahoma"/>
        </w:rPr>
        <w:t xml:space="preserve">financiera </w:t>
      </w:r>
      <w:r w:rsidR="008F610D">
        <w:rPr>
          <w:rFonts w:ascii="Tahoma" w:hAnsi="Tahoma" w:cs="Tahoma"/>
        </w:rPr>
        <w:t>del sistema.</w:t>
      </w:r>
    </w:p>
    <w:p w:rsidR="008F610D" w:rsidRDefault="008F610D" w:rsidP="00276CCA">
      <w:pPr>
        <w:tabs>
          <w:tab w:val="left" w:pos="748"/>
        </w:tabs>
        <w:spacing w:line="276" w:lineRule="auto"/>
        <w:ind w:firstLine="709"/>
        <w:jc w:val="both"/>
        <w:rPr>
          <w:rFonts w:ascii="Tahoma" w:hAnsi="Tahoma" w:cs="Tahoma"/>
        </w:rPr>
      </w:pPr>
    </w:p>
    <w:p w:rsidR="009C50D0" w:rsidRDefault="003224D5" w:rsidP="00871F9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rPr>
      </w:pPr>
      <w:r w:rsidRPr="00DD6F75">
        <w:rPr>
          <w:rFonts w:ascii="Tahoma" w:hAnsi="Tahoma" w:cs="Tahoma"/>
          <w:b/>
          <w:caps/>
        </w:rPr>
        <w:t>Recurso de apelación</w:t>
      </w:r>
    </w:p>
    <w:p w:rsidR="00A45462" w:rsidRDefault="00A45462" w:rsidP="00A45462">
      <w:pPr>
        <w:widowControl w:val="0"/>
        <w:autoSpaceDE w:val="0"/>
        <w:autoSpaceDN w:val="0"/>
        <w:adjustRightInd w:val="0"/>
        <w:spacing w:line="276" w:lineRule="auto"/>
        <w:jc w:val="center"/>
        <w:rPr>
          <w:rFonts w:ascii="Tahoma" w:hAnsi="Tahoma" w:cs="Tahoma"/>
          <w:b/>
          <w:caps/>
        </w:rPr>
      </w:pPr>
    </w:p>
    <w:p w:rsidR="00A45462" w:rsidRPr="00A45462" w:rsidRDefault="00A45462" w:rsidP="00A45462">
      <w:pPr>
        <w:spacing w:line="276" w:lineRule="auto"/>
        <w:ind w:firstLine="708"/>
        <w:jc w:val="both"/>
        <w:rPr>
          <w:rFonts w:ascii="Tahoma" w:hAnsi="Tahoma" w:cs="Tahoma"/>
        </w:rPr>
      </w:pPr>
      <w:r w:rsidRPr="007B15A9">
        <w:rPr>
          <w:rFonts w:ascii="Tahoma" w:hAnsi="Tahoma" w:cs="Tahoma"/>
        </w:rPr>
        <w:t>El apelante se limitó a señalar que la Corte Constitucional</w:t>
      </w:r>
      <w:r>
        <w:rPr>
          <w:rFonts w:ascii="Tahoma" w:hAnsi="Tahoma" w:cs="Tahoma"/>
        </w:rPr>
        <w:t>, al igual que la Sala Laboral mayoritaria de este Tribunal Superior,</w:t>
      </w:r>
      <w:r w:rsidRPr="007B15A9">
        <w:rPr>
          <w:rFonts w:ascii="Tahoma" w:hAnsi="Tahoma" w:cs="Tahoma"/>
        </w:rPr>
        <w:t xml:space="preserve"> ha establecido la aplicación de la condición más beneficiosa en materia de pensiones de sobreviviente</w:t>
      </w:r>
      <w:r w:rsidR="002B01E9">
        <w:rPr>
          <w:rFonts w:ascii="Tahoma" w:hAnsi="Tahoma" w:cs="Tahoma"/>
        </w:rPr>
        <w:t>, incluso en eventos en que la sucesión normativa no es inmediata</w:t>
      </w:r>
      <w:r w:rsidRPr="007B15A9">
        <w:rPr>
          <w:rFonts w:ascii="Tahoma" w:hAnsi="Tahoma" w:cs="Tahoma"/>
        </w:rPr>
        <w:t>.</w:t>
      </w:r>
    </w:p>
    <w:p w:rsidR="009C50D0" w:rsidRPr="00DD6F75" w:rsidRDefault="009C50D0" w:rsidP="00871F9F">
      <w:pPr>
        <w:widowControl w:val="0"/>
        <w:autoSpaceDE w:val="0"/>
        <w:autoSpaceDN w:val="0"/>
        <w:adjustRightInd w:val="0"/>
        <w:spacing w:line="276" w:lineRule="auto"/>
        <w:ind w:firstLine="1122"/>
        <w:jc w:val="both"/>
        <w:rPr>
          <w:rFonts w:ascii="Tahoma" w:hAnsi="Tahoma" w:cs="Tahoma"/>
          <w:caps/>
        </w:rPr>
      </w:pPr>
    </w:p>
    <w:p w:rsidR="009C50D0" w:rsidRPr="00DD6F75" w:rsidRDefault="00DD6F75" w:rsidP="00DD6F75">
      <w:pPr>
        <w:spacing w:line="276" w:lineRule="auto"/>
        <w:jc w:val="center"/>
        <w:rPr>
          <w:rFonts w:ascii="Tahoma" w:hAnsi="Tahoma" w:cs="Tahoma"/>
          <w:b/>
          <w:caps/>
        </w:rPr>
      </w:pPr>
      <w:r w:rsidRPr="00DD6F75">
        <w:rPr>
          <w:rFonts w:ascii="Tahoma" w:hAnsi="Tahoma" w:cs="Tahoma"/>
          <w:b/>
          <w:caps/>
        </w:rPr>
        <w:t>IV</w:t>
      </w:r>
      <w:r>
        <w:rPr>
          <w:rFonts w:ascii="Tahoma" w:hAnsi="Tahoma" w:cs="Tahoma"/>
          <w:caps/>
        </w:rPr>
        <w:t xml:space="preserve">- </w:t>
      </w:r>
      <w:r w:rsidR="009C50D0" w:rsidRPr="00DD6F75">
        <w:rPr>
          <w:rFonts w:ascii="Tahoma" w:hAnsi="Tahoma" w:cs="Tahoma"/>
          <w:b/>
          <w:caps/>
        </w:rPr>
        <w:t>Consideraciones</w:t>
      </w:r>
    </w:p>
    <w:p w:rsidR="009C50D0" w:rsidRPr="00DD6F75" w:rsidRDefault="009C50D0" w:rsidP="00871F9F">
      <w:pPr>
        <w:tabs>
          <w:tab w:val="left" w:pos="567"/>
        </w:tabs>
        <w:spacing w:line="276" w:lineRule="auto"/>
        <w:jc w:val="both"/>
        <w:rPr>
          <w:rFonts w:ascii="Tahoma" w:hAnsi="Tahoma" w:cs="Tahoma"/>
          <w:caps/>
        </w:rPr>
      </w:pPr>
      <w:r w:rsidRPr="00DD6F75">
        <w:rPr>
          <w:rFonts w:ascii="Tahoma" w:hAnsi="Tahoma" w:cs="Tahoma"/>
          <w:caps/>
        </w:rPr>
        <w:tab/>
      </w:r>
    </w:p>
    <w:p w:rsidR="00C97D28" w:rsidRDefault="00C97D28" w:rsidP="00A45462">
      <w:pPr>
        <w:pStyle w:val="Prrafodelista"/>
        <w:numPr>
          <w:ilvl w:val="1"/>
          <w:numId w:val="3"/>
        </w:numPr>
        <w:tabs>
          <w:tab w:val="left" w:pos="748"/>
          <w:tab w:val="num" w:pos="1122"/>
        </w:tabs>
        <w:spacing w:line="360" w:lineRule="auto"/>
        <w:jc w:val="both"/>
        <w:rPr>
          <w:rFonts w:ascii="Tahoma" w:hAnsi="Tahoma" w:cs="Tahoma"/>
          <w:b/>
        </w:rPr>
      </w:pPr>
      <w:r w:rsidRPr="007B15A9">
        <w:rPr>
          <w:rFonts w:ascii="Tahoma" w:hAnsi="Tahoma" w:cs="Tahoma"/>
          <w:b/>
        </w:rPr>
        <w:t xml:space="preserve">Supuestos fácticos probados </w:t>
      </w:r>
    </w:p>
    <w:p w:rsidR="00A45462" w:rsidRPr="00A45462" w:rsidRDefault="00A45462" w:rsidP="00DC6ACC">
      <w:pPr>
        <w:tabs>
          <w:tab w:val="left" w:pos="748"/>
        </w:tabs>
        <w:jc w:val="both"/>
        <w:rPr>
          <w:rFonts w:ascii="Tahoma" w:hAnsi="Tahoma" w:cs="Tahoma"/>
          <w:b/>
        </w:rPr>
      </w:pPr>
    </w:p>
    <w:p w:rsidR="002B01E9" w:rsidRPr="00470EBE" w:rsidRDefault="00C97D28" w:rsidP="002B01E9">
      <w:pPr>
        <w:widowControl w:val="0"/>
        <w:autoSpaceDE w:val="0"/>
        <w:autoSpaceDN w:val="0"/>
        <w:adjustRightInd w:val="0"/>
        <w:spacing w:line="276" w:lineRule="auto"/>
        <w:ind w:firstLine="708"/>
        <w:jc w:val="both"/>
        <w:rPr>
          <w:rFonts w:ascii="Tahoma" w:hAnsi="Tahoma" w:cs="Tahoma"/>
        </w:rPr>
      </w:pPr>
      <w:r w:rsidRPr="007B15A9">
        <w:rPr>
          <w:rFonts w:ascii="Tahoma" w:hAnsi="Tahoma" w:cs="Tahoma"/>
        </w:rPr>
        <w:t xml:space="preserve">No existe discusión alguna en el presente asunto respecto a los siguientes supuestos </w:t>
      </w:r>
      <w:r w:rsidRPr="007B15A9">
        <w:rPr>
          <w:rFonts w:ascii="Tahoma" w:hAnsi="Tahoma" w:cs="Tahoma"/>
        </w:rPr>
        <w:lastRenderedPageBreak/>
        <w:t xml:space="preserve">fácticos: </w:t>
      </w:r>
      <w:r w:rsidRPr="007B15A9">
        <w:rPr>
          <w:rFonts w:ascii="Tahoma" w:hAnsi="Tahoma" w:cs="Tahoma"/>
          <w:i/>
        </w:rPr>
        <w:t>i)</w:t>
      </w:r>
      <w:r w:rsidRPr="007B15A9">
        <w:rPr>
          <w:rFonts w:ascii="Tahoma" w:hAnsi="Tahoma" w:cs="Tahoma"/>
        </w:rPr>
        <w:t xml:space="preserve"> que el señor </w:t>
      </w:r>
      <w:r>
        <w:rPr>
          <w:rFonts w:ascii="Tahoma" w:hAnsi="Tahoma" w:cs="Tahoma"/>
        </w:rPr>
        <w:t>ALFONSO ALDANA SUARÉZ</w:t>
      </w:r>
      <w:r w:rsidRPr="007B15A9">
        <w:rPr>
          <w:rFonts w:ascii="Tahoma" w:hAnsi="Tahoma" w:cs="Tahoma"/>
        </w:rPr>
        <w:t xml:space="preserve"> </w:t>
      </w:r>
      <w:r>
        <w:rPr>
          <w:rFonts w:ascii="Tahoma" w:hAnsi="Tahoma" w:cs="Tahoma"/>
        </w:rPr>
        <w:t>falleció el 1º de diciembre de 2007 (Fl. 13</w:t>
      </w:r>
      <w:r w:rsidRPr="007B15A9">
        <w:rPr>
          <w:rFonts w:ascii="Tahoma" w:hAnsi="Tahoma" w:cs="Tahoma"/>
        </w:rPr>
        <w:t xml:space="preserve">); </w:t>
      </w:r>
      <w:r w:rsidRPr="007B15A9">
        <w:rPr>
          <w:rFonts w:ascii="Tahoma" w:hAnsi="Tahoma" w:cs="Tahoma"/>
          <w:i/>
        </w:rPr>
        <w:t>ii)</w:t>
      </w:r>
      <w:r>
        <w:rPr>
          <w:rFonts w:ascii="Tahoma" w:hAnsi="Tahoma" w:cs="Tahoma"/>
        </w:rPr>
        <w:t xml:space="preserve"> que el mencionado fallecido</w:t>
      </w:r>
      <w:r w:rsidRPr="007B15A9">
        <w:rPr>
          <w:rFonts w:ascii="Tahoma" w:hAnsi="Tahoma" w:cs="Tahoma"/>
        </w:rPr>
        <w:t xml:space="preserve"> y la promotora del litigio contrajeron matrimonio por el r</w:t>
      </w:r>
      <w:r>
        <w:rPr>
          <w:rFonts w:ascii="Tahoma" w:hAnsi="Tahoma" w:cs="Tahoma"/>
        </w:rPr>
        <w:t>ito católico el día 23 de mayo de 1960 (Fls. 15 y 16</w:t>
      </w:r>
      <w:r w:rsidRPr="007B15A9">
        <w:rPr>
          <w:rFonts w:ascii="Tahoma" w:hAnsi="Tahoma" w:cs="Tahoma"/>
        </w:rPr>
        <w:t xml:space="preserve">); </w:t>
      </w:r>
      <w:r w:rsidRPr="007B15A9">
        <w:rPr>
          <w:rFonts w:ascii="Tahoma" w:hAnsi="Tahoma" w:cs="Tahoma"/>
          <w:i/>
        </w:rPr>
        <w:t>iii)</w:t>
      </w:r>
      <w:r w:rsidR="00A45462">
        <w:rPr>
          <w:rFonts w:ascii="Tahoma" w:hAnsi="Tahoma" w:cs="Tahoma"/>
        </w:rPr>
        <w:t xml:space="preserve"> que</w:t>
      </w:r>
      <w:r w:rsidR="002B01E9">
        <w:rPr>
          <w:rFonts w:ascii="Tahoma" w:hAnsi="Tahoma" w:cs="Tahoma"/>
        </w:rPr>
        <w:t xml:space="preserve"> con ocasión del fallecimiento de su esposo, la demandante reclamó el 15 de febrero de 2011 a</w:t>
      </w:r>
      <w:r w:rsidR="00A45462">
        <w:rPr>
          <w:rFonts w:ascii="Tahoma" w:hAnsi="Tahoma" w:cs="Tahoma"/>
        </w:rPr>
        <w:t>nte COLPENSIONES</w:t>
      </w:r>
      <w:r w:rsidRPr="007B15A9">
        <w:rPr>
          <w:rFonts w:ascii="Tahoma" w:hAnsi="Tahoma" w:cs="Tahoma"/>
        </w:rPr>
        <w:t xml:space="preserve"> la</w:t>
      </w:r>
      <w:r>
        <w:rPr>
          <w:rFonts w:ascii="Tahoma" w:hAnsi="Tahoma" w:cs="Tahoma"/>
        </w:rPr>
        <w:t xml:space="preserve"> pensión de sobrevi</w:t>
      </w:r>
      <w:r w:rsidR="002B01E9">
        <w:rPr>
          <w:rFonts w:ascii="Tahoma" w:hAnsi="Tahoma" w:cs="Tahoma"/>
        </w:rPr>
        <w:t>vientes</w:t>
      </w:r>
      <w:r w:rsidRPr="007B15A9">
        <w:rPr>
          <w:rFonts w:ascii="Tahoma" w:hAnsi="Tahoma" w:cs="Tahoma"/>
        </w:rPr>
        <w:t xml:space="preserve">, misma que fue negada a través de la Resolución </w:t>
      </w:r>
      <w:r w:rsidR="002B01E9">
        <w:rPr>
          <w:rFonts w:ascii="Tahoma" w:hAnsi="Tahoma" w:cs="Tahoma"/>
        </w:rPr>
        <w:t>GNR 048628</w:t>
      </w:r>
      <w:r w:rsidR="002B01E9" w:rsidRPr="007B15A9">
        <w:rPr>
          <w:rFonts w:ascii="Tahoma" w:hAnsi="Tahoma" w:cs="Tahoma"/>
        </w:rPr>
        <w:t xml:space="preserve"> </w:t>
      </w:r>
      <w:r w:rsidR="002B01E9">
        <w:rPr>
          <w:rFonts w:ascii="Tahoma" w:hAnsi="Tahoma" w:cs="Tahoma"/>
        </w:rPr>
        <w:t>(Fl. 18</w:t>
      </w:r>
      <w:r w:rsidRPr="007B15A9">
        <w:rPr>
          <w:rFonts w:ascii="Tahoma" w:hAnsi="Tahoma" w:cs="Tahoma"/>
        </w:rPr>
        <w:t xml:space="preserve">) y, </w:t>
      </w:r>
      <w:r w:rsidRPr="007B15A9">
        <w:rPr>
          <w:rFonts w:ascii="Tahoma" w:hAnsi="Tahoma" w:cs="Tahoma"/>
          <w:i/>
        </w:rPr>
        <w:t>iv)</w:t>
      </w:r>
      <w:r w:rsidRPr="007B15A9">
        <w:rPr>
          <w:rFonts w:ascii="Tahoma" w:hAnsi="Tahoma" w:cs="Tahoma"/>
        </w:rPr>
        <w:t xml:space="preserve">  según se desprende del contenido de la mencionada resolución y del Reporte de Semanas Cotizadas en Pensiones Válido para prestaciones económicas,</w:t>
      </w:r>
      <w:r w:rsidRPr="007B15A9">
        <w:rPr>
          <w:rFonts w:ascii="Tahoma" w:hAnsi="Tahoma" w:cs="Tahoma"/>
          <w:i/>
        </w:rPr>
        <w:t xml:space="preserve"> </w:t>
      </w:r>
      <w:r w:rsidRPr="007B15A9">
        <w:rPr>
          <w:rFonts w:ascii="Tahoma" w:hAnsi="Tahoma" w:cs="Tahoma"/>
        </w:rPr>
        <w:t>que el causante cotizó</w:t>
      </w:r>
      <w:r w:rsidR="002B01E9">
        <w:rPr>
          <w:rFonts w:ascii="Tahoma" w:hAnsi="Tahoma" w:cs="Tahoma"/>
        </w:rPr>
        <w:t xml:space="preserve"> un total 405 semanas entre el 1 de agosto de 1978 y el 31 de diciembre de 1994, de la cuales 394,42 corresponden a las cotizaciones registradas antes del 1º de abril de 1994, fecha en que entró en vigencia la Ley 100 de 1993.</w:t>
      </w:r>
    </w:p>
    <w:p w:rsidR="00C97D28" w:rsidRPr="007B15A9" w:rsidRDefault="00C97D28" w:rsidP="00C97D28">
      <w:pPr>
        <w:widowControl w:val="0"/>
        <w:autoSpaceDE w:val="0"/>
        <w:autoSpaceDN w:val="0"/>
        <w:adjustRightInd w:val="0"/>
        <w:spacing w:line="276" w:lineRule="auto"/>
        <w:ind w:firstLine="708"/>
        <w:jc w:val="both"/>
        <w:rPr>
          <w:rFonts w:ascii="Tahoma" w:hAnsi="Tahoma" w:cs="Tahoma"/>
        </w:rPr>
      </w:pPr>
    </w:p>
    <w:p w:rsidR="00C97D28" w:rsidRDefault="00C97D28" w:rsidP="00C97D28">
      <w:pPr>
        <w:widowControl w:val="0"/>
        <w:autoSpaceDE w:val="0"/>
        <w:autoSpaceDN w:val="0"/>
        <w:adjustRightInd w:val="0"/>
        <w:spacing w:line="276" w:lineRule="auto"/>
        <w:ind w:firstLine="708"/>
        <w:jc w:val="both"/>
        <w:rPr>
          <w:rFonts w:ascii="Tahoma" w:hAnsi="Tahoma" w:cs="Tahoma"/>
        </w:rPr>
      </w:pPr>
      <w:r w:rsidRPr="007B15A9">
        <w:rPr>
          <w:rFonts w:ascii="Tahoma" w:hAnsi="Tahoma" w:cs="Tahoma"/>
        </w:rPr>
        <w:t>Hasta aquí debe decirse que, en principio, la norma aplicable es la vigente para el momento del óbito, que no es otra que la Ley 100 de 1993 con las modificaciones establecidas en el artículo 12 de la Ley 797 de 2003, la cual exige, entre otros, que el afiliado haya cotizado 50 semanas en los tres años anteriores al fallecimiento, requisito que no cumplió según quedó demostrado y aceptado, reclamándose entonces que la pensión se reconozca en aplicación del Acuerdo 049 de 1990, en virtud del principio de la condición más beneficiosa.</w:t>
      </w:r>
    </w:p>
    <w:p w:rsidR="002B01E9" w:rsidRPr="007B15A9" w:rsidRDefault="002B01E9" w:rsidP="00A37482">
      <w:pPr>
        <w:widowControl w:val="0"/>
        <w:autoSpaceDE w:val="0"/>
        <w:autoSpaceDN w:val="0"/>
        <w:adjustRightInd w:val="0"/>
        <w:spacing w:line="276" w:lineRule="auto"/>
        <w:ind w:firstLine="708"/>
        <w:jc w:val="both"/>
        <w:rPr>
          <w:rFonts w:ascii="Tahoma" w:hAnsi="Tahoma" w:cs="Tahoma"/>
        </w:rPr>
      </w:pPr>
    </w:p>
    <w:p w:rsidR="00A37482" w:rsidRDefault="00A37482" w:rsidP="00A37482">
      <w:pPr>
        <w:pStyle w:val="Prrafodelista"/>
        <w:numPr>
          <w:ilvl w:val="1"/>
          <w:numId w:val="3"/>
        </w:numPr>
        <w:tabs>
          <w:tab w:val="left" w:pos="993"/>
        </w:tabs>
        <w:spacing w:line="276" w:lineRule="auto"/>
        <w:jc w:val="both"/>
        <w:rPr>
          <w:rFonts w:ascii="Tahoma" w:hAnsi="Tahoma" w:cs="Tahoma"/>
          <w:b/>
        </w:rPr>
      </w:pPr>
      <w:r w:rsidRPr="007B15A9">
        <w:rPr>
          <w:rFonts w:ascii="Tahoma" w:hAnsi="Tahoma" w:cs="Tahoma"/>
          <w:b/>
        </w:rPr>
        <w:t>Del principio de la condición más beneficiosa</w:t>
      </w:r>
    </w:p>
    <w:p w:rsidR="00A37482" w:rsidRPr="007B15A9" w:rsidRDefault="00A37482" w:rsidP="00A37482">
      <w:pPr>
        <w:tabs>
          <w:tab w:val="left" w:pos="567"/>
        </w:tabs>
        <w:spacing w:line="276" w:lineRule="auto"/>
        <w:jc w:val="both"/>
        <w:rPr>
          <w:rFonts w:ascii="Tahoma" w:hAnsi="Tahoma" w:cs="Tahoma"/>
        </w:rPr>
      </w:pPr>
    </w:p>
    <w:p w:rsidR="00632E6A" w:rsidRPr="00CC40FD" w:rsidRDefault="00632E6A" w:rsidP="00632E6A">
      <w:pPr>
        <w:pStyle w:val="Puesto"/>
        <w:spacing w:line="276" w:lineRule="auto"/>
        <w:ind w:firstLine="708"/>
        <w:jc w:val="both"/>
        <w:rPr>
          <w:rFonts w:ascii="Tahoma" w:hAnsi="Tahoma" w:cs="Tahoma"/>
        </w:rPr>
      </w:pPr>
      <w:r w:rsidRPr="00CC40FD">
        <w:rPr>
          <w:rFonts w:ascii="Tahoma" w:hAnsi="Tahoma" w:cs="Tahoma"/>
          <w:b w:val="0"/>
        </w:rPr>
        <w:t xml:space="preserve">Si bien se ha decantado suficientemente que la normatividad aplicable a la pensión de </w:t>
      </w:r>
      <w:r>
        <w:rPr>
          <w:rFonts w:ascii="Tahoma" w:hAnsi="Tahoma" w:cs="Tahoma"/>
          <w:b w:val="0"/>
        </w:rPr>
        <w:t xml:space="preserve">invalidez </w:t>
      </w:r>
      <w:r w:rsidRPr="00CC40FD">
        <w:rPr>
          <w:rFonts w:ascii="Tahoma" w:hAnsi="Tahoma" w:cs="Tahoma"/>
          <w:b w:val="0"/>
        </w:rPr>
        <w:t xml:space="preserve">es la legislación vigente al momento del fallecimiento del afiliado, esta Sala retomó la posición según la cual, por excepción, es posible acudir a la legislación anterior con el fin de determinar la concesión o no de la gracia pensional, en aplicación del </w:t>
      </w:r>
      <w:r w:rsidRPr="00CC40FD">
        <w:rPr>
          <w:rFonts w:ascii="Tahoma" w:hAnsi="Tahoma" w:cs="Tahoma"/>
          <w:b w:val="0"/>
          <w:i/>
        </w:rPr>
        <w:t>“Principio de la condición más beneficiosa</w:t>
      </w:r>
      <w:r w:rsidRPr="00CC40FD">
        <w:rPr>
          <w:rFonts w:ascii="Tahoma" w:hAnsi="Tahoma" w:cs="Tahoma"/>
          <w:b w:val="0"/>
        </w:rPr>
        <w:t>”.</w:t>
      </w:r>
    </w:p>
    <w:p w:rsidR="00632E6A" w:rsidRPr="007B15A9" w:rsidRDefault="00632E6A" w:rsidP="00632E6A">
      <w:pPr>
        <w:spacing w:line="276" w:lineRule="auto"/>
        <w:jc w:val="both"/>
        <w:rPr>
          <w:rFonts w:ascii="Tahoma" w:hAnsi="Tahoma" w:cs="Tahoma"/>
        </w:rPr>
      </w:pPr>
    </w:p>
    <w:p w:rsidR="002D2741" w:rsidRDefault="00632E6A" w:rsidP="00632E6A">
      <w:pPr>
        <w:spacing w:line="276" w:lineRule="auto"/>
        <w:ind w:firstLine="708"/>
        <w:jc w:val="both"/>
        <w:rPr>
          <w:rFonts w:ascii="Tahoma" w:hAnsi="Tahoma" w:cs="Tahoma"/>
          <w:spacing w:val="-2"/>
        </w:rPr>
      </w:pPr>
      <w:r w:rsidRPr="007B15A9">
        <w:rPr>
          <w:rFonts w:ascii="Tahoma" w:hAnsi="Tahoma" w:cs="Tahoma"/>
          <w:spacing w:val="-2"/>
        </w:rPr>
        <w:t xml:space="preserve">La Sala de Casación Laboral de la Corte Suprema de Justicia en reiteradas oportunidades acogió este principio, aplicándolo al comienzo en el tránsito del Acuerdo 049 de </w:t>
      </w:r>
      <w:smartTag w:uri="urn:schemas-microsoft-com:office:smarttags" w:element="metricconverter">
        <w:smartTagPr>
          <w:attr w:name="ProductID" w:val="1990 a"/>
        </w:smartTagPr>
        <w:r w:rsidRPr="007B15A9">
          <w:rPr>
            <w:rFonts w:ascii="Tahoma" w:hAnsi="Tahoma" w:cs="Tahoma"/>
            <w:spacing w:val="-2"/>
          </w:rPr>
          <w:t>1990 a</w:t>
        </w:r>
      </w:smartTag>
      <w:r w:rsidRPr="007B15A9">
        <w:rPr>
          <w:rFonts w:ascii="Tahoma" w:hAnsi="Tahoma" w:cs="Tahoma"/>
          <w:spacing w:val="-2"/>
        </w:rPr>
        <w:t xml:space="preserve"> la Ley 100 de 1993, cuando el óbito o el hecho incapacitante, según</w:t>
      </w:r>
      <w:r w:rsidR="002D2741">
        <w:rPr>
          <w:rFonts w:ascii="Tahoma" w:hAnsi="Tahoma" w:cs="Tahoma"/>
          <w:spacing w:val="-2"/>
        </w:rPr>
        <w:t xml:space="preserve"> sea</w:t>
      </w:r>
      <w:r w:rsidRPr="007B15A9">
        <w:rPr>
          <w:rFonts w:ascii="Tahoma" w:hAnsi="Tahoma" w:cs="Tahoma"/>
          <w:spacing w:val="-2"/>
        </w:rPr>
        <w:t xml:space="preserve">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1993 y 150 semanas dentro de los 6 años que siguieron a esa fecha. </w:t>
      </w:r>
    </w:p>
    <w:p w:rsidR="002D2741" w:rsidRDefault="002D2741" w:rsidP="00632E6A">
      <w:pPr>
        <w:spacing w:line="276" w:lineRule="auto"/>
        <w:ind w:firstLine="708"/>
        <w:jc w:val="both"/>
        <w:rPr>
          <w:rFonts w:ascii="Tahoma" w:hAnsi="Tahoma" w:cs="Tahoma"/>
          <w:spacing w:val="-2"/>
        </w:rPr>
      </w:pPr>
    </w:p>
    <w:p w:rsidR="00632E6A" w:rsidRDefault="00632E6A" w:rsidP="00632E6A">
      <w:pPr>
        <w:spacing w:line="276" w:lineRule="auto"/>
        <w:ind w:firstLine="708"/>
        <w:jc w:val="both"/>
        <w:rPr>
          <w:rFonts w:ascii="Tahoma" w:hAnsi="Tahoma" w:cs="Tahoma"/>
          <w:spacing w:val="-2"/>
        </w:rPr>
      </w:pPr>
      <w:r w:rsidRPr="007B15A9">
        <w:rPr>
          <w:rFonts w:ascii="Tahoma" w:hAnsi="Tahoma" w:cs="Tahoma"/>
          <w:spacing w:val="-2"/>
        </w:rPr>
        <w:t xml:space="preserve">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 en el año inmediatamente anterior a la muerte o la estructuración de la invalidez y la misma cantidad en el año anterior a la entrada en vigencia de las leyes 797 y 860 de 2003. </w:t>
      </w:r>
    </w:p>
    <w:p w:rsidR="00632E6A" w:rsidRDefault="00632E6A" w:rsidP="00632E6A">
      <w:pPr>
        <w:spacing w:line="276" w:lineRule="auto"/>
        <w:ind w:firstLine="708"/>
        <w:jc w:val="both"/>
        <w:rPr>
          <w:rFonts w:ascii="Tahoma" w:hAnsi="Tahoma" w:cs="Tahoma"/>
          <w:spacing w:val="-2"/>
        </w:rPr>
      </w:pPr>
    </w:p>
    <w:p w:rsidR="00632E6A" w:rsidRDefault="00632E6A" w:rsidP="00632E6A">
      <w:pPr>
        <w:spacing w:line="276" w:lineRule="auto"/>
        <w:ind w:firstLine="708"/>
        <w:jc w:val="both"/>
        <w:rPr>
          <w:rFonts w:ascii="Tahoma" w:hAnsi="Tahoma" w:cs="Tahoma"/>
          <w:spacing w:val="-2"/>
        </w:rPr>
      </w:pPr>
      <w:r>
        <w:rPr>
          <w:rFonts w:ascii="Tahoma" w:hAnsi="Tahoma" w:cs="Tahoma"/>
          <w:spacing w:val="-2"/>
        </w:rPr>
        <w:t>Resulta relevante manifestar que dicha Corporación acepta el principio de la condición más beneficiosa pero sólo para aplicar ultractivamente la norma inmediatamente anterior. Ello quiere decir, por ejemplo, que la Corte Suprema de Justicia no acepta la aplicación del Acuerdo 049 de 1990 si la muerte o la estructuración de la invalidez, según el caso, ocurre en vigencia de la Ley 797 u 860 de 2003, porque según su tesi</w:t>
      </w:r>
      <w:r w:rsidR="00C86097">
        <w:rPr>
          <w:rFonts w:ascii="Tahoma" w:hAnsi="Tahoma" w:cs="Tahoma"/>
          <w:spacing w:val="-2"/>
        </w:rPr>
        <w:t>s está de por medio la</w:t>
      </w:r>
      <w:r>
        <w:rPr>
          <w:rFonts w:ascii="Tahoma" w:hAnsi="Tahoma" w:cs="Tahoma"/>
          <w:spacing w:val="-2"/>
        </w:rPr>
        <w:t xml:space="preserve"> Ley 100</w:t>
      </w:r>
      <w:r w:rsidR="00C86097">
        <w:rPr>
          <w:rFonts w:ascii="Tahoma" w:hAnsi="Tahoma" w:cs="Tahoma"/>
          <w:spacing w:val="-2"/>
        </w:rPr>
        <w:t xml:space="preserve"> de 1993</w:t>
      </w:r>
      <w:r>
        <w:rPr>
          <w:rFonts w:ascii="Tahoma" w:hAnsi="Tahoma" w:cs="Tahoma"/>
          <w:spacing w:val="-2"/>
        </w:rPr>
        <w:t xml:space="preserve"> en su versión original. En cambio</w:t>
      </w:r>
      <w:r w:rsidR="00C86097">
        <w:rPr>
          <w:rFonts w:ascii="Tahoma" w:hAnsi="Tahoma" w:cs="Tahoma"/>
          <w:spacing w:val="-2"/>
        </w:rPr>
        <w:t>,</w:t>
      </w:r>
      <w:r>
        <w:rPr>
          <w:rFonts w:ascii="Tahoma" w:hAnsi="Tahoma" w:cs="Tahoma"/>
          <w:spacing w:val="-2"/>
        </w:rPr>
        <w:t xml:space="preserve"> la Corte Constitucional en sentencias de tutela ha ido mucho más </w:t>
      </w:r>
      <w:r>
        <w:rPr>
          <w:rFonts w:ascii="Tahoma" w:hAnsi="Tahoma" w:cs="Tahoma"/>
          <w:spacing w:val="-2"/>
        </w:rPr>
        <w:lastRenderedPageBreak/>
        <w:t>lejos al aplicar una norma anterior, independientemente si es inmediata o no, bajo la tesis de que el artículo 53 de la Constitución no restringe la aplicación de la condición más beneficiosa a sólo 2 normas aplicables al caso, apartándose de la interpretación de la Corte Suprema de Justicia por considerarla menos favorable que la asumida por esa Colegiatura. Así lo estipuló en la sentencia T-566 de 2014:</w:t>
      </w:r>
    </w:p>
    <w:p w:rsidR="00632E6A" w:rsidRDefault="00632E6A" w:rsidP="00632E6A">
      <w:pPr>
        <w:spacing w:line="276" w:lineRule="auto"/>
        <w:ind w:firstLine="708"/>
        <w:jc w:val="both"/>
        <w:rPr>
          <w:rFonts w:ascii="Tahoma" w:hAnsi="Tahoma" w:cs="Tahoma"/>
          <w:spacing w:val="-2"/>
        </w:rPr>
      </w:pPr>
    </w:p>
    <w:p w:rsidR="00632E6A" w:rsidRPr="00F353FD" w:rsidRDefault="00632E6A" w:rsidP="00632E6A">
      <w:pPr>
        <w:overflowPunct w:val="0"/>
        <w:autoSpaceDE w:val="0"/>
        <w:autoSpaceDN w:val="0"/>
        <w:adjustRightInd w:val="0"/>
        <w:ind w:left="708"/>
        <w:jc w:val="both"/>
        <w:textAlignment w:val="baseline"/>
        <w:rPr>
          <w:rFonts w:ascii="Arial Narrow" w:eastAsia="MS Mincho" w:hAnsi="Arial Narrow"/>
          <w:i/>
          <w:lang w:val="es-CO"/>
        </w:rPr>
      </w:pPr>
      <w:r w:rsidRPr="00F353FD">
        <w:rPr>
          <w:rFonts w:ascii="Arial Narrow" w:eastAsia="MS Mincho" w:hAnsi="Arial Narrow"/>
          <w:i/>
          <w:lang w:val="es-CO"/>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632E6A" w:rsidRPr="00F353FD" w:rsidRDefault="00632E6A" w:rsidP="00632E6A">
      <w:pPr>
        <w:overflowPunct w:val="0"/>
        <w:autoSpaceDE w:val="0"/>
        <w:autoSpaceDN w:val="0"/>
        <w:adjustRightInd w:val="0"/>
        <w:ind w:left="708"/>
        <w:jc w:val="both"/>
        <w:textAlignment w:val="baseline"/>
        <w:rPr>
          <w:rFonts w:ascii="Arial Narrow" w:eastAsia="MS Mincho" w:hAnsi="Arial Narrow"/>
          <w:i/>
          <w:lang w:val="es-CO"/>
        </w:rPr>
      </w:pPr>
    </w:p>
    <w:p w:rsidR="00632E6A" w:rsidRPr="00B93073" w:rsidRDefault="00632E6A" w:rsidP="00B93073">
      <w:pPr>
        <w:ind w:left="709"/>
        <w:jc w:val="both"/>
        <w:rPr>
          <w:rFonts w:ascii="Arial Narrow" w:eastAsia="MS Mincho" w:hAnsi="Arial Narrow"/>
          <w:i/>
          <w:lang w:val="es-CO"/>
        </w:rPr>
      </w:pPr>
      <w:r w:rsidRPr="00F353FD">
        <w:rPr>
          <w:rFonts w:ascii="Arial Narrow" w:eastAsia="MS Mincho" w:hAnsi="Arial Narrow"/>
          <w:i/>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w:t>
      </w:r>
      <w:r>
        <w:rPr>
          <w:rFonts w:ascii="Arial Narrow" w:eastAsia="MS Mincho" w:hAnsi="Arial Narrow"/>
          <w:i/>
          <w:lang w:val="es-CO"/>
        </w:rPr>
        <w:t xml:space="preserve"> (…)”</w:t>
      </w:r>
      <w:r w:rsidR="00B93073">
        <w:rPr>
          <w:rFonts w:ascii="Arial Narrow" w:eastAsia="MS Mincho" w:hAnsi="Arial Narrow"/>
          <w:i/>
          <w:lang w:val="es-CO"/>
        </w:rPr>
        <w:t xml:space="preserve"> </w:t>
      </w:r>
      <w:r>
        <w:rPr>
          <w:rFonts w:ascii="Tahoma" w:hAnsi="Tahoma" w:cs="Tahoma"/>
          <w:spacing w:val="-2"/>
        </w:rPr>
        <w:t>Más adelante expresó:</w:t>
      </w:r>
      <w:r w:rsidR="00B93073">
        <w:rPr>
          <w:rFonts w:ascii="Arial Narrow" w:eastAsia="MS Mincho" w:hAnsi="Arial Narrow"/>
          <w:i/>
          <w:lang w:val="es-CO"/>
        </w:rPr>
        <w:t xml:space="preserve"> </w:t>
      </w:r>
      <w:r>
        <w:rPr>
          <w:rFonts w:ascii="Arial Narrow" w:hAnsi="Arial Narrow"/>
          <w:i/>
          <w:iCs/>
          <w:color w:val="000000"/>
        </w:rPr>
        <w:t>“</w:t>
      </w:r>
      <w:r w:rsidRPr="00F353FD">
        <w:rPr>
          <w:rFonts w:ascii="Arial Narrow" w:hAnsi="Arial Narrow"/>
          <w:i/>
          <w:iCs/>
          <w:color w:val="000000"/>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r w:rsidR="00C86097" w:rsidRPr="00F353FD">
        <w:rPr>
          <w:rFonts w:ascii="Arial Narrow" w:hAnsi="Arial Narrow"/>
          <w:i/>
          <w:iCs/>
          <w:color w:val="000000"/>
        </w:rPr>
        <w:t>aun</w:t>
      </w:r>
      <w:r w:rsidRPr="00F353FD">
        <w:rPr>
          <w:rFonts w:ascii="Arial Narrow" w:hAnsi="Arial Narrow"/>
          <w:i/>
          <w:iCs/>
          <w:color w:val="000000"/>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632E6A" w:rsidRDefault="00632E6A" w:rsidP="00632E6A">
      <w:pPr>
        <w:spacing w:line="276" w:lineRule="auto"/>
        <w:jc w:val="both"/>
        <w:rPr>
          <w:rFonts w:ascii="Tahoma" w:hAnsi="Tahoma" w:cs="Tahoma"/>
          <w:spacing w:val="-2"/>
        </w:rPr>
      </w:pPr>
    </w:p>
    <w:p w:rsidR="00632E6A" w:rsidRDefault="00C86097" w:rsidP="00632E6A">
      <w:pPr>
        <w:widowControl w:val="0"/>
        <w:autoSpaceDE w:val="0"/>
        <w:autoSpaceDN w:val="0"/>
        <w:adjustRightInd w:val="0"/>
        <w:spacing w:line="276" w:lineRule="auto"/>
        <w:ind w:firstLine="708"/>
        <w:jc w:val="both"/>
        <w:rPr>
          <w:rFonts w:ascii="Tahoma" w:hAnsi="Tahoma" w:cs="Tahoma"/>
        </w:rPr>
      </w:pPr>
      <w:r>
        <w:rPr>
          <w:rFonts w:ascii="Tahoma" w:hAnsi="Tahoma" w:cs="Tahoma"/>
        </w:rPr>
        <w:t>Precisamente</w:t>
      </w:r>
      <w:r w:rsidR="00632E6A">
        <w:rPr>
          <w:rFonts w:ascii="Tahoma" w:hAnsi="Tahoma" w:cs="Tahoma"/>
        </w:rPr>
        <w:t xml:space="preserve"> </w:t>
      </w:r>
      <w:r w:rsidR="00632E6A" w:rsidRPr="007B15A9">
        <w:rPr>
          <w:rFonts w:ascii="Tahoma" w:hAnsi="Tahoma" w:cs="Tahoma"/>
        </w:rPr>
        <w:t xml:space="preserve">por </w:t>
      </w:r>
      <w:r w:rsidR="00632E6A">
        <w:rPr>
          <w:rFonts w:ascii="Tahoma" w:hAnsi="Tahoma" w:cs="Tahoma"/>
        </w:rPr>
        <w:t xml:space="preserve">lo anterior </w:t>
      </w:r>
      <w:r w:rsidR="00632E6A" w:rsidRPr="007B15A9">
        <w:rPr>
          <w:rFonts w:ascii="Tahoma" w:hAnsi="Tahoma" w:cs="Tahoma"/>
        </w:rPr>
        <w:t>la Corte Co</w:t>
      </w:r>
      <w:r w:rsidR="00632E6A">
        <w:rPr>
          <w:rFonts w:ascii="Tahoma" w:hAnsi="Tahoma" w:cs="Tahoma"/>
        </w:rPr>
        <w:t>nstitucional en sede de tutela</w:t>
      </w:r>
      <w:r w:rsidR="00632E6A" w:rsidRPr="007B15A9">
        <w:rPr>
          <w:rFonts w:ascii="Tahoma" w:hAnsi="Tahoma" w:cs="Tahoma"/>
        </w:rPr>
        <w:t xml:space="preserve"> </w:t>
      </w:r>
      <w:r w:rsidR="00632E6A">
        <w:rPr>
          <w:rFonts w:ascii="Tahoma" w:hAnsi="Tahoma" w:cs="Tahoma"/>
        </w:rPr>
        <w:t xml:space="preserve">ha ordenado </w:t>
      </w:r>
      <w:r w:rsidR="00632E6A" w:rsidRPr="007B15A9">
        <w:rPr>
          <w:rFonts w:ascii="Tahoma" w:hAnsi="Tahoma" w:cs="Tahoma"/>
        </w:rPr>
        <w:t>la aplicación del Acuerdo 049 de 1990 en casos en los cuales la muerte o invalidez se dieron en vigencia de las Leyes 797 u 860 de 2003</w:t>
      </w:r>
      <w:r w:rsidR="00632E6A">
        <w:rPr>
          <w:rFonts w:ascii="Tahoma" w:hAnsi="Tahoma" w:cs="Tahoma"/>
        </w:rPr>
        <w:t xml:space="preserve">, aduciendo que cuando una disposición </w:t>
      </w:r>
      <w:r w:rsidR="00632E6A" w:rsidRPr="00E9336B">
        <w:rPr>
          <w:rFonts w:ascii="Tahoma" w:hAnsi="Tahoma" w:cs="Tahoma"/>
        </w:rPr>
        <w:t>ha establecido nuevos requisitos a los aportantes al sistema sin que se haya establecido ningún régimen de transición en relación con las pensiones de invalidez</w:t>
      </w:r>
      <w:r>
        <w:rPr>
          <w:rFonts w:ascii="Tahoma" w:hAnsi="Tahoma" w:cs="Tahoma"/>
        </w:rPr>
        <w:t xml:space="preserve"> o sobreviviente</w:t>
      </w:r>
      <w:r w:rsidR="00632E6A" w:rsidRPr="00E9336B">
        <w:rPr>
          <w:rFonts w:ascii="Tahoma" w:hAnsi="Tahoma" w:cs="Tahoma"/>
        </w:rPr>
        <w:t>, lo procedente es aplicar el régimen pensional anterior que resulta más favorable, inaplicando para el caso la normatividad legal vigente para la fecha de estructuración de la invalidez</w:t>
      </w:r>
      <w:r>
        <w:rPr>
          <w:rFonts w:ascii="Tahoma" w:hAnsi="Tahoma" w:cs="Tahoma"/>
        </w:rPr>
        <w:t xml:space="preserve"> o la fecha del óbito</w:t>
      </w:r>
      <w:r w:rsidR="00632E6A" w:rsidRPr="00E9336B">
        <w:rPr>
          <w:rFonts w:ascii="Tahoma" w:hAnsi="Tahoma" w:cs="Tahoma"/>
        </w:rPr>
        <w:t>,</w:t>
      </w:r>
      <w:r>
        <w:rPr>
          <w:rFonts w:ascii="Tahoma" w:hAnsi="Tahoma" w:cs="Tahoma"/>
        </w:rPr>
        <w:t xml:space="preserve"> según sea el caso, conforme se</w:t>
      </w:r>
      <w:r w:rsidR="00632E6A" w:rsidRPr="00E9336B">
        <w:rPr>
          <w:rFonts w:ascii="Tahoma" w:hAnsi="Tahoma" w:cs="Tahoma"/>
        </w:rPr>
        <w:t xml:space="preserve"> lee</w:t>
      </w:r>
      <w:r>
        <w:rPr>
          <w:rFonts w:ascii="Tahoma" w:hAnsi="Tahoma" w:cs="Tahoma"/>
        </w:rPr>
        <w:t>, por ejemplo,</w:t>
      </w:r>
      <w:r w:rsidR="00632E6A" w:rsidRPr="00E9336B">
        <w:rPr>
          <w:rFonts w:ascii="Tahoma" w:hAnsi="Tahoma" w:cs="Tahoma"/>
        </w:rPr>
        <w:t xml:space="preserve"> en la Sentencia T-</w:t>
      </w:r>
      <w:smartTag w:uri="urn:schemas-microsoft-com:office:smarttags" w:element="metricconverter">
        <w:smartTagPr>
          <w:attr w:name="ProductID" w:val="062 A"/>
        </w:smartTagPr>
        <w:r w:rsidR="00632E6A" w:rsidRPr="00E9336B">
          <w:rPr>
            <w:rFonts w:ascii="Tahoma" w:hAnsi="Tahoma" w:cs="Tahoma"/>
          </w:rPr>
          <w:t>062</w:t>
        </w:r>
      </w:smartTag>
      <w:r w:rsidR="00632E6A" w:rsidRPr="00E9336B">
        <w:rPr>
          <w:rFonts w:ascii="Tahoma" w:hAnsi="Tahoma" w:cs="Tahoma"/>
        </w:rPr>
        <w:t xml:space="preserve"> del 4 de febrero de 2011, en la que reprodujo lo dicho en las sentencias T-383 de 2009 y T-628 de 2007.</w:t>
      </w:r>
    </w:p>
    <w:p w:rsidR="00632E6A" w:rsidRDefault="00632E6A" w:rsidP="00632E6A">
      <w:pPr>
        <w:widowControl w:val="0"/>
        <w:autoSpaceDE w:val="0"/>
        <w:autoSpaceDN w:val="0"/>
        <w:adjustRightInd w:val="0"/>
        <w:spacing w:line="276" w:lineRule="auto"/>
        <w:ind w:firstLine="708"/>
        <w:jc w:val="both"/>
        <w:rPr>
          <w:rFonts w:ascii="Tahoma" w:hAnsi="Tahoma" w:cs="Tahoma"/>
        </w:rPr>
      </w:pPr>
    </w:p>
    <w:p w:rsidR="00632E6A" w:rsidRDefault="00632E6A" w:rsidP="00632E6A">
      <w:pPr>
        <w:autoSpaceDE w:val="0"/>
        <w:autoSpaceDN w:val="0"/>
        <w:adjustRightInd w:val="0"/>
        <w:spacing w:line="276" w:lineRule="auto"/>
        <w:ind w:firstLine="708"/>
        <w:jc w:val="both"/>
        <w:rPr>
          <w:rFonts w:ascii="Tahoma" w:hAnsi="Tahoma" w:cs="Tahoma"/>
        </w:rPr>
      </w:pPr>
      <w:r>
        <w:rPr>
          <w:rFonts w:ascii="Tahoma" w:hAnsi="Tahoma" w:cs="Tahoma"/>
        </w:rPr>
        <w:t xml:space="preserve">En el aludido asunto se estudió el caso de una persona con una pérdida de capacidad laboral del 70.75%, con fecha de estructuración del 27 de enero de 2009, que no reunía los requisitos establecidos en la Ley 860 de 2003 (50 semanas en los 3 años anteriores a la estructuración de la invalidez, ni 25 semanas en ese mismo periodo conforme al parágrafo 2º del artículo 1º de la Ley 860 de 2003), en el cual concluyó la Corte lo siguiente: </w:t>
      </w:r>
      <w:r w:rsidRPr="00B93073">
        <w:rPr>
          <w:rFonts w:ascii="Arial Narrow" w:hAnsi="Arial Narrow" w:cs="Tahoma"/>
          <w:i/>
        </w:rPr>
        <w:t>“Sin duda alguna, en el presente caso las modificaciones a los requisitos que se establecieron con la Ley 100 de 1993 y posteriormente con la Ley 860 de 2003, son regresivos frente a la situación particular del accionante, que no obstante haber cotizado 1165.35 semanas por más de 20 años y hasta el año 2006, ahora debe acreditar haber cotizado 25 semanas durante el año anterior a la calificación de la invalidez, mientras que bajo el régimen del Decreto 758 de 1990 ya cumplía con el requisito de las 300 semanas cotizadas en cualquier época”</w:t>
      </w:r>
      <w:r w:rsidRPr="00B93073">
        <w:rPr>
          <w:rFonts w:ascii="Arial Narrow" w:hAnsi="Arial Narrow" w:cs="Tahoma"/>
        </w:rPr>
        <w:t>.</w:t>
      </w:r>
    </w:p>
    <w:p w:rsidR="00632E6A" w:rsidRPr="007B15A9" w:rsidRDefault="00632E6A" w:rsidP="00632E6A">
      <w:pPr>
        <w:spacing w:line="276" w:lineRule="auto"/>
        <w:jc w:val="both"/>
        <w:rPr>
          <w:rFonts w:ascii="Tahoma" w:hAnsi="Tahoma" w:cs="Tahoma"/>
          <w:spacing w:val="-2"/>
        </w:rPr>
      </w:pPr>
    </w:p>
    <w:p w:rsidR="00632E6A" w:rsidRDefault="00632E6A" w:rsidP="00632E6A">
      <w:pPr>
        <w:spacing w:line="276" w:lineRule="auto"/>
        <w:ind w:firstLine="708"/>
        <w:jc w:val="both"/>
        <w:rPr>
          <w:rFonts w:ascii="Tahoma" w:hAnsi="Tahoma" w:cs="Tahoma"/>
          <w:spacing w:val="-2"/>
        </w:rPr>
      </w:pPr>
      <w:r w:rsidRPr="00883E45">
        <w:rPr>
          <w:rFonts w:ascii="Tahoma" w:hAnsi="Tahoma" w:cs="Tahoma"/>
          <w:spacing w:val="-2"/>
        </w:rPr>
        <w:t xml:space="preserve">Esta Corporación </w:t>
      </w:r>
      <w:r>
        <w:rPr>
          <w:rFonts w:ascii="Tahoma" w:hAnsi="Tahoma" w:cs="Tahoma"/>
          <w:spacing w:val="-2"/>
        </w:rPr>
        <w:t xml:space="preserve">por la mayoría de sus integrantes, en consonancia con la Corte Constitucional, </w:t>
      </w:r>
      <w:r w:rsidRPr="00883E45">
        <w:rPr>
          <w:rFonts w:ascii="Tahoma" w:hAnsi="Tahoma" w:cs="Tahoma"/>
          <w:spacing w:val="-2"/>
        </w:rPr>
        <w:t>aplic</w:t>
      </w:r>
      <w:r>
        <w:rPr>
          <w:rFonts w:ascii="Tahoma" w:hAnsi="Tahoma" w:cs="Tahoma"/>
          <w:spacing w:val="-2"/>
        </w:rPr>
        <w:t>a</w:t>
      </w:r>
      <w:r w:rsidRPr="00883E45">
        <w:rPr>
          <w:rFonts w:ascii="Tahoma" w:hAnsi="Tahoma" w:cs="Tahoma"/>
          <w:spacing w:val="-2"/>
        </w:rPr>
        <w:t xml:space="preserve"> el principio de la condición más beneficiosa no solo para los casos de tránsito de una ley a otra sino cuando se produ</w:t>
      </w:r>
      <w:r>
        <w:rPr>
          <w:rFonts w:ascii="Tahoma" w:hAnsi="Tahoma" w:cs="Tahoma"/>
          <w:spacing w:val="-2"/>
        </w:rPr>
        <w:t>jo</w:t>
      </w:r>
      <w:r w:rsidRPr="00883E45">
        <w:rPr>
          <w:rFonts w:ascii="Tahoma" w:hAnsi="Tahoma" w:cs="Tahoma"/>
          <w:spacing w:val="-2"/>
        </w:rPr>
        <w:t xml:space="preserve"> el cambio de un sistema a otro</w:t>
      </w:r>
      <w:r>
        <w:rPr>
          <w:rFonts w:ascii="Tahoma" w:hAnsi="Tahoma" w:cs="Tahoma"/>
          <w:spacing w:val="-2"/>
        </w:rPr>
        <w:t>,</w:t>
      </w:r>
      <w:r w:rsidRPr="00883E45">
        <w:rPr>
          <w:rFonts w:ascii="Tahoma" w:hAnsi="Tahoma" w:cs="Tahoma"/>
          <w:spacing w:val="-2"/>
        </w:rPr>
        <w:t xml:space="preserve"> como ocurrió con la entrada en vigencia de la Ley 100 de 1993</w:t>
      </w:r>
      <w:r>
        <w:rPr>
          <w:rFonts w:ascii="Tahoma" w:hAnsi="Tahoma" w:cs="Tahoma"/>
          <w:spacing w:val="-2"/>
        </w:rPr>
        <w:t>,</w:t>
      </w:r>
      <w:r w:rsidRPr="00883E45">
        <w:rPr>
          <w:rFonts w:ascii="Tahoma" w:hAnsi="Tahoma" w:cs="Tahoma"/>
          <w:spacing w:val="-2"/>
        </w:rPr>
        <w:t xml:space="preserve"> que cambió las bases axiológicas y filosóficas </w:t>
      </w:r>
      <w:r w:rsidRPr="00883E45">
        <w:rPr>
          <w:rFonts w:ascii="Tahoma" w:hAnsi="Tahoma" w:cs="Tahoma"/>
          <w:spacing w:val="-2"/>
        </w:rPr>
        <w:lastRenderedPageBreak/>
        <w:t xml:space="preserve">e incluso las prestaciones y las entidades responsables de la seguridad social en pensiones que traía el Acuerdo 049 de 1.990, pero que no obstante ello el legislador se abstuvo de </w:t>
      </w:r>
      <w:r w:rsidR="00C86097" w:rsidRPr="00883E45">
        <w:rPr>
          <w:rFonts w:ascii="Tahoma" w:hAnsi="Tahoma" w:cs="Tahoma"/>
          <w:spacing w:val="-2"/>
        </w:rPr>
        <w:t>prever</w:t>
      </w:r>
      <w:r w:rsidRPr="00883E45">
        <w:rPr>
          <w:rFonts w:ascii="Tahoma" w:hAnsi="Tahoma" w:cs="Tahoma"/>
          <w:spacing w:val="-2"/>
        </w:rPr>
        <w:t xml:space="preserve"> un régimen de transición en materia de pensión de sobrevivientes y pensión de invalidez como sí lo hizo para las pensiones de vejez, tesis que se acogió en consideración a que la falta de un régimen </w:t>
      </w:r>
      <w:r w:rsidRPr="007B15A9">
        <w:rPr>
          <w:rFonts w:ascii="Tahoma" w:hAnsi="Tahoma" w:cs="Tahoma"/>
          <w:spacing w:val="-2"/>
        </w:rPr>
        <w:t>de transición afectó gravemente y sin una suficiente justificación  los derechos pre-adquiridos y las legítimas expectativas que traían los afiliados del viejo sistema, bajo cuyos postulados ya habían causado el derecho al momento de entrar en vigencia el nuevo sistema.</w:t>
      </w:r>
    </w:p>
    <w:p w:rsidR="00632E6A" w:rsidRPr="007B15A9" w:rsidRDefault="00632E6A" w:rsidP="00632E6A">
      <w:pPr>
        <w:spacing w:line="276" w:lineRule="auto"/>
        <w:ind w:firstLine="708"/>
        <w:jc w:val="both"/>
        <w:rPr>
          <w:rFonts w:ascii="Tahoma" w:hAnsi="Tahoma" w:cs="Tahoma"/>
          <w:spacing w:val="-2"/>
        </w:rPr>
      </w:pPr>
    </w:p>
    <w:p w:rsidR="00632E6A" w:rsidRPr="002D2741" w:rsidRDefault="00632E6A" w:rsidP="00632E6A">
      <w:pPr>
        <w:widowControl w:val="0"/>
        <w:autoSpaceDE w:val="0"/>
        <w:autoSpaceDN w:val="0"/>
        <w:adjustRightInd w:val="0"/>
        <w:spacing w:line="276" w:lineRule="auto"/>
        <w:ind w:firstLine="708"/>
        <w:jc w:val="both"/>
        <w:rPr>
          <w:rFonts w:ascii="Arial Narrow" w:hAnsi="Arial Narrow" w:cs="Tahoma"/>
          <w:i/>
        </w:rPr>
      </w:pPr>
      <w:r w:rsidRPr="007B15A9">
        <w:rPr>
          <w:rFonts w:ascii="Tahoma" w:hAnsi="Tahoma" w:cs="Tahoma"/>
          <w:spacing w:val="-2"/>
        </w:rPr>
        <w:t xml:space="preserve">La </w:t>
      </w:r>
      <w:r w:rsidRPr="00C86097">
        <w:rPr>
          <w:rFonts w:ascii="Tahoma" w:hAnsi="Tahoma" w:cs="Tahoma"/>
          <w:i/>
          <w:spacing w:val="-2"/>
        </w:rPr>
        <w:t>ratio decidendi</w:t>
      </w:r>
      <w:r w:rsidRPr="007B15A9">
        <w:rPr>
          <w:rFonts w:ascii="Tahoma" w:hAnsi="Tahoma" w:cs="Tahoma"/>
          <w:spacing w:val="-2"/>
        </w:rPr>
        <w:t xml:space="preserve"> de esa tesis</w:t>
      </w:r>
      <w:r>
        <w:rPr>
          <w:rFonts w:ascii="Tahoma" w:hAnsi="Tahoma" w:cs="Tahoma"/>
          <w:spacing w:val="-2"/>
        </w:rPr>
        <w:t xml:space="preserve">, que </w:t>
      </w:r>
      <w:r w:rsidRPr="007B15A9">
        <w:rPr>
          <w:rFonts w:ascii="Tahoma" w:hAnsi="Tahoma" w:cs="Tahoma"/>
          <w:spacing w:val="-2"/>
        </w:rPr>
        <w:t>va mucho más allá de las consideraciones de la Corte Suprema de Justicia</w:t>
      </w:r>
      <w:r>
        <w:rPr>
          <w:rFonts w:ascii="Tahoma" w:hAnsi="Tahoma" w:cs="Tahoma"/>
          <w:spacing w:val="-2"/>
        </w:rPr>
        <w:t xml:space="preserve"> y en cambio se acompasa a las de la Corte Constitucional</w:t>
      </w:r>
      <w:r w:rsidRPr="007B15A9">
        <w:rPr>
          <w:rFonts w:ascii="Tahoma" w:hAnsi="Tahoma" w:cs="Tahoma"/>
          <w:spacing w:val="-2"/>
        </w:rPr>
        <w:t xml:space="preserve"> sobre el punto, argumentó que </w:t>
      </w:r>
      <w:r w:rsidRPr="002D2741">
        <w:rPr>
          <w:rFonts w:ascii="Arial Narrow" w:hAnsi="Arial Narrow" w:cs="Tahoma"/>
          <w:i/>
          <w:spacing w:val="-2"/>
        </w:rPr>
        <w:t>“</w:t>
      </w:r>
      <w:r w:rsidRPr="002D2741">
        <w:rPr>
          <w:rFonts w:ascii="Arial Narrow" w:hAnsi="Arial Narrow" w:cs="Tahoma"/>
          <w:i/>
        </w:rPr>
        <w:t>el principio de la condición más beneficiosa frente a las prestaciones económicas de invalidez y sobrevivencia, continúa siendo aplicable en aquellos casos en los que en vigencia del Acuerdo 049 de 1990, se cotizaron más de 300 semanas en toda la vida laboral o 150 semanas en los 6 años anteriores al 1º de abril de 1994 y 150 en las 6 anualidades que prosiguieron a dicha fecha</w:t>
      </w:r>
      <w:r w:rsidRPr="002D2741">
        <w:rPr>
          <w:rStyle w:val="Refdenotaalpie"/>
          <w:rFonts w:ascii="Arial Narrow" w:hAnsi="Arial Narrow" w:cs="Tahoma"/>
        </w:rPr>
        <w:footnoteReference w:id="1"/>
      </w:r>
      <w:r w:rsidRPr="002D2741">
        <w:rPr>
          <w:rFonts w:ascii="Arial Narrow" w:hAnsi="Arial Narrow" w:cs="Tahoma"/>
          <w:i/>
        </w:rPr>
        <w:t xml:space="preserve"> y el hecho incapacitante o el deceso, se presentó en vigencia del </w:t>
      </w:r>
      <w:r w:rsidRPr="002D2741">
        <w:rPr>
          <w:rFonts w:ascii="Arial Narrow" w:hAnsi="Arial Narrow" w:cs="Tahoma"/>
          <w:b/>
          <w:i/>
        </w:rPr>
        <w:t>sistema pen</w:t>
      </w:r>
      <w:bookmarkStart w:id="0" w:name="_GoBack"/>
      <w:bookmarkEnd w:id="0"/>
      <w:r w:rsidRPr="002D2741">
        <w:rPr>
          <w:rFonts w:ascii="Arial Narrow" w:hAnsi="Arial Narrow" w:cs="Tahoma"/>
          <w:b/>
          <w:i/>
        </w:rPr>
        <w:t xml:space="preserve">sional </w:t>
      </w:r>
      <w:r w:rsidRPr="002D2741">
        <w:rPr>
          <w:rFonts w:ascii="Arial Narrow" w:hAnsi="Arial Narrow" w:cs="Tahoma"/>
          <w:i/>
        </w:rPr>
        <w:t>contenido en la Ley 100 de 1993, porque en todo caso, las exigencias actuales son inferiores a las establecidas en aquel Acuerdo y resultaría altamente lesivo conceder prestaciones a quienes hayan aportado 26 ó 50 semanas en un período determinado y no a quienes hicieron cotizaciones al sistema pensional en cuantía superior a las 300 semanas”.</w:t>
      </w:r>
    </w:p>
    <w:p w:rsidR="00632E6A" w:rsidRPr="007B15A9" w:rsidRDefault="00632E6A" w:rsidP="00632E6A">
      <w:pPr>
        <w:widowControl w:val="0"/>
        <w:autoSpaceDE w:val="0"/>
        <w:autoSpaceDN w:val="0"/>
        <w:adjustRightInd w:val="0"/>
        <w:spacing w:line="276" w:lineRule="auto"/>
        <w:ind w:firstLine="1122"/>
        <w:jc w:val="both"/>
        <w:rPr>
          <w:rFonts w:ascii="Tahoma" w:hAnsi="Tahoma" w:cs="Tahoma"/>
        </w:rPr>
      </w:pPr>
    </w:p>
    <w:p w:rsidR="00632E6A" w:rsidRPr="007B15A9" w:rsidRDefault="00632E6A" w:rsidP="00632E6A">
      <w:pPr>
        <w:widowControl w:val="0"/>
        <w:autoSpaceDE w:val="0"/>
        <w:autoSpaceDN w:val="0"/>
        <w:adjustRightInd w:val="0"/>
        <w:spacing w:line="276" w:lineRule="auto"/>
        <w:ind w:firstLine="708"/>
        <w:jc w:val="both"/>
        <w:rPr>
          <w:rFonts w:ascii="Tahoma" w:hAnsi="Tahoma" w:cs="Tahoma"/>
        </w:rPr>
      </w:pPr>
      <w:r w:rsidRPr="007B15A9">
        <w:rPr>
          <w:rFonts w:ascii="Tahoma" w:hAnsi="Tahoma" w:cs="Tahoma"/>
        </w:rPr>
        <w:t xml:space="preserve">Ahora, la tesis de que la aplicación del principio de la condición más beneficiosa afecta la financiación del actual sistema de seguridad social en pensiones, resulta insuficiente e ilógica si se tiene en cuenta que el afiliado cotizó un número de semanas muchísimo mayor al exigido actualmente, de modo que resulta contradictorio afirmar que una persona que cotiza 26 semanas o 50 aporta más recursos al sistema que aquel que cotizó 300 en toda su vida laboral o 150 en los 6 años anteriores a la ley 100 de 1993 más 150 en los 6 años anteriores a la ocurrencia del óbito o la invalidez, por cuenta de una fórmula financiera que si bien difiere de la aplicada en el sistema anterior, de todas maneras jamás puede desconocer que en el antiguo régimen también se reguló la forma de financiar la pensión de sobrevivientes y la pensión de invalidez. </w:t>
      </w:r>
    </w:p>
    <w:p w:rsidR="009C50D0" w:rsidRPr="003D36AB" w:rsidRDefault="009C50D0" w:rsidP="00AD4139">
      <w:pPr>
        <w:pStyle w:val="Textoindependiente"/>
        <w:spacing w:after="0" w:line="276" w:lineRule="auto"/>
        <w:ind w:right="51"/>
        <w:jc w:val="both"/>
        <w:rPr>
          <w:rFonts w:ascii="Tahoma" w:hAnsi="Tahoma" w:cs="Tahoma"/>
          <w:b/>
        </w:rPr>
      </w:pPr>
    </w:p>
    <w:p w:rsidR="0033794D" w:rsidRPr="00883E45" w:rsidRDefault="00353576" w:rsidP="00AD4139">
      <w:pPr>
        <w:tabs>
          <w:tab w:val="left" w:pos="748"/>
        </w:tabs>
        <w:spacing w:line="276" w:lineRule="auto"/>
        <w:jc w:val="both"/>
        <w:rPr>
          <w:rFonts w:ascii="Tahoma" w:hAnsi="Tahoma" w:cs="Tahoma"/>
          <w:b/>
        </w:rPr>
      </w:pPr>
      <w:r>
        <w:rPr>
          <w:rFonts w:ascii="Tahoma" w:hAnsi="Tahoma" w:cs="Tahoma"/>
        </w:rPr>
        <w:tab/>
      </w:r>
      <w:r w:rsidR="00883E45" w:rsidRPr="00883E45">
        <w:rPr>
          <w:rFonts w:ascii="Tahoma" w:hAnsi="Tahoma" w:cs="Tahoma"/>
          <w:b/>
        </w:rPr>
        <w:t>4.3 Caso concreto</w:t>
      </w:r>
    </w:p>
    <w:p w:rsidR="00AD4139" w:rsidRDefault="00AD4139" w:rsidP="005B01BC">
      <w:pPr>
        <w:tabs>
          <w:tab w:val="left" w:pos="748"/>
        </w:tabs>
        <w:spacing w:line="276" w:lineRule="auto"/>
        <w:jc w:val="both"/>
        <w:rPr>
          <w:rFonts w:ascii="Tahoma" w:hAnsi="Tahoma" w:cs="Tahoma"/>
        </w:rPr>
      </w:pPr>
    </w:p>
    <w:p w:rsidR="00AD4139" w:rsidRDefault="002D2741" w:rsidP="005B01BC">
      <w:pPr>
        <w:autoSpaceDE w:val="0"/>
        <w:autoSpaceDN w:val="0"/>
        <w:adjustRightInd w:val="0"/>
        <w:spacing w:line="276" w:lineRule="auto"/>
        <w:ind w:firstLine="708"/>
        <w:jc w:val="both"/>
        <w:rPr>
          <w:rFonts w:ascii="Tahoma" w:hAnsi="Tahoma" w:cs="Tahoma"/>
        </w:rPr>
      </w:pPr>
      <w:r>
        <w:rPr>
          <w:rFonts w:ascii="Tahoma" w:hAnsi="Tahoma" w:cs="Tahoma"/>
        </w:rPr>
        <w:t>Basta el análisis</w:t>
      </w:r>
      <w:r w:rsidR="00AF5FC0">
        <w:rPr>
          <w:rFonts w:ascii="Tahoma" w:hAnsi="Tahoma" w:cs="Tahoma"/>
        </w:rPr>
        <w:t xml:space="preserve"> expuesto precedentemente para apartarse </w:t>
      </w:r>
      <w:r w:rsidR="00AD4139" w:rsidRPr="000B70AA">
        <w:rPr>
          <w:rFonts w:ascii="Tahoma" w:hAnsi="Tahoma" w:cs="Tahoma"/>
        </w:rPr>
        <w:t xml:space="preserve">del criterio </w:t>
      </w:r>
      <w:r w:rsidR="00AD4139">
        <w:rPr>
          <w:rFonts w:ascii="Tahoma" w:hAnsi="Tahoma" w:cs="Tahoma"/>
        </w:rPr>
        <w:t xml:space="preserve">que tuvo </w:t>
      </w:r>
      <w:r>
        <w:rPr>
          <w:rFonts w:ascii="Tahoma" w:hAnsi="Tahoma" w:cs="Tahoma"/>
        </w:rPr>
        <w:t xml:space="preserve">la </w:t>
      </w:r>
      <w:r w:rsidRPr="002D2741">
        <w:rPr>
          <w:rFonts w:ascii="Tahoma" w:hAnsi="Tahoma" w:cs="Tahoma"/>
          <w:i/>
        </w:rPr>
        <w:t>a</w:t>
      </w:r>
      <w:r w:rsidR="00AD4139" w:rsidRPr="002D2741">
        <w:rPr>
          <w:rFonts w:ascii="Tahoma" w:hAnsi="Tahoma" w:cs="Tahoma"/>
          <w:i/>
        </w:rPr>
        <w:t xml:space="preserve">-quo </w:t>
      </w:r>
      <w:r w:rsidR="00AD4139" w:rsidRPr="002D2741">
        <w:rPr>
          <w:rFonts w:ascii="Tahoma" w:hAnsi="Tahoma" w:cs="Tahoma"/>
        </w:rPr>
        <w:t>p</w:t>
      </w:r>
      <w:r w:rsidR="00AD4139" w:rsidRPr="000B70AA">
        <w:rPr>
          <w:rFonts w:ascii="Tahoma" w:hAnsi="Tahoma" w:cs="Tahoma"/>
        </w:rPr>
        <w:t xml:space="preserve">ara no aplicar el Acuerdo 049 de 1990, </w:t>
      </w:r>
      <w:r w:rsidR="00AD4139">
        <w:rPr>
          <w:rFonts w:ascii="Tahoma" w:hAnsi="Tahoma" w:cs="Tahoma"/>
        </w:rPr>
        <w:t xml:space="preserve">pues </w:t>
      </w:r>
      <w:r w:rsidR="00AF5FC0">
        <w:rPr>
          <w:rFonts w:ascii="Tahoma" w:hAnsi="Tahoma" w:cs="Tahoma"/>
        </w:rPr>
        <w:t>como se</w:t>
      </w:r>
      <w:r w:rsidR="0052155A">
        <w:rPr>
          <w:rFonts w:ascii="Tahoma" w:hAnsi="Tahoma" w:cs="Tahoma"/>
        </w:rPr>
        <w:t xml:space="preserve"> acaba de indicar</w:t>
      </w:r>
      <w:r w:rsidR="00AF5FC0">
        <w:rPr>
          <w:rFonts w:ascii="Tahoma" w:hAnsi="Tahoma" w:cs="Tahoma"/>
        </w:rPr>
        <w:t xml:space="preserve">, </w:t>
      </w:r>
      <w:r w:rsidR="00AD4139">
        <w:rPr>
          <w:rFonts w:ascii="Tahoma" w:hAnsi="Tahoma" w:cs="Tahoma"/>
        </w:rPr>
        <w:t xml:space="preserve">la </w:t>
      </w:r>
      <w:r w:rsidR="00AF5FC0" w:rsidRPr="00AF5FC0">
        <w:rPr>
          <w:rFonts w:ascii="Tahoma" w:hAnsi="Tahoma" w:cs="Tahoma"/>
          <w:i/>
        </w:rPr>
        <w:t>ratio decidendi</w:t>
      </w:r>
      <w:r w:rsidR="00AF5FC0">
        <w:rPr>
          <w:rFonts w:ascii="Tahoma" w:hAnsi="Tahoma" w:cs="Tahoma"/>
        </w:rPr>
        <w:t xml:space="preserve"> de la</w:t>
      </w:r>
      <w:r w:rsidR="00AD4139">
        <w:rPr>
          <w:rFonts w:ascii="Tahoma" w:hAnsi="Tahoma" w:cs="Tahoma"/>
        </w:rPr>
        <w:t xml:space="preserve"> tesis </w:t>
      </w:r>
      <w:r w:rsidR="0052155A">
        <w:rPr>
          <w:rFonts w:ascii="Tahoma" w:hAnsi="Tahoma" w:cs="Tahoma"/>
        </w:rPr>
        <w:t>mayoritaria</w:t>
      </w:r>
      <w:r w:rsidR="00632E6A">
        <w:rPr>
          <w:rFonts w:ascii="Tahoma" w:hAnsi="Tahoma" w:cs="Tahoma"/>
        </w:rPr>
        <w:t xml:space="preserve"> de </w:t>
      </w:r>
      <w:r w:rsidR="00AF5FC0">
        <w:rPr>
          <w:rFonts w:ascii="Tahoma" w:hAnsi="Tahoma" w:cs="Tahoma"/>
        </w:rPr>
        <w:t>est</w:t>
      </w:r>
      <w:r w:rsidR="00632E6A">
        <w:rPr>
          <w:rFonts w:ascii="Tahoma" w:hAnsi="Tahoma" w:cs="Tahoma"/>
        </w:rPr>
        <w:t xml:space="preserve">a Sala </w:t>
      </w:r>
      <w:r w:rsidR="00AD4139">
        <w:rPr>
          <w:rFonts w:ascii="Tahoma" w:hAnsi="Tahoma" w:cs="Tahoma"/>
        </w:rPr>
        <w:t>se fundamenta en que el principio de la condición más beneficiosa no sólo se aplica por un cambio normativo sino también por un tránsito de sistema en materia de seguridad social en pensiones de invalidez y sobrevivientes, como sucedió con la sucesión que se dio del sistema establecido en el Acuerdo 049 de 1990 al adoptado por la Ley 100 de 1993.</w:t>
      </w:r>
    </w:p>
    <w:p w:rsidR="00AD4139" w:rsidRDefault="00AD4139" w:rsidP="005B01BC">
      <w:pPr>
        <w:autoSpaceDE w:val="0"/>
        <w:autoSpaceDN w:val="0"/>
        <w:adjustRightInd w:val="0"/>
        <w:spacing w:line="276" w:lineRule="auto"/>
        <w:ind w:firstLine="709"/>
        <w:jc w:val="both"/>
        <w:rPr>
          <w:rFonts w:ascii="Tahoma" w:hAnsi="Tahoma" w:cs="Tahoma"/>
        </w:rPr>
      </w:pPr>
    </w:p>
    <w:p w:rsidR="005B01BC" w:rsidRDefault="00AD4139" w:rsidP="005B01BC">
      <w:pPr>
        <w:autoSpaceDE w:val="0"/>
        <w:autoSpaceDN w:val="0"/>
        <w:adjustRightInd w:val="0"/>
        <w:spacing w:line="276" w:lineRule="auto"/>
        <w:ind w:firstLine="708"/>
        <w:jc w:val="both"/>
        <w:rPr>
          <w:rFonts w:ascii="Tahoma" w:hAnsi="Tahoma" w:cs="Tahoma"/>
        </w:rPr>
      </w:pPr>
      <w:r>
        <w:rPr>
          <w:rFonts w:ascii="Tahoma" w:hAnsi="Tahoma" w:cs="Tahoma"/>
        </w:rPr>
        <w:t xml:space="preserve">En efecto, en el sub lite </w:t>
      </w:r>
      <w:r w:rsidRPr="00B64E3B">
        <w:rPr>
          <w:rFonts w:ascii="Tahoma" w:hAnsi="Tahoma" w:cs="Tahoma"/>
        </w:rPr>
        <w:t>resulta aplicable el</w:t>
      </w:r>
      <w:r>
        <w:rPr>
          <w:rFonts w:ascii="Tahoma" w:hAnsi="Tahoma" w:cs="Tahoma"/>
        </w:rPr>
        <w:t xml:space="preserve"> </w:t>
      </w:r>
      <w:r w:rsidRPr="00B64E3B">
        <w:rPr>
          <w:rFonts w:ascii="Tahoma" w:hAnsi="Tahoma" w:cs="Tahoma"/>
        </w:rPr>
        <w:t xml:space="preserve">principio de la condición más beneficiosa </w:t>
      </w:r>
      <w:r>
        <w:rPr>
          <w:rFonts w:ascii="Tahoma" w:hAnsi="Tahoma" w:cs="Tahoma"/>
        </w:rPr>
        <w:t xml:space="preserve">y es factible </w:t>
      </w:r>
      <w:r w:rsidRPr="00B64E3B">
        <w:rPr>
          <w:rFonts w:ascii="Tahoma" w:hAnsi="Tahoma" w:cs="Tahoma"/>
        </w:rPr>
        <w:t>acudir al Acuerdo 049 de 1990,</w:t>
      </w:r>
      <w:r>
        <w:rPr>
          <w:rFonts w:ascii="Tahoma" w:hAnsi="Tahoma" w:cs="Tahoma"/>
        </w:rPr>
        <w:t xml:space="preserve"> </w:t>
      </w:r>
      <w:r w:rsidRPr="00B64E3B">
        <w:rPr>
          <w:rFonts w:ascii="Tahoma" w:hAnsi="Tahoma" w:cs="Tahoma"/>
        </w:rPr>
        <w:t>pues al 1º de abril de 1994 el asegurado contaba con las semanas exigidas en</w:t>
      </w:r>
      <w:r>
        <w:rPr>
          <w:rFonts w:ascii="Tahoma" w:hAnsi="Tahoma" w:cs="Tahoma"/>
        </w:rPr>
        <w:t xml:space="preserve"> </w:t>
      </w:r>
      <w:r w:rsidRPr="00B64E3B">
        <w:rPr>
          <w:rFonts w:ascii="Tahoma" w:hAnsi="Tahoma" w:cs="Tahoma"/>
        </w:rPr>
        <w:t xml:space="preserve">dicha norma para aplicarla, dado que sumaba </w:t>
      </w:r>
      <w:r w:rsidR="005B01BC">
        <w:rPr>
          <w:rFonts w:ascii="Tahoma" w:hAnsi="Tahoma" w:cs="Tahoma"/>
        </w:rPr>
        <w:t xml:space="preserve">394,42 </w:t>
      </w:r>
      <w:r w:rsidRPr="00B64E3B">
        <w:rPr>
          <w:rFonts w:ascii="Tahoma" w:hAnsi="Tahoma" w:cs="Tahoma"/>
        </w:rPr>
        <w:t>semanas</w:t>
      </w:r>
      <w:r w:rsidR="0052155A">
        <w:rPr>
          <w:rFonts w:ascii="Tahoma" w:hAnsi="Tahoma" w:cs="Tahoma"/>
        </w:rPr>
        <w:t xml:space="preserve"> cotizadas</w:t>
      </w:r>
      <w:r w:rsidRPr="00B64E3B">
        <w:rPr>
          <w:rFonts w:ascii="Tahoma" w:hAnsi="Tahoma" w:cs="Tahoma"/>
        </w:rPr>
        <w:t>, cifra que</w:t>
      </w:r>
      <w:r>
        <w:rPr>
          <w:rFonts w:ascii="Tahoma" w:hAnsi="Tahoma" w:cs="Tahoma"/>
        </w:rPr>
        <w:t xml:space="preserve"> </w:t>
      </w:r>
      <w:r w:rsidRPr="00B64E3B">
        <w:rPr>
          <w:rFonts w:ascii="Tahoma" w:hAnsi="Tahoma" w:cs="Tahoma"/>
        </w:rPr>
        <w:t>resulta muy superior a las 300 exigidas por el canon 6º de ese cuerpo legal.</w:t>
      </w:r>
      <w:r w:rsidR="005B01BC">
        <w:rPr>
          <w:rFonts w:ascii="Tahoma" w:hAnsi="Tahoma" w:cs="Tahoma"/>
        </w:rPr>
        <w:t xml:space="preserve"> </w:t>
      </w:r>
    </w:p>
    <w:p w:rsidR="005B01BC" w:rsidRDefault="005B01BC" w:rsidP="005B01BC">
      <w:pPr>
        <w:autoSpaceDE w:val="0"/>
        <w:autoSpaceDN w:val="0"/>
        <w:adjustRightInd w:val="0"/>
        <w:spacing w:line="276" w:lineRule="auto"/>
        <w:ind w:firstLine="708"/>
        <w:jc w:val="both"/>
        <w:rPr>
          <w:rFonts w:ascii="Tahoma" w:hAnsi="Tahoma" w:cs="Tahoma"/>
        </w:rPr>
      </w:pPr>
    </w:p>
    <w:p w:rsidR="005B01BC" w:rsidRPr="005B01BC" w:rsidRDefault="005B01BC" w:rsidP="00920C75">
      <w:pPr>
        <w:autoSpaceDE w:val="0"/>
        <w:autoSpaceDN w:val="0"/>
        <w:adjustRightInd w:val="0"/>
        <w:spacing w:line="276" w:lineRule="auto"/>
        <w:ind w:firstLine="708"/>
        <w:jc w:val="both"/>
        <w:rPr>
          <w:rFonts w:ascii="Tahoma" w:hAnsi="Tahoma" w:cs="Tahoma"/>
        </w:rPr>
      </w:pPr>
      <w:r w:rsidRPr="005B01BC">
        <w:rPr>
          <w:rFonts w:ascii="Tahoma" w:hAnsi="Tahoma" w:cs="Tahoma"/>
        </w:rPr>
        <w:lastRenderedPageBreak/>
        <w:t>Lo anterior le permite a esta Sala Mayoritaria concluir que el afiliado fallecido dejó causado el derecho a la pe</w:t>
      </w:r>
      <w:r w:rsidR="00780822">
        <w:rPr>
          <w:rFonts w:ascii="Tahoma" w:hAnsi="Tahoma" w:cs="Tahoma"/>
        </w:rPr>
        <w:t>nsión de sobreviviente para su única</w:t>
      </w:r>
      <w:r w:rsidRPr="005B01BC">
        <w:rPr>
          <w:rFonts w:ascii="Tahoma" w:hAnsi="Tahoma" w:cs="Tahoma"/>
        </w:rPr>
        <w:t xml:space="preserve"> benefici</w:t>
      </w:r>
      <w:r w:rsidR="00780822">
        <w:rPr>
          <w:rFonts w:ascii="Tahoma" w:hAnsi="Tahoma" w:cs="Tahoma"/>
        </w:rPr>
        <w:t>aria</w:t>
      </w:r>
      <w:r w:rsidRPr="005B01BC">
        <w:rPr>
          <w:rFonts w:ascii="Tahoma" w:hAnsi="Tahoma" w:cs="Tahoma"/>
        </w:rPr>
        <w:t xml:space="preserve">, </w:t>
      </w:r>
      <w:r w:rsidR="00780822">
        <w:rPr>
          <w:rFonts w:ascii="Tahoma" w:hAnsi="Tahoma" w:cs="Tahoma"/>
        </w:rPr>
        <w:t>MARÍA ROSALBA AGUIRRE ARIAS</w:t>
      </w:r>
      <w:r w:rsidRPr="005B01BC">
        <w:rPr>
          <w:rFonts w:ascii="Tahoma" w:hAnsi="Tahoma" w:cs="Tahoma"/>
        </w:rPr>
        <w:t xml:space="preserve">, </w:t>
      </w:r>
      <w:r w:rsidR="00780822">
        <w:rPr>
          <w:rFonts w:ascii="Tahoma" w:hAnsi="Tahoma" w:cs="Tahoma"/>
        </w:rPr>
        <w:t>quien no solamente demostr</w:t>
      </w:r>
      <w:r w:rsidR="00920C75">
        <w:rPr>
          <w:rFonts w:ascii="Tahoma" w:hAnsi="Tahoma" w:cs="Tahoma"/>
        </w:rPr>
        <w:t xml:space="preserve">ó </w:t>
      </w:r>
      <w:r w:rsidR="00780822">
        <w:rPr>
          <w:rFonts w:ascii="Tahoma" w:hAnsi="Tahoma" w:cs="Tahoma"/>
        </w:rPr>
        <w:t>haber sido la esposa del causante, sino también que convivió con este</w:t>
      </w:r>
      <w:r w:rsidR="00920C75">
        <w:rPr>
          <w:rFonts w:ascii="Tahoma" w:hAnsi="Tahoma" w:cs="Tahoma"/>
        </w:rPr>
        <w:t xml:space="preserve"> ininterrumpidamente</w:t>
      </w:r>
      <w:r w:rsidR="00780822">
        <w:rPr>
          <w:rFonts w:ascii="Tahoma" w:hAnsi="Tahoma" w:cs="Tahoma"/>
        </w:rPr>
        <w:t xml:space="preserve"> bajo el mismo techo desde el </w:t>
      </w:r>
      <w:r w:rsidR="00920C75">
        <w:rPr>
          <w:rFonts w:ascii="Tahoma" w:hAnsi="Tahoma" w:cs="Tahoma"/>
        </w:rPr>
        <w:t xml:space="preserve">mismo </w:t>
      </w:r>
      <w:r w:rsidR="00780822">
        <w:rPr>
          <w:rFonts w:ascii="Tahoma" w:hAnsi="Tahoma" w:cs="Tahoma"/>
        </w:rPr>
        <w:t>día del matrimonio, en el año 1960, hasta su mu</w:t>
      </w:r>
      <w:r w:rsidR="0052155A">
        <w:rPr>
          <w:rFonts w:ascii="Tahoma" w:hAnsi="Tahoma" w:cs="Tahoma"/>
        </w:rPr>
        <w:t>erte el 1º de diciembre de 2007;</w:t>
      </w:r>
      <w:r w:rsidR="00780822">
        <w:rPr>
          <w:rFonts w:ascii="Tahoma" w:hAnsi="Tahoma" w:cs="Tahoma"/>
        </w:rPr>
        <w:t xml:space="preserve"> con quien </w:t>
      </w:r>
      <w:r w:rsidR="00920C75">
        <w:rPr>
          <w:rFonts w:ascii="Tahoma" w:hAnsi="Tahoma" w:cs="Tahoma"/>
        </w:rPr>
        <w:t xml:space="preserve">además </w:t>
      </w:r>
      <w:r w:rsidR="00780822">
        <w:rPr>
          <w:rFonts w:ascii="Tahoma" w:hAnsi="Tahoma" w:cs="Tahoma"/>
        </w:rPr>
        <w:t xml:space="preserve">procreó siete hijos, tres de ellos fallecidos, y los demás </w:t>
      </w:r>
      <w:r w:rsidR="00920C75">
        <w:rPr>
          <w:rFonts w:ascii="Tahoma" w:hAnsi="Tahoma" w:cs="Tahoma"/>
        </w:rPr>
        <w:t xml:space="preserve">hoy </w:t>
      </w:r>
      <w:r w:rsidR="00780822">
        <w:rPr>
          <w:rFonts w:ascii="Tahoma" w:hAnsi="Tahoma" w:cs="Tahoma"/>
        </w:rPr>
        <w:t>mayores de edad</w:t>
      </w:r>
      <w:r w:rsidR="0052155A">
        <w:rPr>
          <w:rFonts w:ascii="Tahoma" w:hAnsi="Tahoma" w:cs="Tahoma"/>
        </w:rPr>
        <w:t>, de todo lo</w:t>
      </w:r>
      <w:r w:rsidR="00780822">
        <w:rPr>
          <w:rFonts w:ascii="Tahoma" w:hAnsi="Tahoma" w:cs="Tahoma"/>
        </w:rPr>
        <w:t xml:space="preserve"> cual dan cuenta MARIA ZULEIMA TORO CORREA y MELIDA FAJARDO CHAVARRO, quienes rindieron declaración en </w:t>
      </w:r>
      <w:r w:rsidR="00920C75">
        <w:rPr>
          <w:rFonts w:ascii="Tahoma" w:hAnsi="Tahoma" w:cs="Tahoma"/>
        </w:rPr>
        <w:t>sede primera instancia</w:t>
      </w:r>
      <w:r w:rsidRPr="005B01BC">
        <w:rPr>
          <w:rFonts w:ascii="Tahoma" w:hAnsi="Tahoma" w:cs="Tahoma"/>
        </w:rPr>
        <w:t>, por lo que es del caso revocar la decisión de primer grado, en atención a que la aplicación del principio de la condición más beneficiosa</w:t>
      </w:r>
      <w:r w:rsidR="0052155A">
        <w:rPr>
          <w:rFonts w:ascii="Tahoma" w:hAnsi="Tahoma" w:cs="Tahoma"/>
        </w:rPr>
        <w:t xml:space="preserve"> </w:t>
      </w:r>
      <w:r w:rsidRPr="005B01BC">
        <w:rPr>
          <w:rFonts w:ascii="Tahoma" w:hAnsi="Tahoma" w:cs="Tahoma"/>
        </w:rPr>
        <w:t>se debe realizar</w:t>
      </w:r>
      <w:r w:rsidR="0052155A">
        <w:rPr>
          <w:rFonts w:ascii="Tahoma" w:hAnsi="Tahoma" w:cs="Tahoma"/>
        </w:rPr>
        <w:t xml:space="preserve"> incluso</w:t>
      </w:r>
      <w:r w:rsidRPr="005B01BC">
        <w:rPr>
          <w:rFonts w:ascii="Tahoma" w:hAnsi="Tahoma" w:cs="Tahoma"/>
        </w:rPr>
        <w:t xml:space="preserve"> frente al cambio de régimen ocurrido entre el Acuerdo 049 de 1993 y la ley 100 de 1993 con sus respectivas modificaciones</w:t>
      </w:r>
      <w:r w:rsidR="0052155A">
        <w:rPr>
          <w:rFonts w:ascii="Tahoma" w:hAnsi="Tahoma" w:cs="Tahoma"/>
        </w:rPr>
        <w:t xml:space="preserve"> posteriores</w:t>
      </w:r>
      <w:r w:rsidRPr="005B01BC">
        <w:rPr>
          <w:rFonts w:ascii="Tahoma" w:hAnsi="Tahoma" w:cs="Tahoma"/>
        </w:rPr>
        <w:t>.</w:t>
      </w:r>
    </w:p>
    <w:p w:rsidR="005B01BC" w:rsidRPr="00AA0A34" w:rsidRDefault="005B01BC" w:rsidP="005B01BC">
      <w:pPr>
        <w:tabs>
          <w:tab w:val="left" w:pos="748"/>
        </w:tabs>
        <w:spacing w:line="276" w:lineRule="auto"/>
        <w:jc w:val="both"/>
        <w:rPr>
          <w:rFonts w:ascii="Tahoma" w:hAnsi="Tahoma" w:cs="Tahoma"/>
        </w:rPr>
      </w:pPr>
      <w:r w:rsidRPr="00AA0A34">
        <w:rPr>
          <w:rFonts w:ascii="Tahoma" w:hAnsi="Tahoma" w:cs="Tahoma"/>
        </w:rPr>
        <w:t xml:space="preserve">   </w:t>
      </w:r>
    </w:p>
    <w:p w:rsidR="005B01BC" w:rsidRPr="00AA0A34" w:rsidRDefault="0052155A" w:rsidP="00855908">
      <w:pPr>
        <w:widowControl w:val="0"/>
        <w:autoSpaceDE w:val="0"/>
        <w:autoSpaceDN w:val="0"/>
        <w:adjustRightInd w:val="0"/>
        <w:spacing w:line="276" w:lineRule="auto"/>
        <w:ind w:firstLine="708"/>
        <w:jc w:val="both"/>
        <w:rPr>
          <w:rFonts w:ascii="Tahoma" w:hAnsi="Tahoma" w:cs="Tahoma"/>
        </w:rPr>
      </w:pPr>
      <w:r>
        <w:rPr>
          <w:rFonts w:ascii="Tahoma" w:hAnsi="Tahoma" w:cs="Tahoma"/>
        </w:rPr>
        <w:t>Por otra parte, aunque por regla</w:t>
      </w:r>
      <w:r w:rsidR="00DC6ACC">
        <w:rPr>
          <w:rFonts w:ascii="Tahoma" w:hAnsi="Tahoma" w:cs="Tahoma"/>
        </w:rPr>
        <w:t xml:space="preserve"> general el disfrute de la pensión de sobrevivientes surge a partir de la fecha de fallecimiento del afiliado o pensionado y</w:t>
      </w:r>
      <w:r w:rsidR="005B01BC" w:rsidRPr="00AA0A34">
        <w:rPr>
          <w:rFonts w:ascii="Tahoma" w:hAnsi="Tahoma" w:cs="Tahoma"/>
        </w:rPr>
        <w:t xml:space="preserve"> los intereses moratorios de que trata el artículo 141 de</w:t>
      </w:r>
      <w:r w:rsidR="00DC6ACC">
        <w:rPr>
          <w:rFonts w:ascii="Tahoma" w:hAnsi="Tahoma" w:cs="Tahoma"/>
        </w:rPr>
        <w:t xml:space="preserve"> la Ley 100 de 1993 desde el momento en que</w:t>
      </w:r>
      <w:r w:rsidR="00855908">
        <w:rPr>
          <w:rFonts w:ascii="Tahoma" w:hAnsi="Tahoma" w:cs="Tahoma"/>
        </w:rPr>
        <w:t xml:space="preserve"> se excede</w:t>
      </w:r>
      <w:r w:rsidR="005B01BC" w:rsidRPr="00AA0A34">
        <w:rPr>
          <w:rFonts w:ascii="Tahoma" w:hAnsi="Tahoma" w:cs="Tahoma"/>
        </w:rPr>
        <w:t xml:space="preserve"> el término de gracia que tienen las administradoras de pensiones para resolver la solicitud </w:t>
      </w:r>
      <w:r w:rsidR="00DC6ACC">
        <w:rPr>
          <w:rFonts w:ascii="Tahoma" w:hAnsi="Tahoma" w:cs="Tahoma"/>
        </w:rPr>
        <w:t>de pensión y proceder a su pago</w:t>
      </w:r>
      <w:r w:rsidR="005B01BC" w:rsidRPr="00AA0A34">
        <w:rPr>
          <w:rFonts w:ascii="Tahoma" w:hAnsi="Tahoma" w:cs="Tahoma"/>
        </w:rPr>
        <w:t xml:space="preserve"> no lo h</w:t>
      </w:r>
      <w:r>
        <w:rPr>
          <w:rFonts w:ascii="Tahoma" w:hAnsi="Tahoma" w:cs="Tahoma"/>
        </w:rPr>
        <w:t xml:space="preserve">acen, </w:t>
      </w:r>
      <w:r w:rsidR="00DC6ACC">
        <w:rPr>
          <w:rFonts w:ascii="Tahoma" w:hAnsi="Tahoma" w:cs="Tahoma"/>
        </w:rPr>
        <w:t xml:space="preserve">frente a esto último </w:t>
      </w:r>
      <w:r>
        <w:rPr>
          <w:rFonts w:ascii="Tahoma" w:hAnsi="Tahoma" w:cs="Tahoma"/>
        </w:rPr>
        <w:t>esta Corporación en diversas</w:t>
      </w:r>
      <w:r w:rsidR="005B01BC" w:rsidRPr="00AA0A34">
        <w:rPr>
          <w:rFonts w:ascii="Tahoma" w:hAnsi="Tahoma" w:cs="Tahoma"/>
        </w:rPr>
        <w:t xml:space="preserve"> oportu</w:t>
      </w:r>
      <w:r w:rsidR="00920C75">
        <w:rPr>
          <w:rFonts w:ascii="Tahoma" w:hAnsi="Tahoma" w:cs="Tahoma"/>
        </w:rPr>
        <w:t>nidades ha adoptado la posición</w:t>
      </w:r>
      <w:r w:rsidR="005B01BC" w:rsidRPr="00AA0A34">
        <w:rPr>
          <w:rFonts w:ascii="Tahoma" w:hAnsi="Tahoma" w:cs="Tahoma"/>
        </w:rPr>
        <w:t xml:space="preserve"> </w:t>
      </w:r>
      <w:r w:rsidR="00920C75">
        <w:rPr>
          <w:rFonts w:ascii="Tahoma" w:hAnsi="Tahoma" w:cs="Tahoma"/>
        </w:rPr>
        <w:t>que hoy reitera, según la cual</w:t>
      </w:r>
      <w:r w:rsidR="005B01BC" w:rsidRPr="00AA0A34">
        <w:rPr>
          <w:rFonts w:ascii="Tahoma" w:hAnsi="Tahoma" w:cs="Tahoma"/>
        </w:rPr>
        <w:t xml:space="preserve"> no es procedente la condena por concepto de dichos intereses cuando </w:t>
      </w:r>
      <w:r w:rsidR="005B01BC" w:rsidRPr="00AA0A34">
        <w:rPr>
          <w:rFonts w:ascii="Tahoma" w:hAnsi="Tahoma" w:cs="Tahoma"/>
          <w:i/>
        </w:rPr>
        <w:t>“la pensión se reconoce en virtud de una interpretación constitucional favorable”</w:t>
      </w:r>
      <w:r w:rsidR="00920C75">
        <w:rPr>
          <w:rFonts w:ascii="Tahoma" w:hAnsi="Tahoma" w:cs="Tahoma"/>
        </w:rPr>
        <w:t>, pues en esos eventos</w:t>
      </w:r>
      <w:r w:rsidR="005B01BC" w:rsidRPr="00AA0A34">
        <w:rPr>
          <w:rFonts w:ascii="Tahoma" w:hAnsi="Tahoma" w:cs="Tahoma"/>
        </w:rPr>
        <w:t xml:space="preserve"> se entiende que la entidad negó la prestación de conformidad con los parámetros legales vigentes, de manera que, en esencia, el peticionario no cumplía con los requisitos para ac</w:t>
      </w:r>
      <w:r w:rsidR="00DC6ACC">
        <w:rPr>
          <w:rFonts w:ascii="Tahoma" w:hAnsi="Tahoma" w:cs="Tahoma"/>
        </w:rPr>
        <w:t>ceder a la prestación reclamada, criterio que también debe extenderse al retroactivo pensional, pues esta Corporación, al igual que la Corte Suprema de Justicia</w:t>
      </w:r>
      <w:r w:rsidR="00F648EA">
        <w:rPr>
          <w:rFonts w:ascii="Tahoma" w:hAnsi="Tahoma" w:cs="Tahoma"/>
        </w:rPr>
        <w:t xml:space="preserve"> (al respecto puede consultarse la sentencia No. 44454 del 2 de octubre de 2013)</w:t>
      </w:r>
      <w:r w:rsidR="00DC6ACC">
        <w:rPr>
          <w:rFonts w:ascii="Tahoma" w:hAnsi="Tahoma" w:cs="Tahoma"/>
        </w:rPr>
        <w:t xml:space="preserve">, entiende </w:t>
      </w:r>
      <w:r w:rsidR="00993B73">
        <w:rPr>
          <w:rFonts w:ascii="Tahoma" w:hAnsi="Tahoma" w:cs="Tahoma"/>
        </w:rPr>
        <w:t>que la introducción de principios constitucionales al discurso jurídico laboral y social,</w:t>
      </w:r>
      <w:r w:rsidR="00855908">
        <w:rPr>
          <w:rFonts w:ascii="Tahoma" w:hAnsi="Tahoma" w:cs="Tahoma"/>
        </w:rPr>
        <w:t xml:space="preserve"> principal</w:t>
      </w:r>
      <w:r w:rsidR="00F648EA">
        <w:rPr>
          <w:rFonts w:ascii="Tahoma" w:hAnsi="Tahoma" w:cs="Tahoma"/>
        </w:rPr>
        <w:t>mente</w:t>
      </w:r>
      <w:r w:rsidR="00855908">
        <w:rPr>
          <w:rFonts w:ascii="Tahoma" w:hAnsi="Tahoma" w:cs="Tahoma"/>
        </w:rPr>
        <w:t xml:space="preserve"> a la jurisprudencia,</w:t>
      </w:r>
      <w:r w:rsidR="00993B73">
        <w:rPr>
          <w:rFonts w:ascii="Tahoma" w:hAnsi="Tahoma" w:cs="Tahoma"/>
        </w:rPr>
        <w:t xml:space="preserve"> ha cumplido una función trascendental al interpretar la normativa a la luz </w:t>
      </w:r>
      <w:r w:rsidR="00855908">
        <w:rPr>
          <w:rFonts w:ascii="Tahoma" w:hAnsi="Tahoma" w:cs="Tahoma"/>
        </w:rPr>
        <w:t xml:space="preserve">de dichos principios y objetivos que informan la seguridad social, y que en muchos casos no corresponde con el texto literal del precepto que las administradoras en su momento, al definir las prestaciones reclamadas, debieron aplicar por ser las que en principio regulaban la controversia; en esas condiciones, no resulta razonable imponer el pago de la pensión desde la fecha de fallecimiento del causante, sino desde la fecha de ejecutoria de la presente providencia. </w:t>
      </w:r>
      <w:r w:rsidR="00920C75">
        <w:rPr>
          <w:rFonts w:ascii="Tahoma" w:hAnsi="Tahoma" w:cs="Tahoma"/>
        </w:rPr>
        <w:t>Ello así,</w:t>
      </w:r>
      <w:r w:rsidR="00855908">
        <w:rPr>
          <w:rFonts w:ascii="Tahoma" w:hAnsi="Tahoma" w:cs="Tahoma"/>
        </w:rPr>
        <w:t xml:space="preserve"> la pensión y</w:t>
      </w:r>
      <w:r w:rsidR="00920C75">
        <w:rPr>
          <w:rFonts w:ascii="Tahoma" w:hAnsi="Tahoma" w:cs="Tahoma"/>
        </w:rPr>
        <w:t xml:space="preserve"> lo</w:t>
      </w:r>
      <w:r w:rsidR="00855908">
        <w:rPr>
          <w:rFonts w:ascii="Tahoma" w:hAnsi="Tahoma" w:cs="Tahoma"/>
        </w:rPr>
        <w:t>s</w:t>
      </w:r>
      <w:r w:rsidR="00920C75">
        <w:rPr>
          <w:rFonts w:ascii="Tahoma" w:hAnsi="Tahoma" w:cs="Tahoma"/>
        </w:rPr>
        <w:t xml:space="preserve"> intereses moratorios empezaran a contabilizarse a partir de la fecha de ejecutoria de la presente providencia. </w:t>
      </w:r>
      <w:r w:rsidR="00855908">
        <w:rPr>
          <w:rFonts w:ascii="Tahoma" w:hAnsi="Tahoma" w:cs="Tahoma"/>
        </w:rPr>
        <w:t xml:space="preserve">Bajo este nuevo criterio quedan recogidos los anteriores que le sean contrarios. </w:t>
      </w:r>
    </w:p>
    <w:p w:rsidR="005B01BC" w:rsidRPr="00AA0A34" w:rsidRDefault="005B01BC" w:rsidP="00B93073">
      <w:pPr>
        <w:widowControl w:val="0"/>
        <w:autoSpaceDE w:val="0"/>
        <w:autoSpaceDN w:val="0"/>
        <w:adjustRightInd w:val="0"/>
        <w:spacing w:line="276" w:lineRule="auto"/>
        <w:jc w:val="both"/>
        <w:rPr>
          <w:rFonts w:ascii="Tahoma" w:hAnsi="Tahoma" w:cs="Tahoma"/>
        </w:rPr>
      </w:pPr>
    </w:p>
    <w:p w:rsidR="005B01BC" w:rsidRDefault="005B01BC" w:rsidP="005B01BC">
      <w:pPr>
        <w:widowControl w:val="0"/>
        <w:autoSpaceDE w:val="0"/>
        <w:autoSpaceDN w:val="0"/>
        <w:adjustRightInd w:val="0"/>
        <w:spacing w:line="276" w:lineRule="auto"/>
        <w:ind w:firstLine="708"/>
        <w:jc w:val="both"/>
        <w:rPr>
          <w:rFonts w:ascii="Tahoma" w:hAnsi="Tahoma" w:cs="Tahoma"/>
        </w:rPr>
      </w:pPr>
      <w:r w:rsidRPr="00AA0A34">
        <w:rPr>
          <w:rFonts w:ascii="Tahoma" w:hAnsi="Tahoma" w:cs="Tahoma"/>
        </w:rPr>
        <w:t>Finalmente, las costas en ambas instancias correrán a cargo de Colpensiones</w:t>
      </w:r>
      <w:r w:rsidR="00B93073">
        <w:rPr>
          <w:rFonts w:ascii="Tahoma" w:hAnsi="Tahoma" w:cs="Tahoma"/>
        </w:rPr>
        <w:t xml:space="preserve"> en un 100% y deberán liquidarse en el juzgado de origen. </w:t>
      </w:r>
    </w:p>
    <w:p w:rsidR="0052155A" w:rsidRPr="00AA0A34" w:rsidRDefault="0052155A" w:rsidP="005B01BC">
      <w:pPr>
        <w:widowControl w:val="0"/>
        <w:autoSpaceDE w:val="0"/>
        <w:autoSpaceDN w:val="0"/>
        <w:adjustRightInd w:val="0"/>
        <w:spacing w:line="276" w:lineRule="auto"/>
        <w:ind w:firstLine="708"/>
        <w:jc w:val="both"/>
        <w:rPr>
          <w:rFonts w:ascii="Tahoma" w:hAnsi="Tahoma" w:cs="Tahoma"/>
        </w:rPr>
      </w:pPr>
    </w:p>
    <w:p w:rsidR="005B01BC" w:rsidRPr="00AA0A34" w:rsidRDefault="004A2169" w:rsidP="005B01BC">
      <w:pPr>
        <w:pStyle w:val="Sangradetextonormal"/>
        <w:spacing w:line="276" w:lineRule="auto"/>
      </w:pPr>
      <w:r>
        <w:t>En mérito de  lo expuesto,</w:t>
      </w:r>
      <w:r w:rsidRPr="004A2169">
        <w:rPr>
          <w:b/>
        </w:rPr>
        <w:t xml:space="preserve"> </w:t>
      </w:r>
      <w:r w:rsidRPr="004A2169">
        <w:rPr>
          <w:b/>
          <w:lang w:val="es-ES_tradnl"/>
        </w:rPr>
        <w:t>la Sala No. 1º de Decisión Laboral del Tribunal Superior de Pereira</w:t>
      </w:r>
      <w:r w:rsidR="005B01BC" w:rsidRPr="00AA0A34">
        <w:t>, administrando justicia en nombre de la República  y por autoridad de la Ley,</w:t>
      </w:r>
    </w:p>
    <w:p w:rsidR="005B01BC" w:rsidRPr="00AA0A34" w:rsidRDefault="005B01BC" w:rsidP="005B01BC">
      <w:pPr>
        <w:widowControl w:val="0"/>
        <w:autoSpaceDE w:val="0"/>
        <w:autoSpaceDN w:val="0"/>
        <w:adjustRightInd w:val="0"/>
        <w:spacing w:line="360" w:lineRule="auto"/>
        <w:jc w:val="center"/>
        <w:rPr>
          <w:rFonts w:ascii="Tahoma" w:hAnsi="Tahoma" w:cs="Tahoma"/>
          <w:b/>
        </w:rPr>
      </w:pPr>
    </w:p>
    <w:p w:rsidR="005B01BC" w:rsidRPr="00AA0A34" w:rsidRDefault="005B01BC" w:rsidP="005B01BC">
      <w:pPr>
        <w:widowControl w:val="0"/>
        <w:autoSpaceDE w:val="0"/>
        <w:autoSpaceDN w:val="0"/>
        <w:adjustRightInd w:val="0"/>
        <w:spacing w:line="360" w:lineRule="auto"/>
        <w:jc w:val="center"/>
        <w:rPr>
          <w:rFonts w:ascii="Tahoma" w:hAnsi="Tahoma" w:cs="Tahoma"/>
          <w:b/>
        </w:rPr>
      </w:pPr>
      <w:r w:rsidRPr="00AA0A34">
        <w:rPr>
          <w:rFonts w:ascii="Tahoma" w:hAnsi="Tahoma" w:cs="Tahoma"/>
          <w:b/>
        </w:rPr>
        <w:t>R E S U E L V E:</w:t>
      </w:r>
    </w:p>
    <w:p w:rsidR="005B01BC" w:rsidRPr="00AA0A34" w:rsidRDefault="005B01BC" w:rsidP="005B01BC">
      <w:pPr>
        <w:widowControl w:val="0"/>
        <w:autoSpaceDE w:val="0"/>
        <w:autoSpaceDN w:val="0"/>
        <w:adjustRightInd w:val="0"/>
        <w:jc w:val="both"/>
        <w:rPr>
          <w:rFonts w:ascii="Tahoma" w:hAnsi="Tahoma" w:cs="Tahoma"/>
        </w:rPr>
      </w:pPr>
    </w:p>
    <w:p w:rsidR="005B01BC" w:rsidRPr="00AA0A34" w:rsidRDefault="005B01BC" w:rsidP="0052155A">
      <w:pPr>
        <w:spacing w:line="276" w:lineRule="auto"/>
        <w:ind w:firstLine="709"/>
        <w:jc w:val="both"/>
        <w:rPr>
          <w:rFonts w:ascii="Tahoma" w:hAnsi="Tahoma" w:cs="Tahoma"/>
        </w:rPr>
      </w:pPr>
      <w:r w:rsidRPr="00B93073">
        <w:rPr>
          <w:rFonts w:ascii="Tahoma" w:hAnsi="Tahoma" w:cs="Tahoma"/>
          <w:b/>
          <w:caps/>
          <w:u w:val="single"/>
        </w:rPr>
        <w:t>Primero</w:t>
      </w:r>
      <w:r w:rsidRPr="00B93073">
        <w:rPr>
          <w:rFonts w:ascii="Tahoma" w:hAnsi="Tahoma" w:cs="Tahoma"/>
          <w:caps/>
        </w:rPr>
        <w:t xml:space="preserve">.- </w:t>
      </w:r>
      <w:r w:rsidRPr="00B93073">
        <w:rPr>
          <w:rFonts w:ascii="Tahoma" w:hAnsi="Tahoma" w:cs="Tahoma"/>
          <w:b/>
          <w:caps/>
        </w:rPr>
        <w:t>Revocar</w:t>
      </w:r>
      <w:r w:rsidRPr="00AA0A34">
        <w:rPr>
          <w:rFonts w:ascii="Tahoma" w:hAnsi="Tahoma" w:cs="Tahoma"/>
          <w:b/>
        </w:rPr>
        <w:t xml:space="preserve"> </w:t>
      </w:r>
      <w:r w:rsidR="00B93073">
        <w:rPr>
          <w:rFonts w:ascii="Tahoma" w:hAnsi="Tahoma" w:cs="Tahoma"/>
        </w:rPr>
        <w:t>la sentencia proferida el 25 de marzo de 2015 por el Juzgado Primero</w:t>
      </w:r>
      <w:r w:rsidRPr="00AA0A34">
        <w:rPr>
          <w:rFonts w:ascii="Tahoma" w:hAnsi="Tahoma" w:cs="Tahoma"/>
        </w:rPr>
        <w:t xml:space="preserve"> Laboral del Circuito de Pereira, dentro del proceso ordinario laboral promovido por </w:t>
      </w:r>
      <w:r w:rsidR="00B93073">
        <w:rPr>
          <w:rFonts w:ascii="Tahoma" w:hAnsi="Tahoma" w:cs="Tahoma"/>
          <w:b/>
          <w:lang w:val="es-ES_tradnl"/>
        </w:rPr>
        <w:t>MARIA ROSALBA AGUIRRE ARIAS</w:t>
      </w:r>
      <w:r w:rsidRPr="00AA0A34">
        <w:rPr>
          <w:rFonts w:ascii="Tahoma" w:hAnsi="Tahoma" w:cs="Tahoma"/>
        </w:rPr>
        <w:t xml:space="preserve"> contra la </w:t>
      </w:r>
      <w:r w:rsidRPr="00AA0A34">
        <w:rPr>
          <w:rFonts w:ascii="Tahoma" w:hAnsi="Tahoma" w:cs="Tahoma"/>
          <w:b/>
          <w:caps/>
        </w:rPr>
        <w:t>Administradora Colombiana de Pensiones</w:t>
      </w:r>
      <w:r w:rsidRPr="00AA0A34">
        <w:rPr>
          <w:rFonts w:ascii="Tahoma" w:hAnsi="Tahoma" w:cs="Tahoma"/>
        </w:rPr>
        <w:t>, y en consecuencia</w:t>
      </w:r>
    </w:p>
    <w:p w:rsidR="005B01BC" w:rsidRPr="00AA0A34" w:rsidRDefault="005B01BC" w:rsidP="0052155A">
      <w:pPr>
        <w:spacing w:line="276" w:lineRule="auto"/>
        <w:ind w:firstLine="709"/>
        <w:jc w:val="both"/>
        <w:rPr>
          <w:rFonts w:ascii="Tahoma" w:hAnsi="Tahoma" w:cs="Tahoma"/>
        </w:rPr>
      </w:pPr>
    </w:p>
    <w:p w:rsidR="005B01BC" w:rsidRPr="00AA0A34" w:rsidRDefault="005B01BC" w:rsidP="0052155A">
      <w:pPr>
        <w:spacing w:line="276" w:lineRule="auto"/>
        <w:ind w:firstLine="709"/>
        <w:jc w:val="both"/>
        <w:rPr>
          <w:rFonts w:ascii="Tahoma" w:hAnsi="Tahoma" w:cs="Tahoma"/>
        </w:rPr>
      </w:pPr>
      <w:r w:rsidRPr="00B93073">
        <w:rPr>
          <w:rFonts w:ascii="Tahoma" w:hAnsi="Tahoma" w:cs="Tahoma"/>
          <w:b/>
          <w:caps/>
          <w:u w:val="single"/>
        </w:rPr>
        <w:t>Segundo</w:t>
      </w:r>
      <w:r w:rsidRPr="00B93073">
        <w:rPr>
          <w:rFonts w:ascii="Tahoma" w:hAnsi="Tahoma" w:cs="Tahoma"/>
          <w:caps/>
        </w:rPr>
        <w:t xml:space="preserve">.- </w:t>
      </w:r>
      <w:r w:rsidRPr="00B93073">
        <w:rPr>
          <w:rFonts w:ascii="Tahoma" w:hAnsi="Tahoma" w:cs="Tahoma"/>
          <w:b/>
          <w:caps/>
        </w:rPr>
        <w:t>Declarar</w:t>
      </w:r>
      <w:r w:rsidRPr="00AA0A34">
        <w:rPr>
          <w:rFonts w:ascii="Tahoma" w:hAnsi="Tahoma" w:cs="Tahoma"/>
        </w:rPr>
        <w:t xml:space="preserve"> que</w:t>
      </w:r>
      <w:r w:rsidR="00B93073">
        <w:rPr>
          <w:rFonts w:ascii="Tahoma" w:hAnsi="Tahoma" w:cs="Tahoma"/>
        </w:rPr>
        <w:t xml:space="preserve"> la citada demandante tiene</w:t>
      </w:r>
      <w:r w:rsidRPr="00AA0A34">
        <w:rPr>
          <w:rFonts w:ascii="Tahoma" w:hAnsi="Tahoma" w:cs="Tahoma"/>
        </w:rPr>
        <w:t xml:space="preserve"> derecho a la pensión de sobrevivientes</w:t>
      </w:r>
      <w:r w:rsidR="00B93073">
        <w:rPr>
          <w:rFonts w:ascii="Tahoma" w:hAnsi="Tahoma" w:cs="Tahoma"/>
        </w:rPr>
        <w:t xml:space="preserve"> reclamada</w:t>
      </w:r>
      <w:r w:rsidRPr="00AA0A34">
        <w:rPr>
          <w:rFonts w:ascii="Tahoma" w:hAnsi="Tahoma" w:cs="Tahoma"/>
        </w:rPr>
        <w:t xml:space="preserve"> </w:t>
      </w:r>
      <w:r>
        <w:rPr>
          <w:rFonts w:ascii="Tahoma" w:hAnsi="Tahoma" w:cs="Tahoma"/>
        </w:rPr>
        <w:t xml:space="preserve">en cuantía de un salario mínimo mensual </w:t>
      </w:r>
      <w:r w:rsidR="00B93073">
        <w:rPr>
          <w:rFonts w:ascii="Tahoma" w:hAnsi="Tahoma" w:cs="Tahoma"/>
        </w:rPr>
        <w:t xml:space="preserve">desde </w:t>
      </w:r>
      <w:r w:rsidR="00855908">
        <w:rPr>
          <w:rFonts w:ascii="Tahoma" w:hAnsi="Tahoma" w:cs="Tahoma"/>
        </w:rPr>
        <w:t>la fecha de ejecutoria de la presente providencia.</w:t>
      </w:r>
    </w:p>
    <w:p w:rsidR="005B01BC" w:rsidRPr="00AA0A34" w:rsidRDefault="005B01BC" w:rsidP="0052155A">
      <w:pPr>
        <w:spacing w:line="276" w:lineRule="auto"/>
        <w:jc w:val="both"/>
        <w:rPr>
          <w:rFonts w:ascii="Tahoma" w:hAnsi="Tahoma" w:cs="Tahoma"/>
        </w:rPr>
      </w:pPr>
    </w:p>
    <w:p w:rsidR="00C1665C" w:rsidRDefault="00855908" w:rsidP="0052155A">
      <w:pPr>
        <w:spacing w:line="276" w:lineRule="auto"/>
        <w:ind w:firstLine="709"/>
        <w:jc w:val="both"/>
        <w:rPr>
          <w:rFonts w:ascii="Tahoma" w:hAnsi="Tahoma" w:cs="Tahoma"/>
        </w:rPr>
      </w:pPr>
      <w:r w:rsidRPr="00855908">
        <w:rPr>
          <w:rFonts w:ascii="Tahoma" w:hAnsi="Tahoma" w:cs="Tahoma"/>
          <w:b/>
          <w:caps/>
          <w:u w:val="single"/>
        </w:rPr>
        <w:t>tercero</w:t>
      </w:r>
      <w:r w:rsidR="005B01BC" w:rsidRPr="00B93073">
        <w:rPr>
          <w:rFonts w:ascii="Tahoma" w:hAnsi="Tahoma" w:cs="Tahoma"/>
          <w:b/>
          <w:caps/>
        </w:rPr>
        <w:t>.-</w:t>
      </w:r>
      <w:r w:rsidR="005B01BC" w:rsidRPr="00AA0A34">
        <w:rPr>
          <w:rFonts w:ascii="Tahoma" w:hAnsi="Tahoma" w:cs="Tahoma"/>
          <w:b/>
        </w:rPr>
        <w:t xml:space="preserve"> </w:t>
      </w:r>
      <w:r w:rsidR="005B01BC" w:rsidRPr="00AA0A34">
        <w:rPr>
          <w:rFonts w:ascii="Tahoma" w:hAnsi="Tahoma" w:cs="Tahoma"/>
        </w:rPr>
        <w:t>Las costas en ambas instancias correrán a cargo de la entidad demandada en un 100%</w:t>
      </w:r>
      <w:r w:rsidR="00C1665C">
        <w:rPr>
          <w:rFonts w:ascii="Tahoma" w:hAnsi="Tahoma" w:cs="Tahoma"/>
        </w:rPr>
        <w:t xml:space="preserve"> y deberán liquidarse en el juzgado de origen</w:t>
      </w:r>
      <w:r w:rsidR="005B01BC" w:rsidRPr="00AA0A34">
        <w:rPr>
          <w:rFonts w:ascii="Tahoma" w:hAnsi="Tahoma" w:cs="Tahoma"/>
        </w:rPr>
        <w:t>.</w:t>
      </w:r>
    </w:p>
    <w:p w:rsidR="005B01BC" w:rsidRPr="00AA0A34" w:rsidRDefault="005B01BC" w:rsidP="0052155A">
      <w:pPr>
        <w:spacing w:line="276" w:lineRule="auto"/>
        <w:ind w:firstLine="709"/>
        <w:jc w:val="both"/>
        <w:rPr>
          <w:rFonts w:ascii="Tahoma" w:hAnsi="Tahoma" w:cs="Tahoma"/>
        </w:rPr>
      </w:pPr>
      <w:r w:rsidRPr="00AA0A34">
        <w:rPr>
          <w:rFonts w:ascii="Tahoma" w:hAnsi="Tahoma" w:cs="Tahoma"/>
        </w:rPr>
        <w:t xml:space="preserve"> </w:t>
      </w:r>
    </w:p>
    <w:p w:rsidR="005B01BC" w:rsidRPr="00AA0A34" w:rsidRDefault="005B01BC" w:rsidP="0052155A">
      <w:pPr>
        <w:widowControl w:val="0"/>
        <w:autoSpaceDE w:val="0"/>
        <w:autoSpaceDN w:val="0"/>
        <w:adjustRightInd w:val="0"/>
        <w:spacing w:line="276" w:lineRule="auto"/>
        <w:jc w:val="both"/>
        <w:rPr>
          <w:rFonts w:ascii="Tahoma" w:hAnsi="Tahoma" w:cs="Tahoma"/>
          <w:b/>
          <w:bCs/>
        </w:rPr>
      </w:pPr>
      <w:r w:rsidRPr="00AA0A34">
        <w:rPr>
          <w:rFonts w:ascii="Tahoma" w:hAnsi="Tahoma" w:cs="Tahoma"/>
        </w:rPr>
        <w:tab/>
      </w:r>
      <w:r w:rsidRPr="00AA0A34">
        <w:rPr>
          <w:rFonts w:ascii="Tahoma" w:hAnsi="Tahoma" w:cs="Tahoma"/>
          <w:b/>
          <w:bCs/>
        </w:rPr>
        <w:t>Notificación surtida en estrados.</w:t>
      </w:r>
    </w:p>
    <w:p w:rsidR="005B01BC" w:rsidRPr="00AA0A34" w:rsidRDefault="005B01BC" w:rsidP="0052155A">
      <w:pPr>
        <w:widowControl w:val="0"/>
        <w:autoSpaceDE w:val="0"/>
        <w:autoSpaceDN w:val="0"/>
        <w:adjustRightInd w:val="0"/>
        <w:spacing w:line="276" w:lineRule="auto"/>
        <w:jc w:val="both"/>
        <w:rPr>
          <w:rFonts w:ascii="Tahoma" w:hAnsi="Tahoma" w:cs="Tahoma"/>
          <w:b/>
          <w:bCs/>
        </w:rPr>
      </w:pPr>
    </w:p>
    <w:p w:rsidR="005B01BC" w:rsidRPr="00AA0A34" w:rsidRDefault="005B01BC" w:rsidP="0052155A">
      <w:pPr>
        <w:widowControl w:val="0"/>
        <w:autoSpaceDE w:val="0"/>
        <w:autoSpaceDN w:val="0"/>
        <w:adjustRightInd w:val="0"/>
        <w:spacing w:line="276" w:lineRule="auto"/>
        <w:ind w:firstLine="708"/>
        <w:jc w:val="both"/>
        <w:rPr>
          <w:rFonts w:ascii="Tahoma" w:hAnsi="Tahoma" w:cs="Tahoma"/>
        </w:rPr>
      </w:pPr>
      <w:r w:rsidRPr="00AA0A34">
        <w:rPr>
          <w:rFonts w:ascii="Tahoma" w:hAnsi="Tahoma" w:cs="Tahoma"/>
          <w:b/>
        </w:rPr>
        <w:t>Cúmplase</w:t>
      </w:r>
      <w:r w:rsidRPr="00AA0A34">
        <w:rPr>
          <w:rFonts w:ascii="Tahoma" w:hAnsi="Tahoma" w:cs="Tahoma"/>
        </w:rPr>
        <w:t xml:space="preserve"> y </w:t>
      </w:r>
      <w:r w:rsidRPr="00AA0A34">
        <w:rPr>
          <w:rFonts w:ascii="Tahoma" w:hAnsi="Tahoma" w:cs="Tahoma"/>
          <w:b/>
        </w:rPr>
        <w:t>devuélvase</w:t>
      </w:r>
      <w:r w:rsidRPr="00AA0A34">
        <w:rPr>
          <w:rFonts w:ascii="Tahoma" w:hAnsi="Tahoma" w:cs="Tahoma"/>
        </w:rPr>
        <w:t xml:space="preserve"> el expediente al Juzgado de origen.</w:t>
      </w:r>
    </w:p>
    <w:p w:rsidR="005B01BC" w:rsidRPr="00AA0A34" w:rsidRDefault="005B01BC" w:rsidP="00C1665C">
      <w:pPr>
        <w:widowControl w:val="0"/>
        <w:autoSpaceDE w:val="0"/>
        <w:autoSpaceDN w:val="0"/>
        <w:adjustRightInd w:val="0"/>
        <w:spacing w:line="276" w:lineRule="auto"/>
        <w:jc w:val="both"/>
        <w:rPr>
          <w:rFonts w:ascii="Tahoma" w:hAnsi="Tahoma" w:cs="Tahoma"/>
        </w:rPr>
      </w:pPr>
    </w:p>
    <w:p w:rsidR="005B01BC" w:rsidRDefault="005B01BC" w:rsidP="0052155A">
      <w:pPr>
        <w:spacing w:line="276" w:lineRule="auto"/>
        <w:ind w:firstLine="708"/>
        <w:jc w:val="both"/>
        <w:rPr>
          <w:rFonts w:ascii="Tahoma" w:hAnsi="Tahoma" w:cs="Tahoma"/>
        </w:rPr>
      </w:pPr>
      <w:r w:rsidRPr="00AA0A34">
        <w:rPr>
          <w:rFonts w:ascii="Tahoma" w:hAnsi="Tahoma" w:cs="Tahoma"/>
        </w:rPr>
        <w:t xml:space="preserve">Los Magistrados, </w:t>
      </w:r>
    </w:p>
    <w:p w:rsidR="005B01BC" w:rsidRDefault="005B01BC" w:rsidP="0052155A">
      <w:pPr>
        <w:spacing w:line="276" w:lineRule="auto"/>
        <w:rPr>
          <w:rFonts w:ascii="Tahoma" w:hAnsi="Tahoma" w:cs="Tahoma"/>
        </w:rPr>
      </w:pPr>
    </w:p>
    <w:p w:rsidR="005B01BC" w:rsidRPr="00C1665C" w:rsidRDefault="005B01BC" w:rsidP="00C1665C">
      <w:pPr>
        <w:pStyle w:val="Ttulo3"/>
        <w:spacing w:before="0" w:line="276" w:lineRule="auto"/>
        <w:jc w:val="center"/>
        <w:rPr>
          <w:rFonts w:ascii="Tahoma" w:hAnsi="Tahoma" w:cs="Tahoma"/>
          <w:b w:val="0"/>
          <w:bCs w:val="0"/>
          <w:sz w:val="24"/>
          <w:szCs w:val="24"/>
        </w:rPr>
      </w:pPr>
      <w:r w:rsidRPr="005B01BC">
        <w:rPr>
          <w:rFonts w:ascii="Tahoma" w:hAnsi="Tahoma" w:cs="Tahoma"/>
          <w:sz w:val="24"/>
          <w:szCs w:val="24"/>
        </w:rPr>
        <w:t>ANA LUCÍA CAICEDO CALDERÓN</w:t>
      </w:r>
    </w:p>
    <w:p w:rsidR="005B01BC" w:rsidRDefault="005B01BC" w:rsidP="0052155A">
      <w:pPr>
        <w:spacing w:line="276" w:lineRule="auto"/>
        <w:jc w:val="center"/>
        <w:rPr>
          <w:rFonts w:ascii="Tahoma" w:hAnsi="Tahoma" w:cs="Tahoma"/>
          <w:b/>
        </w:rPr>
      </w:pPr>
    </w:p>
    <w:p w:rsidR="00C1665C" w:rsidRPr="005B01BC" w:rsidRDefault="00C1665C" w:rsidP="0052155A">
      <w:pPr>
        <w:spacing w:line="276" w:lineRule="auto"/>
        <w:jc w:val="center"/>
        <w:rPr>
          <w:rFonts w:ascii="Tahoma" w:hAnsi="Tahoma" w:cs="Tahoma"/>
          <w:b/>
        </w:rPr>
      </w:pPr>
    </w:p>
    <w:p w:rsidR="005B01BC" w:rsidRPr="005B01BC" w:rsidRDefault="005B01BC" w:rsidP="0052155A">
      <w:pPr>
        <w:spacing w:line="276" w:lineRule="auto"/>
        <w:rPr>
          <w:rFonts w:ascii="Tahoma" w:hAnsi="Tahoma" w:cs="Tahoma"/>
          <w:b/>
        </w:rPr>
      </w:pPr>
      <w:r w:rsidRPr="005B01BC">
        <w:rPr>
          <w:rFonts w:ascii="Tahoma" w:hAnsi="Tahoma" w:cs="Tahoma"/>
          <w:b/>
        </w:rPr>
        <w:t>JULIO CÉSAR SALAZAR MUÑOZ                     FRANCISCO JAVIER TAMAYO TABARES</w:t>
      </w:r>
    </w:p>
    <w:p w:rsidR="005B01BC" w:rsidRPr="005B01BC" w:rsidRDefault="005B01BC" w:rsidP="0052155A">
      <w:pPr>
        <w:spacing w:line="276" w:lineRule="auto"/>
        <w:rPr>
          <w:rFonts w:ascii="Tahoma" w:hAnsi="Tahoma" w:cs="Tahoma"/>
        </w:rPr>
      </w:pPr>
      <w:r>
        <w:rPr>
          <w:rFonts w:ascii="Tahoma" w:hAnsi="Tahoma" w:cs="Tahoma"/>
          <w:b/>
        </w:rPr>
        <w:t xml:space="preserve">                </w:t>
      </w:r>
      <w:r w:rsidRPr="005B01BC">
        <w:rPr>
          <w:rFonts w:ascii="Tahoma" w:hAnsi="Tahoma" w:cs="Tahoma"/>
        </w:rPr>
        <w:t xml:space="preserve">Salva voto </w:t>
      </w:r>
    </w:p>
    <w:p w:rsidR="005B01BC" w:rsidRPr="005B01BC" w:rsidRDefault="005B01BC" w:rsidP="0052155A">
      <w:pPr>
        <w:spacing w:line="276" w:lineRule="auto"/>
        <w:rPr>
          <w:rFonts w:ascii="Tahoma" w:hAnsi="Tahoma" w:cs="Tahoma"/>
        </w:rPr>
      </w:pPr>
    </w:p>
    <w:p w:rsidR="005B01BC" w:rsidRDefault="005B01BC" w:rsidP="0052155A">
      <w:pPr>
        <w:spacing w:line="276" w:lineRule="auto"/>
        <w:jc w:val="center"/>
      </w:pPr>
      <w:r>
        <w:rPr>
          <w:rFonts w:ascii="Tahoma" w:hAnsi="Tahoma" w:cs="Tahoma"/>
          <w:b/>
        </w:rPr>
        <w:t>_________________________</w:t>
      </w:r>
    </w:p>
    <w:p w:rsidR="005B01BC" w:rsidRDefault="005B01BC" w:rsidP="0052155A">
      <w:pPr>
        <w:widowControl w:val="0"/>
        <w:autoSpaceDE w:val="0"/>
        <w:autoSpaceDN w:val="0"/>
        <w:adjustRightInd w:val="0"/>
        <w:spacing w:line="276" w:lineRule="auto"/>
        <w:jc w:val="center"/>
        <w:rPr>
          <w:rFonts w:ascii="Tahoma" w:hAnsi="Tahoma" w:cs="Tahoma"/>
          <w:b/>
        </w:rPr>
      </w:pPr>
      <w:r w:rsidRPr="00CB02C4">
        <w:rPr>
          <w:rFonts w:ascii="Tahoma" w:hAnsi="Tahoma" w:cs="Tahoma"/>
          <w:b/>
        </w:rPr>
        <w:t>Secretario Ad-Hoc</w:t>
      </w:r>
    </w:p>
    <w:p w:rsidR="005B01BC" w:rsidRDefault="005B01BC" w:rsidP="005B01BC">
      <w:pPr>
        <w:widowControl w:val="0"/>
        <w:autoSpaceDE w:val="0"/>
        <w:autoSpaceDN w:val="0"/>
        <w:adjustRightInd w:val="0"/>
        <w:jc w:val="center"/>
        <w:rPr>
          <w:rFonts w:ascii="Tahoma" w:hAnsi="Tahoma" w:cs="Tahoma"/>
          <w:b/>
        </w:rPr>
      </w:pPr>
    </w:p>
    <w:p w:rsidR="005B01BC" w:rsidRDefault="005B01BC" w:rsidP="005B01BC">
      <w:pPr>
        <w:widowControl w:val="0"/>
        <w:autoSpaceDE w:val="0"/>
        <w:autoSpaceDN w:val="0"/>
        <w:adjustRightInd w:val="0"/>
        <w:jc w:val="center"/>
        <w:rPr>
          <w:rFonts w:ascii="Tahoma" w:hAnsi="Tahoma" w:cs="Tahoma"/>
          <w:b/>
        </w:rPr>
      </w:pPr>
    </w:p>
    <w:p w:rsidR="005B01BC" w:rsidRDefault="005B01BC" w:rsidP="005B01BC">
      <w:pPr>
        <w:widowControl w:val="0"/>
        <w:autoSpaceDE w:val="0"/>
        <w:autoSpaceDN w:val="0"/>
        <w:adjustRightInd w:val="0"/>
        <w:jc w:val="center"/>
        <w:rPr>
          <w:rFonts w:ascii="Tahoma" w:hAnsi="Tahoma" w:cs="Tahoma"/>
          <w:b/>
        </w:rPr>
      </w:pPr>
    </w:p>
    <w:p w:rsidR="005B01BC" w:rsidRDefault="005B01BC" w:rsidP="005B01BC">
      <w:pPr>
        <w:widowControl w:val="0"/>
        <w:autoSpaceDE w:val="0"/>
        <w:autoSpaceDN w:val="0"/>
        <w:adjustRightInd w:val="0"/>
        <w:jc w:val="center"/>
        <w:rPr>
          <w:rFonts w:ascii="Tahoma" w:hAnsi="Tahoma" w:cs="Tahoma"/>
          <w:b/>
        </w:rPr>
      </w:pPr>
      <w:r w:rsidRPr="00B80833">
        <w:rPr>
          <w:rFonts w:ascii="Tahoma" w:hAnsi="Tahoma" w:cs="Tahoma"/>
          <w:b/>
        </w:rPr>
        <w:t>LIQUIDACIÓN RETROACTIVO</w:t>
      </w:r>
    </w:p>
    <w:p w:rsidR="00C1665C" w:rsidRDefault="00C1665C" w:rsidP="005B01BC">
      <w:pPr>
        <w:widowControl w:val="0"/>
        <w:autoSpaceDE w:val="0"/>
        <w:autoSpaceDN w:val="0"/>
        <w:adjustRightInd w:val="0"/>
        <w:jc w:val="center"/>
        <w:rPr>
          <w:rFonts w:ascii="Tahoma" w:hAnsi="Tahoma" w:cs="Tahoma"/>
          <w:b/>
        </w:rPr>
      </w:pPr>
    </w:p>
    <w:p w:rsidR="00C1665C" w:rsidRDefault="00C1665C" w:rsidP="005B01BC">
      <w:pPr>
        <w:widowControl w:val="0"/>
        <w:autoSpaceDE w:val="0"/>
        <w:autoSpaceDN w:val="0"/>
        <w:adjustRightInd w:val="0"/>
        <w:jc w:val="center"/>
        <w:rPr>
          <w:rFonts w:ascii="Tahoma" w:hAnsi="Tahoma" w:cs="Tahoma"/>
          <w:b/>
        </w:rPr>
      </w:pPr>
    </w:p>
    <w:p w:rsidR="005B01BC" w:rsidRPr="00B80833" w:rsidRDefault="005B01BC" w:rsidP="005B01BC">
      <w:pPr>
        <w:widowControl w:val="0"/>
        <w:autoSpaceDE w:val="0"/>
        <w:autoSpaceDN w:val="0"/>
        <w:adjustRightInd w:val="0"/>
        <w:jc w:val="center"/>
        <w:rPr>
          <w:rFonts w:ascii="Tahoma" w:hAnsi="Tahoma" w:cs="Tahoma"/>
          <w:b/>
        </w:rPr>
      </w:pPr>
    </w:p>
    <w:tbl>
      <w:tblPr>
        <w:tblStyle w:val="Tablanormal1"/>
        <w:tblW w:w="0" w:type="auto"/>
        <w:jc w:val="center"/>
        <w:tblLayout w:type="fixed"/>
        <w:tblLook w:val="0000" w:firstRow="0" w:lastRow="0" w:firstColumn="0" w:lastColumn="0" w:noHBand="0" w:noVBand="0"/>
      </w:tblPr>
      <w:tblGrid>
        <w:gridCol w:w="704"/>
        <w:gridCol w:w="1423"/>
        <w:gridCol w:w="1417"/>
        <w:gridCol w:w="1559"/>
      </w:tblGrid>
      <w:tr w:rsidR="006830D2" w:rsidRPr="006830D2" w:rsidTr="00B93073">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704" w:type="dxa"/>
            <w:vAlign w:val="center"/>
          </w:tcPr>
          <w:p w:rsidR="006830D2" w:rsidRPr="006830D2" w:rsidRDefault="00B93073" w:rsidP="00B93073">
            <w:pPr>
              <w:autoSpaceDE w:val="0"/>
              <w:autoSpaceDN w:val="0"/>
              <w:adjustRightInd w:val="0"/>
              <w:jc w:val="center"/>
              <w:rPr>
                <w:rFonts w:ascii="Calibri" w:eastAsiaTheme="minorHAnsi" w:hAnsi="Calibri" w:cs="Calibri"/>
                <w:b/>
                <w:color w:val="000000"/>
                <w:sz w:val="22"/>
                <w:szCs w:val="22"/>
                <w:lang w:eastAsia="en-US"/>
              </w:rPr>
            </w:pPr>
            <w:r w:rsidRPr="00B93073">
              <w:rPr>
                <w:rFonts w:ascii="Calibri" w:eastAsiaTheme="minorHAnsi" w:hAnsi="Calibri" w:cs="Calibri"/>
                <w:b/>
                <w:color w:val="000000"/>
                <w:sz w:val="22"/>
                <w:szCs w:val="22"/>
                <w:lang w:eastAsia="en-US"/>
              </w:rPr>
              <w:t>AÑO</w:t>
            </w:r>
          </w:p>
        </w:tc>
        <w:tc>
          <w:tcPr>
            <w:tcW w:w="1423" w:type="dxa"/>
            <w:vAlign w:val="center"/>
          </w:tcPr>
          <w:p w:rsidR="006830D2" w:rsidRPr="006830D2" w:rsidRDefault="006830D2" w:rsidP="00B9307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color w:val="000000"/>
                <w:sz w:val="22"/>
                <w:szCs w:val="22"/>
                <w:lang w:eastAsia="en-US"/>
              </w:rPr>
            </w:pPr>
            <w:r w:rsidRPr="006830D2">
              <w:rPr>
                <w:rFonts w:ascii="Calibri" w:eastAsiaTheme="minorHAnsi" w:hAnsi="Calibri" w:cs="Calibri"/>
                <w:b/>
                <w:color w:val="000000"/>
                <w:sz w:val="22"/>
                <w:szCs w:val="22"/>
                <w:lang w:eastAsia="en-US"/>
              </w:rPr>
              <w:t>No. MESADAS</w:t>
            </w: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6830D2" w:rsidRPr="006830D2" w:rsidRDefault="006830D2" w:rsidP="00B93073">
            <w:pPr>
              <w:autoSpaceDE w:val="0"/>
              <w:autoSpaceDN w:val="0"/>
              <w:adjustRightInd w:val="0"/>
              <w:jc w:val="center"/>
              <w:rPr>
                <w:rFonts w:ascii="Calibri" w:eastAsiaTheme="minorHAnsi" w:hAnsi="Calibri" w:cs="Calibri"/>
                <w:b/>
                <w:color w:val="000000"/>
                <w:sz w:val="22"/>
                <w:szCs w:val="22"/>
                <w:lang w:eastAsia="en-US"/>
              </w:rPr>
            </w:pPr>
            <w:r w:rsidRPr="006830D2">
              <w:rPr>
                <w:rFonts w:ascii="Calibri" w:eastAsiaTheme="minorHAnsi" w:hAnsi="Calibri" w:cs="Calibri"/>
                <w:b/>
                <w:color w:val="000000"/>
                <w:sz w:val="22"/>
                <w:szCs w:val="22"/>
                <w:lang w:eastAsia="en-US"/>
              </w:rPr>
              <w:t>SMLMV</w:t>
            </w:r>
          </w:p>
        </w:tc>
        <w:tc>
          <w:tcPr>
            <w:tcW w:w="1559" w:type="dxa"/>
            <w:vAlign w:val="center"/>
          </w:tcPr>
          <w:p w:rsidR="006830D2" w:rsidRPr="006830D2" w:rsidRDefault="006830D2" w:rsidP="00B9307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color w:val="000000"/>
                <w:sz w:val="22"/>
                <w:szCs w:val="22"/>
                <w:lang w:eastAsia="en-US"/>
              </w:rPr>
            </w:pPr>
            <w:r w:rsidRPr="00B93073">
              <w:rPr>
                <w:rFonts w:ascii="Calibri" w:eastAsiaTheme="minorHAnsi" w:hAnsi="Calibri" w:cs="Calibri"/>
                <w:b/>
                <w:color w:val="000000"/>
                <w:sz w:val="22"/>
                <w:szCs w:val="22"/>
                <w:lang w:eastAsia="en-US"/>
              </w:rPr>
              <w:t>SUB</w:t>
            </w:r>
            <w:r w:rsidRPr="006830D2">
              <w:rPr>
                <w:rFonts w:ascii="Calibri" w:eastAsiaTheme="minorHAnsi" w:hAnsi="Calibri" w:cs="Calibri"/>
                <w:b/>
                <w:color w:val="000000"/>
                <w:sz w:val="22"/>
                <w:szCs w:val="22"/>
                <w:lang w:eastAsia="en-US"/>
              </w:rPr>
              <w:t>TOTAL</w:t>
            </w:r>
          </w:p>
        </w:tc>
      </w:tr>
      <w:tr w:rsidR="006830D2" w:rsidRPr="006830D2" w:rsidTr="00B93073">
        <w:trPr>
          <w:trHeight w:val="290"/>
          <w:jc w:val="center"/>
        </w:trPr>
        <w:tc>
          <w:tcPr>
            <w:cnfStyle w:val="000010000000" w:firstRow="0" w:lastRow="0" w:firstColumn="0" w:lastColumn="0" w:oddVBand="1" w:evenVBand="0" w:oddHBand="0" w:evenHBand="0" w:firstRowFirstColumn="0" w:firstRowLastColumn="0" w:lastRowFirstColumn="0" w:lastRowLastColumn="0"/>
            <w:tcW w:w="704"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2009</w:t>
            </w:r>
          </w:p>
        </w:tc>
        <w:tc>
          <w:tcPr>
            <w:tcW w:w="1423" w:type="dxa"/>
            <w:vAlign w:val="center"/>
          </w:tcPr>
          <w:p w:rsidR="006830D2" w:rsidRPr="006830D2" w:rsidRDefault="006830D2" w:rsidP="00B9307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0,5</w:t>
            </w:r>
          </w:p>
        </w:tc>
        <w:tc>
          <w:tcPr>
            <w:cnfStyle w:val="000010000000" w:firstRow="0" w:lastRow="0" w:firstColumn="0" w:lastColumn="0" w:oddVBand="1" w:evenVBand="0" w:oddHBand="0" w:evenHBand="0" w:firstRowFirstColumn="0" w:firstRowLastColumn="0" w:lastRowFirstColumn="0" w:lastRowLastColumn="0"/>
            <w:tcW w:w="1417"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$496.900</w:t>
            </w:r>
          </w:p>
        </w:tc>
        <w:tc>
          <w:tcPr>
            <w:tcW w:w="1559" w:type="dxa"/>
          </w:tcPr>
          <w:p w:rsidR="006830D2" w:rsidRPr="006830D2" w:rsidRDefault="006830D2" w:rsidP="006830D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$248.450</w:t>
            </w:r>
          </w:p>
        </w:tc>
      </w:tr>
      <w:tr w:rsidR="006830D2" w:rsidRPr="006830D2" w:rsidTr="00B93073">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704"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2010</w:t>
            </w:r>
          </w:p>
        </w:tc>
        <w:tc>
          <w:tcPr>
            <w:tcW w:w="1423" w:type="dxa"/>
            <w:vAlign w:val="center"/>
          </w:tcPr>
          <w:p w:rsidR="006830D2" w:rsidRPr="006830D2" w:rsidRDefault="006830D2" w:rsidP="00B9307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14</w:t>
            </w:r>
          </w:p>
        </w:tc>
        <w:tc>
          <w:tcPr>
            <w:cnfStyle w:val="000010000000" w:firstRow="0" w:lastRow="0" w:firstColumn="0" w:lastColumn="0" w:oddVBand="1" w:evenVBand="0" w:oddHBand="0" w:evenHBand="0" w:firstRowFirstColumn="0" w:firstRowLastColumn="0" w:lastRowFirstColumn="0" w:lastRowLastColumn="0"/>
            <w:tcW w:w="1417"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$515.000</w:t>
            </w:r>
          </w:p>
        </w:tc>
        <w:tc>
          <w:tcPr>
            <w:tcW w:w="1559" w:type="dxa"/>
          </w:tcPr>
          <w:p w:rsidR="006830D2" w:rsidRPr="006830D2" w:rsidRDefault="006830D2" w:rsidP="006830D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$7.210.000</w:t>
            </w:r>
          </w:p>
        </w:tc>
      </w:tr>
      <w:tr w:rsidR="006830D2" w:rsidRPr="006830D2" w:rsidTr="00B93073">
        <w:trPr>
          <w:trHeight w:val="290"/>
          <w:jc w:val="center"/>
        </w:trPr>
        <w:tc>
          <w:tcPr>
            <w:cnfStyle w:val="000010000000" w:firstRow="0" w:lastRow="0" w:firstColumn="0" w:lastColumn="0" w:oddVBand="1" w:evenVBand="0" w:oddHBand="0" w:evenHBand="0" w:firstRowFirstColumn="0" w:firstRowLastColumn="0" w:lastRowFirstColumn="0" w:lastRowLastColumn="0"/>
            <w:tcW w:w="704"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2011</w:t>
            </w:r>
          </w:p>
        </w:tc>
        <w:tc>
          <w:tcPr>
            <w:tcW w:w="1423" w:type="dxa"/>
            <w:vAlign w:val="center"/>
          </w:tcPr>
          <w:p w:rsidR="006830D2" w:rsidRPr="006830D2" w:rsidRDefault="006830D2" w:rsidP="00B9307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14</w:t>
            </w:r>
          </w:p>
        </w:tc>
        <w:tc>
          <w:tcPr>
            <w:cnfStyle w:val="000010000000" w:firstRow="0" w:lastRow="0" w:firstColumn="0" w:lastColumn="0" w:oddVBand="1" w:evenVBand="0" w:oddHBand="0" w:evenHBand="0" w:firstRowFirstColumn="0" w:firstRowLastColumn="0" w:lastRowFirstColumn="0" w:lastRowLastColumn="0"/>
            <w:tcW w:w="1417"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$535.600</w:t>
            </w:r>
          </w:p>
        </w:tc>
        <w:tc>
          <w:tcPr>
            <w:tcW w:w="1559" w:type="dxa"/>
          </w:tcPr>
          <w:p w:rsidR="006830D2" w:rsidRPr="006830D2" w:rsidRDefault="006830D2" w:rsidP="006830D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$7.498.400</w:t>
            </w:r>
          </w:p>
        </w:tc>
      </w:tr>
      <w:tr w:rsidR="006830D2" w:rsidRPr="006830D2" w:rsidTr="00B93073">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704"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2012</w:t>
            </w:r>
          </w:p>
        </w:tc>
        <w:tc>
          <w:tcPr>
            <w:tcW w:w="1423" w:type="dxa"/>
            <w:vAlign w:val="center"/>
          </w:tcPr>
          <w:p w:rsidR="006830D2" w:rsidRPr="006830D2" w:rsidRDefault="006830D2" w:rsidP="00B9307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14</w:t>
            </w:r>
          </w:p>
        </w:tc>
        <w:tc>
          <w:tcPr>
            <w:cnfStyle w:val="000010000000" w:firstRow="0" w:lastRow="0" w:firstColumn="0" w:lastColumn="0" w:oddVBand="1" w:evenVBand="0" w:oddHBand="0" w:evenHBand="0" w:firstRowFirstColumn="0" w:firstRowLastColumn="0" w:lastRowFirstColumn="0" w:lastRowLastColumn="0"/>
            <w:tcW w:w="1417"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$566.700</w:t>
            </w:r>
          </w:p>
        </w:tc>
        <w:tc>
          <w:tcPr>
            <w:tcW w:w="1559" w:type="dxa"/>
          </w:tcPr>
          <w:p w:rsidR="006830D2" w:rsidRPr="006830D2" w:rsidRDefault="006830D2" w:rsidP="006830D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$7.933.800</w:t>
            </w:r>
          </w:p>
        </w:tc>
      </w:tr>
      <w:tr w:rsidR="006830D2" w:rsidRPr="006830D2" w:rsidTr="00B93073">
        <w:trPr>
          <w:trHeight w:val="290"/>
          <w:jc w:val="center"/>
        </w:trPr>
        <w:tc>
          <w:tcPr>
            <w:cnfStyle w:val="000010000000" w:firstRow="0" w:lastRow="0" w:firstColumn="0" w:lastColumn="0" w:oddVBand="1" w:evenVBand="0" w:oddHBand="0" w:evenHBand="0" w:firstRowFirstColumn="0" w:firstRowLastColumn="0" w:lastRowFirstColumn="0" w:lastRowLastColumn="0"/>
            <w:tcW w:w="704"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2013</w:t>
            </w:r>
          </w:p>
        </w:tc>
        <w:tc>
          <w:tcPr>
            <w:tcW w:w="1423" w:type="dxa"/>
            <w:vAlign w:val="center"/>
          </w:tcPr>
          <w:p w:rsidR="006830D2" w:rsidRPr="006830D2" w:rsidRDefault="006830D2" w:rsidP="00B9307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14</w:t>
            </w:r>
          </w:p>
        </w:tc>
        <w:tc>
          <w:tcPr>
            <w:cnfStyle w:val="000010000000" w:firstRow="0" w:lastRow="0" w:firstColumn="0" w:lastColumn="0" w:oddVBand="1" w:evenVBand="0" w:oddHBand="0" w:evenHBand="0" w:firstRowFirstColumn="0" w:firstRowLastColumn="0" w:lastRowFirstColumn="0" w:lastRowLastColumn="0"/>
            <w:tcW w:w="1417"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$589.500</w:t>
            </w:r>
          </w:p>
        </w:tc>
        <w:tc>
          <w:tcPr>
            <w:tcW w:w="1559" w:type="dxa"/>
          </w:tcPr>
          <w:p w:rsidR="006830D2" w:rsidRPr="006830D2" w:rsidRDefault="006830D2" w:rsidP="006830D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$8.253.000</w:t>
            </w:r>
          </w:p>
        </w:tc>
      </w:tr>
      <w:tr w:rsidR="006830D2" w:rsidRPr="006830D2" w:rsidTr="00B93073">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704"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2014</w:t>
            </w:r>
          </w:p>
        </w:tc>
        <w:tc>
          <w:tcPr>
            <w:tcW w:w="1423" w:type="dxa"/>
            <w:vAlign w:val="center"/>
          </w:tcPr>
          <w:p w:rsidR="006830D2" w:rsidRPr="006830D2" w:rsidRDefault="006830D2" w:rsidP="00B9307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14</w:t>
            </w:r>
          </w:p>
        </w:tc>
        <w:tc>
          <w:tcPr>
            <w:cnfStyle w:val="000010000000" w:firstRow="0" w:lastRow="0" w:firstColumn="0" w:lastColumn="0" w:oddVBand="1" w:evenVBand="0" w:oddHBand="0" w:evenHBand="0" w:firstRowFirstColumn="0" w:firstRowLastColumn="0" w:lastRowFirstColumn="0" w:lastRowLastColumn="0"/>
            <w:tcW w:w="1417"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$616.000</w:t>
            </w:r>
          </w:p>
        </w:tc>
        <w:tc>
          <w:tcPr>
            <w:tcW w:w="1559" w:type="dxa"/>
          </w:tcPr>
          <w:p w:rsidR="006830D2" w:rsidRPr="006830D2" w:rsidRDefault="006830D2" w:rsidP="006830D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$8.624.000</w:t>
            </w:r>
          </w:p>
        </w:tc>
      </w:tr>
      <w:tr w:rsidR="006830D2" w:rsidRPr="006830D2" w:rsidTr="00B93073">
        <w:trPr>
          <w:trHeight w:val="290"/>
          <w:jc w:val="center"/>
        </w:trPr>
        <w:tc>
          <w:tcPr>
            <w:cnfStyle w:val="000010000000" w:firstRow="0" w:lastRow="0" w:firstColumn="0" w:lastColumn="0" w:oddVBand="1" w:evenVBand="0" w:oddHBand="0" w:evenHBand="0" w:firstRowFirstColumn="0" w:firstRowLastColumn="0" w:lastRowFirstColumn="0" w:lastRowLastColumn="0"/>
            <w:tcW w:w="704"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2015</w:t>
            </w:r>
          </w:p>
        </w:tc>
        <w:tc>
          <w:tcPr>
            <w:tcW w:w="1423" w:type="dxa"/>
            <w:vAlign w:val="center"/>
          </w:tcPr>
          <w:p w:rsidR="006830D2" w:rsidRPr="006830D2" w:rsidRDefault="006830D2" w:rsidP="00B9307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14</w:t>
            </w:r>
          </w:p>
        </w:tc>
        <w:tc>
          <w:tcPr>
            <w:cnfStyle w:val="000010000000" w:firstRow="0" w:lastRow="0" w:firstColumn="0" w:lastColumn="0" w:oddVBand="1" w:evenVBand="0" w:oddHBand="0" w:evenHBand="0" w:firstRowFirstColumn="0" w:firstRowLastColumn="0" w:lastRowFirstColumn="0" w:lastRowLastColumn="0"/>
            <w:tcW w:w="1417"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$644.350</w:t>
            </w:r>
          </w:p>
        </w:tc>
        <w:tc>
          <w:tcPr>
            <w:tcW w:w="1559" w:type="dxa"/>
          </w:tcPr>
          <w:p w:rsidR="006830D2" w:rsidRPr="006830D2" w:rsidRDefault="006830D2" w:rsidP="006830D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$9.020.900</w:t>
            </w:r>
          </w:p>
        </w:tc>
      </w:tr>
      <w:tr w:rsidR="006830D2" w:rsidRPr="006830D2" w:rsidTr="00B93073">
        <w:trPr>
          <w:cnfStyle w:val="000000100000" w:firstRow="0" w:lastRow="0" w:firstColumn="0" w:lastColumn="0" w:oddVBand="0" w:evenVBand="0" w:oddHBand="1" w:evenHBand="0" w:firstRowFirstColumn="0" w:firstRowLastColumn="0" w:lastRowFirstColumn="0" w:lastRowLastColumn="0"/>
          <w:trHeight w:val="207"/>
          <w:jc w:val="center"/>
        </w:trPr>
        <w:tc>
          <w:tcPr>
            <w:cnfStyle w:val="000010000000" w:firstRow="0" w:lastRow="0" w:firstColumn="0" w:lastColumn="0" w:oddVBand="1" w:evenVBand="0" w:oddHBand="0" w:evenHBand="0" w:firstRowFirstColumn="0" w:firstRowLastColumn="0" w:lastRowFirstColumn="0" w:lastRowLastColumn="0"/>
            <w:tcW w:w="704" w:type="dxa"/>
            <w:tcBorders>
              <w:bottom w:val="single" w:sz="4" w:space="0" w:color="BFBFBF" w:themeColor="background1" w:themeShade="BF"/>
            </w:tcBorders>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2015</w:t>
            </w:r>
          </w:p>
        </w:tc>
        <w:tc>
          <w:tcPr>
            <w:tcW w:w="1423" w:type="dxa"/>
            <w:tcBorders>
              <w:bottom w:val="single" w:sz="4" w:space="0" w:color="BFBFBF" w:themeColor="background1" w:themeShade="BF"/>
            </w:tcBorders>
            <w:vAlign w:val="center"/>
          </w:tcPr>
          <w:p w:rsidR="006830D2" w:rsidRPr="006830D2" w:rsidRDefault="006830D2" w:rsidP="00B9307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8</w:t>
            </w:r>
          </w:p>
        </w:tc>
        <w:tc>
          <w:tcPr>
            <w:cnfStyle w:val="000010000000" w:firstRow="0" w:lastRow="0" w:firstColumn="0" w:lastColumn="0" w:oddVBand="1" w:evenVBand="0" w:oddHBand="0" w:evenHBand="0" w:firstRowFirstColumn="0" w:firstRowLastColumn="0" w:lastRowFirstColumn="0" w:lastRowLastColumn="0"/>
            <w:tcW w:w="1417" w:type="dxa"/>
          </w:tcPr>
          <w:p w:rsidR="006830D2" w:rsidRPr="006830D2" w:rsidRDefault="006830D2" w:rsidP="006830D2">
            <w:pPr>
              <w:autoSpaceDE w:val="0"/>
              <w:autoSpaceDN w:val="0"/>
              <w:adjustRightInd w:val="0"/>
              <w:jc w:val="right"/>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$689.455</w:t>
            </w:r>
          </w:p>
        </w:tc>
        <w:tc>
          <w:tcPr>
            <w:tcW w:w="1559" w:type="dxa"/>
          </w:tcPr>
          <w:p w:rsidR="006830D2" w:rsidRPr="006830D2" w:rsidRDefault="006830D2" w:rsidP="006830D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22"/>
                <w:szCs w:val="22"/>
                <w:lang w:eastAsia="en-US"/>
              </w:rPr>
            </w:pPr>
            <w:r w:rsidRPr="006830D2">
              <w:rPr>
                <w:rFonts w:ascii="Calibri" w:eastAsiaTheme="minorHAnsi" w:hAnsi="Calibri" w:cs="Calibri"/>
                <w:color w:val="000000"/>
                <w:sz w:val="22"/>
                <w:szCs w:val="22"/>
                <w:lang w:eastAsia="en-US"/>
              </w:rPr>
              <w:t>$5.515.640</w:t>
            </w:r>
          </w:p>
        </w:tc>
      </w:tr>
      <w:tr w:rsidR="00B93073" w:rsidRPr="006830D2" w:rsidTr="00B93073">
        <w:trPr>
          <w:trHeight w:val="637"/>
          <w:jc w:val="center"/>
        </w:trPr>
        <w:tc>
          <w:tcPr>
            <w:cnfStyle w:val="000010000000" w:firstRow="0" w:lastRow="0" w:firstColumn="0" w:lastColumn="0" w:oddVBand="1" w:evenVBand="0" w:oddHBand="0" w:evenHBand="0" w:firstRowFirstColumn="0" w:firstRowLastColumn="0" w:lastRowFirstColumn="0" w:lastRowLastColumn="0"/>
            <w:tcW w:w="2127" w:type="dxa"/>
            <w:gridSpan w:val="2"/>
            <w:tcBorders>
              <w:left w:val="nil"/>
              <w:bottom w:val="nil"/>
            </w:tcBorders>
            <w:vAlign w:val="center"/>
          </w:tcPr>
          <w:p w:rsidR="00B93073" w:rsidRPr="006830D2" w:rsidRDefault="00B93073" w:rsidP="00B93073">
            <w:pPr>
              <w:autoSpaceDE w:val="0"/>
              <w:autoSpaceDN w:val="0"/>
              <w:adjustRightInd w:val="0"/>
              <w:jc w:val="center"/>
              <w:rPr>
                <w:rFonts w:ascii="Calibri" w:eastAsiaTheme="minorHAnsi" w:hAnsi="Calibri" w:cs="Calibri"/>
                <w:color w:val="000000"/>
                <w:sz w:val="22"/>
                <w:szCs w:val="22"/>
                <w:lang w:eastAsia="en-US"/>
              </w:rPr>
            </w:pPr>
          </w:p>
        </w:tc>
        <w:tc>
          <w:tcPr>
            <w:tcW w:w="1417" w:type="dxa"/>
            <w:vAlign w:val="center"/>
          </w:tcPr>
          <w:p w:rsidR="00B93073" w:rsidRPr="006830D2" w:rsidRDefault="00B93073" w:rsidP="00B9307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bCs/>
                <w:color w:val="000000"/>
                <w:sz w:val="22"/>
                <w:szCs w:val="22"/>
                <w:lang w:eastAsia="en-US"/>
              </w:rPr>
            </w:pPr>
            <w:r w:rsidRPr="006830D2">
              <w:rPr>
                <w:rFonts w:ascii="Calibri" w:eastAsiaTheme="minorHAnsi" w:hAnsi="Calibri" w:cs="Calibri"/>
                <w:b/>
                <w:bCs/>
                <w:color w:val="000000"/>
                <w:sz w:val="22"/>
                <w:szCs w:val="22"/>
                <w:lang w:eastAsia="en-US"/>
              </w:rPr>
              <w:t>GRAN TOTAL</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93073" w:rsidRPr="006830D2" w:rsidRDefault="00B93073" w:rsidP="00B93073">
            <w:pPr>
              <w:autoSpaceDE w:val="0"/>
              <w:autoSpaceDN w:val="0"/>
              <w:adjustRightInd w:val="0"/>
              <w:jc w:val="center"/>
              <w:rPr>
                <w:rFonts w:ascii="Calibri" w:eastAsiaTheme="minorHAnsi" w:hAnsi="Calibri" w:cs="Calibri"/>
                <w:b/>
                <w:bCs/>
                <w:color w:val="000000"/>
                <w:sz w:val="22"/>
                <w:szCs w:val="22"/>
                <w:lang w:eastAsia="en-US"/>
              </w:rPr>
            </w:pPr>
            <w:r w:rsidRPr="006830D2">
              <w:rPr>
                <w:rFonts w:ascii="Calibri" w:eastAsiaTheme="minorHAnsi" w:hAnsi="Calibri" w:cs="Calibri"/>
                <w:b/>
                <w:bCs/>
                <w:color w:val="000000"/>
                <w:sz w:val="22"/>
                <w:szCs w:val="22"/>
                <w:lang w:eastAsia="en-US"/>
              </w:rPr>
              <w:t>$54.304.190</w:t>
            </w:r>
          </w:p>
        </w:tc>
      </w:tr>
    </w:tbl>
    <w:p w:rsidR="005B01BC" w:rsidRDefault="005B01BC" w:rsidP="005B01BC">
      <w:pPr>
        <w:widowControl w:val="0"/>
        <w:autoSpaceDE w:val="0"/>
        <w:autoSpaceDN w:val="0"/>
        <w:adjustRightInd w:val="0"/>
        <w:jc w:val="center"/>
        <w:rPr>
          <w:rFonts w:ascii="Tahoma" w:hAnsi="Tahoma" w:cs="Tahoma"/>
        </w:rPr>
      </w:pPr>
    </w:p>
    <w:p w:rsidR="00C1665C" w:rsidRDefault="00C1665C" w:rsidP="005B01BC">
      <w:pPr>
        <w:pStyle w:val="Ttulo3"/>
        <w:spacing w:before="0" w:line="360" w:lineRule="auto"/>
        <w:jc w:val="center"/>
        <w:rPr>
          <w:rFonts w:ascii="Tahoma" w:hAnsi="Tahoma" w:cs="Tahoma"/>
        </w:rPr>
      </w:pPr>
    </w:p>
    <w:p w:rsidR="00C1665C" w:rsidRDefault="00C1665C" w:rsidP="005B01BC">
      <w:pPr>
        <w:pStyle w:val="Ttulo3"/>
        <w:spacing w:before="0" w:line="360" w:lineRule="auto"/>
        <w:jc w:val="center"/>
        <w:rPr>
          <w:rFonts w:ascii="Tahoma" w:hAnsi="Tahoma" w:cs="Tahoma"/>
        </w:rPr>
      </w:pPr>
    </w:p>
    <w:p w:rsidR="005B01BC" w:rsidRPr="00AA0A34" w:rsidRDefault="005B01BC" w:rsidP="005B01BC">
      <w:pPr>
        <w:pStyle w:val="Ttulo3"/>
        <w:spacing w:before="0" w:line="360" w:lineRule="auto"/>
        <w:jc w:val="center"/>
        <w:rPr>
          <w:rFonts w:ascii="Tahoma" w:hAnsi="Tahoma" w:cs="Tahoma"/>
          <w:b w:val="0"/>
          <w:bCs w:val="0"/>
        </w:rPr>
      </w:pPr>
      <w:r w:rsidRPr="00AA0A34">
        <w:rPr>
          <w:rFonts w:ascii="Tahoma" w:hAnsi="Tahoma" w:cs="Tahoma"/>
        </w:rPr>
        <w:t>ANA LUCÍA CAICEDO CALDERÓN</w:t>
      </w:r>
    </w:p>
    <w:p w:rsidR="005B01BC" w:rsidRPr="00B80833" w:rsidRDefault="005B01BC" w:rsidP="005B01BC">
      <w:pPr>
        <w:widowControl w:val="0"/>
        <w:autoSpaceDE w:val="0"/>
        <w:autoSpaceDN w:val="0"/>
        <w:adjustRightInd w:val="0"/>
        <w:spacing w:line="360" w:lineRule="auto"/>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B80833">
        <w:rPr>
          <w:rFonts w:ascii="Tahoma" w:hAnsi="Tahoma" w:cs="Tahoma"/>
        </w:rPr>
        <w:t>Magistrada</w:t>
      </w:r>
    </w:p>
    <w:p w:rsidR="005B01BC" w:rsidRPr="00CB02C4" w:rsidRDefault="005B01BC" w:rsidP="005B01BC">
      <w:pPr>
        <w:widowControl w:val="0"/>
        <w:autoSpaceDE w:val="0"/>
        <w:autoSpaceDN w:val="0"/>
        <w:adjustRightInd w:val="0"/>
        <w:jc w:val="center"/>
        <w:rPr>
          <w:rFonts w:ascii="Tahoma" w:hAnsi="Tahoma" w:cs="Tahoma"/>
          <w:b/>
        </w:rPr>
      </w:pPr>
    </w:p>
    <w:p w:rsidR="005516DF" w:rsidRDefault="005516DF" w:rsidP="005B01BC">
      <w:pPr>
        <w:autoSpaceDE w:val="0"/>
        <w:autoSpaceDN w:val="0"/>
        <w:adjustRightInd w:val="0"/>
        <w:spacing w:line="276" w:lineRule="auto"/>
        <w:ind w:firstLine="708"/>
        <w:jc w:val="both"/>
        <w:rPr>
          <w:rFonts w:ascii="Tahoma" w:hAnsi="Tahoma" w:cs="Tahoma"/>
        </w:rPr>
      </w:pPr>
    </w:p>
    <w:sectPr w:rsidR="005516DF" w:rsidSect="003D36AB">
      <w:headerReference w:type="even" r:id="rId8"/>
      <w:headerReference w:type="default" r:id="rId9"/>
      <w:footerReference w:type="default" r:id="rId10"/>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22" w:rsidRDefault="00821C22" w:rsidP="0049366E">
      <w:r>
        <w:separator/>
      </w:r>
    </w:p>
  </w:endnote>
  <w:endnote w:type="continuationSeparator" w:id="0">
    <w:p w:rsidR="00821C22" w:rsidRDefault="00821C22"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541551"/>
      <w:docPartObj>
        <w:docPartGallery w:val="Page Numbers (Bottom of Page)"/>
        <w:docPartUnique/>
      </w:docPartObj>
    </w:sdtPr>
    <w:sdtEndPr/>
    <w:sdtContent>
      <w:p w:rsidR="00780822" w:rsidRDefault="00780822">
        <w:pPr>
          <w:pStyle w:val="Piedepgina"/>
          <w:jc w:val="right"/>
        </w:pPr>
        <w:r>
          <w:fldChar w:fldCharType="begin"/>
        </w:r>
        <w:r>
          <w:instrText>PAGE   \* MERGEFORMAT</w:instrText>
        </w:r>
        <w:r>
          <w:fldChar w:fldCharType="separate"/>
        </w:r>
        <w:r w:rsidR="00F648EA">
          <w:rPr>
            <w:noProof/>
          </w:rPr>
          <w:t>5</w:t>
        </w:r>
        <w:r>
          <w:fldChar w:fldCharType="end"/>
        </w:r>
      </w:p>
    </w:sdtContent>
  </w:sdt>
  <w:p w:rsidR="005B01BC" w:rsidRDefault="005B01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22" w:rsidRDefault="00821C22" w:rsidP="0049366E">
      <w:r>
        <w:separator/>
      </w:r>
    </w:p>
  </w:footnote>
  <w:footnote w:type="continuationSeparator" w:id="0">
    <w:p w:rsidR="00821C22" w:rsidRDefault="00821C22" w:rsidP="0049366E">
      <w:r>
        <w:continuationSeparator/>
      </w:r>
    </w:p>
  </w:footnote>
  <w:footnote w:id="1">
    <w:p w:rsidR="00632E6A" w:rsidRDefault="00632E6A" w:rsidP="00632E6A">
      <w:pPr>
        <w:pStyle w:val="Textonotapie"/>
        <w:jc w:val="both"/>
        <w:rPr>
          <w:rFonts w:ascii="Arial" w:hAnsi="Arial" w:cs="Arial"/>
        </w:rPr>
      </w:pPr>
      <w:r>
        <w:rPr>
          <w:rStyle w:val="Refdenotaalpie"/>
        </w:rPr>
        <w:footnoteRef/>
      </w:r>
      <w:r>
        <w:rPr>
          <w:i/>
        </w:rPr>
        <w:t xml:space="preserve"> </w:t>
      </w:r>
      <w:r>
        <w:rPr>
          <w:sz w:val="16"/>
          <w:szCs w:val="16"/>
        </w:rPr>
        <w:t>Al</w:t>
      </w:r>
      <w:r>
        <w:rPr>
          <w:i/>
          <w:sz w:val="16"/>
          <w:szCs w:val="16"/>
        </w:rPr>
        <w:t xml:space="preserve"> </w:t>
      </w:r>
      <w:r>
        <w:rPr>
          <w:sz w:val="16"/>
          <w:szCs w:val="16"/>
        </w:rPr>
        <w:t>respecto véase la sentencia del 4 de diciembre de 2006, Radicado No. 28893.</w:t>
      </w:r>
    </w:p>
    <w:p w:rsidR="00632E6A" w:rsidRDefault="00632E6A" w:rsidP="00632E6A">
      <w:pPr>
        <w:pStyle w:val="Textonotapie"/>
        <w:jc w:val="both"/>
        <w:rPr>
          <w:rFonts w:ascii="Arial" w:hAnsi="Arial" w:cs="Arial"/>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78" w:rsidRDefault="00E3707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37078" w:rsidRDefault="00E370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78" w:rsidRDefault="00E37078">
    <w:pPr>
      <w:pStyle w:val="Encabezado"/>
      <w:framePr w:wrap="around" w:vAnchor="text" w:hAnchor="margin" w:xAlign="center" w:y="1"/>
      <w:rPr>
        <w:rStyle w:val="Nmerodepgina"/>
      </w:rPr>
    </w:pPr>
  </w:p>
  <w:p w:rsidR="00E37078" w:rsidRPr="0003464F" w:rsidRDefault="00E37078"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Radicado No.: </w:t>
    </w:r>
    <w:r w:rsidR="00C1665C">
      <w:rPr>
        <w:rFonts w:ascii="Tahoma" w:hAnsi="Tahoma" w:cs="Tahoma"/>
        <w:b w:val="0"/>
        <w:sz w:val="14"/>
        <w:szCs w:val="14"/>
      </w:rPr>
      <w:t>66001-31-01</w:t>
    </w:r>
    <w:r w:rsidRPr="0003464F">
      <w:rPr>
        <w:rFonts w:ascii="Tahoma" w:hAnsi="Tahoma" w:cs="Tahoma"/>
        <w:b w:val="0"/>
        <w:sz w:val="14"/>
        <w:szCs w:val="14"/>
      </w:rPr>
      <w:t>-00</w:t>
    </w:r>
    <w:r w:rsidR="00C1665C">
      <w:rPr>
        <w:rFonts w:ascii="Tahoma" w:hAnsi="Tahoma" w:cs="Tahoma"/>
        <w:b w:val="0"/>
        <w:sz w:val="14"/>
        <w:szCs w:val="14"/>
      </w:rPr>
      <w:t>1</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sidR="00C1665C">
      <w:rPr>
        <w:rFonts w:ascii="Tahoma" w:hAnsi="Tahoma" w:cs="Tahoma"/>
        <w:b w:val="0"/>
        <w:sz w:val="14"/>
        <w:szCs w:val="14"/>
      </w:rPr>
      <w:t>598</w:t>
    </w:r>
    <w:r w:rsidRPr="0003464F">
      <w:rPr>
        <w:rFonts w:ascii="Tahoma" w:hAnsi="Tahoma" w:cs="Tahoma"/>
        <w:b w:val="0"/>
        <w:sz w:val="14"/>
        <w:szCs w:val="14"/>
      </w:rPr>
      <w:t>-01</w:t>
    </w:r>
  </w:p>
  <w:p w:rsidR="00E37078" w:rsidRPr="0003464F" w:rsidRDefault="00E37078"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C1665C">
      <w:rPr>
        <w:rFonts w:ascii="Tahoma" w:hAnsi="Tahoma" w:cs="Tahoma"/>
        <w:b w:val="0"/>
        <w:sz w:val="14"/>
        <w:szCs w:val="14"/>
      </w:rPr>
      <w:t>María Rosalba Aguirre Arias</w:t>
    </w:r>
  </w:p>
  <w:p w:rsidR="00E37078" w:rsidRPr="0003464F" w:rsidRDefault="00E37078" w:rsidP="000E7A43">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E37078" w:rsidRDefault="00E370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14D75"/>
    <w:rsid w:val="00021B2B"/>
    <w:rsid w:val="00027A2E"/>
    <w:rsid w:val="000361D9"/>
    <w:rsid w:val="00041EC9"/>
    <w:rsid w:val="00066356"/>
    <w:rsid w:val="00074EC5"/>
    <w:rsid w:val="00092534"/>
    <w:rsid w:val="000954F5"/>
    <w:rsid w:val="000A21E0"/>
    <w:rsid w:val="000E053A"/>
    <w:rsid w:val="000E7A43"/>
    <w:rsid w:val="00102075"/>
    <w:rsid w:val="0012270F"/>
    <w:rsid w:val="001239AD"/>
    <w:rsid w:val="001471CE"/>
    <w:rsid w:val="00152550"/>
    <w:rsid w:val="001B0081"/>
    <w:rsid w:val="001C0A43"/>
    <w:rsid w:val="002250D2"/>
    <w:rsid w:val="002331FA"/>
    <w:rsid w:val="0024005A"/>
    <w:rsid w:val="00260158"/>
    <w:rsid w:val="002672D0"/>
    <w:rsid w:val="00276CCA"/>
    <w:rsid w:val="002B01E9"/>
    <w:rsid w:val="002B5F75"/>
    <w:rsid w:val="002D2741"/>
    <w:rsid w:val="002D77FF"/>
    <w:rsid w:val="002F5C10"/>
    <w:rsid w:val="0031308F"/>
    <w:rsid w:val="003209DA"/>
    <w:rsid w:val="003224D5"/>
    <w:rsid w:val="00331096"/>
    <w:rsid w:val="0033794D"/>
    <w:rsid w:val="00346434"/>
    <w:rsid w:val="00353576"/>
    <w:rsid w:val="00385895"/>
    <w:rsid w:val="0038649A"/>
    <w:rsid w:val="003965E9"/>
    <w:rsid w:val="003C6DB2"/>
    <w:rsid w:val="003D36AB"/>
    <w:rsid w:val="003E1DC5"/>
    <w:rsid w:val="00433B83"/>
    <w:rsid w:val="0049366E"/>
    <w:rsid w:val="004A2169"/>
    <w:rsid w:val="004C25C1"/>
    <w:rsid w:val="004F4A95"/>
    <w:rsid w:val="005169A3"/>
    <w:rsid w:val="0052155A"/>
    <w:rsid w:val="005516DF"/>
    <w:rsid w:val="00592BC7"/>
    <w:rsid w:val="00592F7F"/>
    <w:rsid w:val="005A5102"/>
    <w:rsid w:val="005B01BC"/>
    <w:rsid w:val="0060747A"/>
    <w:rsid w:val="00632E6A"/>
    <w:rsid w:val="00671614"/>
    <w:rsid w:val="006830D2"/>
    <w:rsid w:val="0068405C"/>
    <w:rsid w:val="006B1611"/>
    <w:rsid w:val="006B7A7F"/>
    <w:rsid w:val="006C569E"/>
    <w:rsid w:val="006F6EA9"/>
    <w:rsid w:val="00730CC0"/>
    <w:rsid w:val="0073519D"/>
    <w:rsid w:val="00756EB5"/>
    <w:rsid w:val="00780822"/>
    <w:rsid w:val="00784784"/>
    <w:rsid w:val="007C31A4"/>
    <w:rsid w:val="007C69E5"/>
    <w:rsid w:val="007E09BD"/>
    <w:rsid w:val="0081272B"/>
    <w:rsid w:val="00821C22"/>
    <w:rsid w:val="00855908"/>
    <w:rsid w:val="008709DA"/>
    <w:rsid w:val="00871F9F"/>
    <w:rsid w:val="00883E45"/>
    <w:rsid w:val="008D1F91"/>
    <w:rsid w:val="008E5C17"/>
    <w:rsid w:val="008F610D"/>
    <w:rsid w:val="0090685E"/>
    <w:rsid w:val="00920C75"/>
    <w:rsid w:val="00934FDA"/>
    <w:rsid w:val="00937E40"/>
    <w:rsid w:val="00942FBE"/>
    <w:rsid w:val="00946546"/>
    <w:rsid w:val="00966BAD"/>
    <w:rsid w:val="00993B73"/>
    <w:rsid w:val="00994D91"/>
    <w:rsid w:val="009C50D0"/>
    <w:rsid w:val="009C5DC2"/>
    <w:rsid w:val="00A1738B"/>
    <w:rsid w:val="00A273E7"/>
    <w:rsid w:val="00A34991"/>
    <w:rsid w:val="00A37482"/>
    <w:rsid w:val="00A45462"/>
    <w:rsid w:val="00A47EAC"/>
    <w:rsid w:val="00A54215"/>
    <w:rsid w:val="00A579E0"/>
    <w:rsid w:val="00A67C1E"/>
    <w:rsid w:val="00A75E07"/>
    <w:rsid w:val="00A8372D"/>
    <w:rsid w:val="00A93A7D"/>
    <w:rsid w:val="00A94AFB"/>
    <w:rsid w:val="00A971E4"/>
    <w:rsid w:val="00AD058E"/>
    <w:rsid w:val="00AD21D5"/>
    <w:rsid w:val="00AD4139"/>
    <w:rsid w:val="00AE7578"/>
    <w:rsid w:val="00AF5FC0"/>
    <w:rsid w:val="00B23076"/>
    <w:rsid w:val="00B93073"/>
    <w:rsid w:val="00BE2FCF"/>
    <w:rsid w:val="00C1399D"/>
    <w:rsid w:val="00C1665C"/>
    <w:rsid w:val="00C17EEE"/>
    <w:rsid w:val="00C8178E"/>
    <w:rsid w:val="00C86097"/>
    <w:rsid w:val="00C97D28"/>
    <w:rsid w:val="00CF745D"/>
    <w:rsid w:val="00D13712"/>
    <w:rsid w:val="00D23615"/>
    <w:rsid w:val="00D34BBC"/>
    <w:rsid w:val="00D4443D"/>
    <w:rsid w:val="00D855C3"/>
    <w:rsid w:val="00D9634D"/>
    <w:rsid w:val="00DC6ACC"/>
    <w:rsid w:val="00DD5FCA"/>
    <w:rsid w:val="00DD6F75"/>
    <w:rsid w:val="00DF1267"/>
    <w:rsid w:val="00E174DD"/>
    <w:rsid w:val="00E37078"/>
    <w:rsid w:val="00E5584B"/>
    <w:rsid w:val="00E97227"/>
    <w:rsid w:val="00EB06C4"/>
    <w:rsid w:val="00ED1748"/>
    <w:rsid w:val="00EE2156"/>
    <w:rsid w:val="00EE4137"/>
    <w:rsid w:val="00EE4613"/>
    <w:rsid w:val="00EF64D6"/>
    <w:rsid w:val="00EF674C"/>
    <w:rsid w:val="00F001B6"/>
    <w:rsid w:val="00F16A02"/>
    <w:rsid w:val="00F209D6"/>
    <w:rsid w:val="00F353FD"/>
    <w:rsid w:val="00F42643"/>
    <w:rsid w:val="00F5790A"/>
    <w:rsid w:val="00F621B8"/>
    <w:rsid w:val="00F648EA"/>
    <w:rsid w:val="00F65A91"/>
    <w:rsid w:val="00F962EC"/>
    <w:rsid w:val="00FB1D01"/>
    <w:rsid w:val="00FB5F93"/>
    <w:rsid w:val="00FC004D"/>
    <w:rsid w:val="00FE2C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AFDEA45-AACB-4DE1-8B20-6E402CB9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table" w:styleId="Tablaconcuadrcula">
    <w:name w:val="Table Grid"/>
    <w:basedOn w:val="Tablanormal"/>
    <w:uiPriority w:val="39"/>
    <w:rsid w:val="0087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A37482"/>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iPriority w:val="99"/>
    <w:rsid w:val="00A37482"/>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A374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7482"/>
    <w:pPr>
      <w:ind w:left="720"/>
      <w:contextualSpacing/>
    </w:pPr>
  </w:style>
  <w:style w:type="table" w:styleId="Tablanormal1">
    <w:name w:val="Plain Table 1"/>
    <w:basedOn w:val="Tablanormal"/>
    <w:uiPriority w:val="41"/>
    <w:rsid w:val="00B9307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370">
      <w:bodyDiv w:val="1"/>
      <w:marLeft w:val="0"/>
      <w:marRight w:val="0"/>
      <w:marTop w:val="0"/>
      <w:marBottom w:val="0"/>
      <w:divBdr>
        <w:top w:val="none" w:sz="0" w:space="0" w:color="auto"/>
        <w:left w:val="none" w:sz="0" w:space="0" w:color="auto"/>
        <w:bottom w:val="none" w:sz="0" w:space="0" w:color="auto"/>
        <w:right w:val="none" w:sz="0" w:space="0" w:color="auto"/>
      </w:divBdr>
    </w:div>
    <w:div w:id="473717690">
      <w:bodyDiv w:val="1"/>
      <w:marLeft w:val="0"/>
      <w:marRight w:val="0"/>
      <w:marTop w:val="0"/>
      <w:marBottom w:val="0"/>
      <w:divBdr>
        <w:top w:val="none" w:sz="0" w:space="0" w:color="auto"/>
        <w:left w:val="none" w:sz="0" w:space="0" w:color="auto"/>
        <w:bottom w:val="none" w:sz="0" w:space="0" w:color="auto"/>
        <w:right w:val="none" w:sz="0" w:space="0" w:color="auto"/>
      </w:divBdr>
    </w:div>
    <w:div w:id="715543957">
      <w:bodyDiv w:val="1"/>
      <w:marLeft w:val="0"/>
      <w:marRight w:val="0"/>
      <w:marTop w:val="0"/>
      <w:marBottom w:val="0"/>
      <w:divBdr>
        <w:top w:val="none" w:sz="0" w:space="0" w:color="auto"/>
        <w:left w:val="none" w:sz="0" w:space="0" w:color="auto"/>
        <w:bottom w:val="none" w:sz="0" w:space="0" w:color="auto"/>
        <w:right w:val="none" w:sz="0" w:space="0" w:color="auto"/>
      </w:divBdr>
    </w:div>
    <w:div w:id="807355887">
      <w:bodyDiv w:val="1"/>
      <w:marLeft w:val="0"/>
      <w:marRight w:val="0"/>
      <w:marTop w:val="0"/>
      <w:marBottom w:val="0"/>
      <w:divBdr>
        <w:top w:val="none" w:sz="0" w:space="0" w:color="auto"/>
        <w:left w:val="none" w:sz="0" w:space="0" w:color="auto"/>
        <w:bottom w:val="none" w:sz="0" w:space="0" w:color="auto"/>
        <w:right w:val="none" w:sz="0" w:space="0" w:color="auto"/>
      </w:divBdr>
    </w:div>
    <w:div w:id="1619874442">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 w:id="2145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3EA0-1693-4EAE-ABFF-EDE60F62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3345</Words>
  <Characters>18403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cp:revision>
  <cp:lastPrinted>2016-01-29T18:14:00Z</cp:lastPrinted>
  <dcterms:created xsi:type="dcterms:W3CDTF">2016-08-12T13:13:00Z</dcterms:created>
  <dcterms:modified xsi:type="dcterms:W3CDTF">2016-08-12T13:13:00Z</dcterms:modified>
</cp:coreProperties>
</file>