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BBB" w:rsidRPr="00BA4196" w:rsidRDefault="003A3BBB" w:rsidP="003A3B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BA4196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Secretaría. </w:t>
      </w:r>
    </w:p>
    <w:p w:rsidR="003A3BBB" w:rsidRPr="00BA4196" w:rsidRDefault="003A3BBB" w:rsidP="003A3BBB">
      <w:pPr>
        <w:pStyle w:val="Ttul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3A3BBB" w:rsidRPr="00BA4196" w:rsidRDefault="003A3BBB" w:rsidP="003A3BB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Providencia: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AE32CF">
        <w:rPr>
          <w:rFonts w:ascii="Tahoma" w:hAnsi="Tahoma" w:cs="Tahoma"/>
          <w:b w:val="0"/>
          <w:bCs/>
          <w:sz w:val="18"/>
          <w:szCs w:val="18"/>
        </w:rPr>
        <w:t>1</w:t>
      </w:r>
      <w:r w:rsidR="002B7267">
        <w:rPr>
          <w:rFonts w:ascii="Tahoma" w:hAnsi="Tahoma" w:cs="Tahoma"/>
          <w:b w:val="0"/>
          <w:bCs/>
          <w:sz w:val="18"/>
          <w:szCs w:val="18"/>
        </w:rPr>
        <w:t>9</w:t>
      </w:r>
      <w:r w:rsidR="00EA759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8033F3">
        <w:rPr>
          <w:rFonts w:ascii="Tahoma" w:hAnsi="Tahoma" w:cs="Tahoma"/>
          <w:b w:val="0"/>
          <w:bCs/>
          <w:sz w:val="18"/>
          <w:szCs w:val="18"/>
        </w:rPr>
        <w:t>de agosto</w:t>
      </w:r>
      <w:r w:rsidR="00575761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2129EF" w:rsidRPr="00BA4196">
        <w:rPr>
          <w:rFonts w:ascii="Tahoma" w:hAnsi="Tahoma" w:cs="Tahoma"/>
          <w:b w:val="0"/>
          <w:bCs/>
          <w:sz w:val="18"/>
          <w:szCs w:val="18"/>
        </w:rPr>
        <w:t>de 201</w:t>
      </w:r>
      <w:r w:rsidR="00F206D8">
        <w:rPr>
          <w:rFonts w:ascii="Tahoma" w:hAnsi="Tahoma" w:cs="Tahoma"/>
          <w:b w:val="0"/>
          <w:bCs/>
          <w:sz w:val="18"/>
          <w:szCs w:val="18"/>
        </w:rPr>
        <w:t>6</w:t>
      </w:r>
      <w:r w:rsidR="002129EF" w:rsidRPr="00BA4196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3A3BBB" w:rsidRPr="00BA4196" w:rsidRDefault="003A3BBB" w:rsidP="003A3BB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Radicación No.: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>66001-31-05-00</w:t>
      </w:r>
      <w:r w:rsidR="002B7267">
        <w:rPr>
          <w:rFonts w:ascii="Tahoma" w:hAnsi="Tahoma" w:cs="Tahoma"/>
          <w:b w:val="0"/>
          <w:sz w:val="18"/>
          <w:szCs w:val="18"/>
        </w:rPr>
        <w:t>3</w:t>
      </w:r>
      <w:r w:rsidRPr="00BA4196">
        <w:rPr>
          <w:rFonts w:ascii="Tahoma" w:hAnsi="Tahoma" w:cs="Tahoma"/>
          <w:b w:val="0"/>
          <w:sz w:val="18"/>
          <w:szCs w:val="18"/>
        </w:rPr>
        <w:t>-201</w:t>
      </w:r>
      <w:r w:rsidR="002B7267">
        <w:rPr>
          <w:rFonts w:ascii="Tahoma" w:hAnsi="Tahoma" w:cs="Tahoma"/>
          <w:b w:val="0"/>
          <w:sz w:val="18"/>
          <w:szCs w:val="18"/>
        </w:rPr>
        <w:t>4</w:t>
      </w:r>
      <w:r w:rsidRPr="00BA4196">
        <w:rPr>
          <w:rFonts w:ascii="Tahoma" w:hAnsi="Tahoma" w:cs="Tahoma"/>
          <w:b w:val="0"/>
          <w:sz w:val="18"/>
          <w:szCs w:val="18"/>
        </w:rPr>
        <w:t>-00</w:t>
      </w:r>
      <w:r w:rsidR="002B7267">
        <w:rPr>
          <w:rFonts w:ascii="Tahoma" w:hAnsi="Tahoma" w:cs="Tahoma"/>
          <w:b w:val="0"/>
          <w:sz w:val="18"/>
          <w:szCs w:val="18"/>
        </w:rPr>
        <w:t>702</w:t>
      </w:r>
      <w:r w:rsidRPr="00BA4196">
        <w:rPr>
          <w:rFonts w:ascii="Tahoma" w:hAnsi="Tahoma" w:cs="Tahoma"/>
          <w:b w:val="0"/>
          <w:sz w:val="18"/>
          <w:szCs w:val="18"/>
        </w:rPr>
        <w:t>-01</w:t>
      </w:r>
    </w:p>
    <w:p w:rsidR="003A3BBB" w:rsidRPr="00BA4196" w:rsidRDefault="003A3BBB" w:rsidP="003A3BB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Proceso: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3A3BBB" w:rsidRPr="00BA4196" w:rsidRDefault="003A3BBB" w:rsidP="0057796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Demandante: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2B7267">
        <w:rPr>
          <w:rFonts w:ascii="Tahoma" w:hAnsi="Tahoma" w:cs="Tahoma"/>
          <w:b w:val="0"/>
          <w:sz w:val="18"/>
          <w:szCs w:val="18"/>
        </w:rPr>
        <w:t xml:space="preserve">Jesús Antonio Torres Ávila </w:t>
      </w:r>
      <w:r w:rsidR="000F1AA5">
        <w:rPr>
          <w:rFonts w:ascii="Tahoma" w:hAnsi="Tahoma" w:cs="Tahoma"/>
          <w:b w:val="0"/>
          <w:sz w:val="18"/>
          <w:szCs w:val="18"/>
        </w:rPr>
        <w:t xml:space="preserve"> </w:t>
      </w:r>
      <w:r w:rsidR="00AE32CF">
        <w:rPr>
          <w:rFonts w:ascii="Tahoma" w:hAnsi="Tahoma" w:cs="Tahoma"/>
          <w:b w:val="0"/>
          <w:sz w:val="18"/>
          <w:szCs w:val="18"/>
        </w:rPr>
        <w:t xml:space="preserve"> </w:t>
      </w:r>
      <w:r w:rsidR="00EC56A0">
        <w:rPr>
          <w:rFonts w:ascii="Tahoma" w:hAnsi="Tahoma" w:cs="Tahoma"/>
          <w:b w:val="0"/>
          <w:sz w:val="18"/>
          <w:szCs w:val="18"/>
        </w:rPr>
        <w:t xml:space="preserve"> </w:t>
      </w:r>
    </w:p>
    <w:p w:rsidR="003A3BBB" w:rsidRPr="00BA4196" w:rsidRDefault="003A3BBB" w:rsidP="0057796B">
      <w:pPr>
        <w:pStyle w:val="Ttul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Demandado:</w:t>
      </w:r>
      <w:r w:rsidR="001F32F7">
        <w:rPr>
          <w:rFonts w:ascii="Tahoma" w:hAnsi="Tahoma" w:cs="Tahoma"/>
          <w:b w:val="0"/>
          <w:sz w:val="18"/>
          <w:szCs w:val="18"/>
        </w:rPr>
        <w:tab/>
      </w:r>
      <w:r w:rsidR="001F32F7">
        <w:rPr>
          <w:rFonts w:ascii="Tahoma" w:hAnsi="Tahoma" w:cs="Tahoma"/>
          <w:b w:val="0"/>
          <w:sz w:val="18"/>
          <w:szCs w:val="18"/>
        </w:rPr>
        <w:tab/>
      </w:r>
      <w:r w:rsidR="00CB5EDD">
        <w:rPr>
          <w:rFonts w:ascii="Tahoma" w:hAnsi="Tahoma" w:cs="Tahoma"/>
          <w:b w:val="0"/>
          <w:sz w:val="18"/>
          <w:szCs w:val="18"/>
        </w:rPr>
        <w:t xml:space="preserve">Colpensiones </w:t>
      </w:r>
    </w:p>
    <w:p w:rsidR="003A3BBB" w:rsidRPr="00BA4196" w:rsidRDefault="003A3BBB" w:rsidP="0057796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 xml:space="preserve">Juzgado de </w:t>
      </w:r>
      <w:r w:rsidR="004D3091" w:rsidRPr="00BA4196">
        <w:rPr>
          <w:rFonts w:ascii="Tahoma" w:hAnsi="Tahoma" w:cs="Tahoma"/>
          <w:sz w:val="18"/>
          <w:szCs w:val="18"/>
        </w:rPr>
        <w:t>origen</w:t>
      </w:r>
      <w:r w:rsidRPr="00BA4196">
        <w:rPr>
          <w:rFonts w:ascii="Tahoma" w:hAnsi="Tahoma" w:cs="Tahoma"/>
          <w:sz w:val="18"/>
          <w:szCs w:val="18"/>
        </w:rPr>
        <w:t>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2B7267">
        <w:rPr>
          <w:rFonts w:ascii="Tahoma" w:hAnsi="Tahoma" w:cs="Tahoma"/>
          <w:b w:val="0"/>
          <w:sz w:val="18"/>
          <w:szCs w:val="18"/>
        </w:rPr>
        <w:t>Tercero</w:t>
      </w:r>
      <w:r w:rsidR="00AE32CF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3A3BBB" w:rsidRPr="00BA4196" w:rsidRDefault="003A3BBB" w:rsidP="0057796B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Magistrada ponente:</w:t>
      </w:r>
      <w:r w:rsidRPr="00BA4196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3A3BBB" w:rsidRPr="00BA4196" w:rsidRDefault="003A3BBB" w:rsidP="0057796B">
      <w:pPr>
        <w:pStyle w:val="Ttul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Tema:</w:t>
      </w:r>
      <w:r w:rsidRPr="00BA4196">
        <w:rPr>
          <w:rFonts w:ascii="Tahoma" w:hAnsi="Tahoma" w:cs="Tahoma"/>
          <w:sz w:val="18"/>
          <w:szCs w:val="18"/>
        </w:rPr>
        <w:tab/>
      </w:r>
    </w:p>
    <w:p w:rsidR="002B7267" w:rsidRDefault="00BE59FC" w:rsidP="00F94468">
      <w:pPr>
        <w:pStyle w:val="Ttulo"/>
        <w:spacing w:line="240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Ingreso base de liquidación de los beneficiarios del régimen de transición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 w:val="0"/>
          <w:sz w:val="18"/>
          <w:szCs w:val="18"/>
        </w:rPr>
        <w:t xml:space="preserve">El ingreso base de liquidación de las personas que son beneficiarias del régimen de transición, se establecerá dependiendo del tiempo que, a 1º de abril de 1994, les faltare para adquirir su pensión. Si dicho lapso es menor a 10 años, habrá de aplicarse el inciso 3º del artículo 36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ahoma" w:hAnsi="Tahoma" w:cs="Tahoma"/>
            <w:b w:val="0"/>
            <w:sz w:val="18"/>
            <w:szCs w:val="18"/>
          </w:rPr>
          <w:t>la Ley</w:t>
        </w:r>
      </w:smartTag>
      <w:r>
        <w:rPr>
          <w:rFonts w:ascii="Tahoma" w:hAnsi="Tahoma" w:cs="Tahoma"/>
          <w:b w:val="0"/>
          <w:sz w:val="18"/>
          <w:szCs w:val="18"/>
        </w:rPr>
        <w:t xml:space="preserve"> 100 de 1993, esto es, la base para liquidar la pensión se tomará del promedio de lo devengado en el tiempo que le hiciere falta para adquirir la pensión o el de toda la vida si fuere superior.</w:t>
      </w:r>
    </w:p>
    <w:p w:rsidR="0057796B" w:rsidRDefault="0057796B" w:rsidP="0057796B">
      <w:pPr>
        <w:pStyle w:val="Ttulo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1B37" w:rsidRPr="005D2D57" w:rsidRDefault="003A1B37" w:rsidP="0057796B">
      <w:pPr>
        <w:pStyle w:val="Ttulo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3BBB" w:rsidRPr="000821A3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0821A3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A3BBB" w:rsidRPr="000821A3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0821A3">
        <w:rPr>
          <w:rFonts w:ascii="Tahoma" w:hAnsi="Tahoma" w:cs="Tahoma"/>
          <w:bCs/>
          <w:szCs w:val="24"/>
          <w:lang w:eastAsia="es-MX"/>
        </w:rPr>
        <w:t>SALA</w:t>
      </w:r>
      <w:r w:rsidR="00666B78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0821A3">
        <w:rPr>
          <w:rFonts w:ascii="Tahoma" w:hAnsi="Tahoma" w:cs="Tahoma"/>
          <w:bCs/>
          <w:szCs w:val="24"/>
          <w:lang w:eastAsia="es-MX"/>
        </w:rPr>
        <w:t xml:space="preserve"> LABORAL</w:t>
      </w:r>
      <w:r w:rsidR="00666B78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3A3BBB" w:rsidRPr="000821A3" w:rsidRDefault="003A3BBB" w:rsidP="000821A3">
      <w:pPr>
        <w:jc w:val="center"/>
        <w:rPr>
          <w:rFonts w:ascii="Tahoma" w:hAnsi="Tahoma" w:cs="Tahoma"/>
          <w:bCs/>
        </w:rPr>
      </w:pPr>
    </w:p>
    <w:p w:rsidR="003A3BBB" w:rsidRPr="000821A3" w:rsidRDefault="003A3BBB" w:rsidP="000821A3">
      <w:pPr>
        <w:jc w:val="center"/>
        <w:rPr>
          <w:rFonts w:ascii="Tahoma" w:hAnsi="Tahoma" w:cs="Tahoma"/>
          <w:b/>
          <w:bCs/>
        </w:rPr>
      </w:pPr>
      <w:r w:rsidRPr="000821A3">
        <w:rPr>
          <w:rFonts w:ascii="Tahoma" w:hAnsi="Tahoma" w:cs="Tahoma"/>
          <w:bCs/>
        </w:rPr>
        <w:t>Magistrada ponente:</w:t>
      </w:r>
      <w:r w:rsidRPr="000821A3">
        <w:rPr>
          <w:rFonts w:ascii="Tahoma" w:hAnsi="Tahoma" w:cs="Tahoma"/>
          <w:b/>
          <w:bCs/>
        </w:rPr>
        <w:t xml:space="preserve"> Ana Lucía Caicedo Calderón</w:t>
      </w:r>
    </w:p>
    <w:p w:rsidR="003A3BBB" w:rsidRPr="000821A3" w:rsidRDefault="003A3BBB" w:rsidP="000821A3">
      <w:pPr>
        <w:jc w:val="center"/>
        <w:rPr>
          <w:rFonts w:ascii="Tahoma" w:hAnsi="Tahoma" w:cs="Tahoma"/>
          <w:b/>
        </w:rPr>
      </w:pPr>
    </w:p>
    <w:p w:rsidR="003A3BBB" w:rsidRPr="000821A3" w:rsidRDefault="003A3BBB" w:rsidP="000821A3">
      <w:pPr>
        <w:jc w:val="center"/>
        <w:rPr>
          <w:rFonts w:ascii="Tahoma" w:hAnsi="Tahoma" w:cs="Tahoma"/>
          <w:b/>
        </w:rPr>
      </w:pPr>
      <w:r w:rsidRPr="000821A3">
        <w:rPr>
          <w:rFonts w:ascii="Tahoma" w:hAnsi="Tahoma" w:cs="Tahoma"/>
          <w:b/>
        </w:rPr>
        <w:t>Acta No. ____</w:t>
      </w:r>
    </w:p>
    <w:p w:rsidR="003A3BBB" w:rsidRPr="000821A3" w:rsidRDefault="003A3BBB" w:rsidP="0081288D">
      <w:pPr>
        <w:pStyle w:val="Sinespaciado"/>
      </w:pPr>
    </w:p>
    <w:p w:rsidR="003A3BBB" w:rsidRPr="00BA4196" w:rsidRDefault="003A3BBB" w:rsidP="003A3BBB">
      <w:pPr>
        <w:pStyle w:val="Ttulo5"/>
        <w:spacing w:line="240" w:lineRule="auto"/>
        <w:ind w:firstLine="0"/>
        <w:jc w:val="center"/>
        <w:rPr>
          <w:rFonts w:ascii="Tahoma" w:hAnsi="Tahoma" w:cs="Tahoma"/>
        </w:rPr>
      </w:pPr>
      <w:r w:rsidRPr="00BA4196">
        <w:rPr>
          <w:rFonts w:ascii="Tahoma" w:hAnsi="Tahoma" w:cs="Tahoma"/>
        </w:rPr>
        <w:t>Sistema oral - Audiencia de juzgamiento</w:t>
      </w:r>
    </w:p>
    <w:p w:rsidR="003A3BBB" w:rsidRPr="00BA4196" w:rsidRDefault="003A3BBB" w:rsidP="0081288D">
      <w:pPr>
        <w:pStyle w:val="Sinespaciado"/>
      </w:pPr>
      <w:r w:rsidRPr="00BA4196">
        <w:tab/>
      </w:r>
      <w:r w:rsidR="004052FE">
        <w:t xml:space="preserve"> </w:t>
      </w:r>
    </w:p>
    <w:p w:rsidR="003A3BBB" w:rsidRPr="00881D1B" w:rsidRDefault="003A3BBB" w:rsidP="00881D1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881D1B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9930FB">
        <w:rPr>
          <w:rFonts w:ascii="Tahoma" w:hAnsi="Tahoma" w:cs="Tahoma"/>
          <w:sz w:val="22"/>
          <w:szCs w:val="22"/>
          <w:lang w:val="es-ES_tradnl"/>
        </w:rPr>
        <w:t>8</w:t>
      </w:r>
      <w:r w:rsidR="00CB5EDD" w:rsidRPr="00881D1B">
        <w:rPr>
          <w:rFonts w:ascii="Tahoma" w:hAnsi="Tahoma" w:cs="Tahoma"/>
          <w:sz w:val="22"/>
          <w:szCs w:val="22"/>
          <w:lang w:val="es-ES_tradnl"/>
        </w:rPr>
        <w:t>:</w:t>
      </w:r>
      <w:r w:rsidR="009930FB">
        <w:rPr>
          <w:rFonts w:ascii="Tahoma" w:hAnsi="Tahoma" w:cs="Tahoma"/>
          <w:sz w:val="22"/>
          <w:szCs w:val="22"/>
          <w:lang w:val="es-ES_tradnl"/>
        </w:rPr>
        <w:t>15</w:t>
      </w:r>
      <w:r w:rsidR="00CB5EDD" w:rsidRPr="00881D1B">
        <w:rPr>
          <w:rFonts w:ascii="Tahoma" w:hAnsi="Tahoma" w:cs="Tahoma"/>
          <w:sz w:val="22"/>
          <w:szCs w:val="22"/>
          <w:lang w:val="es-ES_tradnl"/>
        </w:rPr>
        <w:t xml:space="preserve"> a.m.</w:t>
      </w:r>
      <w:r w:rsidR="00575761" w:rsidRPr="00881D1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42768E" w:rsidRPr="00881D1B">
        <w:rPr>
          <w:rFonts w:ascii="Tahoma" w:hAnsi="Tahoma" w:cs="Tahoma"/>
          <w:sz w:val="22"/>
          <w:szCs w:val="22"/>
          <w:lang w:val="es-ES_tradnl"/>
        </w:rPr>
        <w:t>de hoy,</w:t>
      </w:r>
      <w:r w:rsidR="00F206D8" w:rsidRPr="00881D1B">
        <w:rPr>
          <w:rFonts w:ascii="Tahoma" w:hAnsi="Tahoma" w:cs="Tahoma"/>
          <w:sz w:val="22"/>
          <w:szCs w:val="22"/>
          <w:lang w:val="es-ES_tradnl"/>
        </w:rPr>
        <w:t xml:space="preserve"> viernes</w:t>
      </w:r>
      <w:r w:rsidR="0042768E" w:rsidRPr="00881D1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8033F3" w:rsidRPr="00881D1B">
        <w:rPr>
          <w:rFonts w:ascii="Tahoma" w:hAnsi="Tahoma" w:cs="Tahoma"/>
          <w:sz w:val="22"/>
          <w:szCs w:val="22"/>
          <w:lang w:val="es-ES_tradnl"/>
        </w:rPr>
        <w:t>1</w:t>
      </w:r>
      <w:r w:rsidR="009930FB">
        <w:rPr>
          <w:rFonts w:ascii="Tahoma" w:hAnsi="Tahoma" w:cs="Tahoma"/>
          <w:sz w:val="22"/>
          <w:szCs w:val="22"/>
          <w:lang w:val="es-ES_tradnl"/>
        </w:rPr>
        <w:t>9</w:t>
      </w:r>
      <w:r w:rsidR="008033F3" w:rsidRPr="00881D1B">
        <w:rPr>
          <w:rFonts w:ascii="Tahoma" w:hAnsi="Tahoma" w:cs="Tahoma"/>
          <w:sz w:val="22"/>
          <w:szCs w:val="22"/>
          <w:lang w:val="es-ES_tradnl"/>
        </w:rPr>
        <w:t xml:space="preserve"> de agost</w:t>
      </w:r>
      <w:r w:rsidR="00575761" w:rsidRPr="00881D1B">
        <w:rPr>
          <w:rFonts w:ascii="Tahoma" w:hAnsi="Tahoma" w:cs="Tahoma"/>
          <w:sz w:val="22"/>
          <w:szCs w:val="22"/>
          <w:lang w:val="es-ES_tradnl"/>
        </w:rPr>
        <w:t xml:space="preserve">o </w:t>
      </w:r>
      <w:r w:rsidR="00F206D8" w:rsidRPr="00881D1B">
        <w:rPr>
          <w:rFonts w:ascii="Tahoma" w:hAnsi="Tahoma" w:cs="Tahoma"/>
          <w:sz w:val="22"/>
          <w:szCs w:val="22"/>
          <w:lang w:val="es-ES_tradnl"/>
        </w:rPr>
        <w:t>de 2016</w:t>
      </w:r>
      <w:r w:rsidRPr="00881D1B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 w:rsidR="00EA7593" w:rsidRPr="00881D1B"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881D1B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r w:rsidR="009930FB">
        <w:rPr>
          <w:rFonts w:ascii="Tahoma" w:hAnsi="Tahoma" w:cs="Tahoma"/>
          <w:sz w:val="22"/>
          <w:szCs w:val="22"/>
          <w:lang w:val="es-ES_tradnl"/>
        </w:rPr>
        <w:t>Jesús Antonio Torres Ávila</w:t>
      </w:r>
      <w:r w:rsidR="00850A8F" w:rsidRPr="00881D1B">
        <w:rPr>
          <w:rFonts w:ascii="Tahoma" w:hAnsi="Tahoma" w:cs="Tahoma"/>
          <w:sz w:val="22"/>
          <w:szCs w:val="22"/>
          <w:lang w:val="es-ES_tradnl"/>
        </w:rPr>
        <w:t xml:space="preserve"> e</w:t>
      </w:r>
      <w:r w:rsidRPr="00881D1B">
        <w:rPr>
          <w:rFonts w:ascii="Tahoma" w:hAnsi="Tahoma" w:cs="Tahoma"/>
          <w:sz w:val="22"/>
          <w:szCs w:val="22"/>
          <w:lang w:val="es-ES_tradnl"/>
        </w:rPr>
        <w:t>n contra de la Administradora Colombiana de Pensiones – Colpensiones</w:t>
      </w:r>
      <w:r w:rsidR="008033F3" w:rsidRPr="00881D1B">
        <w:rPr>
          <w:rFonts w:ascii="Tahoma" w:hAnsi="Tahoma" w:cs="Tahoma"/>
          <w:sz w:val="22"/>
          <w:szCs w:val="22"/>
          <w:lang w:val="es-ES_tradnl"/>
        </w:rPr>
        <w:t>.</w:t>
      </w:r>
    </w:p>
    <w:p w:rsidR="003A3BBB" w:rsidRPr="00881D1B" w:rsidRDefault="003A3BBB" w:rsidP="00881D1B">
      <w:pPr>
        <w:pStyle w:val="Sinespaciado"/>
        <w:spacing w:line="276" w:lineRule="auto"/>
        <w:rPr>
          <w:sz w:val="22"/>
          <w:szCs w:val="22"/>
          <w:lang w:val="es-ES_tradnl"/>
        </w:rPr>
      </w:pPr>
    </w:p>
    <w:p w:rsidR="003A3BBB" w:rsidRPr="00881D1B" w:rsidRDefault="003A3BBB" w:rsidP="00881D1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881D1B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3A3BBB" w:rsidRPr="00881D1B" w:rsidRDefault="003A3BBB" w:rsidP="00881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81D1B">
        <w:rPr>
          <w:rFonts w:ascii="Tahoma" w:hAnsi="Tahoma" w:cs="Tahoma"/>
          <w:b/>
          <w:sz w:val="22"/>
          <w:szCs w:val="22"/>
        </w:rPr>
        <w:t>Alegatos de conclusión</w:t>
      </w:r>
    </w:p>
    <w:p w:rsidR="003A3BBB" w:rsidRPr="00881D1B" w:rsidRDefault="003A3BBB" w:rsidP="00881D1B">
      <w:pPr>
        <w:pStyle w:val="Sinespaciado"/>
        <w:spacing w:line="276" w:lineRule="auto"/>
        <w:rPr>
          <w:sz w:val="22"/>
          <w:szCs w:val="22"/>
        </w:rPr>
      </w:pPr>
    </w:p>
    <w:p w:rsidR="003A3BBB" w:rsidRPr="00881D1B" w:rsidRDefault="003A3BBB" w:rsidP="00881D1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881D1B">
        <w:rPr>
          <w:rFonts w:ascii="Tahoma" w:hAnsi="Tahoma" w:cs="Tahoma"/>
          <w:sz w:val="22"/>
          <w:szCs w:val="22"/>
          <w:lang w:val="es-ES_tradnl"/>
        </w:rPr>
        <w:t>De conformidad con el artículo 82 del C.P.T y de la S.S., modificado por el artículo 13 de la Ley 1149 de 2007, se concede el uso de la palabra a las partes para que presenten sus alegatos de conclusión: Por la parte demandante… Por la parte demandada…</w:t>
      </w:r>
    </w:p>
    <w:p w:rsidR="003A3BBB" w:rsidRPr="00881D1B" w:rsidRDefault="003A3BBB" w:rsidP="00881D1B">
      <w:pPr>
        <w:pStyle w:val="Sinespaciado"/>
        <w:spacing w:line="276" w:lineRule="auto"/>
        <w:rPr>
          <w:sz w:val="22"/>
          <w:szCs w:val="22"/>
        </w:rPr>
      </w:pPr>
    </w:p>
    <w:p w:rsidR="003A3BBB" w:rsidRPr="00881D1B" w:rsidRDefault="003A3BBB" w:rsidP="00881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81D1B">
        <w:rPr>
          <w:rFonts w:ascii="Tahoma" w:hAnsi="Tahoma" w:cs="Tahoma"/>
          <w:b/>
          <w:sz w:val="22"/>
          <w:szCs w:val="22"/>
        </w:rPr>
        <w:t>S E N T E N C I A</w:t>
      </w:r>
    </w:p>
    <w:p w:rsidR="003A3BBB" w:rsidRPr="00881D1B" w:rsidRDefault="003A3BBB" w:rsidP="009930FB">
      <w:pPr>
        <w:pStyle w:val="Sinespaciado"/>
        <w:rPr>
          <w:sz w:val="22"/>
          <w:szCs w:val="22"/>
        </w:rPr>
      </w:pPr>
    </w:p>
    <w:p w:rsidR="0044269F" w:rsidRPr="009930FB" w:rsidRDefault="0044269F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81D1B">
        <w:rPr>
          <w:rFonts w:ascii="Tahoma" w:hAnsi="Tahoma" w:cs="Tahoma"/>
          <w:sz w:val="22"/>
          <w:szCs w:val="22"/>
        </w:rPr>
        <w:t>Como quiera que los argumentos de las alegaciones de las partes se tuvieron en cuenta en la discusión del proyecto, procede la Sala a resolver el grado jurisdiccional de consulta</w:t>
      </w:r>
      <w:r w:rsidR="00A220D6" w:rsidRPr="00881D1B">
        <w:rPr>
          <w:rFonts w:ascii="Tahoma" w:hAnsi="Tahoma" w:cs="Tahoma"/>
          <w:sz w:val="22"/>
          <w:szCs w:val="22"/>
        </w:rPr>
        <w:t xml:space="preserve"> </w:t>
      </w:r>
      <w:r w:rsidRPr="00881D1B">
        <w:rPr>
          <w:rFonts w:ascii="Tahoma" w:hAnsi="Tahoma" w:cs="Tahoma"/>
          <w:sz w:val="22"/>
          <w:szCs w:val="22"/>
        </w:rPr>
        <w:t xml:space="preserve">de la sentencia emitida el </w:t>
      </w:r>
      <w:r w:rsidR="009930FB">
        <w:rPr>
          <w:rFonts w:ascii="Tahoma" w:hAnsi="Tahoma" w:cs="Tahoma"/>
          <w:sz w:val="22"/>
          <w:szCs w:val="22"/>
        </w:rPr>
        <w:t>1º d</w:t>
      </w:r>
      <w:r w:rsidR="001F32F7" w:rsidRPr="00881D1B">
        <w:rPr>
          <w:rFonts w:ascii="Tahoma" w:hAnsi="Tahoma" w:cs="Tahoma"/>
          <w:sz w:val="22"/>
          <w:szCs w:val="22"/>
        </w:rPr>
        <w:t xml:space="preserve">e </w:t>
      </w:r>
      <w:r w:rsidR="009930FB">
        <w:rPr>
          <w:rFonts w:ascii="Tahoma" w:hAnsi="Tahoma" w:cs="Tahoma"/>
          <w:sz w:val="22"/>
          <w:szCs w:val="22"/>
        </w:rPr>
        <w:t xml:space="preserve">junio </w:t>
      </w:r>
      <w:r w:rsidR="004D3091" w:rsidRPr="00881D1B">
        <w:rPr>
          <w:rFonts w:ascii="Tahoma" w:hAnsi="Tahoma" w:cs="Tahoma"/>
          <w:sz w:val="22"/>
          <w:szCs w:val="22"/>
        </w:rPr>
        <w:t>de</w:t>
      </w:r>
      <w:r w:rsidR="000108FA" w:rsidRPr="00881D1B">
        <w:rPr>
          <w:rFonts w:ascii="Tahoma" w:hAnsi="Tahoma" w:cs="Tahoma"/>
          <w:sz w:val="22"/>
          <w:szCs w:val="22"/>
        </w:rPr>
        <w:t xml:space="preserve"> 201</w:t>
      </w:r>
      <w:r w:rsidR="00EA7593" w:rsidRPr="00881D1B">
        <w:rPr>
          <w:rFonts w:ascii="Tahoma" w:hAnsi="Tahoma" w:cs="Tahoma"/>
          <w:sz w:val="22"/>
          <w:szCs w:val="22"/>
        </w:rPr>
        <w:t>5</w:t>
      </w:r>
      <w:r w:rsidRPr="00881D1B">
        <w:rPr>
          <w:rFonts w:ascii="Tahoma" w:hAnsi="Tahoma" w:cs="Tahoma"/>
          <w:sz w:val="22"/>
          <w:szCs w:val="22"/>
        </w:rPr>
        <w:t xml:space="preserve"> por el Juzgado </w:t>
      </w:r>
      <w:r w:rsidR="001F32F7" w:rsidRPr="00881D1B">
        <w:rPr>
          <w:rFonts w:ascii="Tahoma" w:hAnsi="Tahoma" w:cs="Tahoma"/>
          <w:sz w:val="22"/>
          <w:szCs w:val="22"/>
        </w:rPr>
        <w:t>Quinto</w:t>
      </w:r>
      <w:r w:rsidR="00AE32CF" w:rsidRPr="00881D1B">
        <w:rPr>
          <w:rFonts w:ascii="Tahoma" w:hAnsi="Tahoma" w:cs="Tahoma"/>
          <w:sz w:val="22"/>
          <w:szCs w:val="22"/>
        </w:rPr>
        <w:t xml:space="preserve"> </w:t>
      </w:r>
      <w:r w:rsidRPr="00881D1B">
        <w:rPr>
          <w:rFonts w:ascii="Tahoma" w:hAnsi="Tahoma" w:cs="Tahoma"/>
          <w:sz w:val="22"/>
          <w:szCs w:val="22"/>
        </w:rPr>
        <w:t xml:space="preserve">Laboral del Circuito de Pereira, </w:t>
      </w:r>
      <w:r w:rsidR="00576657" w:rsidRPr="00881D1B">
        <w:rPr>
          <w:rFonts w:ascii="Tahoma" w:hAnsi="Tahoma" w:cs="Tahoma"/>
          <w:sz w:val="22"/>
          <w:szCs w:val="22"/>
        </w:rPr>
        <w:t>que fuera desfavorable a</w:t>
      </w:r>
      <w:r w:rsidR="000D205F" w:rsidRPr="00881D1B">
        <w:rPr>
          <w:rFonts w:ascii="Tahoma" w:hAnsi="Tahoma" w:cs="Tahoma"/>
          <w:sz w:val="22"/>
          <w:szCs w:val="22"/>
        </w:rPr>
        <w:t xml:space="preserve"> Colpensiones</w:t>
      </w:r>
      <w:r w:rsidR="00E84D0F" w:rsidRPr="00881D1B">
        <w:rPr>
          <w:rFonts w:ascii="Tahoma" w:hAnsi="Tahoma" w:cs="Tahoma"/>
          <w:sz w:val="22"/>
          <w:szCs w:val="22"/>
        </w:rPr>
        <w:t>,</w:t>
      </w:r>
      <w:r w:rsidR="00576657" w:rsidRPr="00881D1B">
        <w:rPr>
          <w:rFonts w:ascii="Tahoma" w:hAnsi="Tahoma" w:cs="Tahoma"/>
          <w:sz w:val="22"/>
          <w:szCs w:val="22"/>
        </w:rPr>
        <w:t xml:space="preserve"> </w:t>
      </w:r>
      <w:r w:rsidRPr="009930FB">
        <w:rPr>
          <w:rFonts w:ascii="Tahoma" w:hAnsi="Tahoma" w:cs="Tahoma"/>
          <w:sz w:val="22"/>
          <w:szCs w:val="22"/>
        </w:rPr>
        <w:t>dentro del proceso ordinario laboral reseñado previamente.</w:t>
      </w:r>
    </w:p>
    <w:p w:rsidR="005A6E74" w:rsidRPr="009930FB" w:rsidRDefault="005A6E74" w:rsidP="00881D1B">
      <w:pPr>
        <w:pStyle w:val="Sinespaciado"/>
        <w:spacing w:line="276" w:lineRule="auto"/>
        <w:rPr>
          <w:sz w:val="22"/>
          <w:szCs w:val="22"/>
        </w:rPr>
      </w:pPr>
    </w:p>
    <w:p w:rsidR="003A3BBB" w:rsidRPr="009930FB" w:rsidRDefault="003A3BBB" w:rsidP="00881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930FB">
        <w:rPr>
          <w:rFonts w:ascii="Tahoma" w:hAnsi="Tahoma" w:cs="Tahoma"/>
          <w:b/>
          <w:sz w:val="22"/>
          <w:szCs w:val="22"/>
        </w:rPr>
        <w:t>Problema jurídico por resolver</w:t>
      </w:r>
    </w:p>
    <w:p w:rsidR="001B5F3A" w:rsidRPr="009930FB" w:rsidRDefault="001B5F3A" w:rsidP="00881D1B">
      <w:pPr>
        <w:pStyle w:val="Sinespaciado"/>
        <w:spacing w:line="276" w:lineRule="auto"/>
        <w:rPr>
          <w:sz w:val="22"/>
          <w:szCs w:val="22"/>
        </w:rPr>
      </w:pPr>
    </w:p>
    <w:p w:rsidR="00850A8F" w:rsidRDefault="0036166D" w:rsidP="00881D1B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30FB">
        <w:rPr>
          <w:rFonts w:ascii="Tahoma" w:hAnsi="Tahoma" w:cs="Tahoma"/>
          <w:sz w:val="22"/>
          <w:szCs w:val="22"/>
        </w:rPr>
        <w:tab/>
      </w:r>
      <w:r w:rsidR="009930FB" w:rsidRPr="009930FB">
        <w:rPr>
          <w:rFonts w:ascii="Tahoma" w:hAnsi="Tahoma" w:cs="Tahoma"/>
          <w:sz w:val="22"/>
          <w:szCs w:val="22"/>
        </w:rPr>
        <w:t xml:space="preserve">De acuerdo a la </w:t>
      </w:r>
      <w:r w:rsidR="009930FB" w:rsidRPr="009930FB">
        <w:rPr>
          <w:rFonts w:ascii="Tahoma" w:hAnsi="Tahoma" w:cs="Tahoma"/>
          <w:i/>
          <w:sz w:val="22"/>
          <w:szCs w:val="22"/>
        </w:rPr>
        <w:t>ratio decidendi</w:t>
      </w:r>
      <w:r w:rsidR="009930FB" w:rsidRPr="009930FB">
        <w:rPr>
          <w:rFonts w:ascii="Tahoma" w:hAnsi="Tahoma" w:cs="Tahoma"/>
          <w:sz w:val="22"/>
          <w:szCs w:val="22"/>
        </w:rPr>
        <w:t xml:space="preserve"> de la sentencia de primera instancia, le corresponde a la Sala determinar si es más favorable para el actor que el IBL de su pensión se liquide con base en los salarios devengados por él en </w:t>
      </w:r>
      <w:r w:rsidR="00E66C6C">
        <w:rPr>
          <w:rFonts w:ascii="Tahoma" w:hAnsi="Tahoma" w:cs="Tahoma"/>
          <w:sz w:val="22"/>
          <w:szCs w:val="22"/>
        </w:rPr>
        <w:t>los 10 años anteriores al reconocimiento de la prestación.</w:t>
      </w:r>
    </w:p>
    <w:p w:rsidR="009930FB" w:rsidRPr="009930FB" w:rsidRDefault="009930FB" w:rsidP="00165B1C">
      <w:pPr>
        <w:tabs>
          <w:tab w:val="left" w:pos="709"/>
        </w:tabs>
        <w:jc w:val="both"/>
        <w:rPr>
          <w:rFonts w:ascii="Tahoma" w:hAnsi="Tahoma" w:cs="Tahoma"/>
          <w:color w:val="FF0000"/>
          <w:sz w:val="22"/>
          <w:szCs w:val="22"/>
          <w:highlight w:val="yellow"/>
        </w:rPr>
      </w:pPr>
    </w:p>
    <w:p w:rsidR="003A3BBB" w:rsidRPr="009930FB" w:rsidRDefault="003A3BBB" w:rsidP="00881D1B">
      <w:pPr>
        <w:widowControl w:val="0"/>
        <w:numPr>
          <w:ilvl w:val="0"/>
          <w:numId w:val="8"/>
        </w:numPr>
        <w:tabs>
          <w:tab w:val="clear" w:pos="1080"/>
          <w:tab w:val="num" w:pos="0"/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9930FB">
        <w:rPr>
          <w:rFonts w:ascii="Tahoma" w:hAnsi="Tahoma" w:cs="Tahoma"/>
          <w:b/>
          <w:sz w:val="22"/>
          <w:szCs w:val="22"/>
        </w:rPr>
        <w:t>La demanda y su contestación</w:t>
      </w:r>
    </w:p>
    <w:p w:rsidR="00D539BB" w:rsidRPr="009930FB" w:rsidRDefault="00D539BB" w:rsidP="00165B1C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856020" w:rsidRDefault="00E10F75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930FB">
        <w:rPr>
          <w:rFonts w:ascii="Tahoma" w:hAnsi="Tahoma" w:cs="Tahoma"/>
          <w:sz w:val="22"/>
          <w:szCs w:val="22"/>
        </w:rPr>
        <w:t xml:space="preserve">El </w:t>
      </w:r>
      <w:r w:rsidR="00B158AB" w:rsidRPr="009930FB">
        <w:rPr>
          <w:rFonts w:ascii="Tahoma" w:hAnsi="Tahoma" w:cs="Tahoma"/>
          <w:sz w:val="22"/>
          <w:szCs w:val="22"/>
        </w:rPr>
        <w:t>citad</w:t>
      </w:r>
      <w:r w:rsidRPr="009930FB">
        <w:rPr>
          <w:rFonts w:ascii="Tahoma" w:hAnsi="Tahoma" w:cs="Tahoma"/>
          <w:sz w:val="22"/>
          <w:szCs w:val="22"/>
        </w:rPr>
        <w:t>o</w:t>
      </w:r>
      <w:r w:rsidR="00B158AB" w:rsidRPr="009930FB">
        <w:rPr>
          <w:rFonts w:ascii="Tahoma" w:hAnsi="Tahoma" w:cs="Tahoma"/>
          <w:sz w:val="22"/>
          <w:szCs w:val="22"/>
        </w:rPr>
        <w:t xml:space="preserve"> demandante solicit</w:t>
      </w:r>
      <w:r w:rsidR="00856020">
        <w:rPr>
          <w:rFonts w:ascii="Tahoma" w:hAnsi="Tahoma" w:cs="Tahoma"/>
          <w:sz w:val="22"/>
          <w:szCs w:val="22"/>
        </w:rPr>
        <w:t>a</w:t>
      </w:r>
      <w:r w:rsidR="00B158AB" w:rsidRPr="009930FB">
        <w:rPr>
          <w:rFonts w:ascii="Tahoma" w:hAnsi="Tahoma" w:cs="Tahoma"/>
          <w:sz w:val="22"/>
          <w:szCs w:val="22"/>
        </w:rPr>
        <w:t xml:space="preserve"> que se </w:t>
      </w:r>
      <w:r w:rsidR="00856020">
        <w:rPr>
          <w:rFonts w:ascii="Tahoma" w:hAnsi="Tahoma" w:cs="Tahoma"/>
          <w:sz w:val="22"/>
          <w:szCs w:val="22"/>
        </w:rPr>
        <w:t>declare que le asiste derecho a que se calcule el IBL de su pensión de vejez con el promedio de los salarios cotizados durante los últimos 10 años, al cual</w:t>
      </w:r>
      <w:r w:rsidR="003A1B37">
        <w:rPr>
          <w:rFonts w:ascii="Tahoma" w:hAnsi="Tahoma" w:cs="Tahoma"/>
          <w:sz w:val="22"/>
          <w:szCs w:val="22"/>
        </w:rPr>
        <w:t>, una vez s</w:t>
      </w:r>
      <w:r w:rsidR="00856020">
        <w:rPr>
          <w:rFonts w:ascii="Tahoma" w:hAnsi="Tahoma" w:cs="Tahoma"/>
          <w:sz w:val="22"/>
          <w:szCs w:val="22"/>
        </w:rPr>
        <w:t>e apli</w:t>
      </w:r>
      <w:r w:rsidR="003A1B37">
        <w:rPr>
          <w:rFonts w:ascii="Tahoma" w:hAnsi="Tahoma" w:cs="Tahoma"/>
          <w:sz w:val="22"/>
          <w:szCs w:val="22"/>
        </w:rPr>
        <w:t>que</w:t>
      </w:r>
      <w:r w:rsidR="00856020">
        <w:rPr>
          <w:rFonts w:ascii="Tahoma" w:hAnsi="Tahoma" w:cs="Tahoma"/>
          <w:sz w:val="22"/>
          <w:szCs w:val="22"/>
        </w:rPr>
        <w:t xml:space="preserve"> </w:t>
      </w:r>
      <w:r w:rsidR="005D37A3">
        <w:rPr>
          <w:rFonts w:ascii="Tahoma" w:hAnsi="Tahoma" w:cs="Tahoma"/>
          <w:sz w:val="22"/>
          <w:szCs w:val="22"/>
        </w:rPr>
        <w:t>la</w:t>
      </w:r>
      <w:r w:rsidR="00856020">
        <w:rPr>
          <w:rFonts w:ascii="Tahoma" w:hAnsi="Tahoma" w:cs="Tahoma"/>
          <w:sz w:val="22"/>
          <w:szCs w:val="22"/>
        </w:rPr>
        <w:t xml:space="preserve"> tasa de reemplazo del 75%</w:t>
      </w:r>
      <w:r w:rsidR="003A1B37">
        <w:rPr>
          <w:rFonts w:ascii="Tahoma" w:hAnsi="Tahoma" w:cs="Tahoma"/>
          <w:sz w:val="22"/>
          <w:szCs w:val="22"/>
        </w:rPr>
        <w:t xml:space="preserve">, </w:t>
      </w:r>
      <w:r w:rsidR="00093E98">
        <w:rPr>
          <w:rFonts w:ascii="Tahoma" w:hAnsi="Tahoma" w:cs="Tahoma"/>
          <w:sz w:val="22"/>
          <w:szCs w:val="22"/>
        </w:rPr>
        <w:t xml:space="preserve">arroja </w:t>
      </w:r>
      <w:r w:rsidR="003315F1">
        <w:rPr>
          <w:rFonts w:ascii="Tahoma" w:hAnsi="Tahoma" w:cs="Tahoma"/>
          <w:sz w:val="22"/>
          <w:szCs w:val="22"/>
        </w:rPr>
        <w:t xml:space="preserve">para el año 2007 </w:t>
      </w:r>
      <w:r w:rsidR="00093E98">
        <w:rPr>
          <w:rFonts w:ascii="Tahoma" w:hAnsi="Tahoma" w:cs="Tahoma"/>
          <w:sz w:val="22"/>
          <w:szCs w:val="22"/>
        </w:rPr>
        <w:t xml:space="preserve">una mesada </w:t>
      </w:r>
      <w:r w:rsidR="003315F1">
        <w:rPr>
          <w:rFonts w:ascii="Tahoma" w:hAnsi="Tahoma" w:cs="Tahoma"/>
          <w:sz w:val="22"/>
          <w:szCs w:val="22"/>
        </w:rPr>
        <w:t>equivalente a $750.593</w:t>
      </w:r>
      <w:r w:rsidR="00093E98">
        <w:rPr>
          <w:rFonts w:ascii="Tahoma" w:hAnsi="Tahoma" w:cs="Tahoma"/>
          <w:sz w:val="22"/>
          <w:szCs w:val="22"/>
        </w:rPr>
        <w:t>. Como conse</w:t>
      </w:r>
      <w:r w:rsidR="003315F1">
        <w:rPr>
          <w:rFonts w:ascii="Tahoma" w:hAnsi="Tahoma" w:cs="Tahoma"/>
          <w:sz w:val="22"/>
          <w:szCs w:val="22"/>
        </w:rPr>
        <w:t>cuencia</w:t>
      </w:r>
      <w:r w:rsidR="00093E98">
        <w:rPr>
          <w:rFonts w:ascii="Tahoma" w:hAnsi="Tahoma" w:cs="Tahoma"/>
          <w:sz w:val="22"/>
          <w:szCs w:val="22"/>
        </w:rPr>
        <w:t xml:space="preserve"> de lo anterior</w:t>
      </w:r>
      <w:r w:rsidR="003315F1">
        <w:rPr>
          <w:rFonts w:ascii="Tahoma" w:hAnsi="Tahoma" w:cs="Tahoma"/>
          <w:sz w:val="22"/>
          <w:szCs w:val="22"/>
        </w:rPr>
        <w:t xml:space="preserve">, procura que se condene a la demandada al pago </w:t>
      </w:r>
      <w:r w:rsidR="003315F1">
        <w:rPr>
          <w:rFonts w:ascii="Tahoma" w:hAnsi="Tahoma" w:cs="Tahoma"/>
          <w:sz w:val="22"/>
          <w:szCs w:val="22"/>
        </w:rPr>
        <w:lastRenderedPageBreak/>
        <w:t>retroactivo de las diferencias dejadas de percibir</w:t>
      </w:r>
      <w:r w:rsidR="005D37A3">
        <w:rPr>
          <w:rFonts w:ascii="Tahoma" w:hAnsi="Tahoma" w:cs="Tahoma"/>
          <w:sz w:val="22"/>
          <w:szCs w:val="22"/>
        </w:rPr>
        <w:t>,</w:t>
      </w:r>
      <w:r w:rsidR="005B2943">
        <w:rPr>
          <w:rFonts w:ascii="Tahoma" w:hAnsi="Tahoma" w:cs="Tahoma"/>
          <w:sz w:val="22"/>
          <w:szCs w:val="22"/>
        </w:rPr>
        <w:t xml:space="preserve"> debidamente indexadas</w:t>
      </w:r>
      <w:r w:rsidR="005D37A3">
        <w:rPr>
          <w:rFonts w:ascii="Tahoma" w:hAnsi="Tahoma" w:cs="Tahoma"/>
          <w:sz w:val="22"/>
          <w:szCs w:val="22"/>
        </w:rPr>
        <w:t>,</w:t>
      </w:r>
      <w:r w:rsidR="005B2943">
        <w:rPr>
          <w:rFonts w:ascii="Tahoma" w:hAnsi="Tahoma" w:cs="Tahoma"/>
          <w:sz w:val="22"/>
          <w:szCs w:val="22"/>
        </w:rPr>
        <w:t xml:space="preserve"> </w:t>
      </w:r>
      <w:r w:rsidR="00792D21">
        <w:rPr>
          <w:rFonts w:ascii="Tahoma" w:hAnsi="Tahoma" w:cs="Tahoma"/>
          <w:sz w:val="22"/>
          <w:szCs w:val="22"/>
        </w:rPr>
        <w:t>más</w:t>
      </w:r>
      <w:r w:rsidR="005B2943">
        <w:rPr>
          <w:rFonts w:ascii="Tahoma" w:hAnsi="Tahoma" w:cs="Tahoma"/>
          <w:sz w:val="22"/>
          <w:szCs w:val="22"/>
        </w:rPr>
        <w:t xml:space="preserve"> lo que resulte probado en virtud de las facultades extra y ultra petita y</w:t>
      </w:r>
      <w:r w:rsidR="000555B5">
        <w:rPr>
          <w:rFonts w:ascii="Tahoma" w:hAnsi="Tahoma" w:cs="Tahoma"/>
          <w:sz w:val="22"/>
          <w:szCs w:val="22"/>
        </w:rPr>
        <w:t>,</w:t>
      </w:r>
      <w:r w:rsidR="005B2943">
        <w:rPr>
          <w:rFonts w:ascii="Tahoma" w:hAnsi="Tahoma" w:cs="Tahoma"/>
          <w:sz w:val="22"/>
          <w:szCs w:val="22"/>
        </w:rPr>
        <w:t xml:space="preserve"> las costas procesales.</w:t>
      </w:r>
      <w:r w:rsidR="003315F1">
        <w:rPr>
          <w:rFonts w:ascii="Tahoma" w:hAnsi="Tahoma" w:cs="Tahoma"/>
          <w:sz w:val="22"/>
          <w:szCs w:val="22"/>
        </w:rPr>
        <w:t xml:space="preserve"> </w:t>
      </w:r>
    </w:p>
    <w:p w:rsidR="00856020" w:rsidRDefault="00856020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792D21" w:rsidRDefault="00792D21" w:rsidP="00792D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fundar dichas pretensiones manifiesta que cumplió los 60 años de edad el 29 de agosto de 2006; que el </w:t>
      </w:r>
      <w:r w:rsidR="000555B5">
        <w:rPr>
          <w:rFonts w:ascii="Tahoma" w:hAnsi="Tahoma" w:cs="Tahoma"/>
          <w:sz w:val="22"/>
          <w:szCs w:val="22"/>
        </w:rPr>
        <w:t xml:space="preserve">Juzgado Segundo Laboral Adjunto </w:t>
      </w:r>
      <w:r>
        <w:rPr>
          <w:rFonts w:ascii="Tahoma" w:hAnsi="Tahoma" w:cs="Tahoma"/>
          <w:sz w:val="22"/>
          <w:szCs w:val="22"/>
        </w:rPr>
        <w:t>de Pereira</w:t>
      </w:r>
      <w:r w:rsidR="000555B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mediante sentencia de 12 de agosto de 2011</w:t>
      </w:r>
      <w:r w:rsidR="000555B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condenó al entonces I.S.S. a reconocerle y pagarle la pensión de vejez a partir del 1º de noviembre de 2007, sin </w:t>
      </w:r>
      <w:r w:rsidR="00077114">
        <w:rPr>
          <w:rFonts w:ascii="Tahoma" w:hAnsi="Tahoma" w:cs="Tahoma"/>
          <w:sz w:val="22"/>
          <w:szCs w:val="22"/>
        </w:rPr>
        <w:t>especificarse en primera ni segunda instancia el</w:t>
      </w:r>
      <w:r>
        <w:rPr>
          <w:rFonts w:ascii="Tahoma" w:hAnsi="Tahoma" w:cs="Tahoma"/>
          <w:sz w:val="22"/>
          <w:szCs w:val="22"/>
        </w:rPr>
        <w:t xml:space="preserve"> monto de la mesada </w:t>
      </w:r>
      <w:r w:rsidR="000555B5">
        <w:rPr>
          <w:rFonts w:ascii="Tahoma" w:hAnsi="Tahoma" w:cs="Tahoma"/>
          <w:sz w:val="22"/>
          <w:szCs w:val="22"/>
        </w:rPr>
        <w:t>pensional</w:t>
      </w:r>
      <w:r w:rsidR="00077114">
        <w:rPr>
          <w:rFonts w:ascii="Tahoma" w:hAnsi="Tahoma" w:cs="Tahoma"/>
          <w:sz w:val="22"/>
          <w:szCs w:val="22"/>
        </w:rPr>
        <w:t>.</w:t>
      </w:r>
    </w:p>
    <w:p w:rsidR="00077114" w:rsidRDefault="00077114" w:rsidP="00792D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0555B5" w:rsidRDefault="00077114" w:rsidP="00792D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0555B5">
        <w:rPr>
          <w:rFonts w:ascii="Tahoma" w:hAnsi="Tahoma" w:cs="Tahoma"/>
          <w:sz w:val="22"/>
          <w:szCs w:val="22"/>
        </w:rPr>
        <w:t xml:space="preserve">firma </w:t>
      </w:r>
      <w:r>
        <w:rPr>
          <w:rFonts w:ascii="Tahoma" w:hAnsi="Tahoma" w:cs="Tahoma"/>
          <w:sz w:val="22"/>
          <w:szCs w:val="22"/>
        </w:rPr>
        <w:t xml:space="preserve">que Colpensiones mediante la Resolución GNR 176115 del 9 de julio de 2013 le reconoció una mesada pensional equivalente al salario mínimo, teniendo en cuenta para ello </w:t>
      </w:r>
      <w:r w:rsidR="00D16B71">
        <w:rPr>
          <w:rFonts w:ascii="Tahoma" w:hAnsi="Tahoma" w:cs="Tahoma"/>
          <w:sz w:val="22"/>
          <w:szCs w:val="22"/>
        </w:rPr>
        <w:t xml:space="preserve">un IBL de $435.836 y la tasa de reemplazo del 75% establecida en la Ley 71 de 1988; no obstante, indica que </w:t>
      </w:r>
      <w:r w:rsidR="000555B5">
        <w:rPr>
          <w:rFonts w:ascii="Tahoma" w:hAnsi="Tahoma" w:cs="Tahoma"/>
          <w:sz w:val="22"/>
          <w:szCs w:val="22"/>
        </w:rPr>
        <w:t xml:space="preserve">el IBL </w:t>
      </w:r>
      <w:r w:rsidR="00D16B71">
        <w:rPr>
          <w:rFonts w:ascii="Tahoma" w:hAnsi="Tahoma" w:cs="Tahoma"/>
          <w:sz w:val="22"/>
          <w:szCs w:val="22"/>
        </w:rPr>
        <w:t>calcula</w:t>
      </w:r>
      <w:r w:rsidR="000555B5">
        <w:rPr>
          <w:rFonts w:ascii="Tahoma" w:hAnsi="Tahoma" w:cs="Tahoma"/>
          <w:sz w:val="22"/>
          <w:szCs w:val="22"/>
        </w:rPr>
        <w:t>do</w:t>
      </w:r>
      <w:r w:rsidR="00D16B71">
        <w:rPr>
          <w:rFonts w:ascii="Tahoma" w:hAnsi="Tahoma" w:cs="Tahoma"/>
          <w:sz w:val="22"/>
          <w:szCs w:val="22"/>
        </w:rPr>
        <w:t xml:space="preserve"> con el promedio de las cotizaciones de los últimos 10 años</w:t>
      </w:r>
      <w:r w:rsidR="000555B5">
        <w:rPr>
          <w:rFonts w:ascii="Tahoma" w:hAnsi="Tahoma" w:cs="Tahoma"/>
          <w:sz w:val="22"/>
          <w:szCs w:val="22"/>
        </w:rPr>
        <w:t xml:space="preserve"> </w:t>
      </w:r>
      <w:r w:rsidR="00D16B71">
        <w:rPr>
          <w:rFonts w:ascii="Tahoma" w:hAnsi="Tahoma" w:cs="Tahoma"/>
          <w:sz w:val="22"/>
          <w:szCs w:val="22"/>
        </w:rPr>
        <w:t>equivale</w:t>
      </w:r>
      <w:r w:rsidR="00244A83">
        <w:rPr>
          <w:rFonts w:ascii="Tahoma" w:hAnsi="Tahoma" w:cs="Tahoma"/>
          <w:sz w:val="22"/>
          <w:szCs w:val="22"/>
        </w:rPr>
        <w:t xml:space="preserve"> a $1.000.791. </w:t>
      </w:r>
    </w:p>
    <w:p w:rsidR="000555B5" w:rsidRDefault="000555B5" w:rsidP="00792D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077114" w:rsidRDefault="00537913" w:rsidP="00792D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</w:t>
      </w:r>
      <w:r w:rsidR="00244A83">
        <w:rPr>
          <w:rFonts w:ascii="Tahoma" w:hAnsi="Tahoma" w:cs="Tahoma"/>
          <w:sz w:val="22"/>
          <w:szCs w:val="22"/>
        </w:rPr>
        <w:t xml:space="preserve"> último </w:t>
      </w:r>
      <w:r w:rsidR="000555B5">
        <w:rPr>
          <w:rFonts w:ascii="Tahoma" w:hAnsi="Tahoma" w:cs="Tahoma"/>
          <w:sz w:val="22"/>
          <w:szCs w:val="22"/>
        </w:rPr>
        <w:t xml:space="preserve">señala </w:t>
      </w:r>
      <w:r w:rsidR="00244A83">
        <w:rPr>
          <w:rFonts w:ascii="Tahoma" w:hAnsi="Tahoma" w:cs="Tahoma"/>
          <w:sz w:val="22"/>
          <w:szCs w:val="22"/>
        </w:rPr>
        <w:t>que el 9 de octubre de 2014 solicitó ante Colpensiones la reliquidación de su mesada pensional, sin que a la fecha de presentación de la demanda hubiera recibido respuesta por parte de aquella entidad.</w:t>
      </w:r>
    </w:p>
    <w:p w:rsidR="00657033" w:rsidRPr="00881D1B" w:rsidRDefault="00657033" w:rsidP="00537913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12D90" w:rsidRDefault="00B158AB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81D1B">
        <w:rPr>
          <w:rFonts w:ascii="Tahoma" w:hAnsi="Tahoma" w:cs="Tahoma"/>
          <w:sz w:val="22"/>
          <w:szCs w:val="22"/>
        </w:rPr>
        <w:t xml:space="preserve">Colpensiones </w:t>
      </w:r>
      <w:r w:rsidR="00767C07" w:rsidRPr="00881D1B">
        <w:rPr>
          <w:rFonts w:ascii="Tahoma" w:hAnsi="Tahoma" w:cs="Tahoma"/>
          <w:sz w:val="22"/>
          <w:szCs w:val="22"/>
        </w:rPr>
        <w:t xml:space="preserve">contestó la demanda </w:t>
      </w:r>
      <w:r w:rsidR="00D539BB" w:rsidRPr="00881D1B">
        <w:rPr>
          <w:rFonts w:ascii="Tahoma" w:hAnsi="Tahoma" w:cs="Tahoma"/>
          <w:sz w:val="22"/>
          <w:szCs w:val="22"/>
        </w:rPr>
        <w:t>acept</w:t>
      </w:r>
      <w:r w:rsidR="00767C07" w:rsidRPr="00881D1B">
        <w:rPr>
          <w:rFonts w:ascii="Tahoma" w:hAnsi="Tahoma" w:cs="Tahoma"/>
          <w:sz w:val="22"/>
          <w:szCs w:val="22"/>
        </w:rPr>
        <w:t>ando</w:t>
      </w:r>
      <w:r w:rsidR="00D539BB" w:rsidRPr="00881D1B">
        <w:rPr>
          <w:rFonts w:ascii="Tahoma" w:hAnsi="Tahoma" w:cs="Tahoma"/>
          <w:sz w:val="22"/>
          <w:szCs w:val="22"/>
        </w:rPr>
        <w:t xml:space="preserve"> los hechos relacionados con la edad del demandante</w:t>
      </w:r>
      <w:r w:rsidR="00812D90">
        <w:rPr>
          <w:rFonts w:ascii="Tahoma" w:hAnsi="Tahoma" w:cs="Tahoma"/>
          <w:sz w:val="22"/>
          <w:szCs w:val="22"/>
        </w:rPr>
        <w:t xml:space="preserve">; el reconocimiento de la pensión a través de la </w:t>
      </w:r>
      <w:r w:rsidR="00C86048">
        <w:rPr>
          <w:rFonts w:ascii="Tahoma" w:hAnsi="Tahoma" w:cs="Tahoma"/>
          <w:sz w:val="22"/>
          <w:szCs w:val="22"/>
        </w:rPr>
        <w:t xml:space="preserve">Resolución </w:t>
      </w:r>
      <w:r w:rsidR="00812D90">
        <w:rPr>
          <w:rFonts w:ascii="Tahoma" w:hAnsi="Tahoma" w:cs="Tahoma"/>
          <w:sz w:val="22"/>
          <w:szCs w:val="22"/>
        </w:rPr>
        <w:t>GNR 176115 y que al 9 de octubre se presentó solicitud de reliquidación, sin que la misma haya sido resuelta.</w:t>
      </w:r>
      <w:r w:rsidR="00C86048">
        <w:rPr>
          <w:rFonts w:ascii="Tahoma" w:hAnsi="Tahoma" w:cs="Tahoma"/>
          <w:sz w:val="22"/>
          <w:szCs w:val="22"/>
        </w:rPr>
        <w:t xml:space="preserve"> Frente a los demás hechos manifestó que no eran ciertos.</w:t>
      </w:r>
    </w:p>
    <w:p w:rsidR="00C86048" w:rsidRDefault="00C86048" w:rsidP="00466D3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C86048" w:rsidRDefault="00C86048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Seguidamente se opuso a las pretensiones de la demanda y propuso como excepciones de mérito las que denominó “Deber del demandante de demostrar los supuestos de hecho” y “Prescripción”.</w:t>
      </w:r>
    </w:p>
    <w:p w:rsidR="003A3BBB" w:rsidRPr="00881D1B" w:rsidRDefault="003A3BBB" w:rsidP="00881D1B">
      <w:pPr>
        <w:widowControl w:val="0"/>
        <w:numPr>
          <w:ilvl w:val="0"/>
          <w:numId w:val="8"/>
        </w:numPr>
        <w:tabs>
          <w:tab w:val="clear" w:pos="1080"/>
          <w:tab w:val="num" w:pos="187"/>
          <w:tab w:val="left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881D1B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3A3BBB" w:rsidRPr="00881D1B" w:rsidRDefault="00680EB9" w:rsidP="00881D1B">
      <w:pPr>
        <w:pStyle w:val="Sinespaciado"/>
        <w:tabs>
          <w:tab w:val="left" w:pos="3207"/>
        </w:tabs>
        <w:spacing w:line="276" w:lineRule="auto"/>
        <w:rPr>
          <w:sz w:val="22"/>
          <w:szCs w:val="22"/>
        </w:rPr>
      </w:pPr>
      <w:r w:rsidRPr="00881D1B">
        <w:rPr>
          <w:sz w:val="22"/>
          <w:szCs w:val="22"/>
        </w:rPr>
        <w:tab/>
      </w:r>
    </w:p>
    <w:p w:rsidR="00E06BE3" w:rsidRDefault="00680EB9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81D1B">
        <w:rPr>
          <w:rFonts w:ascii="Tahoma" w:hAnsi="Tahoma" w:cs="Tahoma"/>
          <w:sz w:val="22"/>
          <w:szCs w:val="22"/>
        </w:rPr>
        <w:t>La Jueza de</w:t>
      </w:r>
      <w:r w:rsidR="007F77DC" w:rsidRPr="00881D1B">
        <w:rPr>
          <w:rFonts w:ascii="Tahoma" w:hAnsi="Tahoma" w:cs="Tahoma"/>
          <w:sz w:val="22"/>
          <w:szCs w:val="22"/>
        </w:rPr>
        <w:t xml:space="preserve"> conocimiento </w:t>
      </w:r>
      <w:r w:rsidRPr="00881D1B">
        <w:rPr>
          <w:rFonts w:ascii="Tahoma" w:hAnsi="Tahoma" w:cs="Tahoma"/>
          <w:sz w:val="22"/>
          <w:szCs w:val="22"/>
        </w:rPr>
        <w:t>declaró</w:t>
      </w:r>
      <w:r w:rsidRPr="00881D1B">
        <w:rPr>
          <w:rFonts w:ascii="Tahoma" w:hAnsi="Tahoma" w:cs="Tahoma"/>
          <w:b/>
          <w:sz w:val="22"/>
          <w:szCs w:val="22"/>
        </w:rPr>
        <w:t xml:space="preserve"> </w:t>
      </w:r>
      <w:r w:rsidR="00E06BE3" w:rsidRPr="00E06BE3">
        <w:rPr>
          <w:rFonts w:ascii="Tahoma" w:hAnsi="Tahoma" w:cs="Tahoma"/>
          <w:sz w:val="22"/>
          <w:szCs w:val="22"/>
        </w:rPr>
        <w:t xml:space="preserve">que el señor Jesús Antonio Torres </w:t>
      </w:r>
      <w:r w:rsidR="0030088A" w:rsidRPr="00E06BE3">
        <w:rPr>
          <w:rFonts w:ascii="Tahoma" w:hAnsi="Tahoma" w:cs="Tahoma"/>
          <w:sz w:val="22"/>
          <w:szCs w:val="22"/>
        </w:rPr>
        <w:t>Ávila</w:t>
      </w:r>
      <w:r w:rsidR="00E06BE3" w:rsidRPr="00E06BE3">
        <w:rPr>
          <w:rFonts w:ascii="Tahoma" w:hAnsi="Tahoma" w:cs="Tahoma"/>
          <w:sz w:val="22"/>
          <w:szCs w:val="22"/>
        </w:rPr>
        <w:t xml:space="preserve"> tiene derecho a la reliquidación</w:t>
      </w:r>
      <w:r w:rsidR="00E06BE3">
        <w:rPr>
          <w:rFonts w:ascii="Tahoma" w:hAnsi="Tahoma" w:cs="Tahoma"/>
          <w:sz w:val="22"/>
          <w:szCs w:val="22"/>
        </w:rPr>
        <w:t xml:space="preserve"> de su pensión de vejez aplicándose el promedio de lo cotizado</w:t>
      </w:r>
      <w:r w:rsidR="00D66FA9">
        <w:rPr>
          <w:rFonts w:ascii="Tahoma" w:hAnsi="Tahoma" w:cs="Tahoma"/>
          <w:sz w:val="22"/>
          <w:szCs w:val="22"/>
        </w:rPr>
        <w:t xml:space="preserve"> dentro de los 10 años anteriores al reconocimiento de la pensión</w:t>
      </w:r>
      <w:r w:rsidR="000555B5">
        <w:rPr>
          <w:rFonts w:ascii="Tahoma" w:hAnsi="Tahoma" w:cs="Tahoma"/>
          <w:sz w:val="22"/>
          <w:szCs w:val="22"/>
        </w:rPr>
        <w:t xml:space="preserve"> y, en consecuencia, o</w:t>
      </w:r>
      <w:r w:rsidR="00D66FA9">
        <w:rPr>
          <w:rFonts w:ascii="Tahoma" w:hAnsi="Tahoma" w:cs="Tahoma"/>
          <w:sz w:val="22"/>
          <w:szCs w:val="22"/>
        </w:rPr>
        <w:t xml:space="preserve">rdenó a Colpensiones modificar la </w:t>
      </w:r>
      <w:r w:rsidR="000555B5">
        <w:rPr>
          <w:rFonts w:ascii="Tahoma" w:hAnsi="Tahoma" w:cs="Tahoma"/>
          <w:sz w:val="22"/>
          <w:szCs w:val="22"/>
        </w:rPr>
        <w:t xml:space="preserve">Resolución GNR </w:t>
      </w:r>
      <w:r w:rsidR="00D66FA9">
        <w:rPr>
          <w:rFonts w:ascii="Tahoma" w:hAnsi="Tahoma" w:cs="Tahoma"/>
          <w:sz w:val="22"/>
          <w:szCs w:val="22"/>
        </w:rPr>
        <w:t xml:space="preserve">176115 de 2003, en el entendido que la primera mesada </w:t>
      </w:r>
      <w:r w:rsidR="004B0A0E">
        <w:rPr>
          <w:rFonts w:ascii="Tahoma" w:hAnsi="Tahoma" w:cs="Tahoma"/>
          <w:sz w:val="22"/>
          <w:szCs w:val="22"/>
        </w:rPr>
        <w:t xml:space="preserve">para el año 2007 </w:t>
      </w:r>
      <w:r w:rsidR="00D66FA9">
        <w:rPr>
          <w:rFonts w:ascii="Tahoma" w:hAnsi="Tahoma" w:cs="Tahoma"/>
          <w:sz w:val="22"/>
          <w:szCs w:val="22"/>
        </w:rPr>
        <w:t xml:space="preserve">es de $749.750, y </w:t>
      </w:r>
      <w:r w:rsidR="004B0A0E">
        <w:rPr>
          <w:rFonts w:ascii="Tahoma" w:hAnsi="Tahoma" w:cs="Tahoma"/>
          <w:sz w:val="22"/>
          <w:szCs w:val="22"/>
        </w:rPr>
        <w:t xml:space="preserve">por tanto, las </w:t>
      </w:r>
      <w:r w:rsidR="00D66FA9">
        <w:rPr>
          <w:rFonts w:ascii="Tahoma" w:hAnsi="Tahoma" w:cs="Tahoma"/>
          <w:sz w:val="22"/>
          <w:szCs w:val="22"/>
        </w:rPr>
        <w:t>diferencias</w:t>
      </w:r>
      <w:r w:rsidR="008D488F">
        <w:rPr>
          <w:rFonts w:ascii="Tahoma" w:hAnsi="Tahoma" w:cs="Tahoma"/>
          <w:sz w:val="22"/>
          <w:szCs w:val="22"/>
        </w:rPr>
        <w:t xml:space="preserve"> </w:t>
      </w:r>
      <w:r w:rsidR="00D66FA9">
        <w:rPr>
          <w:rFonts w:ascii="Tahoma" w:hAnsi="Tahoma" w:cs="Tahoma"/>
          <w:sz w:val="22"/>
          <w:szCs w:val="22"/>
        </w:rPr>
        <w:t xml:space="preserve">dejadas de cancelar ascienden a la suma de </w:t>
      </w:r>
      <w:r w:rsidR="008D488F">
        <w:rPr>
          <w:rFonts w:ascii="Tahoma" w:hAnsi="Tahoma" w:cs="Tahoma"/>
          <w:sz w:val="22"/>
          <w:szCs w:val="22"/>
        </w:rPr>
        <w:t xml:space="preserve">$37.633.285, cuya indexación </w:t>
      </w:r>
      <w:r w:rsidR="004B0A0E">
        <w:rPr>
          <w:rFonts w:ascii="Tahoma" w:hAnsi="Tahoma" w:cs="Tahoma"/>
          <w:sz w:val="22"/>
          <w:szCs w:val="22"/>
        </w:rPr>
        <w:t>es de $</w:t>
      </w:r>
      <w:r w:rsidR="008D488F">
        <w:rPr>
          <w:rFonts w:ascii="Tahoma" w:hAnsi="Tahoma" w:cs="Tahoma"/>
          <w:sz w:val="22"/>
          <w:szCs w:val="22"/>
        </w:rPr>
        <w:t>11.892.118.</w:t>
      </w:r>
    </w:p>
    <w:p w:rsidR="008D488F" w:rsidRDefault="008D488F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D488F" w:rsidRPr="009431FA" w:rsidRDefault="008D488F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Igualmente, ordenó descontar </w:t>
      </w:r>
      <w:r w:rsidRPr="009431FA">
        <w:rPr>
          <w:rFonts w:ascii="Tahoma" w:hAnsi="Tahoma" w:cs="Tahoma"/>
          <w:sz w:val="22"/>
          <w:szCs w:val="22"/>
        </w:rPr>
        <w:t>del retroactivo pensional la suma de $4.515.994, que deben se</w:t>
      </w:r>
      <w:r w:rsidR="00881A80">
        <w:rPr>
          <w:rFonts w:ascii="Tahoma" w:hAnsi="Tahoma" w:cs="Tahoma"/>
          <w:sz w:val="22"/>
          <w:szCs w:val="22"/>
        </w:rPr>
        <w:t>r</w:t>
      </w:r>
      <w:r w:rsidRPr="009431FA">
        <w:rPr>
          <w:rFonts w:ascii="Tahoma" w:hAnsi="Tahoma" w:cs="Tahoma"/>
          <w:sz w:val="22"/>
          <w:szCs w:val="22"/>
        </w:rPr>
        <w:t xml:space="preserve"> trasladados a la empresa promotora de salud a la que se encuentra afiliado el señor Torres Ávila</w:t>
      </w:r>
      <w:r w:rsidR="00BE59FC" w:rsidRPr="009431FA">
        <w:rPr>
          <w:rFonts w:ascii="Tahoma" w:hAnsi="Tahoma" w:cs="Tahoma"/>
          <w:sz w:val="22"/>
          <w:szCs w:val="22"/>
        </w:rPr>
        <w:t xml:space="preserve"> y</w:t>
      </w:r>
      <w:r w:rsidR="00881A80">
        <w:rPr>
          <w:rFonts w:ascii="Tahoma" w:hAnsi="Tahoma" w:cs="Tahoma"/>
          <w:sz w:val="22"/>
          <w:szCs w:val="22"/>
        </w:rPr>
        <w:t>,</w:t>
      </w:r>
      <w:r w:rsidR="00BE59FC" w:rsidRPr="009431FA">
        <w:rPr>
          <w:rFonts w:ascii="Tahoma" w:hAnsi="Tahoma" w:cs="Tahoma"/>
          <w:sz w:val="22"/>
          <w:szCs w:val="22"/>
        </w:rPr>
        <w:t xml:space="preserve"> por último</w:t>
      </w:r>
      <w:r w:rsidR="00881A80">
        <w:rPr>
          <w:rFonts w:ascii="Tahoma" w:hAnsi="Tahoma" w:cs="Tahoma"/>
          <w:sz w:val="22"/>
          <w:szCs w:val="22"/>
        </w:rPr>
        <w:t>,</w:t>
      </w:r>
      <w:r w:rsidR="00BE59FC" w:rsidRPr="009431FA">
        <w:rPr>
          <w:rFonts w:ascii="Tahoma" w:hAnsi="Tahoma" w:cs="Tahoma"/>
          <w:sz w:val="22"/>
          <w:szCs w:val="22"/>
        </w:rPr>
        <w:t xml:space="preserve"> declaró no probadas las excepciones propuestas por la entidad demandada, a la que condenó a la pago de las costas procesales.</w:t>
      </w:r>
    </w:p>
    <w:p w:rsidR="00E06BE3" w:rsidRPr="009431FA" w:rsidRDefault="00E06BE3" w:rsidP="00881D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881A80" w:rsidRDefault="00F160A7" w:rsidP="009431F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 xml:space="preserve">Para llegar a tal determinación la Jueza de primer </w:t>
      </w:r>
      <w:r w:rsidR="00573824">
        <w:rPr>
          <w:rFonts w:ascii="Tahoma" w:hAnsi="Tahoma" w:cs="Tahoma"/>
          <w:sz w:val="22"/>
          <w:szCs w:val="22"/>
        </w:rPr>
        <w:t>grado</w:t>
      </w:r>
      <w:r w:rsidR="009F054C" w:rsidRPr="009431FA">
        <w:rPr>
          <w:rFonts w:ascii="Tahoma" w:hAnsi="Tahoma" w:cs="Tahoma"/>
          <w:sz w:val="22"/>
          <w:szCs w:val="22"/>
        </w:rPr>
        <w:t xml:space="preserve"> </w:t>
      </w:r>
      <w:r w:rsidR="009E675F" w:rsidRPr="009431FA">
        <w:rPr>
          <w:rFonts w:ascii="Tahoma" w:hAnsi="Tahoma" w:cs="Tahoma"/>
          <w:sz w:val="22"/>
          <w:szCs w:val="22"/>
        </w:rPr>
        <w:t>consideró</w:t>
      </w:r>
      <w:r w:rsidR="009E675F" w:rsidRPr="00466D35">
        <w:rPr>
          <w:rFonts w:ascii="Tahoma" w:hAnsi="Tahoma" w:cs="Tahoma"/>
          <w:sz w:val="22"/>
          <w:szCs w:val="22"/>
        </w:rPr>
        <w:t>, en síntesis,</w:t>
      </w:r>
      <w:r w:rsidR="009E675F" w:rsidRPr="009431FA">
        <w:rPr>
          <w:rFonts w:ascii="Tahoma" w:hAnsi="Tahoma" w:cs="Tahoma"/>
          <w:sz w:val="22"/>
          <w:szCs w:val="22"/>
        </w:rPr>
        <w:t xml:space="preserve"> </w:t>
      </w:r>
      <w:r w:rsidR="009431FA" w:rsidRPr="009431FA">
        <w:rPr>
          <w:rFonts w:ascii="Tahoma" w:hAnsi="Tahoma" w:cs="Tahoma"/>
          <w:sz w:val="22"/>
          <w:szCs w:val="22"/>
        </w:rPr>
        <w:t xml:space="preserve">que </w:t>
      </w:r>
      <w:r w:rsidR="00881A80">
        <w:rPr>
          <w:rFonts w:ascii="Tahoma" w:hAnsi="Tahoma" w:cs="Tahoma"/>
          <w:sz w:val="22"/>
          <w:szCs w:val="22"/>
        </w:rPr>
        <w:t>era procedente calcular el IBL del actor de la forma pretendida en la demanda en razón a que al actor le faltaban más de 10 años para pensionarse a la entrada en vigencia de la Ley 100 de 1993. De esta manera, al calcular dicho guarismo obtuvo un monto de $999.667, al cual, al aplicarle la tasa de reemplazo del 75%</w:t>
      </w:r>
      <w:r w:rsidR="00A11DC0">
        <w:rPr>
          <w:rFonts w:ascii="Tahoma" w:hAnsi="Tahoma" w:cs="Tahoma"/>
          <w:sz w:val="22"/>
          <w:szCs w:val="22"/>
        </w:rPr>
        <w:t>, arrojó una mesada de $749.750, superior al salario mínimo reconocido por la entidad demandada</w:t>
      </w:r>
      <w:r w:rsidR="00AC6703">
        <w:rPr>
          <w:rFonts w:ascii="Tahoma" w:hAnsi="Tahoma" w:cs="Tahoma"/>
          <w:sz w:val="22"/>
          <w:szCs w:val="22"/>
        </w:rPr>
        <w:t>.</w:t>
      </w:r>
    </w:p>
    <w:p w:rsidR="00AC6703" w:rsidRDefault="00AC6703" w:rsidP="009431F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A10F8" w:rsidRDefault="00AC6703" w:rsidP="009431F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Así las cosas, calculó las diferencias dejadas de cancelar en la suma de $37.633.285, cuya indexación es de $11.892.118</w:t>
      </w:r>
      <w:r w:rsidR="00AA10F8">
        <w:rPr>
          <w:rFonts w:ascii="Tahoma" w:hAnsi="Tahoma" w:cs="Tahoma"/>
          <w:sz w:val="22"/>
          <w:szCs w:val="22"/>
        </w:rPr>
        <w:t>, sin que hubiera prescrito mesada alguna por cuanto entre la reclamación administrativa presentada el 9 de oct</w:t>
      </w:r>
      <w:r w:rsidR="00D21B43">
        <w:rPr>
          <w:rFonts w:ascii="Tahoma" w:hAnsi="Tahoma" w:cs="Tahoma"/>
          <w:sz w:val="22"/>
          <w:szCs w:val="22"/>
        </w:rPr>
        <w:t>ubre de 2014 y el momento en que se introdujo la demanda no transcurrieron más de 3 años.</w:t>
      </w:r>
    </w:p>
    <w:p w:rsidR="00AC6703" w:rsidRDefault="00AC6703" w:rsidP="009431F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Finalmente, indicó que </w:t>
      </w:r>
      <w:r w:rsidR="00AA10F8">
        <w:rPr>
          <w:rFonts w:ascii="Tahoma" w:hAnsi="Tahoma" w:cs="Tahoma"/>
          <w:sz w:val="22"/>
          <w:szCs w:val="22"/>
        </w:rPr>
        <w:t xml:space="preserve">era menester ordenar el descuento de los aportes en salud del retroactivo reconocido, el cual calculó en la suma de </w:t>
      </w:r>
      <w:r w:rsidR="00AA10F8" w:rsidRPr="009431FA">
        <w:rPr>
          <w:rFonts w:ascii="Tahoma" w:hAnsi="Tahoma" w:cs="Tahoma"/>
          <w:sz w:val="22"/>
          <w:szCs w:val="22"/>
        </w:rPr>
        <w:t>$4.515.994</w:t>
      </w:r>
      <w:r w:rsidR="00AA10F8">
        <w:rPr>
          <w:rFonts w:ascii="Tahoma" w:hAnsi="Tahoma" w:cs="Tahoma"/>
          <w:sz w:val="22"/>
          <w:szCs w:val="22"/>
        </w:rPr>
        <w:t>.</w:t>
      </w:r>
    </w:p>
    <w:p w:rsidR="009431FA" w:rsidRPr="009431FA" w:rsidRDefault="009431FA" w:rsidP="009431F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274A7" w:rsidRPr="00B03839" w:rsidRDefault="007D52BA" w:rsidP="00881D1B">
      <w:pPr>
        <w:widowControl w:val="0"/>
        <w:numPr>
          <w:ilvl w:val="0"/>
          <w:numId w:val="8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03839">
        <w:rPr>
          <w:rFonts w:ascii="Tahoma" w:hAnsi="Tahoma" w:cs="Tahoma"/>
          <w:b/>
          <w:sz w:val="22"/>
          <w:szCs w:val="22"/>
        </w:rPr>
        <w:t xml:space="preserve">Procedencia </w:t>
      </w:r>
      <w:r w:rsidR="003274A7" w:rsidRPr="00B03839">
        <w:rPr>
          <w:rFonts w:ascii="Tahoma" w:hAnsi="Tahoma" w:cs="Tahoma"/>
          <w:b/>
          <w:sz w:val="22"/>
          <w:szCs w:val="22"/>
        </w:rPr>
        <w:t>de la consulta</w:t>
      </w:r>
    </w:p>
    <w:p w:rsidR="003274A7" w:rsidRPr="00B03839" w:rsidRDefault="003274A7" w:rsidP="00881D1B">
      <w:pPr>
        <w:widowControl w:val="0"/>
        <w:autoSpaceDE w:val="0"/>
        <w:autoSpaceDN w:val="0"/>
        <w:adjustRightInd w:val="0"/>
        <w:spacing w:line="276" w:lineRule="auto"/>
        <w:ind w:firstLine="1122"/>
        <w:jc w:val="both"/>
        <w:rPr>
          <w:rFonts w:ascii="Tahoma" w:hAnsi="Tahoma" w:cs="Tahoma"/>
          <w:sz w:val="22"/>
          <w:szCs w:val="22"/>
        </w:rPr>
      </w:pPr>
    </w:p>
    <w:p w:rsidR="003274A7" w:rsidRPr="009431FA" w:rsidRDefault="007D52BA" w:rsidP="00881D1B">
      <w:pPr>
        <w:pStyle w:val="Sangradetextonormal"/>
        <w:spacing w:line="276" w:lineRule="auto"/>
        <w:ind w:firstLine="561"/>
        <w:rPr>
          <w:sz w:val="22"/>
          <w:szCs w:val="22"/>
        </w:rPr>
      </w:pPr>
      <w:r w:rsidRPr="00B03839">
        <w:rPr>
          <w:sz w:val="22"/>
          <w:szCs w:val="22"/>
        </w:rPr>
        <w:t xml:space="preserve">Como </w:t>
      </w:r>
      <w:r w:rsidR="003274A7" w:rsidRPr="00B03839">
        <w:rPr>
          <w:sz w:val="22"/>
          <w:szCs w:val="22"/>
        </w:rPr>
        <w:t xml:space="preserve">quiera que </w:t>
      </w:r>
      <w:r w:rsidR="003274A7" w:rsidRPr="009431FA">
        <w:rPr>
          <w:sz w:val="22"/>
          <w:szCs w:val="22"/>
        </w:rPr>
        <w:t xml:space="preserve">la sentencia fue totalmente desfavorable para </w:t>
      </w:r>
      <w:r w:rsidR="00D21B43">
        <w:rPr>
          <w:sz w:val="22"/>
          <w:szCs w:val="22"/>
        </w:rPr>
        <w:t>Colpensiones</w:t>
      </w:r>
      <w:r w:rsidR="003274A7" w:rsidRPr="009431FA">
        <w:rPr>
          <w:sz w:val="22"/>
          <w:szCs w:val="22"/>
        </w:rPr>
        <w:t>, se dispuso el grado jurisdiccional de consulta.</w:t>
      </w:r>
    </w:p>
    <w:p w:rsidR="003A3BBB" w:rsidRDefault="003A3BBB" w:rsidP="00881D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519"/>
        <w:jc w:val="center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Consideraciones</w:t>
      </w:r>
    </w:p>
    <w:p w:rsidR="00D21B43" w:rsidRPr="009431FA" w:rsidRDefault="00D21B43" w:rsidP="00D21B4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4.1 Cálculo del I.B.L. para los beneficiarios del régimen de transición</w:t>
      </w:r>
    </w:p>
    <w:p w:rsidR="00BE59FC" w:rsidRPr="009431FA" w:rsidRDefault="00BE59FC" w:rsidP="00BE59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>El régimen de transición, enmarcado en el artículo 36 de la Ley 100 de 1.993, contempló la posibilidad de acudir a la edad, tiempo de servicios y al monto de la pensión contemplados en la normativa anterior, sin incluir el I.B.L., pues previó en el inciso tercero del mismo canon que para aquellas personas que a su entrada en vigencia les faltaren menos de 10 años para alcanzarla, sería el promedio de los salarios devengados desde el 1º de abril de 1.994 hasta que cumplieron los requisitos, o el de toda la vida si fuera mayor.</w:t>
      </w:r>
    </w:p>
    <w:p w:rsidR="00BE59FC" w:rsidRPr="009431FA" w:rsidRDefault="00BE59FC" w:rsidP="00BE5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BE59FC" w:rsidRPr="009431FA" w:rsidRDefault="00BE59FC" w:rsidP="00BE59FC">
      <w:pPr>
        <w:pStyle w:val="Prrafodelista"/>
        <w:numPr>
          <w:ilvl w:val="1"/>
          <w:numId w:val="29"/>
        </w:numPr>
        <w:tabs>
          <w:tab w:val="left" w:pos="748"/>
          <w:tab w:val="left" w:pos="1134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 xml:space="preserve"> Caso concreto</w:t>
      </w:r>
    </w:p>
    <w:p w:rsidR="00BE59FC" w:rsidRPr="009431FA" w:rsidRDefault="00BE59FC" w:rsidP="00BE59FC">
      <w:pPr>
        <w:pStyle w:val="Sinespaciado"/>
        <w:spacing w:line="276" w:lineRule="auto"/>
        <w:rPr>
          <w:sz w:val="22"/>
          <w:szCs w:val="22"/>
        </w:rPr>
      </w:pPr>
    </w:p>
    <w:p w:rsidR="00BE59FC" w:rsidRPr="009431FA" w:rsidRDefault="00BE59FC" w:rsidP="003E4C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 xml:space="preserve">Con el fin de absolver el problema jurídico planteado es necesario advertir que a través de la Resolución </w:t>
      </w:r>
      <w:r w:rsidR="00E333DD">
        <w:rPr>
          <w:rFonts w:ascii="Tahoma" w:hAnsi="Tahoma" w:cs="Tahoma"/>
          <w:sz w:val="22"/>
          <w:szCs w:val="22"/>
        </w:rPr>
        <w:t>GNR 176115</w:t>
      </w:r>
      <w:r w:rsidRPr="009431FA">
        <w:rPr>
          <w:rFonts w:ascii="Tahoma" w:hAnsi="Tahoma" w:cs="Tahoma"/>
          <w:sz w:val="22"/>
          <w:szCs w:val="22"/>
        </w:rPr>
        <w:t xml:space="preserve"> del </w:t>
      </w:r>
      <w:r w:rsidR="00E333DD">
        <w:rPr>
          <w:rFonts w:ascii="Tahoma" w:hAnsi="Tahoma" w:cs="Tahoma"/>
          <w:sz w:val="22"/>
          <w:szCs w:val="22"/>
        </w:rPr>
        <w:t>9</w:t>
      </w:r>
      <w:r w:rsidRPr="009431FA">
        <w:rPr>
          <w:rFonts w:ascii="Tahoma" w:hAnsi="Tahoma" w:cs="Tahoma"/>
          <w:sz w:val="22"/>
          <w:szCs w:val="22"/>
        </w:rPr>
        <w:t xml:space="preserve"> de </w:t>
      </w:r>
      <w:r w:rsidR="00E333DD">
        <w:rPr>
          <w:rFonts w:ascii="Tahoma" w:hAnsi="Tahoma" w:cs="Tahoma"/>
          <w:sz w:val="22"/>
          <w:szCs w:val="22"/>
        </w:rPr>
        <w:t>julio de 2013</w:t>
      </w:r>
      <w:r w:rsidRPr="009431FA">
        <w:rPr>
          <w:rFonts w:ascii="Tahoma" w:hAnsi="Tahoma" w:cs="Tahoma"/>
          <w:sz w:val="22"/>
          <w:szCs w:val="22"/>
        </w:rPr>
        <w:t xml:space="preserve"> (fl. 3</w:t>
      </w:r>
      <w:r w:rsidR="00E333DD">
        <w:rPr>
          <w:rFonts w:ascii="Tahoma" w:hAnsi="Tahoma" w:cs="Tahoma"/>
          <w:sz w:val="22"/>
          <w:szCs w:val="22"/>
        </w:rPr>
        <w:t>0 y s.s.</w:t>
      </w:r>
      <w:r w:rsidRPr="009431FA">
        <w:rPr>
          <w:rFonts w:ascii="Tahoma" w:hAnsi="Tahoma" w:cs="Tahoma"/>
          <w:sz w:val="22"/>
          <w:szCs w:val="22"/>
        </w:rPr>
        <w:t xml:space="preserve">), </w:t>
      </w:r>
      <w:r w:rsidR="00E333DD">
        <w:rPr>
          <w:rFonts w:ascii="Tahoma" w:hAnsi="Tahoma" w:cs="Tahoma"/>
          <w:sz w:val="22"/>
          <w:szCs w:val="22"/>
        </w:rPr>
        <w:t xml:space="preserve">Colpensiones </w:t>
      </w:r>
      <w:r w:rsidRPr="009431FA">
        <w:rPr>
          <w:rFonts w:ascii="Tahoma" w:hAnsi="Tahoma" w:cs="Tahoma"/>
          <w:sz w:val="22"/>
          <w:szCs w:val="22"/>
        </w:rPr>
        <w:t>concedió al señor J</w:t>
      </w:r>
      <w:r w:rsidR="006602DE">
        <w:rPr>
          <w:rFonts w:ascii="Tahoma" w:hAnsi="Tahoma" w:cs="Tahoma"/>
          <w:sz w:val="22"/>
          <w:szCs w:val="22"/>
        </w:rPr>
        <w:t xml:space="preserve">esús Antonio Torres Ávila </w:t>
      </w:r>
      <w:r w:rsidRPr="009431FA">
        <w:rPr>
          <w:rFonts w:ascii="Tahoma" w:hAnsi="Tahoma" w:cs="Tahoma"/>
          <w:sz w:val="22"/>
          <w:szCs w:val="22"/>
        </w:rPr>
        <w:t xml:space="preserve">la pensión de vejez a partir del 1º de </w:t>
      </w:r>
      <w:r w:rsidR="006602DE">
        <w:rPr>
          <w:rFonts w:ascii="Tahoma" w:hAnsi="Tahoma" w:cs="Tahoma"/>
          <w:sz w:val="22"/>
          <w:szCs w:val="22"/>
        </w:rPr>
        <w:t xml:space="preserve">noviembre </w:t>
      </w:r>
      <w:r w:rsidRPr="009431FA">
        <w:rPr>
          <w:rFonts w:ascii="Tahoma" w:hAnsi="Tahoma" w:cs="Tahoma"/>
          <w:sz w:val="22"/>
          <w:szCs w:val="22"/>
        </w:rPr>
        <w:t>de 200</w:t>
      </w:r>
      <w:r w:rsidR="006602DE">
        <w:rPr>
          <w:rFonts w:ascii="Tahoma" w:hAnsi="Tahoma" w:cs="Tahoma"/>
          <w:sz w:val="22"/>
          <w:szCs w:val="22"/>
        </w:rPr>
        <w:t>7</w:t>
      </w:r>
      <w:r w:rsidRPr="009431FA">
        <w:rPr>
          <w:rFonts w:ascii="Tahoma" w:hAnsi="Tahoma" w:cs="Tahoma"/>
          <w:sz w:val="22"/>
          <w:szCs w:val="22"/>
        </w:rPr>
        <w:t xml:space="preserve">, con fundamento en </w:t>
      </w:r>
      <w:r w:rsidR="00C76F88">
        <w:rPr>
          <w:rFonts w:ascii="Tahoma" w:hAnsi="Tahoma" w:cs="Tahoma"/>
          <w:sz w:val="22"/>
          <w:szCs w:val="22"/>
        </w:rPr>
        <w:t xml:space="preserve">la Ley 71 de 1988 </w:t>
      </w:r>
      <w:r w:rsidRPr="009431FA">
        <w:rPr>
          <w:rFonts w:ascii="Tahoma" w:hAnsi="Tahoma" w:cs="Tahoma"/>
          <w:sz w:val="22"/>
          <w:szCs w:val="22"/>
        </w:rPr>
        <w:t>por ser beneficiario del régimen de transición estatuido en el artículo 36 de la Ley 100 de 1993, y en cuantía de</w:t>
      </w:r>
      <w:r w:rsidR="00C76F88">
        <w:rPr>
          <w:rFonts w:ascii="Tahoma" w:hAnsi="Tahoma" w:cs="Tahoma"/>
          <w:sz w:val="22"/>
          <w:szCs w:val="22"/>
        </w:rPr>
        <w:t xml:space="preserve">l salario mínimo mensual </w:t>
      </w:r>
      <w:r w:rsidRPr="009431FA">
        <w:rPr>
          <w:rFonts w:ascii="Tahoma" w:hAnsi="Tahoma" w:cs="Tahoma"/>
          <w:sz w:val="22"/>
          <w:szCs w:val="22"/>
        </w:rPr>
        <w:t>$</w:t>
      </w:r>
      <w:r w:rsidR="00C76F88">
        <w:rPr>
          <w:rFonts w:ascii="Tahoma" w:hAnsi="Tahoma" w:cs="Tahoma"/>
          <w:sz w:val="22"/>
          <w:szCs w:val="22"/>
        </w:rPr>
        <w:t>433</w:t>
      </w:r>
      <w:r w:rsidRPr="009431FA">
        <w:rPr>
          <w:rFonts w:ascii="Tahoma" w:hAnsi="Tahoma" w:cs="Tahoma"/>
          <w:sz w:val="22"/>
          <w:szCs w:val="22"/>
        </w:rPr>
        <w:t>.</w:t>
      </w:r>
      <w:r w:rsidR="00C76F88">
        <w:rPr>
          <w:rFonts w:ascii="Tahoma" w:hAnsi="Tahoma" w:cs="Tahoma"/>
          <w:sz w:val="22"/>
          <w:szCs w:val="22"/>
        </w:rPr>
        <w:t>700</w:t>
      </w:r>
      <w:r w:rsidRPr="009431FA">
        <w:rPr>
          <w:rFonts w:ascii="Tahoma" w:hAnsi="Tahoma" w:cs="Tahoma"/>
          <w:sz w:val="22"/>
          <w:szCs w:val="22"/>
        </w:rPr>
        <w:t xml:space="preserve">, </w:t>
      </w:r>
      <w:r w:rsidR="00C76F88">
        <w:rPr>
          <w:rFonts w:ascii="Tahoma" w:hAnsi="Tahoma" w:cs="Tahoma"/>
          <w:sz w:val="22"/>
          <w:szCs w:val="22"/>
        </w:rPr>
        <w:t>pues al aplicar una t</w:t>
      </w:r>
      <w:r w:rsidRPr="009431FA">
        <w:rPr>
          <w:rFonts w:ascii="Tahoma" w:hAnsi="Tahoma" w:cs="Tahoma"/>
          <w:sz w:val="22"/>
          <w:szCs w:val="22"/>
        </w:rPr>
        <w:t xml:space="preserve">asa de reemplazo del 75% </w:t>
      </w:r>
      <w:r w:rsidR="008B19C8">
        <w:rPr>
          <w:rFonts w:ascii="Tahoma" w:hAnsi="Tahoma" w:cs="Tahoma"/>
          <w:sz w:val="22"/>
          <w:szCs w:val="22"/>
        </w:rPr>
        <w:t>al IBL calculado con el promedio de lo devengado en toda la vida laboral se obtuvo una mesada inferior a ese monto</w:t>
      </w:r>
      <w:r w:rsidRPr="009431FA">
        <w:rPr>
          <w:rFonts w:ascii="Tahoma" w:hAnsi="Tahoma" w:cs="Tahoma"/>
          <w:sz w:val="22"/>
          <w:szCs w:val="22"/>
        </w:rPr>
        <w:t xml:space="preserve">, según se percibe </w:t>
      </w:r>
      <w:r w:rsidR="008B19C8">
        <w:rPr>
          <w:rFonts w:ascii="Tahoma" w:hAnsi="Tahoma" w:cs="Tahoma"/>
          <w:sz w:val="22"/>
          <w:szCs w:val="22"/>
        </w:rPr>
        <w:t xml:space="preserve">a </w:t>
      </w:r>
      <w:r w:rsidRPr="009431FA">
        <w:rPr>
          <w:rFonts w:ascii="Tahoma" w:hAnsi="Tahoma" w:cs="Tahoma"/>
          <w:sz w:val="22"/>
          <w:szCs w:val="22"/>
        </w:rPr>
        <w:t xml:space="preserve">folio </w:t>
      </w:r>
      <w:r w:rsidR="008B19C8">
        <w:rPr>
          <w:rFonts w:ascii="Tahoma" w:hAnsi="Tahoma" w:cs="Tahoma"/>
          <w:sz w:val="22"/>
          <w:szCs w:val="22"/>
        </w:rPr>
        <w:t>30, vuelto.</w:t>
      </w:r>
    </w:p>
    <w:p w:rsidR="00BE59FC" w:rsidRPr="009431FA" w:rsidRDefault="00BE59FC" w:rsidP="003E4C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BE59FC" w:rsidRDefault="00BE59FC" w:rsidP="003E4C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>Ahora, como el demandante alcanzó los 60 años de edad en el año 200</w:t>
      </w:r>
      <w:r w:rsidR="008B19C8">
        <w:rPr>
          <w:rFonts w:ascii="Tahoma" w:hAnsi="Tahoma" w:cs="Tahoma"/>
          <w:sz w:val="22"/>
          <w:szCs w:val="22"/>
        </w:rPr>
        <w:t>6</w:t>
      </w:r>
      <w:r w:rsidRPr="009431FA">
        <w:rPr>
          <w:rFonts w:ascii="Tahoma" w:hAnsi="Tahoma" w:cs="Tahoma"/>
          <w:sz w:val="22"/>
          <w:szCs w:val="22"/>
        </w:rPr>
        <w:t>, era factible liquidar su IBL con el promedio de</w:t>
      </w:r>
      <w:r w:rsidR="00376C90">
        <w:rPr>
          <w:rFonts w:ascii="Tahoma" w:hAnsi="Tahoma" w:cs="Tahoma"/>
          <w:sz w:val="22"/>
          <w:szCs w:val="22"/>
        </w:rPr>
        <w:t xml:space="preserve"> </w:t>
      </w:r>
      <w:r w:rsidRPr="009431FA">
        <w:rPr>
          <w:rFonts w:ascii="Tahoma" w:hAnsi="Tahoma" w:cs="Tahoma"/>
          <w:sz w:val="22"/>
          <w:szCs w:val="22"/>
        </w:rPr>
        <w:t>l</w:t>
      </w:r>
      <w:r w:rsidR="00376C90">
        <w:rPr>
          <w:rFonts w:ascii="Tahoma" w:hAnsi="Tahoma" w:cs="Tahoma"/>
          <w:sz w:val="22"/>
          <w:szCs w:val="22"/>
        </w:rPr>
        <w:t>os 10 años anteriores al reconocimiento de la pensión</w:t>
      </w:r>
      <w:r w:rsidR="003E4C96" w:rsidRPr="009431FA">
        <w:rPr>
          <w:rFonts w:ascii="Tahoma" w:hAnsi="Tahoma" w:cs="Tahoma"/>
          <w:i/>
          <w:sz w:val="22"/>
          <w:szCs w:val="22"/>
        </w:rPr>
        <w:t>-por faltarle m</w:t>
      </w:r>
      <w:r w:rsidR="003E4C96">
        <w:rPr>
          <w:rFonts w:ascii="Tahoma" w:hAnsi="Tahoma" w:cs="Tahoma"/>
          <w:i/>
          <w:sz w:val="22"/>
          <w:szCs w:val="22"/>
        </w:rPr>
        <w:t>ás</w:t>
      </w:r>
      <w:r w:rsidR="003E4C96" w:rsidRPr="009431FA">
        <w:rPr>
          <w:rFonts w:ascii="Tahoma" w:hAnsi="Tahoma" w:cs="Tahoma"/>
          <w:i/>
          <w:sz w:val="22"/>
          <w:szCs w:val="22"/>
        </w:rPr>
        <w:t xml:space="preserve"> de 10 años a la entrada en vigencia de la Ley 100 de 1993-</w:t>
      </w:r>
      <w:r w:rsidR="003E4C96">
        <w:rPr>
          <w:rFonts w:ascii="Tahoma" w:hAnsi="Tahoma" w:cs="Tahoma"/>
          <w:i/>
          <w:sz w:val="22"/>
          <w:szCs w:val="22"/>
        </w:rPr>
        <w:t>,</w:t>
      </w:r>
      <w:r w:rsidRPr="009431FA">
        <w:rPr>
          <w:rFonts w:ascii="Tahoma" w:hAnsi="Tahoma" w:cs="Tahoma"/>
          <w:sz w:val="22"/>
          <w:szCs w:val="22"/>
        </w:rPr>
        <w:t xml:space="preserve"> tal como se pidió en la demanda y se accedió en la sentencia de instancia; de esta manera, a la Sala sólo le resta verificar si el cálculo efectuado por la A-quo es correcto.</w:t>
      </w:r>
    </w:p>
    <w:p w:rsidR="003E4C96" w:rsidRPr="009431FA" w:rsidRDefault="003E4C96" w:rsidP="003E4C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BE59FC" w:rsidRPr="009431FA" w:rsidRDefault="00BE59FC" w:rsidP="003E4C96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ab/>
        <w:t xml:space="preserve">Para ello, se procedió a calcular el aludido guarismo con base en distintos documentos que obran en el infolio, tales como el </w:t>
      </w:r>
      <w:r w:rsidR="0073072C">
        <w:rPr>
          <w:rFonts w:ascii="Tahoma" w:hAnsi="Tahoma" w:cs="Tahoma"/>
          <w:sz w:val="22"/>
          <w:szCs w:val="22"/>
        </w:rPr>
        <w:t>certificado de salarios base expedidos por la Contraloría General de la República (fl. 33 y s.s.)</w:t>
      </w:r>
      <w:r w:rsidRPr="009431FA">
        <w:rPr>
          <w:rFonts w:ascii="Tahoma" w:hAnsi="Tahoma" w:cs="Tahoma"/>
          <w:sz w:val="22"/>
          <w:szCs w:val="22"/>
        </w:rPr>
        <w:t xml:space="preserve">, y la historia laboral visible a folio </w:t>
      </w:r>
      <w:r w:rsidR="0073072C">
        <w:rPr>
          <w:rFonts w:ascii="Tahoma" w:hAnsi="Tahoma" w:cs="Tahoma"/>
          <w:sz w:val="22"/>
          <w:szCs w:val="22"/>
        </w:rPr>
        <w:t>51</w:t>
      </w:r>
      <w:r w:rsidRPr="009431FA">
        <w:rPr>
          <w:rFonts w:ascii="Tahoma" w:hAnsi="Tahoma" w:cs="Tahoma"/>
          <w:sz w:val="22"/>
          <w:szCs w:val="22"/>
        </w:rPr>
        <w:t>, para concluir que el IBL al que tiene derecho el promotor del litigio es de $</w:t>
      </w:r>
      <w:r w:rsidR="0073072C">
        <w:rPr>
          <w:rFonts w:ascii="Tahoma" w:hAnsi="Tahoma" w:cs="Tahoma"/>
          <w:sz w:val="22"/>
          <w:szCs w:val="22"/>
        </w:rPr>
        <w:t>998.178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, tal como se observa en el cuadro que se pone de presente a los asistentes y que hará parte integral del acta que se levante con ocasión de la presente diligencia.</w:t>
      </w: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ab/>
      </w:r>
    </w:p>
    <w:p w:rsidR="00BE59FC" w:rsidRPr="003E4C96" w:rsidRDefault="00BE59FC" w:rsidP="0073072C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ab/>
        <w:t xml:space="preserve">Así las cosas, si al IBL obtenido se aplica el 75% de la tasa de reemplazo a la que tiene derecho el señor 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Torres Ávila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, se obtiene una primera mesada para el año 200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7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 xml:space="preserve"> de $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748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.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634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, inferior a la obtenida en primera instancia por $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749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.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750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 xml:space="preserve">, por lo que es del caso modificar las condenas proferidas con base en ella, teniendo en cuenta, claro está, que 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no p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>rescribi</w:t>
      </w:r>
      <w:r w:rsidR="0073072C">
        <w:rPr>
          <w:rFonts w:ascii="Tahoma" w:hAnsi="Tahoma" w:cs="Tahoma"/>
          <w:bCs/>
          <w:iCs/>
          <w:color w:val="000000"/>
          <w:sz w:val="22"/>
          <w:szCs w:val="22"/>
        </w:rPr>
        <w:t>ó mesada alguna por cuanto entre la reclamación administrativa y la demanda que dio origen a la presente Litis no transcurrieron más de 3 años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 xml:space="preserve">. </w:t>
      </w:r>
    </w:p>
    <w:p w:rsidR="00BE59FC" w:rsidRPr="003E4C96" w:rsidRDefault="00BE59FC" w:rsidP="00BE59FC">
      <w:pPr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8957E4" w:rsidRPr="003E4C96" w:rsidRDefault="00BE59FC" w:rsidP="008957E4">
      <w:pP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ab/>
        <w:t>En ese orden de ideas, se tiene que el retroactivo de la diferencia dejada de cancelar entre el 1</w:t>
      </w:r>
      <w:r w:rsidR="0073072C"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º </w:t>
      </w: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de </w:t>
      </w:r>
      <w:r w:rsidR="0073072C"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noviembre de 2007 </w:t>
      </w: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>al 3</w:t>
      </w:r>
      <w:r w:rsidR="0073072C" w:rsidRPr="003E4C96">
        <w:rPr>
          <w:rFonts w:ascii="Tahoma" w:hAnsi="Tahoma" w:cs="Tahoma"/>
          <w:bCs/>
          <w:iCs/>
          <w:color w:val="000000"/>
          <w:sz w:val="22"/>
          <w:szCs w:val="22"/>
        </w:rPr>
        <w:t>1</w:t>
      </w: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 de </w:t>
      </w:r>
      <w:r w:rsidR="0073072C"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julio de 2016 </w:t>
      </w: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>asciende a $</w:t>
      </w:r>
      <w:r w:rsidR="0073072C" w:rsidRPr="003E4C96">
        <w:rPr>
          <w:rFonts w:ascii="Tahoma" w:hAnsi="Tahoma" w:cs="Tahoma"/>
          <w:iCs/>
          <w:color w:val="000000"/>
          <w:sz w:val="22"/>
          <w:szCs w:val="22"/>
        </w:rPr>
        <w:t xml:space="preserve"> 43.836.164,</w:t>
      </w:r>
      <w:r w:rsidRPr="003E4C96">
        <w:rPr>
          <w:rFonts w:ascii="Tahoma" w:hAnsi="Tahoma" w:cs="Tahoma"/>
          <w:bCs/>
          <w:iCs/>
          <w:color w:val="000000"/>
          <w:sz w:val="22"/>
          <w:szCs w:val="22"/>
        </w:rPr>
        <w:t xml:space="preserve"> monto cuya indexación a esa misma fecha es de $</w:t>
      </w:r>
      <w:r w:rsidR="008957E4" w:rsidRPr="003E4C96">
        <w:rPr>
          <w:rFonts w:ascii="Tahoma" w:hAnsi="Tahoma" w:cs="Tahoma"/>
          <w:iCs/>
          <w:color w:val="000000"/>
          <w:sz w:val="22"/>
          <w:szCs w:val="22"/>
        </w:rPr>
        <w:t>8.664.950.</w:t>
      </w:r>
      <w:r w:rsidR="008957E4" w:rsidRPr="003E4C96">
        <w:rPr>
          <w:rFonts w:ascii="Calibri" w:hAnsi="Calibri"/>
          <w:i/>
          <w:iCs/>
          <w:color w:val="000000"/>
          <w:sz w:val="22"/>
          <w:szCs w:val="22"/>
        </w:rPr>
        <w:t xml:space="preserve">     </w:t>
      </w: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lastRenderedPageBreak/>
        <w:tab/>
        <w:t>Finalmente se dirá que el valor que debe percibir como mesada pensional el demandante en el año 201</w:t>
      </w:r>
      <w:r w:rsidR="008957E4">
        <w:rPr>
          <w:rFonts w:ascii="Tahoma" w:hAnsi="Tahoma" w:cs="Tahoma"/>
          <w:bCs/>
          <w:iCs/>
          <w:color w:val="000000"/>
          <w:sz w:val="22"/>
          <w:szCs w:val="22"/>
        </w:rPr>
        <w:t>6</w:t>
      </w: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 xml:space="preserve"> es de $</w:t>
      </w:r>
      <w:r w:rsidR="008957E4">
        <w:rPr>
          <w:rFonts w:ascii="Tahoma" w:hAnsi="Tahoma" w:cs="Tahoma"/>
          <w:bCs/>
          <w:iCs/>
          <w:color w:val="000000"/>
          <w:sz w:val="22"/>
          <w:szCs w:val="22"/>
        </w:rPr>
        <w:t>1.074.820</w:t>
      </w:r>
      <w:r w:rsidRPr="009431FA">
        <w:rPr>
          <w:rFonts w:ascii="Tahoma" w:hAnsi="Tahoma" w:cs="Tahoma"/>
          <w:sz w:val="22"/>
          <w:szCs w:val="22"/>
        </w:rPr>
        <w:t>, siendo del caso ordenar a la demandada que continúe cancelando esa suma, incrementándola anualmente conforme lo establece la ley.</w:t>
      </w:r>
    </w:p>
    <w:p w:rsidR="00BE59FC" w:rsidRPr="009431FA" w:rsidRDefault="00BE59FC" w:rsidP="0073072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431FA">
        <w:rPr>
          <w:rFonts w:ascii="Calibri" w:hAnsi="Calibri"/>
          <w:sz w:val="22"/>
          <w:szCs w:val="22"/>
        </w:rPr>
        <w:t xml:space="preserve"> </w:t>
      </w: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9431FA">
        <w:rPr>
          <w:rFonts w:ascii="Tahoma" w:hAnsi="Tahoma" w:cs="Tahoma"/>
          <w:bCs/>
          <w:iCs/>
          <w:color w:val="000000"/>
          <w:sz w:val="22"/>
          <w:szCs w:val="22"/>
        </w:rPr>
        <w:tab/>
        <w:t>Como consecuencia de lo anterior, se modificarán los ordinales segundo, tercero, cuarto y quinto de la sentencia de primera instancia.</w:t>
      </w: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ab/>
        <w:t>Las costas en primera instancia no se modificarán. En esta instancia no se causaron por tratarse del grado jurisdiccional de consulta.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:rsidR="00BE59FC" w:rsidRPr="009431FA" w:rsidRDefault="00BE59FC" w:rsidP="00466D35">
      <w:pPr>
        <w:pStyle w:val="Sangradetextonormal"/>
        <w:spacing w:line="276" w:lineRule="auto"/>
        <w:ind w:firstLine="567"/>
        <w:rPr>
          <w:sz w:val="22"/>
          <w:szCs w:val="22"/>
        </w:rPr>
      </w:pPr>
      <w:r w:rsidRPr="009431FA">
        <w:rPr>
          <w:sz w:val="22"/>
          <w:szCs w:val="22"/>
        </w:rPr>
        <w:t xml:space="preserve">En mérito de  lo expuesto, el </w:t>
      </w:r>
      <w:r w:rsidRPr="009431FA">
        <w:rPr>
          <w:b/>
          <w:sz w:val="22"/>
          <w:szCs w:val="22"/>
        </w:rPr>
        <w:t>Tribunal Superior del Distrito Judicial de Pereira (Risaralda)</w:t>
      </w:r>
      <w:r w:rsidRPr="009431FA">
        <w:rPr>
          <w:sz w:val="22"/>
          <w:szCs w:val="22"/>
        </w:rPr>
        <w:t xml:space="preserve">, </w:t>
      </w:r>
      <w:r w:rsidRPr="009431FA">
        <w:rPr>
          <w:b/>
          <w:sz w:val="22"/>
          <w:szCs w:val="22"/>
        </w:rPr>
        <w:t>Sala laboral</w:t>
      </w:r>
      <w:r w:rsidRPr="009431FA">
        <w:rPr>
          <w:sz w:val="22"/>
          <w:szCs w:val="22"/>
        </w:rPr>
        <w:t>, Administrando Justicia en Nombre de la República y por autoridad de la Ley,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R E S U E L V E:</w:t>
      </w:r>
    </w:p>
    <w:p w:rsidR="00BE59FC" w:rsidRPr="009431FA" w:rsidRDefault="00BE59FC" w:rsidP="0073072C">
      <w:pPr>
        <w:spacing w:line="276" w:lineRule="auto"/>
        <w:ind w:firstLine="709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E59FC" w:rsidRPr="009431FA" w:rsidRDefault="00BE59FC" w:rsidP="0073072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  <w:u w:val="single"/>
        </w:rPr>
        <w:t>PRIMERO</w:t>
      </w:r>
      <w:r w:rsidRPr="009431FA">
        <w:rPr>
          <w:rFonts w:ascii="Tahoma" w:hAnsi="Tahoma" w:cs="Tahoma"/>
          <w:sz w:val="22"/>
          <w:szCs w:val="22"/>
        </w:rPr>
        <w:t xml:space="preserve">.- </w:t>
      </w:r>
      <w:r w:rsidRPr="009431FA">
        <w:rPr>
          <w:rFonts w:ascii="Tahoma" w:hAnsi="Tahoma" w:cs="Tahoma"/>
          <w:b/>
          <w:sz w:val="22"/>
          <w:szCs w:val="22"/>
        </w:rPr>
        <w:t xml:space="preserve">MODIFICAR </w:t>
      </w:r>
      <w:r w:rsidRPr="009431FA">
        <w:rPr>
          <w:rFonts w:ascii="Tahoma" w:hAnsi="Tahoma" w:cs="Tahoma"/>
          <w:sz w:val="22"/>
          <w:szCs w:val="22"/>
        </w:rPr>
        <w:t xml:space="preserve">los ordinales segundo, tercero, cuarto y quinto de la sentencia proferida el 1º de </w:t>
      </w:r>
      <w:r w:rsidR="00DC76F8">
        <w:rPr>
          <w:rFonts w:ascii="Tahoma" w:hAnsi="Tahoma" w:cs="Tahoma"/>
          <w:sz w:val="22"/>
          <w:szCs w:val="22"/>
        </w:rPr>
        <w:t xml:space="preserve">junio de </w:t>
      </w:r>
      <w:r w:rsidRPr="009431FA">
        <w:rPr>
          <w:rFonts w:ascii="Tahoma" w:hAnsi="Tahoma" w:cs="Tahoma"/>
          <w:sz w:val="22"/>
          <w:szCs w:val="22"/>
        </w:rPr>
        <w:t>201</w:t>
      </w:r>
      <w:r w:rsidR="00DC76F8">
        <w:rPr>
          <w:rFonts w:ascii="Tahoma" w:hAnsi="Tahoma" w:cs="Tahoma"/>
          <w:sz w:val="22"/>
          <w:szCs w:val="22"/>
        </w:rPr>
        <w:t>5</w:t>
      </w:r>
      <w:r w:rsidRPr="009431FA">
        <w:rPr>
          <w:rFonts w:ascii="Tahoma" w:hAnsi="Tahoma" w:cs="Tahoma"/>
          <w:sz w:val="22"/>
          <w:szCs w:val="22"/>
        </w:rPr>
        <w:t xml:space="preserve"> por el Juzgado Segundo Laboral del Circuito de Pereira, dentro del proceso ordinario laboral promovido por </w:t>
      </w:r>
      <w:r w:rsidRPr="009431FA">
        <w:rPr>
          <w:rFonts w:ascii="Tahoma" w:hAnsi="Tahoma" w:cs="Tahoma"/>
          <w:b/>
          <w:sz w:val="22"/>
          <w:szCs w:val="22"/>
        </w:rPr>
        <w:t>J</w:t>
      </w:r>
      <w:r w:rsidR="00DC76F8">
        <w:rPr>
          <w:rFonts w:ascii="Tahoma" w:hAnsi="Tahoma" w:cs="Tahoma"/>
          <w:b/>
          <w:sz w:val="22"/>
          <w:szCs w:val="22"/>
        </w:rPr>
        <w:t>esús An</w:t>
      </w:r>
      <w:r w:rsidRPr="009431FA">
        <w:rPr>
          <w:rFonts w:ascii="Tahoma" w:hAnsi="Tahoma" w:cs="Tahoma"/>
          <w:b/>
          <w:sz w:val="22"/>
          <w:szCs w:val="22"/>
        </w:rPr>
        <w:t xml:space="preserve">tonio </w:t>
      </w:r>
      <w:r w:rsidR="00DC76F8">
        <w:rPr>
          <w:rFonts w:ascii="Tahoma" w:hAnsi="Tahoma" w:cs="Tahoma"/>
          <w:b/>
          <w:sz w:val="22"/>
          <w:szCs w:val="22"/>
        </w:rPr>
        <w:t xml:space="preserve">Torres </w:t>
      </w:r>
      <w:r w:rsidR="00FF63C1">
        <w:rPr>
          <w:rFonts w:ascii="Tahoma" w:hAnsi="Tahoma" w:cs="Tahoma"/>
          <w:b/>
          <w:sz w:val="22"/>
          <w:szCs w:val="22"/>
        </w:rPr>
        <w:t>Ávila</w:t>
      </w:r>
      <w:r w:rsidR="00DC76F8">
        <w:rPr>
          <w:rFonts w:ascii="Tahoma" w:hAnsi="Tahoma" w:cs="Tahoma"/>
          <w:b/>
          <w:sz w:val="22"/>
          <w:szCs w:val="22"/>
        </w:rPr>
        <w:t xml:space="preserve"> </w:t>
      </w:r>
      <w:r w:rsidRPr="009431FA">
        <w:rPr>
          <w:rFonts w:ascii="Tahoma" w:hAnsi="Tahoma" w:cs="Tahoma"/>
          <w:sz w:val="22"/>
          <w:szCs w:val="22"/>
        </w:rPr>
        <w:t xml:space="preserve">contra </w:t>
      </w:r>
      <w:r w:rsidRPr="009431FA">
        <w:rPr>
          <w:rFonts w:ascii="Tahoma" w:hAnsi="Tahoma" w:cs="Tahoma"/>
          <w:b/>
          <w:sz w:val="22"/>
          <w:szCs w:val="22"/>
        </w:rPr>
        <w:t>Colpensiones</w:t>
      </w:r>
      <w:r w:rsidRPr="009431FA">
        <w:rPr>
          <w:rFonts w:ascii="Tahoma" w:hAnsi="Tahoma" w:cs="Tahoma"/>
          <w:sz w:val="22"/>
          <w:szCs w:val="22"/>
        </w:rPr>
        <w:t>, en el siguiente sentido:</w:t>
      </w:r>
    </w:p>
    <w:p w:rsidR="00BE59FC" w:rsidRPr="009431FA" w:rsidRDefault="00BE59FC" w:rsidP="0073072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BE59FC" w:rsidRPr="00FF63C1" w:rsidRDefault="00BE59FC" w:rsidP="00FF63C1">
      <w:pPr>
        <w:numPr>
          <w:ilvl w:val="0"/>
          <w:numId w:val="30"/>
        </w:numPr>
        <w:tabs>
          <w:tab w:val="left" w:pos="993"/>
        </w:tabs>
        <w:spacing w:line="276" w:lineRule="auto"/>
        <w:ind w:left="709" w:firstLine="0"/>
        <w:jc w:val="both"/>
        <w:rPr>
          <w:rFonts w:ascii="Arial Narrow" w:hAnsi="Arial Narrow" w:cs="Tahoma"/>
          <w:i/>
          <w:sz w:val="22"/>
          <w:szCs w:val="22"/>
        </w:rPr>
      </w:pPr>
      <w:r w:rsidRPr="00FF63C1">
        <w:rPr>
          <w:rFonts w:ascii="Arial Narrow" w:hAnsi="Arial Narrow" w:cs="Tahoma"/>
          <w:i/>
          <w:sz w:val="22"/>
          <w:szCs w:val="22"/>
        </w:rPr>
        <w:t xml:space="preserve">Que el IBL al que tiene derecho el señor </w:t>
      </w:r>
      <w:r w:rsidR="00FF63C1" w:rsidRPr="00FF63C1">
        <w:rPr>
          <w:rFonts w:ascii="Arial Narrow" w:hAnsi="Arial Narrow" w:cs="Tahoma"/>
          <w:i/>
          <w:sz w:val="22"/>
          <w:szCs w:val="22"/>
        </w:rPr>
        <w:t xml:space="preserve">Jesús Antonio Torres Ávila </w:t>
      </w:r>
      <w:r w:rsidRPr="00FF63C1">
        <w:rPr>
          <w:rFonts w:ascii="Arial Narrow" w:hAnsi="Arial Narrow" w:cs="Tahoma"/>
          <w:i/>
          <w:sz w:val="22"/>
          <w:szCs w:val="22"/>
        </w:rPr>
        <w:t xml:space="preserve">es de </w:t>
      </w:r>
      <w:r w:rsidR="00FF63C1" w:rsidRPr="00FF63C1">
        <w:rPr>
          <w:rFonts w:ascii="Arial Narrow" w:hAnsi="Arial Narrow" w:cs="Tahoma"/>
          <w:sz w:val="22"/>
          <w:szCs w:val="22"/>
        </w:rPr>
        <w:t>$998.178</w:t>
      </w:r>
      <w:r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 xml:space="preserve">, el cual, al aplicársele una tasa de reemplazo del 75%, arroja una primera mesada de </w:t>
      </w:r>
      <w:r w:rsidR="00FF63C1" w:rsidRPr="00FF63C1">
        <w:rPr>
          <w:rFonts w:ascii="Arial Narrow" w:hAnsi="Arial Narrow" w:cs="Tahoma"/>
          <w:bCs/>
          <w:iCs/>
          <w:color w:val="000000"/>
          <w:sz w:val="22"/>
          <w:szCs w:val="22"/>
        </w:rPr>
        <w:t>$748.634</w:t>
      </w:r>
      <w:r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>, correspondiente al año 200</w:t>
      </w:r>
      <w:r w:rsidR="00FF63C1"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>7</w:t>
      </w:r>
      <w:r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>.</w:t>
      </w:r>
    </w:p>
    <w:p w:rsidR="00BE59FC" w:rsidRPr="00FF63C1" w:rsidRDefault="00BE59FC" w:rsidP="00FF63C1">
      <w:pPr>
        <w:tabs>
          <w:tab w:val="left" w:pos="993"/>
        </w:tabs>
        <w:spacing w:line="276" w:lineRule="auto"/>
        <w:ind w:left="709"/>
        <w:jc w:val="both"/>
        <w:rPr>
          <w:rFonts w:ascii="Arial Narrow" w:hAnsi="Arial Narrow" w:cs="Tahoma"/>
          <w:i/>
          <w:sz w:val="22"/>
          <w:szCs w:val="22"/>
        </w:rPr>
      </w:pPr>
    </w:p>
    <w:p w:rsidR="00BE59FC" w:rsidRPr="00FF63C1" w:rsidRDefault="00BE59FC" w:rsidP="00FF63C1">
      <w:pPr>
        <w:numPr>
          <w:ilvl w:val="0"/>
          <w:numId w:val="30"/>
        </w:numPr>
        <w:tabs>
          <w:tab w:val="left" w:pos="993"/>
        </w:tabs>
        <w:spacing w:line="276" w:lineRule="auto"/>
        <w:ind w:left="709" w:firstLine="0"/>
        <w:jc w:val="both"/>
        <w:rPr>
          <w:rFonts w:ascii="Arial Narrow" w:hAnsi="Arial Narrow" w:cs="Tahoma"/>
          <w:i/>
          <w:sz w:val="22"/>
          <w:szCs w:val="22"/>
        </w:rPr>
      </w:pPr>
      <w:r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 xml:space="preserve">Que el </w:t>
      </w:r>
      <w:r w:rsidRPr="00FF63C1">
        <w:rPr>
          <w:rFonts w:ascii="Arial Narrow" w:hAnsi="Arial Narrow" w:cs="Tahoma"/>
          <w:i/>
          <w:sz w:val="22"/>
          <w:szCs w:val="22"/>
        </w:rPr>
        <w:t>retroactivo adeudado entre el 1</w:t>
      </w:r>
      <w:r w:rsidR="00FF63C1" w:rsidRPr="00FF63C1">
        <w:rPr>
          <w:rFonts w:ascii="Arial Narrow" w:hAnsi="Arial Narrow" w:cs="Tahoma"/>
          <w:i/>
          <w:sz w:val="22"/>
          <w:szCs w:val="22"/>
        </w:rPr>
        <w:t xml:space="preserve">º </w:t>
      </w:r>
      <w:r w:rsidRPr="00FF63C1">
        <w:rPr>
          <w:rFonts w:ascii="Arial Narrow" w:hAnsi="Arial Narrow" w:cs="Tahoma"/>
          <w:i/>
          <w:sz w:val="22"/>
          <w:szCs w:val="22"/>
        </w:rPr>
        <w:t xml:space="preserve">de </w:t>
      </w:r>
      <w:r w:rsidR="00FF63C1" w:rsidRPr="00FF63C1">
        <w:rPr>
          <w:rFonts w:ascii="Arial Narrow" w:hAnsi="Arial Narrow" w:cs="Tahoma"/>
          <w:i/>
          <w:sz w:val="22"/>
          <w:szCs w:val="22"/>
        </w:rPr>
        <w:t>noviembre de 2007</w:t>
      </w:r>
      <w:r w:rsidRPr="00FF63C1">
        <w:rPr>
          <w:rFonts w:ascii="Arial Narrow" w:hAnsi="Arial Narrow" w:cs="Tahoma"/>
          <w:i/>
          <w:sz w:val="22"/>
          <w:szCs w:val="22"/>
        </w:rPr>
        <w:t xml:space="preserve"> y el 3</w:t>
      </w:r>
      <w:r w:rsidR="00FF63C1" w:rsidRPr="00FF63C1">
        <w:rPr>
          <w:rFonts w:ascii="Arial Narrow" w:hAnsi="Arial Narrow" w:cs="Tahoma"/>
          <w:i/>
          <w:sz w:val="22"/>
          <w:szCs w:val="22"/>
        </w:rPr>
        <w:t>1 de julio de 2016</w:t>
      </w:r>
      <w:r w:rsidRPr="00FF63C1">
        <w:rPr>
          <w:rFonts w:ascii="Arial Narrow" w:hAnsi="Arial Narrow" w:cs="Tahoma"/>
          <w:i/>
          <w:sz w:val="22"/>
          <w:szCs w:val="22"/>
        </w:rPr>
        <w:t xml:space="preserve">, por concepto de las diferencias dejadas de percibir asciende a </w:t>
      </w:r>
      <w:r w:rsidR="00FF63C1"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>$</w:t>
      </w:r>
      <w:r w:rsidR="00FF63C1" w:rsidRPr="00FF63C1">
        <w:rPr>
          <w:rFonts w:ascii="Arial Narrow" w:hAnsi="Arial Narrow" w:cs="Tahoma"/>
          <w:i/>
          <w:iCs/>
          <w:color w:val="000000"/>
          <w:sz w:val="22"/>
          <w:szCs w:val="22"/>
        </w:rPr>
        <w:t xml:space="preserve"> 43.836.164</w:t>
      </w:r>
      <w:r w:rsidRPr="00FF63C1">
        <w:rPr>
          <w:rFonts w:ascii="Arial Narrow" w:hAnsi="Arial Narrow" w:cs="Tahoma"/>
          <w:i/>
          <w:sz w:val="22"/>
          <w:szCs w:val="22"/>
        </w:rPr>
        <w:t xml:space="preserve">, monto cuya indexación es de </w:t>
      </w:r>
      <w:r w:rsidR="00FF63C1" w:rsidRPr="00FF63C1">
        <w:rPr>
          <w:rFonts w:ascii="Arial Narrow" w:hAnsi="Arial Narrow" w:cs="Tahoma"/>
          <w:bCs/>
          <w:i/>
          <w:iCs/>
          <w:color w:val="000000"/>
          <w:sz w:val="22"/>
          <w:szCs w:val="22"/>
        </w:rPr>
        <w:t>$</w:t>
      </w:r>
      <w:r w:rsidR="00FF63C1" w:rsidRPr="00FF63C1">
        <w:rPr>
          <w:rFonts w:ascii="Arial Narrow" w:hAnsi="Arial Narrow" w:cs="Tahoma"/>
          <w:i/>
          <w:iCs/>
          <w:color w:val="000000"/>
          <w:sz w:val="22"/>
          <w:szCs w:val="22"/>
        </w:rPr>
        <w:t>8.664.950</w:t>
      </w:r>
      <w:r w:rsidRPr="00FF63C1">
        <w:rPr>
          <w:rFonts w:ascii="Arial Narrow" w:hAnsi="Arial Narrow" w:cs="Tahoma"/>
          <w:i/>
          <w:sz w:val="22"/>
          <w:szCs w:val="22"/>
        </w:rPr>
        <w:t xml:space="preserve">  y</w:t>
      </w:r>
    </w:p>
    <w:p w:rsidR="00BE59FC" w:rsidRPr="00FF63C1" w:rsidRDefault="00BE59FC" w:rsidP="00FF63C1">
      <w:pPr>
        <w:tabs>
          <w:tab w:val="left" w:pos="993"/>
        </w:tabs>
        <w:spacing w:line="276" w:lineRule="auto"/>
        <w:ind w:left="709"/>
        <w:jc w:val="both"/>
        <w:rPr>
          <w:rFonts w:ascii="Arial Narrow" w:hAnsi="Arial Narrow" w:cs="Tahoma"/>
          <w:i/>
          <w:sz w:val="22"/>
          <w:szCs w:val="22"/>
        </w:rPr>
      </w:pPr>
    </w:p>
    <w:p w:rsidR="00BE59FC" w:rsidRPr="00FF63C1" w:rsidRDefault="00BE59FC" w:rsidP="00FF63C1">
      <w:p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FF63C1">
        <w:rPr>
          <w:rFonts w:ascii="Arial Narrow" w:hAnsi="Arial Narrow" w:cs="Tahoma"/>
          <w:i/>
          <w:sz w:val="22"/>
          <w:szCs w:val="22"/>
        </w:rPr>
        <w:t>3. Que Colpensiones deberá seguir pagando al actor la suma de $</w:t>
      </w:r>
      <w:r w:rsidR="00FF63C1" w:rsidRPr="00FF63C1">
        <w:rPr>
          <w:rFonts w:ascii="Arial Narrow" w:hAnsi="Arial Narrow"/>
          <w:sz w:val="22"/>
          <w:szCs w:val="22"/>
        </w:rPr>
        <w:t>1.074.8</w:t>
      </w:r>
      <w:r w:rsidRPr="00FF63C1">
        <w:rPr>
          <w:rFonts w:ascii="Arial Narrow" w:hAnsi="Arial Narrow" w:cs="Tahoma"/>
          <w:i/>
          <w:sz w:val="22"/>
          <w:szCs w:val="22"/>
        </w:rPr>
        <w:t>20 para el año 201</w:t>
      </w:r>
      <w:r w:rsidR="00FF63C1" w:rsidRPr="00FF63C1">
        <w:rPr>
          <w:rFonts w:ascii="Arial Narrow" w:hAnsi="Arial Narrow" w:cs="Tahoma"/>
          <w:i/>
          <w:sz w:val="22"/>
          <w:szCs w:val="22"/>
        </w:rPr>
        <w:t>6</w:t>
      </w:r>
      <w:r w:rsidRPr="00FF63C1">
        <w:rPr>
          <w:rFonts w:ascii="Arial Narrow" w:hAnsi="Arial Narrow" w:cs="Tahoma"/>
          <w:i/>
          <w:sz w:val="22"/>
          <w:szCs w:val="22"/>
        </w:rPr>
        <w:t>, la cual se seguirá incrementando cada año de acuerdo en lo establecido en la ley.</w:t>
      </w:r>
    </w:p>
    <w:p w:rsidR="00BE59FC" w:rsidRPr="009431FA" w:rsidRDefault="00BE59FC" w:rsidP="0073072C">
      <w:pPr>
        <w:spacing w:line="276" w:lineRule="auto"/>
        <w:ind w:left="1069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 xml:space="preserve">SEGUNDO: CONFIRMAR </w:t>
      </w:r>
      <w:r w:rsidRPr="009431FA">
        <w:rPr>
          <w:rFonts w:ascii="Tahoma" w:hAnsi="Tahoma" w:cs="Tahoma"/>
          <w:sz w:val="22"/>
          <w:szCs w:val="22"/>
        </w:rPr>
        <w:t>en todo lo demás la sentencia objeto de consulta.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TERCERO.-</w:t>
      </w:r>
      <w:r w:rsidRPr="009431FA">
        <w:rPr>
          <w:rFonts w:ascii="Tahoma" w:hAnsi="Tahoma" w:cs="Tahoma"/>
          <w:sz w:val="22"/>
          <w:szCs w:val="22"/>
        </w:rPr>
        <w:t xml:space="preserve"> Sin lugar a condena en costas en este grado jurisdiccional. 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ab/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9431FA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Cúmplase</w:t>
      </w:r>
      <w:r w:rsidRPr="009431FA">
        <w:rPr>
          <w:rFonts w:ascii="Tahoma" w:hAnsi="Tahoma" w:cs="Tahoma"/>
          <w:sz w:val="22"/>
          <w:szCs w:val="22"/>
        </w:rPr>
        <w:t xml:space="preserve"> y </w:t>
      </w:r>
      <w:r w:rsidRPr="009431FA">
        <w:rPr>
          <w:rFonts w:ascii="Tahoma" w:hAnsi="Tahoma" w:cs="Tahoma"/>
          <w:b/>
          <w:sz w:val="22"/>
          <w:szCs w:val="22"/>
        </w:rPr>
        <w:t>devuélvase</w:t>
      </w:r>
      <w:r w:rsidRPr="009431FA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BE59FC" w:rsidRPr="009431FA" w:rsidRDefault="00BE59FC" w:rsidP="00730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E59FC" w:rsidRPr="009431FA" w:rsidRDefault="00BE59FC" w:rsidP="0073072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ab/>
        <w:t>La Magistrada,</w:t>
      </w:r>
    </w:p>
    <w:p w:rsidR="00BE59FC" w:rsidRPr="009431FA" w:rsidRDefault="00BE59FC" w:rsidP="0073072C">
      <w:pPr>
        <w:spacing w:line="276" w:lineRule="auto"/>
        <w:rPr>
          <w:sz w:val="22"/>
          <w:szCs w:val="22"/>
        </w:rPr>
      </w:pPr>
    </w:p>
    <w:p w:rsidR="00BE59FC" w:rsidRPr="009431FA" w:rsidRDefault="00BE59FC" w:rsidP="0073072C">
      <w:pPr>
        <w:spacing w:line="276" w:lineRule="auto"/>
        <w:rPr>
          <w:sz w:val="22"/>
          <w:szCs w:val="22"/>
        </w:rPr>
      </w:pPr>
    </w:p>
    <w:p w:rsidR="00BE59FC" w:rsidRPr="009431FA" w:rsidRDefault="00BE59FC" w:rsidP="0073072C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9431FA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ab/>
        <w:t>Los Magistrados,</w:t>
      </w: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 xml:space="preserve">JULIO CÉSAR SALAZAR MUÑOZ   </w:t>
      </w:r>
      <w:r w:rsidRPr="009431FA">
        <w:rPr>
          <w:rFonts w:ascii="Tahoma" w:hAnsi="Tahoma" w:cs="Tahoma"/>
          <w:b/>
          <w:sz w:val="22"/>
          <w:szCs w:val="22"/>
        </w:rPr>
        <w:tab/>
        <w:t xml:space="preserve">      FRANCISCO JAVIER TAMAYO TABARES</w:t>
      </w: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E59FC" w:rsidRPr="009431FA" w:rsidRDefault="00BE59FC" w:rsidP="00BE59F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D01F2" w:rsidRPr="009431FA" w:rsidRDefault="00F76CDA" w:rsidP="00DD01F2">
      <w:pPr>
        <w:jc w:val="center"/>
        <w:rPr>
          <w:rFonts w:ascii="Tahoma" w:hAnsi="Tahoma" w:cs="Tahoma"/>
          <w:b/>
          <w:sz w:val="22"/>
          <w:szCs w:val="22"/>
        </w:rPr>
      </w:pPr>
      <w:r w:rsidRPr="009431FA">
        <w:rPr>
          <w:rFonts w:ascii="Tahoma" w:hAnsi="Tahoma" w:cs="Tahoma"/>
          <w:b/>
          <w:sz w:val="22"/>
          <w:szCs w:val="22"/>
        </w:rPr>
        <w:t>JOHAN JÁCOME OROZCO</w:t>
      </w:r>
    </w:p>
    <w:p w:rsidR="00DD01F2" w:rsidRPr="009431FA" w:rsidRDefault="00DD01F2" w:rsidP="00DD01F2">
      <w:pPr>
        <w:jc w:val="center"/>
        <w:rPr>
          <w:rFonts w:ascii="Tahoma" w:hAnsi="Tahoma" w:cs="Tahoma"/>
          <w:sz w:val="22"/>
          <w:szCs w:val="22"/>
        </w:rPr>
      </w:pPr>
      <w:r w:rsidRPr="009431FA">
        <w:rPr>
          <w:rFonts w:ascii="Tahoma" w:hAnsi="Tahoma" w:cs="Tahoma"/>
          <w:sz w:val="22"/>
          <w:szCs w:val="22"/>
        </w:rPr>
        <w:t>Secretari</w:t>
      </w:r>
      <w:r w:rsidR="00F76CDA" w:rsidRPr="009431FA">
        <w:rPr>
          <w:rFonts w:ascii="Tahoma" w:hAnsi="Tahoma" w:cs="Tahoma"/>
          <w:sz w:val="22"/>
          <w:szCs w:val="22"/>
        </w:rPr>
        <w:t>o</w:t>
      </w:r>
      <w:r w:rsidRPr="009431FA">
        <w:rPr>
          <w:rFonts w:ascii="Tahoma" w:hAnsi="Tahoma" w:cs="Tahoma"/>
          <w:sz w:val="22"/>
          <w:szCs w:val="22"/>
        </w:rPr>
        <w:t xml:space="preserve"> Ad-Hoc</w:t>
      </w:r>
    </w:p>
    <w:p w:rsidR="008411E9" w:rsidRDefault="008411E9" w:rsidP="00466D35">
      <w:pPr>
        <w:rPr>
          <w:rFonts w:ascii="Tahoma" w:hAnsi="Tahoma" w:cs="Tahoma"/>
        </w:rPr>
      </w:pPr>
    </w:p>
    <w:tbl>
      <w:tblPr>
        <w:tblW w:w="9867" w:type="dxa"/>
        <w:jc w:val="center"/>
        <w:tblCellMar>
          <w:left w:w="70" w:type="dxa"/>
          <w:right w:w="70" w:type="dxa"/>
        </w:tblCellMar>
        <w:tblLook w:val="04A0"/>
      </w:tblPr>
      <w:tblGrid>
        <w:gridCol w:w="843"/>
        <w:gridCol w:w="843"/>
        <w:gridCol w:w="769"/>
        <w:gridCol w:w="1428"/>
        <w:gridCol w:w="177"/>
        <w:gridCol w:w="1618"/>
        <w:gridCol w:w="717"/>
        <w:gridCol w:w="1709"/>
        <w:gridCol w:w="1763"/>
      </w:tblGrid>
      <w:tr w:rsidR="009431FA" w:rsidRPr="009662A6" w:rsidTr="00466D35">
        <w:trPr>
          <w:trHeight w:val="378"/>
          <w:jc w:val="center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JESUS ANTONIO TORRES AVILA</w:t>
            </w:r>
          </w:p>
        </w:tc>
      </w:tr>
      <w:tr w:rsidR="009431FA" w:rsidRPr="009662A6" w:rsidTr="00466D35">
        <w:trPr>
          <w:trHeight w:val="177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 de nacimiento: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25-ago-46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 reconocimiento pensión: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01/11/2007</w:t>
            </w:r>
          </w:p>
        </w:tc>
      </w:tr>
      <w:tr w:rsidR="009431FA" w:rsidRPr="009662A6" w:rsidTr="00466D35">
        <w:trPr>
          <w:trHeight w:val="17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Total semanas cotizadas: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color w:val="000000"/>
                <w:sz w:val="16"/>
                <w:szCs w:val="16"/>
              </w:rPr>
              <w:t>514,29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Tasa Ley 100/93: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1FA" w:rsidRPr="009662A6" w:rsidTr="00466D35">
        <w:trPr>
          <w:trHeight w:val="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1FA" w:rsidRPr="009662A6" w:rsidTr="00466D35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1FA" w:rsidRPr="009662A6" w:rsidTr="00466D35">
        <w:trPr>
          <w:trHeight w:val="34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HISTORIA LABORAL DEL AFILIADO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Ingreso Base de cotización actualizado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IPC Dane                                    (serie de empalme)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Promedio Salarial        (Dias x IBC actualizado/total dias)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Fechas de aporte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Número de días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Ingreso Base de Cotización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IPC Final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IPC Inicial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1FA" w:rsidRPr="009662A6" w:rsidTr="00466D35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20-abr-77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30-abr-77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4.000,00 </w:t>
            </w:r>
          </w:p>
        </w:tc>
        <w:tc>
          <w:tcPr>
            <w:tcW w:w="0" w:type="auto"/>
            <w:tcBorders>
              <w:top w:val="single" w:sz="4" w:space="0" w:color="808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673.567,81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2058,12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01-may-77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31-may-77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4.800,00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808.281,37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6960,20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01-jul-77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4.920,00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828.488,40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42344,96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31-mar-78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4.920,00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643.678,21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16091,96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01-abr-78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30-abr-78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5.683,00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743.500,67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6195,84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01-jun-78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9.500,00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1.242.874,60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73881,99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11.300,00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1.248.376,31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0,80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126571,49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14.300,00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1.226.556,09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1,02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124699,87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17.900,00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1.219.936,46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1,29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123688,00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31-ago-82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22.600,00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1.217.987,71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   1,63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82214,17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01-mar-01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31-ago-01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572.000,00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810.805,54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61,99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40.540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01-jun-03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30-jun-03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464.800,00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572.048,73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71,40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3.337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01-jul-03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664.000,00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817.212,48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71,40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40.861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01-feb-04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30-sep-04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827.500,95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76,03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55.167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01-oct-04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31-oct-04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827.500,95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76,03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6.896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827.500,95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76,03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6.896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31-ene-05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784.379,51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80,21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6.536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01-feb-05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763.000,00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835.868,11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80,21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76.621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31-ene-06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763.000,00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797.166,46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84,10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6.643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01-feb-06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816.000,00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852.539,76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84,10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78.149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31-ene-07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816.000,00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816.000,00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6.800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01-feb-07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31-oct-07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867.000,00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867.000,00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87,87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 w:rsidP="00466D35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65.025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TOTAL DIAS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3.600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IBL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color w:val="000000"/>
                <w:sz w:val="16"/>
                <w:szCs w:val="16"/>
              </w:rPr>
              <w:t xml:space="preserve">   998.178 </w:t>
            </w: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31FA" w:rsidRPr="009662A6" w:rsidTr="00466D35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FA" w:rsidRPr="009662A6" w:rsidRDefault="00943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Mesada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431FA" w:rsidRPr="009662A6" w:rsidRDefault="009431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62A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748.634 </w:t>
            </w:r>
          </w:p>
        </w:tc>
      </w:tr>
    </w:tbl>
    <w:p w:rsidR="008411E9" w:rsidRDefault="008411E9" w:rsidP="00DD01F2">
      <w:pPr>
        <w:jc w:val="center"/>
        <w:rPr>
          <w:rFonts w:ascii="Tahoma" w:hAnsi="Tahoma" w:cs="Tahom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2"/>
        <w:gridCol w:w="833"/>
        <w:gridCol w:w="1518"/>
        <w:gridCol w:w="788"/>
        <w:gridCol w:w="926"/>
        <w:gridCol w:w="1132"/>
        <w:gridCol w:w="816"/>
        <w:gridCol w:w="1205"/>
        <w:gridCol w:w="610"/>
        <w:gridCol w:w="1005"/>
      </w:tblGrid>
      <w:tr w:rsidR="00466D35" w:rsidRPr="00402209" w:rsidTr="00466D35">
        <w:trPr>
          <w:trHeight w:val="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Fecha Liquida: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31-jul-16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Ipc (Vf)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133,27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single" w:sz="4" w:space="0" w:color="808000"/>
              <w:left w:val="single" w:sz="4" w:space="0" w:color="808000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IPC</w:t>
            </w: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 xml:space="preserve">   (Var. Año anterior)</w:t>
            </w:r>
          </w:p>
        </w:tc>
        <w:tc>
          <w:tcPr>
            <w:tcW w:w="833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Desde</w:t>
            </w:r>
          </w:p>
        </w:tc>
        <w:tc>
          <w:tcPr>
            <w:tcW w:w="1518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Hasta</w:t>
            </w:r>
          </w:p>
        </w:tc>
        <w:tc>
          <w:tcPr>
            <w:tcW w:w="788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Causadas</w:t>
            </w:r>
          </w:p>
        </w:tc>
        <w:tc>
          <w:tcPr>
            <w:tcW w:w="926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Mesada reliquidada</w:t>
            </w:r>
          </w:p>
        </w:tc>
        <w:tc>
          <w:tcPr>
            <w:tcW w:w="1132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Mesada anterior</w:t>
            </w:r>
          </w:p>
        </w:tc>
        <w:tc>
          <w:tcPr>
            <w:tcW w:w="816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Prescritas</w:t>
            </w:r>
          </w:p>
        </w:tc>
        <w:tc>
          <w:tcPr>
            <w:tcW w:w="1205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Diferencias a cancelar </w:t>
            </w:r>
          </w:p>
        </w:tc>
        <w:tc>
          <w:tcPr>
            <w:tcW w:w="61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IPC Vo</w:t>
            </w:r>
          </w:p>
        </w:tc>
        <w:tc>
          <w:tcPr>
            <w:tcW w:w="1003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Diferencia indexada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5,69</w:t>
            </w:r>
          </w:p>
        </w:tc>
        <w:tc>
          <w:tcPr>
            <w:tcW w:w="833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01-nov-07</w:t>
            </w:r>
          </w:p>
        </w:tc>
        <w:tc>
          <w:tcPr>
            <w:tcW w:w="1518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31-dic-07</w:t>
            </w:r>
          </w:p>
        </w:tc>
        <w:tc>
          <w:tcPr>
            <w:tcW w:w="7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3,00</w:t>
            </w:r>
          </w:p>
        </w:tc>
        <w:tc>
          <w:tcPr>
            <w:tcW w:w="926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 w:rsidP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748.634 </w:t>
            </w:r>
          </w:p>
        </w:tc>
        <w:tc>
          <w:tcPr>
            <w:tcW w:w="11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433.700 </w:t>
            </w:r>
          </w:p>
        </w:tc>
        <w:tc>
          <w:tcPr>
            <w:tcW w:w="816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944.801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92,87 </w:t>
            </w:r>
          </w:p>
        </w:tc>
        <w:tc>
          <w:tcPr>
            <w:tcW w:w="10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410.971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7,67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31-dic-08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791.231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461.500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4.616.232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100,00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1.535.820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2,00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31-dic-09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851.918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496.900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4.970.256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102,00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1.523.609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3,17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31-dic-10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868.957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515.000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4.955.393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105,24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1.320.045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3,73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31-dic-11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896.513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535.600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5.052.784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109,16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1.116.001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2,44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31-dic-12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929.953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566.700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5.085.544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111,82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975.540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1,94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31-dic-13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952.644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589.500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5.084.016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113,98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860.420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3,66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31-dic-14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971.125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616.000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4.971.754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118,15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636.250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6,77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31-dic-15</w:t>
            </w:r>
          </w:p>
        </w:tc>
        <w:tc>
          <w:tcPr>
            <w:tcW w:w="78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1.006.668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644.350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5.072.458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126,15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286.293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01-ene-16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>31-jul-16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8,00</w:t>
            </w:r>
          </w:p>
        </w:tc>
        <w:tc>
          <w:tcPr>
            <w:tcW w:w="926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1.074.820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689.454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color w:val="000000"/>
                <w:sz w:val="14"/>
                <w:szCs w:val="14"/>
              </w:rPr>
              <w:t xml:space="preserve">          3.082.927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 -   </w:t>
            </w:r>
          </w:p>
        </w:tc>
        <w:tc>
          <w:tcPr>
            <w:tcW w:w="1003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402209">
              <w:rPr>
                <w:rFonts w:ascii="Calibri" w:hAnsi="Calibri"/>
                <w:sz w:val="14"/>
                <w:szCs w:val="14"/>
              </w:rPr>
              <w:t xml:space="preserve">                          -  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  43.836.164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402209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     8.664.950 </w:t>
            </w:r>
          </w:p>
        </w:tc>
      </w:tr>
      <w:tr w:rsidR="00466D35" w:rsidRPr="00402209" w:rsidTr="00466D35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 xml:space="preserve"> Valores a cancelar Diferencia mesada+indexacion ===&gt; </w:t>
            </w:r>
          </w:p>
        </w:tc>
        <w:tc>
          <w:tcPr>
            <w:tcW w:w="78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6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466D35" w:rsidRPr="00402209" w:rsidRDefault="00466D3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35" w:rsidRPr="00402209" w:rsidRDefault="00466D3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466D35" w:rsidRPr="00402209" w:rsidRDefault="00466D3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02209">
              <w:rPr>
                <w:rFonts w:ascii="Calibri" w:hAnsi="Calibri"/>
                <w:b/>
                <w:bCs/>
                <w:sz w:val="14"/>
                <w:szCs w:val="14"/>
              </w:rPr>
              <w:t xml:space="preserve"> $                                   52.501.113,37 </w:t>
            </w:r>
          </w:p>
        </w:tc>
      </w:tr>
    </w:tbl>
    <w:p w:rsidR="00B03839" w:rsidRDefault="00B03839" w:rsidP="00B03839">
      <w:pPr>
        <w:rPr>
          <w:sz w:val="22"/>
          <w:szCs w:val="22"/>
        </w:rPr>
      </w:pPr>
    </w:p>
    <w:p w:rsidR="00466D35" w:rsidRDefault="00466D35" w:rsidP="00B03839">
      <w:pPr>
        <w:rPr>
          <w:sz w:val="22"/>
          <w:szCs w:val="22"/>
        </w:rPr>
      </w:pPr>
    </w:p>
    <w:p w:rsidR="00466D35" w:rsidRPr="00B03839" w:rsidRDefault="00466D35" w:rsidP="00B03839">
      <w:pPr>
        <w:rPr>
          <w:sz w:val="22"/>
          <w:szCs w:val="22"/>
        </w:rPr>
      </w:pPr>
    </w:p>
    <w:p w:rsidR="00B03839" w:rsidRDefault="00B03839" w:rsidP="00B03839">
      <w:pPr>
        <w:pStyle w:val="Ttulo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B03839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772AE9" w:rsidRPr="00466D35" w:rsidRDefault="00B03839" w:rsidP="00466D3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Magistrad</w:t>
      </w:r>
      <w:r w:rsidR="00AF74B5">
        <w:rPr>
          <w:rFonts w:ascii="Tahoma" w:hAnsi="Tahoma" w:cs="Tahoma"/>
          <w:sz w:val="22"/>
          <w:szCs w:val="22"/>
        </w:rPr>
        <w:t>a</w:t>
      </w:r>
    </w:p>
    <w:sectPr w:rsidR="00772AE9" w:rsidRPr="00466D35" w:rsidSect="000C1504">
      <w:headerReference w:type="even" r:id="rId8"/>
      <w:headerReference w:type="default" r:id="rId9"/>
      <w:footerReference w:type="default" r:id="rId10"/>
      <w:footerReference w:type="first" r:id="rId11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57" w:rsidRDefault="00234857">
      <w:r>
        <w:separator/>
      </w:r>
    </w:p>
  </w:endnote>
  <w:endnote w:type="continuationSeparator" w:id="0">
    <w:p w:rsidR="00234857" w:rsidRDefault="0023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0" w:rsidRDefault="0060634C">
    <w:pPr>
      <w:pStyle w:val="Piedepgina"/>
      <w:jc w:val="right"/>
    </w:pPr>
    <w:r>
      <w:fldChar w:fldCharType="begin"/>
    </w:r>
    <w:r w:rsidR="00376C90">
      <w:instrText>PAGE   \* MERGEFORMAT</w:instrText>
    </w:r>
    <w:r>
      <w:fldChar w:fldCharType="separate"/>
    </w:r>
    <w:r w:rsidR="00AF74B5">
      <w:rPr>
        <w:noProof/>
      </w:rPr>
      <w:t>5</w:t>
    </w:r>
    <w:r>
      <w:fldChar w:fldCharType="end"/>
    </w:r>
  </w:p>
  <w:p w:rsidR="00376C90" w:rsidRDefault="00376C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0" w:rsidRDefault="0060634C">
    <w:pPr>
      <w:pStyle w:val="Piedepgina"/>
      <w:jc w:val="right"/>
    </w:pPr>
    <w:r>
      <w:fldChar w:fldCharType="begin"/>
    </w:r>
    <w:r w:rsidR="00376C90">
      <w:instrText>PAGE   \* MERGEFORMAT</w:instrText>
    </w:r>
    <w:r>
      <w:fldChar w:fldCharType="separate"/>
    </w:r>
    <w:r w:rsidR="00AF74B5">
      <w:rPr>
        <w:noProof/>
      </w:rPr>
      <w:t>1</w:t>
    </w:r>
    <w:r>
      <w:fldChar w:fldCharType="end"/>
    </w:r>
  </w:p>
  <w:p w:rsidR="00376C90" w:rsidRDefault="00376C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57" w:rsidRDefault="00234857">
      <w:r>
        <w:separator/>
      </w:r>
    </w:p>
  </w:footnote>
  <w:footnote w:type="continuationSeparator" w:id="0">
    <w:p w:rsidR="00234857" w:rsidRDefault="0023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0" w:rsidRDefault="0060634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6C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6C90" w:rsidRDefault="00376C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0" w:rsidRPr="00B158AB" w:rsidRDefault="00376C90" w:rsidP="00466D35">
    <w:pPr>
      <w:pStyle w:val="Ttulo"/>
      <w:spacing w:line="240" w:lineRule="auto"/>
      <w:jc w:val="both"/>
      <w:rPr>
        <w:rFonts w:ascii="Times New Roman" w:hAnsi="Times New Roman"/>
        <w:b w:val="0"/>
        <w:sz w:val="16"/>
        <w:szCs w:val="16"/>
      </w:rPr>
    </w:pPr>
    <w:r w:rsidRPr="00B158AB">
      <w:rPr>
        <w:rFonts w:ascii="Times New Roman" w:hAnsi="Times New Roman"/>
        <w:b w:val="0"/>
        <w:sz w:val="16"/>
        <w:szCs w:val="16"/>
      </w:rPr>
      <w:t>Radicación No.:</w:t>
    </w:r>
    <w:r>
      <w:rPr>
        <w:rFonts w:ascii="Times New Roman" w:hAnsi="Times New Roman"/>
        <w:b w:val="0"/>
        <w:sz w:val="16"/>
        <w:szCs w:val="16"/>
      </w:rPr>
      <w:t xml:space="preserve"> </w:t>
    </w:r>
    <w:r w:rsidRPr="00B158AB">
      <w:rPr>
        <w:rFonts w:ascii="Times New Roman" w:hAnsi="Times New Roman"/>
        <w:b w:val="0"/>
        <w:sz w:val="16"/>
        <w:szCs w:val="16"/>
      </w:rPr>
      <w:t>66001-31-05-00</w:t>
    </w:r>
    <w:r>
      <w:rPr>
        <w:rFonts w:ascii="Times New Roman" w:hAnsi="Times New Roman"/>
        <w:b w:val="0"/>
        <w:sz w:val="16"/>
        <w:szCs w:val="16"/>
      </w:rPr>
      <w:t>3</w:t>
    </w:r>
    <w:r w:rsidRPr="00B158AB">
      <w:rPr>
        <w:rFonts w:ascii="Times New Roman" w:hAnsi="Times New Roman"/>
        <w:b w:val="0"/>
        <w:sz w:val="16"/>
        <w:szCs w:val="16"/>
      </w:rPr>
      <w:t>-201</w:t>
    </w:r>
    <w:r>
      <w:rPr>
        <w:rFonts w:ascii="Times New Roman" w:hAnsi="Times New Roman"/>
        <w:b w:val="0"/>
        <w:sz w:val="16"/>
        <w:szCs w:val="16"/>
      </w:rPr>
      <w:t>4</w:t>
    </w:r>
    <w:r w:rsidRPr="00B158AB">
      <w:rPr>
        <w:rFonts w:ascii="Times New Roman" w:hAnsi="Times New Roman"/>
        <w:b w:val="0"/>
        <w:sz w:val="16"/>
        <w:szCs w:val="16"/>
      </w:rPr>
      <w:t>-00</w:t>
    </w:r>
    <w:r>
      <w:rPr>
        <w:rFonts w:ascii="Times New Roman" w:hAnsi="Times New Roman"/>
        <w:b w:val="0"/>
        <w:sz w:val="16"/>
        <w:szCs w:val="16"/>
      </w:rPr>
      <w:t>702</w:t>
    </w:r>
    <w:r w:rsidRPr="00B158AB">
      <w:rPr>
        <w:rFonts w:ascii="Times New Roman" w:hAnsi="Times New Roman"/>
        <w:b w:val="0"/>
        <w:sz w:val="16"/>
        <w:szCs w:val="16"/>
      </w:rPr>
      <w:t>-01</w:t>
    </w:r>
  </w:p>
  <w:p w:rsidR="00376C90" w:rsidRPr="00B158AB" w:rsidRDefault="00376C90" w:rsidP="00466D35">
    <w:pPr>
      <w:pStyle w:val="Ttulo"/>
      <w:spacing w:line="240" w:lineRule="auto"/>
      <w:jc w:val="both"/>
      <w:rPr>
        <w:rFonts w:ascii="Times New Roman" w:hAnsi="Times New Roman"/>
        <w:b w:val="0"/>
        <w:sz w:val="16"/>
        <w:szCs w:val="16"/>
      </w:rPr>
    </w:pPr>
    <w:r w:rsidRPr="00B158AB">
      <w:rPr>
        <w:rFonts w:ascii="Times New Roman" w:hAnsi="Times New Roman"/>
        <w:b w:val="0"/>
        <w:sz w:val="16"/>
        <w:szCs w:val="16"/>
      </w:rPr>
      <w:t>Demandante:</w:t>
    </w:r>
    <w:r>
      <w:rPr>
        <w:rFonts w:ascii="Times New Roman" w:hAnsi="Times New Roman"/>
        <w:b w:val="0"/>
        <w:sz w:val="16"/>
        <w:szCs w:val="16"/>
      </w:rPr>
      <w:t xml:space="preserve"> Jesús Antonio Torres Ávila</w:t>
    </w:r>
  </w:p>
  <w:p w:rsidR="00376C90" w:rsidRPr="00B158AB" w:rsidRDefault="00376C90" w:rsidP="00466D35">
    <w:pPr>
      <w:pStyle w:val="Ttulo"/>
      <w:spacing w:line="240" w:lineRule="auto"/>
      <w:ind w:left="708" w:hanging="708"/>
      <w:jc w:val="both"/>
      <w:rPr>
        <w:rFonts w:ascii="Times New Roman" w:hAnsi="Times New Roman"/>
        <w:b w:val="0"/>
        <w:sz w:val="16"/>
        <w:szCs w:val="16"/>
      </w:rPr>
    </w:pPr>
    <w:r w:rsidRPr="00B158AB">
      <w:rPr>
        <w:rFonts w:ascii="Times New Roman" w:hAnsi="Times New Roman"/>
        <w:b w:val="0"/>
        <w:sz w:val="16"/>
        <w:szCs w:val="16"/>
      </w:rPr>
      <w:t>Demandado:</w:t>
    </w:r>
    <w:r>
      <w:rPr>
        <w:rFonts w:ascii="Times New Roman" w:hAnsi="Times New Roman"/>
        <w:b w:val="0"/>
        <w:sz w:val="16"/>
        <w:szCs w:val="16"/>
      </w:rPr>
      <w:t xml:space="preserve"> </w:t>
    </w:r>
    <w:r w:rsidRPr="00B158AB">
      <w:rPr>
        <w:rFonts w:ascii="Times New Roman" w:hAnsi="Times New Roman"/>
        <w:b w:val="0"/>
        <w:sz w:val="16"/>
        <w:szCs w:val="16"/>
      </w:rPr>
      <w:t>Colpensiones</w:t>
    </w:r>
  </w:p>
  <w:p w:rsidR="00376C90" w:rsidRDefault="00376C90" w:rsidP="007A350B">
    <w:pPr>
      <w:pStyle w:val="Ttulo"/>
      <w:spacing w:line="240" w:lineRule="auto"/>
      <w:ind w:left="708" w:hanging="708"/>
      <w:jc w:val="both"/>
      <w:rPr>
        <w:rFonts w:ascii="Times New Roman" w:hAnsi="Times New Roman"/>
        <w:b w:val="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EA8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1273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42A31"/>
    <w:multiLevelType w:val="hybridMultilevel"/>
    <w:tmpl w:val="A1A6D87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89D68B6"/>
    <w:multiLevelType w:val="hybridMultilevel"/>
    <w:tmpl w:val="A1688DB4"/>
    <w:lvl w:ilvl="0" w:tplc="E5A8F1EC">
      <w:start w:val="3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CB7A59"/>
    <w:multiLevelType w:val="multilevel"/>
    <w:tmpl w:val="551220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1CCA18AA"/>
    <w:multiLevelType w:val="hybridMultilevel"/>
    <w:tmpl w:val="1C28895A"/>
    <w:lvl w:ilvl="0" w:tplc="9CD8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B2580"/>
    <w:multiLevelType w:val="hybridMultilevel"/>
    <w:tmpl w:val="6A48D7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3A65C4F"/>
    <w:multiLevelType w:val="hybridMultilevel"/>
    <w:tmpl w:val="CB340078"/>
    <w:lvl w:ilvl="0" w:tplc="CB925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660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B2BC5"/>
    <w:multiLevelType w:val="hybridMultilevel"/>
    <w:tmpl w:val="DDFEF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62DFD"/>
    <w:multiLevelType w:val="hybridMultilevel"/>
    <w:tmpl w:val="9746CE4E"/>
    <w:lvl w:ilvl="0" w:tplc="C5C23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655E7"/>
    <w:multiLevelType w:val="hybridMultilevel"/>
    <w:tmpl w:val="698A2D9C"/>
    <w:lvl w:ilvl="0" w:tplc="0E1A4FB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F4963"/>
    <w:multiLevelType w:val="hybridMultilevel"/>
    <w:tmpl w:val="079AF6A6"/>
    <w:lvl w:ilvl="0" w:tplc="EC6689F6">
      <w:start w:val="2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2FDB2C19"/>
    <w:multiLevelType w:val="hybridMultilevel"/>
    <w:tmpl w:val="94F04404"/>
    <w:lvl w:ilvl="0" w:tplc="AEB60F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4E65B8"/>
    <w:multiLevelType w:val="multilevel"/>
    <w:tmpl w:val="04DA7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40553CEB"/>
    <w:multiLevelType w:val="multilevel"/>
    <w:tmpl w:val="7A3CC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46DB0B43"/>
    <w:multiLevelType w:val="hybridMultilevel"/>
    <w:tmpl w:val="D20ED8AC"/>
    <w:lvl w:ilvl="0" w:tplc="85EE9C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CCE4D0">
      <w:start w:val="180"/>
      <w:numFmt w:val="decimal"/>
      <w:lvlText w:val="%2"/>
      <w:lvlJc w:val="left"/>
      <w:pPr>
        <w:tabs>
          <w:tab w:val="num" w:pos="3255"/>
        </w:tabs>
        <w:ind w:left="3255" w:hanging="24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D130F61"/>
    <w:multiLevelType w:val="hybridMultilevel"/>
    <w:tmpl w:val="4B22C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C74908"/>
    <w:multiLevelType w:val="hybridMultilevel"/>
    <w:tmpl w:val="5880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00F4E"/>
    <w:multiLevelType w:val="hybridMultilevel"/>
    <w:tmpl w:val="7418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5422D"/>
    <w:multiLevelType w:val="hybridMultilevel"/>
    <w:tmpl w:val="E8D27BDE"/>
    <w:lvl w:ilvl="0" w:tplc="DE2CEC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E0F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6C9E"/>
    <w:multiLevelType w:val="hybridMultilevel"/>
    <w:tmpl w:val="F7C6EA92"/>
    <w:lvl w:ilvl="0" w:tplc="CA641D9A">
      <w:start w:val="2"/>
      <w:numFmt w:val="bullet"/>
      <w:lvlText w:val="-"/>
      <w:lvlJc w:val="left"/>
      <w:pPr>
        <w:ind w:left="148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2">
    <w:nsid w:val="5E7E4DB7"/>
    <w:multiLevelType w:val="hybridMultilevel"/>
    <w:tmpl w:val="AF7EEE3A"/>
    <w:lvl w:ilvl="0" w:tplc="B954509A">
      <w:start w:val="2"/>
      <w:numFmt w:val="bullet"/>
      <w:lvlText w:val="-"/>
      <w:lvlJc w:val="left"/>
      <w:pPr>
        <w:ind w:left="22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3">
    <w:nsid w:val="618F015E"/>
    <w:multiLevelType w:val="hybridMultilevel"/>
    <w:tmpl w:val="AE80CF3C"/>
    <w:lvl w:ilvl="0" w:tplc="20408EA4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4">
    <w:nsid w:val="7066510F"/>
    <w:multiLevelType w:val="hybridMultilevel"/>
    <w:tmpl w:val="26CE1FE2"/>
    <w:lvl w:ilvl="0" w:tplc="94C834F8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96EA03C4">
      <w:numFmt w:val="none"/>
      <w:lvlText w:val=""/>
      <w:lvlJc w:val="left"/>
      <w:pPr>
        <w:tabs>
          <w:tab w:val="num" w:pos="360"/>
        </w:tabs>
      </w:pPr>
    </w:lvl>
    <w:lvl w:ilvl="2" w:tplc="C84C9810">
      <w:numFmt w:val="none"/>
      <w:lvlText w:val=""/>
      <w:lvlJc w:val="left"/>
      <w:pPr>
        <w:tabs>
          <w:tab w:val="num" w:pos="360"/>
        </w:tabs>
      </w:pPr>
    </w:lvl>
    <w:lvl w:ilvl="3" w:tplc="2E5E318E">
      <w:numFmt w:val="none"/>
      <w:lvlText w:val=""/>
      <w:lvlJc w:val="left"/>
      <w:pPr>
        <w:tabs>
          <w:tab w:val="num" w:pos="360"/>
        </w:tabs>
      </w:pPr>
    </w:lvl>
    <w:lvl w:ilvl="4" w:tplc="9F10B078">
      <w:numFmt w:val="none"/>
      <w:lvlText w:val=""/>
      <w:lvlJc w:val="left"/>
      <w:pPr>
        <w:tabs>
          <w:tab w:val="num" w:pos="360"/>
        </w:tabs>
      </w:pPr>
    </w:lvl>
    <w:lvl w:ilvl="5" w:tplc="6706F1C4">
      <w:numFmt w:val="none"/>
      <w:lvlText w:val=""/>
      <w:lvlJc w:val="left"/>
      <w:pPr>
        <w:tabs>
          <w:tab w:val="num" w:pos="360"/>
        </w:tabs>
      </w:pPr>
    </w:lvl>
    <w:lvl w:ilvl="6" w:tplc="8AA2D4A2">
      <w:numFmt w:val="none"/>
      <w:lvlText w:val=""/>
      <w:lvlJc w:val="left"/>
      <w:pPr>
        <w:tabs>
          <w:tab w:val="num" w:pos="360"/>
        </w:tabs>
      </w:pPr>
    </w:lvl>
    <w:lvl w:ilvl="7" w:tplc="C14C1E64">
      <w:numFmt w:val="none"/>
      <w:lvlText w:val=""/>
      <w:lvlJc w:val="left"/>
      <w:pPr>
        <w:tabs>
          <w:tab w:val="num" w:pos="360"/>
        </w:tabs>
      </w:pPr>
    </w:lvl>
    <w:lvl w:ilvl="8" w:tplc="6D6EAC3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0F12C77"/>
    <w:multiLevelType w:val="hybridMultilevel"/>
    <w:tmpl w:val="8B1877AA"/>
    <w:lvl w:ilvl="0" w:tplc="8F66D9CA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56569B8E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>
    <w:nsid w:val="7B431499"/>
    <w:multiLevelType w:val="hybridMultilevel"/>
    <w:tmpl w:val="564C2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21"/>
  </w:num>
  <w:num w:numId="15">
    <w:abstractNumId w:val="23"/>
  </w:num>
  <w:num w:numId="16">
    <w:abstractNumId w:val="22"/>
  </w:num>
  <w:num w:numId="17">
    <w:abstractNumId w:val="12"/>
  </w:num>
  <w:num w:numId="18">
    <w:abstractNumId w:val="25"/>
  </w:num>
  <w:num w:numId="19">
    <w:abstractNumId w:val="26"/>
  </w:num>
  <w:num w:numId="20">
    <w:abstractNumId w:val="18"/>
  </w:num>
  <w:num w:numId="21">
    <w:abstractNumId w:val="24"/>
  </w:num>
  <w:num w:numId="22">
    <w:abstractNumId w:val="20"/>
  </w:num>
  <w:num w:numId="23">
    <w:abstractNumId w:val="19"/>
  </w:num>
  <w:num w:numId="24">
    <w:abstractNumId w:val="0"/>
  </w:num>
  <w:num w:numId="25">
    <w:abstractNumId w:val="15"/>
  </w:num>
  <w:num w:numId="26">
    <w:abstractNumId w:val="14"/>
  </w:num>
  <w:num w:numId="27">
    <w:abstractNumId w:val="5"/>
  </w:num>
  <w:num w:numId="28">
    <w:abstractNumId w:val="3"/>
  </w:num>
  <w:num w:numId="29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>
      <o:colormru v:ext="edit" colors="#03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2C"/>
    <w:rsid w:val="00000709"/>
    <w:rsid w:val="0000089E"/>
    <w:rsid w:val="0000167C"/>
    <w:rsid w:val="00001E22"/>
    <w:rsid w:val="00002362"/>
    <w:rsid w:val="000043B8"/>
    <w:rsid w:val="0000451C"/>
    <w:rsid w:val="00005271"/>
    <w:rsid w:val="000057C8"/>
    <w:rsid w:val="00006084"/>
    <w:rsid w:val="000067FE"/>
    <w:rsid w:val="00006AB3"/>
    <w:rsid w:val="000108A0"/>
    <w:rsid w:val="000108FA"/>
    <w:rsid w:val="000113A2"/>
    <w:rsid w:val="000117AB"/>
    <w:rsid w:val="00011DC0"/>
    <w:rsid w:val="00011F1C"/>
    <w:rsid w:val="000138D2"/>
    <w:rsid w:val="00014101"/>
    <w:rsid w:val="000149FB"/>
    <w:rsid w:val="00014F1A"/>
    <w:rsid w:val="000153D6"/>
    <w:rsid w:val="00015677"/>
    <w:rsid w:val="0001589B"/>
    <w:rsid w:val="00015C7D"/>
    <w:rsid w:val="00020B62"/>
    <w:rsid w:val="00020EAD"/>
    <w:rsid w:val="00021B46"/>
    <w:rsid w:val="000228BF"/>
    <w:rsid w:val="00022A5C"/>
    <w:rsid w:val="0002448C"/>
    <w:rsid w:val="00025895"/>
    <w:rsid w:val="00026905"/>
    <w:rsid w:val="000271CA"/>
    <w:rsid w:val="00027E37"/>
    <w:rsid w:val="00035929"/>
    <w:rsid w:val="00035D3A"/>
    <w:rsid w:val="000360E7"/>
    <w:rsid w:val="00036C06"/>
    <w:rsid w:val="00037530"/>
    <w:rsid w:val="000400DC"/>
    <w:rsid w:val="000421A5"/>
    <w:rsid w:val="00042355"/>
    <w:rsid w:val="000424DD"/>
    <w:rsid w:val="00042D64"/>
    <w:rsid w:val="00043582"/>
    <w:rsid w:val="00044B16"/>
    <w:rsid w:val="00044C28"/>
    <w:rsid w:val="00045950"/>
    <w:rsid w:val="00046230"/>
    <w:rsid w:val="000502A9"/>
    <w:rsid w:val="00050B8B"/>
    <w:rsid w:val="000516FA"/>
    <w:rsid w:val="00053767"/>
    <w:rsid w:val="000539D9"/>
    <w:rsid w:val="000555B5"/>
    <w:rsid w:val="00057644"/>
    <w:rsid w:val="0006298A"/>
    <w:rsid w:val="00065E53"/>
    <w:rsid w:val="00067227"/>
    <w:rsid w:val="0007089E"/>
    <w:rsid w:val="00071C2C"/>
    <w:rsid w:val="000755E0"/>
    <w:rsid w:val="00075CDE"/>
    <w:rsid w:val="0007644E"/>
    <w:rsid w:val="000768A1"/>
    <w:rsid w:val="000770E2"/>
    <w:rsid w:val="00077114"/>
    <w:rsid w:val="00077395"/>
    <w:rsid w:val="000804F3"/>
    <w:rsid w:val="0008113C"/>
    <w:rsid w:val="000816D0"/>
    <w:rsid w:val="000821A3"/>
    <w:rsid w:val="00082836"/>
    <w:rsid w:val="00082F11"/>
    <w:rsid w:val="000834E1"/>
    <w:rsid w:val="00084F5B"/>
    <w:rsid w:val="00085416"/>
    <w:rsid w:val="00085A34"/>
    <w:rsid w:val="00085F79"/>
    <w:rsid w:val="00086703"/>
    <w:rsid w:val="00087119"/>
    <w:rsid w:val="00090314"/>
    <w:rsid w:val="00090391"/>
    <w:rsid w:val="00091C87"/>
    <w:rsid w:val="0009257D"/>
    <w:rsid w:val="000934B4"/>
    <w:rsid w:val="000934F5"/>
    <w:rsid w:val="00093D21"/>
    <w:rsid w:val="00093DFA"/>
    <w:rsid w:val="00093E98"/>
    <w:rsid w:val="000945BA"/>
    <w:rsid w:val="00094805"/>
    <w:rsid w:val="0009509A"/>
    <w:rsid w:val="00096148"/>
    <w:rsid w:val="0009687A"/>
    <w:rsid w:val="00096A81"/>
    <w:rsid w:val="00096C52"/>
    <w:rsid w:val="0009794F"/>
    <w:rsid w:val="000A2266"/>
    <w:rsid w:val="000A22BF"/>
    <w:rsid w:val="000A23F4"/>
    <w:rsid w:val="000A36A6"/>
    <w:rsid w:val="000A37DE"/>
    <w:rsid w:val="000A4174"/>
    <w:rsid w:val="000A5C99"/>
    <w:rsid w:val="000A73FC"/>
    <w:rsid w:val="000A7A02"/>
    <w:rsid w:val="000B0F92"/>
    <w:rsid w:val="000B3191"/>
    <w:rsid w:val="000B3201"/>
    <w:rsid w:val="000B7C76"/>
    <w:rsid w:val="000C0CA5"/>
    <w:rsid w:val="000C130E"/>
    <w:rsid w:val="000C1504"/>
    <w:rsid w:val="000C1808"/>
    <w:rsid w:val="000C200A"/>
    <w:rsid w:val="000C2226"/>
    <w:rsid w:val="000C2C37"/>
    <w:rsid w:val="000C4CB0"/>
    <w:rsid w:val="000C732F"/>
    <w:rsid w:val="000C7393"/>
    <w:rsid w:val="000C76C5"/>
    <w:rsid w:val="000C7DB4"/>
    <w:rsid w:val="000D0FD3"/>
    <w:rsid w:val="000D205F"/>
    <w:rsid w:val="000D33C5"/>
    <w:rsid w:val="000D3ABC"/>
    <w:rsid w:val="000D68E8"/>
    <w:rsid w:val="000D6954"/>
    <w:rsid w:val="000D6E32"/>
    <w:rsid w:val="000D74FA"/>
    <w:rsid w:val="000D7BE7"/>
    <w:rsid w:val="000E02E2"/>
    <w:rsid w:val="000E15CE"/>
    <w:rsid w:val="000E18F8"/>
    <w:rsid w:val="000E1CB4"/>
    <w:rsid w:val="000E1F40"/>
    <w:rsid w:val="000E2911"/>
    <w:rsid w:val="000E2B6D"/>
    <w:rsid w:val="000E3D17"/>
    <w:rsid w:val="000E46A6"/>
    <w:rsid w:val="000E4D43"/>
    <w:rsid w:val="000E4F18"/>
    <w:rsid w:val="000E5DEB"/>
    <w:rsid w:val="000E7518"/>
    <w:rsid w:val="000E7993"/>
    <w:rsid w:val="000E7B1E"/>
    <w:rsid w:val="000F0469"/>
    <w:rsid w:val="000F0540"/>
    <w:rsid w:val="000F0BDD"/>
    <w:rsid w:val="000F1911"/>
    <w:rsid w:val="000F1AA5"/>
    <w:rsid w:val="000F200C"/>
    <w:rsid w:val="000F34FC"/>
    <w:rsid w:val="000F374C"/>
    <w:rsid w:val="000F5060"/>
    <w:rsid w:val="000F52F9"/>
    <w:rsid w:val="000F5EBD"/>
    <w:rsid w:val="000F6B06"/>
    <w:rsid w:val="000F7199"/>
    <w:rsid w:val="000F719F"/>
    <w:rsid w:val="00100D4D"/>
    <w:rsid w:val="001015B5"/>
    <w:rsid w:val="00101B63"/>
    <w:rsid w:val="001045F3"/>
    <w:rsid w:val="00104A14"/>
    <w:rsid w:val="00105C5F"/>
    <w:rsid w:val="001070DD"/>
    <w:rsid w:val="00107553"/>
    <w:rsid w:val="00107712"/>
    <w:rsid w:val="0010779E"/>
    <w:rsid w:val="00110367"/>
    <w:rsid w:val="001103AC"/>
    <w:rsid w:val="00112F15"/>
    <w:rsid w:val="00113705"/>
    <w:rsid w:val="00113870"/>
    <w:rsid w:val="00120A35"/>
    <w:rsid w:val="00122140"/>
    <w:rsid w:val="00122521"/>
    <w:rsid w:val="00123412"/>
    <w:rsid w:val="00124D1E"/>
    <w:rsid w:val="00125BB8"/>
    <w:rsid w:val="00126266"/>
    <w:rsid w:val="00131C1B"/>
    <w:rsid w:val="0013280B"/>
    <w:rsid w:val="0013443D"/>
    <w:rsid w:val="00135707"/>
    <w:rsid w:val="00136CEC"/>
    <w:rsid w:val="00137BDE"/>
    <w:rsid w:val="00137E1C"/>
    <w:rsid w:val="00141D49"/>
    <w:rsid w:val="001446C7"/>
    <w:rsid w:val="00144DF0"/>
    <w:rsid w:val="00146321"/>
    <w:rsid w:val="001464C6"/>
    <w:rsid w:val="00146FF0"/>
    <w:rsid w:val="00147041"/>
    <w:rsid w:val="0014733F"/>
    <w:rsid w:val="00150F76"/>
    <w:rsid w:val="00150FF4"/>
    <w:rsid w:val="001511CE"/>
    <w:rsid w:val="0015175B"/>
    <w:rsid w:val="00151859"/>
    <w:rsid w:val="00153753"/>
    <w:rsid w:val="00154A10"/>
    <w:rsid w:val="00154FBA"/>
    <w:rsid w:val="00155008"/>
    <w:rsid w:val="0015510F"/>
    <w:rsid w:val="001554E1"/>
    <w:rsid w:val="00155AE5"/>
    <w:rsid w:val="001560FC"/>
    <w:rsid w:val="00156577"/>
    <w:rsid w:val="001573DE"/>
    <w:rsid w:val="00162D1D"/>
    <w:rsid w:val="00163A57"/>
    <w:rsid w:val="00164E5C"/>
    <w:rsid w:val="00165B1C"/>
    <w:rsid w:val="00166F41"/>
    <w:rsid w:val="00166F5B"/>
    <w:rsid w:val="001700CB"/>
    <w:rsid w:val="0017023C"/>
    <w:rsid w:val="0017149D"/>
    <w:rsid w:val="0017221E"/>
    <w:rsid w:val="00172CAC"/>
    <w:rsid w:val="00175883"/>
    <w:rsid w:val="0018136A"/>
    <w:rsid w:val="00182710"/>
    <w:rsid w:val="001828FA"/>
    <w:rsid w:val="00183A73"/>
    <w:rsid w:val="001841F6"/>
    <w:rsid w:val="001852C2"/>
    <w:rsid w:val="00185349"/>
    <w:rsid w:val="00186AF7"/>
    <w:rsid w:val="00186CDF"/>
    <w:rsid w:val="00191410"/>
    <w:rsid w:val="001917DB"/>
    <w:rsid w:val="00191D60"/>
    <w:rsid w:val="00192076"/>
    <w:rsid w:val="00193410"/>
    <w:rsid w:val="001938F9"/>
    <w:rsid w:val="001939B4"/>
    <w:rsid w:val="00193AAA"/>
    <w:rsid w:val="001962B9"/>
    <w:rsid w:val="00197194"/>
    <w:rsid w:val="001971E7"/>
    <w:rsid w:val="00197F8E"/>
    <w:rsid w:val="001A01B8"/>
    <w:rsid w:val="001A0550"/>
    <w:rsid w:val="001A0E8A"/>
    <w:rsid w:val="001A0EB1"/>
    <w:rsid w:val="001A2137"/>
    <w:rsid w:val="001A21C9"/>
    <w:rsid w:val="001A2FF9"/>
    <w:rsid w:val="001A3192"/>
    <w:rsid w:val="001A3BD6"/>
    <w:rsid w:val="001A3CA5"/>
    <w:rsid w:val="001A42CC"/>
    <w:rsid w:val="001A5A7A"/>
    <w:rsid w:val="001A6356"/>
    <w:rsid w:val="001A69F9"/>
    <w:rsid w:val="001A7FD7"/>
    <w:rsid w:val="001B0A01"/>
    <w:rsid w:val="001B1178"/>
    <w:rsid w:val="001B237E"/>
    <w:rsid w:val="001B3B04"/>
    <w:rsid w:val="001B3CDE"/>
    <w:rsid w:val="001B3E4E"/>
    <w:rsid w:val="001B426F"/>
    <w:rsid w:val="001B5F3A"/>
    <w:rsid w:val="001B6E90"/>
    <w:rsid w:val="001C03A9"/>
    <w:rsid w:val="001C1CDC"/>
    <w:rsid w:val="001C2DB5"/>
    <w:rsid w:val="001C4178"/>
    <w:rsid w:val="001C4293"/>
    <w:rsid w:val="001C46CD"/>
    <w:rsid w:val="001C4780"/>
    <w:rsid w:val="001C5B1C"/>
    <w:rsid w:val="001C7F1D"/>
    <w:rsid w:val="001D2276"/>
    <w:rsid w:val="001D305C"/>
    <w:rsid w:val="001D3995"/>
    <w:rsid w:val="001D3A97"/>
    <w:rsid w:val="001D3DC4"/>
    <w:rsid w:val="001D46BE"/>
    <w:rsid w:val="001E13EB"/>
    <w:rsid w:val="001E3682"/>
    <w:rsid w:val="001E36CE"/>
    <w:rsid w:val="001E448B"/>
    <w:rsid w:val="001E4B08"/>
    <w:rsid w:val="001E514F"/>
    <w:rsid w:val="001E52A5"/>
    <w:rsid w:val="001E7355"/>
    <w:rsid w:val="001E7B5E"/>
    <w:rsid w:val="001E7BC6"/>
    <w:rsid w:val="001F0CF7"/>
    <w:rsid w:val="001F32F7"/>
    <w:rsid w:val="001F3AEA"/>
    <w:rsid w:val="001F3CEA"/>
    <w:rsid w:val="001F4666"/>
    <w:rsid w:val="001F4984"/>
    <w:rsid w:val="001F55B9"/>
    <w:rsid w:val="001F582C"/>
    <w:rsid w:val="001F5BC2"/>
    <w:rsid w:val="001F5F7F"/>
    <w:rsid w:val="001F6A4B"/>
    <w:rsid w:val="001F6B11"/>
    <w:rsid w:val="00200192"/>
    <w:rsid w:val="00201DEE"/>
    <w:rsid w:val="002022B4"/>
    <w:rsid w:val="00203502"/>
    <w:rsid w:val="00203E26"/>
    <w:rsid w:val="00204572"/>
    <w:rsid w:val="00205CFF"/>
    <w:rsid w:val="00205F05"/>
    <w:rsid w:val="002072A1"/>
    <w:rsid w:val="00207313"/>
    <w:rsid w:val="00207574"/>
    <w:rsid w:val="0021045A"/>
    <w:rsid w:val="00210A79"/>
    <w:rsid w:val="00210ADD"/>
    <w:rsid w:val="00212261"/>
    <w:rsid w:val="002129DF"/>
    <w:rsid w:val="002129EF"/>
    <w:rsid w:val="002143B5"/>
    <w:rsid w:val="00214CA4"/>
    <w:rsid w:val="00214E9E"/>
    <w:rsid w:val="00215AC3"/>
    <w:rsid w:val="00215D91"/>
    <w:rsid w:val="002168DD"/>
    <w:rsid w:val="00216D9B"/>
    <w:rsid w:val="00216E76"/>
    <w:rsid w:val="0022047E"/>
    <w:rsid w:val="00221452"/>
    <w:rsid w:val="0022148E"/>
    <w:rsid w:val="00221E2C"/>
    <w:rsid w:val="00221F05"/>
    <w:rsid w:val="002225AD"/>
    <w:rsid w:val="0022317F"/>
    <w:rsid w:val="0022375A"/>
    <w:rsid w:val="00223AE4"/>
    <w:rsid w:val="0022458D"/>
    <w:rsid w:val="002248AE"/>
    <w:rsid w:val="002262B8"/>
    <w:rsid w:val="002266BC"/>
    <w:rsid w:val="0022734D"/>
    <w:rsid w:val="002273C1"/>
    <w:rsid w:val="002307F0"/>
    <w:rsid w:val="002338AC"/>
    <w:rsid w:val="00233BD7"/>
    <w:rsid w:val="00234388"/>
    <w:rsid w:val="00234857"/>
    <w:rsid w:val="00234E83"/>
    <w:rsid w:val="00235D02"/>
    <w:rsid w:val="002360AF"/>
    <w:rsid w:val="002400B7"/>
    <w:rsid w:val="002400DC"/>
    <w:rsid w:val="002405F5"/>
    <w:rsid w:val="002411AC"/>
    <w:rsid w:val="00242B0A"/>
    <w:rsid w:val="0024401A"/>
    <w:rsid w:val="00244A83"/>
    <w:rsid w:val="002454BA"/>
    <w:rsid w:val="00245528"/>
    <w:rsid w:val="002458C2"/>
    <w:rsid w:val="00245D8A"/>
    <w:rsid w:val="00245EB0"/>
    <w:rsid w:val="00246115"/>
    <w:rsid w:val="00247231"/>
    <w:rsid w:val="00247841"/>
    <w:rsid w:val="002500A3"/>
    <w:rsid w:val="002531AB"/>
    <w:rsid w:val="00253FD6"/>
    <w:rsid w:val="00254181"/>
    <w:rsid w:val="002557C8"/>
    <w:rsid w:val="002565B2"/>
    <w:rsid w:val="002568B4"/>
    <w:rsid w:val="002600F0"/>
    <w:rsid w:val="00261293"/>
    <w:rsid w:val="00262E0F"/>
    <w:rsid w:val="00264334"/>
    <w:rsid w:val="00265644"/>
    <w:rsid w:val="00265B6D"/>
    <w:rsid w:val="0026673D"/>
    <w:rsid w:val="00266836"/>
    <w:rsid w:val="0027052D"/>
    <w:rsid w:val="00271611"/>
    <w:rsid w:val="00271B05"/>
    <w:rsid w:val="0027261A"/>
    <w:rsid w:val="00272C0E"/>
    <w:rsid w:val="00273711"/>
    <w:rsid w:val="00274834"/>
    <w:rsid w:val="00274C60"/>
    <w:rsid w:val="00275BFD"/>
    <w:rsid w:val="002763C1"/>
    <w:rsid w:val="0027657D"/>
    <w:rsid w:val="002765F1"/>
    <w:rsid w:val="00276620"/>
    <w:rsid w:val="002802D1"/>
    <w:rsid w:val="002814C1"/>
    <w:rsid w:val="00281F83"/>
    <w:rsid w:val="00282359"/>
    <w:rsid w:val="00283EF3"/>
    <w:rsid w:val="00284A68"/>
    <w:rsid w:val="00285425"/>
    <w:rsid w:val="00286916"/>
    <w:rsid w:val="00287075"/>
    <w:rsid w:val="002871EE"/>
    <w:rsid w:val="00290751"/>
    <w:rsid w:val="00290BD8"/>
    <w:rsid w:val="00291521"/>
    <w:rsid w:val="00292402"/>
    <w:rsid w:val="0029250D"/>
    <w:rsid w:val="00293351"/>
    <w:rsid w:val="002944C2"/>
    <w:rsid w:val="0029596C"/>
    <w:rsid w:val="00295E8D"/>
    <w:rsid w:val="00295FDC"/>
    <w:rsid w:val="00296CCC"/>
    <w:rsid w:val="00297E38"/>
    <w:rsid w:val="002A07BE"/>
    <w:rsid w:val="002A0AB1"/>
    <w:rsid w:val="002A1141"/>
    <w:rsid w:val="002A2734"/>
    <w:rsid w:val="002A2B23"/>
    <w:rsid w:val="002A2CD2"/>
    <w:rsid w:val="002A47DA"/>
    <w:rsid w:val="002A735F"/>
    <w:rsid w:val="002A7981"/>
    <w:rsid w:val="002A7B5A"/>
    <w:rsid w:val="002B0F49"/>
    <w:rsid w:val="002B191F"/>
    <w:rsid w:val="002B2511"/>
    <w:rsid w:val="002B2545"/>
    <w:rsid w:val="002B2DEC"/>
    <w:rsid w:val="002B4504"/>
    <w:rsid w:val="002B4874"/>
    <w:rsid w:val="002B5A64"/>
    <w:rsid w:val="002B60ED"/>
    <w:rsid w:val="002B6380"/>
    <w:rsid w:val="002B6B54"/>
    <w:rsid w:val="002B7267"/>
    <w:rsid w:val="002B73AC"/>
    <w:rsid w:val="002B7FD3"/>
    <w:rsid w:val="002C0BAD"/>
    <w:rsid w:val="002C1403"/>
    <w:rsid w:val="002C31C2"/>
    <w:rsid w:val="002C363A"/>
    <w:rsid w:val="002C42A9"/>
    <w:rsid w:val="002C454D"/>
    <w:rsid w:val="002C4A93"/>
    <w:rsid w:val="002C4F26"/>
    <w:rsid w:val="002C5485"/>
    <w:rsid w:val="002C559F"/>
    <w:rsid w:val="002C57E6"/>
    <w:rsid w:val="002C5A2E"/>
    <w:rsid w:val="002C6022"/>
    <w:rsid w:val="002C6810"/>
    <w:rsid w:val="002C6CB5"/>
    <w:rsid w:val="002C6CCF"/>
    <w:rsid w:val="002C77D4"/>
    <w:rsid w:val="002D0DE5"/>
    <w:rsid w:val="002D211D"/>
    <w:rsid w:val="002D248F"/>
    <w:rsid w:val="002D33E0"/>
    <w:rsid w:val="002D380F"/>
    <w:rsid w:val="002D61C8"/>
    <w:rsid w:val="002D61EE"/>
    <w:rsid w:val="002E14F7"/>
    <w:rsid w:val="002E183B"/>
    <w:rsid w:val="002E204B"/>
    <w:rsid w:val="002E2FBA"/>
    <w:rsid w:val="002E444D"/>
    <w:rsid w:val="002E4F23"/>
    <w:rsid w:val="002E6272"/>
    <w:rsid w:val="002E6783"/>
    <w:rsid w:val="002E6C11"/>
    <w:rsid w:val="002E6C9E"/>
    <w:rsid w:val="002E6DB9"/>
    <w:rsid w:val="002E7ED1"/>
    <w:rsid w:val="002F0805"/>
    <w:rsid w:val="002F11B1"/>
    <w:rsid w:val="002F2124"/>
    <w:rsid w:val="002F347F"/>
    <w:rsid w:val="002F394A"/>
    <w:rsid w:val="002F3BB8"/>
    <w:rsid w:val="002F4257"/>
    <w:rsid w:val="002F4962"/>
    <w:rsid w:val="002F5385"/>
    <w:rsid w:val="002F6742"/>
    <w:rsid w:val="002F748E"/>
    <w:rsid w:val="0030088A"/>
    <w:rsid w:val="003018EC"/>
    <w:rsid w:val="00301DB0"/>
    <w:rsid w:val="003021A9"/>
    <w:rsid w:val="003035A7"/>
    <w:rsid w:val="003055F2"/>
    <w:rsid w:val="00305990"/>
    <w:rsid w:val="003061BB"/>
    <w:rsid w:val="00306290"/>
    <w:rsid w:val="00306B02"/>
    <w:rsid w:val="0030730A"/>
    <w:rsid w:val="00307FC0"/>
    <w:rsid w:val="0031092F"/>
    <w:rsid w:val="00310B4D"/>
    <w:rsid w:val="00310C08"/>
    <w:rsid w:val="0031125C"/>
    <w:rsid w:val="00312087"/>
    <w:rsid w:val="003135B0"/>
    <w:rsid w:val="00313C38"/>
    <w:rsid w:val="00313D2B"/>
    <w:rsid w:val="00313FE7"/>
    <w:rsid w:val="0031435A"/>
    <w:rsid w:val="00314594"/>
    <w:rsid w:val="00314B1E"/>
    <w:rsid w:val="003151DF"/>
    <w:rsid w:val="00315202"/>
    <w:rsid w:val="003153A9"/>
    <w:rsid w:val="003155A0"/>
    <w:rsid w:val="00315918"/>
    <w:rsid w:val="00317201"/>
    <w:rsid w:val="00320D1D"/>
    <w:rsid w:val="0032124D"/>
    <w:rsid w:val="003216D0"/>
    <w:rsid w:val="00322B29"/>
    <w:rsid w:val="00323C2D"/>
    <w:rsid w:val="0032435D"/>
    <w:rsid w:val="00325A51"/>
    <w:rsid w:val="00325CF1"/>
    <w:rsid w:val="00325D21"/>
    <w:rsid w:val="00326E13"/>
    <w:rsid w:val="0032713E"/>
    <w:rsid w:val="003274A7"/>
    <w:rsid w:val="00327B83"/>
    <w:rsid w:val="003315F1"/>
    <w:rsid w:val="00332594"/>
    <w:rsid w:val="003325D9"/>
    <w:rsid w:val="00332F27"/>
    <w:rsid w:val="00333929"/>
    <w:rsid w:val="00333C41"/>
    <w:rsid w:val="00334208"/>
    <w:rsid w:val="00334BE1"/>
    <w:rsid w:val="00335549"/>
    <w:rsid w:val="00335AFF"/>
    <w:rsid w:val="00336559"/>
    <w:rsid w:val="0033658A"/>
    <w:rsid w:val="003366CA"/>
    <w:rsid w:val="00337B89"/>
    <w:rsid w:val="00337C3D"/>
    <w:rsid w:val="003425A9"/>
    <w:rsid w:val="0034420C"/>
    <w:rsid w:val="00344697"/>
    <w:rsid w:val="00344FE9"/>
    <w:rsid w:val="00345108"/>
    <w:rsid w:val="00346BF8"/>
    <w:rsid w:val="00346D00"/>
    <w:rsid w:val="003470ED"/>
    <w:rsid w:val="00347BFA"/>
    <w:rsid w:val="00351DA6"/>
    <w:rsid w:val="00353228"/>
    <w:rsid w:val="00355E71"/>
    <w:rsid w:val="003561ED"/>
    <w:rsid w:val="00356D92"/>
    <w:rsid w:val="00360FBF"/>
    <w:rsid w:val="003612E6"/>
    <w:rsid w:val="0036166D"/>
    <w:rsid w:val="003619A5"/>
    <w:rsid w:val="00361C60"/>
    <w:rsid w:val="00361E4B"/>
    <w:rsid w:val="00361F70"/>
    <w:rsid w:val="003621F3"/>
    <w:rsid w:val="003627F9"/>
    <w:rsid w:val="003644DA"/>
    <w:rsid w:val="00364504"/>
    <w:rsid w:val="003667CD"/>
    <w:rsid w:val="00366BFD"/>
    <w:rsid w:val="00366E68"/>
    <w:rsid w:val="00371191"/>
    <w:rsid w:val="003720D7"/>
    <w:rsid w:val="003725CC"/>
    <w:rsid w:val="003750A1"/>
    <w:rsid w:val="00375CF8"/>
    <w:rsid w:val="00376C90"/>
    <w:rsid w:val="0037720D"/>
    <w:rsid w:val="00381284"/>
    <w:rsid w:val="00381C59"/>
    <w:rsid w:val="003821B0"/>
    <w:rsid w:val="003822EF"/>
    <w:rsid w:val="003837C8"/>
    <w:rsid w:val="00384432"/>
    <w:rsid w:val="003845D4"/>
    <w:rsid w:val="00385042"/>
    <w:rsid w:val="00386E56"/>
    <w:rsid w:val="00387D04"/>
    <w:rsid w:val="003913BF"/>
    <w:rsid w:val="00391F0D"/>
    <w:rsid w:val="003935DC"/>
    <w:rsid w:val="00394320"/>
    <w:rsid w:val="0039489B"/>
    <w:rsid w:val="003951A5"/>
    <w:rsid w:val="0039610D"/>
    <w:rsid w:val="0039694A"/>
    <w:rsid w:val="003A1B37"/>
    <w:rsid w:val="003A22EF"/>
    <w:rsid w:val="003A2C58"/>
    <w:rsid w:val="003A388F"/>
    <w:rsid w:val="003A3BBB"/>
    <w:rsid w:val="003A4185"/>
    <w:rsid w:val="003A432A"/>
    <w:rsid w:val="003A43C3"/>
    <w:rsid w:val="003A6522"/>
    <w:rsid w:val="003A65B1"/>
    <w:rsid w:val="003A66AE"/>
    <w:rsid w:val="003A69EC"/>
    <w:rsid w:val="003A7B37"/>
    <w:rsid w:val="003B02A3"/>
    <w:rsid w:val="003B0910"/>
    <w:rsid w:val="003B1930"/>
    <w:rsid w:val="003B247B"/>
    <w:rsid w:val="003B2E57"/>
    <w:rsid w:val="003B4467"/>
    <w:rsid w:val="003B4CEA"/>
    <w:rsid w:val="003B51C2"/>
    <w:rsid w:val="003B5F57"/>
    <w:rsid w:val="003B7777"/>
    <w:rsid w:val="003C0C9A"/>
    <w:rsid w:val="003C1DD7"/>
    <w:rsid w:val="003C2237"/>
    <w:rsid w:val="003C2541"/>
    <w:rsid w:val="003C3278"/>
    <w:rsid w:val="003C4B44"/>
    <w:rsid w:val="003C5545"/>
    <w:rsid w:val="003C6A58"/>
    <w:rsid w:val="003C7018"/>
    <w:rsid w:val="003C7149"/>
    <w:rsid w:val="003D01CA"/>
    <w:rsid w:val="003D2095"/>
    <w:rsid w:val="003D4545"/>
    <w:rsid w:val="003D4A24"/>
    <w:rsid w:val="003D4EEF"/>
    <w:rsid w:val="003D520A"/>
    <w:rsid w:val="003E1938"/>
    <w:rsid w:val="003E1BB2"/>
    <w:rsid w:val="003E1D76"/>
    <w:rsid w:val="003E21D9"/>
    <w:rsid w:val="003E2409"/>
    <w:rsid w:val="003E4883"/>
    <w:rsid w:val="003E4C96"/>
    <w:rsid w:val="003E5306"/>
    <w:rsid w:val="003E62D6"/>
    <w:rsid w:val="003E6A85"/>
    <w:rsid w:val="003F0212"/>
    <w:rsid w:val="003F0BE6"/>
    <w:rsid w:val="003F1A0A"/>
    <w:rsid w:val="003F30EF"/>
    <w:rsid w:val="003F348D"/>
    <w:rsid w:val="003F4F97"/>
    <w:rsid w:val="003F5D62"/>
    <w:rsid w:val="003F6DB5"/>
    <w:rsid w:val="003F758F"/>
    <w:rsid w:val="003F77AC"/>
    <w:rsid w:val="004004AA"/>
    <w:rsid w:val="00401173"/>
    <w:rsid w:val="004012CA"/>
    <w:rsid w:val="00401BC4"/>
    <w:rsid w:val="00402209"/>
    <w:rsid w:val="00403EE1"/>
    <w:rsid w:val="0040469F"/>
    <w:rsid w:val="00404FCE"/>
    <w:rsid w:val="004052FE"/>
    <w:rsid w:val="00406302"/>
    <w:rsid w:val="00406C6D"/>
    <w:rsid w:val="00407D53"/>
    <w:rsid w:val="00407FC7"/>
    <w:rsid w:val="0041273C"/>
    <w:rsid w:val="00412810"/>
    <w:rsid w:val="004130F7"/>
    <w:rsid w:val="00413E1F"/>
    <w:rsid w:val="00413F4B"/>
    <w:rsid w:val="00414794"/>
    <w:rsid w:val="00414B84"/>
    <w:rsid w:val="0041535B"/>
    <w:rsid w:val="00416774"/>
    <w:rsid w:val="00416B10"/>
    <w:rsid w:val="00416F85"/>
    <w:rsid w:val="0042055D"/>
    <w:rsid w:val="004205AD"/>
    <w:rsid w:val="00425324"/>
    <w:rsid w:val="004261A0"/>
    <w:rsid w:val="00426F91"/>
    <w:rsid w:val="004275E7"/>
    <w:rsid w:val="0042768E"/>
    <w:rsid w:val="004302CD"/>
    <w:rsid w:val="004305B1"/>
    <w:rsid w:val="004306D0"/>
    <w:rsid w:val="00430C7F"/>
    <w:rsid w:val="00431F77"/>
    <w:rsid w:val="00433DA5"/>
    <w:rsid w:val="00433FA1"/>
    <w:rsid w:val="00433FF1"/>
    <w:rsid w:val="0043421D"/>
    <w:rsid w:val="00434967"/>
    <w:rsid w:val="00434AC7"/>
    <w:rsid w:val="004356B3"/>
    <w:rsid w:val="004357B2"/>
    <w:rsid w:val="00435F23"/>
    <w:rsid w:val="0043741C"/>
    <w:rsid w:val="004403B2"/>
    <w:rsid w:val="00441167"/>
    <w:rsid w:val="004412A1"/>
    <w:rsid w:val="00442325"/>
    <w:rsid w:val="004425F1"/>
    <w:rsid w:val="0044269F"/>
    <w:rsid w:val="0044353A"/>
    <w:rsid w:val="004445BB"/>
    <w:rsid w:val="00445139"/>
    <w:rsid w:val="00445A76"/>
    <w:rsid w:val="00445F50"/>
    <w:rsid w:val="004509E2"/>
    <w:rsid w:val="004511D9"/>
    <w:rsid w:val="004514A2"/>
    <w:rsid w:val="00451D74"/>
    <w:rsid w:val="004529A7"/>
    <w:rsid w:val="004543AB"/>
    <w:rsid w:val="004545A0"/>
    <w:rsid w:val="00454D5B"/>
    <w:rsid w:val="00454E5E"/>
    <w:rsid w:val="00456585"/>
    <w:rsid w:val="00457599"/>
    <w:rsid w:val="004575BF"/>
    <w:rsid w:val="0046001C"/>
    <w:rsid w:val="0046245C"/>
    <w:rsid w:val="00462E1B"/>
    <w:rsid w:val="00463DA1"/>
    <w:rsid w:val="00463ECE"/>
    <w:rsid w:val="00464FDA"/>
    <w:rsid w:val="00466812"/>
    <w:rsid w:val="00466D35"/>
    <w:rsid w:val="00466E02"/>
    <w:rsid w:val="00467540"/>
    <w:rsid w:val="00467781"/>
    <w:rsid w:val="00470E19"/>
    <w:rsid w:val="004713E8"/>
    <w:rsid w:val="004718E2"/>
    <w:rsid w:val="00473069"/>
    <w:rsid w:val="00473135"/>
    <w:rsid w:val="0047392F"/>
    <w:rsid w:val="0047546E"/>
    <w:rsid w:val="004757DF"/>
    <w:rsid w:val="00476D40"/>
    <w:rsid w:val="00476F5C"/>
    <w:rsid w:val="00476F6F"/>
    <w:rsid w:val="004801B8"/>
    <w:rsid w:val="0048101C"/>
    <w:rsid w:val="00481298"/>
    <w:rsid w:val="00481B7D"/>
    <w:rsid w:val="004828DE"/>
    <w:rsid w:val="00482DB2"/>
    <w:rsid w:val="00483144"/>
    <w:rsid w:val="00483D44"/>
    <w:rsid w:val="00483D99"/>
    <w:rsid w:val="004848FF"/>
    <w:rsid w:val="00486A4E"/>
    <w:rsid w:val="00487908"/>
    <w:rsid w:val="00487EF1"/>
    <w:rsid w:val="00487FF7"/>
    <w:rsid w:val="004901F4"/>
    <w:rsid w:val="00491B22"/>
    <w:rsid w:val="00491B8A"/>
    <w:rsid w:val="0049244C"/>
    <w:rsid w:val="00492A9E"/>
    <w:rsid w:val="00493E08"/>
    <w:rsid w:val="004940ED"/>
    <w:rsid w:val="00494331"/>
    <w:rsid w:val="00494BA4"/>
    <w:rsid w:val="00495E07"/>
    <w:rsid w:val="004A20E0"/>
    <w:rsid w:val="004A31E9"/>
    <w:rsid w:val="004A3C31"/>
    <w:rsid w:val="004A5036"/>
    <w:rsid w:val="004A504E"/>
    <w:rsid w:val="004A508D"/>
    <w:rsid w:val="004A6247"/>
    <w:rsid w:val="004A7233"/>
    <w:rsid w:val="004A75F4"/>
    <w:rsid w:val="004A7C5D"/>
    <w:rsid w:val="004B0127"/>
    <w:rsid w:val="004B0A0E"/>
    <w:rsid w:val="004B33AE"/>
    <w:rsid w:val="004B3FE6"/>
    <w:rsid w:val="004B42AA"/>
    <w:rsid w:val="004B46ED"/>
    <w:rsid w:val="004B4AA1"/>
    <w:rsid w:val="004B5434"/>
    <w:rsid w:val="004B55A8"/>
    <w:rsid w:val="004B7C9C"/>
    <w:rsid w:val="004C0DD4"/>
    <w:rsid w:val="004C1104"/>
    <w:rsid w:val="004C36BF"/>
    <w:rsid w:val="004C3D4F"/>
    <w:rsid w:val="004C45EE"/>
    <w:rsid w:val="004C4B30"/>
    <w:rsid w:val="004C5772"/>
    <w:rsid w:val="004C5A85"/>
    <w:rsid w:val="004C63C8"/>
    <w:rsid w:val="004C6653"/>
    <w:rsid w:val="004C70D2"/>
    <w:rsid w:val="004C7CED"/>
    <w:rsid w:val="004D13E2"/>
    <w:rsid w:val="004D16DD"/>
    <w:rsid w:val="004D1A9D"/>
    <w:rsid w:val="004D3091"/>
    <w:rsid w:val="004D3DBA"/>
    <w:rsid w:val="004D6361"/>
    <w:rsid w:val="004D6AFD"/>
    <w:rsid w:val="004D7BE8"/>
    <w:rsid w:val="004E19FD"/>
    <w:rsid w:val="004E218B"/>
    <w:rsid w:val="004E2C92"/>
    <w:rsid w:val="004E3F16"/>
    <w:rsid w:val="004E5E6C"/>
    <w:rsid w:val="004E62E1"/>
    <w:rsid w:val="004E70C1"/>
    <w:rsid w:val="004F0469"/>
    <w:rsid w:val="004F1D2C"/>
    <w:rsid w:val="004F2A91"/>
    <w:rsid w:val="004F43F1"/>
    <w:rsid w:val="004F4F15"/>
    <w:rsid w:val="004F5D30"/>
    <w:rsid w:val="004F6882"/>
    <w:rsid w:val="004F69C5"/>
    <w:rsid w:val="004F71FA"/>
    <w:rsid w:val="004F7351"/>
    <w:rsid w:val="004F7C33"/>
    <w:rsid w:val="00500756"/>
    <w:rsid w:val="005051A9"/>
    <w:rsid w:val="00505E54"/>
    <w:rsid w:val="005079BC"/>
    <w:rsid w:val="00507D13"/>
    <w:rsid w:val="005105B7"/>
    <w:rsid w:val="00512883"/>
    <w:rsid w:val="00512F75"/>
    <w:rsid w:val="00513B9C"/>
    <w:rsid w:val="00513D07"/>
    <w:rsid w:val="00514750"/>
    <w:rsid w:val="00514F16"/>
    <w:rsid w:val="005169AF"/>
    <w:rsid w:val="005170B2"/>
    <w:rsid w:val="005205C2"/>
    <w:rsid w:val="00520B83"/>
    <w:rsid w:val="00522934"/>
    <w:rsid w:val="00522A1B"/>
    <w:rsid w:val="00523032"/>
    <w:rsid w:val="005235DA"/>
    <w:rsid w:val="00523843"/>
    <w:rsid w:val="00523AA8"/>
    <w:rsid w:val="0052426E"/>
    <w:rsid w:val="00524572"/>
    <w:rsid w:val="005248E1"/>
    <w:rsid w:val="00524B03"/>
    <w:rsid w:val="00526F12"/>
    <w:rsid w:val="0052733E"/>
    <w:rsid w:val="005337F5"/>
    <w:rsid w:val="00533BA1"/>
    <w:rsid w:val="005341AF"/>
    <w:rsid w:val="00534379"/>
    <w:rsid w:val="00534CEA"/>
    <w:rsid w:val="0053628F"/>
    <w:rsid w:val="00537913"/>
    <w:rsid w:val="005416D6"/>
    <w:rsid w:val="005417FF"/>
    <w:rsid w:val="00542138"/>
    <w:rsid w:val="00542C65"/>
    <w:rsid w:val="005450CD"/>
    <w:rsid w:val="005455F5"/>
    <w:rsid w:val="00545B55"/>
    <w:rsid w:val="00547C05"/>
    <w:rsid w:val="0055210C"/>
    <w:rsid w:val="00553A43"/>
    <w:rsid w:val="005544E8"/>
    <w:rsid w:val="0055466E"/>
    <w:rsid w:val="005553CE"/>
    <w:rsid w:val="00556454"/>
    <w:rsid w:val="00556EC7"/>
    <w:rsid w:val="00557079"/>
    <w:rsid w:val="005602C9"/>
    <w:rsid w:val="00560B96"/>
    <w:rsid w:val="00560C3D"/>
    <w:rsid w:val="005613FF"/>
    <w:rsid w:val="00561ED0"/>
    <w:rsid w:val="00561F1B"/>
    <w:rsid w:val="00562173"/>
    <w:rsid w:val="00563866"/>
    <w:rsid w:val="00563FC0"/>
    <w:rsid w:val="005649CC"/>
    <w:rsid w:val="005651AD"/>
    <w:rsid w:val="00566226"/>
    <w:rsid w:val="005674CA"/>
    <w:rsid w:val="0056776A"/>
    <w:rsid w:val="00567BED"/>
    <w:rsid w:val="00570552"/>
    <w:rsid w:val="00570C1C"/>
    <w:rsid w:val="00572199"/>
    <w:rsid w:val="005721AB"/>
    <w:rsid w:val="005728DC"/>
    <w:rsid w:val="00573824"/>
    <w:rsid w:val="005753F5"/>
    <w:rsid w:val="00575761"/>
    <w:rsid w:val="005759F3"/>
    <w:rsid w:val="00576657"/>
    <w:rsid w:val="005768AD"/>
    <w:rsid w:val="0057796B"/>
    <w:rsid w:val="00577CDE"/>
    <w:rsid w:val="00580427"/>
    <w:rsid w:val="00580919"/>
    <w:rsid w:val="005819B3"/>
    <w:rsid w:val="00581A30"/>
    <w:rsid w:val="00582D26"/>
    <w:rsid w:val="0058542A"/>
    <w:rsid w:val="005872C1"/>
    <w:rsid w:val="00587896"/>
    <w:rsid w:val="00587E7F"/>
    <w:rsid w:val="00590296"/>
    <w:rsid w:val="00591329"/>
    <w:rsid w:val="00593B5A"/>
    <w:rsid w:val="005941FD"/>
    <w:rsid w:val="00594769"/>
    <w:rsid w:val="0059659A"/>
    <w:rsid w:val="0059678F"/>
    <w:rsid w:val="00597947"/>
    <w:rsid w:val="005A073F"/>
    <w:rsid w:val="005A0D86"/>
    <w:rsid w:val="005A1558"/>
    <w:rsid w:val="005A221E"/>
    <w:rsid w:val="005A249B"/>
    <w:rsid w:val="005A2620"/>
    <w:rsid w:val="005A2946"/>
    <w:rsid w:val="005A3A67"/>
    <w:rsid w:val="005A5E6A"/>
    <w:rsid w:val="005A67F3"/>
    <w:rsid w:val="005A6E74"/>
    <w:rsid w:val="005A75BA"/>
    <w:rsid w:val="005A7AE9"/>
    <w:rsid w:val="005B1010"/>
    <w:rsid w:val="005B1BA2"/>
    <w:rsid w:val="005B1F8E"/>
    <w:rsid w:val="005B20D0"/>
    <w:rsid w:val="005B2943"/>
    <w:rsid w:val="005B2EFE"/>
    <w:rsid w:val="005B4056"/>
    <w:rsid w:val="005B72F4"/>
    <w:rsid w:val="005C1171"/>
    <w:rsid w:val="005C214D"/>
    <w:rsid w:val="005C321D"/>
    <w:rsid w:val="005C36FA"/>
    <w:rsid w:val="005C4839"/>
    <w:rsid w:val="005C54F0"/>
    <w:rsid w:val="005C618F"/>
    <w:rsid w:val="005C6217"/>
    <w:rsid w:val="005C7C27"/>
    <w:rsid w:val="005D173D"/>
    <w:rsid w:val="005D2D57"/>
    <w:rsid w:val="005D322F"/>
    <w:rsid w:val="005D37A3"/>
    <w:rsid w:val="005D3FC4"/>
    <w:rsid w:val="005D47F3"/>
    <w:rsid w:val="005D4CFA"/>
    <w:rsid w:val="005D56BB"/>
    <w:rsid w:val="005D571D"/>
    <w:rsid w:val="005D5AE3"/>
    <w:rsid w:val="005D651C"/>
    <w:rsid w:val="005D6EA7"/>
    <w:rsid w:val="005D7364"/>
    <w:rsid w:val="005E0DF3"/>
    <w:rsid w:val="005E1AA8"/>
    <w:rsid w:val="005E1D1E"/>
    <w:rsid w:val="005E3C0D"/>
    <w:rsid w:val="005E4725"/>
    <w:rsid w:val="005E4884"/>
    <w:rsid w:val="005E4C18"/>
    <w:rsid w:val="005E4C35"/>
    <w:rsid w:val="005E684E"/>
    <w:rsid w:val="005E6E40"/>
    <w:rsid w:val="005E7DD1"/>
    <w:rsid w:val="005F22AD"/>
    <w:rsid w:val="005F248C"/>
    <w:rsid w:val="005F29D6"/>
    <w:rsid w:val="005F2DC3"/>
    <w:rsid w:val="005F3CEB"/>
    <w:rsid w:val="005F3E14"/>
    <w:rsid w:val="005F4267"/>
    <w:rsid w:val="005F46E5"/>
    <w:rsid w:val="005F5575"/>
    <w:rsid w:val="005F5ADF"/>
    <w:rsid w:val="005F5B27"/>
    <w:rsid w:val="005F6045"/>
    <w:rsid w:val="005F628F"/>
    <w:rsid w:val="005F6EEC"/>
    <w:rsid w:val="005F7D19"/>
    <w:rsid w:val="005F7D80"/>
    <w:rsid w:val="00600136"/>
    <w:rsid w:val="0060123E"/>
    <w:rsid w:val="00601D2E"/>
    <w:rsid w:val="00601E68"/>
    <w:rsid w:val="0060282E"/>
    <w:rsid w:val="00602F78"/>
    <w:rsid w:val="006033E3"/>
    <w:rsid w:val="00604A2C"/>
    <w:rsid w:val="00604DEC"/>
    <w:rsid w:val="00605039"/>
    <w:rsid w:val="006051E6"/>
    <w:rsid w:val="00605224"/>
    <w:rsid w:val="0060634C"/>
    <w:rsid w:val="00606C0F"/>
    <w:rsid w:val="006072B6"/>
    <w:rsid w:val="0060738D"/>
    <w:rsid w:val="00611598"/>
    <w:rsid w:val="006125F4"/>
    <w:rsid w:val="00612E56"/>
    <w:rsid w:val="0061340F"/>
    <w:rsid w:val="006139E3"/>
    <w:rsid w:val="00613E45"/>
    <w:rsid w:val="006153AB"/>
    <w:rsid w:val="00615B84"/>
    <w:rsid w:val="00616C21"/>
    <w:rsid w:val="00616F8E"/>
    <w:rsid w:val="006206DD"/>
    <w:rsid w:val="00620DA9"/>
    <w:rsid w:val="00621A38"/>
    <w:rsid w:val="00622F78"/>
    <w:rsid w:val="00623155"/>
    <w:rsid w:val="006234AB"/>
    <w:rsid w:val="00624A9F"/>
    <w:rsid w:val="00625F7A"/>
    <w:rsid w:val="00626128"/>
    <w:rsid w:val="00626F65"/>
    <w:rsid w:val="006278B9"/>
    <w:rsid w:val="00627A55"/>
    <w:rsid w:val="00630204"/>
    <w:rsid w:val="00630DF7"/>
    <w:rsid w:val="00630F66"/>
    <w:rsid w:val="00630FB8"/>
    <w:rsid w:val="0063160D"/>
    <w:rsid w:val="00632C4D"/>
    <w:rsid w:val="0063348A"/>
    <w:rsid w:val="0063356D"/>
    <w:rsid w:val="00633727"/>
    <w:rsid w:val="00635CE4"/>
    <w:rsid w:val="00636635"/>
    <w:rsid w:val="00636812"/>
    <w:rsid w:val="00637FD8"/>
    <w:rsid w:val="00643B07"/>
    <w:rsid w:val="00644F38"/>
    <w:rsid w:val="00645F06"/>
    <w:rsid w:val="006475D0"/>
    <w:rsid w:val="00647F52"/>
    <w:rsid w:val="00650B3E"/>
    <w:rsid w:val="006522B0"/>
    <w:rsid w:val="00652678"/>
    <w:rsid w:val="00652B2C"/>
    <w:rsid w:val="00654623"/>
    <w:rsid w:val="00654BAD"/>
    <w:rsid w:val="00654D3D"/>
    <w:rsid w:val="006553DC"/>
    <w:rsid w:val="00657033"/>
    <w:rsid w:val="0065759A"/>
    <w:rsid w:val="006602DE"/>
    <w:rsid w:val="006609C0"/>
    <w:rsid w:val="00660F77"/>
    <w:rsid w:val="00664D3D"/>
    <w:rsid w:val="00666A1B"/>
    <w:rsid w:val="00666B78"/>
    <w:rsid w:val="00667269"/>
    <w:rsid w:val="006677D7"/>
    <w:rsid w:val="00670E02"/>
    <w:rsid w:val="00672845"/>
    <w:rsid w:val="00672B23"/>
    <w:rsid w:val="00672FE3"/>
    <w:rsid w:val="00673BB8"/>
    <w:rsid w:val="00673D39"/>
    <w:rsid w:val="0067431F"/>
    <w:rsid w:val="00674D78"/>
    <w:rsid w:val="00676937"/>
    <w:rsid w:val="00676D3D"/>
    <w:rsid w:val="006776BD"/>
    <w:rsid w:val="006800CA"/>
    <w:rsid w:val="00680EB9"/>
    <w:rsid w:val="00681774"/>
    <w:rsid w:val="0068233B"/>
    <w:rsid w:val="006834F0"/>
    <w:rsid w:val="006838B6"/>
    <w:rsid w:val="00683904"/>
    <w:rsid w:val="00687ACE"/>
    <w:rsid w:val="00690700"/>
    <w:rsid w:val="00690CD3"/>
    <w:rsid w:val="0069102A"/>
    <w:rsid w:val="00693263"/>
    <w:rsid w:val="00693296"/>
    <w:rsid w:val="00695976"/>
    <w:rsid w:val="006960F1"/>
    <w:rsid w:val="00696D9D"/>
    <w:rsid w:val="00697587"/>
    <w:rsid w:val="00697666"/>
    <w:rsid w:val="00697DE5"/>
    <w:rsid w:val="00697E72"/>
    <w:rsid w:val="006A18CD"/>
    <w:rsid w:val="006A24A6"/>
    <w:rsid w:val="006A24AC"/>
    <w:rsid w:val="006A2AA7"/>
    <w:rsid w:val="006A2C7E"/>
    <w:rsid w:val="006A4958"/>
    <w:rsid w:val="006A58D8"/>
    <w:rsid w:val="006A5C36"/>
    <w:rsid w:val="006A5DD7"/>
    <w:rsid w:val="006A70D9"/>
    <w:rsid w:val="006A7C1E"/>
    <w:rsid w:val="006A7CFC"/>
    <w:rsid w:val="006B057C"/>
    <w:rsid w:val="006B0D42"/>
    <w:rsid w:val="006B108A"/>
    <w:rsid w:val="006B2798"/>
    <w:rsid w:val="006B2831"/>
    <w:rsid w:val="006B2C1E"/>
    <w:rsid w:val="006B2DB9"/>
    <w:rsid w:val="006B2F5B"/>
    <w:rsid w:val="006B4873"/>
    <w:rsid w:val="006B4B48"/>
    <w:rsid w:val="006B53B7"/>
    <w:rsid w:val="006B7830"/>
    <w:rsid w:val="006C23AF"/>
    <w:rsid w:val="006C2C44"/>
    <w:rsid w:val="006C2DC7"/>
    <w:rsid w:val="006C319C"/>
    <w:rsid w:val="006C3280"/>
    <w:rsid w:val="006C46EF"/>
    <w:rsid w:val="006C4CDF"/>
    <w:rsid w:val="006C4E06"/>
    <w:rsid w:val="006C4F7B"/>
    <w:rsid w:val="006C5678"/>
    <w:rsid w:val="006C5927"/>
    <w:rsid w:val="006C6B36"/>
    <w:rsid w:val="006C7035"/>
    <w:rsid w:val="006C71A8"/>
    <w:rsid w:val="006C71F6"/>
    <w:rsid w:val="006D0A42"/>
    <w:rsid w:val="006D19AB"/>
    <w:rsid w:val="006D1EB1"/>
    <w:rsid w:val="006D2A26"/>
    <w:rsid w:val="006D3914"/>
    <w:rsid w:val="006D3F66"/>
    <w:rsid w:val="006D4CFE"/>
    <w:rsid w:val="006D5A43"/>
    <w:rsid w:val="006D6152"/>
    <w:rsid w:val="006D6FA1"/>
    <w:rsid w:val="006D791C"/>
    <w:rsid w:val="006E057B"/>
    <w:rsid w:val="006E0CD7"/>
    <w:rsid w:val="006E26B9"/>
    <w:rsid w:val="006E4B16"/>
    <w:rsid w:val="006E675C"/>
    <w:rsid w:val="006E78E8"/>
    <w:rsid w:val="006E7C2B"/>
    <w:rsid w:val="006E7FC1"/>
    <w:rsid w:val="006F089B"/>
    <w:rsid w:val="006F16E1"/>
    <w:rsid w:val="006F216B"/>
    <w:rsid w:val="006F38E5"/>
    <w:rsid w:val="006F4F3E"/>
    <w:rsid w:val="006F5471"/>
    <w:rsid w:val="006F5F13"/>
    <w:rsid w:val="006F63B7"/>
    <w:rsid w:val="006F6FFC"/>
    <w:rsid w:val="006F74C5"/>
    <w:rsid w:val="00701153"/>
    <w:rsid w:val="0070134C"/>
    <w:rsid w:val="00701F08"/>
    <w:rsid w:val="00702DA3"/>
    <w:rsid w:val="00705943"/>
    <w:rsid w:val="00707856"/>
    <w:rsid w:val="00707D90"/>
    <w:rsid w:val="00710EDE"/>
    <w:rsid w:val="0071154D"/>
    <w:rsid w:val="00711B3E"/>
    <w:rsid w:val="007122E4"/>
    <w:rsid w:val="00713DAF"/>
    <w:rsid w:val="00714870"/>
    <w:rsid w:val="00714B35"/>
    <w:rsid w:val="00715566"/>
    <w:rsid w:val="00715E20"/>
    <w:rsid w:val="00717064"/>
    <w:rsid w:val="0071752E"/>
    <w:rsid w:val="00720764"/>
    <w:rsid w:val="00723BD9"/>
    <w:rsid w:val="00723FD3"/>
    <w:rsid w:val="00724E3A"/>
    <w:rsid w:val="007250F3"/>
    <w:rsid w:val="007255D0"/>
    <w:rsid w:val="00725731"/>
    <w:rsid w:val="00725BD5"/>
    <w:rsid w:val="00725FC0"/>
    <w:rsid w:val="00726102"/>
    <w:rsid w:val="00727AF6"/>
    <w:rsid w:val="007300D0"/>
    <w:rsid w:val="0073072C"/>
    <w:rsid w:val="007310CB"/>
    <w:rsid w:val="00731B40"/>
    <w:rsid w:val="0073326C"/>
    <w:rsid w:val="0073357B"/>
    <w:rsid w:val="00733726"/>
    <w:rsid w:val="0073395C"/>
    <w:rsid w:val="0073497E"/>
    <w:rsid w:val="00734AE6"/>
    <w:rsid w:val="00735908"/>
    <w:rsid w:val="00737CC9"/>
    <w:rsid w:val="00737D33"/>
    <w:rsid w:val="00740311"/>
    <w:rsid w:val="00741464"/>
    <w:rsid w:val="00741D8B"/>
    <w:rsid w:val="00741FA4"/>
    <w:rsid w:val="0074262D"/>
    <w:rsid w:val="00742754"/>
    <w:rsid w:val="00742DEE"/>
    <w:rsid w:val="00743EFD"/>
    <w:rsid w:val="00743F97"/>
    <w:rsid w:val="00744FFF"/>
    <w:rsid w:val="00745003"/>
    <w:rsid w:val="00745829"/>
    <w:rsid w:val="00746FF3"/>
    <w:rsid w:val="00747365"/>
    <w:rsid w:val="007475D7"/>
    <w:rsid w:val="00747F79"/>
    <w:rsid w:val="007508EA"/>
    <w:rsid w:val="00751752"/>
    <w:rsid w:val="00751D83"/>
    <w:rsid w:val="0075227E"/>
    <w:rsid w:val="007524E8"/>
    <w:rsid w:val="00752774"/>
    <w:rsid w:val="0075315E"/>
    <w:rsid w:val="0075491E"/>
    <w:rsid w:val="007555B0"/>
    <w:rsid w:val="00755E9E"/>
    <w:rsid w:val="0075636D"/>
    <w:rsid w:val="0075687E"/>
    <w:rsid w:val="00761EB7"/>
    <w:rsid w:val="0076244C"/>
    <w:rsid w:val="007628FC"/>
    <w:rsid w:val="00762A32"/>
    <w:rsid w:val="00763045"/>
    <w:rsid w:val="00763610"/>
    <w:rsid w:val="007639E9"/>
    <w:rsid w:val="00763EED"/>
    <w:rsid w:val="00764D29"/>
    <w:rsid w:val="00766D44"/>
    <w:rsid w:val="00766DE5"/>
    <w:rsid w:val="00767752"/>
    <w:rsid w:val="00767C07"/>
    <w:rsid w:val="0077011F"/>
    <w:rsid w:val="0077280E"/>
    <w:rsid w:val="0077284B"/>
    <w:rsid w:val="00772AE9"/>
    <w:rsid w:val="0077321F"/>
    <w:rsid w:val="007754D8"/>
    <w:rsid w:val="0077789E"/>
    <w:rsid w:val="0078138B"/>
    <w:rsid w:val="00782109"/>
    <w:rsid w:val="00783314"/>
    <w:rsid w:val="0078749D"/>
    <w:rsid w:val="00787CF8"/>
    <w:rsid w:val="00790836"/>
    <w:rsid w:val="00790D2F"/>
    <w:rsid w:val="007910C1"/>
    <w:rsid w:val="007916D2"/>
    <w:rsid w:val="00791841"/>
    <w:rsid w:val="00791D9E"/>
    <w:rsid w:val="00792D21"/>
    <w:rsid w:val="00793198"/>
    <w:rsid w:val="007938CC"/>
    <w:rsid w:val="00793E40"/>
    <w:rsid w:val="00794113"/>
    <w:rsid w:val="00794CB7"/>
    <w:rsid w:val="007967F5"/>
    <w:rsid w:val="0079708A"/>
    <w:rsid w:val="0079722E"/>
    <w:rsid w:val="0079754C"/>
    <w:rsid w:val="007979E2"/>
    <w:rsid w:val="007A02F0"/>
    <w:rsid w:val="007A0A7C"/>
    <w:rsid w:val="007A1D95"/>
    <w:rsid w:val="007A3175"/>
    <w:rsid w:val="007A350B"/>
    <w:rsid w:val="007A3B82"/>
    <w:rsid w:val="007A6550"/>
    <w:rsid w:val="007A7C37"/>
    <w:rsid w:val="007B0A84"/>
    <w:rsid w:val="007B0C81"/>
    <w:rsid w:val="007B234E"/>
    <w:rsid w:val="007B427C"/>
    <w:rsid w:val="007B4A12"/>
    <w:rsid w:val="007B58F5"/>
    <w:rsid w:val="007B5A38"/>
    <w:rsid w:val="007C0C4D"/>
    <w:rsid w:val="007C1842"/>
    <w:rsid w:val="007C3028"/>
    <w:rsid w:val="007C383D"/>
    <w:rsid w:val="007C3904"/>
    <w:rsid w:val="007C63D6"/>
    <w:rsid w:val="007C6AA2"/>
    <w:rsid w:val="007D08C3"/>
    <w:rsid w:val="007D1260"/>
    <w:rsid w:val="007D298E"/>
    <w:rsid w:val="007D2A0B"/>
    <w:rsid w:val="007D2C24"/>
    <w:rsid w:val="007D2D77"/>
    <w:rsid w:val="007D302A"/>
    <w:rsid w:val="007D3778"/>
    <w:rsid w:val="007D52BA"/>
    <w:rsid w:val="007D5613"/>
    <w:rsid w:val="007D56F0"/>
    <w:rsid w:val="007D5C11"/>
    <w:rsid w:val="007D6E17"/>
    <w:rsid w:val="007E13EB"/>
    <w:rsid w:val="007E27D8"/>
    <w:rsid w:val="007E4194"/>
    <w:rsid w:val="007E425F"/>
    <w:rsid w:val="007E4570"/>
    <w:rsid w:val="007E488B"/>
    <w:rsid w:val="007E4903"/>
    <w:rsid w:val="007E4B08"/>
    <w:rsid w:val="007E7E41"/>
    <w:rsid w:val="007F0E86"/>
    <w:rsid w:val="007F2CD5"/>
    <w:rsid w:val="007F4058"/>
    <w:rsid w:val="007F4D78"/>
    <w:rsid w:val="007F6520"/>
    <w:rsid w:val="007F77DC"/>
    <w:rsid w:val="008010EC"/>
    <w:rsid w:val="00801471"/>
    <w:rsid w:val="00801C6C"/>
    <w:rsid w:val="00802C6C"/>
    <w:rsid w:val="008033F3"/>
    <w:rsid w:val="008038DC"/>
    <w:rsid w:val="00804725"/>
    <w:rsid w:val="00804D2D"/>
    <w:rsid w:val="008054F8"/>
    <w:rsid w:val="00805A82"/>
    <w:rsid w:val="00807BFD"/>
    <w:rsid w:val="00807E7B"/>
    <w:rsid w:val="008102A8"/>
    <w:rsid w:val="0081058C"/>
    <w:rsid w:val="00811467"/>
    <w:rsid w:val="0081288C"/>
    <w:rsid w:val="0081288D"/>
    <w:rsid w:val="00812D90"/>
    <w:rsid w:val="008130A6"/>
    <w:rsid w:val="00813908"/>
    <w:rsid w:val="00813EAE"/>
    <w:rsid w:val="00814923"/>
    <w:rsid w:val="00815322"/>
    <w:rsid w:val="008165FB"/>
    <w:rsid w:val="0081673E"/>
    <w:rsid w:val="00816F82"/>
    <w:rsid w:val="00820469"/>
    <w:rsid w:val="00820EF2"/>
    <w:rsid w:val="008228FE"/>
    <w:rsid w:val="00823A0F"/>
    <w:rsid w:val="00824291"/>
    <w:rsid w:val="008243A5"/>
    <w:rsid w:val="0082471B"/>
    <w:rsid w:val="00824A9D"/>
    <w:rsid w:val="00824FCD"/>
    <w:rsid w:val="008253A9"/>
    <w:rsid w:val="008278C0"/>
    <w:rsid w:val="00827C16"/>
    <w:rsid w:val="00827FFD"/>
    <w:rsid w:val="00830623"/>
    <w:rsid w:val="008317F2"/>
    <w:rsid w:val="00832B98"/>
    <w:rsid w:val="00833141"/>
    <w:rsid w:val="0083359B"/>
    <w:rsid w:val="00835720"/>
    <w:rsid w:val="00836E63"/>
    <w:rsid w:val="00840BBB"/>
    <w:rsid w:val="008411E9"/>
    <w:rsid w:val="0084136C"/>
    <w:rsid w:val="0084167C"/>
    <w:rsid w:val="00842ECF"/>
    <w:rsid w:val="00842FF4"/>
    <w:rsid w:val="008438C8"/>
    <w:rsid w:val="00844688"/>
    <w:rsid w:val="00844840"/>
    <w:rsid w:val="0084491B"/>
    <w:rsid w:val="00844E2A"/>
    <w:rsid w:val="00844EF0"/>
    <w:rsid w:val="00846653"/>
    <w:rsid w:val="008476E7"/>
    <w:rsid w:val="00847E70"/>
    <w:rsid w:val="00850A53"/>
    <w:rsid w:val="00850A8F"/>
    <w:rsid w:val="00850B62"/>
    <w:rsid w:val="0085196F"/>
    <w:rsid w:val="00851AB6"/>
    <w:rsid w:val="008523BC"/>
    <w:rsid w:val="00852D1F"/>
    <w:rsid w:val="00853A4C"/>
    <w:rsid w:val="008546AA"/>
    <w:rsid w:val="008549C4"/>
    <w:rsid w:val="00856020"/>
    <w:rsid w:val="00862013"/>
    <w:rsid w:val="0086299B"/>
    <w:rsid w:val="00862DA4"/>
    <w:rsid w:val="00863046"/>
    <w:rsid w:val="008633FA"/>
    <w:rsid w:val="00863432"/>
    <w:rsid w:val="00863CCE"/>
    <w:rsid w:val="00863E28"/>
    <w:rsid w:val="0086487F"/>
    <w:rsid w:val="00864C7F"/>
    <w:rsid w:val="0086503E"/>
    <w:rsid w:val="00867A99"/>
    <w:rsid w:val="00867D10"/>
    <w:rsid w:val="00870518"/>
    <w:rsid w:val="00871010"/>
    <w:rsid w:val="0087143C"/>
    <w:rsid w:val="00873340"/>
    <w:rsid w:val="00873969"/>
    <w:rsid w:val="00881A80"/>
    <w:rsid w:val="00881D1B"/>
    <w:rsid w:val="0088223A"/>
    <w:rsid w:val="008837EF"/>
    <w:rsid w:val="0088455A"/>
    <w:rsid w:val="00884E1D"/>
    <w:rsid w:val="00885370"/>
    <w:rsid w:val="00885C43"/>
    <w:rsid w:val="00885F8E"/>
    <w:rsid w:val="00886B50"/>
    <w:rsid w:val="00890290"/>
    <w:rsid w:val="00890A75"/>
    <w:rsid w:val="00890B57"/>
    <w:rsid w:val="00891DE7"/>
    <w:rsid w:val="00891F2A"/>
    <w:rsid w:val="00892D38"/>
    <w:rsid w:val="0089459E"/>
    <w:rsid w:val="00894FCF"/>
    <w:rsid w:val="008957E4"/>
    <w:rsid w:val="00895D96"/>
    <w:rsid w:val="008A0C42"/>
    <w:rsid w:val="008A0CE2"/>
    <w:rsid w:val="008A1406"/>
    <w:rsid w:val="008A16D6"/>
    <w:rsid w:val="008A19D8"/>
    <w:rsid w:val="008A1FC2"/>
    <w:rsid w:val="008A238D"/>
    <w:rsid w:val="008A2514"/>
    <w:rsid w:val="008A2A13"/>
    <w:rsid w:val="008A2A76"/>
    <w:rsid w:val="008A2A8B"/>
    <w:rsid w:val="008A4642"/>
    <w:rsid w:val="008A4A10"/>
    <w:rsid w:val="008A4B0D"/>
    <w:rsid w:val="008A4DC3"/>
    <w:rsid w:val="008A4EBC"/>
    <w:rsid w:val="008A6C58"/>
    <w:rsid w:val="008B111D"/>
    <w:rsid w:val="008B12AB"/>
    <w:rsid w:val="008B19C8"/>
    <w:rsid w:val="008B24F9"/>
    <w:rsid w:val="008B684D"/>
    <w:rsid w:val="008C0444"/>
    <w:rsid w:val="008C0B7C"/>
    <w:rsid w:val="008C22DA"/>
    <w:rsid w:val="008C29CE"/>
    <w:rsid w:val="008C30F6"/>
    <w:rsid w:val="008C3F1C"/>
    <w:rsid w:val="008C4417"/>
    <w:rsid w:val="008C5E5B"/>
    <w:rsid w:val="008C6FEC"/>
    <w:rsid w:val="008C7A13"/>
    <w:rsid w:val="008D0698"/>
    <w:rsid w:val="008D10A9"/>
    <w:rsid w:val="008D125A"/>
    <w:rsid w:val="008D2862"/>
    <w:rsid w:val="008D2FB8"/>
    <w:rsid w:val="008D308E"/>
    <w:rsid w:val="008D488F"/>
    <w:rsid w:val="008D4B0E"/>
    <w:rsid w:val="008D4B1D"/>
    <w:rsid w:val="008D6240"/>
    <w:rsid w:val="008D69CD"/>
    <w:rsid w:val="008D7BDF"/>
    <w:rsid w:val="008D7E7A"/>
    <w:rsid w:val="008E02CC"/>
    <w:rsid w:val="008E0D71"/>
    <w:rsid w:val="008E130A"/>
    <w:rsid w:val="008E18C6"/>
    <w:rsid w:val="008E1B46"/>
    <w:rsid w:val="008E40FB"/>
    <w:rsid w:val="008E4DEE"/>
    <w:rsid w:val="008E62C3"/>
    <w:rsid w:val="008E6C43"/>
    <w:rsid w:val="008E72F2"/>
    <w:rsid w:val="008F02C2"/>
    <w:rsid w:val="008F0C63"/>
    <w:rsid w:val="008F1C52"/>
    <w:rsid w:val="008F236D"/>
    <w:rsid w:val="008F43E6"/>
    <w:rsid w:val="008F4DC3"/>
    <w:rsid w:val="008F4FE1"/>
    <w:rsid w:val="008F5A3A"/>
    <w:rsid w:val="008F5F6E"/>
    <w:rsid w:val="008F6075"/>
    <w:rsid w:val="008F6407"/>
    <w:rsid w:val="00900280"/>
    <w:rsid w:val="0090154D"/>
    <w:rsid w:val="00901EFB"/>
    <w:rsid w:val="00905B2D"/>
    <w:rsid w:val="00905BEF"/>
    <w:rsid w:val="009060BE"/>
    <w:rsid w:val="009063D2"/>
    <w:rsid w:val="00906CB2"/>
    <w:rsid w:val="009110FA"/>
    <w:rsid w:val="009144C3"/>
    <w:rsid w:val="00915125"/>
    <w:rsid w:val="00915574"/>
    <w:rsid w:val="00916848"/>
    <w:rsid w:val="0091686A"/>
    <w:rsid w:val="00916BB3"/>
    <w:rsid w:val="00916D41"/>
    <w:rsid w:val="009170E0"/>
    <w:rsid w:val="009172CA"/>
    <w:rsid w:val="00917DA5"/>
    <w:rsid w:val="0092012F"/>
    <w:rsid w:val="00920A3E"/>
    <w:rsid w:val="00920BFE"/>
    <w:rsid w:val="00921299"/>
    <w:rsid w:val="00923C8D"/>
    <w:rsid w:val="009267D3"/>
    <w:rsid w:val="009267D7"/>
    <w:rsid w:val="00927407"/>
    <w:rsid w:val="00927865"/>
    <w:rsid w:val="009279E8"/>
    <w:rsid w:val="0093077C"/>
    <w:rsid w:val="00930DA8"/>
    <w:rsid w:val="00930F2F"/>
    <w:rsid w:val="00931860"/>
    <w:rsid w:val="00931C36"/>
    <w:rsid w:val="00932757"/>
    <w:rsid w:val="0093294A"/>
    <w:rsid w:val="00932D7A"/>
    <w:rsid w:val="00933C2D"/>
    <w:rsid w:val="00933D65"/>
    <w:rsid w:val="009355E0"/>
    <w:rsid w:val="0093685F"/>
    <w:rsid w:val="00937DD4"/>
    <w:rsid w:val="00940331"/>
    <w:rsid w:val="009403A0"/>
    <w:rsid w:val="00940725"/>
    <w:rsid w:val="00941BC6"/>
    <w:rsid w:val="009425DB"/>
    <w:rsid w:val="009431FA"/>
    <w:rsid w:val="009432E2"/>
    <w:rsid w:val="00943D69"/>
    <w:rsid w:val="00944A44"/>
    <w:rsid w:val="009458B5"/>
    <w:rsid w:val="009476D9"/>
    <w:rsid w:val="00947B0D"/>
    <w:rsid w:val="009516A9"/>
    <w:rsid w:val="00951A53"/>
    <w:rsid w:val="009529F5"/>
    <w:rsid w:val="0095406A"/>
    <w:rsid w:val="00955200"/>
    <w:rsid w:val="00955A0D"/>
    <w:rsid w:val="00957838"/>
    <w:rsid w:val="00957E5C"/>
    <w:rsid w:val="009622B1"/>
    <w:rsid w:val="009637CB"/>
    <w:rsid w:val="00966217"/>
    <w:rsid w:val="009662A6"/>
    <w:rsid w:val="009662CE"/>
    <w:rsid w:val="009671EA"/>
    <w:rsid w:val="009700B3"/>
    <w:rsid w:val="0097024E"/>
    <w:rsid w:val="00970A88"/>
    <w:rsid w:val="009712B3"/>
    <w:rsid w:val="009730BE"/>
    <w:rsid w:val="00973BC9"/>
    <w:rsid w:val="00974AF1"/>
    <w:rsid w:val="00974EF9"/>
    <w:rsid w:val="00974FD3"/>
    <w:rsid w:val="0097517E"/>
    <w:rsid w:val="00976097"/>
    <w:rsid w:val="009761C9"/>
    <w:rsid w:val="009771B0"/>
    <w:rsid w:val="00977A65"/>
    <w:rsid w:val="00980FAA"/>
    <w:rsid w:val="00981E1C"/>
    <w:rsid w:val="00982BC4"/>
    <w:rsid w:val="009834A8"/>
    <w:rsid w:val="0098352F"/>
    <w:rsid w:val="00984C8A"/>
    <w:rsid w:val="00984E11"/>
    <w:rsid w:val="0098751C"/>
    <w:rsid w:val="00987B5C"/>
    <w:rsid w:val="00990A77"/>
    <w:rsid w:val="00991640"/>
    <w:rsid w:val="00991A3C"/>
    <w:rsid w:val="00992668"/>
    <w:rsid w:val="009930FB"/>
    <w:rsid w:val="0099338C"/>
    <w:rsid w:val="009952BF"/>
    <w:rsid w:val="00997754"/>
    <w:rsid w:val="009977C1"/>
    <w:rsid w:val="00997FB1"/>
    <w:rsid w:val="009A0496"/>
    <w:rsid w:val="009A0807"/>
    <w:rsid w:val="009A126F"/>
    <w:rsid w:val="009A1429"/>
    <w:rsid w:val="009A1674"/>
    <w:rsid w:val="009A2924"/>
    <w:rsid w:val="009A32A1"/>
    <w:rsid w:val="009A3EDD"/>
    <w:rsid w:val="009A57B9"/>
    <w:rsid w:val="009A6A74"/>
    <w:rsid w:val="009A7D79"/>
    <w:rsid w:val="009A7E52"/>
    <w:rsid w:val="009B175B"/>
    <w:rsid w:val="009B17FE"/>
    <w:rsid w:val="009B29A6"/>
    <w:rsid w:val="009B43C5"/>
    <w:rsid w:val="009B6875"/>
    <w:rsid w:val="009B6923"/>
    <w:rsid w:val="009B79EE"/>
    <w:rsid w:val="009B7B37"/>
    <w:rsid w:val="009B7D2C"/>
    <w:rsid w:val="009C1475"/>
    <w:rsid w:val="009C178C"/>
    <w:rsid w:val="009C23E0"/>
    <w:rsid w:val="009C2B0C"/>
    <w:rsid w:val="009C2BB4"/>
    <w:rsid w:val="009C39E1"/>
    <w:rsid w:val="009C3B61"/>
    <w:rsid w:val="009C5006"/>
    <w:rsid w:val="009C551A"/>
    <w:rsid w:val="009C554B"/>
    <w:rsid w:val="009C6934"/>
    <w:rsid w:val="009C6BC6"/>
    <w:rsid w:val="009C6EDD"/>
    <w:rsid w:val="009D0F6C"/>
    <w:rsid w:val="009D12E7"/>
    <w:rsid w:val="009D20D6"/>
    <w:rsid w:val="009D43E4"/>
    <w:rsid w:val="009D4AFD"/>
    <w:rsid w:val="009D679E"/>
    <w:rsid w:val="009D694C"/>
    <w:rsid w:val="009D6B15"/>
    <w:rsid w:val="009D7237"/>
    <w:rsid w:val="009D76AF"/>
    <w:rsid w:val="009E1013"/>
    <w:rsid w:val="009E1650"/>
    <w:rsid w:val="009E27E4"/>
    <w:rsid w:val="009E3C2D"/>
    <w:rsid w:val="009E4107"/>
    <w:rsid w:val="009E411E"/>
    <w:rsid w:val="009E476D"/>
    <w:rsid w:val="009E4905"/>
    <w:rsid w:val="009E5C1F"/>
    <w:rsid w:val="009E675F"/>
    <w:rsid w:val="009F054C"/>
    <w:rsid w:val="009F1B65"/>
    <w:rsid w:val="009F2CDF"/>
    <w:rsid w:val="009F4358"/>
    <w:rsid w:val="009F4A0B"/>
    <w:rsid w:val="009F7425"/>
    <w:rsid w:val="00A0016D"/>
    <w:rsid w:val="00A0040C"/>
    <w:rsid w:val="00A03DD2"/>
    <w:rsid w:val="00A04183"/>
    <w:rsid w:val="00A0470B"/>
    <w:rsid w:val="00A05643"/>
    <w:rsid w:val="00A05BDC"/>
    <w:rsid w:val="00A066EB"/>
    <w:rsid w:val="00A076FC"/>
    <w:rsid w:val="00A07C90"/>
    <w:rsid w:val="00A117EC"/>
    <w:rsid w:val="00A119A0"/>
    <w:rsid w:val="00A11DC0"/>
    <w:rsid w:val="00A140FF"/>
    <w:rsid w:val="00A147A0"/>
    <w:rsid w:val="00A15541"/>
    <w:rsid w:val="00A15D7E"/>
    <w:rsid w:val="00A165DE"/>
    <w:rsid w:val="00A16C21"/>
    <w:rsid w:val="00A17968"/>
    <w:rsid w:val="00A17DA7"/>
    <w:rsid w:val="00A17E34"/>
    <w:rsid w:val="00A206B7"/>
    <w:rsid w:val="00A208B3"/>
    <w:rsid w:val="00A220D6"/>
    <w:rsid w:val="00A22D2F"/>
    <w:rsid w:val="00A23597"/>
    <w:rsid w:val="00A2401C"/>
    <w:rsid w:val="00A25DC4"/>
    <w:rsid w:val="00A25E51"/>
    <w:rsid w:val="00A269C2"/>
    <w:rsid w:val="00A272C8"/>
    <w:rsid w:val="00A278E1"/>
    <w:rsid w:val="00A30A68"/>
    <w:rsid w:val="00A30BA3"/>
    <w:rsid w:val="00A30CBC"/>
    <w:rsid w:val="00A33693"/>
    <w:rsid w:val="00A36C44"/>
    <w:rsid w:val="00A37CF9"/>
    <w:rsid w:val="00A37F81"/>
    <w:rsid w:val="00A414EA"/>
    <w:rsid w:val="00A419DD"/>
    <w:rsid w:val="00A41D55"/>
    <w:rsid w:val="00A43BB8"/>
    <w:rsid w:val="00A443BC"/>
    <w:rsid w:val="00A44DE9"/>
    <w:rsid w:val="00A45733"/>
    <w:rsid w:val="00A457C8"/>
    <w:rsid w:val="00A4627C"/>
    <w:rsid w:val="00A46822"/>
    <w:rsid w:val="00A511F8"/>
    <w:rsid w:val="00A5354E"/>
    <w:rsid w:val="00A53625"/>
    <w:rsid w:val="00A55509"/>
    <w:rsid w:val="00A57DE4"/>
    <w:rsid w:val="00A6014B"/>
    <w:rsid w:val="00A60815"/>
    <w:rsid w:val="00A61B1C"/>
    <w:rsid w:val="00A6245C"/>
    <w:rsid w:val="00A64070"/>
    <w:rsid w:val="00A656F0"/>
    <w:rsid w:val="00A66012"/>
    <w:rsid w:val="00A664EA"/>
    <w:rsid w:val="00A66547"/>
    <w:rsid w:val="00A66F02"/>
    <w:rsid w:val="00A67653"/>
    <w:rsid w:val="00A71908"/>
    <w:rsid w:val="00A73441"/>
    <w:rsid w:val="00A73517"/>
    <w:rsid w:val="00A73674"/>
    <w:rsid w:val="00A737EB"/>
    <w:rsid w:val="00A73C88"/>
    <w:rsid w:val="00A75EC3"/>
    <w:rsid w:val="00A762C5"/>
    <w:rsid w:val="00A77324"/>
    <w:rsid w:val="00A7771A"/>
    <w:rsid w:val="00A77BAA"/>
    <w:rsid w:val="00A81163"/>
    <w:rsid w:val="00A8142C"/>
    <w:rsid w:val="00A81C64"/>
    <w:rsid w:val="00A81E82"/>
    <w:rsid w:val="00A850EC"/>
    <w:rsid w:val="00A868F7"/>
    <w:rsid w:val="00A86CAE"/>
    <w:rsid w:val="00A87B6A"/>
    <w:rsid w:val="00A90108"/>
    <w:rsid w:val="00A91E04"/>
    <w:rsid w:val="00A91FC6"/>
    <w:rsid w:val="00A92401"/>
    <w:rsid w:val="00A93362"/>
    <w:rsid w:val="00A93F75"/>
    <w:rsid w:val="00A942A9"/>
    <w:rsid w:val="00A943C9"/>
    <w:rsid w:val="00A94470"/>
    <w:rsid w:val="00A95F31"/>
    <w:rsid w:val="00A96399"/>
    <w:rsid w:val="00A96A5C"/>
    <w:rsid w:val="00A97146"/>
    <w:rsid w:val="00AA0D24"/>
    <w:rsid w:val="00AA10F8"/>
    <w:rsid w:val="00AA1A90"/>
    <w:rsid w:val="00AA2FDB"/>
    <w:rsid w:val="00AA2FDF"/>
    <w:rsid w:val="00AA3FF9"/>
    <w:rsid w:val="00AA4808"/>
    <w:rsid w:val="00AA4869"/>
    <w:rsid w:val="00AA48AF"/>
    <w:rsid w:val="00AA5D05"/>
    <w:rsid w:val="00AA74F1"/>
    <w:rsid w:val="00AA7768"/>
    <w:rsid w:val="00AB31AC"/>
    <w:rsid w:val="00AB46AD"/>
    <w:rsid w:val="00AB59B2"/>
    <w:rsid w:val="00AB5C0F"/>
    <w:rsid w:val="00AB7B56"/>
    <w:rsid w:val="00AB7D82"/>
    <w:rsid w:val="00AC168E"/>
    <w:rsid w:val="00AC2030"/>
    <w:rsid w:val="00AC2A42"/>
    <w:rsid w:val="00AC373B"/>
    <w:rsid w:val="00AC38EC"/>
    <w:rsid w:val="00AC3BF4"/>
    <w:rsid w:val="00AC5139"/>
    <w:rsid w:val="00AC5D25"/>
    <w:rsid w:val="00AC618B"/>
    <w:rsid w:val="00AC6703"/>
    <w:rsid w:val="00AD17BA"/>
    <w:rsid w:val="00AD1E37"/>
    <w:rsid w:val="00AD252D"/>
    <w:rsid w:val="00AD2E5A"/>
    <w:rsid w:val="00AD2F0D"/>
    <w:rsid w:val="00AD2F77"/>
    <w:rsid w:val="00AD386A"/>
    <w:rsid w:val="00AD539A"/>
    <w:rsid w:val="00AD5B8D"/>
    <w:rsid w:val="00AD63F5"/>
    <w:rsid w:val="00AD6F87"/>
    <w:rsid w:val="00AE0DCC"/>
    <w:rsid w:val="00AE2017"/>
    <w:rsid w:val="00AE2351"/>
    <w:rsid w:val="00AE23DE"/>
    <w:rsid w:val="00AE255E"/>
    <w:rsid w:val="00AE267A"/>
    <w:rsid w:val="00AE32CF"/>
    <w:rsid w:val="00AE42DA"/>
    <w:rsid w:val="00AE43D5"/>
    <w:rsid w:val="00AF0852"/>
    <w:rsid w:val="00AF1552"/>
    <w:rsid w:val="00AF1576"/>
    <w:rsid w:val="00AF1827"/>
    <w:rsid w:val="00AF31B3"/>
    <w:rsid w:val="00AF327B"/>
    <w:rsid w:val="00AF411A"/>
    <w:rsid w:val="00AF702B"/>
    <w:rsid w:val="00AF74B5"/>
    <w:rsid w:val="00B001F7"/>
    <w:rsid w:val="00B00C85"/>
    <w:rsid w:val="00B02250"/>
    <w:rsid w:val="00B03839"/>
    <w:rsid w:val="00B05134"/>
    <w:rsid w:val="00B05774"/>
    <w:rsid w:val="00B069F0"/>
    <w:rsid w:val="00B1000D"/>
    <w:rsid w:val="00B109E0"/>
    <w:rsid w:val="00B1188A"/>
    <w:rsid w:val="00B12335"/>
    <w:rsid w:val="00B13258"/>
    <w:rsid w:val="00B13822"/>
    <w:rsid w:val="00B1491A"/>
    <w:rsid w:val="00B158AB"/>
    <w:rsid w:val="00B15C43"/>
    <w:rsid w:val="00B15DED"/>
    <w:rsid w:val="00B16A1C"/>
    <w:rsid w:val="00B16B65"/>
    <w:rsid w:val="00B16F90"/>
    <w:rsid w:val="00B16FAD"/>
    <w:rsid w:val="00B17C1F"/>
    <w:rsid w:val="00B23581"/>
    <w:rsid w:val="00B249AB"/>
    <w:rsid w:val="00B25057"/>
    <w:rsid w:val="00B25A30"/>
    <w:rsid w:val="00B26388"/>
    <w:rsid w:val="00B2675C"/>
    <w:rsid w:val="00B2682E"/>
    <w:rsid w:val="00B26C5D"/>
    <w:rsid w:val="00B26D67"/>
    <w:rsid w:val="00B309D4"/>
    <w:rsid w:val="00B30D4B"/>
    <w:rsid w:val="00B30F21"/>
    <w:rsid w:val="00B30F2B"/>
    <w:rsid w:val="00B31EE0"/>
    <w:rsid w:val="00B320E6"/>
    <w:rsid w:val="00B34F7E"/>
    <w:rsid w:val="00B35666"/>
    <w:rsid w:val="00B363D6"/>
    <w:rsid w:val="00B36581"/>
    <w:rsid w:val="00B4219B"/>
    <w:rsid w:val="00B4463E"/>
    <w:rsid w:val="00B459E5"/>
    <w:rsid w:val="00B46330"/>
    <w:rsid w:val="00B540BB"/>
    <w:rsid w:val="00B54374"/>
    <w:rsid w:val="00B5545C"/>
    <w:rsid w:val="00B604FB"/>
    <w:rsid w:val="00B60EFB"/>
    <w:rsid w:val="00B613C3"/>
    <w:rsid w:val="00B617C8"/>
    <w:rsid w:val="00B61FEC"/>
    <w:rsid w:val="00B62E5F"/>
    <w:rsid w:val="00B63393"/>
    <w:rsid w:val="00B63C91"/>
    <w:rsid w:val="00B648B1"/>
    <w:rsid w:val="00B64B03"/>
    <w:rsid w:val="00B65874"/>
    <w:rsid w:val="00B65CB2"/>
    <w:rsid w:val="00B66122"/>
    <w:rsid w:val="00B661CD"/>
    <w:rsid w:val="00B665CD"/>
    <w:rsid w:val="00B66C6A"/>
    <w:rsid w:val="00B70629"/>
    <w:rsid w:val="00B70698"/>
    <w:rsid w:val="00B719B4"/>
    <w:rsid w:val="00B71D5C"/>
    <w:rsid w:val="00B72662"/>
    <w:rsid w:val="00B73734"/>
    <w:rsid w:val="00B73B18"/>
    <w:rsid w:val="00B74F47"/>
    <w:rsid w:val="00B758F4"/>
    <w:rsid w:val="00B778DA"/>
    <w:rsid w:val="00B77F3D"/>
    <w:rsid w:val="00B80AA6"/>
    <w:rsid w:val="00B82B47"/>
    <w:rsid w:val="00B84528"/>
    <w:rsid w:val="00B854E6"/>
    <w:rsid w:val="00B875BD"/>
    <w:rsid w:val="00B90554"/>
    <w:rsid w:val="00B929BA"/>
    <w:rsid w:val="00B9358A"/>
    <w:rsid w:val="00B937D1"/>
    <w:rsid w:val="00B943B5"/>
    <w:rsid w:val="00B94B44"/>
    <w:rsid w:val="00B94E3E"/>
    <w:rsid w:val="00B96F86"/>
    <w:rsid w:val="00B9700E"/>
    <w:rsid w:val="00B97D0C"/>
    <w:rsid w:val="00BA0474"/>
    <w:rsid w:val="00BA0812"/>
    <w:rsid w:val="00BA0B78"/>
    <w:rsid w:val="00BA109E"/>
    <w:rsid w:val="00BA1604"/>
    <w:rsid w:val="00BA2038"/>
    <w:rsid w:val="00BA280A"/>
    <w:rsid w:val="00BA35EF"/>
    <w:rsid w:val="00BA3B10"/>
    <w:rsid w:val="00BA3D41"/>
    <w:rsid w:val="00BA4196"/>
    <w:rsid w:val="00BA62A0"/>
    <w:rsid w:val="00BA6DBA"/>
    <w:rsid w:val="00BA7EF5"/>
    <w:rsid w:val="00BB03E6"/>
    <w:rsid w:val="00BB2DB8"/>
    <w:rsid w:val="00BB3D5A"/>
    <w:rsid w:val="00BB49C1"/>
    <w:rsid w:val="00BB6167"/>
    <w:rsid w:val="00BB7253"/>
    <w:rsid w:val="00BC1511"/>
    <w:rsid w:val="00BC17E8"/>
    <w:rsid w:val="00BC18AD"/>
    <w:rsid w:val="00BC1AA0"/>
    <w:rsid w:val="00BC1D27"/>
    <w:rsid w:val="00BC2DAD"/>
    <w:rsid w:val="00BC3A76"/>
    <w:rsid w:val="00BC4A13"/>
    <w:rsid w:val="00BC4ACA"/>
    <w:rsid w:val="00BC52FE"/>
    <w:rsid w:val="00BC6080"/>
    <w:rsid w:val="00BC73DE"/>
    <w:rsid w:val="00BC765E"/>
    <w:rsid w:val="00BC7DEB"/>
    <w:rsid w:val="00BD36E0"/>
    <w:rsid w:val="00BD3F2E"/>
    <w:rsid w:val="00BD4A6A"/>
    <w:rsid w:val="00BD6412"/>
    <w:rsid w:val="00BD77FD"/>
    <w:rsid w:val="00BD7A75"/>
    <w:rsid w:val="00BE11FC"/>
    <w:rsid w:val="00BE2326"/>
    <w:rsid w:val="00BE4066"/>
    <w:rsid w:val="00BE4C99"/>
    <w:rsid w:val="00BE59FC"/>
    <w:rsid w:val="00BE6AB7"/>
    <w:rsid w:val="00BE6CE6"/>
    <w:rsid w:val="00BE6F83"/>
    <w:rsid w:val="00BE711F"/>
    <w:rsid w:val="00BE755E"/>
    <w:rsid w:val="00BE7CAB"/>
    <w:rsid w:val="00BF18DD"/>
    <w:rsid w:val="00BF2942"/>
    <w:rsid w:val="00BF297A"/>
    <w:rsid w:val="00BF2F2C"/>
    <w:rsid w:val="00BF32AF"/>
    <w:rsid w:val="00BF5E08"/>
    <w:rsid w:val="00BF6510"/>
    <w:rsid w:val="00BF67FB"/>
    <w:rsid w:val="00BF6AF0"/>
    <w:rsid w:val="00BF6CDA"/>
    <w:rsid w:val="00BF7882"/>
    <w:rsid w:val="00BF7DBE"/>
    <w:rsid w:val="00C011B2"/>
    <w:rsid w:val="00C01C27"/>
    <w:rsid w:val="00C0263C"/>
    <w:rsid w:val="00C0306B"/>
    <w:rsid w:val="00C0371A"/>
    <w:rsid w:val="00C04554"/>
    <w:rsid w:val="00C05441"/>
    <w:rsid w:val="00C058B7"/>
    <w:rsid w:val="00C05AA6"/>
    <w:rsid w:val="00C05C85"/>
    <w:rsid w:val="00C065B8"/>
    <w:rsid w:val="00C068EF"/>
    <w:rsid w:val="00C10B24"/>
    <w:rsid w:val="00C14339"/>
    <w:rsid w:val="00C151E0"/>
    <w:rsid w:val="00C15BBB"/>
    <w:rsid w:val="00C162EE"/>
    <w:rsid w:val="00C1711B"/>
    <w:rsid w:val="00C203EF"/>
    <w:rsid w:val="00C205DF"/>
    <w:rsid w:val="00C209EA"/>
    <w:rsid w:val="00C212D1"/>
    <w:rsid w:val="00C2166E"/>
    <w:rsid w:val="00C22F77"/>
    <w:rsid w:val="00C23D59"/>
    <w:rsid w:val="00C24068"/>
    <w:rsid w:val="00C2441F"/>
    <w:rsid w:val="00C2518C"/>
    <w:rsid w:val="00C251EA"/>
    <w:rsid w:val="00C2673F"/>
    <w:rsid w:val="00C26902"/>
    <w:rsid w:val="00C26CEE"/>
    <w:rsid w:val="00C277C0"/>
    <w:rsid w:val="00C27F9F"/>
    <w:rsid w:val="00C32163"/>
    <w:rsid w:val="00C36830"/>
    <w:rsid w:val="00C4008B"/>
    <w:rsid w:val="00C4023D"/>
    <w:rsid w:val="00C40782"/>
    <w:rsid w:val="00C40A92"/>
    <w:rsid w:val="00C41F62"/>
    <w:rsid w:val="00C4234D"/>
    <w:rsid w:val="00C42C6A"/>
    <w:rsid w:val="00C43477"/>
    <w:rsid w:val="00C43611"/>
    <w:rsid w:val="00C43A2B"/>
    <w:rsid w:val="00C45355"/>
    <w:rsid w:val="00C4537C"/>
    <w:rsid w:val="00C461C2"/>
    <w:rsid w:val="00C46622"/>
    <w:rsid w:val="00C47E1D"/>
    <w:rsid w:val="00C47E46"/>
    <w:rsid w:val="00C500D7"/>
    <w:rsid w:val="00C5039B"/>
    <w:rsid w:val="00C503E8"/>
    <w:rsid w:val="00C50ADF"/>
    <w:rsid w:val="00C51664"/>
    <w:rsid w:val="00C528B8"/>
    <w:rsid w:val="00C530FE"/>
    <w:rsid w:val="00C533F1"/>
    <w:rsid w:val="00C54875"/>
    <w:rsid w:val="00C55CCF"/>
    <w:rsid w:val="00C55E35"/>
    <w:rsid w:val="00C5713A"/>
    <w:rsid w:val="00C57CE2"/>
    <w:rsid w:val="00C60D6A"/>
    <w:rsid w:val="00C60E53"/>
    <w:rsid w:val="00C61DF1"/>
    <w:rsid w:val="00C62BC9"/>
    <w:rsid w:val="00C63381"/>
    <w:rsid w:val="00C635C0"/>
    <w:rsid w:val="00C6471C"/>
    <w:rsid w:val="00C649C0"/>
    <w:rsid w:val="00C66079"/>
    <w:rsid w:val="00C70046"/>
    <w:rsid w:val="00C721D7"/>
    <w:rsid w:val="00C72405"/>
    <w:rsid w:val="00C733E0"/>
    <w:rsid w:val="00C738D7"/>
    <w:rsid w:val="00C7546D"/>
    <w:rsid w:val="00C76A70"/>
    <w:rsid w:val="00C76F88"/>
    <w:rsid w:val="00C77274"/>
    <w:rsid w:val="00C77A04"/>
    <w:rsid w:val="00C800AE"/>
    <w:rsid w:val="00C819F1"/>
    <w:rsid w:val="00C8298E"/>
    <w:rsid w:val="00C82A0A"/>
    <w:rsid w:val="00C82E2F"/>
    <w:rsid w:val="00C82E84"/>
    <w:rsid w:val="00C83AA2"/>
    <w:rsid w:val="00C84924"/>
    <w:rsid w:val="00C84BC9"/>
    <w:rsid w:val="00C84D13"/>
    <w:rsid w:val="00C85CC7"/>
    <w:rsid w:val="00C86048"/>
    <w:rsid w:val="00C90DC5"/>
    <w:rsid w:val="00C90DD6"/>
    <w:rsid w:val="00C91481"/>
    <w:rsid w:val="00C91B31"/>
    <w:rsid w:val="00C92A0C"/>
    <w:rsid w:val="00C92B02"/>
    <w:rsid w:val="00C956DF"/>
    <w:rsid w:val="00CA06EE"/>
    <w:rsid w:val="00CA0E3F"/>
    <w:rsid w:val="00CA23C7"/>
    <w:rsid w:val="00CA264C"/>
    <w:rsid w:val="00CA405F"/>
    <w:rsid w:val="00CA51C4"/>
    <w:rsid w:val="00CA52DD"/>
    <w:rsid w:val="00CA7306"/>
    <w:rsid w:val="00CA7923"/>
    <w:rsid w:val="00CB0021"/>
    <w:rsid w:val="00CB077B"/>
    <w:rsid w:val="00CB0AD2"/>
    <w:rsid w:val="00CB286E"/>
    <w:rsid w:val="00CB3572"/>
    <w:rsid w:val="00CB3C06"/>
    <w:rsid w:val="00CB3F3B"/>
    <w:rsid w:val="00CB4525"/>
    <w:rsid w:val="00CB5EDD"/>
    <w:rsid w:val="00CB640E"/>
    <w:rsid w:val="00CB6584"/>
    <w:rsid w:val="00CB7C32"/>
    <w:rsid w:val="00CC09A2"/>
    <w:rsid w:val="00CC0DC7"/>
    <w:rsid w:val="00CC2FAF"/>
    <w:rsid w:val="00CC362C"/>
    <w:rsid w:val="00CC3B98"/>
    <w:rsid w:val="00CC3E1B"/>
    <w:rsid w:val="00CC4824"/>
    <w:rsid w:val="00CC516B"/>
    <w:rsid w:val="00CC60B8"/>
    <w:rsid w:val="00CC6A5B"/>
    <w:rsid w:val="00CC6DB3"/>
    <w:rsid w:val="00CD1381"/>
    <w:rsid w:val="00CD1CB1"/>
    <w:rsid w:val="00CD425D"/>
    <w:rsid w:val="00CD55CD"/>
    <w:rsid w:val="00CD5941"/>
    <w:rsid w:val="00CD5CEB"/>
    <w:rsid w:val="00CD64B2"/>
    <w:rsid w:val="00CD7F5A"/>
    <w:rsid w:val="00CE0156"/>
    <w:rsid w:val="00CE1429"/>
    <w:rsid w:val="00CE16CE"/>
    <w:rsid w:val="00CE28BC"/>
    <w:rsid w:val="00CE4142"/>
    <w:rsid w:val="00CE4676"/>
    <w:rsid w:val="00CE48BF"/>
    <w:rsid w:val="00CE4E5E"/>
    <w:rsid w:val="00CE4F1A"/>
    <w:rsid w:val="00CE52C8"/>
    <w:rsid w:val="00CE5FDE"/>
    <w:rsid w:val="00CF016E"/>
    <w:rsid w:val="00CF2C37"/>
    <w:rsid w:val="00CF3705"/>
    <w:rsid w:val="00CF3E20"/>
    <w:rsid w:val="00CF4509"/>
    <w:rsid w:val="00CF597D"/>
    <w:rsid w:val="00CF7754"/>
    <w:rsid w:val="00D010BF"/>
    <w:rsid w:val="00D01346"/>
    <w:rsid w:val="00D01532"/>
    <w:rsid w:val="00D0153B"/>
    <w:rsid w:val="00D01E34"/>
    <w:rsid w:val="00D01EDD"/>
    <w:rsid w:val="00D022DF"/>
    <w:rsid w:val="00D023E5"/>
    <w:rsid w:val="00D031FC"/>
    <w:rsid w:val="00D032C1"/>
    <w:rsid w:val="00D03475"/>
    <w:rsid w:val="00D05544"/>
    <w:rsid w:val="00D056CB"/>
    <w:rsid w:val="00D061BC"/>
    <w:rsid w:val="00D0634F"/>
    <w:rsid w:val="00D075BE"/>
    <w:rsid w:val="00D103EF"/>
    <w:rsid w:val="00D11FCD"/>
    <w:rsid w:val="00D12B22"/>
    <w:rsid w:val="00D13595"/>
    <w:rsid w:val="00D13B16"/>
    <w:rsid w:val="00D15399"/>
    <w:rsid w:val="00D159ED"/>
    <w:rsid w:val="00D1667C"/>
    <w:rsid w:val="00D16B71"/>
    <w:rsid w:val="00D16ECD"/>
    <w:rsid w:val="00D178FE"/>
    <w:rsid w:val="00D17EE4"/>
    <w:rsid w:val="00D17FBE"/>
    <w:rsid w:val="00D201EE"/>
    <w:rsid w:val="00D2197D"/>
    <w:rsid w:val="00D21B43"/>
    <w:rsid w:val="00D225B4"/>
    <w:rsid w:val="00D2285C"/>
    <w:rsid w:val="00D22C3F"/>
    <w:rsid w:val="00D24B36"/>
    <w:rsid w:val="00D256F8"/>
    <w:rsid w:val="00D25E2C"/>
    <w:rsid w:val="00D26175"/>
    <w:rsid w:val="00D266A4"/>
    <w:rsid w:val="00D2780D"/>
    <w:rsid w:val="00D27AD5"/>
    <w:rsid w:val="00D300B3"/>
    <w:rsid w:val="00D30E7A"/>
    <w:rsid w:val="00D314AE"/>
    <w:rsid w:val="00D31CA4"/>
    <w:rsid w:val="00D31EBF"/>
    <w:rsid w:val="00D32457"/>
    <w:rsid w:val="00D33E68"/>
    <w:rsid w:val="00D3403A"/>
    <w:rsid w:val="00D35826"/>
    <w:rsid w:val="00D36126"/>
    <w:rsid w:val="00D3683A"/>
    <w:rsid w:val="00D372F1"/>
    <w:rsid w:val="00D375AB"/>
    <w:rsid w:val="00D4013E"/>
    <w:rsid w:val="00D405CF"/>
    <w:rsid w:val="00D40E1A"/>
    <w:rsid w:val="00D40E25"/>
    <w:rsid w:val="00D41BA7"/>
    <w:rsid w:val="00D424F5"/>
    <w:rsid w:val="00D42937"/>
    <w:rsid w:val="00D43DD6"/>
    <w:rsid w:val="00D44E2C"/>
    <w:rsid w:val="00D456FF"/>
    <w:rsid w:val="00D47DF0"/>
    <w:rsid w:val="00D5110D"/>
    <w:rsid w:val="00D517AA"/>
    <w:rsid w:val="00D52190"/>
    <w:rsid w:val="00D52F99"/>
    <w:rsid w:val="00D53022"/>
    <w:rsid w:val="00D539BB"/>
    <w:rsid w:val="00D53F83"/>
    <w:rsid w:val="00D55013"/>
    <w:rsid w:val="00D55531"/>
    <w:rsid w:val="00D5556E"/>
    <w:rsid w:val="00D569F8"/>
    <w:rsid w:val="00D60116"/>
    <w:rsid w:val="00D60737"/>
    <w:rsid w:val="00D64C01"/>
    <w:rsid w:val="00D65299"/>
    <w:rsid w:val="00D655CF"/>
    <w:rsid w:val="00D65F50"/>
    <w:rsid w:val="00D66F1F"/>
    <w:rsid w:val="00D66FA9"/>
    <w:rsid w:val="00D67344"/>
    <w:rsid w:val="00D67D1A"/>
    <w:rsid w:val="00D702D4"/>
    <w:rsid w:val="00D70F03"/>
    <w:rsid w:val="00D71894"/>
    <w:rsid w:val="00D72C0A"/>
    <w:rsid w:val="00D7348D"/>
    <w:rsid w:val="00D74097"/>
    <w:rsid w:val="00D74808"/>
    <w:rsid w:val="00D74C49"/>
    <w:rsid w:val="00D74D58"/>
    <w:rsid w:val="00D76301"/>
    <w:rsid w:val="00D76654"/>
    <w:rsid w:val="00D80C9F"/>
    <w:rsid w:val="00D81896"/>
    <w:rsid w:val="00D818F9"/>
    <w:rsid w:val="00D81E4D"/>
    <w:rsid w:val="00D82587"/>
    <w:rsid w:val="00D83C73"/>
    <w:rsid w:val="00D843AF"/>
    <w:rsid w:val="00D84924"/>
    <w:rsid w:val="00D84DEB"/>
    <w:rsid w:val="00D84EAE"/>
    <w:rsid w:val="00D8578D"/>
    <w:rsid w:val="00D85FFD"/>
    <w:rsid w:val="00D87EFD"/>
    <w:rsid w:val="00D90A00"/>
    <w:rsid w:val="00D90B5A"/>
    <w:rsid w:val="00D9131B"/>
    <w:rsid w:val="00D9214A"/>
    <w:rsid w:val="00D93485"/>
    <w:rsid w:val="00D934FA"/>
    <w:rsid w:val="00D9453B"/>
    <w:rsid w:val="00D946A9"/>
    <w:rsid w:val="00D94B76"/>
    <w:rsid w:val="00D94BC4"/>
    <w:rsid w:val="00D957EB"/>
    <w:rsid w:val="00D96830"/>
    <w:rsid w:val="00DA0FD5"/>
    <w:rsid w:val="00DA416B"/>
    <w:rsid w:val="00DA48EA"/>
    <w:rsid w:val="00DA5551"/>
    <w:rsid w:val="00DA59D6"/>
    <w:rsid w:val="00DA6558"/>
    <w:rsid w:val="00DA6785"/>
    <w:rsid w:val="00DA7DCB"/>
    <w:rsid w:val="00DB08B1"/>
    <w:rsid w:val="00DB1AF4"/>
    <w:rsid w:val="00DB1D82"/>
    <w:rsid w:val="00DB1DBC"/>
    <w:rsid w:val="00DB203D"/>
    <w:rsid w:val="00DB243D"/>
    <w:rsid w:val="00DB2605"/>
    <w:rsid w:val="00DB2B48"/>
    <w:rsid w:val="00DB2C63"/>
    <w:rsid w:val="00DB37B3"/>
    <w:rsid w:val="00DB43F4"/>
    <w:rsid w:val="00DB4ED0"/>
    <w:rsid w:val="00DB5BA9"/>
    <w:rsid w:val="00DB5D11"/>
    <w:rsid w:val="00DB5FE9"/>
    <w:rsid w:val="00DB75CA"/>
    <w:rsid w:val="00DC0D7B"/>
    <w:rsid w:val="00DC0EEA"/>
    <w:rsid w:val="00DC1098"/>
    <w:rsid w:val="00DC1678"/>
    <w:rsid w:val="00DC1F3F"/>
    <w:rsid w:val="00DC22D7"/>
    <w:rsid w:val="00DC2A9D"/>
    <w:rsid w:val="00DC3FFA"/>
    <w:rsid w:val="00DC47F7"/>
    <w:rsid w:val="00DC522E"/>
    <w:rsid w:val="00DC65F7"/>
    <w:rsid w:val="00DC6725"/>
    <w:rsid w:val="00DC67D6"/>
    <w:rsid w:val="00DC67FD"/>
    <w:rsid w:val="00DC76F8"/>
    <w:rsid w:val="00DC79E4"/>
    <w:rsid w:val="00DD01F2"/>
    <w:rsid w:val="00DD14FF"/>
    <w:rsid w:val="00DD1608"/>
    <w:rsid w:val="00DD4A01"/>
    <w:rsid w:val="00DD7101"/>
    <w:rsid w:val="00DE0F1D"/>
    <w:rsid w:val="00DE1CF2"/>
    <w:rsid w:val="00DE268C"/>
    <w:rsid w:val="00DE3FAA"/>
    <w:rsid w:val="00DE5002"/>
    <w:rsid w:val="00DE5D5E"/>
    <w:rsid w:val="00DE5E8D"/>
    <w:rsid w:val="00DE7825"/>
    <w:rsid w:val="00DF0309"/>
    <w:rsid w:val="00DF03D7"/>
    <w:rsid w:val="00DF239B"/>
    <w:rsid w:val="00DF2E56"/>
    <w:rsid w:val="00DF3BFF"/>
    <w:rsid w:val="00DF3E97"/>
    <w:rsid w:val="00DF46D4"/>
    <w:rsid w:val="00DF4C92"/>
    <w:rsid w:val="00DF524A"/>
    <w:rsid w:val="00DF5A64"/>
    <w:rsid w:val="00DF7E22"/>
    <w:rsid w:val="00DF7ED5"/>
    <w:rsid w:val="00E00464"/>
    <w:rsid w:val="00E00922"/>
    <w:rsid w:val="00E01A19"/>
    <w:rsid w:val="00E02438"/>
    <w:rsid w:val="00E03558"/>
    <w:rsid w:val="00E055B6"/>
    <w:rsid w:val="00E06BE3"/>
    <w:rsid w:val="00E0719A"/>
    <w:rsid w:val="00E07908"/>
    <w:rsid w:val="00E10F75"/>
    <w:rsid w:val="00E11139"/>
    <w:rsid w:val="00E1161C"/>
    <w:rsid w:val="00E11C08"/>
    <w:rsid w:val="00E1224B"/>
    <w:rsid w:val="00E122E7"/>
    <w:rsid w:val="00E14218"/>
    <w:rsid w:val="00E159FE"/>
    <w:rsid w:val="00E1604A"/>
    <w:rsid w:val="00E162DC"/>
    <w:rsid w:val="00E165A3"/>
    <w:rsid w:val="00E16B28"/>
    <w:rsid w:val="00E17578"/>
    <w:rsid w:val="00E17C92"/>
    <w:rsid w:val="00E17DC6"/>
    <w:rsid w:val="00E2134C"/>
    <w:rsid w:val="00E217F9"/>
    <w:rsid w:val="00E2407A"/>
    <w:rsid w:val="00E249C1"/>
    <w:rsid w:val="00E24B33"/>
    <w:rsid w:val="00E2531E"/>
    <w:rsid w:val="00E264DC"/>
    <w:rsid w:val="00E26E44"/>
    <w:rsid w:val="00E27672"/>
    <w:rsid w:val="00E27A1F"/>
    <w:rsid w:val="00E30591"/>
    <w:rsid w:val="00E30735"/>
    <w:rsid w:val="00E31713"/>
    <w:rsid w:val="00E31ACE"/>
    <w:rsid w:val="00E333DD"/>
    <w:rsid w:val="00E33D54"/>
    <w:rsid w:val="00E342E5"/>
    <w:rsid w:val="00E34C7D"/>
    <w:rsid w:val="00E355DA"/>
    <w:rsid w:val="00E35D84"/>
    <w:rsid w:val="00E3641B"/>
    <w:rsid w:val="00E37778"/>
    <w:rsid w:val="00E41F7B"/>
    <w:rsid w:val="00E43CD2"/>
    <w:rsid w:val="00E4696E"/>
    <w:rsid w:val="00E46C5B"/>
    <w:rsid w:val="00E46DD5"/>
    <w:rsid w:val="00E47542"/>
    <w:rsid w:val="00E523AD"/>
    <w:rsid w:val="00E525E1"/>
    <w:rsid w:val="00E52A14"/>
    <w:rsid w:val="00E52A52"/>
    <w:rsid w:val="00E52F56"/>
    <w:rsid w:val="00E54E3C"/>
    <w:rsid w:val="00E5525F"/>
    <w:rsid w:val="00E55599"/>
    <w:rsid w:val="00E56D30"/>
    <w:rsid w:val="00E56EF9"/>
    <w:rsid w:val="00E57874"/>
    <w:rsid w:val="00E57FB1"/>
    <w:rsid w:val="00E604E2"/>
    <w:rsid w:val="00E61120"/>
    <w:rsid w:val="00E61C06"/>
    <w:rsid w:val="00E64023"/>
    <w:rsid w:val="00E64874"/>
    <w:rsid w:val="00E64A2B"/>
    <w:rsid w:val="00E64FC0"/>
    <w:rsid w:val="00E65B05"/>
    <w:rsid w:val="00E66958"/>
    <w:rsid w:val="00E66984"/>
    <w:rsid w:val="00E66BCE"/>
    <w:rsid w:val="00E66C6C"/>
    <w:rsid w:val="00E7167D"/>
    <w:rsid w:val="00E71D6F"/>
    <w:rsid w:val="00E74A60"/>
    <w:rsid w:val="00E750FB"/>
    <w:rsid w:val="00E753D1"/>
    <w:rsid w:val="00E76A5D"/>
    <w:rsid w:val="00E77B20"/>
    <w:rsid w:val="00E77DB4"/>
    <w:rsid w:val="00E8069F"/>
    <w:rsid w:val="00E819D3"/>
    <w:rsid w:val="00E81F74"/>
    <w:rsid w:val="00E8211B"/>
    <w:rsid w:val="00E8401D"/>
    <w:rsid w:val="00E84D0F"/>
    <w:rsid w:val="00E853F5"/>
    <w:rsid w:val="00E85670"/>
    <w:rsid w:val="00E8572F"/>
    <w:rsid w:val="00E8690A"/>
    <w:rsid w:val="00E8747B"/>
    <w:rsid w:val="00E87C61"/>
    <w:rsid w:val="00E90C15"/>
    <w:rsid w:val="00E90C53"/>
    <w:rsid w:val="00E90F31"/>
    <w:rsid w:val="00E9131A"/>
    <w:rsid w:val="00E91817"/>
    <w:rsid w:val="00E91A49"/>
    <w:rsid w:val="00E95175"/>
    <w:rsid w:val="00E95BC1"/>
    <w:rsid w:val="00EA0160"/>
    <w:rsid w:val="00EA0954"/>
    <w:rsid w:val="00EA36E4"/>
    <w:rsid w:val="00EA3C5F"/>
    <w:rsid w:val="00EA3EDD"/>
    <w:rsid w:val="00EA47A3"/>
    <w:rsid w:val="00EA5A1A"/>
    <w:rsid w:val="00EA6532"/>
    <w:rsid w:val="00EA73DA"/>
    <w:rsid w:val="00EA7593"/>
    <w:rsid w:val="00EA7F94"/>
    <w:rsid w:val="00EB13EB"/>
    <w:rsid w:val="00EB1EAC"/>
    <w:rsid w:val="00EB2326"/>
    <w:rsid w:val="00EB2B0E"/>
    <w:rsid w:val="00EB2EA6"/>
    <w:rsid w:val="00EB306E"/>
    <w:rsid w:val="00EB4ACF"/>
    <w:rsid w:val="00EB4F85"/>
    <w:rsid w:val="00EB5516"/>
    <w:rsid w:val="00EC0153"/>
    <w:rsid w:val="00EC0163"/>
    <w:rsid w:val="00EC238A"/>
    <w:rsid w:val="00EC344C"/>
    <w:rsid w:val="00EC3A53"/>
    <w:rsid w:val="00EC3F0B"/>
    <w:rsid w:val="00EC402A"/>
    <w:rsid w:val="00EC4063"/>
    <w:rsid w:val="00EC539B"/>
    <w:rsid w:val="00EC55C4"/>
    <w:rsid w:val="00EC56A0"/>
    <w:rsid w:val="00EC5915"/>
    <w:rsid w:val="00EC63D1"/>
    <w:rsid w:val="00EC6F50"/>
    <w:rsid w:val="00EC7218"/>
    <w:rsid w:val="00EC782C"/>
    <w:rsid w:val="00EC7A0D"/>
    <w:rsid w:val="00ED1561"/>
    <w:rsid w:val="00ED2C28"/>
    <w:rsid w:val="00ED2E7F"/>
    <w:rsid w:val="00ED3C01"/>
    <w:rsid w:val="00ED4287"/>
    <w:rsid w:val="00ED5A33"/>
    <w:rsid w:val="00ED6436"/>
    <w:rsid w:val="00ED69B9"/>
    <w:rsid w:val="00ED6F70"/>
    <w:rsid w:val="00ED707E"/>
    <w:rsid w:val="00ED7784"/>
    <w:rsid w:val="00EE0C0E"/>
    <w:rsid w:val="00EE105C"/>
    <w:rsid w:val="00EE1FB7"/>
    <w:rsid w:val="00EE2431"/>
    <w:rsid w:val="00EE359B"/>
    <w:rsid w:val="00EE39A1"/>
    <w:rsid w:val="00EE3A47"/>
    <w:rsid w:val="00EE3DCE"/>
    <w:rsid w:val="00EE45FA"/>
    <w:rsid w:val="00EE58A3"/>
    <w:rsid w:val="00EE5B24"/>
    <w:rsid w:val="00EE618C"/>
    <w:rsid w:val="00EE63F9"/>
    <w:rsid w:val="00EE64F0"/>
    <w:rsid w:val="00EF0357"/>
    <w:rsid w:val="00EF0782"/>
    <w:rsid w:val="00EF1BE7"/>
    <w:rsid w:val="00EF2014"/>
    <w:rsid w:val="00EF27CF"/>
    <w:rsid w:val="00EF3A80"/>
    <w:rsid w:val="00EF68AB"/>
    <w:rsid w:val="00EF7963"/>
    <w:rsid w:val="00F00139"/>
    <w:rsid w:val="00F017D5"/>
    <w:rsid w:val="00F02254"/>
    <w:rsid w:val="00F025D5"/>
    <w:rsid w:val="00F034F8"/>
    <w:rsid w:val="00F037D6"/>
    <w:rsid w:val="00F03945"/>
    <w:rsid w:val="00F0416C"/>
    <w:rsid w:val="00F0481C"/>
    <w:rsid w:val="00F048BB"/>
    <w:rsid w:val="00F05A2F"/>
    <w:rsid w:val="00F06D6D"/>
    <w:rsid w:val="00F10C6E"/>
    <w:rsid w:val="00F128F9"/>
    <w:rsid w:val="00F134F4"/>
    <w:rsid w:val="00F1429C"/>
    <w:rsid w:val="00F160A7"/>
    <w:rsid w:val="00F17E0D"/>
    <w:rsid w:val="00F204EF"/>
    <w:rsid w:val="00F206D8"/>
    <w:rsid w:val="00F20F8F"/>
    <w:rsid w:val="00F22898"/>
    <w:rsid w:val="00F23581"/>
    <w:rsid w:val="00F23B68"/>
    <w:rsid w:val="00F24A41"/>
    <w:rsid w:val="00F25F18"/>
    <w:rsid w:val="00F2785B"/>
    <w:rsid w:val="00F279B0"/>
    <w:rsid w:val="00F30251"/>
    <w:rsid w:val="00F3226D"/>
    <w:rsid w:val="00F3245D"/>
    <w:rsid w:val="00F3358A"/>
    <w:rsid w:val="00F33DAC"/>
    <w:rsid w:val="00F33E15"/>
    <w:rsid w:val="00F34B79"/>
    <w:rsid w:val="00F34CDE"/>
    <w:rsid w:val="00F35249"/>
    <w:rsid w:val="00F353F9"/>
    <w:rsid w:val="00F35BAB"/>
    <w:rsid w:val="00F3646F"/>
    <w:rsid w:val="00F373AF"/>
    <w:rsid w:val="00F3754E"/>
    <w:rsid w:val="00F4167E"/>
    <w:rsid w:val="00F4314A"/>
    <w:rsid w:val="00F43433"/>
    <w:rsid w:val="00F43450"/>
    <w:rsid w:val="00F44BE8"/>
    <w:rsid w:val="00F470A4"/>
    <w:rsid w:val="00F479F8"/>
    <w:rsid w:val="00F50A32"/>
    <w:rsid w:val="00F50F23"/>
    <w:rsid w:val="00F516D6"/>
    <w:rsid w:val="00F51D3D"/>
    <w:rsid w:val="00F5262C"/>
    <w:rsid w:val="00F527D2"/>
    <w:rsid w:val="00F52F30"/>
    <w:rsid w:val="00F5558B"/>
    <w:rsid w:val="00F55ED9"/>
    <w:rsid w:val="00F56FE4"/>
    <w:rsid w:val="00F570B1"/>
    <w:rsid w:val="00F62AFD"/>
    <w:rsid w:val="00F6310D"/>
    <w:rsid w:val="00F64CAE"/>
    <w:rsid w:val="00F6531D"/>
    <w:rsid w:val="00F65B99"/>
    <w:rsid w:val="00F6676D"/>
    <w:rsid w:val="00F67065"/>
    <w:rsid w:val="00F677C4"/>
    <w:rsid w:val="00F677FA"/>
    <w:rsid w:val="00F73A09"/>
    <w:rsid w:val="00F73BE4"/>
    <w:rsid w:val="00F74C2B"/>
    <w:rsid w:val="00F74D45"/>
    <w:rsid w:val="00F754A7"/>
    <w:rsid w:val="00F75C5A"/>
    <w:rsid w:val="00F76CDA"/>
    <w:rsid w:val="00F805C0"/>
    <w:rsid w:val="00F815C1"/>
    <w:rsid w:val="00F8182F"/>
    <w:rsid w:val="00F821CB"/>
    <w:rsid w:val="00F82212"/>
    <w:rsid w:val="00F83D5D"/>
    <w:rsid w:val="00F84162"/>
    <w:rsid w:val="00F85686"/>
    <w:rsid w:val="00F85E7E"/>
    <w:rsid w:val="00F90901"/>
    <w:rsid w:val="00F91224"/>
    <w:rsid w:val="00F9315B"/>
    <w:rsid w:val="00F93C4B"/>
    <w:rsid w:val="00F94468"/>
    <w:rsid w:val="00F94FA6"/>
    <w:rsid w:val="00F95627"/>
    <w:rsid w:val="00F95877"/>
    <w:rsid w:val="00F958E4"/>
    <w:rsid w:val="00F95BD9"/>
    <w:rsid w:val="00F95D39"/>
    <w:rsid w:val="00F96496"/>
    <w:rsid w:val="00F97DBD"/>
    <w:rsid w:val="00FA000A"/>
    <w:rsid w:val="00FA03F4"/>
    <w:rsid w:val="00FA0C36"/>
    <w:rsid w:val="00FA5348"/>
    <w:rsid w:val="00FB0808"/>
    <w:rsid w:val="00FB1198"/>
    <w:rsid w:val="00FB1F95"/>
    <w:rsid w:val="00FB276C"/>
    <w:rsid w:val="00FB2D2B"/>
    <w:rsid w:val="00FB372D"/>
    <w:rsid w:val="00FB4032"/>
    <w:rsid w:val="00FB4714"/>
    <w:rsid w:val="00FB5F0E"/>
    <w:rsid w:val="00FB78A4"/>
    <w:rsid w:val="00FC116A"/>
    <w:rsid w:val="00FC13CC"/>
    <w:rsid w:val="00FC1ACE"/>
    <w:rsid w:val="00FC26DD"/>
    <w:rsid w:val="00FC4E14"/>
    <w:rsid w:val="00FC4ECC"/>
    <w:rsid w:val="00FC53CE"/>
    <w:rsid w:val="00FC5E4E"/>
    <w:rsid w:val="00FC6EF4"/>
    <w:rsid w:val="00FD0675"/>
    <w:rsid w:val="00FD0D70"/>
    <w:rsid w:val="00FD1829"/>
    <w:rsid w:val="00FD19E3"/>
    <w:rsid w:val="00FD2245"/>
    <w:rsid w:val="00FD2BCE"/>
    <w:rsid w:val="00FD45EB"/>
    <w:rsid w:val="00FD7F59"/>
    <w:rsid w:val="00FE147D"/>
    <w:rsid w:val="00FE1B93"/>
    <w:rsid w:val="00FE2CCF"/>
    <w:rsid w:val="00FE3BA0"/>
    <w:rsid w:val="00FE49E5"/>
    <w:rsid w:val="00FE4A5D"/>
    <w:rsid w:val="00FE4AE7"/>
    <w:rsid w:val="00FE6CC2"/>
    <w:rsid w:val="00FE7D05"/>
    <w:rsid w:val="00FF058D"/>
    <w:rsid w:val="00FF1D50"/>
    <w:rsid w:val="00FF292C"/>
    <w:rsid w:val="00FF2C9C"/>
    <w:rsid w:val="00FF33AA"/>
    <w:rsid w:val="00FF3A16"/>
    <w:rsid w:val="00FF3BFC"/>
    <w:rsid w:val="00FF3C8A"/>
    <w:rsid w:val="00FF42BB"/>
    <w:rsid w:val="00FF4C5F"/>
    <w:rsid w:val="00FF50A1"/>
    <w:rsid w:val="00FF5B88"/>
    <w:rsid w:val="00FF63C1"/>
    <w:rsid w:val="00FF7237"/>
    <w:rsid w:val="00FF768C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036"/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B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634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60634C"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AF702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ar"/>
    <w:qFormat/>
    <w:rsid w:val="0060634C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/>
    </w:rPr>
  </w:style>
  <w:style w:type="paragraph" w:styleId="Ttulo5">
    <w:name w:val="heading 5"/>
    <w:basedOn w:val="Normal"/>
    <w:next w:val="Normal"/>
    <w:link w:val="Ttulo5Car"/>
    <w:qFormat/>
    <w:rsid w:val="0060634C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/>
      <w:b/>
      <w:bCs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07553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107553"/>
    <w:rPr>
      <w:b/>
      <w:sz w:val="24"/>
    </w:rPr>
  </w:style>
  <w:style w:type="character" w:customStyle="1" w:styleId="Ttulo5Car">
    <w:name w:val="Título 5 Car"/>
    <w:link w:val="Ttulo5"/>
    <w:rsid w:val="00107553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ar"/>
    <w:qFormat/>
    <w:rsid w:val="0060634C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lang/>
    </w:rPr>
  </w:style>
  <w:style w:type="character" w:customStyle="1" w:styleId="TtuloCar">
    <w:name w:val="Título Car"/>
    <w:link w:val="Ttulo"/>
    <w:rsid w:val="00107553"/>
    <w:rPr>
      <w:rFonts w:ascii="Arial" w:hAnsi="Arial" w:cs="Arial"/>
      <w:b/>
      <w:sz w:val="24"/>
      <w:szCs w:val="24"/>
    </w:rPr>
  </w:style>
  <w:style w:type="paragraph" w:styleId="Sangra2detindependiente">
    <w:name w:val="Body Text Indent 2"/>
    <w:basedOn w:val="Normal"/>
    <w:rsid w:val="0060634C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uentedeprrafopredeter"/>
    <w:rsid w:val="0060634C"/>
  </w:style>
  <w:style w:type="paragraph" w:styleId="Encabezado">
    <w:name w:val="header"/>
    <w:basedOn w:val="Normal"/>
    <w:rsid w:val="0060634C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60634C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  <w:lang/>
    </w:rPr>
  </w:style>
  <w:style w:type="character" w:customStyle="1" w:styleId="SangradetextonormalCar">
    <w:name w:val="Sangría de texto normal Car"/>
    <w:link w:val="Sangradetextonormal"/>
    <w:rsid w:val="00107553"/>
    <w:rPr>
      <w:rFonts w:ascii="Tahoma" w:hAnsi="Tahoma" w:cs="Tahoma"/>
      <w:sz w:val="24"/>
      <w:szCs w:val="24"/>
    </w:rPr>
  </w:style>
  <w:style w:type="paragraph" w:styleId="Textoindependiente">
    <w:name w:val="Body Text"/>
    <w:basedOn w:val="Normal"/>
    <w:link w:val="TextoindependienteCar"/>
    <w:rsid w:val="00EB2EA6"/>
    <w:pPr>
      <w:spacing w:after="120"/>
    </w:pPr>
    <w:rPr>
      <w:lang/>
    </w:rPr>
  </w:style>
  <w:style w:type="character" w:customStyle="1" w:styleId="TextoindependienteCar">
    <w:name w:val="Texto independiente Car"/>
    <w:link w:val="Textoindependiente"/>
    <w:rsid w:val="00107553"/>
    <w:rPr>
      <w:sz w:val="24"/>
      <w:szCs w:val="24"/>
    </w:rPr>
  </w:style>
  <w:style w:type="paragraph" w:styleId="Textoindependien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Fuentedeprrafopredeter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Refdenotaalpie">
    <w:name w:val="footnote reference"/>
    <w:rsid w:val="00AF702B"/>
    <w:rPr>
      <w:vertAlign w:val="superscript"/>
    </w:rPr>
  </w:style>
  <w:style w:type="paragraph" w:styleId="Textonotapie">
    <w:name w:val="footnote text"/>
    <w:basedOn w:val="Normal"/>
    <w:link w:val="TextonotapieCar"/>
    <w:rsid w:val="00AF7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7553"/>
  </w:style>
  <w:style w:type="paragraph" w:styleId="Sangra3detindependiente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013"/>
    <w:pPr>
      <w:tabs>
        <w:tab w:val="center" w:pos="4252"/>
        <w:tab w:val="right" w:pos="8504"/>
      </w:tabs>
    </w:pPr>
    <w:rPr>
      <w:lang/>
    </w:r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aconvietas">
    <w:name w:val="List Bullet"/>
    <w:basedOn w:val="Normal"/>
    <w:rsid w:val="00D9453B"/>
    <w:pPr>
      <w:numPr>
        <w:numId w:val="13"/>
      </w:numPr>
      <w:contextualSpacing/>
    </w:pPr>
  </w:style>
  <w:style w:type="character" w:styleId="Hipervnculo">
    <w:name w:val="Hyperlink"/>
    <w:uiPriority w:val="99"/>
    <w:unhideWhenUsed/>
    <w:rsid w:val="00DE5002"/>
    <w:rPr>
      <w:color w:val="0000FF"/>
      <w:u w:val="single"/>
    </w:rPr>
  </w:style>
  <w:style w:type="character" w:styleId="nfasis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  <w:lang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3A3BBB"/>
    <w:pPr>
      <w:spacing w:after="120" w:line="480" w:lineRule="auto"/>
    </w:pPr>
  </w:style>
  <w:style w:type="paragraph" w:styleId="Textodeglobo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unhideWhenUsed/>
    <w:rsid w:val="00863CC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inespaciado">
    <w:name w:val="No Spacing"/>
    <w:uiPriority w:val="1"/>
    <w:qFormat/>
    <w:rsid w:val="00746FF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14B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D473-B389-466A-AB9C-C85906E1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5</Pages>
  <Words>2601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</vt:lpstr>
    </vt:vector>
  </TitlesOfParts>
  <Company>Trabajo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</dc:title>
  <dc:subject>Presunción del contrato de trabajo</dc:subject>
  <dc:creator>Ana Lucia Caicedo Calderon</dc:creator>
  <cp:keywords>articulo 24 CST y de la S.S</cp:keywords>
  <dc:description/>
  <cp:lastModifiedBy>Ang</cp:lastModifiedBy>
  <cp:revision>194</cp:revision>
  <cp:lastPrinted>2016-08-18T19:09:00Z</cp:lastPrinted>
  <dcterms:created xsi:type="dcterms:W3CDTF">2016-03-02T15:34:00Z</dcterms:created>
  <dcterms:modified xsi:type="dcterms:W3CDTF">2016-10-16T23:23:00Z</dcterms:modified>
  <cp:category>Sala Laboral Tribunal Superior de Periera</cp:category>
</cp:coreProperties>
</file>