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EFA5EC" w14:textId="73DF972F" w:rsidR="00873FBD" w:rsidRPr="00C266DC" w:rsidRDefault="00873FBD" w:rsidP="0096163F">
      <w:pPr>
        <w:pBdr>
          <w:top w:val="single" w:sz="4" w:space="0" w:color="auto"/>
          <w:left w:val="single" w:sz="4" w:space="4" w:color="auto"/>
          <w:bottom w:val="single" w:sz="4" w:space="1" w:color="auto"/>
          <w:right w:val="single" w:sz="4" w:space="4" w:color="auto"/>
        </w:pBdr>
        <w:rPr>
          <w:rFonts w:ascii="Arial Narrow" w:hAnsi="Arial Narrow" w:cs="Tahoma"/>
          <w:b/>
          <w:sz w:val="16"/>
          <w:szCs w:val="18"/>
        </w:rPr>
      </w:pPr>
      <w:r w:rsidRPr="007E274D">
        <w:rPr>
          <w:rFonts w:ascii="Arial Narrow" w:hAnsi="Arial Narrow" w:cs="Tahoma"/>
          <w:sz w:val="16"/>
          <w:szCs w:val="18"/>
        </w:rPr>
        <w:t>El siguiente es el documento presentado por la Magistrada ponente que sirvió de base para proferir en audiencia la</w:t>
      </w:r>
      <w:r w:rsidR="0096163F">
        <w:rPr>
          <w:rFonts w:ascii="Arial Narrow" w:hAnsi="Arial Narrow" w:cs="Tahoma"/>
          <w:sz w:val="16"/>
          <w:szCs w:val="18"/>
        </w:rPr>
        <w:t xml:space="preserve"> sentencia de segunda instancia </w:t>
      </w:r>
      <w:r w:rsidRPr="007E274D">
        <w:rPr>
          <w:rFonts w:ascii="Arial Narrow" w:hAnsi="Arial Narrow" w:cs="Tahoma"/>
          <w:sz w:val="16"/>
          <w:szCs w:val="18"/>
        </w:rPr>
        <w:t xml:space="preserve">dentro del presente proceso. El contenido total y fiel de la decisión debe ser verificado en el audio que reposa en la Secretaría de esta Corporación. </w:t>
      </w:r>
    </w:p>
    <w:p w14:paraId="60BD1371" w14:textId="77777777" w:rsidR="00873FBD" w:rsidRDefault="00873FBD" w:rsidP="00873FBD">
      <w:pPr>
        <w:rPr>
          <w:rFonts w:ascii="Tahoma" w:hAnsi="Tahoma" w:cs="Tahoma"/>
          <w:b/>
          <w:sz w:val="18"/>
          <w:szCs w:val="18"/>
        </w:rPr>
      </w:pPr>
    </w:p>
    <w:p w14:paraId="509FC58B" w14:textId="26E4FCE7" w:rsidR="00873FBD" w:rsidRPr="00121FC6" w:rsidRDefault="00873FBD" w:rsidP="00873FBD">
      <w:pPr>
        <w:rPr>
          <w:rFonts w:ascii="Tahoma" w:hAnsi="Tahoma" w:cs="Tahoma"/>
          <w:b/>
          <w:sz w:val="18"/>
          <w:szCs w:val="18"/>
        </w:rPr>
      </w:pPr>
      <w:r w:rsidRPr="00121FC6">
        <w:rPr>
          <w:rFonts w:ascii="Tahoma" w:hAnsi="Tahoma" w:cs="Tahoma"/>
          <w:b/>
          <w:sz w:val="18"/>
          <w:szCs w:val="18"/>
        </w:rPr>
        <w:t>Providencia</w:t>
      </w:r>
      <w:r w:rsidRPr="00121FC6">
        <w:rPr>
          <w:rFonts w:ascii="Tahoma" w:hAnsi="Tahoma" w:cs="Tahoma"/>
          <w:b/>
          <w:sz w:val="18"/>
          <w:szCs w:val="18"/>
        </w:rPr>
        <w:tab/>
        <w:t>:</w:t>
      </w:r>
      <w:r w:rsidRPr="00121FC6">
        <w:rPr>
          <w:rFonts w:ascii="Tahoma" w:hAnsi="Tahoma" w:cs="Tahoma"/>
          <w:sz w:val="18"/>
          <w:szCs w:val="18"/>
        </w:rPr>
        <w:tab/>
      </w:r>
      <w:r w:rsidR="0089328E">
        <w:rPr>
          <w:rFonts w:ascii="Tahoma" w:hAnsi="Tahoma" w:cs="Tahoma"/>
          <w:bCs/>
          <w:sz w:val="18"/>
          <w:szCs w:val="18"/>
        </w:rPr>
        <w:t>Sentencia del 12 de septiembre</w:t>
      </w:r>
      <w:r>
        <w:rPr>
          <w:rFonts w:ascii="Tahoma" w:hAnsi="Tahoma" w:cs="Tahoma"/>
          <w:bCs/>
          <w:sz w:val="18"/>
          <w:szCs w:val="18"/>
        </w:rPr>
        <w:t xml:space="preserve"> de</w:t>
      </w:r>
      <w:r w:rsidRPr="00121FC6">
        <w:rPr>
          <w:rFonts w:ascii="Tahoma" w:hAnsi="Tahoma" w:cs="Tahoma"/>
          <w:bCs/>
          <w:sz w:val="18"/>
          <w:szCs w:val="18"/>
        </w:rPr>
        <w:t xml:space="preserve"> 201</w:t>
      </w:r>
      <w:r>
        <w:rPr>
          <w:rFonts w:ascii="Tahoma" w:hAnsi="Tahoma" w:cs="Tahoma"/>
          <w:bCs/>
          <w:sz w:val="18"/>
          <w:szCs w:val="18"/>
        </w:rPr>
        <w:t>6</w:t>
      </w:r>
    </w:p>
    <w:p w14:paraId="1C6A4A21" w14:textId="6AA16343" w:rsidR="00873FBD" w:rsidRPr="00121FC6" w:rsidRDefault="00873FBD" w:rsidP="00873FBD">
      <w:pPr>
        <w:rPr>
          <w:rFonts w:ascii="Tahoma" w:hAnsi="Tahoma" w:cs="Tahoma"/>
          <w:b/>
          <w:sz w:val="18"/>
          <w:szCs w:val="18"/>
        </w:rPr>
      </w:pPr>
      <w:r w:rsidRPr="00121FC6">
        <w:rPr>
          <w:rFonts w:ascii="Tahoma" w:hAnsi="Tahoma" w:cs="Tahoma"/>
          <w:b/>
          <w:sz w:val="18"/>
          <w:szCs w:val="18"/>
        </w:rPr>
        <w:t>Radicación No.</w:t>
      </w:r>
      <w:r w:rsidRPr="00121FC6">
        <w:rPr>
          <w:rFonts w:ascii="Tahoma" w:hAnsi="Tahoma" w:cs="Tahoma"/>
          <w:b/>
          <w:sz w:val="18"/>
          <w:szCs w:val="18"/>
        </w:rPr>
        <w:tab/>
        <w:t>:</w:t>
      </w:r>
      <w:r>
        <w:rPr>
          <w:rFonts w:ascii="Tahoma" w:hAnsi="Tahoma" w:cs="Tahoma"/>
          <w:sz w:val="18"/>
          <w:szCs w:val="18"/>
        </w:rPr>
        <w:tab/>
        <w:t>66170-31-05-004-2014-000484</w:t>
      </w:r>
      <w:r w:rsidRPr="00121FC6">
        <w:rPr>
          <w:rFonts w:ascii="Tahoma" w:hAnsi="Tahoma" w:cs="Tahoma"/>
          <w:sz w:val="18"/>
          <w:szCs w:val="18"/>
        </w:rPr>
        <w:t>-0</w:t>
      </w:r>
      <w:r>
        <w:rPr>
          <w:rFonts w:ascii="Tahoma" w:hAnsi="Tahoma" w:cs="Tahoma"/>
          <w:sz w:val="18"/>
          <w:szCs w:val="18"/>
        </w:rPr>
        <w:t>1</w:t>
      </w:r>
    </w:p>
    <w:p w14:paraId="34AA854B" w14:textId="77777777" w:rsidR="00873FBD" w:rsidRPr="00121FC6" w:rsidRDefault="00873FBD" w:rsidP="00873FBD">
      <w:pPr>
        <w:rPr>
          <w:rFonts w:ascii="Tahoma" w:hAnsi="Tahoma" w:cs="Tahoma"/>
          <w:b/>
          <w:sz w:val="18"/>
          <w:szCs w:val="18"/>
        </w:rPr>
      </w:pPr>
      <w:r w:rsidRPr="00121FC6">
        <w:rPr>
          <w:rFonts w:ascii="Tahoma" w:hAnsi="Tahoma" w:cs="Tahoma"/>
          <w:b/>
          <w:sz w:val="18"/>
          <w:szCs w:val="18"/>
        </w:rPr>
        <w:t>Proceso</w:t>
      </w:r>
      <w:r>
        <w:rPr>
          <w:rFonts w:ascii="Tahoma" w:hAnsi="Tahoma" w:cs="Tahoma"/>
          <w:b/>
          <w:sz w:val="18"/>
          <w:szCs w:val="18"/>
        </w:rPr>
        <w:tab/>
      </w:r>
      <w:r w:rsidRPr="00121FC6">
        <w:rPr>
          <w:rFonts w:ascii="Tahoma" w:hAnsi="Tahoma" w:cs="Tahoma"/>
          <w:b/>
          <w:sz w:val="18"/>
          <w:szCs w:val="18"/>
        </w:rPr>
        <w:t>:</w:t>
      </w:r>
      <w:r>
        <w:rPr>
          <w:rFonts w:ascii="Tahoma" w:hAnsi="Tahoma" w:cs="Tahoma"/>
          <w:sz w:val="18"/>
          <w:szCs w:val="18"/>
        </w:rPr>
        <w:tab/>
        <w:t>Ordinario L</w:t>
      </w:r>
      <w:r w:rsidRPr="00121FC6">
        <w:rPr>
          <w:rFonts w:ascii="Tahoma" w:hAnsi="Tahoma" w:cs="Tahoma"/>
          <w:sz w:val="18"/>
          <w:szCs w:val="18"/>
        </w:rPr>
        <w:t xml:space="preserve">aboral </w:t>
      </w:r>
    </w:p>
    <w:p w14:paraId="0CC855A8" w14:textId="630468AE" w:rsidR="00873FBD" w:rsidRPr="00121FC6" w:rsidRDefault="00873FBD" w:rsidP="00873FBD">
      <w:pPr>
        <w:rPr>
          <w:rFonts w:ascii="Tahoma" w:hAnsi="Tahoma" w:cs="Tahoma"/>
          <w:b/>
          <w:sz w:val="18"/>
          <w:szCs w:val="18"/>
        </w:rPr>
      </w:pPr>
      <w:r w:rsidRPr="00121FC6">
        <w:rPr>
          <w:rFonts w:ascii="Tahoma" w:hAnsi="Tahoma" w:cs="Tahoma"/>
          <w:b/>
          <w:sz w:val="18"/>
          <w:szCs w:val="18"/>
        </w:rPr>
        <w:t>Demandante</w:t>
      </w:r>
      <w:r w:rsidRPr="00121FC6">
        <w:rPr>
          <w:rFonts w:ascii="Tahoma" w:hAnsi="Tahoma" w:cs="Tahoma"/>
          <w:b/>
          <w:sz w:val="18"/>
          <w:szCs w:val="18"/>
        </w:rPr>
        <w:tab/>
        <w:t>:</w:t>
      </w:r>
      <w:r w:rsidRPr="00121FC6">
        <w:rPr>
          <w:rFonts w:ascii="Tahoma" w:hAnsi="Tahoma" w:cs="Tahoma"/>
          <w:sz w:val="18"/>
          <w:szCs w:val="18"/>
        </w:rPr>
        <w:tab/>
      </w:r>
      <w:r>
        <w:rPr>
          <w:rFonts w:ascii="Tahoma" w:hAnsi="Tahoma" w:cs="Tahoma"/>
          <w:sz w:val="18"/>
          <w:szCs w:val="18"/>
        </w:rPr>
        <w:t xml:space="preserve">Fabio Daniel Castrillón González </w:t>
      </w:r>
    </w:p>
    <w:p w14:paraId="7C8AC57A" w14:textId="7AABCBE1" w:rsidR="00873FBD" w:rsidRPr="00121FC6" w:rsidRDefault="00873FBD" w:rsidP="00873FBD">
      <w:pPr>
        <w:rPr>
          <w:rFonts w:ascii="Tahoma" w:hAnsi="Tahoma" w:cs="Tahoma"/>
          <w:b/>
          <w:sz w:val="18"/>
          <w:szCs w:val="18"/>
        </w:rPr>
      </w:pPr>
      <w:r w:rsidRPr="00121FC6">
        <w:rPr>
          <w:rFonts w:ascii="Tahoma" w:hAnsi="Tahoma" w:cs="Tahoma"/>
          <w:b/>
          <w:sz w:val="18"/>
          <w:szCs w:val="18"/>
        </w:rPr>
        <w:t>Demandado</w:t>
      </w:r>
      <w:r w:rsidRPr="00121FC6">
        <w:rPr>
          <w:rFonts w:ascii="Tahoma" w:hAnsi="Tahoma" w:cs="Tahoma"/>
          <w:b/>
          <w:sz w:val="18"/>
          <w:szCs w:val="18"/>
        </w:rPr>
        <w:tab/>
        <w:t>:</w:t>
      </w:r>
      <w:r>
        <w:rPr>
          <w:rFonts w:ascii="Tahoma" w:hAnsi="Tahoma" w:cs="Tahoma"/>
          <w:sz w:val="18"/>
          <w:szCs w:val="18"/>
        </w:rPr>
        <w:tab/>
      </w:r>
      <w:proofErr w:type="spellStart"/>
      <w:r>
        <w:rPr>
          <w:rFonts w:ascii="Tahoma" w:hAnsi="Tahoma" w:cs="Tahoma"/>
          <w:sz w:val="18"/>
          <w:szCs w:val="18"/>
        </w:rPr>
        <w:t>Promasivo</w:t>
      </w:r>
      <w:proofErr w:type="spellEnd"/>
      <w:r>
        <w:rPr>
          <w:rFonts w:ascii="Tahoma" w:hAnsi="Tahoma" w:cs="Tahoma"/>
          <w:sz w:val="18"/>
          <w:szCs w:val="18"/>
        </w:rPr>
        <w:t xml:space="preserve"> S.A.</w:t>
      </w:r>
    </w:p>
    <w:p w14:paraId="72C6C30B" w14:textId="1D1D3EFD" w:rsidR="00873FBD" w:rsidRPr="00121FC6" w:rsidRDefault="00873FBD" w:rsidP="00873FBD">
      <w:pPr>
        <w:rPr>
          <w:rFonts w:ascii="Tahoma" w:hAnsi="Tahoma" w:cs="Tahoma"/>
          <w:b/>
          <w:sz w:val="18"/>
          <w:szCs w:val="18"/>
        </w:rPr>
      </w:pPr>
      <w:r>
        <w:rPr>
          <w:rFonts w:ascii="Tahoma" w:hAnsi="Tahoma" w:cs="Tahoma"/>
          <w:b/>
          <w:sz w:val="18"/>
          <w:szCs w:val="18"/>
        </w:rPr>
        <w:t>Juzgado</w:t>
      </w:r>
      <w:r>
        <w:rPr>
          <w:rFonts w:ascii="Tahoma" w:hAnsi="Tahoma" w:cs="Tahoma"/>
          <w:b/>
          <w:sz w:val="18"/>
          <w:szCs w:val="18"/>
        </w:rPr>
        <w:tab/>
      </w:r>
      <w:r w:rsidRPr="00121FC6">
        <w:rPr>
          <w:rFonts w:ascii="Tahoma" w:hAnsi="Tahoma" w:cs="Tahoma"/>
          <w:b/>
          <w:sz w:val="18"/>
          <w:szCs w:val="18"/>
        </w:rPr>
        <w:t>:</w:t>
      </w:r>
      <w:r w:rsidRPr="00121FC6">
        <w:rPr>
          <w:rFonts w:ascii="Tahoma" w:hAnsi="Tahoma" w:cs="Tahoma"/>
          <w:b/>
          <w:sz w:val="18"/>
          <w:szCs w:val="18"/>
        </w:rPr>
        <w:tab/>
      </w:r>
      <w:r>
        <w:rPr>
          <w:rFonts w:ascii="Tahoma" w:hAnsi="Tahoma" w:cs="Tahoma"/>
          <w:sz w:val="18"/>
          <w:szCs w:val="18"/>
        </w:rPr>
        <w:t>Juzgado Cuarto Laboral del Circuito</w:t>
      </w:r>
    </w:p>
    <w:p w14:paraId="4E356239" w14:textId="77777777" w:rsidR="00873FBD" w:rsidRPr="00121FC6" w:rsidRDefault="00873FBD" w:rsidP="00873FBD">
      <w:pPr>
        <w:rPr>
          <w:rFonts w:ascii="Tahoma" w:hAnsi="Tahoma" w:cs="Tahoma"/>
          <w:b/>
          <w:sz w:val="18"/>
          <w:szCs w:val="18"/>
        </w:rPr>
      </w:pPr>
      <w:proofErr w:type="spellStart"/>
      <w:r w:rsidRPr="00121FC6">
        <w:rPr>
          <w:rFonts w:ascii="Tahoma" w:hAnsi="Tahoma" w:cs="Tahoma"/>
          <w:b/>
          <w:sz w:val="18"/>
          <w:szCs w:val="18"/>
        </w:rPr>
        <w:t>M.P</w:t>
      </w:r>
      <w:proofErr w:type="spellEnd"/>
      <w:r w:rsidRPr="00121FC6">
        <w:rPr>
          <w:rFonts w:ascii="Tahoma" w:hAnsi="Tahoma" w:cs="Tahoma"/>
          <w:b/>
          <w:sz w:val="18"/>
          <w:szCs w:val="18"/>
        </w:rPr>
        <w:t>.</w:t>
      </w:r>
      <w:r w:rsidRPr="00121FC6">
        <w:rPr>
          <w:rFonts w:ascii="Tahoma" w:hAnsi="Tahoma" w:cs="Tahoma"/>
          <w:b/>
          <w:sz w:val="18"/>
          <w:szCs w:val="18"/>
        </w:rPr>
        <w:tab/>
      </w:r>
      <w:r w:rsidRPr="00121FC6">
        <w:rPr>
          <w:rFonts w:ascii="Tahoma" w:hAnsi="Tahoma" w:cs="Tahoma"/>
          <w:b/>
          <w:sz w:val="18"/>
          <w:szCs w:val="18"/>
        </w:rPr>
        <w:tab/>
        <w:t>:</w:t>
      </w:r>
      <w:r w:rsidRPr="00121FC6">
        <w:rPr>
          <w:rFonts w:ascii="Tahoma" w:hAnsi="Tahoma" w:cs="Tahoma"/>
          <w:b/>
          <w:sz w:val="18"/>
          <w:szCs w:val="18"/>
        </w:rPr>
        <w:tab/>
      </w:r>
      <w:r w:rsidRPr="00121FC6">
        <w:rPr>
          <w:rFonts w:ascii="Tahoma" w:hAnsi="Tahoma" w:cs="Tahoma"/>
          <w:sz w:val="18"/>
          <w:szCs w:val="18"/>
        </w:rPr>
        <w:t>Dra. Ana Lucía Caicedo Calderón</w:t>
      </w:r>
    </w:p>
    <w:p w14:paraId="0103B25A" w14:textId="72095819" w:rsidR="008649DC" w:rsidRDefault="00873FBD" w:rsidP="008649DC">
      <w:pPr>
        <w:pStyle w:val="Prrafodelista"/>
        <w:tabs>
          <w:tab w:val="left" w:pos="748"/>
        </w:tabs>
        <w:spacing w:line="276" w:lineRule="auto"/>
        <w:ind w:left="2124" w:hanging="2124"/>
        <w:jc w:val="both"/>
        <w:rPr>
          <w:rFonts w:ascii="Tahoma" w:hAnsi="Tahoma" w:cs="Tahoma"/>
          <w:sz w:val="18"/>
          <w:szCs w:val="18"/>
        </w:rPr>
      </w:pPr>
      <w:r w:rsidRPr="008649DC">
        <w:rPr>
          <w:rFonts w:ascii="Tahoma" w:hAnsi="Tahoma" w:cs="Tahoma"/>
          <w:b/>
          <w:sz w:val="18"/>
          <w:szCs w:val="18"/>
        </w:rPr>
        <w:t>Tema</w:t>
      </w:r>
      <w:r w:rsidRPr="008649DC">
        <w:rPr>
          <w:rFonts w:ascii="Tahoma" w:hAnsi="Tahoma" w:cs="Tahoma"/>
          <w:b/>
          <w:sz w:val="18"/>
          <w:szCs w:val="18"/>
          <w:lang w:val="es-CO"/>
        </w:rPr>
        <w:tab/>
      </w:r>
      <w:r w:rsidR="008649DC">
        <w:rPr>
          <w:rFonts w:ascii="Tahoma" w:hAnsi="Tahoma" w:cs="Tahoma"/>
          <w:b/>
          <w:sz w:val="18"/>
          <w:szCs w:val="18"/>
          <w:lang w:val="es-CO"/>
        </w:rPr>
        <w:tab/>
      </w:r>
      <w:r w:rsidR="008649DC" w:rsidRPr="008649DC">
        <w:rPr>
          <w:rFonts w:ascii="Tahoma" w:hAnsi="Tahoma" w:cs="Tahoma"/>
          <w:b/>
          <w:caps/>
          <w:sz w:val="18"/>
          <w:szCs w:val="18"/>
        </w:rPr>
        <w:t>Indemnización del art 26 de la ley 361 de 1997:</w:t>
      </w:r>
      <w:r w:rsidR="008649DC">
        <w:rPr>
          <w:rFonts w:ascii="Tahoma" w:hAnsi="Tahoma" w:cs="Tahoma"/>
          <w:b/>
          <w:caps/>
          <w:sz w:val="18"/>
          <w:szCs w:val="18"/>
        </w:rPr>
        <w:t xml:space="preserve"> </w:t>
      </w:r>
      <w:r w:rsidR="008649DC" w:rsidRPr="008649DC">
        <w:rPr>
          <w:rFonts w:ascii="Tahoma" w:hAnsi="Tahoma" w:cs="Tahoma"/>
          <w:sz w:val="18"/>
          <w:szCs w:val="18"/>
        </w:rPr>
        <w:t>carece de todo efecto jurídico el despido o la terminación del contrato, de una persona en razón de su situación de discapacidad, sin que exista autorización previa de la oficina de trabajo que constate la configuración de la existencia de una justa causa para el despido o terminación del respectivo contrato</w:t>
      </w:r>
      <w:r w:rsidR="008649DC">
        <w:rPr>
          <w:rFonts w:ascii="Tahoma" w:hAnsi="Tahoma" w:cs="Tahoma"/>
          <w:sz w:val="18"/>
          <w:szCs w:val="18"/>
        </w:rPr>
        <w:t>.</w:t>
      </w:r>
    </w:p>
    <w:p w14:paraId="1C5FE335" w14:textId="1E2CAFC0" w:rsidR="000B6083" w:rsidRDefault="000B6083" w:rsidP="000B6083">
      <w:pPr>
        <w:pStyle w:val="Prrafodelista"/>
        <w:tabs>
          <w:tab w:val="left" w:pos="748"/>
        </w:tabs>
        <w:spacing w:line="276" w:lineRule="auto"/>
        <w:ind w:left="2124" w:hanging="2124"/>
        <w:jc w:val="both"/>
        <w:rPr>
          <w:rFonts w:ascii="Tahoma" w:hAnsi="Tahoma" w:cs="Tahoma"/>
          <w:sz w:val="18"/>
          <w:szCs w:val="18"/>
          <w:shd w:val="clear" w:color="auto" w:fill="FFFFFF"/>
        </w:rPr>
      </w:pPr>
      <w:r>
        <w:rPr>
          <w:rFonts w:ascii="Tahoma" w:hAnsi="Tahoma" w:cs="Tahoma"/>
          <w:b/>
          <w:sz w:val="18"/>
          <w:szCs w:val="18"/>
        </w:rPr>
        <w:tab/>
      </w:r>
      <w:r>
        <w:rPr>
          <w:rFonts w:ascii="Tahoma" w:hAnsi="Tahoma" w:cs="Tahoma"/>
          <w:b/>
          <w:sz w:val="18"/>
          <w:szCs w:val="18"/>
        </w:rPr>
        <w:tab/>
      </w:r>
      <w:r w:rsidRPr="000B6083">
        <w:rPr>
          <w:rFonts w:ascii="Tahoma" w:hAnsi="Tahoma" w:cs="Tahoma"/>
          <w:b/>
          <w:sz w:val="18"/>
          <w:szCs w:val="18"/>
        </w:rPr>
        <w:t xml:space="preserve">SANCIÓN POR LA FALTA DE CONSIGNACIÓN DE LAS CESANTÍAS: </w:t>
      </w:r>
      <w:r w:rsidRPr="000B6083">
        <w:rPr>
          <w:rFonts w:ascii="Tahoma" w:hAnsi="Tahoma" w:cs="Tahoma"/>
          <w:sz w:val="18"/>
          <w:szCs w:val="18"/>
          <w:shd w:val="clear" w:color="auto" w:fill="FFFFFF"/>
        </w:rPr>
        <w:t>la falta de consignación de una anualidad, origina la mora hasta el momento en que ocurra la satisfacción de esa parte de la prestación, aun cuando las anualidades posteriores sean debidamente depositadas en el fondo. Si se incumple la consignación de varias anualidades, la indemnización se causa desde la insatisfacción de la primera consignación con la base salarial que debió tomarse para calcular la cesantía dejada de consignar, pero cuando el patrono incumpla por segunda vez con la obligación de hacer el depósito de la respectiva anualidad, el monto de la sanción seguirá causándose con base en el salario vigente en el año en que se causó la cesantía dejada de depositar, y así sucesivamente, hasta cuando se consigne la anualidad o anualidades adeudadas o se le cancele el auxilio de cesantía directamente al trabajador en razón de la terminación del contrato de trabajo</w:t>
      </w:r>
      <w:r>
        <w:rPr>
          <w:rFonts w:ascii="Tahoma" w:hAnsi="Tahoma" w:cs="Tahoma"/>
          <w:sz w:val="18"/>
          <w:szCs w:val="18"/>
          <w:shd w:val="clear" w:color="auto" w:fill="FFFFFF"/>
        </w:rPr>
        <w:t>.</w:t>
      </w:r>
    </w:p>
    <w:p w14:paraId="5D427D59" w14:textId="77777777" w:rsidR="00176D20" w:rsidRPr="00176D20" w:rsidRDefault="00176D20" w:rsidP="000B6083">
      <w:pPr>
        <w:pStyle w:val="Prrafodelista"/>
        <w:tabs>
          <w:tab w:val="left" w:pos="748"/>
        </w:tabs>
        <w:spacing w:line="276" w:lineRule="auto"/>
        <w:ind w:left="2124" w:hanging="2124"/>
        <w:jc w:val="both"/>
        <w:rPr>
          <w:rFonts w:ascii="Tahoma" w:hAnsi="Tahoma" w:cs="Tahoma"/>
          <w:sz w:val="18"/>
          <w:szCs w:val="18"/>
          <w:shd w:val="clear" w:color="auto" w:fill="FFFFFF"/>
        </w:rPr>
      </w:pPr>
    </w:p>
    <w:p w14:paraId="6BA98255" w14:textId="77777777" w:rsidR="00176D20" w:rsidRPr="00176D20" w:rsidRDefault="00176D20" w:rsidP="00176D20">
      <w:pPr>
        <w:jc w:val="both"/>
        <w:rPr>
          <w:rFonts w:ascii="Tahoma" w:hAnsi="Tahoma" w:cs="Tahoma"/>
          <w:sz w:val="18"/>
          <w:szCs w:val="18"/>
          <w:shd w:val="clear" w:color="auto" w:fill="FFFFFF"/>
        </w:rPr>
      </w:pPr>
      <w:r w:rsidRPr="00176D20">
        <w:rPr>
          <w:rFonts w:ascii="Tahoma" w:hAnsi="Tahoma" w:cs="Tahoma"/>
          <w:b/>
          <w:sz w:val="18"/>
          <w:szCs w:val="18"/>
          <w:shd w:val="clear" w:color="auto" w:fill="FFFFFF"/>
        </w:rPr>
        <w:t>Citación jurisprudencial:</w:t>
      </w:r>
      <w:r w:rsidRPr="00176D20">
        <w:rPr>
          <w:rFonts w:ascii="Tahoma" w:hAnsi="Tahoma" w:cs="Tahoma"/>
          <w:sz w:val="18"/>
          <w:szCs w:val="18"/>
          <w:shd w:val="clear" w:color="auto" w:fill="FFFFFF"/>
        </w:rPr>
        <w:t xml:space="preserve"> Revisada la jurisprudencia en relación con la interpretación dada al artículo 26 de la Ley 361 de 1997, la hermenéutica de la Sala de Casación Laboral de la Corte Suprema de Justicia difiere de la que le ha dado la Corte Constitucional, tanto en ejercicio de la acción de constit</w:t>
      </w:r>
      <w:bookmarkStart w:id="0" w:name="_GoBack"/>
      <w:bookmarkEnd w:id="0"/>
      <w:r w:rsidRPr="00176D20">
        <w:rPr>
          <w:rFonts w:ascii="Tahoma" w:hAnsi="Tahoma" w:cs="Tahoma"/>
          <w:sz w:val="18"/>
          <w:szCs w:val="18"/>
          <w:shd w:val="clear" w:color="auto" w:fill="FFFFFF"/>
        </w:rPr>
        <w:t>ucionalidad (mediante las Sentencias C-016 de 1998, C-531-00 y C-824 de 2011) como en múltiples decisiones en sede de tutela.</w:t>
      </w:r>
    </w:p>
    <w:p w14:paraId="449BDA03" w14:textId="77777777" w:rsidR="00176D20" w:rsidRDefault="00176D20" w:rsidP="00176D20">
      <w:pPr>
        <w:jc w:val="both"/>
        <w:rPr>
          <w:rFonts w:ascii="Tahoma" w:hAnsi="Tahoma" w:cs="Tahoma"/>
          <w:sz w:val="18"/>
          <w:szCs w:val="18"/>
          <w:shd w:val="clear" w:color="auto" w:fill="FFFFFF"/>
        </w:rPr>
      </w:pPr>
    </w:p>
    <w:p w14:paraId="6D7235DD" w14:textId="7E944B7F" w:rsidR="00176D20" w:rsidRPr="00176D20" w:rsidRDefault="00176D20" w:rsidP="00176D20">
      <w:pPr>
        <w:jc w:val="both"/>
        <w:rPr>
          <w:rFonts w:ascii="Tahoma" w:hAnsi="Tahoma" w:cs="Tahoma"/>
          <w:sz w:val="18"/>
          <w:szCs w:val="18"/>
          <w:shd w:val="clear" w:color="auto" w:fill="FFFFFF"/>
        </w:rPr>
      </w:pPr>
      <w:r>
        <w:rPr>
          <w:rFonts w:ascii="Tahoma" w:hAnsi="Tahoma" w:cs="Tahoma"/>
          <w:sz w:val="18"/>
          <w:szCs w:val="18"/>
          <w:shd w:val="clear" w:color="auto" w:fill="FFFFFF"/>
        </w:rPr>
        <w:t>E</w:t>
      </w:r>
      <w:r w:rsidRPr="00176D20">
        <w:rPr>
          <w:rFonts w:ascii="Tahoma" w:hAnsi="Tahoma" w:cs="Tahoma"/>
          <w:sz w:val="18"/>
          <w:szCs w:val="18"/>
          <w:shd w:val="clear" w:color="auto" w:fill="FFFFFF"/>
        </w:rPr>
        <w:t>sta Corporación, en Sala mayoritaria mediante sentencia del 9 de mayo de 2014, Radicado No. 66001-31-05-004-2012-00910-01 con ponencia de quien aquí cumple igual encargo, cambió su precedente horizontal y adoptó la posición de la Corte Constitucional.</w:t>
      </w:r>
    </w:p>
    <w:p w14:paraId="5ACFA994" w14:textId="77777777" w:rsidR="00176D20" w:rsidRPr="00176D20" w:rsidRDefault="00176D20" w:rsidP="000B6083">
      <w:pPr>
        <w:pStyle w:val="Prrafodelista"/>
        <w:tabs>
          <w:tab w:val="left" w:pos="748"/>
        </w:tabs>
        <w:spacing w:line="276" w:lineRule="auto"/>
        <w:ind w:left="2124" w:hanging="2124"/>
        <w:jc w:val="both"/>
        <w:rPr>
          <w:rFonts w:ascii="Tahoma" w:hAnsi="Tahoma" w:cs="Tahoma"/>
          <w:sz w:val="18"/>
          <w:szCs w:val="18"/>
          <w:shd w:val="clear" w:color="auto" w:fill="FFFFFF"/>
        </w:rPr>
      </w:pPr>
    </w:p>
    <w:p w14:paraId="104D7827" w14:textId="77777777" w:rsidR="00873FBD" w:rsidRPr="00176D20" w:rsidRDefault="00873FBD" w:rsidP="000B6083">
      <w:pPr>
        <w:spacing w:line="276" w:lineRule="auto"/>
        <w:rPr>
          <w:rFonts w:ascii="Tahoma" w:hAnsi="Tahoma" w:cs="Tahoma"/>
          <w:sz w:val="18"/>
          <w:szCs w:val="18"/>
          <w:shd w:val="clear" w:color="auto" w:fill="FFFFFF"/>
        </w:rPr>
      </w:pPr>
    </w:p>
    <w:p w14:paraId="070726A5" w14:textId="77777777" w:rsidR="00873FBD" w:rsidRPr="006A2178" w:rsidRDefault="00873FBD" w:rsidP="000B6083">
      <w:pPr>
        <w:pStyle w:val="Ttulo4"/>
        <w:widowControl w:val="0"/>
        <w:spacing w:before="0" w:line="276" w:lineRule="auto"/>
        <w:jc w:val="center"/>
        <w:rPr>
          <w:rFonts w:ascii="Tahoma" w:hAnsi="Tahoma" w:cs="Tahoma"/>
          <w:b/>
          <w:bCs/>
          <w:i w:val="0"/>
          <w:color w:val="auto"/>
          <w:lang w:eastAsia="es-MX"/>
        </w:rPr>
      </w:pPr>
      <w:r w:rsidRPr="006A2178">
        <w:rPr>
          <w:rFonts w:ascii="Tahoma" w:hAnsi="Tahoma" w:cs="Tahoma"/>
          <w:b/>
          <w:bCs/>
          <w:i w:val="0"/>
          <w:color w:val="auto"/>
          <w:lang w:eastAsia="es-MX"/>
        </w:rPr>
        <w:t>TRIBUNAL SUPERIOR DEL DISTRITO JUDICIAL DE PEREIRA</w:t>
      </w:r>
    </w:p>
    <w:p w14:paraId="38623D71" w14:textId="77777777" w:rsidR="00873FBD" w:rsidRPr="006A2178" w:rsidRDefault="00873FBD" w:rsidP="000B6083">
      <w:pPr>
        <w:pStyle w:val="Ttulo4"/>
        <w:widowControl w:val="0"/>
        <w:spacing w:before="0" w:line="276" w:lineRule="auto"/>
        <w:jc w:val="center"/>
        <w:rPr>
          <w:rFonts w:ascii="Tahoma" w:hAnsi="Tahoma" w:cs="Tahoma"/>
          <w:b/>
          <w:bCs/>
          <w:i w:val="0"/>
          <w:color w:val="auto"/>
          <w:lang w:eastAsia="es-MX"/>
        </w:rPr>
      </w:pPr>
      <w:r w:rsidRPr="006A2178">
        <w:rPr>
          <w:rFonts w:ascii="Tahoma" w:hAnsi="Tahoma" w:cs="Tahoma"/>
          <w:b/>
          <w:bCs/>
          <w:i w:val="0"/>
          <w:color w:val="auto"/>
          <w:lang w:eastAsia="es-MX"/>
        </w:rPr>
        <w:t>SALA LABORAL</w:t>
      </w:r>
    </w:p>
    <w:p w14:paraId="2BDBE60D" w14:textId="77777777" w:rsidR="00873FBD" w:rsidRPr="006A2178" w:rsidRDefault="00873FBD" w:rsidP="00873FBD">
      <w:pPr>
        <w:rPr>
          <w:lang w:eastAsia="es-MX"/>
        </w:rPr>
      </w:pPr>
    </w:p>
    <w:p w14:paraId="2E155DEF" w14:textId="77777777" w:rsidR="00873FBD" w:rsidRPr="006A2178" w:rsidRDefault="00873FBD" w:rsidP="00873FBD">
      <w:pPr>
        <w:spacing w:line="276" w:lineRule="auto"/>
        <w:jc w:val="center"/>
        <w:rPr>
          <w:rFonts w:ascii="Tahoma" w:hAnsi="Tahoma" w:cs="Tahoma"/>
          <w:b/>
          <w:bCs/>
        </w:rPr>
      </w:pPr>
      <w:r w:rsidRPr="006A2178">
        <w:rPr>
          <w:rFonts w:ascii="Tahoma" w:hAnsi="Tahoma" w:cs="Tahoma"/>
          <w:bCs/>
        </w:rPr>
        <w:t xml:space="preserve">Magistrada ponente: </w:t>
      </w:r>
      <w:r w:rsidRPr="006A2178">
        <w:rPr>
          <w:rFonts w:ascii="Tahoma" w:hAnsi="Tahoma" w:cs="Tahoma"/>
          <w:b/>
          <w:bCs/>
        </w:rPr>
        <w:t>Ana Lucía Caicedo Calderón</w:t>
      </w:r>
    </w:p>
    <w:p w14:paraId="04C1722B" w14:textId="77777777" w:rsidR="00873FBD" w:rsidRDefault="00873FBD" w:rsidP="00873FBD">
      <w:pPr>
        <w:spacing w:line="276" w:lineRule="auto"/>
        <w:jc w:val="center"/>
        <w:rPr>
          <w:rFonts w:ascii="Tahoma" w:hAnsi="Tahoma" w:cs="Tahoma"/>
          <w:b/>
        </w:rPr>
      </w:pPr>
      <w:r w:rsidRPr="006A2178">
        <w:rPr>
          <w:rFonts w:ascii="Tahoma" w:hAnsi="Tahoma" w:cs="Tahoma"/>
          <w:b/>
        </w:rPr>
        <w:t>Acta No. ____</w:t>
      </w:r>
    </w:p>
    <w:p w14:paraId="3561CC46" w14:textId="77777777" w:rsidR="00773A5D" w:rsidRPr="006A2178" w:rsidRDefault="00773A5D" w:rsidP="00873FBD">
      <w:pPr>
        <w:spacing w:line="276" w:lineRule="auto"/>
        <w:jc w:val="center"/>
        <w:rPr>
          <w:rFonts w:ascii="Tahoma" w:hAnsi="Tahoma" w:cs="Tahoma"/>
          <w:b/>
        </w:rPr>
      </w:pPr>
    </w:p>
    <w:p w14:paraId="0C459505" w14:textId="7F69DCBA" w:rsidR="00873FBD" w:rsidRPr="006A2178" w:rsidRDefault="00873FBD" w:rsidP="00873FBD">
      <w:pPr>
        <w:spacing w:line="276" w:lineRule="auto"/>
        <w:jc w:val="center"/>
        <w:rPr>
          <w:rFonts w:ascii="Tahoma" w:hAnsi="Tahoma" w:cs="Tahoma"/>
          <w:b/>
        </w:rPr>
      </w:pPr>
      <w:r w:rsidRPr="006A2178">
        <w:rPr>
          <w:rFonts w:ascii="Tahoma" w:hAnsi="Tahoma" w:cs="Tahoma"/>
          <w:b/>
        </w:rPr>
        <w:t>(</w:t>
      </w:r>
      <w:r w:rsidR="0089328E">
        <w:rPr>
          <w:rFonts w:ascii="Tahoma" w:hAnsi="Tahoma" w:cs="Tahoma"/>
          <w:b/>
        </w:rPr>
        <w:t>Septiembre 12</w:t>
      </w:r>
      <w:r w:rsidR="008649DC">
        <w:rPr>
          <w:rFonts w:ascii="Tahoma" w:hAnsi="Tahoma" w:cs="Tahoma"/>
          <w:b/>
        </w:rPr>
        <w:t xml:space="preserve"> </w:t>
      </w:r>
      <w:r w:rsidRPr="006A2178">
        <w:rPr>
          <w:rFonts w:ascii="Tahoma" w:hAnsi="Tahoma" w:cs="Tahoma"/>
          <w:b/>
        </w:rPr>
        <w:t>de 2016)</w:t>
      </w:r>
    </w:p>
    <w:p w14:paraId="64729989" w14:textId="77777777" w:rsidR="00873FBD" w:rsidRPr="006A2178" w:rsidRDefault="00873FBD" w:rsidP="00873FBD">
      <w:pPr>
        <w:jc w:val="center"/>
        <w:rPr>
          <w:rFonts w:ascii="Tahoma" w:hAnsi="Tahoma" w:cs="Tahoma"/>
          <w:b/>
        </w:rPr>
      </w:pPr>
    </w:p>
    <w:p w14:paraId="3A59FE2E" w14:textId="77777777" w:rsidR="008649DC" w:rsidRPr="008649DC" w:rsidRDefault="008649DC" w:rsidP="008649DC">
      <w:pPr>
        <w:pStyle w:val="Ttulo5"/>
        <w:spacing w:line="276" w:lineRule="auto"/>
        <w:jc w:val="center"/>
        <w:rPr>
          <w:rFonts w:ascii="Tahoma" w:hAnsi="Tahoma" w:cs="Tahoma"/>
          <w:color w:val="auto"/>
        </w:rPr>
      </w:pPr>
      <w:r w:rsidRPr="008649DC">
        <w:rPr>
          <w:rFonts w:ascii="Tahoma" w:hAnsi="Tahoma" w:cs="Tahoma"/>
          <w:color w:val="auto"/>
        </w:rPr>
        <w:t>Sistema oral - Audiencia de juzgamiento</w:t>
      </w:r>
    </w:p>
    <w:p w14:paraId="2978EAB4" w14:textId="77777777" w:rsidR="008649DC" w:rsidRPr="006E09E7" w:rsidRDefault="008649DC" w:rsidP="008649DC">
      <w:pPr>
        <w:jc w:val="both"/>
        <w:rPr>
          <w:rFonts w:ascii="Tahoma" w:hAnsi="Tahoma" w:cs="Tahoma"/>
          <w:lang w:val="es-ES_tradnl"/>
        </w:rPr>
      </w:pPr>
      <w:r w:rsidRPr="00CB117F">
        <w:rPr>
          <w:rFonts w:ascii="Tahoma" w:hAnsi="Tahoma" w:cs="Tahoma"/>
          <w:b/>
        </w:rPr>
        <w:tab/>
      </w:r>
    </w:p>
    <w:p w14:paraId="7F8C7718" w14:textId="3688A2FA" w:rsidR="000B6083" w:rsidRDefault="008649DC" w:rsidP="000B6083">
      <w:pPr>
        <w:spacing w:line="276" w:lineRule="auto"/>
        <w:ind w:firstLine="708"/>
        <w:jc w:val="both"/>
        <w:rPr>
          <w:rFonts w:ascii="Tahoma" w:hAnsi="Tahoma" w:cs="Tahoma"/>
          <w:lang w:val="es-ES_tradnl"/>
        </w:rPr>
      </w:pPr>
      <w:r w:rsidRPr="006E09E7">
        <w:rPr>
          <w:rFonts w:ascii="Tahoma" w:hAnsi="Tahoma" w:cs="Tahoma"/>
          <w:lang w:val="es-ES_tradnl"/>
        </w:rPr>
        <w:t xml:space="preserve">Siendo las </w:t>
      </w:r>
      <w:r>
        <w:rPr>
          <w:rFonts w:ascii="Tahoma" w:hAnsi="Tahoma" w:cs="Tahoma"/>
          <w:lang w:val="es-ES_tradnl"/>
        </w:rPr>
        <w:t>09:00 a</w:t>
      </w:r>
      <w:r w:rsidRPr="006E09E7">
        <w:rPr>
          <w:rFonts w:ascii="Tahoma" w:hAnsi="Tahoma" w:cs="Tahoma"/>
          <w:lang w:val="es-ES_tradnl"/>
        </w:rPr>
        <w:t>.m. de hoy,</w:t>
      </w:r>
      <w:r>
        <w:rPr>
          <w:rFonts w:ascii="Tahoma" w:hAnsi="Tahoma" w:cs="Tahoma"/>
          <w:lang w:val="es-ES_tradnl"/>
        </w:rPr>
        <w:t xml:space="preserve"> viernes </w:t>
      </w:r>
      <w:r w:rsidR="0089328E">
        <w:rPr>
          <w:rFonts w:ascii="Tahoma" w:hAnsi="Tahoma" w:cs="Tahoma"/>
          <w:lang w:val="es-ES_tradnl"/>
        </w:rPr>
        <w:t xml:space="preserve">12 </w:t>
      </w:r>
      <w:r w:rsidRPr="006E09E7">
        <w:rPr>
          <w:rFonts w:ascii="Tahoma" w:hAnsi="Tahoma" w:cs="Tahoma"/>
          <w:lang w:val="es-ES_tradnl"/>
        </w:rPr>
        <w:t xml:space="preserve">de </w:t>
      </w:r>
      <w:r w:rsidR="0089328E">
        <w:rPr>
          <w:rFonts w:ascii="Tahoma" w:hAnsi="Tahoma" w:cs="Tahoma"/>
          <w:lang w:val="es-ES_tradnl"/>
        </w:rPr>
        <w:t>septiembre</w:t>
      </w:r>
      <w:r w:rsidRPr="006E09E7">
        <w:rPr>
          <w:rFonts w:ascii="Tahoma" w:hAnsi="Tahoma" w:cs="Tahoma"/>
          <w:lang w:val="es-ES_tradnl"/>
        </w:rPr>
        <w:t xml:space="preserve"> de 2016, la Sala No. 1º de Decisión Laboral del Tribunal Superior de Pereira se constituye en Audiencia Pública de Juzgamiento en el proceso ordinario laboral instaurado por </w:t>
      </w:r>
      <w:r>
        <w:rPr>
          <w:rFonts w:ascii="Tahoma" w:hAnsi="Tahoma" w:cs="Tahoma"/>
          <w:b/>
          <w:lang w:val="es-ES_tradnl"/>
        </w:rPr>
        <w:t xml:space="preserve">FABIO DANIEL CASTRILLÓN </w:t>
      </w:r>
      <w:proofErr w:type="spellStart"/>
      <w:r>
        <w:rPr>
          <w:rFonts w:ascii="Tahoma" w:hAnsi="Tahoma" w:cs="Tahoma"/>
          <w:b/>
          <w:lang w:val="es-ES_tradnl"/>
        </w:rPr>
        <w:t>GONZALEZ</w:t>
      </w:r>
      <w:proofErr w:type="spellEnd"/>
      <w:r>
        <w:rPr>
          <w:rFonts w:ascii="Tahoma" w:hAnsi="Tahoma" w:cs="Tahoma"/>
          <w:b/>
          <w:lang w:val="es-ES_tradnl"/>
        </w:rPr>
        <w:t xml:space="preserve"> </w:t>
      </w:r>
      <w:r w:rsidRPr="006E09E7">
        <w:rPr>
          <w:rFonts w:ascii="Tahoma" w:hAnsi="Tahoma" w:cs="Tahoma"/>
          <w:lang w:val="es-ES_tradnl"/>
        </w:rPr>
        <w:t>en contra de</w:t>
      </w:r>
      <w:r>
        <w:rPr>
          <w:rFonts w:ascii="Tahoma" w:hAnsi="Tahoma" w:cs="Tahoma"/>
          <w:lang w:val="es-ES_tradnl"/>
        </w:rPr>
        <w:t xml:space="preserve"> </w:t>
      </w:r>
      <w:proofErr w:type="spellStart"/>
      <w:r w:rsidRPr="008649DC">
        <w:rPr>
          <w:rFonts w:ascii="Tahoma" w:hAnsi="Tahoma" w:cs="Tahoma"/>
          <w:b/>
          <w:lang w:val="es-ES_tradnl"/>
        </w:rPr>
        <w:t>PROMASIVO</w:t>
      </w:r>
      <w:proofErr w:type="spellEnd"/>
      <w:r w:rsidRPr="008649DC">
        <w:rPr>
          <w:rFonts w:ascii="Tahoma" w:hAnsi="Tahoma" w:cs="Tahoma"/>
          <w:b/>
          <w:lang w:val="es-ES_tradnl"/>
        </w:rPr>
        <w:t xml:space="preserve"> S.A.</w:t>
      </w:r>
      <w:r w:rsidRPr="006E09E7">
        <w:rPr>
          <w:rFonts w:ascii="Tahoma" w:hAnsi="Tahoma" w:cs="Tahoma"/>
          <w:lang w:val="es-ES_tradnl"/>
        </w:rPr>
        <w:t xml:space="preserve"> </w:t>
      </w:r>
    </w:p>
    <w:p w14:paraId="0A41E72B" w14:textId="77777777" w:rsidR="000B6083" w:rsidRDefault="000B6083" w:rsidP="000B6083">
      <w:pPr>
        <w:spacing w:line="276" w:lineRule="auto"/>
        <w:ind w:firstLine="708"/>
        <w:jc w:val="both"/>
        <w:rPr>
          <w:rFonts w:ascii="Tahoma" w:hAnsi="Tahoma" w:cs="Tahoma"/>
          <w:lang w:val="es-ES_tradnl"/>
        </w:rPr>
      </w:pPr>
    </w:p>
    <w:p w14:paraId="7731A97D" w14:textId="4AC1DCD6" w:rsidR="000B6083" w:rsidRDefault="008649DC" w:rsidP="000B6083">
      <w:pPr>
        <w:spacing w:line="276" w:lineRule="auto"/>
        <w:ind w:firstLine="708"/>
        <w:jc w:val="both"/>
        <w:rPr>
          <w:rFonts w:ascii="Tahoma" w:hAnsi="Tahoma" w:cs="Tahoma"/>
          <w:lang w:val="es-ES_tradnl"/>
        </w:rPr>
      </w:pPr>
      <w:r w:rsidRPr="006E09E7">
        <w:rPr>
          <w:rFonts w:ascii="Tahoma" w:hAnsi="Tahoma" w:cs="Tahoma"/>
          <w:lang w:val="es-ES_tradnl"/>
        </w:rPr>
        <w:t>Para el efecto, se verificar la asistencia de las partes a la presente diligencia: Parte demandante… Parte demandada…</w:t>
      </w:r>
    </w:p>
    <w:p w14:paraId="68AF45EC" w14:textId="77777777" w:rsidR="000B6083" w:rsidRDefault="000B6083" w:rsidP="00F4194A">
      <w:pPr>
        <w:widowControl w:val="0"/>
        <w:autoSpaceDE w:val="0"/>
        <w:autoSpaceDN w:val="0"/>
        <w:adjustRightInd w:val="0"/>
        <w:rPr>
          <w:rFonts w:ascii="Tahoma" w:hAnsi="Tahoma" w:cs="Tahoma"/>
          <w:lang w:val="es-ES_tradnl"/>
        </w:rPr>
      </w:pPr>
    </w:p>
    <w:p w14:paraId="28F085D9" w14:textId="77777777" w:rsidR="00F4194A" w:rsidRPr="006E09E7" w:rsidRDefault="00F4194A" w:rsidP="00F4194A">
      <w:pPr>
        <w:widowControl w:val="0"/>
        <w:autoSpaceDE w:val="0"/>
        <w:autoSpaceDN w:val="0"/>
        <w:adjustRightInd w:val="0"/>
        <w:rPr>
          <w:rFonts w:ascii="Tahoma" w:hAnsi="Tahoma" w:cs="Tahoma"/>
          <w:b/>
        </w:rPr>
      </w:pPr>
    </w:p>
    <w:p w14:paraId="1B776467" w14:textId="77777777" w:rsidR="008649DC" w:rsidRPr="006E09E7" w:rsidRDefault="008649DC" w:rsidP="008649DC">
      <w:pPr>
        <w:widowControl w:val="0"/>
        <w:autoSpaceDE w:val="0"/>
        <w:autoSpaceDN w:val="0"/>
        <w:adjustRightInd w:val="0"/>
        <w:jc w:val="center"/>
        <w:rPr>
          <w:rFonts w:ascii="Tahoma" w:hAnsi="Tahoma" w:cs="Tahoma"/>
          <w:b/>
          <w:caps/>
        </w:rPr>
      </w:pPr>
      <w:r w:rsidRPr="006E09E7">
        <w:rPr>
          <w:rFonts w:ascii="Tahoma" w:hAnsi="Tahoma" w:cs="Tahoma"/>
          <w:b/>
          <w:caps/>
        </w:rPr>
        <w:t>Alegatos de conclusión</w:t>
      </w:r>
    </w:p>
    <w:p w14:paraId="4E538282" w14:textId="77777777" w:rsidR="008649DC" w:rsidRPr="006E09E7" w:rsidRDefault="008649DC" w:rsidP="008649DC">
      <w:pPr>
        <w:pStyle w:val="Sinespaciado"/>
      </w:pPr>
    </w:p>
    <w:p w14:paraId="74C28CD1" w14:textId="77777777" w:rsidR="008649DC" w:rsidRPr="006E09E7" w:rsidRDefault="008649DC" w:rsidP="008649DC">
      <w:pPr>
        <w:ind w:firstLine="708"/>
        <w:jc w:val="both"/>
        <w:rPr>
          <w:rFonts w:ascii="Tahoma" w:hAnsi="Tahoma" w:cs="Tahoma"/>
          <w:lang w:val="es-ES_tradnl"/>
        </w:rPr>
      </w:pPr>
      <w:r w:rsidRPr="006E09E7">
        <w:rPr>
          <w:rFonts w:ascii="Tahoma" w:hAnsi="Tahoma" w:cs="Tahoma"/>
          <w:lang w:val="es-ES_tradnl"/>
        </w:rPr>
        <w:t xml:space="preserve">Con fundamento en el artículo 82 del </w:t>
      </w:r>
      <w:proofErr w:type="spellStart"/>
      <w:r w:rsidRPr="006E09E7">
        <w:rPr>
          <w:rFonts w:ascii="Tahoma" w:hAnsi="Tahoma" w:cs="Tahoma"/>
          <w:lang w:val="es-ES_tradnl"/>
        </w:rPr>
        <w:t>C.P.T</w:t>
      </w:r>
      <w:proofErr w:type="spellEnd"/>
      <w:r w:rsidRPr="006E09E7">
        <w:rPr>
          <w:rFonts w:ascii="Tahoma" w:hAnsi="Tahoma" w:cs="Tahoma"/>
          <w:lang w:val="es-ES_tradnl"/>
        </w:rPr>
        <w:t xml:space="preserve"> y de la S.S., modificado por el artículo 13 de la Ley 1149 de 2007, se concede el uso de la palabra a las partes para que presenten sus alegatos de conclusión: </w:t>
      </w:r>
      <w:r>
        <w:rPr>
          <w:rFonts w:ascii="Tahoma" w:hAnsi="Tahoma" w:cs="Tahoma"/>
          <w:lang w:val="es-ES_tradnl"/>
        </w:rPr>
        <w:t>…………</w:t>
      </w:r>
      <w:r w:rsidRPr="006E09E7">
        <w:rPr>
          <w:rFonts w:ascii="Tahoma" w:hAnsi="Tahoma" w:cs="Tahoma"/>
          <w:lang w:val="es-ES_tradnl"/>
        </w:rPr>
        <w:t>Parte demandante… Parte demandada…</w:t>
      </w:r>
    </w:p>
    <w:p w14:paraId="66A114BA" w14:textId="77777777" w:rsidR="008649DC" w:rsidRPr="006E09E7" w:rsidRDefault="008649DC" w:rsidP="008649DC">
      <w:pPr>
        <w:widowControl w:val="0"/>
        <w:autoSpaceDE w:val="0"/>
        <w:autoSpaceDN w:val="0"/>
        <w:adjustRightInd w:val="0"/>
        <w:jc w:val="center"/>
        <w:rPr>
          <w:rFonts w:ascii="Tahoma" w:hAnsi="Tahoma" w:cs="Tahoma"/>
          <w:b/>
        </w:rPr>
      </w:pPr>
      <w:r w:rsidRPr="006E09E7">
        <w:rPr>
          <w:rFonts w:ascii="Tahoma" w:hAnsi="Tahoma" w:cs="Tahoma"/>
          <w:b/>
        </w:rPr>
        <w:br/>
        <w:t>SENTENCIA:</w:t>
      </w:r>
    </w:p>
    <w:p w14:paraId="4CA50580" w14:textId="77777777" w:rsidR="008649DC" w:rsidRPr="004941D1" w:rsidRDefault="008649DC" w:rsidP="008649DC">
      <w:pPr>
        <w:pStyle w:val="Sinespaciado"/>
        <w:rPr>
          <w:rFonts w:ascii="Tahoma" w:hAnsi="Tahoma" w:cs="Tahoma"/>
        </w:rPr>
      </w:pPr>
    </w:p>
    <w:p w14:paraId="7681B581" w14:textId="41D73F26" w:rsidR="008649DC" w:rsidRDefault="008649DC" w:rsidP="008649DC">
      <w:pPr>
        <w:widowControl w:val="0"/>
        <w:autoSpaceDE w:val="0"/>
        <w:autoSpaceDN w:val="0"/>
        <w:adjustRightInd w:val="0"/>
        <w:spacing w:line="276" w:lineRule="auto"/>
        <w:ind w:firstLine="708"/>
        <w:jc w:val="both"/>
        <w:rPr>
          <w:rFonts w:ascii="Tahoma" w:hAnsi="Tahoma" w:cs="Tahoma"/>
          <w:color w:val="000000" w:themeColor="text1"/>
        </w:rPr>
      </w:pPr>
      <w:r w:rsidRPr="004941D1">
        <w:rPr>
          <w:rFonts w:ascii="Tahoma" w:hAnsi="Tahoma" w:cs="Tahoma"/>
          <w:color w:val="000000"/>
        </w:rPr>
        <w:t>Como quiera que los alegatos coinciden a cabalidad con los puntos fácticos y jurídicos objeto de discusión en esta instancia, procede la Sala</w:t>
      </w:r>
      <w:r>
        <w:rPr>
          <w:rFonts w:ascii="Tahoma" w:hAnsi="Tahoma" w:cs="Tahoma"/>
          <w:color w:val="000000"/>
        </w:rPr>
        <w:t xml:space="preserve"> a desatar el recurso de apelación promovido por ambas partes contra la decisión</w:t>
      </w:r>
      <w:r>
        <w:rPr>
          <w:rFonts w:ascii="Tahoma" w:hAnsi="Tahoma" w:cs="Tahoma"/>
          <w:color w:val="000000" w:themeColor="text1"/>
        </w:rPr>
        <w:t xml:space="preserve"> emitida por el Juzgado Cuarto</w:t>
      </w:r>
      <w:r w:rsidRPr="00364064">
        <w:rPr>
          <w:rFonts w:ascii="Tahoma" w:hAnsi="Tahoma" w:cs="Tahoma"/>
          <w:color w:val="000000" w:themeColor="text1"/>
        </w:rPr>
        <w:t xml:space="preserve"> Laboral del Circuito de Pereira el día</w:t>
      </w:r>
      <w:r>
        <w:rPr>
          <w:rFonts w:ascii="Tahoma" w:hAnsi="Tahoma" w:cs="Tahoma"/>
          <w:color w:val="000000" w:themeColor="text1"/>
        </w:rPr>
        <w:t xml:space="preserve"> 24 de marzo de 2015</w:t>
      </w:r>
      <w:r w:rsidRPr="00364064">
        <w:rPr>
          <w:rFonts w:ascii="Tahoma" w:hAnsi="Tahoma" w:cs="Tahoma"/>
          <w:color w:val="000000" w:themeColor="text1"/>
        </w:rPr>
        <w:t>, dentro del Proceso Ordinario Laboral reseñado con anterioridad</w:t>
      </w:r>
      <w:r>
        <w:rPr>
          <w:rFonts w:ascii="Tahoma" w:hAnsi="Tahoma" w:cs="Tahoma"/>
          <w:color w:val="000000" w:themeColor="text1"/>
        </w:rPr>
        <w:t>.</w:t>
      </w:r>
      <w:r w:rsidRPr="00364064">
        <w:rPr>
          <w:rFonts w:ascii="Tahoma" w:hAnsi="Tahoma" w:cs="Tahoma"/>
          <w:color w:val="000000" w:themeColor="text1"/>
        </w:rPr>
        <w:t xml:space="preserve"> </w:t>
      </w:r>
    </w:p>
    <w:p w14:paraId="799E7190" w14:textId="77777777" w:rsidR="008649DC" w:rsidRDefault="008649DC" w:rsidP="008649DC">
      <w:pPr>
        <w:widowControl w:val="0"/>
        <w:autoSpaceDE w:val="0"/>
        <w:autoSpaceDN w:val="0"/>
        <w:adjustRightInd w:val="0"/>
        <w:spacing w:line="276" w:lineRule="auto"/>
        <w:ind w:firstLine="708"/>
        <w:jc w:val="both"/>
        <w:rPr>
          <w:rFonts w:ascii="Tahoma" w:hAnsi="Tahoma" w:cs="Tahoma"/>
          <w:color w:val="000000" w:themeColor="text1"/>
        </w:rPr>
      </w:pPr>
    </w:p>
    <w:p w14:paraId="4E779C92" w14:textId="5DBE5F3C" w:rsidR="008649DC" w:rsidRPr="008649DC" w:rsidRDefault="008649DC" w:rsidP="008649DC">
      <w:pPr>
        <w:widowControl w:val="0"/>
        <w:autoSpaceDE w:val="0"/>
        <w:autoSpaceDN w:val="0"/>
        <w:adjustRightInd w:val="0"/>
        <w:spacing w:line="276" w:lineRule="auto"/>
        <w:ind w:firstLine="708"/>
        <w:jc w:val="center"/>
        <w:rPr>
          <w:rFonts w:ascii="Tahoma" w:hAnsi="Tahoma" w:cs="Tahoma"/>
          <w:b/>
          <w:color w:val="000000" w:themeColor="text1"/>
        </w:rPr>
      </w:pPr>
      <w:r w:rsidRPr="008649DC">
        <w:rPr>
          <w:rFonts w:ascii="Tahoma" w:hAnsi="Tahoma" w:cs="Tahoma"/>
          <w:b/>
          <w:color w:val="000000" w:themeColor="text1"/>
        </w:rPr>
        <w:t xml:space="preserve">PROBLEMA </w:t>
      </w:r>
      <w:proofErr w:type="spellStart"/>
      <w:r w:rsidRPr="008649DC">
        <w:rPr>
          <w:rFonts w:ascii="Tahoma" w:hAnsi="Tahoma" w:cs="Tahoma"/>
          <w:b/>
          <w:color w:val="000000" w:themeColor="text1"/>
        </w:rPr>
        <w:t>JURIDICO</w:t>
      </w:r>
      <w:proofErr w:type="spellEnd"/>
    </w:p>
    <w:p w14:paraId="53B89076" w14:textId="77777777" w:rsidR="00873FBD" w:rsidRDefault="00873FBD" w:rsidP="005F4177">
      <w:pPr>
        <w:spacing w:line="276" w:lineRule="auto"/>
        <w:jc w:val="center"/>
        <w:rPr>
          <w:rFonts w:ascii="Tahoma" w:hAnsi="Tahoma" w:cs="Tahoma"/>
          <w:b/>
        </w:rPr>
      </w:pPr>
    </w:p>
    <w:p w14:paraId="6B586499" w14:textId="688E37D6" w:rsidR="008649DC" w:rsidRPr="008649DC" w:rsidRDefault="008649DC" w:rsidP="008649DC">
      <w:pPr>
        <w:spacing w:line="276" w:lineRule="auto"/>
        <w:ind w:firstLine="708"/>
        <w:jc w:val="both"/>
        <w:rPr>
          <w:rFonts w:ascii="Tahoma" w:hAnsi="Tahoma" w:cs="Tahoma"/>
        </w:rPr>
      </w:pPr>
      <w:r w:rsidRPr="008649DC">
        <w:rPr>
          <w:rFonts w:ascii="Tahoma" w:hAnsi="Tahoma" w:cs="Tahoma"/>
        </w:rPr>
        <w:t>En este asunto</w:t>
      </w:r>
      <w:r>
        <w:rPr>
          <w:rFonts w:ascii="Tahoma" w:hAnsi="Tahoma" w:cs="Tahoma"/>
        </w:rPr>
        <w:t>, dado el esquema de la apelación,</w:t>
      </w:r>
      <w:r w:rsidRPr="008649DC">
        <w:rPr>
          <w:rFonts w:ascii="Tahoma" w:hAnsi="Tahoma" w:cs="Tahoma"/>
        </w:rPr>
        <w:t xml:space="preserve"> se debe de verificar si opera la presunción del despido por razón de la situación </w:t>
      </w:r>
      <w:r>
        <w:rPr>
          <w:rFonts w:ascii="Tahoma" w:hAnsi="Tahoma" w:cs="Tahoma"/>
        </w:rPr>
        <w:t>de incapacidad del trabajador y asimismo deberá precisarse la</w:t>
      </w:r>
      <w:r w:rsidRPr="008649DC">
        <w:rPr>
          <w:rFonts w:ascii="Tahoma" w:hAnsi="Tahoma" w:cs="Tahoma"/>
        </w:rPr>
        <w:t xml:space="preserve"> correc</w:t>
      </w:r>
      <w:r>
        <w:rPr>
          <w:rFonts w:ascii="Tahoma" w:hAnsi="Tahoma" w:cs="Tahoma"/>
        </w:rPr>
        <w:t>ta fórmula de liquidación de la sanción por la falta de consignación de las</w:t>
      </w:r>
      <w:r w:rsidRPr="008649DC">
        <w:rPr>
          <w:rFonts w:ascii="Tahoma" w:hAnsi="Tahoma" w:cs="Tahoma"/>
        </w:rPr>
        <w:t xml:space="preserve"> cesantías</w:t>
      </w:r>
      <w:r>
        <w:rPr>
          <w:rFonts w:ascii="Tahoma" w:hAnsi="Tahoma" w:cs="Tahoma"/>
        </w:rPr>
        <w:t xml:space="preserve"> anualizadas</w:t>
      </w:r>
      <w:r w:rsidRPr="008649DC">
        <w:rPr>
          <w:rFonts w:ascii="Tahoma" w:hAnsi="Tahoma" w:cs="Tahoma"/>
        </w:rPr>
        <w:t xml:space="preserve">. </w:t>
      </w:r>
    </w:p>
    <w:p w14:paraId="03E4D4C5" w14:textId="77777777" w:rsidR="008649DC" w:rsidRDefault="008649DC" w:rsidP="005F4177">
      <w:pPr>
        <w:spacing w:line="276" w:lineRule="auto"/>
        <w:jc w:val="center"/>
        <w:rPr>
          <w:rFonts w:ascii="Tahoma" w:hAnsi="Tahoma" w:cs="Tahoma"/>
          <w:b/>
        </w:rPr>
      </w:pPr>
    </w:p>
    <w:p w14:paraId="5706D7A6" w14:textId="2E01C91C" w:rsidR="008174BD" w:rsidRPr="00C77A61" w:rsidRDefault="008174BD" w:rsidP="005F4177">
      <w:pPr>
        <w:pStyle w:val="Prrafodelista"/>
        <w:numPr>
          <w:ilvl w:val="0"/>
          <w:numId w:val="1"/>
        </w:numPr>
        <w:spacing w:line="276" w:lineRule="auto"/>
        <w:ind w:left="0" w:firstLine="0"/>
        <w:jc w:val="center"/>
        <w:rPr>
          <w:rFonts w:ascii="Tahoma" w:hAnsi="Tahoma" w:cs="Tahoma"/>
          <w:b/>
        </w:rPr>
      </w:pPr>
      <w:r w:rsidRPr="00C77A61">
        <w:rPr>
          <w:rFonts w:ascii="Tahoma" w:hAnsi="Tahoma" w:cs="Tahoma"/>
          <w:b/>
        </w:rPr>
        <w:t>ANTECEDENTES</w:t>
      </w:r>
    </w:p>
    <w:p w14:paraId="3C8BDF09" w14:textId="77777777" w:rsidR="008174BD" w:rsidRDefault="008174BD" w:rsidP="005F4177">
      <w:pPr>
        <w:spacing w:line="276" w:lineRule="auto"/>
        <w:ind w:firstLine="708"/>
        <w:jc w:val="both"/>
        <w:rPr>
          <w:rFonts w:ascii="Tahoma" w:hAnsi="Tahoma" w:cs="Tahoma"/>
        </w:rPr>
      </w:pPr>
    </w:p>
    <w:p w14:paraId="33901D5E" w14:textId="2801FAD9" w:rsidR="008174BD" w:rsidRPr="008174BD" w:rsidRDefault="008174BD" w:rsidP="005F4177">
      <w:pPr>
        <w:spacing w:line="276" w:lineRule="auto"/>
        <w:ind w:firstLine="708"/>
        <w:jc w:val="both"/>
        <w:rPr>
          <w:rFonts w:ascii="Tahoma" w:hAnsi="Tahoma" w:cs="Tahoma"/>
        </w:rPr>
      </w:pPr>
      <w:r w:rsidRPr="008174BD">
        <w:rPr>
          <w:rFonts w:ascii="Tahoma" w:hAnsi="Tahoma" w:cs="Tahoma"/>
        </w:rPr>
        <w:t xml:space="preserve">En lo que en estricto rigor atañe al recurso de apelación, ha de precisarse que el señor </w:t>
      </w:r>
      <w:r w:rsidRPr="008174BD">
        <w:rPr>
          <w:rFonts w:ascii="Tahoma" w:hAnsi="Tahoma" w:cs="Tahoma"/>
          <w:b/>
        </w:rPr>
        <w:t xml:space="preserve">FABIO DANIEL </w:t>
      </w:r>
      <w:proofErr w:type="spellStart"/>
      <w:r w:rsidRPr="008174BD">
        <w:rPr>
          <w:rFonts w:ascii="Tahoma" w:hAnsi="Tahoma" w:cs="Tahoma"/>
          <w:b/>
        </w:rPr>
        <w:t>CASTRILÓN</w:t>
      </w:r>
      <w:proofErr w:type="spellEnd"/>
      <w:r w:rsidRPr="008174BD">
        <w:rPr>
          <w:rFonts w:ascii="Tahoma" w:hAnsi="Tahoma" w:cs="Tahoma"/>
          <w:b/>
        </w:rPr>
        <w:t xml:space="preserve"> GONZÁLEZ</w:t>
      </w:r>
      <w:r w:rsidR="00A92CCC">
        <w:rPr>
          <w:rFonts w:ascii="Tahoma" w:hAnsi="Tahoma" w:cs="Tahoma"/>
        </w:rPr>
        <w:t xml:space="preserve"> presentó demanda contra su ex-empleador </w:t>
      </w:r>
      <w:proofErr w:type="spellStart"/>
      <w:r w:rsidRPr="008174BD">
        <w:rPr>
          <w:rFonts w:ascii="Tahoma" w:hAnsi="Tahoma" w:cs="Tahoma"/>
          <w:b/>
        </w:rPr>
        <w:t>PROMASIVO</w:t>
      </w:r>
      <w:proofErr w:type="spellEnd"/>
      <w:r w:rsidRPr="008174BD">
        <w:rPr>
          <w:rFonts w:ascii="Tahoma" w:hAnsi="Tahoma" w:cs="Tahoma"/>
          <w:b/>
        </w:rPr>
        <w:t xml:space="preserve"> S.A., </w:t>
      </w:r>
      <w:r w:rsidR="00A92CCC">
        <w:rPr>
          <w:rFonts w:ascii="Tahoma" w:hAnsi="Tahoma" w:cs="Tahoma"/>
        </w:rPr>
        <w:t xml:space="preserve">reclamándole, en </w:t>
      </w:r>
      <w:r w:rsidRPr="008174BD">
        <w:rPr>
          <w:rFonts w:ascii="Tahoma" w:hAnsi="Tahoma" w:cs="Tahoma"/>
        </w:rPr>
        <w:t>otras acreencias,</w:t>
      </w:r>
      <w:r w:rsidRPr="008174BD">
        <w:rPr>
          <w:rFonts w:ascii="Tahoma" w:hAnsi="Tahoma" w:cs="Tahoma"/>
          <w:b/>
        </w:rPr>
        <w:t xml:space="preserve"> </w:t>
      </w:r>
      <w:r w:rsidRPr="008174BD">
        <w:rPr>
          <w:rFonts w:ascii="Tahoma" w:hAnsi="Tahoma" w:cs="Tahoma"/>
        </w:rPr>
        <w:t>el pago de la indemnización prevista en el artículo 26 de la</w:t>
      </w:r>
      <w:r>
        <w:rPr>
          <w:rFonts w:ascii="Tahoma" w:hAnsi="Tahoma" w:cs="Tahoma"/>
        </w:rPr>
        <w:t xml:space="preserve"> Ley 361 de 1997, </w:t>
      </w:r>
      <w:r w:rsidRPr="008174BD">
        <w:rPr>
          <w:rFonts w:ascii="Tahoma" w:hAnsi="Tahoma" w:cs="Tahoma"/>
        </w:rPr>
        <w:t>equivalente a 180 días de salario</w:t>
      </w:r>
      <w:r>
        <w:rPr>
          <w:rFonts w:ascii="Tahoma" w:hAnsi="Tahoma" w:cs="Tahoma"/>
        </w:rPr>
        <w:t>,</w:t>
      </w:r>
      <w:r w:rsidRPr="008174BD">
        <w:rPr>
          <w:rFonts w:ascii="Tahoma" w:hAnsi="Tahoma" w:cs="Tahoma"/>
        </w:rPr>
        <w:t xml:space="preserve"> por haber sido supuestamente despedido encontrándose en situación de discapacidad, pendiente de una cirugía correctiva de algunas secuelas físicas derivadas de un accidente de trabajo sufrido en vigencia del contrato de trabajo el 7 de diciembre de 2013. </w:t>
      </w:r>
    </w:p>
    <w:p w14:paraId="3AC37A7D" w14:textId="77777777" w:rsidR="008174BD" w:rsidRPr="008174BD" w:rsidRDefault="008174BD" w:rsidP="005F4177">
      <w:pPr>
        <w:spacing w:line="276" w:lineRule="auto"/>
        <w:ind w:firstLine="708"/>
        <w:jc w:val="both"/>
        <w:rPr>
          <w:rFonts w:ascii="Tahoma" w:hAnsi="Tahoma" w:cs="Tahoma"/>
        </w:rPr>
      </w:pPr>
    </w:p>
    <w:p w14:paraId="783ED0FE" w14:textId="1FE2BCD8" w:rsidR="008174BD" w:rsidRPr="008174BD" w:rsidRDefault="008174BD" w:rsidP="005F4177">
      <w:pPr>
        <w:spacing w:line="276" w:lineRule="auto"/>
        <w:ind w:firstLine="708"/>
        <w:jc w:val="both"/>
        <w:rPr>
          <w:rFonts w:ascii="Tahoma" w:hAnsi="Tahoma" w:cs="Tahoma"/>
        </w:rPr>
      </w:pPr>
      <w:r w:rsidRPr="008174BD">
        <w:rPr>
          <w:rFonts w:ascii="Tahoma" w:hAnsi="Tahoma" w:cs="Tahoma"/>
        </w:rPr>
        <w:t>De otra parte, señala que el 21 de junio de 2014 la empresa demandada</w:t>
      </w:r>
      <w:r w:rsidR="000C39F2">
        <w:rPr>
          <w:rFonts w:ascii="Tahoma" w:hAnsi="Tahoma" w:cs="Tahoma"/>
        </w:rPr>
        <w:t>, a través de una carta de despido,</w:t>
      </w:r>
      <w:r w:rsidRPr="008174BD">
        <w:rPr>
          <w:rFonts w:ascii="Tahoma" w:hAnsi="Tahoma" w:cs="Tahoma"/>
        </w:rPr>
        <w:t xml:space="preserve"> decidió unilateral e injustificadamente finalizar el contrato de trabajo a término indefini</w:t>
      </w:r>
      <w:r w:rsidR="00A92CCC">
        <w:rPr>
          <w:rFonts w:ascii="Tahoma" w:hAnsi="Tahoma" w:cs="Tahoma"/>
        </w:rPr>
        <w:t>do que los ataba, lo que le permite reclamar</w:t>
      </w:r>
      <w:r>
        <w:rPr>
          <w:rFonts w:ascii="Tahoma" w:hAnsi="Tahoma" w:cs="Tahoma"/>
        </w:rPr>
        <w:t>, además,</w:t>
      </w:r>
      <w:r w:rsidR="00A92CCC">
        <w:rPr>
          <w:rFonts w:ascii="Tahoma" w:hAnsi="Tahoma" w:cs="Tahoma"/>
        </w:rPr>
        <w:t xml:space="preserve"> </w:t>
      </w:r>
      <w:r w:rsidRPr="008174BD">
        <w:rPr>
          <w:rFonts w:ascii="Tahoma" w:hAnsi="Tahoma" w:cs="Tahoma"/>
        </w:rPr>
        <w:t xml:space="preserve">el pago de la indemnización por despido injusto prevista en el artículo 64 del </w:t>
      </w:r>
      <w:proofErr w:type="spellStart"/>
      <w:r w:rsidRPr="008174BD">
        <w:rPr>
          <w:rFonts w:ascii="Tahoma" w:hAnsi="Tahoma" w:cs="Tahoma"/>
        </w:rPr>
        <w:t>C.S.T</w:t>
      </w:r>
      <w:proofErr w:type="spellEnd"/>
      <w:r w:rsidRPr="008174BD">
        <w:rPr>
          <w:rFonts w:ascii="Tahoma" w:hAnsi="Tahoma" w:cs="Tahoma"/>
        </w:rPr>
        <w:t>.</w:t>
      </w:r>
    </w:p>
    <w:p w14:paraId="1CE49A56" w14:textId="77777777" w:rsidR="008174BD" w:rsidRPr="008174BD" w:rsidRDefault="008174BD" w:rsidP="005F4177">
      <w:pPr>
        <w:spacing w:line="276" w:lineRule="auto"/>
        <w:ind w:firstLine="708"/>
        <w:jc w:val="both"/>
        <w:rPr>
          <w:rFonts w:ascii="Tahoma" w:hAnsi="Tahoma" w:cs="Tahoma"/>
        </w:rPr>
      </w:pPr>
    </w:p>
    <w:p w14:paraId="090184AD" w14:textId="5B913C5B" w:rsidR="008174BD" w:rsidRPr="008174BD" w:rsidRDefault="008174BD" w:rsidP="005F4177">
      <w:pPr>
        <w:spacing w:line="276" w:lineRule="auto"/>
        <w:ind w:firstLine="708"/>
        <w:jc w:val="both"/>
        <w:rPr>
          <w:rFonts w:ascii="Tahoma" w:hAnsi="Tahoma" w:cs="Tahoma"/>
        </w:rPr>
      </w:pPr>
      <w:r w:rsidRPr="008174BD">
        <w:rPr>
          <w:rFonts w:ascii="Tahoma" w:hAnsi="Tahoma" w:cs="Tahoma"/>
        </w:rPr>
        <w:t>Igualmente, reclamó, entre otras sumas, la correspondiente a la indemnización por la falta d</w:t>
      </w:r>
      <w:r>
        <w:rPr>
          <w:rFonts w:ascii="Tahoma" w:hAnsi="Tahoma" w:cs="Tahoma"/>
        </w:rPr>
        <w:t>e consignación de las cesantías</w:t>
      </w:r>
      <w:r w:rsidRPr="008174BD">
        <w:rPr>
          <w:rFonts w:ascii="Tahoma" w:hAnsi="Tahoma" w:cs="Tahoma"/>
        </w:rPr>
        <w:t xml:space="preserve">, establecida en el artículo 90, numeral 3º de la Ley 50 de 1990, lo mismo que la indemnización moratoria, prevista en el artículo 65 del </w:t>
      </w:r>
      <w:proofErr w:type="spellStart"/>
      <w:r w:rsidRPr="008174BD">
        <w:rPr>
          <w:rFonts w:ascii="Tahoma" w:hAnsi="Tahoma" w:cs="Tahoma"/>
        </w:rPr>
        <w:t>C.S.T</w:t>
      </w:r>
      <w:proofErr w:type="spellEnd"/>
      <w:r w:rsidRPr="008174BD">
        <w:rPr>
          <w:rFonts w:ascii="Tahoma" w:hAnsi="Tahoma" w:cs="Tahoma"/>
        </w:rPr>
        <w:t xml:space="preserve">. </w:t>
      </w:r>
    </w:p>
    <w:p w14:paraId="1A4B9380" w14:textId="77777777" w:rsidR="008174BD" w:rsidRPr="008174BD" w:rsidRDefault="008174BD" w:rsidP="005F4177">
      <w:pPr>
        <w:spacing w:line="276" w:lineRule="auto"/>
        <w:ind w:firstLine="708"/>
        <w:jc w:val="both"/>
        <w:rPr>
          <w:rFonts w:ascii="Tahoma" w:hAnsi="Tahoma" w:cs="Tahoma"/>
        </w:rPr>
      </w:pPr>
    </w:p>
    <w:p w14:paraId="6066673F" w14:textId="77777777" w:rsidR="008174BD" w:rsidRPr="008174BD" w:rsidRDefault="008174BD" w:rsidP="005F4177">
      <w:pPr>
        <w:spacing w:line="276" w:lineRule="auto"/>
        <w:ind w:firstLine="708"/>
        <w:jc w:val="both"/>
        <w:rPr>
          <w:rFonts w:ascii="Tahoma" w:hAnsi="Tahoma" w:cs="Tahoma"/>
        </w:rPr>
      </w:pPr>
      <w:r w:rsidRPr="008174BD">
        <w:rPr>
          <w:rFonts w:ascii="Tahoma" w:hAnsi="Tahoma" w:cs="Tahoma"/>
        </w:rPr>
        <w:t xml:space="preserve">La empresa demandada no dio respuesta a la demanda. </w:t>
      </w:r>
    </w:p>
    <w:p w14:paraId="695199EA" w14:textId="77777777" w:rsidR="008174BD" w:rsidRPr="00E35DF0" w:rsidRDefault="008174BD" w:rsidP="005F4177">
      <w:pPr>
        <w:widowControl w:val="0"/>
        <w:autoSpaceDE w:val="0"/>
        <w:autoSpaceDN w:val="0"/>
        <w:adjustRightInd w:val="0"/>
        <w:spacing w:line="276" w:lineRule="auto"/>
        <w:jc w:val="both"/>
        <w:rPr>
          <w:rFonts w:ascii="Times New Roman" w:hAnsi="Times New Roman" w:cs="Times New Roman"/>
          <w:b/>
          <w:sz w:val="38"/>
          <w:szCs w:val="38"/>
          <w:lang w:val="es-ES_tradnl"/>
        </w:rPr>
      </w:pPr>
    </w:p>
    <w:p w14:paraId="6DC553FC" w14:textId="6A569B9D" w:rsidR="008174BD" w:rsidRPr="00E35DF0" w:rsidRDefault="008174BD" w:rsidP="00A51F22">
      <w:pPr>
        <w:pStyle w:val="Prrafodelista"/>
        <w:widowControl w:val="0"/>
        <w:numPr>
          <w:ilvl w:val="0"/>
          <w:numId w:val="1"/>
        </w:numPr>
        <w:autoSpaceDE w:val="0"/>
        <w:autoSpaceDN w:val="0"/>
        <w:adjustRightInd w:val="0"/>
        <w:spacing w:line="276" w:lineRule="auto"/>
        <w:jc w:val="center"/>
        <w:rPr>
          <w:rFonts w:ascii="Tahoma" w:hAnsi="Tahoma" w:cs="Tahoma"/>
          <w:b/>
          <w:caps/>
          <w:lang w:val="es-ES_tradnl"/>
        </w:rPr>
      </w:pPr>
      <w:r w:rsidRPr="00E35DF0">
        <w:rPr>
          <w:rFonts w:ascii="Tahoma" w:hAnsi="Tahoma" w:cs="Tahoma"/>
          <w:b/>
          <w:caps/>
          <w:lang w:val="es-ES_tradnl"/>
        </w:rPr>
        <w:t>Sentencia de primera instancia</w:t>
      </w:r>
      <w:r w:rsidR="00C77A61" w:rsidRPr="00E35DF0">
        <w:rPr>
          <w:rFonts w:ascii="Tahoma" w:hAnsi="Tahoma" w:cs="Tahoma"/>
          <w:b/>
          <w:caps/>
          <w:lang w:val="es-ES_tradnl"/>
        </w:rPr>
        <w:t xml:space="preserve"> y recurso de apelación</w:t>
      </w:r>
    </w:p>
    <w:p w14:paraId="485AF15C" w14:textId="77777777" w:rsidR="008174BD" w:rsidRDefault="008174BD" w:rsidP="005F4177">
      <w:pPr>
        <w:widowControl w:val="0"/>
        <w:autoSpaceDE w:val="0"/>
        <w:autoSpaceDN w:val="0"/>
        <w:adjustRightInd w:val="0"/>
        <w:spacing w:line="276" w:lineRule="auto"/>
        <w:jc w:val="center"/>
        <w:rPr>
          <w:rFonts w:ascii="Tahoma" w:hAnsi="Tahoma" w:cs="Tahoma"/>
          <w:b/>
          <w:caps/>
          <w:color w:val="222222"/>
          <w:lang w:val="es-ES_tradnl"/>
        </w:rPr>
      </w:pPr>
    </w:p>
    <w:p w14:paraId="135CF83E" w14:textId="635F1481" w:rsidR="00D77AE9" w:rsidRDefault="008174BD" w:rsidP="005F4177">
      <w:pPr>
        <w:spacing w:line="276" w:lineRule="auto"/>
        <w:ind w:firstLine="708"/>
        <w:jc w:val="both"/>
        <w:rPr>
          <w:rFonts w:ascii="Tahoma" w:hAnsi="Tahoma" w:cs="Tahoma"/>
        </w:rPr>
      </w:pPr>
      <w:r w:rsidRPr="008174BD">
        <w:rPr>
          <w:rFonts w:ascii="Tahoma" w:hAnsi="Tahoma" w:cs="Tahoma"/>
        </w:rPr>
        <w:t>Luego de encontrar acreditada la existencia de un contrato de trabajo entre el demandante y la empresa demandada, la jueza de primera instancia condenó a esta última</w:t>
      </w:r>
      <w:r w:rsidR="00D77AE9">
        <w:rPr>
          <w:rFonts w:ascii="Tahoma" w:hAnsi="Tahoma" w:cs="Tahoma"/>
        </w:rPr>
        <w:t xml:space="preserve"> al pago de la indemnización por despido injusto, al considerar que las razones aducidas en la carta de despido (visible a folio 14 del expediente) no eran configurativas de una causal legal para dar por terminado el contrato de trabajo</w:t>
      </w:r>
      <w:r w:rsidR="000C39F2">
        <w:rPr>
          <w:rFonts w:ascii="Tahoma" w:hAnsi="Tahoma" w:cs="Tahoma"/>
        </w:rPr>
        <w:t xml:space="preserve">, pues no existe inmediatez entre la fecha de ocurrencia de las faltas que allí se aducen y la fecha del despido, lo cual contraviene la interpretación jurisprudencial en el sentido de que </w:t>
      </w:r>
      <w:r w:rsidR="000C39F2" w:rsidRPr="000C39F2">
        <w:rPr>
          <w:rFonts w:ascii="Tahoma" w:hAnsi="Tahoma" w:cs="Tahoma"/>
          <w:color w:val="111111"/>
          <w:shd w:val="clear" w:color="auto" w:fill="FFFFFF"/>
        </w:rPr>
        <w:t>si se deja transcurrir demasiado tiempo entre la fecha en que ocurre la falta y la fecha en que se impone la sanción, lleva a concluir que la falta ha sido obviada o perdonada por el empleador y en consecuencia no puede ser utilizada como justa causa para un despido</w:t>
      </w:r>
      <w:r w:rsidR="00D77AE9" w:rsidRPr="000C39F2">
        <w:rPr>
          <w:rFonts w:ascii="Tahoma" w:hAnsi="Tahoma" w:cs="Tahoma"/>
        </w:rPr>
        <w:t xml:space="preserve">. </w:t>
      </w:r>
      <w:r w:rsidR="00D77AE9">
        <w:rPr>
          <w:rFonts w:ascii="Tahoma" w:hAnsi="Tahoma" w:cs="Tahoma"/>
        </w:rPr>
        <w:t>En ese orden</w:t>
      </w:r>
      <w:r w:rsidR="00822E7D">
        <w:rPr>
          <w:rFonts w:ascii="Tahoma" w:hAnsi="Tahoma" w:cs="Tahoma"/>
        </w:rPr>
        <w:t xml:space="preserve"> ideas</w:t>
      </w:r>
      <w:r w:rsidR="00D77AE9">
        <w:rPr>
          <w:rFonts w:ascii="Tahoma" w:hAnsi="Tahoma" w:cs="Tahoma"/>
        </w:rPr>
        <w:t xml:space="preserve">, también la condenó a pagar la indemnización prevista en el artículo 26 de la Ley 361 de 1997, haciendo operar la presunción </w:t>
      </w:r>
      <w:r w:rsidR="00D77AE9">
        <w:rPr>
          <w:rFonts w:ascii="Tahoma" w:hAnsi="Tahoma" w:cs="Tahoma"/>
        </w:rPr>
        <w:lastRenderedPageBreak/>
        <w:t xml:space="preserve">de que despido obedeció </w:t>
      </w:r>
      <w:r w:rsidR="00822E7D">
        <w:rPr>
          <w:rFonts w:ascii="Tahoma" w:hAnsi="Tahoma" w:cs="Tahoma"/>
        </w:rPr>
        <w:t xml:space="preserve">a la </w:t>
      </w:r>
      <w:r w:rsidR="00E35DF0">
        <w:rPr>
          <w:rFonts w:ascii="Tahoma" w:hAnsi="Tahoma" w:cs="Tahoma"/>
        </w:rPr>
        <w:t xml:space="preserve">situación de </w:t>
      </w:r>
      <w:r w:rsidR="00822E7D">
        <w:rPr>
          <w:rFonts w:ascii="Tahoma" w:hAnsi="Tahoma" w:cs="Tahoma"/>
        </w:rPr>
        <w:t>discapacidad del trabajador</w:t>
      </w:r>
      <w:r w:rsidR="00D77AE9">
        <w:rPr>
          <w:rFonts w:ascii="Tahoma" w:hAnsi="Tahoma" w:cs="Tahoma"/>
        </w:rPr>
        <w:t>, quien no había culminado los tratamientos médicos correctivos de las secuelas temporales de un accidente de trabajo sufrido algunos meses antes de la terminació</w:t>
      </w:r>
      <w:r w:rsidR="00822E7D">
        <w:rPr>
          <w:rFonts w:ascii="Tahoma" w:hAnsi="Tahoma" w:cs="Tahoma"/>
        </w:rPr>
        <w:t>n de su</w:t>
      </w:r>
      <w:r w:rsidR="00D77AE9">
        <w:rPr>
          <w:rFonts w:ascii="Tahoma" w:hAnsi="Tahoma" w:cs="Tahoma"/>
        </w:rPr>
        <w:t xml:space="preserve"> contrato, es</w:t>
      </w:r>
      <w:r w:rsidR="00822E7D">
        <w:rPr>
          <w:rFonts w:ascii="Tahoma" w:hAnsi="Tahoma" w:cs="Tahoma"/>
        </w:rPr>
        <w:t>tando pendiente, incluso, de la realización de una</w:t>
      </w:r>
      <w:r w:rsidR="00174EA4">
        <w:rPr>
          <w:rFonts w:ascii="Tahoma" w:hAnsi="Tahoma" w:cs="Tahoma"/>
        </w:rPr>
        <w:t xml:space="preserve"> cirugía en su mano derecha</w:t>
      </w:r>
      <w:r w:rsidR="00D77AE9">
        <w:rPr>
          <w:rFonts w:ascii="Tahoma" w:hAnsi="Tahoma" w:cs="Tahoma"/>
        </w:rPr>
        <w:t>, tal como fue probado con la historia clínica aportada al proceso.</w:t>
      </w:r>
    </w:p>
    <w:p w14:paraId="15088D59" w14:textId="77777777" w:rsidR="00D77AE9" w:rsidRDefault="00D77AE9" w:rsidP="005F4177">
      <w:pPr>
        <w:spacing w:line="276" w:lineRule="auto"/>
        <w:ind w:firstLine="708"/>
        <w:jc w:val="both"/>
        <w:rPr>
          <w:rFonts w:ascii="Tahoma" w:hAnsi="Tahoma" w:cs="Tahoma"/>
        </w:rPr>
      </w:pPr>
    </w:p>
    <w:p w14:paraId="6913C16C" w14:textId="77777777" w:rsidR="00E35DF0" w:rsidRDefault="00D77AE9" w:rsidP="005F4177">
      <w:pPr>
        <w:spacing w:line="276" w:lineRule="auto"/>
        <w:ind w:firstLine="708"/>
        <w:jc w:val="both"/>
        <w:rPr>
          <w:rFonts w:ascii="Tahoma" w:hAnsi="Tahoma" w:cs="Tahoma"/>
        </w:rPr>
      </w:pPr>
      <w:r>
        <w:rPr>
          <w:rFonts w:ascii="Tahoma" w:hAnsi="Tahoma" w:cs="Tahoma"/>
        </w:rPr>
        <w:t>Asimismo, condenó al pago de</w:t>
      </w:r>
      <w:r w:rsidR="00822E7D">
        <w:rPr>
          <w:rFonts w:ascii="Tahoma" w:hAnsi="Tahoma" w:cs="Tahoma"/>
        </w:rPr>
        <w:t xml:space="preserve"> algunos emolumentos laborales cuantificados en esa instancia, frente a los que no hubo reparos por parte de</w:t>
      </w:r>
      <w:r w:rsidR="00C77A61">
        <w:rPr>
          <w:rFonts w:ascii="Tahoma" w:hAnsi="Tahoma" w:cs="Tahoma"/>
        </w:rPr>
        <w:t xml:space="preserve"> los</w:t>
      </w:r>
      <w:r w:rsidR="00822E7D">
        <w:rPr>
          <w:rFonts w:ascii="Tahoma" w:hAnsi="Tahoma" w:cs="Tahoma"/>
        </w:rPr>
        <w:t xml:space="preserve"> sujetos involucrados al proceso. </w:t>
      </w:r>
    </w:p>
    <w:p w14:paraId="5E86184C" w14:textId="77777777" w:rsidR="00E35DF0" w:rsidRDefault="00E35DF0" w:rsidP="005F4177">
      <w:pPr>
        <w:spacing w:line="276" w:lineRule="auto"/>
        <w:ind w:firstLine="708"/>
        <w:jc w:val="both"/>
        <w:rPr>
          <w:rFonts w:ascii="Tahoma" w:hAnsi="Tahoma" w:cs="Tahoma"/>
        </w:rPr>
      </w:pPr>
    </w:p>
    <w:p w14:paraId="6B170D18" w14:textId="77777777" w:rsidR="00E35DF0" w:rsidRDefault="00E35DF0" w:rsidP="005F4177">
      <w:pPr>
        <w:spacing w:line="276" w:lineRule="auto"/>
        <w:ind w:firstLine="708"/>
        <w:jc w:val="both"/>
        <w:rPr>
          <w:rFonts w:ascii="Tahoma" w:hAnsi="Tahoma" w:cs="Tahoma"/>
        </w:rPr>
      </w:pPr>
      <w:r>
        <w:rPr>
          <w:rFonts w:ascii="Tahoma" w:hAnsi="Tahoma" w:cs="Tahoma"/>
        </w:rPr>
        <w:t>Ahora bien, e</w:t>
      </w:r>
      <w:r w:rsidR="00822E7D">
        <w:rPr>
          <w:rFonts w:ascii="Tahoma" w:hAnsi="Tahoma" w:cs="Tahoma"/>
        </w:rPr>
        <w:t>n lo que atañe al recurso de apelació</w:t>
      </w:r>
      <w:r w:rsidR="00C77A61">
        <w:rPr>
          <w:rFonts w:ascii="Tahoma" w:hAnsi="Tahoma" w:cs="Tahoma"/>
        </w:rPr>
        <w:t>n, la censura se reduce</w:t>
      </w:r>
      <w:r>
        <w:rPr>
          <w:rFonts w:ascii="Tahoma" w:hAnsi="Tahoma" w:cs="Tahoma"/>
        </w:rPr>
        <w:t>:</w:t>
      </w:r>
    </w:p>
    <w:p w14:paraId="3051E0E6" w14:textId="77777777" w:rsidR="00E35DF0" w:rsidRDefault="00C77A61" w:rsidP="005F4177">
      <w:pPr>
        <w:spacing w:line="276" w:lineRule="auto"/>
        <w:ind w:firstLine="708"/>
        <w:jc w:val="both"/>
        <w:rPr>
          <w:rFonts w:ascii="Tahoma" w:hAnsi="Tahoma" w:cs="Tahoma"/>
        </w:rPr>
      </w:pPr>
      <w:r>
        <w:rPr>
          <w:rFonts w:ascii="Tahoma" w:hAnsi="Tahoma" w:cs="Tahoma"/>
        </w:rPr>
        <w:t xml:space="preserve"> </w:t>
      </w:r>
    </w:p>
    <w:p w14:paraId="018DAABA" w14:textId="77777777" w:rsidR="00E35DF0" w:rsidRDefault="00C77A61" w:rsidP="005F4177">
      <w:pPr>
        <w:spacing w:line="276" w:lineRule="auto"/>
        <w:ind w:firstLine="708"/>
        <w:jc w:val="both"/>
        <w:rPr>
          <w:rFonts w:ascii="Tahoma" w:hAnsi="Tahoma" w:cs="Tahoma"/>
        </w:rPr>
      </w:pPr>
      <w:r w:rsidRPr="00E35DF0">
        <w:rPr>
          <w:rFonts w:ascii="Tahoma" w:hAnsi="Tahoma" w:cs="Tahoma"/>
          <w:b/>
        </w:rPr>
        <w:t>1)</w:t>
      </w:r>
      <w:r w:rsidR="00E35DF0">
        <w:rPr>
          <w:rFonts w:ascii="Tahoma" w:hAnsi="Tahoma" w:cs="Tahoma"/>
        </w:rPr>
        <w:t xml:space="preserve"> A</w:t>
      </w:r>
      <w:r>
        <w:rPr>
          <w:rFonts w:ascii="Tahoma" w:hAnsi="Tahoma" w:cs="Tahoma"/>
        </w:rPr>
        <w:t xml:space="preserve">l cuestionamiento de la condena por la indemnización del artículo 26 de la Ley 361 de 1997, la cual en criterio de la empresa demandada solamente procede cuando el trabajador se encuentra calificado con pérdida de la capacidad laboral y en ningún caso es acumulable con la indemnización por despido injusto y; </w:t>
      </w:r>
    </w:p>
    <w:p w14:paraId="2108E9BE" w14:textId="77777777" w:rsidR="00E35DF0" w:rsidRDefault="00E35DF0" w:rsidP="005F4177">
      <w:pPr>
        <w:spacing w:line="276" w:lineRule="auto"/>
        <w:ind w:firstLine="708"/>
        <w:jc w:val="both"/>
        <w:rPr>
          <w:rFonts w:ascii="Tahoma" w:hAnsi="Tahoma" w:cs="Tahoma"/>
        </w:rPr>
      </w:pPr>
    </w:p>
    <w:p w14:paraId="63EA30A2" w14:textId="22BA23F9" w:rsidR="008174BD" w:rsidRPr="008174BD" w:rsidRDefault="00E35DF0" w:rsidP="005F4177">
      <w:pPr>
        <w:spacing w:line="276" w:lineRule="auto"/>
        <w:ind w:firstLine="708"/>
        <w:jc w:val="both"/>
        <w:rPr>
          <w:rFonts w:ascii="Tahoma" w:hAnsi="Tahoma" w:cs="Tahoma"/>
          <w:color w:val="222222"/>
          <w:lang w:val="es-ES_tradnl"/>
        </w:rPr>
      </w:pPr>
      <w:r w:rsidRPr="00E35DF0">
        <w:rPr>
          <w:rFonts w:ascii="Tahoma" w:hAnsi="Tahoma" w:cs="Tahoma"/>
          <w:b/>
        </w:rPr>
        <w:t>2)</w:t>
      </w:r>
      <w:r>
        <w:rPr>
          <w:rFonts w:ascii="Tahoma" w:hAnsi="Tahoma" w:cs="Tahoma"/>
        </w:rPr>
        <w:t xml:space="preserve"> En lo correspondiente al recurso impetrado por el trabajador</w:t>
      </w:r>
      <w:r w:rsidR="00C77A61">
        <w:rPr>
          <w:rFonts w:ascii="Tahoma" w:hAnsi="Tahoma" w:cs="Tahoma"/>
        </w:rPr>
        <w:t xml:space="preserve"> demandante, </w:t>
      </w:r>
      <w:r>
        <w:rPr>
          <w:rFonts w:ascii="Tahoma" w:hAnsi="Tahoma" w:cs="Tahoma"/>
        </w:rPr>
        <w:t>este se encuentra encaminado a la revisión</w:t>
      </w:r>
      <w:r w:rsidR="00C77A61">
        <w:rPr>
          <w:rFonts w:ascii="Tahoma" w:hAnsi="Tahoma" w:cs="Tahoma"/>
        </w:rPr>
        <w:t xml:space="preserve"> </w:t>
      </w:r>
      <w:r>
        <w:rPr>
          <w:rFonts w:ascii="Tahoma" w:hAnsi="Tahoma" w:cs="Tahoma"/>
        </w:rPr>
        <w:t>d</w:t>
      </w:r>
      <w:r w:rsidR="00C77A61">
        <w:rPr>
          <w:rFonts w:ascii="Tahoma" w:hAnsi="Tahoma" w:cs="Tahoma"/>
        </w:rPr>
        <w:t xml:space="preserve">el monto de la indemnización por la falta de consignación de las cesantías, que </w:t>
      </w:r>
      <w:r>
        <w:rPr>
          <w:rFonts w:ascii="Tahoma" w:hAnsi="Tahoma" w:cs="Tahoma"/>
        </w:rPr>
        <w:t>en su criterio</w:t>
      </w:r>
      <w:r w:rsidR="00C77A61">
        <w:rPr>
          <w:rFonts w:ascii="Tahoma" w:hAnsi="Tahoma" w:cs="Tahoma"/>
        </w:rPr>
        <w:t xml:space="preserve"> se encu</w:t>
      </w:r>
      <w:r>
        <w:rPr>
          <w:rFonts w:ascii="Tahoma" w:hAnsi="Tahoma" w:cs="Tahoma"/>
        </w:rPr>
        <w:t>entra mal liquidado debido a una errada</w:t>
      </w:r>
      <w:r w:rsidR="00C77A61">
        <w:rPr>
          <w:rFonts w:ascii="Tahoma" w:hAnsi="Tahoma" w:cs="Tahoma"/>
        </w:rPr>
        <w:t xml:space="preserve"> interpretación del artículo </w:t>
      </w:r>
      <w:r w:rsidR="00C77A61" w:rsidRPr="008174BD">
        <w:rPr>
          <w:rFonts w:ascii="Tahoma" w:hAnsi="Tahoma" w:cs="Tahoma"/>
        </w:rPr>
        <w:t>el artículo 90, numeral 3º de la Ley 50 de 1990</w:t>
      </w:r>
      <w:r w:rsidR="00C77A61">
        <w:rPr>
          <w:rFonts w:ascii="Tahoma" w:hAnsi="Tahoma" w:cs="Tahoma"/>
        </w:rPr>
        <w:t>. Cuando se aborde para su resolución este último punto de la apelación, volveremos con mayor profundidad sobre los argumentos expuestos en sede de primera instancia.</w:t>
      </w:r>
    </w:p>
    <w:p w14:paraId="681C74D6" w14:textId="77777777" w:rsidR="006E17F4" w:rsidRDefault="006E17F4" w:rsidP="005B28BB">
      <w:pPr>
        <w:ind w:firstLine="708"/>
        <w:jc w:val="both"/>
        <w:rPr>
          <w:b/>
        </w:rPr>
      </w:pPr>
    </w:p>
    <w:p w14:paraId="2FDF4C7B" w14:textId="237B5C65" w:rsidR="00C77A61" w:rsidRPr="00A51F22" w:rsidRDefault="00C77A61" w:rsidP="00A51F22">
      <w:pPr>
        <w:pStyle w:val="Prrafodelista"/>
        <w:numPr>
          <w:ilvl w:val="0"/>
          <w:numId w:val="1"/>
        </w:numPr>
        <w:jc w:val="center"/>
        <w:rPr>
          <w:rFonts w:ascii="Tahoma" w:hAnsi="Tahoma" w:cs="Tahoma"/>
          <w:b/>
        </w:rPr>
      </w:pPr>
      <w:r w:rsidRPr="00A51F22">
        <w:rPr>
          <w:rFonts w:ascii="Tahoma" w:hAnsi="Tahoma" w:cs="Tahoma"/>
          <w:b/>
        </w:rPr>
        <w:t>CONSIDERACIONES</w:t>
      </w:r>
    </w:p>
    <w:p w14:paraId="5F08279A" w14:textId="77777777" w:rsidR="005F4177" w:rsidRDefault="005F4177" w:rsidP="005F4177">
      <w:pPr>
        <w:jc w:val="center"/>
        <w:rPr>
          <w:rFonts w:ascii="Tahoma" w:hAnsi="Tahoma" w:cs="Tahoma"/>
          <w:b/>
        </w:rPr>
      </w:pPr>
    </w:p>
    <w:p w14:paraId="773742E3" w14:textId="46B142EE" w:rsidR="00B461A3" w:rsidRPr="0032769A" w:rsidRDefault="00B461A3" w:rsidP="00A51F22">
      <w:pPr>
        <w:pStyle w:val="Prrafodelista"/>
        <w:numPr>
          <w:ilvl w:val="1"/>
          <w:numId w:val="1"/>
        </w:numPr>
        <w:tabs>
          <w:tab w:val="left" w:pos="748"/>
        </w:tabs>
        <w:spacing w:line="360" w:lineRule="auto"/>
        <w:ind w:left="0" w:firstLine="0"/>
        <w:jc w:val="center"/>
        <w:rPr>
          <w:rFonts w:ascii="Tahoma" w:hAnsi="Tahoma" w:cs="Tahoma"/>
          <w:b/>
          <w:caps/>
        </w:rPr>
      </w:pPr>
      <w:r w:rsidRPr="0032769A">
        <w:rPr>
          <w:rFonts w:ascii="Tahoma" w:hAnsi="Tahoma" w:cs="Tahoma"/>
          <w:b/>
          <w:caps/>
        </w:rPr>
        <w:t>Indemnización del art 26 de la ley 361 de 1997</w:t>
      </w:r>
    </w:p>
    <w:p w14:paraId="1E0DF681" w14:textId="77777777" w:rsidR="00B461A3" w:rsidRPr="0051293A" w:rsidRDefault="00B461A3" w:rsidP="0032769A">
      <w:pPr>
        <w:tabs>
          <w:tab w:val="left" w:pos="748"/>
        </w:tabs>
        <w:spacing w:line="276" w:lineRule="auto"/>
        <w:ind w:firstLine="1122"/>
        <w:jc w:val="both"/>
        <w:rPr>
          <w:rFonts w:ascii="Tahoma" w:hAnsi="Tahoma" w:cs="Tahoma"/>
        </w:rPr>
      </w:pPr>
    </w:p>
    <w:p w14:paraId="18B6660B" w14:textId="4B2D474B" w:rsidR="00B461A3" w:rsidRPr="00E35DF0" w:rsidRDefault="0032769A" w:rsidP="0032769A">
      <w:pPr>
        <w:tabs>
          <w:tab w:val="left" w:pos="748"/>
        </w:tabs>
        <w:spacing w:line="276" w:lineRule="auto"/>
        <w:jc w:val="both"/>
        <w:rPr>
          <w:rFonts w:ascii="Tahoma" w:hAnsi="Tahoma" w:cs="Tahoma"/>
        </w:rPr>
      </w:pPr>
      <w:r w:rsidRPr="00E35DF0">
        <w:rPr>
          <w:rFonts w:ascii="Tahoma" w:hAnsi="Tahoma" w:cs="Tahoma"/>
        </w:rPr>
        <w:tab/>
      </w:r>
      <w:r w:rsidR="00B461A3" w:rsidRPr="00E35DF0">
        <w:rPr>
          <w:rFonts w:ascii="Tahoma" w:hAnsi="Tahoma" w:cs="Tahoma"/>
        </w:rPr>
        <w:t xml:space="preserve">Dispone el artículo 26 de la Ley 361 de 1997 que </w:t>
      </w:r>
      <w:r w:rsidRPr="00E35DF0">
        <w:rPr>
          <w:rFonts w:ascii="Arial Narrow" w:hAnsi="Arial Narrow" w:cs="Tahoma"/>
          <w:i/>
        </w:rPr>
        <w:t xml:space="preserve">“(…) en ningún caso la </w:t>
      </w:r>
      <w:r w:rsidRPr="00E35DF0">
        <w:rPr>
          <w:rFonts w:ascii="Arial Narrow" w:hAnsi="Arial Narrow" w:cs="Tahoma"/>
          <w:i/>
          <w:u w:val="single"/>
        </w:rPr>
        <w:t>limitación</w:t>
      </w:r>
      <w:r w:rsidR="00B461A3" w:rsidRPr="00E35DF0">
        <w:rPr>
          <w:rFonts w:ascii="Arial Narrow" w:hAnsi="Arial Narrow" w:cs="Tahoma"/>
          <w:i/>
        </w:rPr>
        <w:t xml:space="preserve"> </w:t>
      </w:r>
      <w:r w:rsidR="00AA07EE" w:rsidRPr="00E35DF0">
        <w:rPr>
          <w:rFonts w:ascii="Arial Narrow" w:hAnsi="Arial Narrow" w:cs="Tahoma"/>
          <w:i/>
        </w:rPr>
        <w:t xml:space="preserve">(discapacidad) </w:t>
      </w:r>
      <w:r w:rsidR="00B461A3" w:rsidRPr="00E35DF0">
        <w:rPr>
          <w:rFonts w:ascii="Arial Narrow" w:hAnsi="Arial Narrow" w:cs="Tahoma"/>
          <w:i/>
        </w:rPr>
        <w:t xml:space="preserve">de una persona, podrá ser motivo para obstaculizar una vinculación laboral, a menos que dicha limitación sea claramente demostrada como incompatible e insuperable en el cargo que se va a desempeñar. Así mismo, ninguna persona </w:t>
      </w:r>
      <w:r w:rsidR="00B461A3" w:rsidRPr="00E35DF0">
        <w:rPr>
          <w:rFonts w:ascii="Arial Narrow" w:hAnsi="Arial Narrow" w:cs="Tahoma"/>
          <w:i/>
          <w:u w:val="single"/>
        </w:rPr>
        <w:t>limitada</w:t>
      </w:r>
      <w:r w:rsidR="00B461A3" w:rsidRPr="00E35DF0">
        <w:rPr>
          <w:rFonts w:ascii="Arial Narrow" w:hAnsi="Arial Narrow" w:cs="Tahoma"/>
          <w:i/>
        </w:rPr>
        <w:t xml:space="preserve"> </w:t>
      </w:r>
      <w:r w:rsidR="00AA07EE" w:rsidRPr="00E35DF0">
        <w:rPr>
          <w:rFonts w:ascii="Arial Narrow" w:hAnsi="Arial Narrow" w:cs="Tahoma"/>
          <w:i/>
        </w:rPr>
        <w:t xml:space="preserve">(en situación de discapacidad) </w:t>
      </w:r>
      <w:r w:rsidR="00B461A3" w:rsidRPr="00E35DF0">
        <w:rPr>
          <w:rFonts w:ascii="Arial Narrow" w:hAnsi="Arial Narrow" w:cs="Tahoma"/>
          <w:i/>
        </w:rPr>
        <w:t xml:space="preserve">podrá ser despedida o su contrato terminado por razón de su </w:t>
      </w:r>
      <w:r w:rsidR="00B461A3" w:rsidRPr="00E35DF0">
        <w:rPr>
          <w:rFonts w:ascii="Arial Narrow" w:hAnsi="Arial Narrow" w:cs="Tahoma"/>
          <w:i/>
          <w:u w:val="single"/>
        </w:rPr>
        <w:t>limitación</w:t>
      </w:r>
      <w:r w:rsidR="00AA07EE" w:rsidRPr="00E35DF0">
        <w:rPr>
          <w:rFonts w:ascii="Arial Narrow" w:hAnsi="Arial Narrow" w:cs="Tahoma"/>
          <w:i/>
        </w:rPr>
        <w:t xml:space="preserve"> (discapacidad)</w:t>
      </w:r>
      <w:r w:rsidR="00B461A3" w:rsidRPr="00E35DF0">
        <w:rPr>
          <w:rFonts w:ascii="Arial Narrow" w:hAnsi="Arial Narrow" w:cs="Tahoma"/>
          <w:i/>
        </w:rPr>
        <w:t xml:space="preserve"> salvo que medie autorización de la oficina de Trabajo”</w:t>
      </w:r>
      <w:r w:rsidR="00B461A3" w:rsidRPr="00E35DF0">
        <w:rPr>
          <w:rFonts w:ascii="Arial Narrow" w:hAnsi="Arial Narrow" w:cs="Tahoma"/>
        </w:rPr>
        <w:t xml:space="preserve"> y agrega que </w:t>
      </w:r>
      <w:r w:rsidR="00B461A3" w:rsidRPr="00E35DF0">
        <w:rPr>
          <w:rFonts w:ascii="Arial Narrow" w:hAnsi="Arial Narrow" w:cs="Tahoma"/>
          <w:i/>
        </w:rPr>
        <w:t xml:space="preserve">“No obstante, quienes fueren despedidos o su contrato terminado por razón de su </w:t>
      </w:r>
      <w:r w:rsidR="00B461A3" w:rsidRPr="00E35DF0">
        <w:rPr>
          <w:rFonts w:ascii="Arial Narrow" w:hAnsi="Arial Narrow" w:cs="Tahoma"/>
          <w:i/>
          <w:u w:val="single"/>
        </w:rPr>
        <w:t>limitación</w:t>
      </w:r>
      <w:r w:rsidR="00AA07EE" w:rsidRPr="00E35DF0">
        <w:rPr>
          <w:rFonts w:ascii="Arial Narrow" w:hAnsi="Arial Narrow" w:cs="Tahoma"/>
          <w:i/>
        </w:rPr>
        <w:t xml:space="preserve"> (discapacidad)</w:t>
      </w:r>
      <w:r w:rsidR="00B461A3" w:rsidRPr="00E35DF0">
        <w:rPr>
          <w:rFonts w:ascii="Arial Narrow" w:hAnsi="Arial Narrow" w:cs="Tahoma"/>
          <w:i/>
        </w:rPr>
        <w:t>, sin el cumplimiento del requisito previsto en el inciso anterior, tendrán derecho a una indemnización equivalente a ciento ochenta días del salario, sin perjuicio de las demás prestaciones e indemnizaciones a que hubiere lugar de acuerdo con el Código Sustantivo del Trabajo y demás normas que lo modifiquen, adicionen, complementen o aclaren”.</w:t>
      </w:r>
      <w:r w:rsidR="00AA07EE" w:rsidRPr="00E35DF0">
        <w:rPr>
          <w:rFonts w:ascii="Tahoma" w:hAnsi="Tahoma" w:cs="Tahoma"/>
          <w:i/>
        </w:rPr>
        <w:t xml:space="preserve"> </w:t>
      </w:r>
      <w:r w:rsidR="00AA07EE" w:rsidRPr="00E35DF0">
        <w:rPr>
          <w:rFonts w:ascii="Tahoma" w:hAnsi="Tahoma" w:cs="Tahoma"/>
        </w:rPr>
        <w:t>(</w:t>
      </w:r>
      <w:r w:rsidR="00AA07EE" w:rsidRPr="00E35DF0">
        <w:rPr>
          <w:rFonts w:ascii="Tahoma" w:hAnsi="Tahoma" w:cs="Tahoma"/>
          <w:bCs/>
          <w:lang w:val="es-ES_tradnl"/>
        </w:rPr>
        <w:t>El texto subrayado fue declarado EXEQUIBLE CONDICIONADO por la Corte Constitucional mediante Sentencia C-458</w:t>
      </w:r>
      <w:r w:rsidR="00AA07EE" w:rsidRPr="00E35DF0">
        <w:rPr>
          <w:rFonts w:ascii="Tahoma" w:hAnsi="Tahoma" w:cs="Tahoma"/>
          <w:lang w:val="es-ES_tradnl"/>
        </w:rPr>
        <w:t xml:space="preserve"> </w:t>
      </w:r>
      <w:r w:rsidR="00AA07EE" w:rsidRPr="00E35DF0">
        <w:rPr>
          <w:rFonts w:ascii="Tahoma" w:hAnsi="Tahoma" w:cs="Tahoma"/>
          <w:bCs/>
          <w:lang w:val="es-ES_tradnl"/>
        </w:rPr>
        <w:t>de 2015, en el entendido de que deberán reemplazarse por las expresiones “discapacidad” o “en situación de discapacidad”)</w:t>
      </w:r>
    </w:p>
    <w:p w14:paraId="287569CC" w14:textId="77777777" w:rsidR="00B461A3" w:rsidRPr="00E35DF0" w:rsidRDefault="00B461A3" w:rsidP="0032769A">
      <w:pPr>
        <w:tabs>
          <w:tab w:val="left" w:pos="748"/>
        </w:tabs>
        <w:spacing w:line="276" w:lineRule="auto"/>
        <w:ind w:firstLine="1122"/>
        <w:jc w:val="both"/>
        <w:rPr>
          <w:rFonts w:ascii="Tahoma" w:hAnsi="Tahoma" w:cs="Tahoma"/>
        </w:rPr>
      </w:pPr>
    </w:p>
    <w:p w14:paraId="3B687A9F" w14:textId="69E9DCB9" w:rsidR="00B461A3" w:rsidRPr="00E35DF0" w:rsidRDefault="0032769A" w:rsidP="0032769A">
      <w:pPr>
        <w:tabs>
          <w:tab w:val="left" w:pos="748"/>
        </w:tabs>
        <w:spacing w:line="276" w:lineRule="auto"/>
        <w:jc w:val="both"/>
        <w:rPr>
          <w:rFonts w:ascii="Tahoma" w:hAnsi="Tahoma" w:cs="Tahoma"/>
        </w:rPr>
      </w:pPr>
      <w:r w:rsidRPr="00E35DF0">
        <w:rPr>
          <w:rFonts w:ascii="Tahoma" w:hAnsi="Tahoma" w:cs="Tahoma"/>
        </w:rPr>
        <w:tab/>
      </w:r>
      <w:r w:rsidR="00B461A3" w:rsidRPr="00E35DF0">
        <w:rPr>
          <w:rFonts w:ascii="Tahoma" w:hAnsi="Tahoma" w:cs="Tahoma"/>
        </w:rPr>
        <w:t>Revisada la jurisprudencia en relación con la interpretación dada al artículo 26 de la Ley 361 de 1997, la hermenéutica de la Sala de Casación Laboral de la Corte Suprema de Justicia difiere de la que le ha dado la Corte Constitucional, tanto en ejercicio de la acción de constitucionalidad (mediante las Sentencias C-016 de 1998, C-531-00 y C-824 de 2011) como en múltiples decisiones en sede de tutela.</w:t>
      </w:r>
    </w:p>
    <w:p w14:paraId="3234F27D" w14:textId="77777777" w:rsidR="00B461A3" w:rsidRPr="00E35DF0" w:rsidRDefault="00B461A3" w:rsidP="0032769A">
      <w:pPr>
        <w:tabs>
          <w:tab w:val="left" w:pos="748"/>
        </w:tabs>
        <w:spacing w:line="276" w:lineRule="auto"/>
        <w:ind w:firstLine="1122"/>
        <w:jc w:val="both"/>
        <w:rPr>
          <w:rFonts w:ascii="Tahoma" w:hAnsi="Tahoma" w:cs="Tahoma"/>
        </w:rPr>
      </w:pPr>
    </w:p>
    <w:p w14:paraId="34477F40" w14:textId="6E26F946" w:rsidR="00B461A3" w:rsidRPr="00E35DF0" w:rsidRDefault="0032769A" w:rsidP="0032769A">
      <w:pPr>
        <w:tabs>
          <w:tab w:val="left" w:pos="748"/>
        </w:tabs>
        <w:spacing w:line="276" w:lineRule="auto"/>
        <w:jc w:val="both"/>
        <w:rPr>
          <w:rFonts w:ascii="Tahoma" w:hAnsi="Tahoma" w:cs="Tahoma"/>
        </w:rPr>
      </w:pPr>
      <w:r w:rsidRPr="00E35DF0">
        <w:rPr>
          <w:rFonts w:ascii="Tahoma" w:hAnsi="Tahoma" w:cs="Tahoma"/>
        </w:rPr>
        <w:tab/>
      </w:r>
      <w:r w:rsidR="00B461A3" w:rsidRPr="00E35DF0">
        <w:rPr>
          <w:rFonts w:ascii="Tahoma" w:hAnsi="Tahoma" w:cs="Tahoma"/>
        </w:rPr>
        <w:t xml:space="preserve">En efecto, mientras para la Corte Suprema de Justicia la estabilidad laboral reforzada consagrada en </w:t>
      </w:r>
      <w:r w:rsidR="00AA07EE" w:rsidRPr="00E35DF0">
        <w:rPr>
          <w:rFonts w:ascii="Tahoma" w:hAnsi="Tahoma" w:cs="Tahoma"/>
        </w:rPr>
        <w:t>la norma procede sólo cuando existe</w:t>
      </w:r>
      <w:r w:rsidR="00B461A3" w:rsidRPr="00E35DF0">
        <w:rPr>
          <w:rFonts w:ascii="Tahoma" w:hAnsi="Tahoma" w:cs="Tahoma"/>
        </w:rPr>
        <w:t xml:space="preserve"> de por medio: </w:t>
      </w:r>
      <w:r w:rsidR="00B461A3" w:rsidRPr="00E35DF0">
        <w:rPr>
          <w:rFonts w:ascii="Tahoma" w:hAnsi="Tahoma" w:cs="Tahoma"/>
          <w:i/>
        </w:rPr>
        <w:t>i)</w:t>
      </w:r>
      <w:r w:rsidR="00B461A3" w:rsidRPr="00E35DF0">
        <w:rPr>
          <w:rFonts w:ascii="Tahoma" w:hAnsi="Tahoma" w:cs="Tahoma"/>
        </w:rPr>
        <w:t xml:space="preserve"> una calificación del estado de invalidez del trabajador por parte del órgano competente, </w:t>
      </w:r>
      <w:r w:rsidR="00B461A3" w:rsidRPr="00E35DF0">
        <w:rPr>
          <w:rFonts w:ascii="Tahoma" w:hAnsi="Tahoma" w:cs="Tahoma"/>
          <w:i/>
        </w:rPr>
        <w:t>ii)</w:t>
      </w:r>
      <w:r w:rsidR="00B461A3" w:rsidRPr="00E35DF0">
        <w:rPr>
          <w:rFonts w:ascii="Tahoma" w:hAnsi="Tahoma" w:cs="Tahoma"/>
        </w:rPr>
        <w:t xml:space="preserve"> que dicha pérdida de capacidad </w:t>
      </w:r>
      <w:r w:rsidR="00B461A3" w:rsidRPr="00E35DF0">
        <w:rPr>
          <w:rFonts w:ascii="Tahoma" w:hAnsi="Tahoma" w:cs="Tahoma"/>
        </w:rPr>
        <w:lastRenderedPageBreak/>
        <w:t xml:space="preserve">laboral sea igual o superior al grado de moderada, es decir, que sea superior al 15%; y, </w:t>
      </w:r>
      <w:r w:rsidR="00B461A3" w:rsidRPr="00E35DF0">
        <w:rPr>
          <w:rFonts w:ascii="Tahoma" w:hAnsi="Tahoma" w:cs="Tahoma"/>
          <w:i/>
        </w:rPr>
        <w:t>iii)</w:t>
      </w:r>
      <w:r w:rsidR="00B461A3" w:rsidRPr="00E35DF0">
        <w:rPr>
          <w:rFonts w:ascii="Tahoma" w:hAnsi="Tahoma" w:cs="Tahoma"/>
        </w:rPr>
        <w:t xml:space="preserve"> que ese dictamen haya sido debidamente notificado al empleador; para la Corte Constitucional basta la enfermedad del trabajador que haya dado lugar a una incapacidad médica para deducir que el patrono tenía necesariamente conocimiento del estado de salud de su empleado, infiriendo que la sola incapacidad médica expedida por la respectiva </w:t>
      </w:r>
      <w:proofErr w:type="spellStart"/>
      <w:r w:rsidR="00B461A3" w:rsidRPr="00E35DF0">
        <w:rPr>
          <w:rFonts w:ascii="Tahoma" w:hAnsi="Tahoma" w:cs="Tahoma"/>
        </w:rPr>
        <w:t>EPS</w:t>
      </w:r>
      <w:proofErr w:type="spellEnd"/>
      <w:r w:rsidR="00B461A3" w:rsidRPr="00E35DF0">
        <w:rPr>
          <w:rFonts w:ascii="Tahoma" w:hAnsi="Tahoma" w:cs="Tahoma"/>
        </w:rPr>
        <w:t xml:space="preserve"> pone en conocimiento al patrono del estado de salud del trabajador.</w:t>
      </w:r>
    </w:p>
    <w:p w14:paraId="35E98BEC" w14:textId="77777777" w:rsidR="00B461A3" w:rsidRPr="00E35DF0" w:rsidRDefault="00B461A3" w:rsidP="0032769A">
      <w:pPr>
        <w:tabs>
          <w:tab w:val="left" w:pos="748"/>
        </w:tabs>
        <w:spacing w:line="276" w:lineRule="auto"/>
        <w:ind w:firstLine="1122"/>
        <w:jc w:val="both"/>
        <w:rPr>
          <w:rFonts w:ascii="Tahoma" w:hAnsi="Tahoma" w:cs="Tahoma"/>
        </w:rPr>
      </w:pPr>
    </w:p>
    <w:p w14:paraId="5BA9B61F" w14:textId="7373D7D9" w:rsidR="00B461A3" w:rsidRPr="00E35DF0" w:rsidRDefault="0032769A" w:rsidP="0032769A">
      <w:pPr>
        <w:tabs>
          <w:tab w:val="left" w:pos="748"/>
        </w:tabs>
        <w:spacing w:line="276" w:lineRule="auto"/>
        <w:jc w:val="both"/>
        <w:rPr>
          <w:rFonts w:ascii="Tahoma" w:hAnsi="Tahoma" w:cs="Tahoma"/>
        </w:rPr>
      </w:pPr>
      <w:r w:rsidRPr="00E35DF0">
        <w:rPr>
          <w:rFonts w:ascii="Tahoma" w:hAnsi="Tahoma" w:cs="Tahoma"/>
        </w:rPr>
        <w:tab/>
      </w:r>
      <w:r w:rsidR="00B461A3" w:rsidRPr="00E35DF0">
        <w:rPr>
          <w:rFonts w:ascii="Tahoma" w:hAnsi="Tahoma" w:cs="Tahoma"/>
        </w:rPr>
        <w:t>Esta diferencia en la interpretación de la misma norma tiene repercusiones jurídicas y prácticas frente a la posibilidad de terminar el contrato a término fijo por expiración del plazo. Así: Para la Corte Suprema de Justicia, la mera incapacidad médica del trabajador no es óbice para que el empleador de por terminado el contrato de trabajo a término fijo por expiración del plazo, si para ese momento no se había producido un dictamen de invalidez o habiéndolo no se le había notificado al patrono. En cambio, para la Corte Constitucional, dicha prerrogativa del empleador no produce efecto jurídico alguno, a menos que previamente se haya pedido autorización al Ministerio de la Protección Social, independientemente de que exista o no calificación de invalidez.</w:t>
      </w:r>
    </w:p>
    <w:p w14:paraId="18BCB7DA" w14:textId="77777777" w:rsidR="00B461A3" w:rsidRPr="00E35DF0" w:rsidRDefault="00B461A3" w:rsidP="0032769A">
      <w:pPr>
        <w:tabs>
          <w:tab w:val="left" w:pos="748"/>
        </w:tabs>
        <w:spacing w:line="276" w:lineRule="auto"/>
        <w:ind w:firstLine="1122"/>
        <w:jc w:val="both"/>
        <w:rPr>
          <w:rFonts w:ascii="Tahoma" w:hAnsi="Tahoma" w:cs="Tahoma"/>
        </w:rPr>
      </w:pPr>
    </w:p>
    <w:p w14:paraId="1AE5F1F3" w14:textId="3E2C8789" w:rsidR="00B461A3" w:rsidRPr="00E35DF0" w:rsidRDefault="0032769A" w:rsidP="0032769A">
      <w:pPr>
        <w:tabs>
          <w:tab w:val="left" w:pos="748"/>
        </w:tabs>
        <w:spacing w:line="276" w:lineRule="auto"/>
        <w:jc w:val="both"/>
        <w:rPr>
          <w:rFonts w:ascii="Tahoma" w:hAnsi="Tahoma" w:cs="Tahoma"/>
        </w:rPr>
      </w:pPr>
      <w:r w:rsidRPr="00E35DF0">
        <w:rPr>
          <w:rFonts w:ascii="Tahoma" w:hAnsi="Tahoma" w:cs="Tahoma"/>
        </w:rPr>
        <w:tab/>
      </w:r>
      <w:r w:rsidR="00B461A3" w:rsidRPr="00E35DF0">
        <w:rPr>
          <w:rFonts w:ascii="Tahoma" w:hAnsi="Tahoma" w:cs="Tahoma"/>
        </w:rPr>
        <w:t>Como quiera que la asunción de una cualquiera de las dos posiciones adoptadas por los órganos de cierre de la jurisdicción ordinaria y de la constitucional, indefectiblemente llevan a fallar un mismo asunto de manera diferente, esta Corporación, en Sala mayoritaria mediante sentencia del 9 de mayo de 2014, Radicado No. 66001-31-05-004-2012-00910-01 con ponencia de quien aquí cumple igual encargo, cambió su precedente horizontal y adoptó la posición de la Corte Constitucional. Por economía procesal nos remitimos a la citada Sentencia respecto a las razones que nos llevaron a ese cambio de precedente.</w:t>
      </w:r>
    </w:p>
    <w:p w14:paraId="027FC342" w14:textId="77777777" w:rsidR="00B461A3" w:rsidRPr="00E35DF0" w:rsidRDefault="00B461A3" w:rsidP="0032769A">
      <w:pPr>
        <w:tabs>
          <w:tab w:val="left" w:pos="748"/>
        </w:tabs>
        <w:spacing w:line="276" w:lineRule="auto"/>
        <w:ind w:firstLine="1122"/>
        <w:jc w:val="both"/>
        <w:rPr>
          <w:rFonts w:ascii="Tahoma" w:hAnsi="Tahoma" w:cs="Tahoma"/>
        </w:rPr>
      </w:pPr>
    </w:p>
    <w:p w14:paraId="7A72757E" w14:textId="5B154794" w:rsidR="00B461A3" w:rsidRPr="00E35DF0" w:rsidRDefault="0032769A" w:rsidP="0032769A">
      <w:pPr>
        <w:tabs>
          <w:tab w:val="left" w:pos="748"/>
        </w:tabs>
        <w:spacing w:line="276" w:lineRule="auto"/>
        <w:jc w:val="both"/>
        <w:rPr>
          <w:rFonts w:ascii="Tahoma" w:hAnsi="Tahoma" w:cs="Tahoma"/>
        </w:rPr>
      </w:pPr>
      <w:r w:rsidRPr="00E35DF0">
        <w:rPr>
          <w:rFonts w:ascii="Tahoma" w:hAnsi="Tahoma" w:cs="Tahoma"/>
        </w:rPr>
        <w:tab/>
      </w:r>
      <w:r w:rsidR="00B461A3" w:rsidRPr="00E35DF0">
        <w:rPr>
          <w:rFonts w:ascii="Tahoma" w:hAnsi="Tahoma" w:cs="Tahoma"/>
        </w:rPr>
        <w:t>En suma, retomando la tesis de la Corte Constitucional, plasmada en la Sentencia C-531 de 2000</w:t>
      </w:r>
      <w:r w:rsidR="00AA07EE" w:rsidRPr="00E35DF0">
        <w:rPr>
          <w:rFonts w:ascii="Tahoma" w:hAnsi="Tahoma" w:cs="Tahoma"/>
        </w:rPr>
        <w:t>,</w:t>
      </w:r>
      <w:r w:rsidR="00B461A3" w:rsidRPr="00E35DF0">
        <w:rPr>
          <w:rFonts w:ascii="Tahoma" w:hAnsi="Tahoma" w:cs="Tahoma"/>
        </w:rPr>
        <w:t xml:space="preserve"> que declaró exequible el inciso 2º del artículo 26 de la Ley 361 de 1997, carece de todo efecto jurídico el despido o la terminación del contrato, de una p</w:t>
      </w:r>
      <w:r w:rsidR="00AA07EE" w:rsidRPr="00E35DF0">
        <w:rPr>
          <w:rFonts w:ascii="Tahoma" w:hAnsi="Tahoma" w:cs="Tahoma"/>
        </w:rPr>
        <w:t>ersona en razón de su situación de discapacidad</w:t>
      </w:r>
      <w:r w:rsidR="00B461A3" w:rsidRPr="00E35DF0">
        <w:rPr>
          <w:rFonts w:ascii="Tahoma" w:hAnsi="Tahoma" w:cs="Tahoma"/>
        </w:rPr>
        <w:t xml:space="preserve">, sin que exista autorización previa de la oficina de trabajo que constate la configuración de la existencia de una justa causa para el despido o terminación del respectivo contrato. </w:t>
      </w:r>
    </w:p>
    <w:p w14:paraId="14125DA9" w14:textId="77777777" w:rsidR="00B461A3" w:rsidRPr="00E35DF0" w:rsidRDefault="00B461A3" w:rsidP="0032769A">
      <w:pPr>
        <w:tabs>
          <w:tab w:val="left" w:pos="748"/>
        </w:tabs>
        <w:spacing w:line="276" w:lineRule="auto"/>
        <w:ind w:firstLine="1122"/>
        <w:jc w:val="both"/>
        <w:rPr>
          <w:rFonts w:ascii="Tahoma" w:hAnsi="Tahoma" w:cs="Tahoma"/>
        </w:rPr>
      </w:pPr>
    </w:p>
    <w:p w14:paraId="001A60F8" w14:textId="622D4EEE" w:rsidR="003651A5" w:rsidRPr="00E35DF0" w:rsidRDefault="0032769A" w:rsidP="0032769A">
      <w:pPr>
        <w:tabs>
          <w:tab w:val="left" w:pos="748"/>
        </w:tabs>
        <w:spacing w:line="276" w:lineRule="auto"/>
        <w:jc w:val="both"/>
        <w:rPr>
          <w:rFonts w:ascii="Tahoma" w:hAnsi="Tahoma" w:cs="Tahoma"/>
        </w:rPr>
      </w:pPr>
      <w:r w:rsidRPr="00E35DF0">
        <w:rPr>
          <w:rFonts w:ascii="Tahoma" w:hAnsi="Tahoma" w:cs="Tahoma"/>
        </w:rPr>
        <w:tab/>
      </w:r>
      <w:r w:rsidR="00B461A3" w:rsidRPr="00E35DF0">
        <w:rPr>
          <w:rFonts w:ascii="Tahoma" w:hAnsi="Tahoma" w:cs="Tahoma"/>
        </w:rPr>
        <w:t xml:space="preserve">Ahora bien, en el presente caso recuérdese que la finalización del vínculo contractual, no fue por la expiración del término </w:t>
      </w:r>
      <w:r w:rsidR="00AA07EE" w:rsidRPr="00E35DF0">
        <w:rPr>
          <w:rFonts w:ascii="Tahoma" w:hAnsi="Tahoma" w:cs="Tahoma"/>
        </w:rPr>
        <w:t xml:space="preserve">o por alguna </w:t>
      </w:r>
      <w:r w:rsidR="003651A5" w:rsidRPr="00E35DF0">
        <w:rPr>
          <w:rFonts w:ascii="Tahoma" w:hAnsi="Tahoma" w:cs="Tahoma"/>
        </w:rPr>
        <w:t xml:space="preserve">otra </w:t>
      </w:r>
      <w:r w:rsidR="00AA07EE" w:rsidRPr="00E35DF0">
        <w:rPr>
          <w:rFonts w:ascii="Tahoma" w:hAnsi="Tahoma" w:cs="Tahoma"/>
        </w:rPr>
        <w:t>razón objetiva que permitiera la finalización del contrato por parte del empleador</w:t>
      </w:r>
      <w:r w:rsidR="00B461A3" w:rsidRPr="00E35DF0">
        <w:rPr>
          <w:rFonts w:ascii="Tahoma" w:hAnsi="Tahoma" w:cs="Tahoma"/>
        </w:rPr>
        <w:t>, sino</w:t>
      </w:r>
      <w:r w:rsidR="00B20F36">
        <w:rPr>
          <w:rFonts w:ascii="Tahoma" w:hAnsi="Tahoma" w:cs="Tahoma"/>
        </w:rPr>
        <w:t>, de acuerdo a lo dicho en la demanda,</w:t>
      </w:r>
      <w:r w:rsidR="00B461A3" w:rsidRPr="00E35DF0">
        <w:rPr>
          <w:rFonts w:ascii="Tahoma" w:hAnsi="Tahoma" w:cs="Tahoma"/>
        </w:rPr>
        <w:t xml:space="preserve"> por y co</w:t>
      </w:r>
      <w:r w:rsidR="003651A5" w:rsidRPr="00E35DF0">
        <w:rPr>
          <w:rFonts w:ascii="Tahoma" w:hAnsi="Tahoma" w:cs="Tahoma"/>
        </w:rPr>
        <w:t xml:space="preserve">n ocasión de la enfermedad del trabajador, lo cual ha presumirse de acuerdo a lo adoctrinado por la Corte Constitucional. </w:t>
      </w:r>
    </w:p>
    <w:p w14:paraId="10E8589D" w14:textId="77777777" w:rsidR="003651A5" w:rsidRPr="00E35DF0" w:rsidRDefault="003651A5" w:rsidP="0032769A">
      <w:pPr>
        <w:tabs>
          <w:tab w:val="left" w:pos="748"/>
        </w:tabs>
        <w:spacing w:line="276" w:lineRule="auto"/>
        <w:jc w:val="both"/>
        <w:rPr>
          <w:rFonts w:ascii="Tahoma" w:hAnsi="Tahoma" w:cs="Tahoma"/>
        </w:rPr>
      </w:pPr>
    </w:p>
    <w:p w14:paraId="420D1CD3" w14:textId="1F227AD0" w:rsidR="003651A5" w:rsidRPr="00E35DF0" w:rsidRDefault="004F46DD" w:rsidP="0032769A">
      <w:pPr>
        <w:tabs>
          <w:tab w:val="left" w:pos="748"/>
        </w:tabs>
        <w:spacing w:line="276" w:lineRule="auto"/>
        <w:jc w:val="both"/>
        <w:rPr>
          <w:rFonts w:ascii="Tahoma" w:hAnsi="Tahoma" w:cs="Tahoma"/>
        </w:rPr>
      </w:pPr>
      <w:r w:rsidRPr="00E35DF0">
        <w:rPr>
          <w:rFonts w:ascii="Tahoma" w:hAnsi="Tahoma" w:cs="Tahoma"/>
          <w:iCs/>
          <w:lang w:val="es-ES_tradnl"/>
        </w:rPr>
        <w:tab/>
      </w:r>
      <w:r w:rsidR="003651A5" w:rsidRPr="00E35DF0">
        <w:rPr>
          <w:rFonts w:ascii="Tahoma" w:hAnsi="Tahoma" w:cs="Tahoma"/>
          <w:iCs/>
          <w:lang w:val="es-ES_tradnl"/>
        </w:rPr>
        <w:t>Frente a lo anterior, es preciso señalar que para desvirtuar la presunción que existe respecto de la conexidad entre el despido y la condición de salud del trabajador, no es suficiente con que se enuncien una serie de situaciones que sirvieron de fundamento para adoptar la decisión de aplicar una causal objeti</w:t>
      </w:r>
      <w:r w:rsidR="00B20F36">
        <w:rPr>
          <w:rFonts w:ascii="Tahoma" w:hAnsi="Tahoma" w:cs="Tahoma"/>
          <w:iCs/>
          <w:lang w:val="es-ES_tradnl"/>
        </w:rPr>
        <w:t>va de terminación del contrato</w:t>
      </w:r>
      <w:r w:rsidR="003651A5" w:rsidRPr="00E35DF0">
        <w:rPr>
          <w:rFonts w:ascii="Tahoma" w:hAnsi="Tahoma" w:cs="Tahoma"/>
          <w:iCs/>
          <w:lang w:val="es-ES_tradnl"/>
        </w:rPr>
        <w:t>, sino que es necesario que se demuestre la configuración de una causal justificativa de despido en el marco de lo dispuesto, en el artículo 62 del Código Sustantivo del Trabajo</w:t>
      </w:r>
      <w:r w:rsidR="003651A5" w:rsidRPr="00E35DF0">
        <w:rPr>
          <w:rFonts w:ascii="Tahoma" w:hAnsi="Tahoma" w:cs="Tahoma"/>
        </w:rPr>
        <w:t xml:space="preserve"> (sentencia T-420 de 2015)</w:t>
      </w:r>
      <w:r w:rsidR="00B461A3" w:rsidRPr="00E35DF0">
        <w:rPr>
          <w:rFonts w:ascii="Tahoma" w:hAnsi="Tahoma" w:cs="Tahoma"/>
        </w:rPr>
        <w:t xml:space="preserve"> </w:t>
      </w:r>
    </w:p>
    <w:p w14:paraId="017FFDD0" w14:textId="77777777" w:rsidR="003651A5" w:rsidRPr="00E35DF0" w:rsidRDefault="003651A5" w:rsidP="0032769A">
      <w:pPr>
        <w:tabs>
          <w:tab w:val="left" w:pos="748"/>
        </w:tabs>
        <w:spacing w:line="276" w:lineRule="auto"/>
        <w:jc w:val="both"/>
        <w:rPr>
          <w:rFonts w:ascii="Tahoma" w:hAnsi="Tahoma" w:cs="Tahoma"/>
        </w:rPr>
      </w:pPr>
    </w:p>
    <w:p w14:paraId="7064AAB7" w14:textId="351695C3" w:rsidR="00F660F2" w:rsidRDefault="003651A5" w:rsidP="003651A5">
      <w:pPr>
        <w:tabs>
          <w:tab w:val="left" w:pos="748"/>
        </w:tabs>
        <w:spacing w:line="276" w:lineRule="auto"/>
        <w:jc w:val="both"/>
        <w:rPr>
          <w:rFonts w:ascii="Tahoma" w:hAnsi="Tahoma" w:cs="Tahoma"/>
        </w:rPr>
      </w:pPr>
      <w:r w:rsidRPr="00E35DF0">
        <w:rPr>
          <w:rFonts w:ascii="Tahoma" w:hAnsi="Tahoma" w:cs="Tahoma"/>
        </w:rPr>
        <w:tab/>
      </w:r>
      <w:r w:rsidR="00B461A3" w:rsidRPr="00E35DF0">
        <w:rPr>
          <w:rFonts w:ascii="Tahoma" w:hAnsi="Tahoma" w:cs="Tahoma"/>
        </w:rPr>
        <w:t>De igual manera</w:t>
      </w:r>
      <w:r w:rsidR="00F660F2">
        <w:rPr>
          <w:rFonts w:ascii="Tahoma" w:hAnsi="Tahoma" w:cs="Tahoma"/>
        </w:rPr>
        <w:t>,</w:t>
      </w:r>
      <w:r w:rsidR="00B461A3" w:rsidRPr="00E35DF0">
        <w:rPr>
          <w:rFonts w:ascii="Tahoma" w:hAnsi="Tahoma" w:cs="Tahoma"/>
        </w:rPr>
        <w:t xml:space="preserve"> quedó en evidencia</w:t>
      </w:r>
      <w:r w:rsidR="0096163F">
        <w:rPr>
          <w:rFonts w:ascii="Tahoma" w:hAnsi="Tahoma" w:cs="Tahoma"/>
        </w:rPr>
        <w:t xml:space="preserve"> </w:t>
      </w:r>
      <w:r w:rsidR="00B461A3" w:rsidRPr="00E35DF0">
        <w:rPr>
          <w:rFonts w:ascii="Tahoma" w:hAnsi="Tahoma" w:cs="Tahoma"/>
        </w:rPr>
        <w:t>que la empre</w:t>
      </w:r>
      <w:r w:rsidRPr="00E35DF0">
        <w:rPr>
          <w:rFonts w:ascii="Tahoma" w:hAnsi="Tahoma" w:cs="Tahoma"/>
        </w:rPr>
        <w:t>sa era conocedora del accidente laboral</w:t>
      </w:r>
      <w:r w:rsidR="00B20F36">
        <w:rPr>
          <w:rFonts w:ascii="Tahoma" w:hAnsi="Tahoma" w:cs="Tahoma"/>
        </w:rPr>
        <w:t xml:space="preserve"> que sufrió su trabajador, ya</w:t>
      </w:r>
      <w:r w:rsidR="004F46DD" w:rsidRPr="00E35DF0">
        <w:rPr>
          <w:rFonts w:ascii="Tahoma" w:hAnsi="Tahoma" w:cs="Tahoma"/>
        </w:rPr>
        <w:t xml:space="preserve"> que ella misma</w:t>
      </w:r>
      <w:r w:rsidR="00B20F36">
        <w:rPr>
          <w:rFonts w:ascii="Tahoma" w:hAnsi="Tahoma" w:cs="Tahoma"/>
        </w:rPr>
        <w:t xml:space="preserve"> lo</w:t>
      </w:r>
      <w:r w:rsidR="004F46DD" w:rsidRPr="00E35DF0">
        <w:rPr>
          <w:rFonts w:ascii="Tahoma" w:hAnsi="Tahoma" w:cs="Tahoma"/>
        </w:rPr>
        <w:t xml:space="preserve"> reportó</w:t>
      </w:r>
      <w:r w:rsidRPr="00E35DF0">
        <w:rPr>
          <w:rFonts w:ascii="Tahoma" w:hAnsi="Tahoma" w:cs="Tahoma"/>
        </w:rPr>
        <w:t xml:space="preserve"> a la </w:t>
      </w:r>
      <w:proofErr w:type="spellStart"/>
      <w:r w:rsidRPr="00E35DF0">
        <w:rPr>
          <w:rFonts w:ascii="Tahoma" w:hAnsi="Tahoma" w:cs="Tahoma"/>
        </w:rPr>
        <w:t>ARL</w:t>
      </w:r>
      <w:proofErr w:type="spellEnd"/>
      <w:r w:rsidRPr="00E35DF0">
        <w:rPr>
          <w:rFonts w:ascii="Tahoma" w:hAnsi="Tahoma" w:cs="Tahoma"/>
        </w:rPr>
        <w:t xml:space="preserve"> el 7 de diciembre de 2013</w:t>
      </w:r>
      <w:r w:rsidR="004F46DD" w:rsidRPr="00E35DF0">
        <w:rPr>
          <w:rFonts w:ascii="Tahoma" w:hAnsi="Tahoma" w:cs="Tahoma"/>
        </w:rPr>
        <w:t xml:space="preserve">, en razón del cual el trabajador y la empresa </w:t>
      </w:r>
      <w:r w:rsidR="00926A32">
        <w:rPr>
          <w:rFonts w:ascii="Tahoma" w:hAnsi="Tahoma" w:cs="Tahoma"/>
        </w:rPr>
        <w:t>recibieron las</w:t>
      </w:r>
      <w:r w:rsidR="004F46DD" w:rsidRPr="00E35DF0">
        <w:rPr>
          <w:rFonts w:ascii="Tahoma" w:hAnsi="Tahoma" w:cs="Tahoma"/>
        </w:rPr>
        <w:t xml:space="preserve"> recomendaciones de salud </w:t>
      </w:r>
      <w:r w:rsidR="004F46DD" w:rsidRPr="00E35DF0">
        <w:rPr>
          <w:rFonts w:ascii="Tahoma" w:hAnsi="Tahoma" w:cs="Tahoma"/>
        </w:rPr>
        <w:lastRenderedPageBreak/>
        <w:t>ocupacional enumeradas por el méd</w:t>
      </w:r>
      <w:r w:rsidR="00A92CCC">
        <w:rPr>
          <w:rFonts w:ascii="Tahoma" w:hAnsi="Tahoma" w:cs="Tahoma"/>
        </w:rPr>
        <w:t xml:space="preserve">ico tratante de la </w:t>
      </w:r>
      <w:proofErr w:type="spellStart"/>
      <w:r w:rsidR="00A92CCC">
        <w:rPr>
          <w:rFonts w:ascii="Tahoma" w:hAnsi="Tahoma" w:cs="Tahoma"/>
        </w:rPr>
        <w:t>ARL</w:t>
      </w:r>
      <w:proofErr w:type="spellEnd"/>
      <w:r w:rsidR="00A92CCC">
        <w:rPr>
          <w:rFonts w:ascii="Tahoma" w:hAnsi="Tahoma" w:cs="Tahoma"/>
        </w:rPr>
        <w:t xml:space="preserve"> </w:t>
      </w:r>
      <w:r w:rsidR="00926A32">
        <w:rPr>
          <w:rFonts w:ascii="Tahoma" w:hAnsi="Tahoma" w:cs="Tahoma"/>
        </w:rPr>
        <w:t>y que se hacen visibles entre los folios</w:t>
      </w:r>
      <w:r w:rsidR="00A92CCC">
        <w:rPr>
          <w:rFonts w:ascii="Tahoma" w:hAnsi="Tahoma" w:cs="Tahoma"/>
        </w:rPr>
        <w:t xml:space="preserve"> 25</w:t>
      </w:r>
      <w:r w:rsidR="0096163F">
        <w:rPr>
          <w:rFonts w:ascii="Tahoma" w:hAnsi="Tahoma" w:cs="Tahoma"/>
        </w:rPr>
        <w:t xml:space="preserve"> y 28</w:t>
      </w:r>
      <w:r w:rsidR="00B20A8D">
        <w:rPr>
          <w:rFonts w:ascii="Tahoma" w:hAnsi="Tahoma" w:cs="Tahoma"/>
        </w:rPr>
        <w:t xml:space="preserve"> del expediente</w:t>
      </w:r>
      <w:r w:rsidR="00926A32">
        <w:rPr>
          <w:rFonts w:ascii="Tahoma" w:hAnsi="Tahoma" w:cs="Tahoma"/>
        </w:rPr>
        <w:t xml:space="preserve">, a los que más adelante volveremos a hacer referencia. </w:t>
      </w:r>
      <w:r w:rsidR="00B461A3" w:rsidRPr="00E35DF0">
        <w:rPr>
          <w:rFonts w:ascii="Tahoma" w:hAnsi="Tahoma" w:cs="Tahoma"/>
        </w:rPr>
        <w:t xml:space="preserve"> </w:t>
      </w:r>
    </w:p>
    <w:p w14:paraId="3D6C8128" w14:textId="17B0BFFB" w:rsidR="00F660F2" w:rsidRPr="005479D7" w:rsidRDefault="00F660F2" w:rsidP="003651A5">
      <w:pPr>
        <w:tabs>
          <w:tab w:val="left" w:pos="748"/>
        </w:tabs>
        <w:spacing w:line="276" w:lineRule="auto"/>
        <w:jc w:val="both"/>
        <w:rPr>
          <w:rFonts w:ascii="Tahoma" w:hAnsi="Tahoma" w:cs="Tahoma"/>
        </w:rPr>
      </w:pPr>
    </w:p>
    <w:p w14:paraId="11CA5585" w14:textId="47AA5340" w:rsidR="002B4AA8" w:rsidRDefault="00F660F2" w:rsidP="003651A5">
      <w:pPr>
        <w:tabs>
          <w:tab w:val="left" w:pos="748"/>
        </w:tabs>
        <w:spacing w:line="276" w:lineRule="auto"/>
        <w:jc w:val="both"/>
        <w:rPr>
          <w:rFonts w:ascii="Tahoma" w:hAnsi="Tahoma" w:cs="Tahoma"/>
        </w:rPr>
      </w:pPr>
      <w:r w:rsidRPr="005479D7">
        <w:rPr>
          <w:rFonts w:ascii="Tahoma" w:hAnsi="Tahoma" w:cs="Tahoma"/>
        </w:rPr>
        <w:tab/>
      </w:r>
      <w:r w:rsidR="00B20F36" w:rsidRPr="005479D7">
        <w:rPr>
          <w:rFonts w:ascii="Tahoma" w:hAnsi="Tahoma" w:cs="Tahoma"/>
        </w:rPr>
        <w:t xml:space="preserve">En efecto, en </w:t>
      </w:r>
      <w:r w:rsidRPr="005479D7">
        <w:rPr>
          <w:rFonts w:ascii="Tahoma" w:hAnsi="Tahoma" w:cs="Tahoma"/>
        </w:rPr>
        <w:t>la historia clínica aparece comprobado que el demandante se lesionó la mano derecha,</w:t>
      </w:r>
      <w:r w:rsidR="00B20F36" w:rsidRPr="005479D7">
        <w:rPr>
          <w:rFonts w:ascii="Tahoma" w:hAnsi="Tahoma" w:cs="Tahoma"/>
        </w:rPr>
        <w:t xml:space="preserve"> que dicho sea de paso,</w:t>
      </w:r>
      <w:r w:rsidR="008814A5">
        <w:rPr>
          <w:rFonts w:ascii="Tahoma" w:hAnsi="Tahoma" w:cs="Tahoma"/>
        </w:rPr>
        <w:t xml:space="preserve"> es un órgano fundamental que</w:t>
      </w:r>
      <w:r w:rsidR="00B20F36" w:rsidRPr="005479D7">
        <w:rPr>
          <w:rFonts w:ascii="Tahoma" w:hAnsi="Tahoma" w:cs="Tahoma"/>
        </w:rPr>
        <w:t xml:space="preserve"> </w:t>
      </w:r>
      <w:r w:rsidR="005479D7" w:rsidRPr="005479D7">
        <w:rPr>
          <w:rFonts w:ascii="Tahoma" w:hAnsi="Tahoma" w:cs="Tahoma"/>
        </w:rPr>
        <w:t>hace parte del “complejo biomecánico”</w:t>
      </w:r>
      <w:r w:rsidR="005479D7" w:rsidRPr="005479D7">
        <w:rPr>
          <w:rStyle w:val="Refdenotaalpie"/>
          <w:rFonts w:ascii="Tahoma" w:hAnsi="Tahoma" w:cs="Tahoma"/>
        </w:rPr>
        <w:footnoteReference w:id="1"/>
      </w:r>
      <w:r w:rsidR="005479D7" w:rsidRPr="005479D7">
        <w:rPr>
          <w:rFonts w:ascii="Tahoma" w:hAnsi="Tahoma" w:cs="Tahoma"/>
        </w:rPr>
        <w:t xml:space="preserve"> que le ha permitido a la especie humana el desarrollo de habilidades y ventajas especiales frente a otras especies</w:t>
      </w:r>
      <w:r w:rsidR="003F6060">
        <w:rPr>
          <w:rFonts w:ascii="Tahoma" w:hAnsi="Tahoma" w:cs="Tahoma"/>
        </w:rPr>
        <w:t>,</w:t>
      </w:r>
      <w:r w:rsidR="008A3E24">
        <w:rPr>
          <w:rFonts w:ascii="Tahoma" w:hAnsi="Tahoma" w:cs="Tahoma"/>
        </w:rPr>
        <w:t xml:space="preserve"> en otras palabras,</w:t>
      </w:r>
      <w:r w:rsidR="008814A5">
        <w:rPr>
          <w:rFonts w:ascii="Tahoma" w:hAnsi="Tahoma" w:cs="Tahoma"/>
        </w:rPr>
        <w:t xml:space="preserve"> sirviéndonos de una</w:t>
      </w:r>
      <w:r w:rsidR="00666C57">
        <w:rPr>
          <w:rFonts w:ascii="Tahoma" w:hAnsi="Tahoma" w:cs="Tahoma"/>
        </w:rPr>
        <w:t xml:space="preserve"> conocida</w:t>
      </w:r>
      <w:r w:rsidR="008814A5">
        <w:rPr>
          <w:rFonts w:ascii="Tahoma" w:hAnsi="Tahoma" w:cs="Tahoma"/>
        </w:rPr>
        <w:t xml:space="preserve"> expresión de Aristóteles</w:t>
      </w:r>
      <w:r w:rsidR="008A3E24">
        <w:rPr>
          <w:rFonts w:ascii="Tahoma" w:hAnsi="Tahoma" w:cs="Tahoma"/>
        </w:rPr>
        <w:t xml:space="preserve"> </w:t>
      </w:r>
      <w:r w:rsidR="008814A5">
        <w:rPr>
          <w:rFonts w:ascii="Tahoma" w:hAnsi="Tahoma" w:cs="Tahoma"/>
        </w:rPr>
        <w:t>“</w:t>
      </w:r>
      <w:r w:rsidR="008A3E24">
        <w:rPr>
          <w:rFonts w:ascii="Tahoma" w:hAnsi="Tahoma" w:cs="Tahoma"/>
        </w:rPr>
        <w:t>las manos son</w:t>
      </w:r>
      <w:r w:rsidR="008814A5">
        <w:rPr>
          <w:rFonts w:ascii="Tahoma" w:hAnsi="Tahoma" w:cs="Tahoma"/>
        </w:rPr>
        <w:t xml:space="preserve"> </w:t>
      </w:r>
      <w:r w:rsidR="003F6060">
        <w:rPr>
          <w:rFonts w:ascii="Tahoma" w:hAnsi="Tahoma" w:cs="Tahoma"/>
        </w:rPr>
        <w:t>el instrumento de instrumentos”</w:t>
      </w:r>
      <w:r w:rsidR="00666C57">
        <w:rPr>
          <w:rStyle w:val="Refdenotaalpie"/>
          <w:rFonts w:ascii="Tahoma" w:hAnsi="Tahoma" w:cs="Tahoma"/>
        </w:rPr>
        <w:footnoteReference w:id="2"/>
      </w:r>
      <w:r w:rsidR="008814A5">
        <w:rPr>
          <w:rFonts w:ascii="Tahoma" w:hAnsi="Tahoma" w:cs="Tahoma"/>
        </w:rPr>
        <w:t>, y</w:t>
      </w:r>
      <w:r w:rsidR="008A3E24">
        <w:rPr>
          <w:rFonts w:ascii="Tahoma" w:hAnsi="Tahoma" w:cs="Tahoma"/>
        </w:rPr>
        <w:t>, en el especial</w:t>
      </w:r>
      <w:r w:rsidR="003F6060">
        <w:rPr>
          <w:rFonts w:ascii="Tahoma" w:hAnsi="Tahoma" w:cs="Tahoma"/>
        </w:rPr>
        <w:t xml:space="preserve"> caso del trabajador</w:t>
      </w:r>
      <w:r w:rsidR="00094D86">
        <w:rPr>
          <w:rFonts w:ascii="Tahoma" w:hAnsi="Tahoma" w:cs="Tahoma"/>
        </w:rPr>
        <w:t xml:space="preserve">, es un </w:t>
      </w:r>
      <w:r w:rsidR="008814A5">
        <w:rPr>
          <w:rFonts w:ascii="Tahoma" w:hAnsi="Tahoma" w:cs="Tahoma"/>
        </w:rPr>
        <w:t>segmento anatómico</w:t>
      </w:r>
      <w:r w:rsidR="00094D86">
        <w:rPr>
          <w:rFonts w:ascii="Tahoma" w:hAnsi="Tahoma" w:cs="Tahoma"/>
        </w:rPr>
        <w:t xml:space="preserve"> que</w:t>
      </w:r>
      <w:r w:rsidR="003F6060">
        <w:rPr>
          <w:rFonts w:ascii="Tahoma" w:hAnsi="Tahoma" w:cs="Tahoma"/>
        </w:rPr>
        <w:t xml:space="preserve"> resulta fundamental </w:t>
      </w:r>
      <w:r w:rsidR="002B4AA8">
        <w:rPr>
          <w:rFonts w:ascii="Tahoma" w:hAnsi="Tahoma" w:cs="Tahoma"/>
        </w:rPr>
        <w:t>para desarrollar sus tareas como</w:t>
      </w:r>
      <w:r>
        <w:rPr>
          <w:rFonts w:ascii="Tahoma" w:hAnsi="Tahoma" w:cs="Tahoma"/>
        </w:rPr>
        <w:t xml:space="preserve"> técnico de mantenimiento mecánico</w:t>
      </w:r>
      <w:r w:rsidR="008814A5">
        <w:rPr>
          <w:rFonts w:ascii="Tahoma" w:hAnsi="Tahoma" w:cs="Tahoma"/>
        </w:rPr>
        <w:t xml:space="preserve"> (</w:t>
      </w:r>
      <w:proofErr w:type="spellStart"/>
      <w:r w:rsidR="008814A5">
        <w:rPr>
          <w:rFonts w:ascii="Tahoma" w:hAnsi="Tahoma" w:cs="Tahoma"/>
        </w:rPr>
        <w:t>Fl</w:t>
      </w:r>
      <w:proofErr w:type="spellEnd"/>
      <w:r w:rsidR="008814A5">
        <w:rPr>
          <w:rFonts w:ascii="Tahoma" w:hAnsi="Tahoma" w:cs="Tahoma"/>
        </w:rPr>
        <w:t>. 22)</w:t>
      </w:r>
      <w:r>
        <w:rPr>
          <w:rFonts w:ascii="Tahoma" w:hAnsi="Tahoma" w:cs="Tahoma"/>
        </w:rPr>
        <w:t>, labor que requiere</w:t>
      </w:r>
      <w:r w:rsidR="002B4AA8">
        <w:rPr>
          <w:rFonts w:ascii="Tahoma" w:hAnsi="Tahoma" w:cs="Tahoma"/>
        </w:rPr>
        <w:t>, como es apenas obvio,</w:t>
      </w:r>
      <w:r>
        <w:rPr>
          <w:rFonts w:ascii="Tahoma" w:hAnsi="Tahoma" w:cs="Tahoma"/>
        </w:rPr>
        <w:t xml:space="preserve"> </w:t>
      </w:r>
      <w:r w:rsidR="008A3E24">
        <w:rPr>
          <w:rFonts w:ascii="Tahoma" w:hAnsi="Tahoma" w:cs="Tahoma"/>
        </w:rPr>
        <w:t xml:space="preserve">las </w:t>
      </w:r>
      <w:r w:rsidR="00926A32">
        <w:rPr>
          <w:rFonts w:ascii="Tahoma" w:hAnsi="Tahoma" w:cs="Tahoma"/>
        </w:rPr>
        <w:t xml:space="preserve">fuerza física, </w:t>
      </w:r>
      <w:r w:rsidR="003F6060">
        <w:rPr>
          <w:rFonts w:ascii="Tahoma" w:hAnsi="Tahoma" w:cs="Tahoma"/>
        </w:rPr>
        <w:t xml:space="preserve">la facultad </w:t>
      </w:r>
      <w:r w:rsidR="008814A5">
        <w:rPr>
          <w:rFonts w:ascii="Tahoma" w:hAnsi="Tahoma" w:cs="Tahoma"/>
        </w:rPr>
        <w:t xml:space="preserve">y la destreza </w:t>
      </w:r>
      <w:r w:rsidR="003F6060">
        <w:rPr>
          <w:rFonts w:ascii="Tahoma" w:hAnsi="Tahoma" w:cs="Tahoma"/>
        </w:rPr>
        <w:t>de movimientos que requieren precisión</w:t>
      </w:r>
      <w:r w:rsidR="008A3E24">
        <w:rPr>
          <w:rFonts w:ascii="Tahoma" w:hAnsi="Tahoma" w:cs="Tahoma"/>
        </w:rPr>
        <w:t xml:space="preserve"> y que sólo pueden realizar</w:t>
      </w:r>
      <w:r w:rsidR="008814A5">
        <w:rPr>
          <w:rFonts w:ascii="Tahoma" w:hAnsi="Tahoma" w:cs="Tahoma"/>
        </w:rPr>
        <w:t>se</w:t>
      </w:r>
      <w:r w:rsidR="008A3E24">
        <w:rPr>
          <w:rFonts w:ascii="Tahoma" w:hAnsi="Tahoma" w:cs="Tahoma"/>
        </w:rPr>
        <w:t xml:space="preserve"> con las extremidades superiores</w:t>
      </w:r>
      <w:r>
        <w:rPr>
          <w:rFonts w:ascii="Tahoma" w:hAnsi="Tahoma" w:cs="Tahoma"/>
        </w:rPr>
        <w:t xml:space="preserve">. </w:t>
      </w:r>
    </w:p>
    <w:p w14:paraId="11D713EE" w14:textId="77777777" w:rsidR="002B4AA8" w:rsidRDefault="002B4AA8" w:rsidP="003651A5">
      <w:pPr>
        <w:tabs>
          <w:tab w:val="left" w:pos="748"/>
        </w:tabs>
        <w:spacing w:line="276" w:lineRule="auto"/>
        <w:jc w:val="both"/>
        <w:rPr>
          <w:rFonts w:ascii="Tahoma" w:hAnsi="Tahoma" w:cs="Tahoma"/>
        </w:rPr>
      </w:pPr>
    </w:p>
    <w:p w14:paraId="77988728" w14:textId="17B7E702" w:rsidR="00D44F78" w:rsidRDefault="002B4AA8" w:rsidP="003651A5">
      <w:pPr>
        <w:tabs>
          <w:tab w:val="left" w:pos="748"/>
        </w:tabs>
        <w:spacing w:line="276" w:lineRule="auto"/>
        <w:jc w:val="both"/>
        <w:rPr>
          <w:rFonts w:ascii="Tahoma" w:hAnsi="Tahoma" w:cs="Tahoma"/>
        </w:rPr>
      </w:pPr>
      <w:r>
        <w:rPr>
          <w:rFonts w:ascii="Tahoma" w:hAnsi="Tahoma" w:cs="Tahoma"/>
        </w:rPr>
        <w:tab/>
      </w:r>
      <w:r w:rsidR="00F660F2">
        <w:rPr>
          <w:rFonts w:ascii="Tahoma" w:hAnsi="Tahoma" w:cs="Tahoma"/>
        </w:rPr>
        <w:t xml:space="preserve">La </w:t>
      </w:r>
      <w:proofErr w:type="spellStart"/>
      <w:r w:rsidR="00F660F2">
        <w:rPr>
          <w:rFonts w:ascii="Tahoma" w:hAnsi="Tahoma" w:cs="Tahoma"/>
        </w:rPr>
        <w:t>ARL</w:t>
      </w:r>
      <w:proofErr w:type="spellEnd"/>
      <w:r w:rsidR="00F660F2">
        <w:rPr>
          <w:rFonts w:ascii="Tahoma" w:hAnsi="Tahoma" w:cs="Tahoma"/>
        </w:rPr>
        <w:t xml:space="preserve"> en 2 ocasiones le hizo</w:t>
      </w:r>
      <w:r w:rsidR="003F6060">
        <w:rPr>
          <w:rFonts w:ascii="Tahoma" w:hAnsi="Tahoma" w:cs="Tahoma"/>
        </w:rPr>
        <w:t xml:space="preserve"> al trabajador</w:t>
      </w:r>
      <w:r w:rsidR="008814A5">
        <w:rPr>
          <w:rFonts w:ascii="Tahoma" w:hAnsi="Tahoma" w:cs="Tahoma"/>
        </w:rPr>
        <w:t xml:space="preserve"> algunas</w:t>
      </w:r>
      <w:r w:rsidR="00F660F2">
        <w:rPr>
          <w:rFonts w:ascii="Tahoma" w:hAnsi="Tahoma" w:cs="Tahoma"/>
        </w:rPr>
        <w:t xml:space="preserve"> recomendaciones</w:t>
      </w:r>
      <w:r w:rsidR="008814A5">
        <w:rPr>
          <w:rFonts w:ascii="Tahoma" w:hAnsi="Tahoma" w:cs="Tahoma"/>
        </w:rPr>
        <w:t xml:space="preserve"> escritas</w:t>
      </w:r>
      <w:r w:rsidR="00F660F2">
        <w:rPr>
          <w:rFonts w:ascii="Tahoma" w:hAnsi="Tahoma" w:cs="Tahoma"/>
        </w:rPr>
        <w:t xml:space="preserve"> dirigidas a prevenir la exposición a factores de riesgo en su entorno laboral</w:t>
      </w:r>
      <w:r w:rsidR="00D11654">
        <w:rPr>
          <w:rFonts w:ascii="Tahoma" w:hAnsi="Tahoma" w:cs="Tahoma"/>
        </w:rPr>
        <w:t xml:space="preserve">, así: </w:t>
      </w:r>
    </w:p>
    <w:p w14:paraId="7A92ACAF" w14:textId="77777777" w:rsidR="00D44F78" w:rsidRDefault="00D44F78" w:rsidP="003651A5">
      <w:pPr>
        <w:tabs>
          <w:tab w:val="left" w:pos="748"/>
        </w:tabs>
        <w:spacing w:line="276" w:lineRule="auto"/>
        <w:jc w:val="both"/>
        <w:rPr>
          <w:rFonts w:ascii="Tahoma" w:hAnsi="Tahoma" w:cs="Tahoma"/>
        </w:rPr>
      </w:pPr>
    </w:p>
    <w:p w14:paraId="7561B78B" w14:textId="7751636D" w:rsidR="00D44F78" w:rsidRDefault="00D44F78" w:rsidP="003651A5">
      <w:pPr>
        <w:tabs>
          <w:tab w:val="left" w:pos="748"/>
        </w:tabs>
        <w:spacing w:line="276" w:lineRule="auto"/>
        <w:jc w:val="both"/>
        <w:rPr>
          <w:rFonts w:ascii="Tahoma" w:hAnsi="Tahoma" w:cs="Tahoma"/>
        </w:rPr>
      </w:pPr>
      <w:r>
        <w:rPr>
          <w:rFonts w:ascii="Tahoma" w:hAnsi="Tahoma" w:cs="Tahoma"/>
        </w:rPr>
        <w:tab/>
        <w:t>La primera, d</w:t>
      </w:r>
      <w:r w:rsidR="00D11654">
        <w:rPr>
          <w:rFonts w:ascii="Tahoma" w:hAnsi="Tahoma" w:cs="Tahoma"/>
        </w:rPr>
        <w:t>el 1º al 26 de mayo de 2014 (</w:t>
      </w:r>
      <w:proofErr w:type="spellStart"/>
      <w:r w:rsidR="00D11654">
        <w:rPr>
          <w:rFonts w:ascii="Tahoma" w:hAnsi="Tahoma" w:cs="Tahoma"/>
        </w:rPr>
        <w:t>Fl</w:t>
      </w:r>
      <w:proofErr w:type="spellEnd"/>
      <w:r w:rsidR="00D11654">
        <w:rPr>
          <w:rFonts w:ascii="Tahoma" w:hAnsi="Tahoma" w:cs="Tahoma"/>
        </w:rPr>
        <w:t xml:space="preserve">. 28), </w:t>
      </w:r>
      <w:r w:rsidR="002B4AA8">
        <w:rPr>
          <w:rFonts w:ascii="Tahoma" w:hAnsi="Tahoma" w:cs="Tahoma"/>
        </w:rPr>
        <w:t>recomendaciones que iban ha</w:t>
      </w:r>
      <w:r>
        <w:rPr>
          <w:rFonts w:ascii="Tahoma" w:hAnsi="Tahoma" w:cs="Tahoma"/>
        </w:rPr>
        <w:t xml:space="preserve">sta el 17 de junio de 2014. </w:t>
      </w:r>
    </w:p>
    <w:p w14:paraId="524D3CBE" w14:textId="77777777" w:rsidR="00D44F78" w:rsidRDefault="00D44F78" w:rsidP="003651A5">
      <w:pPr>
        <w:tabs>
          <w:tab w:val="left" w:pos="748"/>
        </w:tabs>
        <w:spacing w:line="276" w:lineRule="auto"/>
        <w:jc w:val="both"/>
        <w:rPr>
          <w:rFonts w:ascii="Tahoma" w:hAnsi="Tahoma" w:cs="Tahoma"/>
        </w:rPr>
      </w:pPr>
    </w:p>
    <w:p w14:paraId="6A8B6497" w14:textId="0BCCE399" w:rsidR="00D44F78" w:rsidRDefault="00D44F78" w:rsidP="003651A5">
      <w:pPr>
        <w:tabs>
          <w:tab w:val="left" w:pos="748"/>
        </w:tabs>
        <w:spacing w:line="276" w:lineRule="auto"/>
        <w:jc w:val="both"/>
        <w:rPr>
          <w:rFonts w:ascii="Tahoma" w:hAnsi="Tahoma" w:cs="Tahoma"/>
        </w:rPr>
      </w:pPr>
      <w:r>
        <w:rPr>
          <w:rFonts w:ascii="Tahoma" w:hAnsi="Tahoma" w:cs="Tahoma"/>
        </w:rPr>
        <w:tab/>
        <w:t xml:space="preserve">Y </w:t>
      </w:r>
      <w:r w:rsidR="002B4AA8">
        <w:rPr>
          <w:rFonts w:ascii="Tahoma" w:hAnsi="Tahoma" w:cs="Tahoma"/>
        </w:rPr>
        <w:t>la segunda</w:t>
      </w:r>
      <w:r>
        <w:rPr>
          <w:rFonts w:ascii="Tahoma" w:hAnsi="Tahoma" w:cs="Tahoma"/>
        </w:rPr>
        <w:t>, que</w:t>
      </w:r>
      <w:r w:rsidR="002B4AA8">
        <w:rPr>
          <w:rFonts w:ascii="Tahoma" w:hAnsi="Tahoma" w:cs="Tahoma"/>
        </w:rPr>
        <w:t xml:space="preserve"> se hizo el 10 de junio de 2014</w:t>
      </w:r>
      <w:r>
        <w:rPr>
          <w:rFonts w:ascii="Tahoma" w:hAnsi="Tahoma" w:cs="Tahoma"/>
        </w:rPr>
        <w:t>,</w:t>
      </w:r>
      <w:r w:rsidR="002B4AA8">
        <w:rPr>
          <w:rFonts w:ascii="Tahoma" w:hAnsi="Tahoma" w:cs="Tahoma"/>
        </w:rPr>
        <w:t xml:space="preserve"> con vigencia hasta el 2</w:t>
      </w:r>
      <w:r>
        <w:rPr>
          <w:rFonts w:ascii="Tahoma" w:hAnsi="Tahoma" w:cs="Tahoma"/>
        </w:rPr>
        <w:t>º de julio del mismo año</w:t>
      </w:r>
      <w:r w:rsidR="008814A5">
        <w:rPr>
          <w:rFonts w:ascii="Tahoma" w:hAnsi="Tahoma" w:cs="Tahoma"/>
        </w:rPr>
        <w:t xml:space="preserve"> (</w:t>
      </w:r>
      <w:proofErr w:type="spellStart"/>
      <w:r w:rsidR="008814A5">
        <w:rPr>
          <w:rFonts w:ascii="Tahoma" w:hAnsi="Tahoma" w:cs="Tahoma"/>
        </w:rPr>
        <w:t>Fl</w:t>
      </w:r>
      <w:proofErr w:type="spellEnd"/>
      <w:r w:rsidR="008814A5">
        <w:rPr>
          <w:rFonts w:ascii="Tahoma" w:hAnsi="Tahoma" w:cs="Tahoma"/>
        </w:rPr>
        <w:t>. 25)</w:t>
      </w:r>
      <w:r>
        <w:rPr>
          <w:rFonts w:ascii="Tahoma" w:hAnsi="Tahoma" w:cs="Tahoma"/>
        </w:rPr>
        <w:t>.</w:t>
      </w:r>
    </w:p>
    <w:p w14:paraId="0525F9BE" w14:textId="77777777" w:rsidR="008814A5" w:rsidRDefault="008814A5" w:rsidP="003651A5">
      <w:pPr>
        <w:tabs>
          <w:tab w:val="left" w:pos="748"/>
        </w:tabs>
        <w:spacing w:line="276" w:lineRule="auto"/>
        <w:jc w:val="both"/>
        <w:rPr>
          <w:rFonts w:ascii="Tahoma" w:hAnsi="Tahoma" w:cs="Tahoma"/>
        </w:rPr>
      </w:pPr>
    </w:p>
    <w:p w14:paraId="1CEAA27A" w14:textId="41E4EDDF" w:rsidR="008814A5" w:rsidRDefault="008814A5" w:rsidP="003651A5">
      <w:pPr>
        <w:tabs>
          <w:tab w:val="left" w:pos="748"/>
        </w:tabs>
        <w:spacing w:line="276" w:lineRule="auto"/>
        <w:jc w:val="both"/>
        <w:rPr>
          <w:rFonts w:ascii="Tahoma" w:hAnsi="Tahoma" w:cs="Tahoma"/>
        </w:rPr>
      </w:pPr>
      <w:r>
        <w:rPr>
          <w:rFonts w:ascii="Tahoma" w:hAnsi="Tahoma" w:cs="Tahoma"/>
        </w:rPr>
        <w:tab/>
        <w:t>En ambos conceptos de “retorno laboral” (</w:t>
      </w:r>
      <w:proofErr w:type="spellStart"/>
      <w:r>
        <w:rPr>
          <w:rFonts w:ascii="Tahoma" w:hAnsi="Tahoma" w:cs="Tahoma"/>
        </w:rPr>
        <w:t>Fl</w:t>
      </w:r>
      <w:proofErr w:type="spellEnd"/>
      <w:r>
        <w:rPr>
          <w:rFonts w:ascii="Tahoma" w:hAnsi="Tahoma" w:cs="Tahoma"/>
        </w:rPr>
        <w:t>.</w:t>
      </w:r>
      <w:r w:rsidR="00D02392">
        <w:rPr>
          <w:rFonts w:ascii="Tahoma" w:hAnsi="Tahoma" w:cs="Tahoma"/>
        </w:rPr>
        <w:t xml:space="preserve"> 25 y 28) el médico de “aptitud laboral” adscrito a la </w:t>
      </w:r>
      <w:proofErr w:type="spellStart"/>
      <w:r w:rsidR="00D02392">
        <w:rPr>
          <w:rFonts w:ascii="Tahoma" w:hAnsi="Tahoma" w:cs="Tahoma"/>
        </w:rPr>
        <w:t>ARL</w:t>
      </w:r>
      <w:proofErr w:type="spellEnd"/>
      <w:r w:rsidR="00D02392">
        <w:rPr>
          <w:rFonts w:ascii="Tahoma" w:hAnsi="Tahoma" w:cs="Tahoma"/>
        </w:rPr>
        <w:t xml:space="preserve"> COLMENA, le recomendó al paciente, entre otras cosas, </w:t>
      </w:r>
      <w:r w:rsidR="00666C57">
        <w:rPr>
          <w:rFonts w:ascii="Tahoma" w:hAnsi="Tahoma" w:cs="Tahoma"/>
        </w:rPr>
        <w:t>“</w:t>
      </w:r>
      <w:r w:rsidR="00D02392">
        <w:rPr>
          <w:rFonts w:ascii="Tahoma" w:hAnsi="Tahoma" w:cs="Tahoma"/>
        </w:rPr>
        <w:t>abstenerse de realizar labores con la mano derecha,</w:t>
      </w:r>
      <w:r w:rsidR="00666C57">
        <w:rPr>
          <w:rFonts w:ascii="Tahoma" w:hAnsi="Tahoma" w:cs="Tahoma"/>
        </w:rPr>
        <w:t xml:space="preserve"> (…)</w:t>
      </w:r>
      <w:r w:rsidR="00D02392">
        <w:rPr>
          <w:rFonts w:ascii="Tahoma" w:hAnsi="Tahoma" w:cs="Tahoma"/>
        </w:rPr>
        <w:t xml:space="preserve"> evitar realizar labores con exposición frecuente a vibración en mano derecha, </w:t>
      </w:r>
      <w:r w:rsidR="00666C57">
        <w:rPr>
          <w:rFonts w:ascii="Tahoma" w:hAnsi="Tahoma" w:cs="Tahoma"/>
        </w:rPr>
        <w:t>etc.</w:t>
      </w:r>
      <w:r w:rsidR="00D02392">
        <w:rPr>
          <w:rFonts w:ascii="Tahoma" w:hAnsi="Tahoma" w:cs="Tahoma"/>
        </w:rPr>
        <w:t>” y previno</w:t>
      </w:r>
      <w:r w:rsidR="00666C57">
        <w:rPr>
          <w:rFonts w:ascii="Tahoma" w:hAnsi="Tahoma" w:cs="Tahoma"/>
        </w:rPr>
        <w:t xml:space="preserve"> </w:t>
      </w:r>
      <w:r w:rsidR="00D02392">
        <w:rPr>
          <w:rFonts w:ascii="Tahoma" w:hAnsi="Tahoma" w:cs="Tahoma"/>
        </w:rPr>
        <w:t>la necesidad de que el trabajador recibiera inducción o re</w:t>
      </w:r>
      <w:r w:rsidR="00666C57">
        <w:rPr>
          <w:rFonts w:ascii="Tahoma" w:hAnsi="Tahoma" w:cs="Tahoma"/>
        </w:rPr>
        <w:t>-</w:t>
      </w:r>
      <w:r w:rsidR="00D02392">
        <w:rPr>
          <w:rFonts w:ascii="Tahoma" w:hAnsi="Tahoma" w:cs="Tahoma"/>
        </w:rPr>
        <w:t>inducción al puesto de trabajo de acuerdo a los planes establecidos por la empr</w:t>
      </w:r>
      <w:r w:rsidR="00666C57">
        <w:rPr>
          <w:rFonts w:ascii="Tahoma" w:hAnsi="Tahoma" w:cs="Tahoma"/>
        </w:rPr>
        <w:t>esa, con énfasis en salud ocupacional”</w:t>
      </w:r>
      <w:r>
        <w:rPr>
          <w:rFonts w:ascii="Tahoma" w:hAnsi="Tahoma" w:cs="Tahoma"/>
        </w:rPr>
        <w:t xml:space="preserve"> </w:t>
      </w:r>
    </w:p>
    <w:p w14:paraId="6BDBC140" w14:textId="77777777" w:rsidR="00D44F78" w:rsidRDefault="00D44F78" w:rsidP="003651A5">
      <w:pPr>
        <w:tabs>
          <w:tab w:val="left" w:pos="748"/>
        </w:tabs>
        <w:spacing w:line="276" w:lineRule="auto"/>
        <w:jc w:val="both"/>
        <w:rPr>
          <w:rFonts w:ascii="Tahoma" w:hAnsi="Tahoma" w:cs="Tahoma"/>
        </w:rPr>
      </w:pPr>
    </w:p>
    <w:p w14:paraId="72C1B382" w14:textId="5A14BBC9" w:rsidR="00F660F2" w:rsidRDefault="00D44F78" w:rsidP="003651A5">
      <w:pPr>
        <w:tabs>
          <w:tab w:val="left" w:pos="748"/>
        </w:tabs>
        <w:spacing w:line="276" w:lineRule="auto"/>
        <w:jc w:val="both"/>
        <w:rPr>
          <w:rFonts w:ascii="Tahoma" w:hAnsi="Tahoma" w:cs="Tahoma"/>
        </w:rPr>
      </w:pPr>
      <w:r>
        <w:rPr>
          <w:rFonts w:ascii="Tahoma" w:hAnsi="Tahoma" w:cs="Tahoma"/>
        </w:rPr>
        <w:tab/>
        <w:t>D</w:t>
      </w:r>
      <w:r w:rsidR="0096163F">
        <w:rPr>
          <w:rFonts w:ascii="Tahoma" w:hAnsi="Tahoma" w:cs="Tahoma"/>
        </w:rPr>
        <w:t>e modo que, habida cuenta de que el despido se produjo</w:t>
      </w:r>
      <w:r w:rsidR="002B4AA8">
        <w:rPr>
          <w:rFonts w:ascii="Tahoma" w:hAnsi="Tahoma" w:cs="Tahoma"/>
        </w:rPr>
        <w:t xml:space="preserve"> el 21 de junio de 2014, no queda duda de que para esa fecha estaban vigentes las restricciones laborales por las cuales se veía disminuida o limitada la plena capacidad física del trabajador. Además, recordemos que </w:t>
      </w:r>
      <w:proofErr w:type="spellStart"/>
      <w:r w:rsidR="002B4AA8">
        <w:rPr>
          <w:rFonts w:ascii="Tahoma" w:hAnsi="Tahoma" w:cs="Tahoma"/>
        </w:rPr>
        <w:t>PROMASIVO</w:t>
      </w:r>
      <w:proofErr w:type="spellEnd"/>
      <w:r w:rsidR="002B4AA8">
        <w:rPr>
          <w:rFonts w:ascii="Tahoma" w:hAnsi="Tahoma" w:cs="Tahoma"/>
        </w:rPr>
        <w:t xml:space="preserve"> no contestó la demanda, por lo tanto no desvirtuó que</w:t>
      </w:r>
      <w:r w:rsidR="0089328E">
        <w:rPr>
          <w:rFonts w:ascii="Tahoma" w:hAnsi="Tahoma" w:cs="Tahoma"/>
        </w:rPr>
        <w:t xml:space="preserve"> no</w:t>
      </w:r>
      <w:r w:rsidR="002B4AA8">
        <w:rPr>
          <w:rFonts w:ascii="Tahoma" w:hAnsi="Tahoma" w:cs="Tahoma"/>
        </w:rPr>
        <w:t xml:space="preserve"> haya conocido tales recomendaciones. </w:t>
      </w:r>
      <w:r w:rsidR="00F660F2">
        <w:rPr>
          <w:rFonts w:ascii="Tahoma" w:hAnsi="Tahoma" w:cs="Tahoma"/>
        </w:rPr>
        <w:t xml:space="preserve">  </w:t>
      </w:r>
    </w:p>
    <w:p w14:paraId="488BFCC2" w14:textId="77777777" w:rsidR="00F660F2" w:rsidRDefault="00F660F2" w:rsidP="003651A5">
      <w:pPr>
        <w:tabs>
          <w:tab w:val="left" w:pos="748"/>
        </w:tabs>
        <w:spacing w:line="276" w:lineRule="auto"/>
        <w:jc w:val="both"/>
        <w:rPr>
          <w:rFonts w:ascii="Tahoma" w:hAnsi="Tahoma" w:cs="Tahoma"/>
        </w:rPr>
      </w:pPr>
    </w:p>
    <w:p w14:paraId="4221FB00" w14:textId="6F117C5B" w:rsidR="00174EA4" w:rsidRPr="00E35DF0" w:rsidRDefault="002B4AA8" w:rsidP="003651A5">
      <w:pPr>
        <w:tabs>
          <w:tab w:val="left" w:pos="748"/>
        </w:tabs>
        <w:spacing w:line="276" w:lineRule="auto"/>
        <w:jc w:val="both"/>
        <w:rPr>
          <w:rFonts w:ascii="Tahoma" w:hAnsi="Tahoma" w:cs="Tahoma"/>
        </w:rPr>
      </w:pPr>
      <w:r>
        <w:rPr>
          <w:rFonts w:ascii="Tahoma" w:hAnsi="Tahoma" w:cs="Tahoma"/>
        </w:rPr>
        <w:tab/>
      </w:r>
      <w:r w:rsidR="00B461A3" w:rsidRPr="00E35DF0">
        <w:rPr>
          <w:rFonts w:ascii="Tahoma" w:hAnsi="Tahoma" w:cs="Tahoma"/>
        </w:rPr>
        <w:t xml:space="preserve">En consecuencia, </w:t>
      </w:r>
      <w:r w:rsidR="003651A5" w:rsidRPr="00E35DF0">
        <w:rPr>
          <w:rFonts w:ascii="Tahoma" w:hAnsi="Tahoma" w:cs="Tahoma"/>
        </w:rPr>
        <w:t>no sobra reiterar</w:t>
      </w:r>
      <w:r w:rsidR="00B461A3" w:rsidRPr="00E35DF0">
        <w:rPr>
          <w:rFonts w:ascii="Tahoma" w:hAnsi="Tahoma" w:cs="Tahoma"/>
        </w:rPr>
        <w:t xml:space="preserve"> que </w:t>
      </w:r>
      <w:r w:rsidR="003651A5" w:rsidRPr="00E35DF0">
        <w:rPr>
          <w:rFonts w:ascii="Tahoma" w:hAnsi="Tahoma" w:cs="Tahoma"/>
        </w:rPr>
        <w:t>obró en favor del trabajador</w:t>
      </w:r>
      <w:r w:rsidR="00B461A3" w:rsidRPr="00E35DF0">
        <w:rPr>
          <w:rFonts w:ascii="Tahoma" w:hAnsi="Tahoma" w:cs="Tahoma"/>
        </w:rPr>
        <w:t xml:space="preserve"> la presunción de que su despido se hizo con ocasión de su enfermedad, razón por la cua</w:t>
      </w:r>
      <w:r w:rsidR="003651A5" w:rsidRPr="00E35DF0">
        <w:rPr>
          <w:rFonts w:ascii="Tahoma" w:hAnsi="Tahoma" w:cs="Tahoma"/>
        </w:rPr>
        <w:t xml:space="preserve">l hay lugar a condenar a </w:t>
      </w:r>
      <w:proofErr w:type="spellStart"/>
      <w:r w:rsidR="003651A5" w:rsidRPr="00E35DF0">
        <w:rPr>
          <w:rFonts w:ascii="Tahoma" w:hAnsi="Tahoma" w:cs="Tahoma"/>
        </w:rPr>
        <w:t>PROMASIVO</w:t>
      </w:r>
      <w:proofErr w:type="spellEnd"/>
      <w:r w:rsidR="003651A5" w:rsidRPr="00E35DF0">
        <w:rPr>
          <w:rFonts w:ascii="Tahoma" w:hAnsi="Tahoma" w:cs="Tahoma"/>
        </w:rPr>
        <w:t xml:space="preserve"> S.A.</w:t>
      </w:r>
      <w:r w:rsidR="00645528" w:rsidRPr="00E35DF0">
        <w:rPr>
          <w:rFonts w:ascii="Tahoma" w:hAnsi="Tahoma" w:cs="Tahoma"/>
        </w:rPr>
        <w:t xml:space="preserve"> al pago de la</w:t>
      </w:r>
      <w:r w:rsidR="00B461A3" w:rsidRPr="00E35DF0">
        <w:rPr>
          <w:rFonts w:ascii="Tahoma" w:hAnsi="Tahoma" w:cs="Tahoma"/>
        </w:rPr>
        <w:t xml:space="preserve"> indemnización de los 180 días de que habla el </w:t>
      </w:r>
      <w:proofErr w:type="gramStart"/>
      <w:r w:rsidR="00B461A3" w:rsidRPr="00E35DF0">
        <w:rPr>
          <w:rFonts w:ascii="Tahoma" w:hAnsi="Tahoma" w:cs="Tahoma"/>
        </w:rPr>
        <w:t>artículo  26</w:t>
      </w:r>
      <w:proofErr w:type="gramEnd"/>
      <w:r w:rsidR="00B461A3" w:rsidRPr="00E35DF0">
        <w:rPr>
          <w:rFonts w:ascii="Tahoma" w:hAnsi="Tahoma" w:cs="Tahoma"/>
        </w:rPr>
        <w:t xml:space="preserve"> d</w:t>
      </w:r>
      <w:r w:rsidR="00666C57">
        <w:rPr>
          <w:rFonts w:ascii="Tahoma" w:hAnsi="Tahoma" w:cs="Tahoma"/>
        </w:rPr>
        <w:t>e la ley 361/97,</w:t>
      </w:r>
      <w:r w:rsidR="00B461A3" w:rsidRPr="00E35DF0">
        <w:rPr>
          <w:rFonts w:ascii="Tahoma" w:hAnsi="Tahoma" w:cs="Tahoma"/>
        </w:rPr>
        <w:t xml:space="preserve"> tal </w:t>
      </w:r>
      <w:r w:rsidR="00666C57">
        <w:rPr>
          <w:rFonts w:ascii="Tahoma" w:hAnsi="Tahoma" w:cs="Tahoma"/>
        </w:rPr>
        <w:t xml:space="preserve">y </w:t>
      </w:r>
      <w:r w:rsidR="00B461A3" w:rsidRPr="00E35DF0">
        <w:rPr>
          <w:rFonts w:ascii="Tahoma" w:hAnsi="Tahoma" w:cs="Tahoma"/>
        </w:rPr>
        <w:t>como</w:t>
      </w:r>
      <w:r w:rsidR="00666C57">
        <w:rPr>
          <w:rFonts w:ascii="Tahoma" w:hAnsi="Tahoma" w:cs="Tahoma"/>
        </w:rPr>
        <w:t xml:space="preserve"> se</w:t>
      </w:r>
      <w:r w:rsidR="00B461A3" w:rsidRPr="00E35DF0">
        <w:rPr>
          <w:rFonts w:ascii="Tahoma" w:hAnsi="Tahoma" w:cs="Tahoma"/>
        </w:rPr>
        <w:t xml:space="preserve"> </w:t>
      </w:r>
      <w:r w:rsidR="003651A5" w:rsidRPr="00E35DF0">
        <w:rPr>
          <w:rFonts w:ascii="Tahoma" w:hAnsi="Tahoma" w:cs="Tahoma"/>
        </w:rPr>
        <w:t>decidió en primera instancia</w:t>
      </w:r>
      <w:r w:rsidR="00B461A3" w:rsidRPr="00E35DF0">
        <w:rPr>
          <w:rFonts w:ascii="Tahoma" w:hAnsi="Tahoma" w:cs="Tahoma"/>
        </w:rPr>
        <w:t>. Aquí vale la pena aclarar que dicho despido no tuvo ef</w:t>
      </w:r>
      <w:r w:rsidR="003651A5" w:rsidRPr="00E35DF0">
        <w:rPr>
          <w:rFonts w:ascii="Tahoma" w:hAnsi="Tahoma" w:cs="Tahoma"/>
        </w:rPr>
        <w:t>ecto alguno y por lo tanto habría</w:t>
      </w:r>
      <w:r w:rsidR="00B461A3" w:rsidRPr="00E35DF0">
        <w:rPr>
          <w:rFonts w:ascii="Tahoma" w:hAnsi="Tahoma" w:cs="Tahoma"/>
        </w:rPr>
        <w:t xml:space="preserve"> lugar al reintegro, pero como tal</w:t>
      </w:r>
      <w:r w:rsidR="003651A5" w:rsidRPr="00E35DF0">
        <w:rPr>
          <w:rFonts w:ascii="Tahoma" w:hAnsi="Tahoma" w:cs="Tahoma"/>
        </w:rPr>
        <w:t xml:space="preserve"> </w:t>
      </w:r>
      <w:r w:rsidR="00666C57">
        <w:rPr>
          <w:rFonts w:ascii="Tahoma" w:hAnsi="Tahoma" w:cs="Tahoma"/>
        </w:rPr>
        <w:t>cosa no se pidió en la demanda,</w:t>
      </w:r>
      <w:r w:rsidR="00B461A3" w:rsidRPr="00E35DF0">
        <w:rPr>
          <w:rFonts w:ascii="Tahoma" w:hAnsi="Tahoma" w:cs="Tahoma"/>
        </w:rPr>
        <w:t xml:space="preserve"> no puede la Sala sino limitarse a la pretensión pecuniaria.</w:t>
      </w:r>
    </w:p>
    <w:p w14:paraId="1CC64BE7" w14:textId="77777777" w:rsidR="00174EA4" w:rsidRDefault="00174EA4" w:rsidP="003651A5">
      <w:pPr>
        <w:tabs>
          <w:tab w:val="left" w:pos="748"/>
        </w:tabs>
        <w:spacing w:line="276" w:lineRule="auto"/>
        <w:jc w:val="both"/>
        <w:rPr>
          <w:rFonts w:ascii="Tahoma" w:hAnsi="Tahoma" w:cs="Tahoma"/>
        </w:rPr>
      </w:pPr>
    </w:p>
    <w:p w14:paraId="5894DA2F" w14:textId="77777777" w:rsidR="00174EA4" w:rsidRPr="00174EA4" w:rsidRDefault="00174EA4" w:rsidP="00A51F22">
      <w:pPr>
        <w:pStyle w:val="Prrafodelista"/>
        <w:numPr>
          <w:ilvl w:val="1"/>
          <w:numId w:val="1"/>
        </w:numPr>
        <w:tabs>
          <w:tab w:val="left" w:pos="748"/>
        </w:tabs>
        <w:spacing w:line="276" w:lineRule="auto"/>
        <w:jc w:val="both"/>
        <w:rPr>
          <w:rFonts w:ascii="Tahoma" w:hAnsi="Tahoma" w:cs="Tahoma"/>
          <w:b/>
        </w:rPr>
      </w:pPr>
      <w:r w:rsidRPr="00174EA4">
        <w:rPr>
          <w:rFonts w:ascii="Tahoma" w:hAnsi="Tahoma" w:cs="Tahoma"/>
          <w:b/>
        </w:rPr>
        <w:t>FÓRMULA DE LIQUIDACIÓN DE LA SANCIÓN MORATORIA POR FALTA DE CONSIGNACIÓN DE LAS CESANTÍAS</w:t>
      </w:r>
    </w:p>
    <w:p w14:paraId="5EAE3885" w14:textId="77777777" w:rsidR="00174EA4" w:rsidRDefault="00174EA4" w:rsidP="00174EA4">
      <w:pPr>
        <w:tabs>
          <w:tab w:val="left" w:pos="748"/>
        </w:tabs>
        <w:spacing w:line="276" w:lineRule="auto"/>
        <w:jc w:val="both"/>
        <w:rPr>
          <w:rFonts w:ascii="Tahoma" w:hAnsi="Tahoma" w:cs="Tahoma"/>
        </w:rPr>
      </w:pPr>
    </w:p>
    <w:p w14:paraId="12DAE3F7" w14:textId="561E330D" w:rsidR="00174EA4" w:rsidRDefault="00174EA4" w:rsidP="00174EA4">
      <w:pPr>
        <w:tabs>
          <w:tab w:val="left" w:pos="748"/>
        </w:tabs>
        <w:spacing w:line="276" w:lineRule="auto"/>
        <w:jc w:val="both"/>
        <w:rPr>
          <w:rFonts w:ascii="Tahoma" w:hAnsi="Tahoma" w:cs="Tahoma"/>
        </w:rPr>
      </w:pPr>
      <w:r>
        <w:rPr>
          <w:rFonts w:ascii="Tahoma" w:hAnsi="Tahoma" w:cs="Tahoma"/>
        </w:rPr>
        <w:lastRenderedPageBreak/>
        <w:tab/>
        <w:t>La jueza de primer grado arribó a la conclusión de que la</w:t>
      </w:r>
      <w:r w:rsidR="00A51F22">
        <w:rPr>
          <w:rFonts w:ascii="Tahoma" w:hAnsi="Tahoma" w:cs="Tahoma"/>
        </w:rPr>
        <w:t xml:space="preserve"> empresa</w:t>
      </w:r>
      <w:r>
        <w:rPr>
          <w:rFonts w:ascii="Tahoma" w:hAnsi="Tahoma" w:cs="Tahoma"/>
        </w:rPr>
        <w:t xml:space="preserve"> demandada no había pagado y mucho menos consignado las cesantías del trabajador</w:t>
      </w:r>
      <w:r w:rsidR="00791FDB">
        <w:rPr>
          <w:rFonts w:ascii="Tahoma" w:hAnsi="Tahoma" w:cs="Tahoma"/>
        </w:rPr>
        <w:t xml:space="preserve"> correspondiente</w:t>
      </w:r>
      <w:r w:rsidR="008C3A36">
        <w:rPr>
          <w:rFonts w:ascii="Tahoma" w:hAnsi="Tahoma" w:cs="Tahoma"/>
        </w:rPr>
        <w:t>s</w:t>
      </w:r>
      <w:r w:rsidR="00791FDB">
        <w:rPr>
          <w:rFonts w:ascii="Tahoma" w:hAnsi="Tahoma" w:cs="Tahoma"/>
        </w:rPr>
        <w:t xml:space="preserve"> a la fracción laborada en el año 2011 y la del año completo 2013</w:t>
      </w:r>
      <w:r>
        <w:rPr>
          <w:rFonts w:ascii="Tahoma" w:hAnsi="Tahoma" w:cs="Tahoma"/>
        </w:rPr>
        <w:t>, de modo que condenó al pago de la</w:t>
      </w:r>
      <w:r w:rsidR="00791FDB">
        <w:rPr>
          <w:rFonts w:ascii="Tahoma" w:hAnsi="Tahoma" w:cs="Tahoma"/>
        </w:rPr>
        <w:t>s</w:t>
      </w:r>
      <w:r>
        <w:rPr>
          <w:rFonts w:ascii="Tahoma" w:hAnsi="Tahoma" w:cs="Tahoma"/>
        </w:rPr>
        <w:t xml:space="preserve"> misma</w:t>
      </w:r>
      <w:r w:rsidR="00791FDB">
        <w:rPr>
          <w:rFonts w:ascii="Tahoma" w:hAnsi="Tahoma" w:cs="Tahoma"/>
        </w:rPr>
        <w:t>s,</w:t>
      </w:r>
      <w:r>
        <w:rPr>
          <w:rFonts w:ascii="Tahoma" w:hAnsi="Tahoma" w:cs="Tahoma"/>
        </w:rPr>
        <w:t xml:space="preserve"> e impuso</w:t>
      </w:r>
      <w:r w:rsidR="00791FDB">
        <w:rPr>
          <w:rFonts w:ascii="Tahoma" w:hAnsi="Tahoma" w:cs="Tahoma"/>
        </w:rPr>
        <w:t xml:space="preserve">, </w:t>
      </w:r>
      <w:r w:rsidR="00112629">
        <w:rPr>
          <w:rFonts w:ascii="Tahoma" w:hAnsi="Tahoma" w:cs="Tahoma"/>
        </w:rPr>
        <w:t>aparte de eso</w:t>
      </w:r>
      <w:r w:rsidR="00791FDB">
        <w:rPr>
          <w:rFonts w:ascii="Tahoma" w:hAnsi="Tahoma" w:cs="Tahoma"/>
        </w:rPr>
        <w:t>,</w:t>
      </w:r>
      <w:r>
        <w:rPr>
          <w:rFonts w:ascii="Tahoma" w:hAnsi="Tahoma" w:cs="Tahoma"/>
        </w:rPr>
        <w:t xml:space="preserve"> la sanción prevista en el </w:t>
      </w:r>
      <w:r w:rsidRPr="008174BD">
        <w:rPr>
          <w:rFonts w:ascii="Tahoma" w:hAnsi="Tahoma" w:cs="Tahoma"/>
        </w:rPr>
        <w:t>artículo 90, numeral 3º de la Ley 50 de 1990</w:t>
      </w:r>
      <w:r>
        <w:rPr>
          <w:rFonts w:ascii="Tahoma" w:hAnsi="Tahoma" w:cs="Tahoma"/>
        </w:rPr>
        <w:t xml:space="preserve"> ante su falta de consignación. </w:t>
      </w:r>
    </w:p>
    <w:p w14:paraId="237F04E2" w14:textId="77777777" w:rsidR="00174EA4" w:rsidRDefault="00174EA4" w:rsidP="00174EA4">
      <w:pPr>
        <w:tabs>
          <w:tab w:val="left" w:pos="748"/>
        </w:tabs>
        <w:spacing w:line="276" w:lineRule="auto"/>
        <w:jc w:val="both"/>
        <w:rPr>
          <w:rFonts w:ascii="Tahoma" w:hAnsi="Tahoma" w:cs="Tahoma"/>
        </w:rPr>
      </w:pPr>
    </w:p>
    <w:p w14:paraId="1754D960" w14:textId="2F01D41B" w:rsidR="004D0E12" w:rsidRDefault="00174EA4" w:rsidP="00174EA4">
      <w:pPr>
        <w:tabs>
          <w:tab w:val="left" w:pos="748"/>
        </w:tabs>
        <w:spacing w:line="276" w:lineRule="auto"/>
        <w:jc w:val="both"/>
        <w:rPr>
          <w:rFonts w:ascii="Tahoma" w:hAnsi="Tahoma" w:cs="Tahoma"/>
        </w:rPr>
      </w:pPr>
      <w:r>
        <w:rPr>
          <w:rFonts w:ascii="Tahoma" w:hAnsi="Tahoma" w:cs="Tahoma"/>
        </w:rPr>
        <w:tab/>
        <w:t>Al cuantificar dicha condena,</w:t>
      </w:r>
      <w:r w:rsidR="00791FDB">
        <w:rPr>
          <w:rFonts w:ascii="Tahoma" w:hAnsi="Tahoma" w:cs="Tahoma"/>
        </w:rPr>
        <w:t xml:space="preserve"> </w:t>
      </w:r>
      <w:r w:rsidR="008C3A36">
        <w:rPr>
          <w:rFonts w:ascii="Tahoma" w:hAnsi="Tahoma" w:cs="Tahoma"/>
        </w:rPr>
        <w:t xml:space="preserve">la jueza advirtió que respecto a la sanción por la falta de consignación de las cesantías causadas entre </w:t>
      </w:r>
      <w:r w:rsidR="008C3A36" w:rsidRPr="00A51F22">
        <w:rPr>
          <w:rFonts w:ascii="Tahoma" w:hAnsi="Tahoma" w:cs="Tahoma"/>
          <w:u w:val="single"/>
        </w:rPr>
        <w:t>el 15 de septiembre de 2011</w:t>
      </w:r>
      <w:r w:rsidR="00112629" w:rsidRPr="00A51F22">
        <w:rPr>
          <w:rFonts w:ascii="Tahoma" w:hAnsi="Tahoma" w:cs="Tahoma"/>
          <w:u w:val="single"/>
        </w:rPr>
        <w:t xml:space="preserve"> -</w:t>
      </w:r>
      <w:r w:rsidR="008C3A36" w:rsidRPr="00A51F22">
        <w:rPr>
          <w:rFonts w:ascii="Tahoma" w:hAnsi="Tahoma" w:cs="Tahoma"/>
          <w:u w:val="single"/>
        </w:rPr>
        <w:t>fecha del h</w:t>
      </w:r>
      <w:r w:rsidR="00112629" w:rsidRPr="00A51F22">
        <w:rPr>
          <w:rFonts w:ascii="Tahoma" w:hAnsi="Tahoma" w:cs="Tahoma"/>
          <w:u w:val="single"/>
        </w:rPr>
        <w:t>ito inicial del vínculo laboral-</w:t>
      </w:r>
      <w:r w:rsidR="008C3A36" w:rsidRPr="00A51F22">
        <w:rPr>
          <w:rFonts w:ascii="Tahoma" w:hAnsi="Tahoma" w:cs="Tahoma"/>
          <w:u w:val="single"/>
        </w:rPr>
        <w:t xml:space="preserve"> y el último día de ese año</w:t>
      </w:r>
      <w:r w:rsidR="00112629" w:rsidRPr="00A51F22">
        <w:rPr>
          <w:rFonts w:ascii="Tahoma" w:hAnsi="Tahoma" w:cs="Tahoma"/>
          <w:u w:val="single"/>
        </w:rPr>
        <w:t xml:space="preserve"> -31 de diciembre de 2011-</w:t>
      </w:r>
      <w:r w:rsidR="008C3A36" w:rsidRPr="00A51F22">
        <w:rPr>
          <w:rFonts w:ascii="Tahoma" w:hAnsi="Tahoma" w:cs="Tahoma"/>
          <w:u w:val="single"/>
        </w:rPr>
        <w:t>,</w:t>
      </w:r>
      <w:r w:rsidR="008C3A36">
        <w:rPr>
          <w:rFonts w:ascii="Tahoma" w:hAnsi="Tahoma" w:cs="Tahoma"/>
        </w:rPr>
        <w:t xml:space="preserve"> la citada sanció</w:t>
      </w:r>
      <w:r w:rsidR="004D0E12">
        <w:rPr>
          <w:rFonts w:ascii="Tahoma" w:hAnsi="Tahoma" w:cs="Tahoma"/>
        </w:rPr>
        <w:t>n corría</w:t>
      </w:r>
      <w:r w:rsidR="008C3A36">
        <w:rPr>
          <w:rFonts w:ascii="Tahoma" w:hAnsi="Tahoma" w:cs="Tahoma"/>
        </w:rPr>
        <w:t xml:space="preserve"> entre el 15 de febrero del año 2012 y el mismo día y mes del año siguiente</w:t>
      </w:r>
      <w:r w:rsidR="00A51F22">
        <w:rPr>
          <w:rFonts w:ascii="Tahoma" w:hAnsi="Tahoma" w:cs="Tahoma"/>
        </w:rPr>
        <w:t xml:space="preserve"> (2013)</w:t>
      </w:r>
      <w:r w:rsidR="008C3A36">
        <w:rPr>
          <w:rFonts w:ascii="Tahoma" w:hAnsi="Tahoma" w:cs="Tahoma"/>
        </w:rPr>
        <w:t xml:space="preserve">, puesto </w:t>
      </w:r>
      <w:r w:rsidR="00112629">
        <w:rPr>
          <w:rFonts w:ascii="Tahoma" w:hAnsi="Tahoma" w:cs="Tahoma"/>
        </w:rPr>
        <w:t>que en esa fecha el empleador sí</w:t>
      </w:r>
      <w:r w:rsidR="008C3A36">
        <w:rPr>
          <w:rFonts w:ascii="Tahoma" w:hAnsi="Tahoma" w:cs="Tahoma"/>
        </w:rPr>
        <w:t xml:space="preserve"> había consignado las cesantías correspondientes al </w:t>
      </w:r>
      <w:r w:rsidR="00112629">
        <w:rPr>
          <w:rFonts w:ascii="Tahoma" w:hAnsi="Tahoma" w:cs="Tahoma"/>
        </w:rPr>
        <w:t xml:space="preserve">año 2012, con lo cual se interrumpió su causación, la cual sin embargo volvió a activarse al año siguiente (2014), puesto el 14 de febrero de 2014 (fecha límite para </w:t>
      </w:r>
      <w:r w:rsidR="004D0E12">
        <w:rPr>
          <w:rFonts w:ascii="Tahoma" w:hAnsi="Tahoma" w:cs="Tahoma"/>
        </w:rPr>
        <w:t>la consignación de las cesantías anuales</w:t>
      </w:r>
      <w:r w:rsidR="00112629">
        <w:rPr>
          <w:rFonts w:ascii="Tahoma" w:hAnsi="Tahoma" w:cs="Tahoma"/>
        </w:rPr>
        <w:t xml:space="preserve">), </w:t>
      </w:r>
      <w:proofErr w:type="spellStart"/>
      <w:r w:rsidR="00112629">
        <w:rPr>
          <w:rFonts w:ascii="Tahoma" w:hAnsi="Tahoma" w:cs="Tahoma"/>
        </w:rPr>
        <w:t>PROMASIVO</w:t>
      </w:r>
      <w:proofErr w:type="spellEnd"/>
      <w:r w:rsidR="00112629">
        <w:rPr>
          <w:rFonts w:ascii="Tahoma" w:hAnsi="Tahoma" w:cs="Tahoma"/>
        </w:rPr>
        <w:t xml:space="preserve"> S.A. no consignó las cesantías correspondientes al año 2013, corriendo la sanci</w:t>
      </w:r>
      <w:r w:rsidR="00A51F22">
        <w:rPr>
          <w:rFonts w:ascii="Tahoma" w:hAnsi="Tahoma" w:cs="Tahoma"/>
        </w:rPr>
        <w:t xml:space="preserve">ón entre dicha fecha </w:t>
      </w:r>
      <w:r w:rsidR="00A51F22" w:rsidRPr="00F1255E">
        <w:rPr>
          <w:rFonts w:ascii="Tahoma" w:hAnsi="Tahoma" w:cs="Tahoma"/>
          <w:u w:val="single"/>
        </w:rPr>
        <w:t>y el día</w:t>
      </w:r>
      <w:r w:rsidR="00112629" w:rsidRPr="00F1255E">
        <w:rPr>
          <w:rFonts w:ascii="Tahoma" w:hAnsi="Tahoma" w:cs="Tahoma"/>
          <w:u w:val="single"/>
        </w:rPr>
        <w:t xml:space="preserve"> de la terminación del contrato de trabajo, esto es, el 21 de junio de ese año</w:t>
      </w:r>
      <w:r w:rsidR="00112629">
        <w:rPr>
          <w:rFonts w:ascii="Tahoma" w:hAnsi="Tahoma" w:cs="Tahoma"/>
        </w:rPr>
        <w:t>. En esa medida, concretó la condena en la</w:t>
      </w:r>
      <w:r w:rsidR="004D0E12">
        <w:rPr>
          <w:rFonts w:ascii="Tahoma" w:hAnsi="Tahoma" w:cs="Tahoma"/>
        </w:rPr>
        <w:t>s siguientes</w:t>
      </w:r>
      <w:r w:rsidR="00112629">
        <w:rPr>
          <w:rFonts w:ascii="Tahoma" w:hAnsi="Tahoma" w:cs="Tahoma"/>
        </w:rPr>
        <w:t xml:space="preserve"> suma</w:t>
      </w:r>
      <w:r w:rsidR="004D0E12">
        <w:rPr>
          <w:rFonts w:ascii="Tahoma" w:hAnsi="Tahoma" w:cs="Tahoma"/>
        </w:rPr>
        <w:t xml:space="preserve">s: $6.427.200 por la falta de consignación de las cesantías del </w:t>
      </w:r>
      <w:r w:rsidR="004D0E12" w:rsidRPr="00A51F22">
        <w:rPr>
          <w:rFonts w:ascii="Tahoma" w:hAnsi="Tahoma" w:cs="Tahoma"/>
          <w:u w:val="single"/>
        </w:rPr>
        <w:t>año 2011</w:t>
      </w:r>
      <w:r w:rsidR="004D0E12">
        <w:rPr>
          <w:rFonts w:ascii="Tahoma" w:hAnsi="Tahoma" w:cs="Tahoma"/>
        </w:rPr>
        <w:t>, a razón de un día de salario (</w:t>
      </w:r>
      <w:r w:rsidR="00A51F22">
        <w:rPr>
          <w:rFonts w:ascii="Tahoma" w:hAnsi="Tahoma" w:cs="Tahoma"/>
        </w:rPr>
        <w:t>$</w:t>
      </w:r>
      <w:r w:rsidR="004D0E12">
        <w:rPr>
          <w:rFonts w:ascii="Tahoma" w:hAnsi="Tahoma" w:cs="Tahoma"/>
        </w:rPr>
        <w:t>17.853,33 diarios) por cada día de retardo entre el 15 de febrero de 2012 y el mismo día y mes del año siguiente</w:t>
      </w:r>
      <w:r w:rsidR="00F1255E">
        <w:rPr>
          <w:rFonts w:ascii="Tahoma" w:hAnsi="Tahoma" w:cs="Tahoma"/>
        </w:rPr>
        <w:t xml:space="preserve"> (2013)</w:t>
      </w:r>
      <w:r w:rsidR="004D0E12">
        <w:rPr>
          <w:rFonts w:ascii="Tahoma" w:hAnsi="Tahoma" w:cs="Tahoma"/>
        </w:rPr>
        <w:t xml:space="preserve">; y por el año </w:t>
      </w:r>
      <w:r w:rsidR="004D0E12" w:rsidRPr="00A51F22">
        <w:rPr>
          <w:rFonts w:ascii="Tahoma" w:hAnsi="Tahoma" w:cs="Tahoma"/>
          <w:u w:val="single"/>
        </w:rPr>
        <w:t>2013</w:t>
      </w:r>
      <w:r w:rsidR="004D0E12">
        <w:rPr>
          <w:rFonts w:ascii="Tahoma" w:hAnsi="Tahoma" w:cs="Tahoma"/>
        </w:rPr>
        <w:t>, $3.657.107, a razón de $29.024 diarios entre el 15 de febrero de 2014 y la fecha del despido</w:t>
      </w:r>
      <w:r w:rsidR="00873FBD">
        <w:rPr>
          <w:rFonts w:ascii="Tahoma" w:hAnsi="Tahoma" w:cs="Tahoma"/>
        </w:rPr>
        <w:t>, para un total de $10.084.307,6</w:t>
      </w:r>
      <w:r w:rsidR="004D0E12">
        <w:rPr>
          <w:rFonts w:ascii="Tahoma" w:hAnsi="Tahoma" w:cs="Tahoma"/>
        </w:rPr>
        <w:t xml:space="preserve">. </w:t>
      </w:r>
    </w:p>
    <w:p w14:paraId="58CEAD6C" w14:textId="77777777" w:rsidR="004D0E12" w:rsidRDefault="004D0E12" w:rsidP="00174EA4">
      <w:pPr>
        <w:tabs>
          <w:tab w:val="left" w:pos="748"/>
        </w:tabs>
        <w:spacing w:line="276" w:lineRule="auto"/>
        <w:jc w:val="both"/>
        <w:rPr>
          <w:rFonts w:ascii="Tahoma" w:hAnsi="Tahoma" w:cs="Tahoma"/>
        </w:rPr>
      </w:pPr>
    </w:p>
    <w:p w14:paraId="77082724" w14:textId="7CFA218F" w:rsidR="00153D8A" w:rsidRDefault="004D0E12" w:rsidP="00174EA4">
      <w:pPr>
        <w:tabs>
          <w:tab w:val="left" w:pos="748"/>
        </w:tabs>
        <w:spacing w:line="276" w:lineRule="auto"/>
        <w:jc w:val="both"/>
        <w:rPr>
          <w:rFonts w:ascii="Tahoma" w:hAnsi="Tahoma" w:cs="Tahoma"/>
        </w:rPr>
      </w:pPr>
      <w:r>
        <w:rPr>
          <w:rFonts w:ascii="Tahoma" w:hAnsi="Tahoma" w:cs="Tahoma"/>
        </w:rPr>
        <w:tab/>
        <w:t>El apelante acude a la interpretación jurisprudencia</w:t>
      </w:r>
      <w:r w:rsidR="00153D8A">
        <w:rPr>
          <w:rFonts w:ascii="Tahoma" w:hAnsi="Tahoma" w:cs="Tahoma"/>
        </w:rPr>
        <w:t>l de la Sala de Casación Laboral de la Corte Suprema de Justicia</w:t>
      </w:r>
      <w:r>
        <w:rPr>
          <w:rFonts w:ascii="Tahoma" w:hAnsi="Tahoma" w:cs="Tahoma"/>
        </w:rPr>
        <w:t xml:space="preserve"> para sostener que la falta de consignación de una anualidad origina la mora hasta el momento en que ocurra la satisfacción de esa parte de la prestación, sin que exista solución de continuidad cuando </w:t>
      </w:r>
      <w:r w:rsidR="00153D8A">
        <w:rPr>
          <w:rFonts w:ascii="Tahoma" w:hAnsi="Tahoma" w:cs="Tahoma"/>
        </w:rPr>
        <w:t>al año siguiente el empleador consigna la anualidad anterior, pero con</w:t>
      </w:r>
      <w:r w:rsidR="00A51F22">
        <w:rPr>
          <w:rFonts w:ascii="Tahoma" w:hAnsi="Tahoma" w:cs="Tahoma"/>
        </w:rPr>
        <w:t xml:space="preserve">tinua insoluta </w:t>
      </w:r>
      <w:r w:rsidR="00153D8A">
        <w:rPr>
          <w:rFonts w:ascii="Tahoma" w:hAnsi="Tahoma" w:cs="Tahoma"/>
        </w:rPr>
        <w:t>alguna de las anualidades anteriores dejadas de depositar, tal como ocurre en s</w:t>
      </w:r>
      <w:r w:rsidR="00A51F22">
        <w:rPr>
          <w:rFonts w:ascii="Tahoma" w:hAnsi="Tahoma" w:cs="Tahoma"/>
        </w:rPr>
        <w:t>u caso, pues a la fecha no han sido consignadas</w:t>
      </w:r>
      <w:r w:rsidR="00153D8A">
        <w:rPr>
          <w:rFonts w:ascii="Tahoma" w:hAnsi="Tahoma" w:cs="Tahoma"/>
        </w:rPr>
        <w:t xml:space="preserve"> las cesantías causadas en el año 2011. </w:t>
      </w:r>
    </w:p>
    <w:p w14:paraId="3F888562" w14:textId="77777777" w:rsidR="00153D8A" w:rsidRDefault="00153D8A" w:rsidP="00174EA4">
      <w:pPr>
        <w:tabs>
          <w:tab w:val="left" w:pos="748"/>
        </w:tabs>
        <w:spacing w:line="276" w:lineRule="auto"/>
        <w:jc w:val="both"/>
        <w:rPr>
          <w:rFonts w:ascii="Tahoma" w:hAnsi="Tahoma" w:cs="Tahoma"/>
        </w:rPr>
      </w:pPr>
    </w:p>
    <w:p w14:paraId="3D26F1B2" w14:textId="77777777" w:rsidR="00153D8A" w:rsidRDefault="00153D8A" w:rsidP="00174EA4">
      <w:pPr>
        <w:tabs>
          <w:tab w:val="left" w:pos="748"/>
        </w:tabs>
        <w:spacing w:line="276" w:lineRule="auto"/>
        <w:jc w:val="both"/>
        <w:rPr>
          <w:rFonts w:ascii="Tahoma" w:hAnsi="Tahoma" w:cs="Tahoma"/>
        </w:rPr>
      </w:pPr>
      <w:r>
        <w:rPr>
          <w:rFonts w:ascii="Tahoma" w:hAnsi="Tahoma" w:cs="Tahoma"/>
        </w:rPr>
        <w:tab/>
        <w:t>Basta examinar el contenido de la jurisprudencia a la que alude el demandante para concluir, al igual que él, que en sede de primera instancia se incurrió en un error al dar solución de continuidad a la sanción por la falta de consignación de las cesantías del año 2011. A modo ilustrativo, conviene reproducir el fragmento jurisprudencial citado:</w:t>
      </w:r>
    </w:p>
    <w:p w14:paraId="5B0106D1" w14:textId="77777777" w:rsidR="00E35DF0" w:rsidRDefault="00E35DF0" w:rsidP="00174EA4">
      <w:pPr>
        <w:tabs>
          <w:tab w:val="left" w:pos="748"/>
        </w:tabs>
        <w:spacing w:line="276" w:lineRule="auto"/>
        <w:jc w:val="both"/>
        <w:rPr>
          <w:rFonts w:ascii="Tahoma" w:hAnsi="Tahoma" w:cs="Tahoma"/>
        </w:rPr>
      </w:pPr>
    </w:p>
    <w:p w14:paraId="516F6740" w14:textId="47499B69" w:rsidR="00E35DF0" w:rsidRPr="003A61BF" w:rsidRDefault="00E35DF0" w:rsidP="00E35DF0">
      <w:pPr>
        <w:tabs>
          <w:tab w:val="left" w:pos="748"/>
        </w:tabs>
        <w:spacing w:line="276" w:lineRule="auto"/>
        <w:ind w:left="284" w:right="284"/>
        <w:jc w:val="both"/>
        <w:rPr>
          <w:rFonts w:ascii="Arial Narrow" w:hAnsi="Arial Narrow" w:cs="Tahoma"/>
          <w:i/>
          <w:sz w:val="22"/>
          <w:szCs w:val="22"/>
        </w:rPr>
      </w:pPr>
      <w:r w:rsidRPr="003A61BF">
        <w:rPr>
          <w:rFonts w:ascii="Arial Narrow" w:hAnsi="Arial Narrow" w:cs="Arial"/>
          <w:i/>
          <w:sz w:val="22"/>
          <w:szCs w:val="22"/>
          <w:shd w:val="clear" w:color="auto" w:fill="FFFFFF"/>
        </w:rPr>
        <w:t>“En ese orden de ideas, la falta de consignación de una anualidad, origina la mora hasta el momento en que ocurra la satisfacción de esa parte de la prestación, aun cuando las anualidades posteriores sean debidamente depositadas en el fondo. Si se incumple la consignación de varias anualidades, la indemnización se causa desde la insatisfacción de la primera consignación con la base salarial que debió tomarse para calcular la cesantía dejada de consignar, pero cuando el patrono incumpla por segunda vez con la obligación de hacer el depósito de la respectiva anualidad, el monto de la sanción seguirá causándose con base en el salario vigente en el año en que se causó la cesantía dejada de depositar, y así sucesivamente, hasta cuando se consigne la anualidad o anualidades adeudadas o se le cancele el auxilio de cesantía directamente al trabajador en razón de la terminación del contrato de trabajo”.</w:t>
      </w:r>
    </w:p>
    <w:p w14:paraId="5A02CBDE" w14:textId="77777777" w:rsidR="00E35DF0" w:rsidRDefault="00E35DF0" w:rsidP="00174EA4">
      <w:pPr>
        <w:tabs>
          <w:tab w:val="left" w:pos="748"/>
        </w:tabs>
        <w:spacing w:line="276" w:lineRule="auto"/>
        <w:jc w:val="both"/>
        <w:rPr>
          <w:rFonts w:ascii="Tahoma" w:hAnsi="Tahoma" w:cs="Tahoma"/>
        </w:rPr>
      </w:pPr>
    </w:p>
    <w:p w14:paraId="3CC85AF1" w14:textId="42467182" w:rsidR="00C77A61" w:rsidRPr="00FA054C" w:rsidRDefault="00E35DF0" w:rsidP="003A61BF">
      <w:pPr>
        <w:pStyle w:val="Ttulo1"/>
        <w:shd w:val="clear" w:color="auto" w:fill="FFFFFF"/>
        <w:spacing w:before="150" w:beforeAutospacing="0" w:after="300" w:afterAutospacing="0" w:line="276" w:lineRule="auto"/>
        <w:jc w:val="both"/>
        <w:rPr>
          <w:rFonts w:ascii="Tahoma" w:hAnsi="Tahoma" w:cs="Tahoma"/>
          <w:b w:val="0"/>
          <w:bCs w:val="0"/>
          <w:sz w:val="24"/>
          <w:szCs w:val="24"/>
        </w:rPr>
      </w:pPr>
      <w:r w:rsidRPr="00FA054C">
        <w:rPr>
          <w:rFonts w:ascii="Tahoma" w:hAnsi="Tahoma" w:cs="Tahoma"/>
          <w:b w:val="0"/>
          <w:sz w:val="24"/>
          <w:szCs w:val="24"/>
          <w:shd w:val="clear" w:color="auto" w:fill="FFFFFF"/>
        </w:rPr>
        <w:tab/>
        <w:t xml:space="preserve">Siendo así, es claro que el juzgado interpretó erradamente el ordinal tercero del artículo 99 de la Ley 50 de 1990 al condenar a la empresa a pagar una sanción independiente y concomitante por cada anualidad en la que aquella omitió efectuar la consignación de la cesantía, y dando solución de continuidad </w:t>
      </w:r>
      <w:r w:rsidR="003A61BF" w:rsidRPr="00FA054C">
        <w:rPr>
          <w:rFonts w:ascii="Tahoma" w:hAnsi="Tahoma" w:cs="Tahoma"/>
          <w:b w:val="0"/>
          <w:sz w:val="24"/>
          <w:szCs w:val="24"/>
          <w:shd w:val="clear" w:color="auto" w:fill="FFFFFF"/>
        </w:rPr>
        <w:t>al vencimiento de cada anualidad, a pesar de que dicha prestación no había sido saldada (</w:t>
      </w:r>
      <w:r w:rsidR="003A61BF" w:rsidRPr="00FA054C">
        <w:rPr>
          <w:rFonts w:ascii="Tahoma" w:hAnsi="Tahoma" w:cs="Tahoma"/>
          <w:b w:val="0"/>
          <w:bCs w:val="0"/>
          <w:sz w:val="24"/>
          <w:szCs w:val="24"/>
        </w:rPr>
        <w:t xml:space="preserve">Sentencia 37766 de 06 de mayo 2010 </w:t>
      </w:r>
      <w:proofErr w:type="spellStart"/>
      <w:r w:rsidR="003A61BF" w:rsidRPr="00FA054C">
        <w:rPr>
          <w:rFonts w:ascii="Tahoma" w:hAnsi="Tahoma" w:cs="Tahoma"/>
          <w:b w:val="0"/>
          <w:bCs w:val="0"/>
          <w:sz w:val="24"/>
          <w:szCs w:val="24"/>
        </w:rPr>
        <w:t>M.P</w:t>
      </w:r>
      <w:proofErr w:type="spellEnd"/>
      <w:r w:rsidR="003A61BF" w:rsidRPr="00FA054C">
        <w:rPr>
          <w:rFonts w:ascii="Tahoma" w:hAnsi="Tahoma" w:cs="Tahoma"/>
          <w:b w:val="0"/>
          <w:bCs w:val="0"/>
          <w:sz w:val="24"/>
          <w:szCs w:val="24"/>
        </w:rPr>
        <w:t xml:space="preserve">. </w:t>
      </w:r>
      <w:r w:rsidR="003A61BF" w:rsidRPr="00FA054C">
        <w:rPr>
          <w:rStyle w:val="Textoennegrita"/>
          <w:rFonts w:ascii="Tahoma" w:hAnsi="Tahoma" w:cs="Tahoma"/>
          <w:b/>
          <w:sz w:val="24"/>
          <w:szCs w:val="24"/>
          <w:shd w:val="clear" w:color="auto" w:fill="FFFFFF"/>
        </w:rPr>
        <w:t xml:space="preserve">GUSTAVO JOSÉ </w:t>
      </w:r>
      <w:proofErr w:type="spellStart"/>
      <w:r w:rsidR="003A61BF" w:rsidRPr="00FA054C">
        <w:rPr>
          <w:rStyle w:val="Textoennegrita"/>
          <w:rFonts w:ascii="Tahoma" w:hAnsi="Tahoma" w:cs="Tahoma"/>
          <w:b/>
          <w:sz w:val="24"/>
          <w:szCs w:val="24"/>
          <w:shd w:val="clear" w:color="auto" w:fill="FFFFFF"/>
        </w:rPr>
        <w:t>GNECCO</w:t>
      </w:r>
      <w:proofErr w:type="spellEnd"/>
      <w:r w:rsidR="003A61BF" w:rsidRPr="00FA054C">
        <w:rPr>
          <w:rStyle w:val="Textoennegrita"/>
          <w:rFonts w:ascii="Tahoma" w:hAnsi="Tahoma" w:cs="Tahoma"/>
          <w:b/>
          <w:sz w:val="24"/>
          <w:szCs w:val="24"/>
          <w:shd w:val="clear" w:color="auto" w:fill="FFFFFF"/>
        </w:rPr>
        <w:t xml:space="preserve"> MENDOZA</w:t>
      </w:r>
      <w:r w:rsidR="003A61BF" w:rsidRPr="00FA054C">
        <w:rPr>
          <w:rFonts w:ascii="Tahoma" w:hAnsi="Tahoma" w:cs="Tahoma"/>
          <w:b w:val="0"/>
          <w:bCs w:val="0"/>
          <w:sz w:val="24"/>
          <w:szCs w:val="24"/>
        </w:rPr>
        <w:t>)</w:t>
      </w:r>
    </w:p>
    <w:p w14:paraId="5E389243" w14:textId="3AAA9F23" w:rsidR="0082216C" w:rsidRDefault="003A61BF" w:rsidP="000B6083">
      <w:pPr>
        <w:tabs>
          <w:tab w:val="left" w:pos="748"/>
        </w:tabs>
        <w:spacing w:line="276" w:lineRule="auto"/>
        <w:jc w:val="both"/>
        <w:rPr>
          <w:rFonts w:ascii="Tahoma" w:hAnsi="Tahoma" w:cs="Tahoma"/>
        </w:rPr>
      </w:pPr>
      <w:r w:rsidRPr="00FA054C">
        <w:rPr>
          <w:rFonts w:ascii="Arial" w:hAnsi="Arial" w:cs="Arial"/>
          <w:sz w:val="27"/>
          <w:szCs w:val="27"/>
          <w:shd w:val="clear" w:color="auto" w:fill="FFFFFF"/>
        </w:rPr>
        <w:lastRenderedPageBreak/>
        <w:tab/>
      </w:r>
      <w:r w:rsidR="00FA054C" w:rsidRPr="00FA054C">
        <w:rPr>
          <w:rFonts w:ascii="Tahoma" w:hAnsi="Tahoma" w:cs="Tahoma"/>
          <w:shd w:val="clear" w:color="auto" w:fill="FFFFFF"/>
        </w:rPr>
        <w:t xml:space="preserve">Como quiera que la correcta interpretación del </w:t>
      </w:r>
      <w:r w:rsidR="00FA054C" w:rsidRPr="00FA054C">
        <w:rPr>
          <w:rFonts w:ascii="Tahoma" w:hAnsi="Tahoma" w:cs="Tahoma"/>
        </w:rPr>
        <w:t>artículo 90, numeral 3º de la Ley 50 de 1990 es la acaba</w:t>
      </w:r>
      <w:r w:rsidR="0089328E">
        <w:rPr>
          <w:rFonts w:ascii="Tahoma" w:hAnsi="Tahoma" w:cs="Tahoma"/>
        </w:rPr>
        <w:t>da</w:t>
      </w:r>
      <w:r w:rsidR="00FA054C" w:rsidRPr="00FA054C">
        <w:rPr>
          <w:rFonts w:ascii="Tahoma" w:hAnsi="Tahoma" w:cs="Tahoma"/>
        </w:rPr>
        <w:t xml:space="preserve"> de exponer que coincide con los planteamientos de la apelación y corresponde a la inveterada jurisprudencia del más alto órgano de cierre de la jurisdicción ordinaria,</w:t>
      </w:r>
      <w:r w:rsidR="00FA054C">
        <w:rPr>
          <w:rFonts w:ascii="Tahoma" w:hAnsi="Tahoma" w:cs="Tahoma"/>
        </w:rPr>
        <w:t xml:space="preserve">  la Sala accede a modificar el monto de la</w:t>
      </w:r>
      <w:r w:rsidR="00FA054C" w:rsidRPr="00FA054C">
        <w:rPr>
          <w:rFonts w:ascii="Tahoma" w:hAnsi="Tahoma" w:cs="Tahoma"/>
        </w:rPr>
        <w:t xml:space="preserve"> condena</w:t>
      </w:r>
      <w:r w:rsidR="00FA054C">
        <w:rPr>
          <w:rFonts w:ascii="Tahoma" w:hAnsi="Tahoma" w:cs="Tahoma"/>
        </w:rPr>
        <w:t xml:space="preserve"> impuesta en primera instancia</w:t>
      </w:r>
      <w:r w:rsidR="00FA054C" w:rsidRPr="00FA054C">
        <w:rPr>
          <w:rFonts w:ascii="Tahoma" w:hAnsi="Tahoma" w:cs="Tahoma"/>
        </w:rPr>
        <w:t xml:space="preserve"> por concepto de la sanción ante la falta de consignación de la cesantías</w:t>
      </w:r>
      <w:r w:rsidR="00873FBD">
        <w:rPr>
          <w:rFonts w:ascii="Tahoma" w:hAnsi="Tahoma" w:cs="Tahoma"/>
        </w:rPr>
        <w:t>, la cual bajo ese método de liquidación</w:t>
      </w:r>
      <w:r w:rsidR="00FA054C" w:rsidRPr="00FA054C">
        <w:rPr>
          <w:rFonts w:ascii="Tahoma" w:hAnsi="Tahoma" w:cs="Tahoma"/>
        </w:rPr>
        <w:t xml:space="preserve"> asciende a la suma de </w:t>
      </w:r>
      <w:r w:rsidR="00926A32">
        <w:rPr>
          <w:rFonts w:ascii="Tahoma" w:hAnsi="Tahoma" w:cs="Tahoma"/>
          <w:b/>
        </w:rPr>
        <w:t>$18.9390.192</w:t>
      </w:r>
      <w:r w:rsidR="00873FBD">
        <w:rPr>
          <w:rFonts w:ascii="Tahoma" w:hAnsi="Tahoma" w:cs="Tahoma"/>
        </w:rPr>
        <w:t xml:space="preserve"> </w:t>
      </w:r>
    </w:p>
    <w:p w14:paraId="095953DF" w14:textId="77777777" w:rsidR="0082216C" w:rsidRDefault="0082216C" w:rsidP="000B6083">
      <w:pPr>
        <w:tabs>
          <w:tab w:val="left" w:pos="748"/>
        </w:tabs>
        <w:spacing w:line="276" w:lineRule="auto"/>
        <w:jc w:val="both"/>
        <w:rPr>
          <w:rFonts w:ascii="Tahoma" w:hAnsi="Tahoma" w:cs="Tahoma"/>
        </w:rPr>
      </w:pPr>
    </w:p>
    <w:tbl>
      <w:tblPr>
        <w:tblStyle w:val="Tablaconcuadrcula"/>
        <w:tblW w:w="0" w:type="auto"/>
        <w:tblInd w:w="-5" w:type="dxa"/>
        <w:tblLook w:val="04A0" w:firstRow="1" w:lastRow="0" w:firstColumn="1" w:lastColumn="0" w:noHBand="0" w:noVBand="1"/>
      </w:tblPr>
      <w:tblGrid>
        <w:gridCol w:w="1527"/>
        <w:gridCol w:w="1630"/>
        <w:gridCol w:w="1600"/>
        <w:gridCol w:w="1262"/>
        <w:gridCol w:w="1211"/>
        <w:gridCol w:w="1598"/>
      </w:tblGrid>
      <w:tr w:rsidR="0082216C" w14:paraId="241E804A" w14:textId="357DFCAD" w:rsidTr="00F064B6">
        <w:tc>
          <w:tcPr>
            <w:tcW w:w="1527" w:type="dxa"/>
          </w:tcPr>
          <w:p w14:paraId="173F502D" w14:textId="33AE57D9" w:rsidR="0082216C" w:rsidRPr="00F064B6" w:rsidRDefault="0082216C" w:rsidP="0082216C">
            <w:pPr>
              <w:tabs>
                <w:tab w:val="left" w:pos="748"/>
              </w:tabs>
              <w:spacing w:line="276" w:lineRule="auto"/>
              <w:jc w:val="center"/>
              <w:rPr>
                <w:rFonts w:cs="Tahoma"/>
                <w:b/>
                <w:sz w:val="16"/>
                <w:szCs w:val="16"/>
              </w:rPr>
            </w:pPr>
            <w:r w:rsidRPr="00F064B6">
              <w:rPr>
                <w:rFonts w:cs="Tahoma"/>
                <w:b/>
                <w:sz w:val="16"/>
                <w:szCs w:val="16"/>
              </w:rPr>
              <w:t>AÑO DE LAS CESANTÍAS CAUSADAS</w:t>
            </w:r>
          </w:p>
        </w:tc>
        <w:tc>
          <w:tcPr>
            <w:tcW w:w="1630" w:type="dxa"/>
          </w:tcPr>
          <w:p w14:paraId="72F3820C" w14:textId="426D0057" w:rsidR="0082216C" w:rsidRPr="00F064B6" w:rsidRDefault="0082216C" w:rsidP="0082216C">
            <w:pPr>
              <w:tabs>
                <w:tab w:val="left" w:pos="748"/>
              </w:tabs>
              <w:spacing w:line="276" w:lineRule="auto"/>
              <w:jc w:val="center"/>
              <w:rPr>
                <w:rFonts w:cs="Tahoma"/>
                <w:b/>
                <w:sz w:val="20"/>
                <w:szCs w:val="20"/>
              </w:rPr>
            </w:pPr>
            <w:r w:rsidRPr="00F064B6">
              <w:rPr>
                <w:rFonts w:cs="Tahoma"/>
                <w:b/>
                <w:sz w:val="20"/>
                <w:szCs w:val="20"/>
              </w:rPr>
              <w:t>Desde</w:t>
            </w:r>
          </w:p>
        </w:tc>
        <w:tc>
          <w:tcPr>
            <w:tcW w:w="1600" w:type="dxa"/>
          </w:tcPr>
          <w:p w14:paraId="02D0ECF1" w14:textId="41DE0061" w:rsidR="0082216C" w:rsidRPr="00F064B6" w:rsidRDefault="0082216C" w:rsidP="0082216C">
            <w:pPr>
              <w:tabs>
                <w:tab w:val="left" w:pos="748"/>
              </w:tabs>
              <w:spacing w:line="276" w:lineRule="auto"/>
              <w:jc w:val="center"/>
              <w:rPr>
                <w:rFonts w:cs="Tahoma"/>
                <w:b/>
                <w:sz w:val="20"/>
                <w:szCs w:val="20"/>
              </w:rPr>
            </w:pPr>
            <w:r w:rsidRPr="00F064B6">
              <w:rPr>
                <w:rFonts w:cs="Tahoma"/>
                <w:b/>
                <w:sz w:val="20"/>
                <w:szCs w:val="20"/>
              </w:rPr>
              <w:t>Hasta</w:t>
            </w:r>
          </w:p>
        </w:tc>
        <w:tc>
          <w:tcPr>
            <w:tcW w:w="1262" w:type="dxa"/>
          </w:tcPr>
          <w:p w14:paraId="6FA01A78" w14:textId="7E224DBA" w:rsidR="0082216C" w:rsidRPr="00F064B6" w:rsidRDefault="0082216C" w:rsidP="0082216C">
            <w:pPr>
              <w:tabs>
                <w:tab w:val="left" w:pos="748"/>
              </w:tabs>
              <w:spacing w:line="276" w:lineRule="auto"/>
              <w:jc w:val="center"/>
              <w:rPr>
                <w:rFonts w:cs="Tahoma"/>
                <w:b/>
                <w:sz w:val="20"/>
                <w:szCs w:val="20"/>
              </w:rPr>
            </w:pPr>
            <w:r w:rsidRPr="00F064B6">
              <w:rPr>
                <w:rFonts w:cs="Tahoma"/>
                <w:b/>
                <w:sz w:val="20"/>
                <w:szCs w:val="20"/>
              </w:rPr>
              <w:t>No. Días en mora</w:t>
            </w:r>
          </w:p>
        </w:tc>
        <w:tc>
          <w:tcPr>
            <w:tcW w:w="1211" w:type="dxa"/>
          </w:tcPr>
          <w:p w14:paraId="3D53437A" w14:textId="4C6C3E55" w:rsidR="0082216C" w:rsidRPr="00F064B6" w:rsidRDefault="0082216C" w:rsidP="0082216C">
            <w:pPr>
              <w:tabs>
                <w:tab w:val="left" w:pos="748"/>
              </w:tabs>
              <w:spacing w:line="276" w:lineRule="auto"/>
              <w:jc w:val="center"/>
              <w:rPr>
                <w:rFonts w:cs="Tahoma"/>
                <w:b/>
                <w:sz w:val="20"/>
                <w:szCs w:val="20"/>
              </w:rPr>
            </w:pPr>
            <w:r w:rsidRPr="00F064B6">
              <w:rPr>
                <w:rFonts w:cs="Tahoma"/>
                <w:b/>
                <w:sz w:val="20"/>
                <w:szCs w:val="20"/>
              </w:rPr>
              <w:t>Salario diario</w:t>
            </w:r>
          </w:p>
        </w:tc>
        <w:tc>
          <w:tcPr>
            <w:tcW w:w="1598" w:type="dxa"/>
          </w:tcPr>
          <w:p w14:paraId="3E5075DD" w14:textId="6A8F7607" w:rsidR="0082216C" w:rsidRPr="00F064B6" w:rsidRDefault="0082216C" w:rsidP="0082216C">
            <w:pPr>
              <w:tabs>
                <w:tab w:val="left" w:pos="748"/>
              </w:tabs>
              <w:spacing w:line="276" w:lineRule="auto"/>
              <w:jc w:val="center"/>
              <w:rPr>
                <w:rFonts w:cs="Tahoma"/>
                <w:b/>
                <w:sz w:val="20"/>
                <w:szCs w:val="20"/>
              </w:rPr>
            </w:pPr>
            <w:r w:rsidRPr="00F064B6">
              <w:rPr>
                <w:rFonts w:cs="Tahoma"/>
                <w:b/>
                <w:sz w:val="20"/>
                <w:szCs w:val="20"/>
              </w:rPr>
              <w:t>Total</w:t>
            </w:r>
            <w:r w:rsidR="00F1255E" w:rsidRPr="00F064B6">
              <w:rPr>
                <w:rFonts w:cs="Tahoma"/>
                <w:b/>
                <w:sz w:val="20"/>
                <w:szCs w:val="20"/>
              </w:rPr>
              <w:t xml:space="preserve"> </w:t>
            </w:r>
          </w:p>
        </w:tc>
      </w:tr>
      <w:tr w:rsidR="0082216C" w14:paraId="0C053A1F" w14:textId="2FC67142" w:rsidTr="00F064B6">
        <w:tc>
          <w:tcPr>
            <w:tcW w:w="1527" w:type="dxa"/>
          </w:tcPr>
          <w:p w14:paraId="412C6D34" w14:textId="4D943EC4" w:rsidR="0082216C" w:rsidRPr="0082216C" w:rsidRDefault="0082216C" w:rsidP="000B6083">
            <w:pPr>
              <w:tabs>
                <w:tab w:val="left" w:pos="748"/>
              </w:tabs>
              <w:spacing w:line="276" w:lineRule="auto"/>
              <w:jc w:val="both"/>
              <w:rPr>
                <w:rFonts w:ascii="Tahoma" w:hAnsi="Tahoma" w:cs="Tahoma"/>
                <w:sz w:val="20"/>
                <w:szCs w:val="20"/>
              </w:rPr>
            </w:pPr>
            <w:r w:rsidRPr="0082216C">
              <w:rPr>
                <w:rFonts w:ascii="Tahoma" w:hAnsi="Tahoma" w:cs="Tahoma"/>
                <w:sz w:val="20"/>
                <w:szCs w:val="20"/>
              </w:rPr>
              <w:t>2011</w:t>
            </w:r>
          </w:p>
        </w:tc>
        <w:tc>
          <w:tcPr>
            <w:tcW w:w="1630" w:type="dxa"/>
          </w:tcPr>
          <w:p w14:paraId="606637F5" w14:textId="3ED3469C" w:rsidR="0082216C" w:rsidRPr="0082216C" w:rsidRDefault="00F1255E" w:rsidP="000B6083">
            <w:pPr>
              <w:tabs>
                <w:tab w:val="left" w:pos="748"/>
              </w:tabs>
              <w:spacing w:line="276" w:lineRule="auto"/>
              <w:jc w:val="both"/>
              <w:rPr>
                <w:rFonts w:ascii="Tahoma" w:hAnsi="Tahoma" w:cs="Tahoma"/>
                <w:sz w:val="20"/>
                <w:szCs w:val="20"/>
              </w:rPr>
            </w:pPr>
            <w:r>
              <w:rPr>
                <w:rFonts w:ascii="Tahoma" w:hAnsi="Tahoma" w:cs="Tahoma"/>
                <w:sz w:val="20"/>
                <w:szCs w:val="20"/>
              </w:rPr>
              <w:t>15</w:t>
            </w:r>
            <w:r w:rsidR="0082216C" w:rsidRPr="0082216C">
              <w:rPr>
                <w:rFonts w:ascii="Tahoma" w:hAnsi="Tahoma" w:cs="Tahoma"/>
                <w:sz w:val="20"/>
                <w:szCs w:val="20"/>
              </w:rPr>
              <w:t>/FEB/2012</w:t>
            </w:r>
          </w:p>
        </w:tc>
        <w:tc>
          <w:tcPr>
            <w:tcW w:w="1600" w:type="dxa"/>
          </w:tcPr>
          <w:p w14:paraId="4C7DAA90" w14:textId="6833BE41" w:rsidR="0082216C" w:rsidRPr="0082216C" w:rsidRDefault="00A340BD" w:rsidP="000B6083">
            <w:pPr>
              <w:tabs>
                <w:tab w:val="left" w:pos="748"/>
              </w:tabs>
              <w:spacing w:line="276" w:lineRule="auto"/>
              <w:jc w:val="both"/>
              <w:rPr>
                <w:rFonts w:ascii="Tahoma" w:hAnsi="Tahoma" w:cs="Tahoma"/>
                <w:sz w:val="20"/>
                <w:szCs w:val="20"/>
              </w:rPr>
            </w:pPr>
            <w:r>
              <w:rPr>
                <w:rFonts w:ascii="Tahoma" w:hAnsi="Tahoma" w:cs="Tahoma"/>
                <w:sz w:val="20"/>
                <w:szCs w:val="20"/>
              </w:rPr>
              <w:t>21/JUN</w:t>
            </w:r>
            <w:r w:rsidR="0082216C">
              <w:rPr>
                <w:rFonts w:ascii="Tahoma" w:hAnsi="Tahoma" w:cs="Tahoma"/>
                <w:sz w:val="20"/>
                <w:szCs w:val="20"/>
              </w:rPr>
              <w:t>/2014</w:t>
            </w:r>
          </w:p>
        </w:tc>
        <w:tc>
          <w:tcPr>
            <w:tcW w:w="1262" w:type="dxa"/>
          </w:tcPr>
          <w:p w14:paraId="48C6889F" w14:textId="13191783" w:rsidR="0082216C" w:rsidRPr="0082216C" w:rsidRDefault="00A340BD" w:rsidP="000B6083">
            <w:pPr>
              <w:tabs>
                <w:tab w:val="left" w:pos="748"/>
              </w:tabs>
              <w:spacing w:line="276" w:lineRule="auto"/>
              <w:jc w:val="both"/>
              <w:rPr>
                <w:rFonts w:ascii="Tahoma" w:hAnsi="Tahoma" w:cs="Tahoma"/>
                <w:sz w:val="20"/>
                <w:szCs w:val="20"/>
              </w:rPr>
            </w:pPr>
            <w:r>
              <w:rPr>
                <w:rFonts w:ascii="Tahoma" w:hAnsi="Tahoma" w:cs="Tahoma"/>
                <w:sz w:val="20"/>
                <w:szCs w:val="20"/>
              </w:rPr>
              <w:t>856</w:t>
            </w:r>
          </w:p>
        </w:tc>
        <w:tc>
          <w:tcPr>
            <w:tcW w:w="1211" w:type="dxa"/>
          </w:tcPr>
          <w:p w14:paraId="6AF3BFE0" w14:textId="43459423" w:rsidR="0082216C" w:rsidRPr="0082216C" w:rsidRDefault="00F1255E" w:rsidP="000B6083">
            <w:pPr>
              <w:tabs>
                <w:tab w:val="left" w:pos="748"/>
              </w:tabs>
              <w:spacing w:line="276" w:lineRule="auto"/>
              <w:jc w:val="both"/>
              <w:rPr>
                <w:rFonts w:ascii="Tahoma" w:hAnsi="Tahoma" w:cs="Tahoma"/>
                <w:sz w:val="20"/>
                <w:szCs w:val="20"/>
              </w:rPr>
            </w:pPr>
            <w:r>
              <w:rPr>
                <w:rFonts w:ascii="Tahoma" w:hAnsi="Tahoma" w:cs="Tahoma"/>
                <w:sz w:val="20"/>
                <w:szCs w:val="20"/>
              </w:rPr>
              <w:t>$17.853</w:t>
            </w:r>
          </w:p>
        </w:tc>
        <w:tc>
          <w:tcPr>
            <w:tcW w:w="1598" w:type="dxa"/>
          </w:tcPr>
          <w:p w14:paraId="2414D87B" w14:textId="08670489" w:rsidR="0082216C" w:rsidRPr="0082216C" w:rsidRDefault="00A340BD" w:rsidP="000B6083">
            <w:pPr>
              <w:tabs>
                <w:tab w:val="left" w:pos="748"/>
              </w:tabs>
              <w:spacing w:line="276" w:lineRule="auto"/>
              <w:jc w:val="both"/>
              <w:rPr>
                <w:rFonts w:ascii="Tahoma" w:hAnsi="Tahoma" w:cs="Tahoma"/>
                <w:sz w:val="20"/>
                <w:szCs w:val="20"/>
              </w:rPr>
            </w:pPr>
            <w:r>
              <w:rPr>
                <w:rFonts w:ascii="Tahoma" w:hAnsi="Tahoma" w:cs="Tahoma"/>
                <w:sz w:val="20"/>
                <w:szCs w:val="20"/>
              </w:rPr>
              <w:t>$15.282.168</w:t>
            </w:r>
          </w:p>
        </w:tc>
      </w:tr>
      <w:tr w:rsidR="0082216C" w14:paraId="38E0339D" w14:textId="4EC1B3EF" w:rsidTr="00F064B6">
        <w:tc>
          <w:tcPr>
            <w:tcW w:w="1527" w:type="dxa"/>
            <w:tcBorders>
              <w:bottom w:val="single" w:sz="4" w:space="0" w:color="auto"/>
            </w:tcBorders>
          </w:tcPr>
          <w:p w14:paraId="3F9368A4" w14:textId="673EAA6D" w:rsidR="0082216C" w:rsidRPr="0082216C" w:rsidRDefault="0082216C" w:rsidP="000B6083">
            <w:pPr>
              <w:tabs>
                <w:tab w:val="left" w:pos="748"/>
              </w:tabs>
              <w:spacing w:line="276" w:lineRule="auto"/>
              <w:jc w:val="both"/>
              <w:rPr>
                <w:rFonts w:ascii="Tahoma" w:hAnsi="Tahoma" w:cs="Tahoma"/>
                <w:sz w:val="20"/>
                <w:szCs w:val="20"/>
              </w:rPr>
            </w:pPr>
            <w:r w:rsidRPr="0082216C">
              <w:rPr>
                <w:rFonts w:ascii="Tahoma" w:hAnsi="Tahoma" w:cs="Tahoma"/>
                <w:sz w:val="20"/>
                <w:szCs w:val="20"/>
              </w:rPr>
              <w:t>2013</w:t>
            </w:r>
          </w:p>
        </w:tc>
        <w:tc>
          <w:tcPr>
            <w:tcW w:w="1630" w:type="dxa"/>
            <w:tcBorders>
              <w:bottom w:val="single" w:sz="4" w:space="0" w:color="auto"/>
            </w:tcBorders>
          </w:tcPr>
          <w:p w14:paraId="152229F5" w14:textId="45BCE314" w:rsidR="0082216C" w:rsidRPr="0082216C" w:rsidRDefault="00F1255E" w:rsidP="000B6083">
            <w:pPr>
              <w:tabs>
                <w:tab w:val="left" w:pos="748"/>
              </w:tabs>
              <w:spacing w:line="276" w:lineRule="auto"/>
              <w:jc w:val="both"/>
              <w:rPr>
                <w:rFonts w:ascii="Tahoma" w:hAnsi="Tahoma" w:cs="Tahoma"/>
                <w:sz w:val="20"/>
                <w:szCs w:val="20"/>
              </w:rPr>
            </w:pPr>
            <w:r>
              <w:rPr>
                <w:rFonts w:ascii="Tahoma" w:hAnsi="Tahoma" w:cs="Tahoma"/>
                <w:sz w:val="20"/>
                <w:szCs w:val="20"/>
              </w:rPr>
              <w:t>15/FEB/2014</w:t>
            </w:r>
          </w:p>
        </w:tc>
        <w:tc>
          <w:tcPr>
            <w:tcW w:w="1600" w:type="dxa"/>
            <w:tcBorders>
              <w:bottom w:val="single" w:sz="4" w:space="0" w:color="auto"/>
            </w:tcBorders>
          </w:tcPr>
          <w:p w14:paraId="5AB04F54" w14:textId="7A605D4A" w:rsidR="0082216C" w:rsidRPr="0082216C" w:rsidRDefault="00F1255E" w:rsidP="000B6083">
            <w:pPr>
              <w:tabs>
                <w:tab w:val="left" w:pos="748"/>
              </w:tabs>
              <w:spacing w:line="276" w:lineRule="auto"/>
              <w:jc w:val="both"/>
              <w:rPr>
                <w:rFonts w:ascii="Tahoma" w:hAnsi="Tahoma" w:cs="Tahoma"/>
                <w:sz w:val="20"/>
                <w:szCs w:val="20"/>
              </w:rPr>
            </w:pPr>
            <w:r>
              <w:rPr>
                <w:rFonts w:ascii="Tahoma" w:hAnsi="Tahoma" w:cs="Tahoma"/>
                <w:sz w:val="20"/>
                <w:szCs w:val="20"/>
              </w:rPr>
              <w:t>21/JUN/2014</w:t>
            </w:r>
          </w:p>
        </w:tc>
        <w:tc>
          <w:tcPr>
            <w:tcW w:w="1262" w:type="dxa"/>
            <w:tcBorders>
              <w:bottom w:val="single" w:sz="4" w:space="0" w:color="auto"/>
            </w:tcBorders>
          </w:tcPr>
          <w:p w14:paraId="19C36BB8" w14:textId="5DE7D6B8" w:rsidR="0082216C" w:rsidRPr="0082216C" w:rsidRDefault="00F1255E" w:rsidP="000B6083">
            <w:pPr>
              <w:tabs>
                <w:tab w:val="left" w:pos="748"/>
              </w:tabs>
              <w:spacing w:line="276" w:lineRule="auto"/>
              <w:jc w:val="both"/>
              <w:rPr>
                <w:rFonts w:ascii="Tahoma" w:hAnsi="Tahoma" w:cs="Tahoma"/>
                <w:sz w:val="20"/>
                <w:szCs w:val="20"/>
              </w:rPr>
            </w:pPr>
            <w:r>
              <w:rPr>
                <w:rFonts w:ascii="Tahoma" w:hAnsi="Tahoma" w:cs="Tahoma"/>
                <w:sz w:val="20"/>
                <w:szCs w:val="20"/>
              </w:rPr>
              <w:t>126</w:t>
            </w:r>
          </w:p>
        </w:tc>
        <w:tc>
          <w:tcPr>
            <w:tcW w:w="1211" w:type="dxa"/>
          </w:tcPr>
          <w:p w14:paraId="7820BC13" w14:textId="0761C78F" w:rsidR="0082216C" w:rsidRPr="0082216C" w:rsidRDefault="00F1255E" w:rsidP="000B6083">
            <w:pPr>
              <w:tabs>
                <w:tab w:val="left" w:pos="748"/>
              </w:tabs>
              <w:spacing w:line="276" w:lineRule="auto"/>
              <w:jc w:val="both"/>
              <w:rPr>
                <w:rFonts w:ascii="Tahoma" w:hAnsi="Tahoma" w:cs="Tahoma"/>
                <w:sz w:val="20"/>
                <w:szCs w:val="20"/>
              </w:rPr>
            </w:pPr>
            <w:r>
              <w:rPr>
                <w:rFonts w:ascii="Tahoma" w:hAnsi="Tahoma" w:cs="Tahoma"/>
                <w:sz w:val="20"/>
                <w:szCs w:val="20"/>
              </w:rPr>
              <w:t>$29.024</w:t>
            </w:r>
          </w:p>
        </w:tc>
        <w:tc>
          <w:tcPr>
            <w:tcW w:w="1598" w:type="dxa"/>
          </w:tcPr>
          <w:p w14:paraId="1ADC2675" w14:textId="5C5385A3" w:rsidR="0082216C" w:rsidRPr="0082216C" w:rsidRDefault="00F064B6" w:rsidP="000B6083">
            <w:pPr>
              <w:tabs>
                <w:tab w:val="left" w:pos="748"/>
              </w:tabs>
              <w:spacing w:line="276" w:lineRule="auto"/>
              <w:jc w:val="both"/>
              <w:rPr>
                <w:rFonts w:ascii="Tahoma" w:hAnsi="Tahoma" w:cs="Tahoma"/>
                <w:sz w:val="20"/>
                <w:szCs w:val="20"/>
              </w:rPr>
            </w:pPr>
            <w:r>
              <w:rPr>
                <w:rFonts w:ascii="Tahoma" w:hAnsi="Tahoma" w:cs="Tahoma"/>
                <w:sz w:val="20"/>
                <w:szCs w:val="20"/>
              </w:rPr>
              <w:t>$3.657.024</w:t>
            </w:r>
          </w:p>
        </w:tc>
      </w:tr>
      <w:tr w:rsidR="00F1255E" w14:paraId="6F7B2F68" w14:textId="77777777" w:rsidTr="00F064B6">
        <w:tc>
          <w:tcPr>
            <w:tcW w:w="1527" w:type="dxa"/>
            <w:tcBorders>
              <w:left w:val="nil"/>
              <w:bottom w:val="nil"/>
              <w:right w:val="nil"/>
            </w:tcBorders>
          </w:tcPr>
          <w:p w14:paraId="7E8913DD" w14:textId="77777777" w:rsidR="00F1255E" w:rsidRPr="0082216C" w:rsidRDefault="00F1255E" w:rsidP="000B6083">
            <w:pPr>
              <w:tabs>
                <w:tab w:val="left" w:pos="748"/>
              </w:tabs>
              <w:spacing w:line="276" w:lineRule="auto"/>
              <w:jc w:val="both"/>
              <w:rPr>
                <w:rFonts w:ascii="Tahoma" w:hAnsi="Tahoma" w:cs="Tahoma"/>
                <w:sz w:val="20"/>
                <w:szCs w:val="20"/>
              </w:rPr>
            </w:pPr>
          </w:p>
        </w:tc>
        <w:tc>
          <w:tcPr>
            <w:tcW w:w="1630" w:type="dxa"/>
            <w:tcBorders>
              <w:left w:val="nil"/>
              <w:bottom w:val="nil"/>
              <w:right w:val="nil"/>
            </w:tcBorders>
          </w:tcPr>
          <w:p w14:paraId="6BCBF048" w14:textId="77777777" w:rsidR="00F1255E" w:rsidRDefault="00F1255E" w:rsidP="000B6083">
            <w:pPr>
              <w:tabs>
                <w:tab w:val="left" w:pos="748"/>
              </w:tabs>
              <w:spacing w:line="276" w:lineRule="auto"/>
              <w:jc w:val="both"/>
              <w:rPr>
                <w:rFonts w:ascii="Tahoma" w:hAnsi="Tahoma" w:cs="Tahoma"/>
                <w:sz w:val="20"/>
                <w:szCs w:val="20"/>
              </w:rPr>
            </w:pPr>
          </w:p>
        </w:tc>
        <w:tc>
          <w:tcPr>
            <w:tcW w:w="1600" w:type="dxa"/>
            <w:tcBorders>
              <w:left w:val="nil"/>
              <w:bottom w:val="nil"/>
              <w:right w:val="nil"/>
            </w:tcBorders>
          </w:tcPr>
          <w:p w14:paraId="09CDE2AF" w14:textId="77777777" w:rsidR="00F1255E" w:rsidRDefault="00F1255E" w:rsidP="000B6083">
            <w:pPr>
              <w:tabs>
                <w:tab w:val="left" w:pos="748"/>
              </w:tabs>
              <w:spacing w:line="276" w:lineRule="auto"/>
              <w:jc w:val="both"/>
              <w:rPr>
                <w:rFonts w:ascii="Tahoma" w:hAnsi="Tahoma" w:cs="Tahoma"/>
                <w:sz w:val="20"/>
                <w:szCs w:val="20"/>
              </w:rPr>
            </w:pPr>
          </w:p>
        </w:tc>
        <w:tc>
          <w:tcPr>
            <w:tcW w:w="1262" w:type="dxa"/>
            <w:tcBorders>
              <w:left w:val="nil"/>
              <w:bottom w:val="nil"/>
            </w:tcBorders>
          </w:tcPr>
          <w:p w14:paraId="3A7E1609" w14:textId="77777777" w:rsidR="00F1255E" w:rsidRDefault="00F1255E" w:rsidP="000B6083">
            <w:pPr>
              <w:tabs>
                <w:tab w:val="left" w:pos="748"/>
              </w:tabs>
              <w:spacing w:line="276" w:lineRule="auto"/>
              <w:jc w:val="both"/>
              <w:rPr>
                <w:rFonts w:ascii="Tahoma" w:hAnsi="Tahoma" w:cs="Tahoma"/>
                <w:sz w:val="20"/>
                <w:szCs w:val="20"/>
              </w:rPr>
            </w:pPr>
          </w:p>
        </w:tc>
        <w:tc>
          <w:tcPr>
            <w:tcW w:w="1211" w:type="dxa"/>
          </w:tcPr>
          <w:p w14:paraId="12203588" w14:textId="4DA914CA" w:rsidR="00F1255E" w:rsidRDefault="00F1255E" w:rsidP="000B6083">
            <w:pPr>
              <w:tabs>
                <w:tab w:val="left" w:pos="748"/>
              </w:tabs>
              <w:spacing w:line="276" w:lineRule="auto"/>
              <w:jc w:val="both"/>
              <w:rPr>
                <w:rFonts w:ascii="Tahoma" w:hAnsi="Tahoma" w:cs="Tahoma"/>
                <w:sz w:val="20"/>
                <w:szCs w:val="20"/>
              </w:rPr>
            </w:pPr>
            <w:r>
              <w:rPr>
                <w:rFonts w:ascii="Tahoma" w:hAnsi="Tahoma" w:cs="Tahoma"/>
                <w:sz w:val="20"/>
                <w:szCs w:val="20"/>
              </w:rPr>
              <w:t>Total</w:t>
            </w:r>
          </w:p>
        </w:tc>
        <w:tc>
          <w:tcPr>
            <w:tcW w:w="1598" w:type="dxa"/>
          </w:tcPr>
          <w:p w14:paraId="78B26936" w14:textId="5B11F9CC" w:rsidR="00F1255E" w:rsidRPr="00926A32" w:rsidRDefault="00926A32" w:rsidP="000B6083">
            <w:pPr>
              <w:tabs>
                <w:tab w:val="left" w:pos="748"/>
              </w:tabs>
              <w:spacing w:line="276" w:lineRule="auto"/>
              <w:jc w:val="both"/>
              <w:rPr>
                <w:rFonts w:ascii="Tahoma" w:hAnsi="Tahoma" w:cs="Tahoma"/>
                <w:b/>
                <w:sz w:val="20"/>
                <w:szCs w:val="20"/>
              </w:rPr>
            </w:pPr>
            <w:r w:rsidRPr="00926A32">
              <w:rPr>
                <w:rFonts w:ascii="Tahoma" w:hAnsi="Tahoma" w:cs="Tahoma"/>
                <w:b/>
                <w:sz w:val="20"/>
                <w:szCs w:val="20"/>
              </w:rPr>
              <w:t>$18.939.192</w:t>
            </w:r>
          </w:p>
        </w:tc>
      </w:tr>
    </w:tbl>
    <w:p w14:paraId="09FFBB1C" w14:textId="77777777" w:rsidR="0082216C" w:rsidRDefault="0082216C" w:rsidP="000B6083">
      <w:pPr>
        <w:tabs>
          <w:tab w:val="left" w:pos="748"/>
        </w:tabs>
        <w:spacing w:line="276" w:lineRule="auto"/>
        <w:jc w:val="both"/>
        <w:rPr>
          <w:rFonts w:ascii="Tahoma" w:hAnsi="Tahoma" w:cs="Tahoma"/>
        </w:rPr>
      </w:pPr>
    </w:p>
    <w:p w14:paraId="38C8094B" w14:textId="7325A08E" w:rsidR="00F064B6" w:rsidRDefault="00F1255E" w:rsidP="000B6083">
      <w:pPr>
        <w:tabs>
          <w:tab w:val="left" w:pos="748"/>
        </w:tabs>
        <w:spacing w:line="276" w:lineRule="auto"/>
        <w:jc w:val="both"/>
        <w:rPr>
          <w:rFonts w:ascii="Tahoma" w:hAnsi="Tahoma" w:cs="Tahoma"/>
        </w:rPr>
      </w:pPr>
      <w:r>
        <w:rPr>
          <w:rFonts w:ascii="Tahoma" w:hAnsi="Tahoma" w:cs="Tahoma"/>
        </w:rPr>
        <w:tab/>
      </w:r>
      <w:r w:rsidR="00873FBD">
        <w:rPr>
          <w:rFonts w:ascii="Tahoma" w:hAnsi="Tahoma" w:cs="Tahoma"/>
        </w:rPr>
        <w:t>Las costas en esta instancia correrán por cuenta de la empresa demandada y deberán liquidarse en el juzgado de origen.</w:t>
      </w:r>
      <w:r w:rsidR="00F064B6">
        <w:rPr>
          <w:rFonts w:ascii="Tahoma" w:hAnsi="Tahoma" w:cs="Tahoma"/>
        </w:rPr>
        <w:t xml:space="preserve"> </w:t>
      </w:r>
      <w:r w:rsidR="00A340BD">
        <w:rPr>
          <w:rFonts w:ascii="Tahoma" w:hAnsi="Tahoma" w:cs="Tahoma"/>
        </w:rPr>
        <w:t xml:space="preserve"> </w:t>
      </w:r>
    </w:p>
    <w:p w14:paraId="7F285E18" w14:textId="77777777" w:rsidR="00F064B6" w:rsidRDefault="00F064B6" w:rsidP="000B6083">
      <w:pPr>
        <w:tabs>
          <w:tab w:val="left" w:pos="748"/>
        </w:tabs>
        <w:spacing w:line="276" w:lineRule="auto"/>
        <w:jc w:val="both"/>
        <w:rPr>
          <w:rFonts w:ascii="Tahoma" w:hAnsi="Tahoma" w:cs="Tahoma"/>
        </w:rPr>
      </w:pPr>
    </w:p>
    <w:p w14:paraId="5F13D576" w14:textId="4AAEBD6C" w:rsidR="000B6083" w:rsidRDefault="00F064B6" w:rsidP="000B6083">
      <w:pPr>
        <w:tabs>
          <w:tab w:val="left" w:pos="748"/>
        </w:tabs>
        <w:spacing w:line="276" w:lineRule="auto"/>
        <w:jc w:val="both"/>
        <w:rPr>
          <w:rFonts w:ascii="Tahoma" w:hAnsi="Tahoma" w:cs="Tahoma"/>
        </w:rPr>
      </w:pPr>
      <w:r>
        <w:rPr>
          <w:rFonts w:ascii="Tahoma" w:hAnsi="Tahoma" w:cs="Tahoma"/>
        </w:rPr>
        <w:tab/>
      </w:r>
      <w:r w:rsidR="000B6083" w:rsidRPr="00531850">
        <w:rPr>
          <w:rFonts w:ascii="Tahoma" w:hAnsi="Tahoma" w:cs="Tahoma"/>
        </w:rPr>
        <w:t xml:space="preserve">Corolario de lo anterior, la sentencia de primera instancia será modificada en los precisos puntos indicados en precedencia. </w:t>
      </w:r>
    </w:p>
    <w:p w14:paraId="5B07339E" w14:textId="77777777" w:rsidR="000B6083" w:rsidRPr="00AA4E97" w:rsidRDefault="000B6083" w:rsidP="000B6083">
      <w:pPr>
        <w:tabs>
          <w:tab w:val="left" w:pos="748"/>
        </w:tabs>
        <w:spacing w:line="276" w:lineRule="auto"/>
        <w:jc w:val="both"/>
        <w:rPr>
          <w:rFonts w:ascii="Tahoma" w:hAnsi="Tahoma" w:cs="Tahoma"/>
        </w:rPr>
      </w:pPr>
    </w:p>
    <w:p w14:paraId="16F0FDCA" w14:textId="77777777" w:rsidR="000B6083" w:rsidRPr="00AA4E97" w:rsidRDefault="000B6083" w:rsidP="000B6083">
      <w:pPr>
        <w:tabs>
          <w:tab w:val="left" w:pos="748"/>
        </w:tabs>
        <w:spacing w:line="276" w:lineRule="auto"/>
        <w:jc w:val="both"/>
        <w:rPr>
          <w:rFonts w:ascii="Tahoma" w:hAnsi="Tahoma" w:cs="Tahoma"/>
        </w:rPr>
      </w:pPr>
      <w:r w:rsidRPr="00AA4E97">
        <w:rPr>
          <w:rFonts w:ascii="Tahoma" w:hAnsi="Tahoma" w:cs="Tahoma"/>
        </w:rPr>
        <w:tab/>
        <w:t xml:space="preserve">En mérito de  lo expuesto, el </w:t>
      </w:r>
      <w:r w:rsidRPr="00AA4E97">
        <w:rPr>
          <w:rFonts w:ascii="Tahoma" w:hAnsi="Tahoma" w:cs="Tahoma"/>
          <w:b/>
          <w:bCs/>
        </w:rPr>
        <w:t>TRIBUNAL SUPERIOR DEL DISTRITO JUDICIAL DE PEREIRA (RISARALDA)</w:t>
      </w:r>
      <w:r w:rsidRPr="00AA4E97">
        <w:rPr>
          <w:rFonts w:ascii="Tahoma" w:hAnsi="Tahoma" w:cs="Tahoma"/>
        </w:rPr>
        <w:t xml:space="preserve">, </w:t>
      </w:r>
      <w:r w:rsidRPr="00AA4E97">
        <w:rPr>
          <w:rFonts w:ascii="Tahoma" w:hAnsi="Tahoma" w:cs="Tahoma"/>
          <w:b/>
          <w:bCs/>
        </w:rPr>
        <w:t>SALA LABORAL</w:t>
      </w:r>
      <w:r w:rsidRPr="00AA4E97">
        <w:rPr>
          <w:rFonts w:ascii="Tahoma" w:hAnsi="Tahoma" w:cs="Tahoma"/>
        </w:rPr>
        <w:t>, Administrando Justicia en Nombre de la República  y por autoridad de la Ley,</w:t>
      </w:r>
    </w:p>
    <w:p w14:paraId="3644F3C4" w14:textId="77777777" w:rsidR="000B6083" w:rsidRPr="00AA4E97" w:rsidRDefault="000B6083" w:rsidP="000B6083">
      <w:pPr>
        <w:pStyle w:val="Sinespaciado"/>
        <w:spacing w:line="276" w:lineRule="auto"/>
        <w:rPr>
          <w:rFonts w:ascii="Tahoma" w:hAnsi="Tahoma" w:cs="Tahoma"/>
        </w:rPr>
      </w:pPr>
    </w:p>
    <w:p w14:paraId="0E4887B0" w14:textId="77777777" w:rsidR="000B6083" w:rsidRPr="00AA4E97" w:rsidRDefault="000B6083" w:rsidP="000B6083">
      <w:pPr>
        <w:widowControl w:val="0"/>
        <w:autoSpaceDE w:val="0"/>
        <w:autoSpaceDN w:val="0"/>
        <w:adjustRightInd w:val="0"/>
        <w:jc w:val="center"/>
        <w:rPr>
          <w:rFonts w:ascii="Tahoma" w:hAnsi="Tahoma" w:cs="Tahoma"/>
          <w:b/>
          <w:bCs/>
        </w:rPr>
      </w:pPr>
      <w:r w:rsidRPr="00AA4E97">
        <w:rPr>
          <w:rFonts w:ascii="Tahoma" w:hAnsi="Tahoma" w:cs="Tahoma"/>
          <w:b/>
          <w:bCs/>
        </w:rPr>
        <w:t>R E S U E L V E:</w:t>
      </w:r>
    </w:p>
    <w:p w14:paraId="0F8A2A7B" w14:textId="77777777" w:rsidR="000B6083" w:rsidRPr="00AA4E97" w:rsidRDefault="000B6083" w:rsidP="000B6083">
      <w:pPr>
        <w:widowControl w:val="0"/>
        <w:autoSpaceDE w:val="0"/>
        <w:autoSpaceDN w:val="0"/>
        <w:adjustRightInd w:val="0"/>
        <w:jc w:val="center"/>
        <w:rPr>
          <w:rFonts w:ascii="Tahoma" w:hAnsi="Tahoma" w:cs="Tahoma"/>
          <w:b/>
          <w:bCs/>
        </w:rPr>
      </w:pPr>
    </w:p>
    <w:p w14:paraId="513AEC0E" w14:textId="5C7EBBE3" w:rsidR="00F4194A" w:rsidRDefault="000B6083" w:rsidP="00F4194A">
      <w:pPr>
        <w:tabs>
          <w:tab w:val="left" w:pos="748"/>
        </w:tabs>
        <w:spacing w:line="276" w:lineRule="auto"/>
        <w:jc w:val="both"/>
        <w:rPr>
          <w:rFonts w:ascii="Tahoma" w:hAnsi="Tahoma" w:cs="Tahoma"/>
          <w:b/>
        </w:rPr>
      </w:pPr>
      <w:r w:rsidRPr="00AA4E97">
        <w:rPr>
          <w:rFonts w:ascii="Tahoma" w:hAnsi="Tahoma" w:cs="Tahoma"/>
          <w:b/>
          <w:bCs/>
        </w:rPr>
        <w:tab/>
        <w:t>PRIMERO: MODIFICAR</w:t>
      </w:r>
      <w:r>
        <w:rPr>
          <w:rFonts w:ascii="Tahoma" w:hAnsi="Tahoma" w:cs="Tahoma"/>
          <w:b/>
          <w:bCs/>
        </w:rPr>
        <w:t xml:space="preserve"> </w:t>
      </w:r>
      <w:r w:rsidRPr="000B6083">
        <w:rPr>
          <w:rFonts w:ascii="Tahoma" w:hAnsi="Tahoma" w:cs="Tahoma"/>
          <w:bCs/>
        </w:rPr>
        <w:t xml:space="preserve">el numeral cuarto de la sentencia apelada en el sentido de </w:t>
      </w:r>
      <w:r w:rsidRPr="00F4194A">
        <w:rPr>
          <w:rFonts w:ascii="Tahoma" w:hAnsi="Tahoma" w:cs="Tahoma"/>
          <w:bCs/>
        </w:rPr>
        <w:t>aumentar el monto de la sanción por la falta de consignaci</w:t>
      </w:r>
      <w:r w:rsidR="00F064B6" w:rsidRPr="00F4194A">
        <w:rPr>
          <w:rFonts w:ascii="Tahoma" w:hAnsi="Tahoma" w:cs="Tahoma"/>
          <w:bCs/>
        </w:rPr>
        <w:t>ón de la cesantías a la suma de</w:t>
      </w:r>
      <w:r w:rsidR="00F064B6" w:rsidRPr="00F4194A">
        <w:rPr>
          <w:rFonts w:ascii="Tahoma" w:hAnsi="Tahoma" w:cs="Tahoma"/>
        </w:rPr>
        <w:t xml:space="preserve"> </w:t>
      </w:r>
      <w:r w:rsidR="00F4194A" w:rsidRPr="00F4194A">
        <w:rPr>
          <w:rFonts w:ascii="Tahoma" w:hAnsi="Tahoma" w:cs="Tahoma"/>
          <w:b/>
        </w:rPr>
        <w:t>$18.939.192</w:t>
      </w:r>
    </w:p>
    <w:p w14:paraId="04FAD566" w14:textId="77777777" w:rsidR="00F4194A" w:rsidRPr="00926A32" w:rsidRDefault="00F4194A" w:rsidP="00F4194A">
      <w:pPr>
        <w:tabs>
          <w:tab w:val="left" w:pos="748"/>
        </w:tabs>
        <w:spacing w:line="276" w:lineRule="auto"/>
        <w:jc w:val="both"/>
        <w:rPr>
          <w:rFonts w:ascii="Tahoma" w:hAnsi="Tahoma" w:cs="Tahoma"/>
          <w:b/>
          <w:sz w:val="20"/>
          <w:szCs w:val="20"/>
        </w:rPr>
      </w:pPr>
    </w:p>
    <w:p w14:paraId="78CAFD7B" w14:textId="09ADC94D" w:rsidR="000B6083" w:rsidRPr="00AA4E97" w:rsidRDefault="000B6083" w:rsidP="00F4194A">
      <w:pPr>
        <w:widowControl w:val="0"/>
        <w:autoSpaceDE w:val="0"/>
        <w:autoSpaceDN w:val="0"/>
        <w:adjustRightInd w:val="0"/>
        <w:jc w:val="both"/>
        <w:rPr>
          <w:rFonts w:ascii="Tahoma" w:hAnsi="Tahoma" w:cs="Tahoma"/>
        </w:rPr>
      </w:pPr>
      <w:r w:rsidRPr="00AA4E97">
        <w:rPr>
          <w:rFonts w:ascii="Tahoma" w:hAnsi="Tahoma" w:cs="Tahoma"/>
          <w:b/>
        </w:rPr>
        <w:tab/>
        <w:t xml:space="preserve">SEGUNDO: -CONFIRMAR </w:t>
      </w:r>
      <w:r w:rsidRPr="00AA4E97">
        <w:rPr>
          <w:rFonts w:ascii="Tahoma" w:hAnsi="Tahoma" w:cs="Tahoma"/>
        </w:rPr>
        <w:t>en todo lo demás la sentencia objeto de estudio.</w:t>
      </w:r>
    </w:p>
    <w:p w14:paraId="1E6B441B" w14:textId="77777777" w:rsidR="000B6083" w:rsidRPr="00AA4E97" w:rsidRDefault="000B6083" w:rsidP="000B6083">
      <w:pPr>
        <w:pStyle w:val="Sinespaciado"/>
        <w:spacing w:line="276" w:lineRule="auto"/>
        <w:rPr>
          <w:rFonts w:ascii="Tahoma" w:hAnsi="Tahoma" w:cs="Tahoma"/>
        </w:rPr>
      </w:pPr>
    </w:p>
    <w:p w14:paraId="1420935B" w14:textId="5378F64D" w:rsidR="000B6083" w:rsidRPr="00AA4E97" w:rsidRDefault="000B6083" w:rsidP="000B6083">
      <w:pPr>
        <w:jc w:val="both"/>
        <w:rPr>
          <w:rFonts w:ascii="Tahoma" w:hAnsi="Tahoma" w:cs="Tahoma"/>
        </w:rPr>
      </w:pPr>
      <w:r w:rsidRPr="00AA4E97">
        <w:rPr>
          <w:rFonts w:ascii="Tahoma" w:hAnsi="Tahoma" w:cs="Tahoma"/>
        </w:rPr>
        <w:tab/>
      </w:r>
      <w:r w:rsidRPr="00AA4E97">
        <w:rPr>
          <w:rFonts w:ascii="Tahoma" w:hAnsi="Tahoma" w:cs="Tahoma"/>
          <w:b/>
        </w:rPr>
        <w:t>TERCERO: COSTAS</w:t>
      </w:r>
      <w:r w:rsidRPr="00AA4E97">
        <w:rPr>
          <w:rFonts w:ascii="Tahoma" w:hAnsi="Tahoma" w:cs="Tahoma"/>
        </w:rPr>
        <w:t xml:space="preserve"> en esta instanci</w:t>
      </w:r>
      <w:r>
        <w:rPr>
          <w:rFonts w:ascii="Tahoma" w:hAnsi="Tahoma" w:cs="Tahoma"/>
        </w:rPr>
        <w:t>a a cargo de la parte demandada</w:t>
      </w:r>
      <w:r w:rsidRPr="00AA4E97">
        <w:rPr>
          <w:rFonts w:ascii="Tahoma" w:hAnsi="Tahoma" w:cs="Tahoma"/>
        </w:rPr>
        <w:t xml:space="preserve">. </w:t>
      </w:r>
    </w:p>
    <w:p w14:paraId="40C1D1D7" w14:textId="77777777" w:rsidR="000B6083" w:rsidRPr="00AA4E97" w:rsidRDefault="000B6083" w:rsidP="000B6083">
      <w:pPr>
        <w:pStyle w:val="Sinespaciado"/>
        <w:spacing w:line="276" w:lineRule="auto"/>
        <w:rPr>
          <w:rFonts w:ascii="Tahoma" w:hAnsi="Tahoma" w:cs="Tahoma"/>
        </w:rPr>
      </w:pPr>
    </w:p>
    <w:p w14:paraId="669BFF64" w14:textId="77777777" w:rsidR="000B6083" w:rsidRPr="00AA4E97" w:rsidRDefault="000B6083" w:rsidP="000B6083">
      <w:pPr>
        <w:ind w:firstLine="709"/>
        <w:jc w:val="both"/>
        <w:rPr>
          <w:rFonts w:ascii="Tahoma" w:hAnsi="Tahoma" w:cs="Tahoma"/>
        </w:rPr>
      </w:pPr>
      <w:r w:rsidRPr="00AA4E97">
        <w:rPr>
          <w:rFonts w:ascii="Tahoma" w:hAnsi="Tahoma" w:cs="Tahoma"/>
          <w:b/>
          <w:bCs/>
        </w:rPr>
        <w:t>NOTIFICACIÓN SURTIDA EN ESTRADOS.</w:t>
      </w:r>
      <w:r w:rsidRPr="00AA4E97">
        <w:rPr>
          <w:rFonts w:ascii="Tahoma" w:hAnsi="Tahoma" w:cs="Tahoma"/>
        </w:rPr>
        <w:t xml:space="preserve"> </w:t>
      </w:r>
      <w:r w:rsidRPr="00AA4E97">
        <w:rPr>
          <w:rFonts w:ascii="Tahoma" w:hAnsi="Tahoma" w:cs="Tahoma"/>
          <w:b/>
          <w:bCs/>
        </w:rPr>
        <w:t>CÚMPLASE</w:t>
      </w:r>
      <w:r w:rsidRPr="00AA4E97">
        <w:rPr>
          <w:rFonts w:ascii="Tahoma" w:hAnsi="Tahoma" w:cs="Tahoma"/>
        </w:rPr>
        <w:t xml:space="preserve"> y </w:t>
      </w:r>
      <w:r w:rsidRPr="00AA4E97">
        <w:rPr>
          <w:rFonts w:ascii="Tahoma" w:hAnsi="Tahoma" w:cs="Tahoma"/>
          <w:b/>
          <w:bCs/>
        </w:rPr>
        <w:t>DEVUÉLVASE</w:t>
      </w:r>
      <w:r w:rsidRPr="00AA4E97">
        <w:rPr>
          <w:rFonts w:ascii="Tahoma" w:hAnsi="Tahoma" w:cs="Tahoma"/>
        </w:rPr>
        <w:t xml:space="preserve"> el expediente al Juzgado de origen.</w:t>
      </w:r>
    </w:p>
    <w:p w14:paraId="09A19AD0" w14:textId="77777777" w:rsidR="000B6083" w:rsidRPr="00AA4E97" w:rsidRDefault="000B6083" w:rsidP="000B6083">
      <w:pPr>
        <w:pStyle w:val="Sinespaciado"/>
        <w:spacing w:line="276" w:lineRule="auto"/>
        <w:rPr>
          <w:rFonts w:ascii="Tahoma" w:hAnsi="Tahoma" w:cs="Tahoma"/>
        </w:rPr>
      </w:pPr>
      <w:r w:rsidRPr="00AA4E97">
        <w:rPr>
          <w:rFonts w:ascii="Tahoma" w:hAnsi="Tahoma" w:cs="Tahoma"/>
        </w:rPr>
        <w:tab/>
      </w:r>
    </w:p>
    <w:p w14:paraId="17BCDE3A" w14:textId="77777777" w:rsidR="000B6083" w:rsidRDefault="000B6083" w:rsidP="000B6083">
      <w:pPr>
        <w:jc w:val="both"/>
        <w:rPr>
          <w:rFonts w:ascii="Tahoma" w:hAnsi="Tahoma" w:cs="Tahoma"/>
        </w:rPr>
      </w:pPr>
      <w:r w:rsidRPr="00AA4E97">
        <w:rPr>
          <w:rFonts w:ascii="Tahoma" w:hAnsi="Tahoma" w:cs="Tahoma"/>
        </w:rPr>
        <w:t>La Magistrada,</w:t>
      </w:r>
    </w:p>
    <w:p w14:paraId="43A6278B" w14:textId="77777777" w:rsidR="000B6083" w:rsidRDefault="000B6083" w:rsidP="000B6083">
      <w:pPr>
        <w:jc w:val="both"/>
        <w:rPr>
          <w:rFonts w:ascii="Tahoma" w:hAnsi="Tahoma" w:cs="Tahoma"/>
        </w:rPr>
      </w:pPr>
    </w:p>
    <w:p w14:paraId="50142202" w14:textId="77777777" w:rsidR="00452CC2" w:rsidRDefault="00452CC2" w:rsidP="000B6083">
      <w:pPr>
        <w:jc w:val="both"/>
        <w:rPr>
          <w:rFonts w:ascii="Tahoma" w:hAnsi="Tahoma" w:cs="Tahoma"/>
        </w:rPr>
      </w:pPr>
    </w:p>
    <w:p w14:paraId="2F69892F" w14:textId="77777777" w:rsidR="00452CC2" w:rsidRPr="00AA4E97" w:rsidRDefault="00452CC2" w:rsidP="000B6083">
      <w:pPr>
        <w:jc w:val="both"/>
        <w:rPr>
          <w:rFonts w:ascii="Tahoma" w:hAnsi="Tahoma" w:cs="Tahoma"/>
        </w:rPr>
      </w:pPr>
    </w:p>
    <w:p w14:paraId="5847DC7B" w14:textId="77777777" w:rsidR="000B6083" w:rsidRPr="000B6083" w:rsidRDefault="000B6083" w:rsidP="000B6083">
      <w:pPr>
        <w:pStyle w:val="Sinespaciado"/>
        <w:spacing w:line="276" w:lineRule="auto"/>
        <w:rPr>
          <w:rFonts w:ascii="Tahoma" w:hAnsi="Tahoma" w:cs="Tahoma"/>
          <w:b/>
        </w:rPr>
      </w:pPr>
    </w:p>
    <w:p w14:paraId="57E2447B" w14:textId="77777777" w:rsidR="000B6083" w:rsidRPr="000B6083" w:rsidRDefault="000B6083" w:rsidP="000B6083">
      <w:pPr>
        <w:pStyle w:val="Ttulo3"/>
        <w:spacing w:before="0" w:line="276" w:lineRule="auto"/>
        <w:jc w:val="center"/>
        <w:rPr>
          <w:rFonts w:ascii="Tahoma" w:hAnsi="Tahoma" w:cs="Tahoma"/>
          <w:b/>
          <w:color w:val="auto"/>
        </w:rPr>
      </w:pPr>
      <w:r w:rsidRPr="000B6083">
        <w:rPr>
          <w:rFonts w:ascii="Tahoma" w:hAnsi="Tahoma" w:cs="Tahoma"/>
          <w:b/>
          <w:color w:val="auto"/>
        </w:rPr>
        <w:t>ANA LUCÍA CAICEDO CALDERÓN</w:t>
      </w:r>
    </w:p>
    <w:p w14:paraId="1E6A0ECF" w14:textId="77777777" w:rsidR="000B6083" w:rsidRPr="000B6083" w:rsidRDefault="000B6083" w:rsidP="000B6083">
      <w:pPr>
        <w:pStyle w:val="Sinespaciado"/>
        <w:rPr>
          <w:rFonts w:ascii="Tahoma" w:hAnsi="Tahoma" w:cs="Tahoma"/>
          <w:b/>
        </w:rPr>
      </w:pPr>
    </w:p>
    <w:p w14:paraId="65C6D2CB" w14:textId="77777777" w:rsidR="000B6083" w:rsidRPr="000B6083" w:rsidRDefault="000B6083" w:rsidP="000B6083">
      <w:pPr>
        <w:pStyle w:val="Sinespaciado"/>
        <w:spacing w:line="276" w:lineRule="auto"/>
        <w:rPr>
          <w:rFonts w:ascii="Tahoma" w:hAnsi="Tahoma" w:cs="Tahoma"/>
        </w:rPr>
      </w:pPr>
      <w:r w:rsidRPr="000B6083">
        <w:rPr>
          <w:rFonts w:ascii="Tahoma" w:hAnsi="Tahoma" w:cs="Tahoma"/>
        </w:rPr>
        <w:t xml:space="preserve">Los magistrados, </w:t>
      </w:r>
    </w:p>
    <w:p w14:paraId="1791AD69" w14:textId="77777777" w:rsidR="000B6083" w:rsidRPr="000B6083" w:rsidRDefault="000B6083" w:rsidP="000B6083">
      <w:pPr>
        <w:pStyle w:val="Sinespaciado"/>
        <w:spacing w:line="276" w:lineRule="auto"/>
        <w:rPr>
          <w:rFonts w:ascii="Tahoma" w:hAnsi="Tahoma" w:cs="Tahoma"/>
          <w:b/>
        </w:rPr>
      </w:pPr>
    </w:p>
    <w:p w14:paraId="4AB64BB1" w14:textId="77777777" w:rsidR="000B6083" w:rsidRPr="000B6083" w:rsidRDefault="000B6083" w:rsidP="000B6083">
      <w:pPr>
        <w:rPr>
          <w:rFonts w:ascii="Tahoma" w:hAnsi="Tahoma" w:cs="Tahoma"/>
          <w:b/>
          <w:bCs/>
        </w:rPr>
      </w:pPr>
    </w:p>
    <w:p w14:paraId="4E82A821" w14:textId="77777777" w:rsidR="000B6083" w:rsidRPr="000B6083" w:rsidRDefault="000B6083" w:rsidP="000B6083">
      <w:pPr>
        <w:rPr>
          <w:rFonts w:ascii="Tahoma" w:hAnsi="Tahoma" w:cs="Tahoma"/>
          <w:b/>
          <w:bCs/>
        </w:rPr>
      </w:pPr>
    </w:p>
    <w:p w14:paraId="0578EA3C" w14:textId="77777777" w:rsidR="000B6083" w:rsidRDefault="000B6083" w:rsidP="000B6083">
      <w:pPr>
        <w:rPr>
          <w:rFonts w:ascii="Tahoma" w:hAnsi="Tahoma" w:cs="Tahoma"/>
          <w:b/>
          <w:bCs/>
        </w:rPr>
      </w:pPr>
    </w:p>
    <w:p w14:paraId="6BA825E7" w14:textId="77777777" w:rsidR="00452CC2" w:rsidRDefault="00452CC2" w:rsidP="000B6083">
      <w:pPr>
        <w:rPr>
          <w:rFonts w:ascii="Tahoma" w:hAnsi="Tahoma" w:cs="Tahoma"/>
          <w:b/>
          <w:bCs/>
        </w:rPr>
      </w:pPr>
    </w:p>
    <w:p w14:paraId="2CC30143" w14:textId="77777777" w:rsidR="00452CC2" w:rsidRPr="000B6083" w:rsidRDefault="00452CC2" w:rsidP="000B6083">
      <w:pPr>
        <w:rPr>
          <w:rFonts w:ascii="Tahoma" w:hAnsi="Tahoma" w:cs="Tahoma"/>
          <w:b/>
          <w:bCs/>
        </w:rPr>
      </w:pPr>
    </w:p>
    <w:p w14:paraId="0ABEB706" w14:textId="22C7F253" w:rsidR="000B6083" w:rsidRPr="000B6083" w:rsidRDefault="000B6083" w:rsidP="000B6083">
      <w:pPr>
        <w:rPr>
          <w:rFonts w:ascii="Tahoma" w:hAnsi="Tahoma" w:cs="Tahoma"/>
          <w:b/>
          <w:bCs/>
        </w:rPr>
      </w:pPr>
      <w:r w:rsidRPr="000B6083">
        <w:rPr>
          <w:rFonts w:ascii="Tahoma" w:hAnsi="Tahoma" w:cs="Tahoma"/>
          <w:b/>
          <w:bCs/>
        </w:rPr>
        <w:t xml:space="preserve">JULIO CÉSAR SALAZAR MUÑOZ </w:t>
      </w:r>
      <w:r w:rsidR="00452CC2">
        <w:rPr>
          <w:rFonts w:ascii="Tahoma" w:hAnsi="Tahoma" w:cs="Tahoma"/>
          <w:b/>
          <w:bCs/>
        </w:rPr>
        <w:t xml:space="preserve">                 </w:t>
      </w:r>
      <w:r w:rsidRPr="000B6083">
        <w:rPr>
          <w:rFonts w:ascii="Tahoma" w:hAnsi="Tahoma" w:cs="Tahoma"/>
          <w:b/>
          <w:bCs/>
        </w:rPr>
        <w:t xml:space="preserve">   FRANCISCO JAVIER TAMAYO TABARES</w:t>
      </w:r>
    </w:p>
    <w:p w14:paraId="51800FA2" w14:textId="6E790DBF" w:rsidR="000B6083" w:rsidRPr="00FB668D" w:rsidRDefault="00452CC2" w:rsidP="000B6083">
      <w:pPr>
        <w:pStyle w:val="Prrafodelista"/>
        <w:spacing w:line="276" w:lineRule="auto"/>
        <w:ind w:left="643"/>
        <w:rPr>
          <w:rFonts w:ascii="Tahoma" w:hAnsi="Tahoma" w:cs="Tahoma"/>
        </w:rPr>
      </w:pPr>
      <w:r>
        <w:rPr>
          <w:rFonts w:ascii="Tahoma" w:hAnsi="Tahoma" w:cs="Tahoma"/>
        </w:rPr>
        <w:lastRenderedPageBreak/>
        <w:t>Salva parcialmente voto</w:t>
      </w:r>
      <w:r w:rsidR="000B6083" w:rsidRPr="00AA4E97">
        <w:rPr>
          <w:rFonts w:ascii="Tahoma" w:hAnsi="Tahoma" w:cs="Tahoma"/>
        </w:rPr>
        <w:tab/>
      </w:r>
    </w:p>
    <w:p w14:paraId="632AC7CD" w14:textId="77777777" w:rsidR="000B6083" w:rsidRDefault="000B6083" w:rsidP="00E35DF0">
      <w:pPr>
        <w:tabs>
          <w:tab w:val="left" w:pos="748"/>
        </w:tabs>
        <w:spacing w:line="276" w:lineRule="auto"/>
        <w:jc w:val="both"/>
        <w:rPr>
          <w:rFonts w:ascii="Tahoma" w:hAnsi="Tahoma" w:cs="Tahoma"/>
        </w:rPr>
      </w:pPr>
    </w:p>
    <w:p w14:paraId="5B9686FB" w14:textId="77777777" w:rsidR="00873FBD" w:rsidRDefault="00873FBD" w:rsidP="00E35DF0">
      <w:pPr>
        <w:tabs>
          <w:tab w:val="left" w:pos="748"/>
        </w:tabs>
        <w:spacing w:line="276" w:lineRule="auto"/>
        <w:jc w:val="both"/>
        <w:rPr>
          <w:rFonts w:ascii="Tahoma" w:hAnsi="Tahoma" w:cs="Tahoma"/>
        </w:rPr>
      </w:pPr>
    </w:p>
    <w:p w14:paraId="0785F1C1" w14:textId="7EC09D79" w:rsidR="001E0B90" w:rsidRDefault="001E0B90" w:rsidP="001E0B90">
      <w:pPr>
        <w:jc w:val="both"/>
      </w:pPr>
    </w:p>
    <w:sectPr w:rsidR="001E0B90" w:rsidSect="00773A5D">
      <w:headerReference w:type="default" r:id="rId8"/>
      <w:footerReference w:type="default" r:id="rId9"/>
      <w:pgSz w:w="12242" w:h="18722" w:code="121"/>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332563" w14:textId="77777777" w:rsidR="00840170" w:rsidRDefault="00840170" w:rsidP="000B6083">
      <w:r>
        <w:separator/>
      </w:r>
    </w:p>
  </w:endnote>
  <w:endnote w:type="continuationSeparator" w:id="0">
    <w:p w14:paraId="6402DEA9" w14:textId="77777777" w:rsidR="00840170" w:rsidRDefault="00840170" w:rsidP="000B6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6847224"/>
      <w:docPartObj>
        <w:docPartGallery w:val="Page Numbers (Bottom of Page)"/>
        <w:docPartUnique/>
      </w:docPartObj>
    </w:sdtPr>
    <w:sdtEndPr/>
    <w:sdtContent>
      <w:p w14:paraId="075859B3" w14:textId="3ABABDD0" w:rsidR="000B6083" w:rsidRDefault="000B6083">
        <w:pPr>
          <w:pStyle w:val="Piedepgina"/>
          <w:jc w:val="right"/>
        </w:pPr>
        <w:r>
          <w:fldChar w:fldCharType="begin"/>
        </w:r>
        <w:r>
          <w:instrText>PAGE   \* MERGEFORMAT</w:instrText>
        </w:r>
        <w:r>
          <w:fldChar w:fldCharType="separate"/>
        </w:r>
        <w:r w:rsidR="00176D20">
          <w:rPr>
            <w:noProof/>
          </w:rPr>
          <w:t>8</w:t>
        </w:r>
        <w:r>
          <w:fldChar w:fldCharType="end"/>
        </w:r>
      </w:p>
    </w:sdtContent>
  </w:sdt>
  <w:p w14:paraId="2C44D70F" w14:textId="77777777" w:rsidR="000B6083" w:rsidRDefault="000B608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197EB9" w14:textId="77777777" w:rsidR="00840170" w:rsidRDefault="00840170" w:rsidP="000B6083">
      <w:r>
        <w:separator/>
      </w:r>
    </w:p>
  </w:footnote>
  <w:footnote w:type="continuationSeparator" w:id="0">
    <w:p w14:paraId="029C27FF" w14:textId="77777777" w:rsidR="00840170" w:rsidRDefault="00840170" w:rsidP="000B6083">
      <w:r>
        <w:continuationSeparator/>
      </w:r>
    </w:p>
  </w:footnote>
  <w:footnote w:id="1">
    <w:p w14:paraId="7AF31D1A" w14:textId="5E6A86FD" w:rsidR="005479D7" w:rsidRPr="005479D7" w:rsidRDefault="005479D7">
      <w:pPr>
        <w:pStyle w:val="Textonotapie"/>
        <w:rPr>
          <w:lang w:val="es-CO"/>
        </w:rPr>
      </w:pPr>
      <w:r>
        <w:rPr>
          <w:rStyle w:val="Refdenotaalpie"/>
        </w:rPr>
        <w:footnoteRef/>
      </w:r>
      <w:r>
        <w:t xml:space="preserve"> </w:t>
      </w:r>
      <w:r w:rsidRPr="005479D7">
        <w:t>http://www.revistas.unal.edu.co/index.php/morfolia/article/viewFile/31373/31379</w:t>
      </w:r>
    </w:p>
  </w:footnote>
  <w:footnote w:id="2">
    <w:p w14:paraId="45FCC932" w14:textId="38AED424" w:rsidR="00666C57" w:rsidRPr="00666C57" w:rsidRDefault="00666C57">
      <w:pPr>
        <w:pStyle w:val="Textonotapie"/>
        <w:rPr>
          <w:lang w:val="es-CO"/>
        </w:rPr>
      </w:pPr>
      <w:r>
        <w:rPr>
          <w:rStyle w:val="Refdenotaalpie"/>
        </w:rPr>
        <w:footnoteRef/>
      </w:r>
      <w:r>
        <w:t xml:space="preserve"> </w:t>
      </w:r>
      <w:proofErr w:type="spellStart"/>
      <w:r w:rsidR="00DE472D">
        <w:rPr>
          <w:lang w:val="es-CO"/>
        </w:rPr>
        <w:t>INGEMAR</w:t>
      </w:r>
      <w:proofErr w:type="spellEnd"/>
      <w:r w:rsidR="00DE472D">
        <w:rPr>
          <w:lang w:val="es-CO"/>
        </w:rPr>
        <w:t xml:space="preserve"> </w:t>
      </w:r>
      <w:proofErr w:type="spellStart"/>
      <w:r w:rsidR="00DE472D">
        <w:rPr>
          <w:lang w:val="es-CO"/>
        </w:rPr>
        <w:t>DÜRING</w:t>
      </w:r>
      <w:proofErr w:type="spellEnd"/>
      <w:r>
        <w:rPr>
          <w:lang w:val="es-CO"/>
        </w:rPr>
        <w:t xml:space="preserve">, </w:t>
      </w:r>
      <w:r w:rsidR="00DE472D">
        <w:rPr>
          <w:lang w:val="es-CO"/>
        </w:rPr>
        <w:t>Aristóteles</w:t>
      </w:r>
      <w:r>
        <w:rPr>
          <w:lang w:val="es-CO"/>
        </w:rPr>
        <w:t xml:space="preserve">, exposición e interpretación de su </w:t>
      </w:r>
      <w:r w:rsidR="00DE472D">
        <w:rPr>
          <w:lang w:val="es-CO"/>
        </w:rPr>
        <w:t>pensamiento,</w:t>
      </w:r>
      <w:r>
        <w:rPr>
          <w:lang w:val="es-CO"/>
        </w:rPr>
        <w:t xml:space="preserve"> Universidad Nacional </w:t>
      </w:r>
      <w:r w:rsidR="00926A32">
        <w:rPr>
          <w:lang w:val="es-CO"/>
        </w:rPr>
        <w:t>Autónoma</w:t>
      </w:r>
      <w:r>
        <w:rPr>
          <w:lang w:val="es-CO"/>
        </w:rPr>
        <w:t xml:space="preserve">, 2005, </w:t>
      </w:r>
      <w:proofErr w:type="spellStart"/>
      <w:r w:rsidR="00DE472D">
        <w:rPr>
          <w:lang w:val="es-CO"/>
        </w:rPr>
        <w:t>pag</w:t>
      </w:r>
      <w:proofErr w:type="spellEnd"/>
      <w:r w:rsidR="00DE472D">
        <w:rPr>
          <w:lang w:val="es-CO"/>
        </w:rPr>
        <w:t>. 837.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1A8FE5" w14:textId="6E3DC3CA" w:rsidR="000B6083" w:rsidRPr="00DE472D" w:rsidRDefault="000B6083">
    <w:pPr>
      <w:pStyle w:val="Encabezado"/>
      <w:rPr>
        <w:rFonts w:ascii="Tahoma" w:hAnsi="Tahoma" w:cs="Tahoma"/>
        <w:sz w:val="14"/>
        <w:szCs w:val="14"/>
      </w:rPr>
    </w:pPr>
    <w:r w:rsidRPr="00DE472D">
      <w:rPr>
        <w:rFonts w:ascii="Tahoma" w:hAnsi="Tahoma" w:cs="Tahoma"/>
        <w:sz w:val="14"/>
        <w:szCs w:val="14"/>
        <w:lang w:val="es-CO"/>
      </w:rPr>
      <w:t xml:space="preserve">Demandante: </w:t>
    </w:r>
    <w:r w:rsidRPr="00DE472D">
      <w:rPr>
        <w:rFonts w:ascii="Tahoma" w:hAnsi="Tahoma" w:cs="Tahoma"/>
        <w:sz w:val="14"/>
        <w:szCs w:val="14"/>
      </w:rPr>
      <w:t>Fabio Daniel Castrillón González</w:t>
    </w:r>
  </w:p>
  <w:p w14:paraId="528D1205" w14:textId="59E229CE" w:rsidR="000B6083" w:rsidRPr="00DE472D" w:rsidRDefault="000B6083">
    <w:pPr>
      <w:pStyle w:val="Encabezado"/>
      <w:rPr>
        <w:rFonts w:ascii="Tahoma" w:hAnsi="Tahoma" w:cs="Tahoma"/>
        <w:sz w:val="14"/>
        <w:szCs w:val="14"/>
      </w:rPr>
    </w:pPr>
    <w:r w:rsidRPr="00DE472D">
      <w:rPr>
        <w:rFonts w:ascii="Tahoma" w:hAnsi="Tahoma" w:cs="Tahoma"/>
        <w:sz w:val="14"/>
        <w:szCs w:val="14"/>
      </w:rPr>
      <w:t xml:space="preserve">Demandado: </w:t>
    </w:r>
    <w:proofErr w:type="spellStart"/>
    <w:r w:rsidRPr="00DE472D">
      <w:rPr>
        <w:rFonts w:ascii="Tahoma" w:hAnsi="Tahoma" w:cs="Tahoma"/>
        <w:sz w:val="14"/>
        <w:szCs w:val="14"/>
      </w:rPr>
      <w:t>Promasivo</w:t>
    </w:r>
    <w:proofErr w:type="spellEnd"/>
    <w:r w:rsidRPr="00DE472D">
      <w:rPr>
        <w:rFonts w:ascii="Tahoma" w:hAnsi="Tahoma" w:cs="Tahoma"/>
        <w:sz w:val="14"/>
        <w:szCs w:val="14"/>
      </w:rPr>
      <w:t xml:space="preserve"> S.A.</w:t>
    </w:r>
  </w:p>
  <w:p w14:paraId="08F92A8D" w14:textId="00A8E0D2" w:rsidR="000B6083" w:rsidRPr="00DE472D" w:rsidRDefault="000B6083" w:rsidP="000B6083">
    <w:pPr>
      <w:rPr>
        <w:rFonts w:ascii="Tahoma" w:hAnsi="Tahoma" w:cs="Tahoma"/>
        <w:b/>
        <w:sz w:val="14"/>
        <w:szCs w:val="14"/>
      </w:rPr>
    </w:pPr>
    <w:r w:rsidRPr="00DE472D">
      <w:rPr>
        <w:rFonts w:ascii="Tahoma" w:hAnsi="Tahoma" w:cs="Tahoma"/>
        <w:sz w:val="14"/>
        <w:szCs w:val="14"/>
      </w:rPr>
      <w:t>Rad.: 66170-31-05-004-2014-000484-01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8C5FC3"/>
    <w:multiLevelType w:val="multilevel"/>
    <w:tmpl w:val="32C29AEA"/>
    <w:lvl w:ilvl="0">
      <w:start w:val="1"/>
      <w:numFmt w:val="upperRoman"/>
      <w:lvlText w:val="%1."/>
      <w:lvlJc w:val="left"/>
      <w:pPr>
        <w:ind w:left="1428" w:hanging="72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88" w:hanging="1080"/>
      </w:pPr>
      <w:rPr>
        <w:rFonts w:hint="default"/>
      </w:rPr>
    </w:lvl>
    <w:lvl w:ilvl="3">
      <w:start w:val="1"/>
      <w:numFmt w:val="decimal"/>
      <w:isLgl/>
      <w:lvlText w:val="%1.%2.%3.%4."/>
      <w:lvlJc w:val="left"/>
      <w:pPr>
        <w:ind w:left="2148" w:hanging="1440"/>
      </w:pPr>
      <w:rPr>
        <w:rFonts w:hint="default"/>
      </w:rPr>
    </w:lvl>
    <w:lvl w:ilvl="4">
      <w:start w:val="1"/>
      <w:numFmt w:val="decimal"/>
      <w:isLgl/>
      <w:lvlText w:val="%1.%2.%3.%4.%5."/>
      <w:lvlJc w:val="left"/>
      <w:pPr>
        <w:ind w:left="2148" w:hanging="1440"/>
      </w:pPr>
      <w:rPr>
        <w:rFonts w:hint="default"/>
      </w:rPr>
    </w:lvl>
    <w:lvl w:ilvl="5">
      <w:start w:val="1"/>
      <w:numFmt w:val="decimal"/>
      <w:isLgl/>
      <w:lvlText w:val="%1.%2.%3.%4.%5.%6."/>
      <w:lvlJc w:val="left"/>
      <w:pPr>
        <w:ind w:left="2508" w:hanging="1800"/>
      </w:pPr>
      <w:rPr>
        <w:rFonts w:hint="default"/>
      </w:rPr>
    </w:lvl>
    <w:lvl w:ilvl="6">
      <w:start w:val="1"/>
      <w:numFmt w:val="decimal"/>
      <w:isLgl/>
      <w:lvlText w:val="%1.%2.%3.%4.%5.%6.%7."/>
      <w:lvlJc w:val="left"/>
      <w:pPr>
        <w:ind w:left="2868" w:hanging="2160"/>
      </w:pPr>
      <w:rPr>
        <w:rFonts w:hint="default"/>
      </w:rPr>
    </w:lvl>
    <w:lvl w:ilvl="7">
      <w:start w:val="1"/>
      <w:numFmt w:val="decimal"/>
      <w:isLgl/>
      <w:lvlText w:val="%1.%2.%3.%4.%5.%6.%7.%8."/>
      <w:lvlJc w:val="left"/>
      <w:pPr>
        <w:ind w:left="3228" w:hanging="2520"/>
      </w:pPr>
      <w:rPr>
        <w:rFonts w:hint="default"/>
      </w:rPr>
    </w:lvl>
    <w:lvl w:ilvl="8">
      <w:start w:val="1"/>
      <w:numFmt w:val="decimal"/>
      <w:isLgl/>
      <w:lvlText w:val="%1.%2.%3.%4.%5.%6.%7.%8.%9."/>
      <w:lvlJc w:val="left"/>
      <w:pPr>
        <w:ind w:left="3228" w:hanging="2520"/>
      </w:pPr>
      <w:rPr>
        <w:rFonts w:hint="default"/>
      </w:rPr>
    </w:lvl>
  </w:abstractNum>
  <w:abstractNum w:abstractNumId="1">
    <w:nsid w:val="3D3673AE"/>
    <w:multiLevelType w:val="multilevel"/>
    <w:tmpl w:val="634020B4"/>
    <w:lvl w:ilvl="0">
      <w:start w:val="3"/>
      <w:numFmt w:val="decimal"/>
      <w:lvlText w:val="%1."/>
      <w:lvlJc w:val="left"/>
      <w:pPr>
        <w:ind w:left="460" w:hanging="46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564" w:hanging="144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5340" w:hanging="1800"/>
      </w:pPr>
      <w:rPr>
        <w:rFonts w:hint="default"/>
      </w:rPr>
    </w:lvl>
    <w:lvl w:ilvl="6">
      <w:start w:val="1"/>
      <w:numFmt w:val="decimal"/>
      <w:lvlText w:val="%1.%2.%3.%4.%5.%6.%7."/>
      <w:lvlJc w:val="left"/>
      <w:pPr>
        <w:ind w:left="6408" w:hanging="2160"/>
      </w:pPr>
      <w:rPr>
        <w:rFonts w:hint="default"/>
      </w:rPr>
    </w:lvl>
    <w:lvl w:ilvl="7">
      <w:start w:val="1"/>
      <w:numFmt w:val="decimal"/>
      <w:lvlText w:val="%1.%2.%3.%4.%5.%6.%7.%8."/>
      <w:lvlJc w:val="left"/>
      <w:pPr>
        <w:ind w:left="7476" w:hanging="2520"/>
      </w:pPr>
      <w:rPr>
        <w:rFonts w:hint="default"/>
      </w:rPr>
    </w:lvl>
    <w:lvl w:ilvl="8">
      <w:start w:val="1"/>
      <w:numFmt w:val="decimal"/>
      <w:lvlText w:val="%1.%2.%3.%4.%5.%6.%7.%8.%9."/>
      <w:lvlJc w:val="left"/>
      <w:pPr>
        <w:ind w:left="8184" w:hanging="2520"/>
      </w:pPr>
      <w:rPr>
        <w:rFonts w:hint="default"/>
      </w:rPr>
    </w:lvl>
  </w:abstractNum>
  <w:abstractNum w:abstractNumId="2">
    <w:nsid w:val="68110FEB"/>
    <w:multiLevelType w:val="hybridMultilevel"/>
    <w:tmpl w:val="2EEC71AA"/>
    <w:lvl w:ilvl="0" w:tplc="6C8CAEE6">
      <w:start w:val="1"/>
      <w:numFmt w:val="lowerLetter"/>
      <w:lvlText w:val="%1)"/>
      <w:lvlJc w:val="left"/>
      <w:pPr>
        <w:ind w:left="1482" w:hanging="360"/>
      </w:pPr>
      <w:rPr>
        <w:rFonts w:hint="default"/>
      </w:rPr>
    </w:lvl>
    <w:lvl w:ilvl="1" w:tplc="0C0A0019" w:tentative="1">
      <w:start w:val="1"/>
      <w:numFmt w:val="lowerLetter"/>
      <w:lvlText w:val="%2."/>
      <w:lvlJc w:val="left"/>
      <w:pPr>
        <w:ind w:left="2202" w:hanging="360"/>
      </w:pPr>
    </w:lvl>
    <w:lvl w:ilvl="2" w:tplc="0C0A001B" w:tentative="1">
      <w:start w:val="1"/>
      <w:numFmt w:val="lowerRoman"/>
      <w:lvlText w:val="%3."/>
      <w:lvlJc w:val="right"/>
      <w:pPr>
        <w:ind w:left="2922" w:hanging="180"/>
      </w:pPr>
    </w:lvl>
    <w:lvl w:ilvl="3" w:tplc="0C0A000F" w:tentative="1">
      <w:start w:val="1"/>
      <w:numFmt w:val="decimal"/>
      <w:lvlText w:val="%4."/>
      <w:lvlJc w:val="left"/>
      <w:pPr>
        <w:ind w:left="3642" w:hanging="360"/>
      </w:pPr>
    </w:lvl>
    <w:lvl w:ilvl="4" w:tplc="0C0A0019" w:tentative="1">
      <w:start w:val="1"/>
      <w:numFmt w:val="lowerLetter"/>
      <w:lvlText w:val="%5."/>
      <w:lvlJc w:val="left"/>
      <w:pPr>
        <w:ind w:left="4362" w:hanging="360"/>
      </w:pPr>
    </w:lvl>
    <w:lvl w:ilvl="5" w:tplc="0C0A001B" w:tentative="1">
      <w:start w:val="1"/>
      <w:numFmt w:val="lowerRoman"/>
      <w:lvlText w:val="%6."/>
      <w:lvlJc w:val="right"/>
      <w:pPr>
        <w:ind w:left="5082" w:hanging="180"/>
      </w:pPr>
    </w:lvl>
    <w:lvl w:ilvl="6" w:tplc="0C0A000F" w:tentative="1">
      <w:start w:val="1"/>
      <w:numFmt w:val="decimal"/>
      <w:lvlText w:val="%7."/>
      <w:lvlJc w:val="left"/>
      <w:pPr>
        <w:ind w:left="5802" w:hanging="360"/>
      </w:pPr>
    </w:lvl>
    <w:lvl w:ilvl="7" w:tplc="0C0A0019" w:tentative="1">
      <w:start w:val="1"/>
      <w:numFmt w:val="lowerLetter"/>
      <w:lvlText w:val="%8."/>
      <w:lvlJc w:val="left"/>
      <w:pPr>
        <w:ind w:left="6522" w:hanging="360"/>
      </w:pPr>
    </w:lvl>
    <w:lvl w:ilvl="8" w:tplc="0C0A001B" w:tentative="1">
      <w:start w:val="1"/>
      <w:numFmt w:val="lowerRoman"/>
      <w:lvlText w:val="%9."/>
      <w:lvlJc w:val="right"/>
      <w:pPr>
        <w:ind w:left="7242"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B90"/>
    <w:rsid w:val="00094D86"/>
    <w:rsid w:val="000B6083"/>
    <w:rsid w:val="000C39F2"/>
    <w:rsid w:val="00100704"/>
    <w:rsid w:val="00112629"/>
    <w:rsid w:val="00153D8A"/>
    <w:rsid w:val="00174EA4"/>
    <w:rsid w:val="00176D20"/>
    <w:rsid w:val="001E0B90"/>
    <w:rsid w:val="0023165C"/>
    <w:rsid w:val="002912DE"/>
    <w:rsid w:val="00297481"/>
    <w:rsid w:val="002B4AA8"/>
    <w:rsid w:val="00315E91"/>
    <w:rsid w:val="0032769A"/>
    <w:rsid w:val="00341784"/>
    <w:rsid w:val="003651A5"/>
    <w:rsid w:val="003A61BF"/>
    <w:rsid w:val="003F6060"/>
    <w:rsid w:val="00452CC2"/>
    <w:rsid w:val="004D0E12"/>
    <w:rsid w:val="004F46DD"/>
    <w:rsid w:val="005479D7"/>
    <w:rsid w:val="005B28BB"/>
    <w:rsid w:val="005F4177"/>
    <w:rsid w:val="00645528"/>
    <w:rsid w:val="00654BAC"/>
    <w:rsid w:val="00666C57"/>
    <w:rsid w:val="00695535"/>
    <w:rsid w:val="006E17F4"/>
    <w:rsid w:val="00773A5D"/>
    <w:rsid w:val="0078443E"/>
    <w:rsid w:val="00791FDB"/>
    <w:rsid w:val="007973FC"/>
    <w:rsid w:val="008174BD"/>
    <w:rsid w:val="0082216C"/>
    <w:rsid w:val="00822E7D"/>
    <w:rsid w:val="00840170"/>
    <w:rsid w:val="008649DC"/>
    <w:rsid w:val="00873FBD"/>
    <w:rsid w:val="008814A5"/>
    <w:rsid w:val="0089328E"/>
    <w:rsid w:val="00895245"/>
    <w:rsid w:val="008A3E24"/>
    <w:rsid w:val="008A706A"/>
    <w:rsid w:val="008C3A36"/>
    <w:rsid w:val="008C7BE3"/>
    <w:rsid w:val="00906181"/>
    <w:rsid w:val="00926A32"/>
    <w:rsid w:val="0096163F"/>
    <w:rsid w:val="00972ADB"/>
    <w:rsid w:val="009D1E36"/>
    <w:rsid w:val="00A03A7E"/>
    <w:rsid w:val="00A340BD"/>
    <w:rsid w:val="00A45A39"/>
    <w:rsid w:val="00A46D06"/>
    <w:rsid w:val="00A51F22"/>
    <w:rsid w:val="00A92A89"/>
    <w:rsid w:val="00A92CCC"/>
    <w:rsid w:val="00AA07EE"/>
    <w:rsid w:val="00AF7D19"/>
    <w:rsid w:val="00B20A8D"/>
    <w:rsid w:val="00B20F36"/>
    <w:rsid w:val="00B461A3"/>
    <w:rsid w:val="00B845B6"/>
    <w:rsid w:val="00B97F96"/>
    <w:rsid w:val="00C1556E"/>
    <w:rsid w:val="00C77A61"/>
    <w:rsid w:val="00D02392"/>
    <w:rsid w:val="00D0779B"/>
    <w:rsid w:val="00D11654"/>
    <w:rsid w:val="00D44F78"/>
    <w:rsid w:val="00D77AE9"/>
    <w:rsid w:val="00DE472D"/>
    <w:rsid w:val="00E35DF0"/>
    <w:rsid w:val="00EA01AD"/>
    <w:rsid w:val="00EF379A"/>
    <w:rsid w:val="00F064B6"/>
    <w:rsid w:val="00F1255E"/>
    <w:rsid w:val="00F4194A"/>
    <w:rsid w:val="00F660F2"/>
    <w:rsid w:val="00FA054C"/>
    <w:rsid w:val="00FD75F9"/>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C678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65C"/>
    <w:rPr>
      <w:lang w:val="es-ES"/>
    </w:rPr>
  </w:style>
  <w:style w:type="paragraph" w:styleId="Ttulo1">
    <w:name w:val="heading 1"/>
    <w:basedOn w:val="Normal"/>
    <w:link w:val="Ttulo1Car"/>
    <w:uiPriority w:val="9"/>
    <w:qFormat/>
    <w:rsid w:val="003A61BF"/>
    <w:pPr>
      <w:spacing w:before="100" w:beforeAutospacing="1" w:after="100" w:afterAutospacing="1"/>
      <w:outlineLvl w:val="0"/>
    </w:pPr>
    <w:rPr>
      <w:rFonts w:ascii="Times New Roman" w:eastAsia="Times New Roman" w:hAnsi="Times New Roman" w:cs="Times New Roman"/>
      <w:b/>
      <w:bCs/>
      <w:kern w:val="36"/>
      <w:sz w:val="48"/>
      <w:szCs w:val="48"/>
      <w:lang w:eastAsia="es-ES"/>
    </w:rPr>
  </w:style>
  <w:style w:type="paragraph" w:styleId="Ttulo3">
    <w:name w:val="heading 3"/>
    <w:basedOn w:val="Normal"/>
    <w:next w:val="Normal"/>
    <w:link w:val="Ttulo3Car"/>
    <w:uiPriority w:val="9"/>
    <w:semiHidden/>
    <w:unhideWhenUsed/>
    <w:qFormat/>
    <w:rsid w:val="000B6083"/>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iPriority w:val="9"/>
    <w:semiHidden/>
    <w:unhideWhenUsed/>
    <w:qFormat/>
    <w:rsid w:val="00873FBD"/>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873FBD"/>
    <w:pPr>
      <w:keepNext/>
      <w:keepLines/>
      <w:spacing w:before="4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77A61"/>
    <w:pPr>
      <w:ind w:left="720"/>
      <w:contextualSpacing/>
    </w:pPr>
  </w:style>
  <w:style w:type="paragraph" w:styleId="NormalWeb">
    <w:name w:val="Normal (Web)"/>
    <w:basedOn w:val="Normal"/>
    <w:uiPriority w:val="99"/>
    <w:semiHidden/>
    <w:unhideWhenUsed/>
    <w:rsid w:val="008C3A36"/>
    <w:pPr>
      <w:spacing w:before="100" w:beforeAutospacing="1" w:after="100" w:afterAutospacing="1"/>
    </w:pPr>
    <w:rPr>
      <w:rFonts w:ascii="Times New Roman" w:hAnsi="Times New Roman" w:cs="Times New Roman"/>
      <w:lang w:val="es-ES_tradnl" w:eastAsia="es-ES_tradnl"/>
    </w:rPr>
  </w:style>
  <w:style w:type="character" w:styleId="Textoennegrita">
    <w:name w:val="Strong"/>
    <w:basedOn w:val="Fuentedeprrafopredeter"/>
    <w:uiPriority w:val="22"/>
    <w:qFormat/>
    <w:rsid w:val="008C3A36"/>
    <w:rPr>
      <w:b/>
      <w:bCs/>
    </w:rPr>
  </w:style>
  <w:style w:type="character" w:customStyle="1" w:styleId="apple-converted-space">
    <w:name w:val="apple-converted-space"/>
    <w:basedOn w:val="Fuentedeprrafopredeter"/>
    <w:rsid w:val="008C3A36"/>
  </w:style>
  <w:style w:type="character" w:customStyle="1" w:styleId="Ttulo1Car">
    <w:name w:val="Título 1 Car"/>
    <w:basedOn w:val="Fuentedeprrafopredeter"/>
    <w:link w:val="Ttulo1"/>
    <w:uiPriority w:val="9"/>
    <w:rsid w:val="003A61BF"/>
    <w:rPr>
      <w:rFonts w:ascii="Times New Roman" w:eastAsia="Times New Roman" w:hAnsi="Times New Roman" w:cs="Times New Roman"/>
      <w:b/>
      <w:bCs/>
      <w:kern w:val="36"/>
      <w:sz w:val="48"/>
      <w:szCs w:val="48"/>
      <w:lang w:val="es-ES" w:eastAsia="es-ES"/>
    </w:rPr>
  </w:style>
  <w:style w:type="character" w:customStyle="1" w:styleId="Ttulo4Car">
    <w:name w:val="Título 4 Car"/>
    <w:basedOn w:val="Fuentedeprrafopredeter"/>
    <w:link w:val="Ttulo4"/>
    <w:uiPriority w:val="9"/>
    <w:semiHidden/>
    <w:rsid w:val="00873FBD"/>
    <w:rPr>
      <w:rFonts w:asciiTheme="majorHAnsi" w:eastAsiaTheme="majorEastAsia" w:hAnsiTheme="majorHAnsi" w:cstheme="majorBidi"/>
      <w:i/>
      <w:iCs/>
      <w:color w:val="2E74B5" w:themeColor="accent1" w:themeShade="BF"/>
      <w:lang w:val="es-ES"/>
    </w:rPr>
  </w:style>
  <w:style w:type="character" w:customStyle="1" w:styleId="Ttulo5Car">
    <w:name w:val="Título 5 Car"/>
    <w:basedOn w:val="Fuentedeprrafopredeter"/>
    <w:link w:val="Ttulo5"/>
    <w:uiPriority w:val="9"/>
    <w:semiHidden/>
    <w:rsid w:val="00873FBD"/>
    <w:rPr>
      <w:rFonts w:asciiTheme="majorHAnsi" w:eastAsiaTheme="majorEastAsia" w:hAnsiTheme="majorHAnsi" w:cstheme="majorBidi"/>
      <w:color w:val="2E74B5" w:themeColor="accent1" w:themeShade="BF"/>
      <w:lang w:val="es-ES"/>
    </w:rPr>
  </w:style>
  <w:style w:type="paragraph" w:styleId="Textoindependiente">
    <w:name w:val="Body Text"/>
    <w:basedOn w:val="Normal"/>
    <w:link w:val="TextoindependienteCar"/>
    <w:uiPriority w:val="99"/>
    <w:unhideWhenUsed/>
    <w:rsid w:val="00873FBD"/>
    <w:pPr>
      <w:spacing w:after="120" w:line="259" w:lineRule="auto"/>
    </w:pPr>
    <w:rPr>
      <w:sz w:val="22"/>
      <w:szCs w:val="22"/>
    </w:rPr>
  </w:style>
  <w:style w:type="character" w:customStyle="1" w:styleId="TextoindependienteCar">
    <w:name w:val="Texto independiente Car"/>
    <w:basedOn w:val="Fuentedeprrafopredeter"/>
    <w:link w:val="Textoindependiente"/>
    <w:uiPriority w:val="99"/>
    <w:rsid w:val="00873FBD"/>
    <w:rPr>
      <w:sz w:val="22"/>
      <w:szCs w:val="22"/>
      <w:lang w:val="es-ES"/>
    </w:rPr>
  </w:style>
  <w:style w:type="paragraph" w:styleId="Sinespaciado">
    <w:name w:val="No Spacing"/>
    <w:uiPriority w:val="1"/>
    <w:qFormat/>
    <w:rsid w:val="00873FBD"/>
    <w:rPr>
      <w:rFonts w:ascii="Times New Roman" w:eastAsia="Times New Roman" w:hAnsi="Times New Roman" w:cs="Times New Roman"/>
      <w:lang w:val="es-ES" w:eastAsia="es-ES"/>
    </w:rPr>
  </w:style>
  <w:style w:type="paragraph" w:styleId="Encabezado">
    <w:name w:val="header"/>
    <w:basedOn w:val="Normal"/>
    <w:link w:val="EncabezadoCar"/>
    <w:uiPriority w:val="99"/>
    <w:unhideWhenUsed/>
    <w:rsid w:val="000B6083"/>
    <w:pPr>
      <w:tabs>
        <w:tab w:val="center" w:pos="4252"/>
        <w:tab w:val="right" w:pos="8504"/>
      </w:tabs>
    </w:pPr>
  </w:style>
  <w:style w:type="character" w:customStyle="1" w:styleId="EncabezadoCar">
    <w:name w:val="Encabezado Car"/>
    <w:basedOn w:val="Fuentedeprrafopredeter"/>
    <w:link w:val="Encabezado"/>
    <w:uiPriority w:val="99"/>
    <w:rsid w:val="000B6083"/>
    <w:rPr>
      <w:lang w:val="es-ES"/>
    </w:rPr>
  </w:style>
  <w:style w:type="paragraph" w:styleId="Piedepgina">
    <w:name w:val="footer"/>
    <w:basedOn w:val="Normal"/>
    <w:link w:val="PiedepginaCar"/>
    <w:uiPriority w:val="99"/>
    <w:unhideWhenUsed/>
    <w:rsid w:val="000B6083"/>
    <w:pPr>
      <w:tabs>
        <w:tab w:val="center" w:pos="4252"/>
        <w:tab w:val="right" w:pos="8504"/>
      </w:tabs>
    </w:pPr>
  </w:style>
  <w:style w:type="character" w:customStyle="1" w:styleId="PiedepginaCar">
    <w:name w:val="Pie de página Car"/>
    <w:basedOn w:val="Fuentedeprrafopredeter"/>
    <w:link w:val="Piedepgina"/>
    <w:uiPriority w:val="99"/>
    <w:rsid w:val="000B6083"/>
    <w:rPr>
      <w:lang w:val="es-ES"/>
    </w:rPr>
  </w:style>
  <w:style w:type="character" w:customStyle="1" w:styleId="Ttulo3Car">
    <w:name w:val="Título 3 Car"/>
    <w:basedOn w:val="Fuentedeprrafopredeter"/>
    <w:link w:val="Ttulo3"/>
    <w:uiPriority w:val="9"/>
    <w:semiHidden/>
    <w:rsid w:val="000B6083"/>
    <w:rPr>
      <w:rFonts w:asciiTheme="majorHAnsi" w:eastAsiaTheme="majorEastAsia" w:hAnsiTheme="majorHAnsi" w:cstheme="majorBidi"/>
      <w:color w:val="1F4D78" w:themeColor="accent1" w:themeShade="7F"/>
      <w:lang w:val="es-ES"/>
    </w:rPr>
  </w:style>
  <w:style w:type="table" w:styleId="Tablaconcuadrcula">
    <w:name w:val="Table Grid"/>
    <w:basedOn w:val="Tablanormal"/>
    <w:uiPriority w:val="39"/>
    <w:rsid w:val="000B6083"/>
    <w:rPr>
      <w:sz w:val="22"/>
      <w:szCs w:val="22"/>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5479D7"/>
    <w:rPr>
      <w:sz w:val="20"/>
      <w:szCs w:val="20"/>
    </w:rPr>
  </w:style>
  <w:style w:type="character" w:customStyle="1" w:styleId="TextonotapieCar">
    <w:name w:val="Texto nota pie Car"/>
    <w:basedOn w:val="Fuentedeprrafopredeter"/>
    <w:link w:val="Textonotapie"/>
    <w:uiPriority w:val="99"/>
    <w:semiHidden/>
    <w:rsid w:val="005479D7"/>
    <w:rPr>
      <w:sz w:val="20"/>
      <w:szCs w:val="20"/>
      <w:lang w:val="es-ES"/>
    </w:rPr>
  </w:style>
  <w:style w:type="character" w:styleId="Refdenotaalpie">
    <w:name w:val="footnote reference"/>
    <w:basedOn w:val="Fuentedeprrafopredeter"/>
    <w:uiPriority w:val="99"/>
    <w:semiHidden/>
    <w:unhideWhenUsed/>
    <w:rsid w:val="005479D7"/>
    <w:rPr>
      <w:vertAlign w:val="superscript"/>
    </w:rPr>
  </w:style>
  <w:style w:type="paragraph" w:styleId="Textodeglobo">
    <w:name w:val="Balloon Text"/>
    <w:basedOn w:val="Normal"/>
    <w:link w:val="TextodegloboCar"/>
    <w:uiPriority w:val="99"/>
    <w:semiHidden/>
    <w:unhideWhenUsed/>
    <w:rsid w:val="00452CC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52CC2"/>
    <w:rPr>
      <w:rFonts w:ascii="Segoe UI"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783874">
      <w:bodyDiv w:val="1"/>
      <w:marLeft w:val="0"/>
      <w:marRight w:val="0"/>
      <w:marTop w:val="0"/>
      <w:marBottom w:val="0"/>
      <w:divBdr>
        <w:top w:val="none" w:sz="0" w:space="0" w:color="auto"/>
        <w:left w:val="none" w:sz="0" w:space="0" w:color="auto"/>
        <w:bottom w:val="none" w:sz="0" w:space="0" w:color="auto"/>
        <w:right w:val="none" w:sz="0" w:space="0" w:color="auto"/>
      </w:divBdr>
    </w:div>
    <w:div w:id="10867301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8008FD-3178-4136-8DF2-D80F6C868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3400</Words>
  <Characters>18700</Characters>
  <Application>Microsoft Office Word</Application>
  <DocSecurity>0</DocSecurity>
  <Lines>155</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Alonso Garcés</dc:creator>
  <cp:keywords/>
  <dc:description/>
  <cp:lastModifiedBy>Henry Lora Rodriguez</cp:lastModifiedBy>
  <cp:revision>3</cp:revision>
  <cp:lastPrinted>2016-09-12T12:56:00Z</cp:lastPrinted>
  <dcterms:created xsi:type="dcterms:W3CDTF">2016-10-04T16:07:00Z</dcterms:created>
  <dcterms:modified xsi:type="dcterms:W3CDTF">2016-11-21T20:33:00Z</dcterms:modified>
</cp:coreProperties>
</file>